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13E98" w14:textId="2FC9A073" w:rsidR="00127393" w:rsidRDefault="00127393">
      <w:pPr>
        <w:rPr>
          <w:sz w:val="28"/>
          <w:szCs w:val="28"/>
        </w:rPr>
      </w:pPr>
    </w:p>
    <w:p w14:paraId="0857F3F2" w14:textId="77777777" w:rsidR="00F3505E" w:rsidRDefault="00F3505E">
      <w:pPr>
        <w:rPr>
          <w:sz w:val="28"/>
          <w:szCs w:val="28"/>
        </w:rPr>
      </w:pPr>
    </w:p>
    <w:p w14:paraId="7D892B9B" w14:textId="2010A5AB" w:rsidR="003C03EE" w:rsidRDefault="00F80C3E" w:rsidP="003C03EE">
      <w:pPr>
        <w:pStyle w:val="Title"/>
        <w:jc w:val="center"/>
      </w:pPr>
      <w:r>
        <w:t>Misuse of Drugs Amendment Act 2019</w:t>
      </w:r>
    </w:p>
    <w:p w14:paraId="1283AEB6" w14:textId="40FF0327" w:rsidR="00F80C3E" w:rsidRDefault="00F80C3E" w:rsidP="00036B9D">
      <w:pPr>
        <w:pStyle w:val="Title"/>
        <w:jc w:val="center"/>
      </w:pPr>
      <w:r>
        <w:t>Post-implementation review</w:t>
      </w:r>
    </w:p>
    <w:p w14:paraId="7ED47702" w14:textId="77777777" w:rsidR="003C03EE" w:rsidRDefault="003C03EE" w:rsidP="003C03EE"/>
    <w:p w14:paraId="59AE7CC6" w14:textId="77777777" w:rsidR="00B449F4" w:rsidRDefault="00B449F4" w:rsidP="00B449F4"/>
    <w:p w14:paraId="0D66B062" w14:textId="77777777" w:rsidR="00B449F4" w:rsidRDefault="00B449F4" w:rsidP="00B449F4"/>
    <w:p w14:paraId="6B03ADCF" w14:textId="77777777" w:rsidR="00F80C3E" w:rsidRDefault="00F80C3E">
      <w:pPr>
        <w:rPr>
          <w:sz w:val="28"/>
          <w:szCs w:val="28"/>
        </w:rPr>
      </w:pPr>
    </w:p>
    <w:p w14:paraId="53BB043C" w14:textId="1493CE8F" w:rsidR="00F80C3E" w:rsidRDefault="00F80C3E" w:rsidP="00F3505E">
      <w:pPr>
        <w:jc w:val="right"/>
        <w:rPr>
          <w:sz w:val="28"/>
          <w:szCs w:val="28"/>
        </w:rPr>
      </w:pPr>
      <w:r>
        <w:rPr>
          <w:sz w:val="28"/>
          <w:szCs w:val="28"/>
        </w:rPr>
        <w:t xml:space="preserve">Ministry of Health </w:t>
      </w:r>
    </w:p>
    <w:p w14:paraId="03ADDE31" w14:textId="483B8793" w:rsidR="00F80C3E" w:rsidRDefault="00414ECC" w:rsidP="00F3505E">
      <w:pPr>
        <w:jc w:val="right"/>
        <w:rPr>
          <w:sz w:val="28"/>
          <w:szCs w:val="28"/>
        </w:rPr>
      </w:pPr>
      <w:r>
        <w:rPr>
          <w:sz w:val="28"/>
          <w:szCs w:val="28"/>
        </w:rPr>
        <w:t>August</w:t>
      </w:r>
      <w:r w:rsidR="00F80C3E">
        <w:rPr>
          <w:sz w:val="28"/>
          <w:szCs w:val="28"/>
        </w:rPr>
        <w:t xml:space="preserve"> 2021</w:t>
      </w:r>
    </w:p>
    <w:p w14:paraId="7B283171" w14:textId="77777777" w:rsidR="009A24C2" w:rsidRDefault="009A24C2">
      <w:pPr>
        <w:rPr>
          <w:sz w:val="28"/>
          <w:szCs w:val="28"/>
        </w:rPr>
      </w:pPr>
    </w:p>
    <w:p w14:paraId="17B3F1BE" w14:textId="564A4AE6" w:rsidR="009A24C2" w:rsidRDefault="009A24C2">
      <w:pPr>
        <w:rPr>
          <w:sz w:val="28"/>
          <w:szCs w:val="28"/>
        </w:rPr>
      </w:pPr>
      <w:r>
        <w:rPr>
          <w:sz w:val="28"/>
          <w:szCs w:val="28"/>
        </w:rPr>
        <w:br w:type="page"/>
      </w:r>
    </w:p>
    <w:p w14:paraId="17B0DC34" w14:textId="67F854C7" w:rsidR="009B5199" w:rsidRPr="00C23723" w:rsidRDefault="009B5199" w:rsidP="00997C38">
      <w:pPr>
        <w:pStyle w:val="Heading1"/>
      </w:pPr>
      <w:bookmarkStart w:id="0" w:name="_Toc75528205"/>
      <w:bookmarkStart w:id="1" w:name="_Toc75952866"/>
      <w:bookmarkStart w:id="2" w:name="_Toc78186429"/>
      <w:r w:rsidRPr="00C23723">
        <w:lastRenderedPageBreak/>
        <w:t>Misuse of Drugs Amendment Act 2019</w:t>
      </w:r>
      <w:r>
        <w:t>:  Post-Implementation Review of S7 Provisions</w:t>
      </w:r>
      <w:bookmarkEnd w:id="0"/>
      <w:bookmarkEnd w:id="1"/>
      <w:bookmarkEnd w:id="2"/>
    </w:p>
    <w:sdt>
      <w:sdtPr>
        <w:rPr>
          <w:rFonts w:asciiTheme="minorHAnsi" w:eastAsiaTheme="minorEastAsia" w:hAnsiTheme="minorHAnsi" w:cstheme="minorBidi"/>
          <w:color w:val="auto"/>
          <w:sz w:val="22"/>
          <w:szCs w:val="22"/>
        </w:rPr>
        <w:id w:val="1032380951"/>
        <w:docPartObj>
          <w:docPartGallery w:val="Table of Contents"/>
          <w:docPartUnique/>
        </w:docPartObj>
      </w:sdtPr>
      <w:sdtEndPr>
        <w:rPr>
          <w:b/>
          <w:bCs/>
          <w:noProof/>
        </w:rPr>
      </w:sdtEndPr>
      <w:sdtContent>
        <w:p w14:paraId="0812350A" w14:textId="1826ACEB" w:rsidR="00ED00C8" w:rsidRDefault="00ED00C8">
          <w:pPr>
            <w:pStyle w:val="TOCHeading"/>
          </w:pPr>
          <w:r>
            <w:t>Contents</w:t>
          </w:r>
        </w:p>
        <w:p w14:paraId="4751223A" w14:textId="53683ADB" w:rsidR="00EE04A3" w:rsidRDefault="006E6DBC">
          <w:pPr>
            <w:pStyle w:val="TOC1"/>
            <w:rPr>
              <w:noProof/>
              <w:lang w:eastAsia="en-NZ"/>
            </w:rPr>
          </w:pPr>
          <w:r>
            <w:fldChar w:fldCharType="begin"/>
          </w:r>
          <w:r>
            <w:instrText xml:space="preserve"> TOC \o "1-3" \h \z \u </w:instrText>
          </w:r>
          <w:r>
            <w:fldChar w:fldCharType="separate"/>
          </w:r>
          <w:hyperlink w:anchor="_Toc78186429" w:history="1">
            <w:r w:rsidR="00EE04A3" w:rsidRPr="00192721">
              <w:rPr>
                <w:rStyle w:val="Hyperlink"/>
                <w:noProof/>
              </w:rPr>
              <w:t>Misuse of Drugs Amendment Act 2019:  Post-Implementation Review of S7 Provisions</w:t>
            </w:r>
            <w:r w:rsidR="00EE04A3">
              <w:rPr>
                <w:noProof/>
                <w:webHidden/>
              </w:rPr>
              <w:tab/>
            </w:r>
            <w:r w:rsidR="00EE04A3">
              <w:rPr>
                <w:noProof/>
                <w:webHidden/>
              </w:rPr>
              <w:fldChar w:fldCharType="begin"/>
            </w:r>
            <w:r w:rsidR="00EE04A3">
              <w:rPr>
                <w:noProof/>
                <w:webHidden/>
              </w:rPr>
              <w:instrText xml:space="preserve"> PAGEREF _Toc78186429 \h </w:instrText>
            </w:r>
            <w:r w:rsidR="00EE04A3">
              <w:rPr>
                <w:noProof/>
                <w:webHidden/>
              </w:rPr>
            </w:r>
            <w:r w:rsidR="00EE04A3">
              <w:rPr>
                <w:noProof/>
                <w:webHidden/>
              </w:rPr>
              <w:fldChar w:fldCharType="separate"/>
            </w:r>
            <w:r w:rsidR="00EE04A3">
              <w:rPr>
                <w:noProof/>
                <w:webHidden/>
              </w:rPr>
              <w:t>2</w:t>
            </w:r>
            <w:r w:rsidR="00EE04A3">
              <w:rPr>
                <w:noProof/>
                <w:webHidden/>
              </w:rPr>
              <w:fldChar w:fldCharType="end"/>
            </w:r>
          </w:hyperlink>
        </w:p>
        <w:p w14:paraId="0E9AF6BF" w14:textId="121B156C" w:rsidR="00EE04A3" w:rsidRDefault="00AC222A">
          <w:pPr>
            <w:pStyle w:val="TOC2"/>
            <w:rPr>
              <w:noProof/>
              <w:lang w:eastAsia="en-NZ"/>
            </w:rPr>
          </w:pPr>
          <w:hyperlink w:anchor="_Toc78186430" w:history="1">
            <w:r w:rsidR="00EE04A3" w:rsidRPr="00192721">
              <w:rPr>
                <w:rStyle w:val="Hyperlink"/>
                <w:noProof/>
              </w:rPr>
              <w:t>Graphs and tables</w:t>
            </w:r>
            <w:r w:rsidR="00EE04A3">
              <w:rPr>
                <w:noProof/>
                <w:webHidden/>
              </w:rPr>
              <w:tab/>
            </w:r>
            <w:r w:rsidR="00EE04A3">
              <w:rPr>
                <w:noProof/>
                <w:webHidden/>
              </w:rPr>
              <w:fldChar w:fldCharType="begin"/>
            </w:r>
            <w:r w:rsidR="00EE04A3">
              <w:rPr>
                <w:noProof/>
                <w:webHidden/>
              </w:rPr>
              <w:instrText xml:space="preserve"> PAGEREF _Toc78186430 \h </w:instrText>
            </w:r>
            <w:r w:rsidR="00EE04A3">
              <w:rPr>
                <w:noProof/>
                <w:webHidden/>
              </w:rPr>
            </w:r>
            <w:r w:rsidR="00EE04A3">
              <w:rPr>
                <w:noProof/>
                <w:webHidden/>
              </w:rPr>
              <w:fldChar w:fldCharType="separate"/>
            </w:r>
            <w:r w:rsidR="00EE04A3">
              <w:rPr>
                <w:noProof/>
                <w:webHidden/>
              </w:rPr>
              <w:t>5</w:t>
            </w:r>
            <w:r w:rsidR="00EE04A3">
              <w:rPr>
                <w:noProof/>
                <w:webHidden/>
              </w:rPr>
              <w:fldChar w:fldCharType="end"/>
            </w:r>
          </w:hyperlink>
        </w:p>
        <w:p w14:paraId="69F8B189" w14:textId="4E8771FF" w:rsidR="00EE04A3" w:rsidRDefault="00AC222A">
          <w:pPr>
            <w:pStyle w:val="TOC2"/>
            <w:rPr>
              <w:noProof/>
              <w:lang w:eastAsia="en-NZ"/>
            </w:rPr>
          </w:pPr>
          <w:hyperlink w:anchor="_Toc78186431" w:history="1">
            <w:r w:rsidR="00EE04A3" w:rsidRPr="00192721">
              <w:rPr>
                <w:rStyle w:val="Hyperlink"/>
                <w:noProof/>
              </w:rPr>
              <w:t>EXECUTIVE SUMMARY</w:t>
            </w:r>
            <w:r w:rsidR="00EE04A3">
              <w:rPr>
                <w:noProof/>
                <w:webHidden/>
              </w:rPr>
              <w:tab/>
            </w:r>
            <w:r w:rsidR="00EE04A3">
              <w:rPr>
                <w:noProof/>
                <w:webHidden/>
              </w:rPr>
              <w:fldChar w:fldCharType="begin"/>
            </w:r>
            <w:r w:rsidR="00EE04A3">
              <w:rPr>
                <w:noProof/>
                <w:webHidden/>
              </w:rPr>
              <w:instrText xml:space="preserve"> PAGEREF _Toc78186431 \h </w:instrText>
            </w:r>
            <w:r w:rsidR="00EE04A3">
              <w:rPr>
                <w:noProof/>
                <w:webHidden/>
              </w:rPr>
            </w:r>
            <w:r w:rsidR="00EE04A3">
              <w:rPr>
                <w:noProof/>
                <w:webHidden/>
              </w:rPr>
              <w:fldChar w:fldCharType="separate"/>
            </w:r>
            <w:r w:rsidR="00EE04A3">
              <w:rPr>
                <w:noProof/>
                <w:webHidden/>
              </w:rPr>
              <w:t>7</w:t>
            </w:r>
            <w:r w:rsidR="00EE04A3">
              <w:rPr>
                <w:noProof/>
                <w:webHidden/>
              </w:rPr>
              <w:fldChar w:fldCharType="end"/>
            </w:r>
          </w:hyperlink>
        </w:p>
        <w:p w14:paraId="04BFBECC" w14:textId="31680B5D" w:rsidR="00EE04A3" w:rsidRDefault="00AC222A">
          <w:pPr>
            <w:pStyle w:val="TOC3"/>
            <w:rPr>
              <w:noProof/>
              <w:lang w:eastAsia="en-NZ"/>
            </w:rPr>
          </w:pPr>
          <w:hyperlink w:anchor="_Toc78186432" w:history="1">
            <w:r w:rsidR="00EE04A3" w:rsidRPr="00192721">
              <w:rPr>
                <w:rStyle w:val="Hyperlink"/>
                <w:noProof/>
              </w:rPr>
              <w:t>Purpose of Report</w:t>
            </w:r>
            <w:r w:rsidR="00EE04A3">
              <w:rPr>
                <w:noProof/>
                <w:webHidden/>
              </w:rPr>
              <w:tab/>
            </w:r>
            <w:r w:rsidR="00EE04A3">
              <w:rPr>
                <w:noProof/>
                <w:webHidden/>
              </w:rPr>
              <w:fldChar w:fldCharType="begin"/>
            </w:r>
            <w:r w:rsidR="00EE04A3">
              <w:rPr>
                <w:noProof/>
                <w:webHidden/>
              </w:rPr>
              <w:instrText xml:space="preserve"> PAGEREF _Toc78186432 \h </w:instrText>
            </w:r>
            <w:r w:rsidR="00EE04A3">
              <w:rPr>
                <w:noProof/>
                <w:webHidden/>
              </w:rPr>
            </w:r>
            <w:r w:rsidR="00EE04A3">
              <w:rPr>
                <w:noProof/>
                <w:webHidden/>
              </w:rPr>
              <w:fldChar w:fldCharType="separate"/>
            </w:r>
            <w:r w:rsidR="00EE04A3">
              <w:rPr>
                <w:noProof/>
                <w:webHidden/>
              </w:rPr>
              <w:t>7</w:t>
            </w:r>
            <w:r w:rsidR="00EE04A3">
              <w:rPr>
                <w:noProof/>
                <w:webHidden/>
              </w:rPr>
              <w:fldChar w:fldCharType="end"/>
            </w:r>
          </w:hyperlink>
        </w:p>
        <w:p w14:paraId="4B074C69" w14:textId="26B6DA8B" w:rsidR="00EE04A3" w:rsidRDefault="00AC222A">
          <w:pPr>
            <w:pStyle w:val="TOC3"/>
            <w:rPr>
              <w:noProof/>
              <w:lang w:eastAsia="en-NZ"/>
            </w:rPr>
          </w:pPr>
          <w:hyperlink w:anchor="_Toc78186433" w:history="1">
            <w:r w:rsidR="00EE04A3" w:rsidRPr="00192721">
              <w:rPr>
                <w:rStyle w:val="Hyperlink"/>
                <w:noProof/>
              </w:rPr>
              <w:t>The amendment</w:t>
            </w:r>
            <w:r w:rsidR="00EE04A3">
              <w:rPr>
                <w:noProof/>
                <w:webHidden/>
              </w:rPr>
              <w:tab/>
            </w:r>
            <w:r w:rsidR="00EE04A3">
              <w:rPr>
                <w:noProof/>
                <w:webHidden/>
              </w:rPr>
              <w:fldChar w:fldCharType="begin"/>
            </w:r>
            <w:r w:rsidR="00EE04A3">
              <w:rPr>
                <w:noProof/>
                <w:webHidden/>
              </w:rPr>
              <w:instrText xml:space="preserve"> PAGEREF _Toc78186433 \h </w:instrText>
            </w:r>
            <w:r w:rsidR="00EE04A3">
              <w:rPr>
                <w:noProof/>
                <w:webHidden/>
              </w:rPr>
            </w:r>
            <w:r w:rsidR="00EE04A3">
              <w:rPr>
                <w:noProof/>
                <w:webHidden/>
              </w:rPr>
              <w:fldChar w:fldCharType="separate"/>
            </w:r>
            <w:r w:rsidR="00EE04A3">
              <w:rPr>
                <w:noProof/>
                <w:webHidden/>
              </w:rPr>
              <w:t>7</w:t>
            </w:r>
            <w:r w:rsidR="00EE04A3">
              <w:rPr>
                <w:noProof/>
                <w:webHidden/>
              </w:rPr>
              <w:fldChar w:fldCharType="end"/>
            </w:r>
          </w:hyperlink>
        </w:p>
        <w:p w14:paraId="720B29BD" w14:textId="74F4BD75" w:rsidR="00EE04A3" w:rsidRDefault="00AC222A">
          <w:pPr>
            <w:pStyle w:val="TOC3"/>
            <w:rPr>
              <w:noProof/>
              <w:lang w:eastAsia="en-NZ"/>
            </w:rPr>
          </w:pPr>
          <w:hyperlink w:anchor="_Toc78186434" w:history="1">
            <w:r w:rsidR="00EE04A3" w:rsidRPr="00192721">
              <w:rPr>
                <w:rStyle w:val="Hyperlink"/>
                <w:noProof/>
              </w:rPr>
              <w:t>Changes made in the system</w:t>
            </w:r>
            <w:r w:rsidR="00EE04A3">
              <w:rPr>
                <w:noProof/>
                <w:webHidden/>
              </w:rPr>
              <w:tab/>
            </w:r>
            <w:r w:rsidR="00EE04A3">
              <w:rPr>
                <w:noProof/>
                <w:webHidden/>
              </w:rPr>
              <w:fldChar w:fldCharType="begin"/>
            </w:r>
            <w:r w:rsidR="00EE04A3">
              <w:rPr>
                <w:noProof/>
                <w:webHidden/>
              </w:rPr>
              <w:instrText xml:space="preserve"> PAGEREF _Toc78186434 \h </w:instrText>
            </w:r>
            <w:r w:rsidR="00EE04A3">
              <w:rPr>
                <w:noProof/>
                <w:webHidden/>
              </w:rPr>
            </w:r>
            <w:r w:rsidR="00EE04A3">
              <w:rPr>
                <w:noProof/>
                <w:webHidden/>
              </w:rPr>
              <w:fldChar w:fldCharType="separate"/>
            </w:r>
            <w:r w:rsidR="00EE04A3">
              <w:rPr>
                <w:noProof/>
                <w:webHidden/>
              </w:rPr>
              <w:t>7</w:t>
            </w:r>
            <w:r w:rsidR="00EE04A3">
              <w:rPr>
                <w:noProof/>
                <w:webHidden/>
              </w:rPr>
              <w:fldChar w:fldCharType="end"/>
            </w:r>
          </w:hyperlink>
        </w:p>
        <w:p w14:paraId="314D3072" w14:textId="20BB5A74" w:rsidR="00EE04A3" w:rsidRDefault="00AC222A">
          <w:pPr>
            <w:pStyle w:val="TOC3"/>
            <w:rPr>
              <w:noProof/>
              <w:lang w:eastAsia="en-NZ"/>
            </w:rPr>
          </w:pPr>
          <w:hyperlink w:anchor="_Toc78186435" w:history="1">
            <w:r w:rsidR="00EE04A3" w:rsidRPr="00192721">
              <w:rPr>
                <w:rStyle w:val="Hyperlink"/>
                <w:noProof/>
              </w:rPr>
              <w:t>The review</w:t>
            </w:r>
            <w:r w:rsidR="00EE04A3">
              <w:rPr>
                <w:noProof/>
                <w:webHidden/>
              </w:rPr>
              <w:tab/>
            </w:r>
            <w:r w:rsidR="00EE04A3">
              <w:rPr>
                <w:noProof/>
                <w:webHidden/>
              </w:rPr>
              <w:fldChar w:fldCharType="begin"/>
            </w:r>
            <w:r w:rsidR="00EE04A3">
              <w:rPr>
                <w:noProof/>
                <w:webHidden/>
              </w:rPr>
              <w:instrText xml:space="preserve"> PAGEREF _Toc78186435 \h </w:instrText>
            </w:r>
            <w:r w:rsidR="00EE04A3">
              <w:rPr>
                <w:noProof/>
                <w:webHidden/>
              </w:rPr>
            </w:r>
            <w:r w:rsidR="00EE04A3">
              <w:rPr>
                <w:noProof/>
                <w:webHidden/>
              </w:rPr>
              <w:fldChar w:fldCharType="separate"/>
            </w:r>
            <w:r w:rsidR="00EE04A3">
              <w:rPr>
                <w:noProof/>
                <w:webHidden/>
              </w:rPr>
              <w:t>7</w:t>
            </w:r>
            <w:r w:rsidR="00EE04A3">
              <w:rPr>
                <w:noProof/>
                <w:webHidden/>
              </w:rPr>
              <w:fldChar w:fldCharType="end"/>
            </w:r>
          </w:hyperlink>
        </w:p>
        <w:p w14:paraId="794857C2" w14:textId="1E8E36A9" w:rsidR="00EE04A3" w:rsidRDefault="00AC222A">
          <w:pPr>
            <w:pStyle w:val="TOC3"/>
            <w:rPr>
              <w:noProof/>
              <w:lang w:eastAsia="en-NZ"/>
            </w:rPr>
          </w:pPr>
          <w:hyperlink w:anchor="_Toc78186436" w:history="1">
            <w:r w:rsidR="00EE04A3" w:rsidRPr="00192721">
              <w:rPr>
                <w:rStyle w:val="Hyperlink"/>
                <w:noProof/>
              </w:rPr>
              <w:t>Part one: Health-based Police discretion - Findings</w:t>
            </w:r>
            <w:r w:rsidR="00EE04A3">
              <w:rPr>
                <w:noProof/>
                <w:webHidden/>
              </w:rPr>
              <w:tab/>
            </w:r>
            <w:r w:rsidR="00EE04A3">
              <w:rPr>
                <w:noProof/>
                <w:webHidden/>
              </w:rPr>
              <w:fldChar w:fldCharType="begin"/>
            </w:r>
            <w:r w:rsidR="00EE04A3">
              <w:rPr>
                <w:noProof/>
                <w:webHidden/>
              </w:rPr>
              <w:instrText xml:space="preserve"> PAGEREF _Toc78186436 \h </w:instrText>
            </w:r>
            <w:r w:rsidR="00EE04A3">
              <w:rPr>
                <w:noProof/>
                <w:webHidden/>
              </w:rPr>
            </w:r>
            <w:r w:rsidR="00EE04A3">
              <w:rPr>
                <w:noProof/>
                <w:webHidden/>
              </w:rPr>
              <w:fldChar w:fldCharType="separate"/>
            </w:r>
            <w:r w:rsidR="00EE04A3">
              <w:rPr>
                <w:noProof/>
                <w:webHidden/>
              </w:rPr>
              <w:t>8</w:t>
            </w:r>
            <w:r w:rsidR="00EE04A3">
              <w:rPr>
                <w:noProof/>
                <w:webHidden/>
              </w:rPr>
              <w:fldChar w:fldCharType="end"/>
            </w:r>
          </w:hyperlink>
        </w:p>
        <w:p w14:paraId="675B9F37" w14:textId="03D272A2" w:rsidR="00EE04A3" w:rsidRDefault="00AC222A">
          <w:pPr>
            <w:pStyle w:val="TOC2"/>
            <w:rPr>
              <w:noProof/>
              <w:lang w:eastAsia="en-NZ"/>
            </w:rPr>
          </w:pPr>
          <w:hyperlink w:anchor="_Toc78186437" w:history="1">
            <w:r w:rsidR="00EE04A3" w:rsidRPr="00192721">
              <w:rPr>
                <w:rStyle w:val="Hyperlink"/>
                <w:noProof/>
              </w:rPr>
              <w:t>Part Two: Review of impact of classification of AMB-FUBINACA and 5F-ADB - Findings</w:t>
            </w:r>
            <w:r w:rsidR="00EE04A3">
              <w:rPr>
                <w:noProof/>
                <w:webHidden/>
              </w:rPr>
              <w:tab/>
            </w:r>
            <w:r w:rsidR="00EE04A3">
              <w:rPr>
                <w:noProof/>
                <w:webHidden/>
              </w:rPr>
              <w:fldChar w:fldCharType="begin"/>
            </w:r>
            <w:r w:rsidR="00EE04A3">
              <w:rPr>
                <w:noProof/>
                <w:webHidden/>
              </w:rPr>
              <w:instrText xml:space="preserve"> PAGEREF _Toc78186437 \h </w:instrText>
            </w:r>
            <w:r w:rsidR="00EE04A3">
              <w:rPr>
                <w:noProof/>
                <w:webHidden/>
              </w:rPr>
            </w:r>
            <w:r w:rsidR="00EE04A3">
              <w:rPr>
                <w:noProof/>
                <w:webHidden/>
              </w:rPr>
              <w:fldChar w:fldCharType="separate"/>
            </w:r>
            <w:r w:rsidR="00EE04A3">
              <w:rPr>
                <w:noProof/>
                <w:webHidden/>
              </w:rPr>
              <w:t>11</w:t>
            </w:r>
            <w:r w:rsidR="00EE04A3">
              <w:rPr>
                <w:noProof/>
                <w:webHidden/>
              </w:rPr>
              <w:fldChar w:fldCharType="end"/>
            </w:r>
          </w:hyperlink>
        </w:p>
        <w:p w14:paraId="40F7F6FE" w14:textId="1C374FD0" w:rsidR="00EE04A3" w:rsidRDefault="00AC222A">
          <w:pPr>
            <w:pStyle w:val="TOC2"/>
            <w:rPr>
              <w:noProof/>
              <w:lang w:eastAsia="en-NZ"/>
            </w:rPr>
          </w:pPr>
          <w:hyperlink w:anchor="_Toc78186438" w:history="1">
            <w:r w:rsidR="00EE04A3" w:rsidRPr="00192721">
              <w:rPr>
                <w:rStyle w:val="Hyperlink"/>
                <w:noProof/>
              </w:rPr>
              <w:t>Part Three: Temporary Drug Class Orders - Findings</w:t>
            </w:r>
            <w:r w:rsidR="00EE04A3">
              <w:rPr>
                <w:noProof/>
                <w:webHidden/>
              </w:rPr>
              <w:tab/>
            </w:r>
            <w:r w:rsidR="00EE04A3">
              <w:rPr>
                <w:noProof/>
                <w:webHidden/>
              </w:rPr>
              <w:fldChar w:fldCharType="begin"/>
            </w:r>
            <w:r w:rsidR="00EE04A3">
              <w:rPr>
                <w:noProof/>
                <w:webHidden/>
              </w:rPr>
              <w:instrText xml:space="preserve"> PAGEREF _Toc78186438 \h </w:instrText>
            </w:r>
            <w:r w:rsidR="00EE04A3">
              <w:rPr>
                <w:noProof/>
                <w:webHidden/>
              </w:rPr>
            </w:r>
            <w:r w:rsidR="00EE04A3">
              <w:rPr>
                <w:noProof/>
                <w:webHidden/>
              </w:rPr>
              <w:fldChar w:fldCharType="separate"/>
            </w:r>
            <w:r w:rsidR="00EE04A3">
              <w:rPr>
                <w:noProof/>
                <w:webHidden/>
              </w:rPr>
              <w:t>11</w:t>
            </w:r>
            <w:r w:rsidR="00EE04A3">
              <w:rPr>
                <w:noProof/>
                <w:webHidden/>
              </w:rPr>
              <w:fldChar w:fldCharType="end"/>
            </w:r>
          </w:hyperlink>
        </w:p>
        <w:p w14:paraId="03CB4B57" w14:textId="0443CFED" w:rsidR="00EE04A3" w:rsidRDefault="00AC222A">
          <w:pPr>
            <w:pStyle w:val="TOC2"/>
            <w:rPr>
              <w:noProof/>
              <w:lang w:eastAsia="en-NZ"/>
            </w:rPr>
          </w:pPr>
          <w:hyperlink w:anchor="_Toc78186439" w:history="1">
            <w:r w:rsidR="00EE04A3" w:rsidRPr="00192721">
              <w:rPr>
                <w:rStyle w:val="Hyperlink"/>
                <w:noProof/>
              </w:rPr>
              <w:t>RECOMMENDATIONS</w:t>
            </w:r>
            <w:r w:rsidR="00EE04A3">
              <w:rPr>
                <w:noProof/>
                <w:webHidden/>
              </w:rPr>
              <w:tab/>
            </w:r>
            <w:r w:rsidR="00EE04A3">
              <w:rPr>
                <w:noProof/>
                <w:webHidden/>
              </w:rPr>
              <w:fldChar w:fldCharType="begin"/>
            </w:r>
            <w:r w:rsidR="00EE04A3">
              <w:rPr>
                <w:noProof/>
                <w:webHidden/>
              </w:rPr>
              <w:instrText xml:space="preserve"> PAGEREF _Toc78186439 \h </w:instrText>
            </w:r>
            <w:r w:rsidR="00EE04A3">
              <w:rPr>
                <w:noProof/>
                <w:webHidden/>
              </w:rPr>
            </w:r>
            <w:r w:rsidR="00EE04A3">
              <w:rPr>
                <w:noProof/>
                <w:webHidden/>
              </w:rPr>
              <w:fldChar w:fldCharType="separate"/>
            </w:r>
            <w:r w:rsidR="00EE04A3">
              <w:rPr>
                <w:noProof/>
                <w:webHidden/>
              </w:rPr>
              <w:t>12</w:t>
            </w:r>
            <w:r w:rsidR="00EE04A3">
              <w:rPr>
                <w:noProof/>
                <w:webHidden/>
              </w:rPr>
              <w:fldChar w:fldCharType="end"/>
            </w:r>
          </w:hyperlink>
        </w:p>
        <w:p w14:paraId="2915ECA6" w14:textId="1B073CA9" w:rsidR="00EE04A3" w:rsidRDefault="00AC222A">
          <w:pPr>
            <w:pStyle w:val="TOC3"/>
            <w:rPr>
              <w:noProof/>
              <w:lang w:eastAsia="en-NZ"/>
            </w:rPr>
          </w:pPr>
          <w:hyperlink w:anchor="_Toc78186440" w:history="1">
            <w:r w:rsidR="00EE04A3" w:rsidRPr="00192721">
              <w:rPr>
                <w:rStyle w:val="Hyperlink"/>
                <w:noProof/>
              </w:rPr>
              <w:t>Recommendations for policy and operational improvements to deliver on the intent of the amendments</w:t>
            </w:r>
            <w:r w:rsidR="00EE04A3">
              <w:rPr>
                <w:noProof/>
                <w:webHidden/>
              </w:rPr>
              <w:tab/>
            </w:r>
            <w:r w:rsidR="00EE04A3">
              <w:rPr>
                <w:noProof/>
                <w:webHidden/>
              </w:rPr>
              <w:fldChar w:fldCharType="begin"/>
            </w:r>
            <w:r w:rsidR="00EE04A3">
              <w:rPr>
                <w:noProof/>
                <w:webHidden/>
              </w:rPr>
              <w:instrText xml:space="preserve"> PAGEREF _Toc78186440 \h </w:instrText>
            </w:r>
            <w:r w:rsidR="00EE04A3">
              <w:rPr>
                <w:noProof/>
                <w:webHidden/>
              </w:rPr>
            </w:r>
            <w:r w:rsidR="00EE04A3">
              <w:rPr>
                <w:noProof/>
                <w:webHidden/>
              </w:rPr>
              <w:fldChar w:fldCharType="separate"/>
            </w:r>
            <w:r w:rsidR="00EE04A3">
              <w:rPr>
                <w:noProof/>
                <w:webHidden/>
              </w:rPr>
              <w:t>12</w:t>
            </w:r>
            <w:r w:rsidR="00EE04A3">
              <w:rPr>
                <w:noProof/>
                <w:webHidden/>
              </w:rPr>
              <w:fldChar w:fldCharType="end"/>
            </w:r>
          </w:hyperlink>
        </w:p>
        <w:p w14:paraId="49245DF1" w14:textId="0E220CE0" w:rsidR="00EE04A3" w:rsidRDefault="00AC222A">
          <w:pPr>
            <w:pStyle w:val="TOC3"/>
            <w:rPr>
              <w:noProof/>
              <w:lang w:eastAsia="en-NZ"/>
            </w:rPr>
          </w:pPr>
          <w:hyperlink w:anchor="_Toc78186441" w:history="1">
            <w:r w:rsidR="00EE04A3" w:rsidRPr="00192721">
              <w:rPr>
                <w:rStyle w:val="Hyperlink"/>
                <w:noProof/>
              </w:rPr>
              <w:t>Recommendations for the full review scheduled for 2024</w:t>
            </w:r>
            <w:r w:rsidR="00EE04A3">
              <w:rPr>
                <w:noProof/>
                <w:webHidden/>
              </w:rPr>
              <w:tab/>
            </w:r>
            <w:r w:rsidR="00EE04A3">
              <w:rPr>
                <w:noProof/>
                <w:webHidden/>
              </w:rPr>
              <w:fldChar w:fldCharType="begin"/>
            </w:r>
            <w:r w:rsidR="00EE04A3">
              <w:rPr>
                <w:noProof/>
                <w:webHidden/>
              </w:rPr>
              <w:instrText xml:space="preserve"> PAGEREF _Toc78186441 \h </w:instrText>
            </w:r>
            <w:r w:rsidR="00EE04A3">
              <w:rPr>
                <w:noProof/>
                <w:webHidden/>
              </w:rPr>
            </w:r>
            <w:r w:rsidR="00EE04A3">
              <w:rPr>
                <w:noProof/>
                <w:webHidden/>
              </w:rPr>
              <w:fldChar w:fldCharType="separate"/>
            </w:r>
            <w:r w:rsidR="00EE04A3">
              <w:rPr>
                <w:noProof/>
                <w:webHidden/>
              </w:rPr>
              <w:t>12</w:t>
            </w:r>
            <w:r w:rsidR="00EE04A3">
              <w:rPr>
                <w:noProof/>
                <w:webHidden/>
              </w:rPr>
              <w:fldChar w:fldCharType="end"/>
            </w:r>
          </w:hyperlink>
        </w:p>
        <w:p w14:paraId="1334C4E3" w14:textId="029FE93F" w:rsidR="00EE04A3" w:rsidRDefault="00AC222A">
          <w:pPr>
            <w:pStyle w:val="TOC2"/>
            <w:rPr>
              <w:noProof/>
              <w:lang w:eastAsia="en-NZ"/>
            </w:rPr>
          </w:pPr>
          <w:hyperlink w:anchor="_Toc78186442" w:history="1">
            <w:r w:rsidR="00EE04A3" w:rsidRPr="00192721">
              <w:rPr>
                <w:rStyle w:val="Hyperlink"/>
                <w:noProof/>
              </w:rPr>
              <w:t>INTRODUCTION</w:t>
            </w:r>
            <w:r w:rsidR="00EE04A3">
              <w:rPr>
                <w:noProof/>
                <w:webHidden/>
              </w:rPr>
              <w:tab/>
            </w:r>
            <w:r w:rsidR="00EE04A3">
              <w:rPr>
                <w:noProof/>
                <w:webHidden/>
              </w:rPr>
              <w:fldChar w:fldCharType="begin"/>
            </w:r>
            <w:r w:rsidR="00EE04A3">
              <w:rPr>
                <w:noProof/>
                <w:webHidden/>
              </w:rPr>
              <w:instrText xml:space="preserve"> PAGEREF _Toc78186442 \h </w:instrText>
            </w:r>
            <w:r w:rsidR="00EE04A3">
              <w:rPr>
                <w:noProof/>
                <w:webHidden/>
              </w:rPr>
            </w:r>
            <w:r w:rsidR="00EE04A3">
              <w:rPr>
                <w:noProof/>
                <w:webHidden/>
              </w:rPr>
              <w:fldChar w:fldCharType="separate"/>
            </w:r>
            <w:r w:rsidR="00EE04A3">
              <w:rPr>
                <w:noProof/>
                <w:webHidden/>
              </w:rPr>
              <w:t>14</w:t>
            </w:r>
            <w:r w:rsidR="00EE04A3">
              <w:rPr>
                <w:noProof/>
                <w:webHidden/>
              </w:rPr>
              <w:fldChar w:fldCharType="end"/>
            </w:r>
          </w:hyperlink>
        </w:p>
        <w:p w14:paraId="6A72063D" w14:textId="2112CDC9" w:rsidR="00EE04A3" w:rsidRDefault="00AC222A">
          <w:pPr>
            <w:pStyle w:val="TOC3"/>
            <w:rPr>
              <w:noProof/>
              <w:lang w:eastAsia="en-NZ"/>
            </w:rPr>
          </w:pPr>
          <w:hyperlink w:anchor="_Toc78186443" w:history="1">
            <w:r w:rsidR="00EE04A3" w:rsidRPr="00192721">
              <w:rPr>
                <w:rStyle w:val="Hyperlink"/>
                <w:noProof/>
              </w:rPr>
              <w:t>Purpose of report</w:t>
            </w:r>
            <w:r w:rsidR="00EE04A3">
              <w:rPr>
                <w:noProof/>
                <w:webHidden/>
              </w:rPr>
              <w:tab/>
            </w:r>
            <w:r w:rsidR="00EE04A3">
              <w:rPr>
                <w:noProof/>
                <w:webHidden/>
              </w:rPr>
              <w:fldChar w:fldCharType="begin"/>
            </w:r>
            <w:r w:rsidR="00EE04A3">
              <w:rPr>
                <w:noProof/>
                <w:webHidden/>
              </w:rPr>
              <w:instrText xml:space="preserve"> PAGEREF _Toc78186443 \h </w:instrText>
            </w:r>
            <w:r w:rsidR="00EE04A3">
              <w:rPr>
                <w:noProof/>
                <w:webHidden/>
              </w:rPr>
            </w:r>
            <w:r w:rsidR="00EE04A3">
              <w:rPr>
                <w:noProof/>
                <w:webHidden/>
              </w:rPr>
              <w:fldChar w:fldCharType="separate"/>
            </w:r>
            <w:r w:rsidR="00EE04A3">
              <w:rPr>
                <w:noProof/>
                <w:webHidden/>
              </w:rPr>
              <w:t>14</w:t>
            </w:r>
            <w:r w:rsidR="00EE04A3">
              <w:rPr>
                <w:noProof/>
                <w:webHidden/>
              </w:rPr>
              <w:fldChar w:fldCharType="end"/>
            </w:r>
          </w:hyperlink>
        </w:p>
        <w:p w14:paraId="336640D5" w14:textId="7039AA65" w:rsidR="00EE04A3" w:rsidRDefault="00AC222A">
          <w:pPr>
            <w:pStyle w:val="TOC3"/>
            <w:rPr>
              <w:noProof/>
              <w:lang w:eastAsia="en-NZ"/>
            </w:rPr>
          </w:pPr>
          <w:hyperlink w:anchor="_Toc78186444" w:history="1">
            <w:r w:rsidR="00EE04A3" w:rsidRPr="00192721">
              <w:rPr>
                <w:rStyle w:val="Hyperlink"/>
                <w:noProof/>
              </w:rPr>
              <w:t>Background</w:t>
            </w:r>
            <w:r w:rsidR="00EE04A3">
              <w:rPr>
                <w:noProof/>
                <w:webHidden/>
              </w:rPr>
              <w:tab/>
            </w:r>
            <w:r w:rsidR="00EE04A3">
              <w:rPr>
                <w:noProof/>
                <w:webHidden/>
              </w:rPr>
              <w:fldChar w:fldCharType="begin"/>
            </w:r>
            <w:r w:rsidR="00EE04A3">
              <w:rPr>
                <w:noProof/>
                <w:webHidden/>
              </w:rPr>
              <w:instrText xml:space="preserve"> PAGEREF _Toc78186444 \h </w:instrText>
            </w:r>
            <w:r w:rsidR="00EE04A3">
              <w:rPr>
                <w:noProof/>
                <w:webHidden/>
              </w:rPr>
            </w:r>
            <w:r w:rsidR="00EE04A3">
              <w:rPr>
                <w:noProof/>
                <w:webHidden/>
              </w:rPr>
              <w:fldChar w:fldCharType="separate"/>
            </w:r>
            <w:r w:rsidR="00EE04A3">
              <w:rPr>
                <w:noProof/>
                <w:webHidden/>
              </w:rPr>
              <w:t>14</w:t>
            </w:r>
            <w:r w:rsidR="00EE04A3">
              <w:rPr>
                <w:noProof/>
                <w:webHidden/>
              </w:rPr>
              <w:fldChar w:fldCharType="end"/>
            </w:r>
          </w:hyperlink>
        </w:p>
        <w:p w14:paraId="74D1E9B7" w14:textId="30043A9E" w:rsidR="00EE04A3" w:rsidRDefault="00AC222A">
          <w:pPr>
            <w:pStyle w:val="TOC2"/>
            <w:rPr>
              <w:noProof/>
              <w:lang w:eastAsia="en-NZ"/>
            </w:rPr>
          </w:pPr>
          <w:hyperlink w:anchor="_Toc78186445" w:history="1">
            <w:r w:rsidR="00EE04A3" w:rsidRPr="00192721">
              <w:rPr>
                <w:rStyle w:val="Hyperlink"/>
                <w:noProof/>
              </w:rPr>
              <w:t>Overview of the Misuse of Drugs Act 1975</w:t>
            </w:r>
            <w:r w:rsidR="00EE04A3">
              <w:rPr>
                <w:noProof/>
                <w:webHidden/>
              </w:rPr>
              <w:tab/>
            </w:r>
            <w:r w:rsidR="00EE04A3">
              <w:rPr>
                <w:noProof/>
                <w:webHidden/>
              </w:rPr>
              <w:fldChar w:fldCharType="begin"/>
            </w:r>
            <w:r w:rsidR="00EE04A3">
              <w:rPr>
                <w:noProof/>
                <w:webHidden/>
              </w:rPr>
              <w:instrText xml:space="preserve"> PAGEREF _Toc78186445 \h </w:instrText>
            </w:r>
            <w:r w:rsidR="00EE04A3">
              <w:rPr>
                <w:noProof/>
                <w:webHidden/>
              </w:rPr>
            </w:r>
            <w:r w:rsidR="00EE04A3">
              <w:rPr>
                <w:noProof/>
                <w:webHidden/>
              </w:rPr>
              <w:fldChar w:fldCharType="separate"/>
            </w:r>
            <w:r w:rsidR="00EE04A3">
              <w:rPr>
                <w:noProof/>
                <w:webHidden/>
              </w:rPr>
              <w:t>14</w:t>
            </w:r>
            <w:r w:rsidR="00EE04A3">
              <w:rPr>
                <w:noProof/>
                <w:webHidden/>
              </w:rPr>
              <w:fldChar w:fldCharType="end"/>
            </w:r>
          </w:hyperlink>
        </w:p>
        <w:p w14:paraId="3400167B" w14:textId="6FDF468F" w:rsidR="00EE04A3" w:rsidRDefault="00AC222A">
          <w:pPr>
            <w:pStyle w:val="TOC3"/>
            <w:rPr>
              <w:noProof/>
              <w:lang w:eastAsia="en-NZ"/>
            </w:rPr>
          </w:pPr>
          <w:hyperlink w:anchor="_Toc78186446" w:history="1">
            <w:r w:rsidR="00EE04A3" w:rsidRPr="00192721">
              <w:rPr>
                <w:rStyle w:val="Hyperlink"/>
                <w:noProof/>
              </w:rPr>
              <w:t>Classification of substances</w:t>
            </w:r>
            <w:r w:rsidR="00EE04A3">
              <w:rPr>
                <w:noProof/>
                <w:webHidden/>
              </w:rPr>
              <w:tab/>
            </w:r>
            <w:r w:rsidR="00EE04A3">
              <w:rPr>
                <w:noProof/>
                <w:webHidden/>
              </w:rPr>
              <w:fldChar w:fldCharType="begin"/>
            </w:r>
            <w:r w:rsidR="00EE04A3">
              <w:rPr>
                <w:noProof/>
                <w:webHidden/>
              </w:rPr>
              <w:instrText xml:space="preserve"> PAGEREF _Toc78186446 \h </w:instrText>
            </w:r>
            <w:r w:rsidR="00EE04A3">
              <w:rPr>
                <w:noProof/>
                <w:webHidden/>
              </w:rPr>
            </w:r>
            <w:r w:rsidR="00EE04A3">
              <w:rPr>
                <w:noProof/>
                <w:webHidden/>
              </w:rPr>
              <w:fldChar w:fldCharType="separate"/>
            </w:r>
            <w:r w:rsidR="00EE04A3">
              <w:rPr>
                <w:noProof/>
                <w:webHidden/>
              </w:rPr>
              <w:t>15</w:t>
            </w:r>
            <w:r w:rsidR="00EE04A3">
              <w:rPr>
                <w:noProof/>
                <w:webHidden/>
              </w:rPr>
              <w:fldChar w:fldCharType="end"/>
            </w:r>
          </w:hyperlink>
        </w:p>
        <w:p w14:paraId="026B300C" w14:textId="5FE0CEBB" w:rsidR="00EE04A3" w:rsidRDefault="00AC222A">
          <w:pPr>
            <w:pStyle w:val="TOC2"/>
            <w:rPr>
              <w:noProof/>
              <w:lang w:eastAsia="en-NZ"/>
            </w:rPr>
          </w:pPr>
          <w:hyperlink w:anchor="_Toc78186447" w:history="1">
            <w:r w:rsidR="00EE04A3" w:rsidRPr="00192721">
              <w:rPr>
                <w:rStyle w:val="Hyperlink"/>
                <w:noProof/>
              </w:rPr>
              <w:t>Key drivers for the 2019 MoDA amendments</w:t>
            </w:r>
            <w:r w:rsidR="00EE04A3">
              <w:rPr>
                <w:noProof/>
                <w:webHidden/>
              </w:rPr>
              <w:tab/>
            </w:r>
            <w:r w:rsidR="00EE04A3">
              <w:rPr>
                <w:noProof/>
                <w:webHidden/>
              </w:rPr>
              <w:fldChar w:fldCharType="begin"/>
            </w:r>
            <w:r w:rsidR="00EE04A3">
              <w:rPr>
                <w:noProof/>
                <w:webHidden/>
              </w:rPr>
              <w:instrText xml:space="preserve"> PAGEREF _Toc78186447 \h </w:instrText>
            </w:r>
            <w:r w:rsidR="00EE04A3">
              <w:rPr>
                <w:noProof/>
                <w:webHidden/>
              </w:rPr>
            </w:r>
            <w:r w:rsidR="00EE04A3">
              <w:rPr>
                <w:noProof/>
                <w:webHidden/>
              </w:rPr>
              <w:fldChar w:fldCharType="separate"/>
            </w:r>
            <w:r w:rsidR="00EE04A3">
              <w:rPr>
                <w:noProof/>
                <w:webHidden/>
              </w:rPr>
              <w:t>16</w:t>
            </w:r>
            <w:r w:rsidR="00EE04A3">
              <w:rPr>
                <w:noProof/>
                <w:webHidden/>
              </w:rPr>
              <w:fldChar w:fldCharType="end"/>
            </w:r>
          </w:hyperlink>
        </w:p>
        <w:p w14:paraId="651EFB26" w14:textId="353B1ED0" w:rsidR="00EE04A3" w:rsidRDefault="00AC222A">
          <w:pPr>
            <w:pStyle w:val="TOC3"/>
            <w:rPr>
              <w:noProof/>
              <w:lang w:eastAsia="en-NZ"/>
            </w:rPr>
          </w:pPr>
          <w:hyperlink w:anchor="_Toc78186448" w:history="1">
            <w:r w:rsidR="00EE04A3" w:rsidRPr="00192721">
              <w:rPr>
                <w:rStyle w:val="Hyperlink"/>
                <w:noProof/>
              </w:rPr>
              <w:t>Taking a health-based approach</w:t>
            </w:r>
            <w:r w:rsidR="00EE04A3">
              <w:rPr>
                <w:noProof/>
                <w:webHidden/>
              </w:rPr>
              <w:tab/>
            </w:r>
            <w:r w:rsidR="00EE04A3">
              <w:rPr>
                <w:noProof/>
                <w:webHidden/>
              </w:rPr>
              <w:fldChar w:fldCharType="begin"/>
            </w:r>
            <w:r w:rsidR="00EE04A3">
              <w:rPr>
                <w:noProof/>
                <w:webHidden/>
              </w:rPr>
              <w:instrText xml:space="preserve"> PAGEREF _Toc78186448 \h </w:instrText>
            </w:r>
            <w:r w:rsidR="00EE04A3">
              <w:rPr>
                <w:noProof/>
                <w:webHidden/>
              </w:rPr>
            </w:r>
            <w:r w:rsidR="00EE04A3">
              <w:rPr>
                <w:noProof/>
                <w:webHidden/>
              </w:rPr>
              <w:fldChar w:fldCharType="separate"/>
            </w:r>
            <w:r w:rsidR="00EE04A3">
              <w:rPr>
                <w:noProof/>
                <w:webHidden/>
              </w:rPr>
              <w:t>16</w:t>
            </w:r>
            <w:r w:rsidR="00EE04A3">
              <w:rPr>
                <w:noProof/>
                <w:webHidden/>
              </w:rPr>
              <w:fldChar w:fldCharType="end"/>
            </w:r>
          </w:hyperlink>
        </w:p>
        <w:p w14:paraId="7095C2E3" w14:textId="64192ADE" w:rsidR="00EE04A3" w:rsidRDefault="00AC222A">
          <w:pPr>
            <w:pStyle w:val="TOC3"/>
            <w:rPr>
              <w:noProof/>
              <w:lang w:eastAsia="en-NZ"/>
            </w:rPr>
          </w:pPr>
          <w:hyperlink w:anchor="_Toc78186449" w:history="1">
            <w:r w:rsidR="00EE04A3" w:rsidRPr="00192721">
              <w:rPr>
                <w:rStyle w:val="Hyperlink"/>
                <w:noProof/>
              </w:rPr>
              <w:t>Mental health and addiction system</w:t>
            </w:r>
            <w:r w:rsidR="00EE04A3">
              <w:rPr>
                <w:noProof/>
                <w:webHidden/>
              </w:rPr>
              <w:tab/>
            </w:r>
            <w:r w:rsidR="00EE04A3">
              <w:rPr>
                <w:noProof/>
                <w:webHidden/>
              </w:rPr>
              <w:fldChar w:fldCharType="begin"/>
            </w:r>
            <w:r w:rsidR="00EE04A3">
              <w:rPr>
                <w:noProof/>
                <w:webHidden/>
              </w:rPr>
              <w:instrText xml:space="preserve"> PAGEREF _Toc78186449 \h </w:instrText>
            </w:r>
            <w:r w:rsidR="00EE04A3">
              <w:rPr>
                <w:noProof/>
                <w:webHidden/>
              </w:rPr>
            </w:r>
            <w:r w:rsidR="00EE04A3">
              <w:rPr>
                <w:noProof/>
                <w:webHidden/>
              </w:rPr>
              <w:fldChar w:fldCharType="separate"/>
            </w:r>
            <w:r w:rsidR="00EE04A3">
              <w:rPr>
                <w:noProof/>
                <w:webHidden/>
              </w:rPr>
              <w:t>17</w:t>
            </w:r>
            <w:r w:rsidR="00EE04A3">
              <w:rPr>
                <w:noProof/>
                <w:webHidden/>
              </w:rPr>
              <w:fldChar w:fldCharType="end"/>
            </w:r>
          </w:hyperlink>
        </w:p>
        <w:p w14:paraId="3C626664" w14:textId="779D1C6D" w:rsidR="00EE04A3" w:rsidRDefault="00AC222A">
          <w:pPr>
            <w:pStyle w:val="TOC3"/>
            <w:rPr>
              <w:noProof/>
              <w:lang w:eastAsia="en-NZ"/>
            </w:rPr>
          </w:pPr>
          <w:hyperlink w:anchor="_Toc78186450" w:history="1">
            <w:r w:rsidR="00EE04A3" w:rsidRPr="00192721">
              <w:rPr>
                <w:rStyle w:val="Hyperlink"/>
                <w:noProof/>
              </w:rPr>
              <w:t>Policing policy and operations</w:t>
            </w:r>
            <w:r w:rsidR="00EE04A3">
              <w:rPr>
                <w:noProof/>
                <w:webHidden/>
              </w:rPr>
              <w:tab/>
            </w:r>
            <w:r w:rsidR="00EE04A3">
              <w:rPr>
                <w:noProof/>
                <w:webHidden/>
              </w:rPr>
              <w:fldChar w:fldCharType="begin"/>
            </w:r>
            <w:r w:rsidR="00EE04A3">
              <w:rPr>
                <w:noProof/>
                <w:webHidden/>
              </w:rPr>
              <w:instrText xml:space="preserve"> PAGEREF _Toc78186450 \h </w:instrText>
            </w:r>
            <w:r w:rsidR="00EE04A3">
              <w:rPr>
                <w:noProof/>
                <w:webHidden/>
              </w:rPr>
            </w:r>
            <w:r w:rsidR="00EE04A3">
              <w:rPr>
                <w:noProof/>
                <w:webHidden/>
              </w:rPr>
              <w:fldChar w:fldCharType="separate"/>
            </w:r>
            <w:r w:rsidR="00EE04A3">
              <w:rPr>
                <w:noProof/>
                <w:webHidden/>
              </w:rPr>
              <w:t>19</w:t>
            </w:r>
            <w:r w:rsidR="00EE04A3">
              <w:rPr>
                <w:noProof/>
                <w:webHidden/>
              </w:rPr>
              <w:fldChar w:fldCharType="end"/>
            </w:r>
          </w:hyperlink>
        </w:p>
        <w:p w14:paraId="25FEE1C5" w14:textId="20DA9B60" w:rsidR="00EE04A3" w:rsidRDefault="00AC222A">
          <w:pPr>
            <w:pStyle w:val="TOC2"/>
            <w:rPr>
              <w:noProof/>
              <w:lang w:eastAsia="en-NZ"/>
            </w:rPr>
          </w:pPr>
          <w:hyperlink w:anchor="_Toc78186451" w:history="1">
            <w:r w:rsidR="00EE04A3" w:rsidRPr="00192721">
              <w:rPr>
                <w:rStyle w:val="Hyperlink"/>
                <w:noProof/>
              </w:rPr>
              <w:t>PART ONE- HEALTH-BASED APPROACHES FOR THE EXERCISE OF POLICE DISCRETION</w:t>
            </w:r>
            <w:r w:rsidR="00EE04A3">
              <w:rPr>
                <w:noProof/>
                <w:webHidden/>
              </w:rPr>
              <w:tab/>
            </w:r>
            <w:r w:rsidR="00EE04A3">
              <w:rPr>
                <w:noProof/>
                <w:webHidden/>
              </w:rPr>
              <w:fldChar w:fldCharType="begin"/>
            </w:r>
            <w:r w:rsidR="00EE04A3">
              <w:rPr>
                <w:noProof/>
                <w:webHidden/>
              </w:rPr>
              <w:instrText xml:space="preserve"> PAGEREF _Toc78186451 \h </w:instrText>
            </w:r>
            <w:r w:rsidR="00EE04A3">
              <w:rPr>
                <w:noProof/>
                <w:webHidden/>
              </w:rPr>
            </w:r>
            <w:r w:rsidR="00EE04A3">
              <w:rPr>
                <w:noProof/>
                <w:webHidden/>
              </w:rPr>
              <w:fldChar w:fldCharType="separate"/>
            </w:r>
            <w:r w:rsidR="00EE04A3">
              <w:rPr>
                <w:noProof/>
                <w:webHidden/>
              </w:rPr>
              <w:t>20</w:t>
            </w:r>
            <w:r w:rsidR="00EE04A3">
              <w:rPr>
                <w:noProof/>
                <w:webHidden/>
              </w:rPr>
              <w:fldChar w:fldCharType="end"/>
            </w:r>
          </w:hyperlink>
        </w:p>
        <w:p w14:paraId="3E281B6F" w14:textId="40C617F1" w:rsidR="00EE04A3" w:rsidRDefault="00AC222A">
          <w:pPr>
            <w:pStyle w:val="TOC3"/>
            <w:rPr>
              <w:noProof/>
              <w:lang w:eastAsia="en-NZ"/>
            </w:rPr>
          </w:pPr>
          <w:hyperlink w:anchor="_Toc78186452" w:history="1">
            <w:r w:rsidR="00EE04A3" w:rsidRPr="00192721">
              <w:rPr>
                <w:rStyle w:val="Hyperlink"/>
                <w:noProof/>
              </w:rPr>
              <w:t>Review scope and objectives</w:t>
            </w:r>
            <w:r w:rsidR="00EE04A3">
              <w:rPr>
                <w:noProof/>
                <w:webHidden/>
              </w:rPr>
              <w:tab/>
            </w:r>
            <w:r w:rsidR="00EE04A3">
              <w:rPr>
                <w:noProof/>
                <w:webHidden/>
              </w:rPr>
              <w:fldChar w:fldCharType="begin"/>
            </w:r>
            <w:r w:rsidR="00EE04A3">
              <w:rPr>
                <w:noProof/>
                <w:webHidden/>
              </w:rPr>
              <w:instrText xml:space="preserve"> PAGEREF _Toc78186452 \h </w:instrText>
            </w:r>
            <w:r w:rsidR="00EE04A3">
              <w:rPr>
                <w:noProof/>
                <w:webHidden/>
              </w:rPr>
            </w:r>
            <w:r w:rsidR="00EE04A3">
              <w:rPr>
                <w:noProof/>
                <w:webHidden/>
              </w:rPr>
              <w:fldChar w:fldCharType="separate"/>
            </w:r>
            <w:r w:rsidR="00EE04A3">
              <w:rPr>
                <w:noProof/>
                <w:webHidden/>
              </w:rPr>
              <w:t>20</w:t>
            </w:r>
            <w:r w:rsidR="00EE04A3">
              <w:rPr>
                <w:noProof/>
                <w:webHidden/>
              </w:rPr>
              <w:fldChar w:fldCharType="end"/>
            </w:r>
          </w:hyperlink>
        </w:p>
        <w:p w14:paraId="23B13523" w14:textId="2842E359" w:rsidR="00EE04A3" w:rsidRDefault="00AC222A">
          <w:pPr>
            <w:pStyle w:val="TOC2"/>
            <w:rPr>
              <w:noProof/>
              <w:lang w:eastAsia="en-NZ"/>
            </w:rPr>
          </w:pPr>
          <w:hyperlink w:anchor="_Toc78186453" w:history="1">
            <w:r w:rsidR="00EE04A3" w:rsidRPr="00192721">
              <w:rPr>
                <w:rStyle w:val="Hyperlink"/>
                <w:noProof/>
              </w:rPr>
              <w:t>PART ONE REVIEW FINDINGS</w:t>
            </w:r>
            <w:r w:rsidR="00EE04A3">
              <w:rPr>
                <w:noProof/>
                <w:webHidden/>
              </w:rPr>
              <w:tab/>
            </w:r>
            <w:r w:rsidR="00EE04A3">
              <w:rPr>
                <w:noProof/>
                <w:webHidden/>
              </w:rPr>
              <w:fldChar w:fldCharType="begin"/>
            </w:r>
            <w:r w:rsidR="00EE04A3">
              <w:rPr>
                <w:noProof/>
                <w:webHidden/>
              </w:rPr>
              <w:instrText xml:space="preserve"> PAGEREF _Toc78186453 \h </w:instrText>
            </w:r>
            <w:r w:rsidR="00EE04A3">
              <w:rPr>
                <w:noProof/>
                <w:webHidden/>
              </w:rPr>
            </w:r>
            <w:r w:rsidR="00EE04A3">
              <w:rPr>
                <w:noProof/>
                <w:webHidden/>
              </w:rPr>
              <w:fldChar w:fldCharType="separate"/>
            </w:r>
            <w:r w:rsidR="00EE04A3">
              <w:rPr>
                <w:noProof/>
                <w:webHidden/>
              </w:rPr>
              <w:t>21</w:t>
            </w:r>
            <w:r w:rsidR="00EE04A3">
              <w:rPr>
                <w:noProof/>
                <w:webHidden/>
              </w:rPr>
              <w:fldChar w:fldCharType="end"/>
            </w:r>
          </w:hyperlink>
        </w:p>
        <w:p w14:paraId="605041F3" w14:textId="7F7D990C" w:rsidR="00EE04A3" w:rsidRDefault="00AC222A">
          <w:pPr>
            <w:pStyle w:val="TOC3"/>
            <w:rPr>
              <w:noProof/>
              <w:lang w:eastAsia="en-NZ"/>
            </w:rPr>
          </w:pPr>
          <w:hyperlink w:anchor="_Toc78186454" w:history="1">
            <w:r w:rsidR="00EE04A3" w:rsidRPr="00192721">
              <w:rPr>
                <w:rStyle w:val="Hyperlink"/>
                <w:noProof/>
              </w:rPr>
              <w:t>Implementation</w:t>
            </w:r>
            <w:r w:rsidR="00EE04A3">
              <w:rPr>
                <w:noProof/>
                <w:webHidden/>
              </w:rPr>
              <w:tab/>
            </w:r>
            <w:r w:rsidR="00EE04A3">
              <w:rPr>
                <w:noProof/>
                <w:webHidden/>
              </w:rPr>
              <w:fldChar w:fldCharType="begin"/>
            </w:r>
            <w:r w:rsidR="00EE04A3">
              <w:rPr>
                <w:noProof/>
                <w:webHidden/>
              </w:rPr>
              <w:instrText xml:space="preserve"> PAGEREF _Toc78186454 \h </w:instrText>
            </w:r>
            <w:r w:rsidR="00EE04A3">
              <w:rPr>
                <w:noProof/>
                <w:webHidden/>
              </w:rPr>
            </w:r>
            <w:r w:rsidR="00EE04A3">
              <w:rPr>
                <w:noProof/>
                <w:webHidden/>
              </w:rPr>
              <w:fldChar w:fldCharType="separate"/>
            </w:r>
            <w:r w:rsidR="00EE04A3">
              <w:rPr>
                <w:noProof/>
                <w:webHidden/>
              </w:rPr>
              <w:t>21</w:t>
            </w:r>
            <w:r w:rsidR="00EE04A3">
              <w:rPr>
                <w:noProof/>
                <w:webHidden/>
              </w:rPr>
              <w:fldChar w:fldCharType="end"/>
            </w:r>
          </w:hyperlink>
        </w:p>
        <w:p w14:paraId="01FEF700" w14:textId="7A3A863A" w:rsidR="00EE04A3" w:rsidRDefault="00AC222A">
          <w:pPr>
            <w:pStyle w:val="TOC2"/>
            <w:rPr>
              <w:noProof/>
              <w:lang w:eastAsia="en-NZ"/>
            </w:rPr>
          </w:pPr>
          <w:hyperlink w:anchor="_Toc78186455" w:history="1">
            <w:r w:rsidR="00EE04A3" w:rsidRPr="00192721">
              <w:rPr>
                <w:rStyle w:val="Hyperlink"/>
                <w:noProof/>
              </w:rPr>
              <w:t>Drug prevalence in New Zealand</w:t>
            </w:r>
            <w:r w:rsidR="00EE04A3">
              <w:rPr>
                <w:noProof/>
                <w:webHidden/>
              </w:rPr>
              <w:tab/>
            </w:r>
            <w:r w:rsidR="00EE04A3">
              <w:rPr>
                <w:noProof/>
                <w:webHidden/>
              </w:rPr>
              <w:fldChar w:fldCharType="begin"/>
            </w:r>
            <w:r w:rsidR="00EE04A3">
              <w:rPr>
                <w:noProof/>
                <w:webHidden/>
              </w:rPr>
              <w:instrText xml:space="preserve"> PAGEREF _Toc78186455 \h </w:instrText>
            </w:r>
            <w:r w:rsidR="00EE04A3">
              <w:rPr>
                <w:noProof/>
                <w:webHidden/>
              </w:rPr>
            </w:r>
            <w:r w:rsidR="00EE04A3">
              <w:rPr>
                <w:noProof/>
                <w:webHidden/>
              </w:rPr>
              <w:fldChar w:fldCharType="separate"/>
            </w:r>
            <w:r w:rsidR="00EE04A3">
              <w:rPr>
                <w:noProof/>
                <w:webHidden/>
              </w:rPr>
              <w:t>22</w:t>
            </w:r>
            <w:r w:rsidR="00EE04A3">
              <w:rPr>
                <w:noProof/>
                <w:webHidden/>
              </w:rPr>
              <w:fldChar w:fldCharType="end"/>
            </w:r>
          </w:hyperlink>
        </w:p>
        <w:p w14:paraId="2D5667CF" w14:textId="7C7F7122" w:rsidR="00EE04A3" w:rsidRDefault="00AC222A">
          <w:pPr>
            <w:pStyle w:val="TOC2"/>
            <w:rPr>
              <w:noProof/>
              <w:lang w:eastAsia="en-NZ"/>
            </w:rPr>
          </w:pPr>
          <w:hyperlink w:anchor="_Toc78186456" w:history="1">
            <w:r w:rsidR="00EE04A3" w:rsidRPr="00192721">
              <w:rPr>
                <w:rStyle w:val="Hyperlink"/>
                <w:noProof/>
              </w:rPr>
              <w:t>Resolution proceedings</w:t>
            </w:r>
            <w:r w:rsidR="00EE04A3">
              <w:rPr>
                <w:noProof/>
                <w:webHidden/>
              </w:rPr>
              <w:tab/>
            </w:r>
            <w:r w:rsidR="00EE04A3">
              <w:rPr>
                <w:noProof/>
                <w:webHidden/>
              </w:rPr>
              <w:fldChar w:fldCharType="begin"/>
            </w:r>
            <w:r w:rsidR="00EE04A3">
              <w:rPr>
                <w:noProof/>
                <w:webHidden/>
              </w:rPr>
              <w:instrText xml:space="preserve"> PAGEREF _Toc78186456 \h </w:instrText>
            </w:r>
            <w:r w:rsidR="00EE04A3">
              <w:rPr>
                <w:noProof/>
                <w:webHidden/>
              </w:rPr>
            </w:r>
            <w:r w:rsidR="00EE04A3">
              <w:rPr>
                <w:noProof/>
                <w:webHidden/>
              </w:rPr>
              <w:fldChar w:fldCharType="separate"/>
            </w:r>
            <w:r w:rsidR="00EE04A3">
              <w:rPr>
                <w:noProof/>
                <w:webHidden/>
              </w:rPr>
              <w:t>23</w:t>
            </w:r>
            <w:r w:rsidR="00EE04A3">
              <w:rPr>
                <w:noProof/>
                <w:webHidden/>
              </w:rPr>
              <w:fldChar w:fldCharType="end"/>
            </w:r>
          </w:hyperlink>
        </w:p>
        <w:p w14:paraId="66D93B81" w14:textId="16D70832" w:rsidR="00EE04A3" w:rsidRDefault="00AC222A">
          <w:pPr>
            <w:pStyle w:val="TOC2"/>
            <w:rPr>
              <w:noProof/>
              <w:lang w:eastAsia="en-NZ"/>
            </w:rPr>
          </w:pPr>
          <w:hyperlink w:anchor="_Toc78186457" w:history="1">
            <w:r w:rsidR="00EE04A3" w:rsidRPr="00192721">
              <w:rPr>
                <w:rStyle w:val="Hyperlink"/>
                <w:noProof/>
              </w:rPr>
              <w:t>Police proceedings</w:t>
            </w:r>
            <w:r w:rsidR="00EE04A3">
              <w:rPr>
                <w:noProof/>
                <w:webHidden/>
              </w:rPr>
              <w:tab/>
            </w:r>
            <w:r w:rsidR="00EE04A3">
              <w:rPr>
                <w:noProof/>
                <w:webHidden/>
              </w:rPr>
              <w:fldChar w:fldCharType="begin"/>
            </w:r>
            <w:r w:rsidR="00EE04A3">
              <w:rPr>
                <w:noProof/>
                <w:webHidden/>
              </w:rPr>
              <w:instrText xml:space="preserve"> PAGEREF _Toc78186457 \h </w:instrText>
            </w:r>
            <w:r w:rsidR="00EE04A3">
              <w:rPr>
                <w:noProof/>
                <w:webHidden/>
              </w:rPr>
            </w:r>
            <w:r w:rsidR="00EE04A3">
              <w:rPr>
                <w:noProof/>
                <w:webHidden/>
              </w:rPr>
              <w:fldChar w:fldCharType="separate"/>
            </w:r>
            <w:r w:rsidR="00EE04A3">
              <w:rPr>
                <w:noProof/>
                <w:webHidden/>
              </w:rPr>
              <w:t>24</w:t>
            </w:r>
            <w:r w:rsidR="00EE04A3">
              <w:rPr>
                <w:noProof/>
                <w:webHidden/>
              </w:rPr>
              <w:fldChar w:fldCharType="end"/>
            </w:r>
          </w:hyperlink>
        </w:p>
        <w:p w14:paraId="36CCA366" w14:textId="0337CCE6" w:rsidR="00EE04A3" w:rsidRDefault="00AC222A">
          <w:pPr>
            <w:pStyle w:val="TOC3"/>
            <w:rPr>
              <w:noProof/>
              <w:lang w:eastAsia="en-NZ"/>
            </w:rPr>
          </w:pPr>
          <w:hyperlink w:anchor="_Toc78186458" w:history="1">
            <w:r w:rsidR="00EE04A3" w:rsidRPr="00192721">
              <w:rPr>
                <w:rStyle w:val="Hyperlink"/>
                <w:noProof/>
              </w:rPr>
              <w:t>Non-court proceedings for personal possession and use charges</w:t>
            </w:r>
            <w:r w:rsidR="00EE04A3">
              <w:rPr>
                <w:noProof/>
                <w:webHidden/>
              </w:rPr>
              <w:tab/>
            </w:r>
            <w:r w:rsidR="00EE04A3">
              <w:rPr>
                <w:noProof/>
                <w:webHidden/>
              </w:rPr>
              <w:fldChar w:fldCharType="begin"/>
            </w:r>
            <w:r w:rsidR="00EE04A3">
              <w:rPr>
                <w:noProof/>
                <w:webHidden/>
              </w:rPr>
              <w:instrText xml:space="preserve"> PAGEREF _Toc78186458 \h </w:instrText>
            </w:r>
            <w:r w:rsidR="00EE04A3">
              <w:rPr>
                <w:noProof/>
                <w:webHidden/>
              </w:rPr>
            </w:r>
            <w:r w:rsidR="00EE04A3">
              <w:rPr>
                <w:noProof/>
                <w:webHidden/>
              </w:rPr>
              <w:fldChar w:fldCharType="separate"/>
            </w:r>
            <w:r w:rsidR="00EE04A3">
              <w:rPr>
                <w:noProof/>
                <w:webHidden/>
              </w:rPr>
              <w:t>24</w:t>
            </w:r>
            <w:r w:rsidR="00EE04A3">
              <w:rPr>
                <w:noProof/>
                <w:webHidden/>
              </w:rPr>
              <w:fldChar w:fldCharType="end"/>
            </w:r>
          </w:hyperlink>
        </w:p>
        <w:p w14:paraId="63A54A3B" w14:textId="4DD2AE58" w:rsidR="00EE04A3" w:rsidRDefault="00AC222A">
          <w:pPr>
            <w:pStyle w:val="TOC3"/>
            <w:rPr>
              <w:noProof/>
              <w:lang w:eastAsia="en-NZ"/>
            </w:rPr>
          </w:pPr>
          <w:hyperlink w:anchor="_Toc78186459" w:history="1">
            <w:r w:rsidR="00EE04A3" w:rsidRPr="00192721">
              <w:rPr>
                <w:rStyle w:val="Hyperlink"/>
                <w:noProof/>
              </w:rPr>
              <w:t>Non-court proceedings first and repeat offences</w:t>
            </w:r>
            <w:r w:rsidR="00EE04A3">
              <w:rPr>
                <w:noProof/>
                <w:webHidden/>
              </w:rPr>
              <w:tab/>
            </w:r>
            <w:r w:rsidR="00EE04A3">
              <w:rPr>
                <w:noProof/>
                <w:webHidden/>
              </w:rPr>
              <w:fldChar w:fldCharType="begin"/>
            </w:r>
            <w:r w:rsidR="00EE04A3">
              <w:rPr>
                <w:noProof/>
                <w:webHidden/>
              </w:rPr>
              <w:instrText xml:space="preserve"> PAGEREF _Toc78186459 \h </w:instrText>
            </w:r>
            <w:r w:rsidR="00EE04A3">
              <w:rPr>
                <w:noProof/>
                <w:webHidden/>
              </w:rPr>
            </w:r>
            <w:r w:rsidR="00EE04A3">
              <w:rPr>
                <w:noProof/>
                <w:webHidden/>
              </w:rPr>
              <w:fldChar w:fldCharType="separate"/>
            </w:r>
            <w:r w:rsidR="00EE04A3">
              <w:rPr>
                <w:noProof/>
                <w:webHidden/>
              </w:rPr>
              <w:t>26</w:t>
            </w:r>
            <w:r w:rsidR="00EE04A3">
              <w:rPr>
                <w:noProof/>
                <w:webHidden/>
              </w:rPr>
              <w:fldChar w:fldCharType="end"/>
            </w:r>
          </w:hyperlink>
        </w:p>
        <w:p w14:paraId="571DB2E4" w14:textId="10F5B42E" w:rsidR="00EE04A3" w:rsidRDefault="00AC222A">
          <w:pPr>
            <w:pStyle w:val="TOC3"/>
            <w:rPr>
              <w:noProof/>
              <w:lang w:eastAsia="en-NZ"/>
            </w:rPr>
          </w:pPr>
          <w:hyperlink w:anchor="_Toc78186460" w:history="1">
            <w:r w:rsidR="00EE04A3" w:rsidRPr="00192721">
              <w:rPr>
                <w:rStyle w:val="Hyperlink"/>
                <w:noProof/>
              </w:rPr>
              <w:t>Non-court proceeding for youth and adults</w:t>
            </w:r>
            <w:r w:rsidR="00EE04A3">
              <w:rPr>
                <w:noProof/>
                <w:webHidden/>
              </w:rPr>
              <w:tab/>
            </w:r>
            <w:r w:rsidR="00EE04A3">
              <w:rPr>
                <w:noProof/>
                <w:webHidden/>
              </w:rPr>
              <w:fldChar w:fldCharType="begin"/>
            </w:r>
            <w:r w:rsidR="00EE04A3">
              <w:rPr>
                <w:noProof/>
                <w:webHidden/>
              </w:rPr>
              <w:instrText xml:space="preserve"> PAGEREF _Toc78186460 \h </w:instrText>
            </w:r>
            <w:r w:rsidR="00EE04A3">
              <w:rPr>
                <w:noProof/>
                <w:webHidden/>
              </w:rPr>
            </w:r>
            <w:r w:rsidR="00EE04A3">
              <w:rPr>
                <w:noProof/>
                <w:webHidden/>
              </w:rPr>
              <w:fldChar w:fldCharType="separate"/>
            </w:r>
            <w:r w:rsidR="00EE04A3">
              <w:rPr>
                <w:noProof/>
                <w:webHidden/>
              </w:rPr>
              <w:t>27</w:t>
            </w:r>
            <w:r w:rsidR="00EE04A3">
              <w:rPr>
                <w:noProof/>
                <w:webHidden/>
              </w:rPr>
              <w:fldChar w:fldCharType="end"/>
            </w:r>
          </w:hyperlink>
        </w:p>
        <w:p w14:paraId="2964BF87" w14:textId="7E808A5A" w:rsidR="00EE04A3" w:rsidRDefault="00AC222A">
          <w:pPr>
            <w:pStyle w:val="TOC3"/>
            <w:rPr>
              <w:noProof/>
              <w:lang w:eastAsia="en-NZ"/>
            </w:rPr>
          </w:pPr>
          <w:hyperlink w:anchor="_Toc78186461" w:history="1">
            <w:r w:rsidR="00EE04A3" w:rsidRPr="00192721">
              <w:rPr>
                <w:rStyle w:val="Hyperlink"/>
                <w:noProof/>
              </w:rPr>
              <w:t>Proceedings by drug type</w:t>
            </w:r>
            <w:r w:rsidR="00EE04A3">
              <w:rPr>
                <w:noProof/>
                <w:webHidden/>
              </w:rPr>
              <w:tab/>
            </w:r>
            <w:r w:rsidR="00EE04A3">
              <w:rPr>
                <w:noProof/>
                <w:webHidden/>
              </w:rPr>
              <w:fldChar w:fldCharType="begin"/>
            </w:r>
            <w:r w:rsidR="00EE04A3">
              <w:rPr>
                <w:noProof/>
                <w:webHidden/>
              </w:rPr>
              <w:instrText xml:space="preserve"> PAGEREF _Toc78186461 \h </w:instrText>
            </w:r>
            <w:r w:rsidR="00EE04A3">
              <w:rPr>
                <w:noProof/>
                <w:webHidden/>
              </w:rPr>
            </w:r>
            <w:r w:rsidR="00EE04A3">
              <w:rPr>
                <w:noProof/>
                <w:webHidden/>
              </w:rPr>
              <w:fldChar w:fldCharType="separate"/>
            </w:r>
            <w:r w:rsidR="00EE04A3">
              <w:rPr>
                <w:noProof/>
                <w:webHidden/>
              </w:rPr>
              <w:t>27</w:t>
            </w:r>
            <w:r w:rsidR="00EE04A3">
              <w:rPr>
                <w:noProof/>
                <w:webHidden/>
              </w:rPr>
              <w:fldChar w:fldCharType="end"/>
            </w:r>
          </w:hyperlink>
        </w:p>
        <w:p w14:paraId="19146AB3" w14:textId="4FE5E25B" w:rsidR="00EE04A3" w:rsidRDefault="00AC222A">
          <w:pPr>
            <w:pStyle w:val="TOC3"/>
            <w:rPr>
              <w:noProof/>
              <w:lang w:eastAsia="en-NZ"/>
            </w:rPr>
          </w:pPr>
          <w:hyperlink w:anchor="_Toc78186462" w:history="1">
            <w:r w:rsidR="00EE04A3" w:rsidRPr="00192721">
              <w:rPr>
                <w:rStyle w:val="Hyperlink"/>
                <w:noProof/>
              </w:rPr>
              <w:t>Proceedings by Police District</w:t>
            </w:r>
            <w:r w:rsidR="00EE04A3">
              <w:rPr>
                <w:noProof/>
                <w:webHidden/>
              </w:rPr>
              <w:tab/>
            </w:r>
            <w:r w:rsidR="00EE04A3">
              <w:rPr>
                <w:noProof/>
                <w:webHidden/>
              </w:rPr>
              <w:fldChar w:fldCharType="begin"/>
            </w:r>
            <w:r w:rsidR="00EE04A3">
              <w:rPr>
                <w:noProof/>
                <w:webHidden/>
              </w:rPr>
              <w:instrText xml:space="preserve"> PAGEREF _Toc78186462 \h </w:instrText>
            </w:r>
            <w:r w:rsidR="00EE04A3">
              <w:rPr>
                <w:noProof/>
                <w:webHidden/>
              </w:rPr>
            </w:r>
            <w:r w:rsidR="00EE04A3">
              <w:rPr>
                <w:noProof/>
                <w:webHidden/>
              </w:rPr>
              <w:fldChar w:fldCharType="separate"/>
            </w:r>
            <w:r w:rsidR="00EE04A3">
              <w:rPr>
                <w:noProof/>
                <w:webHidden/>
              </w:rPr>
              <w:t>28</w:t>
            </w:r>
            <w:r w:rsidR="00EE04A3">
              <w:rPr>
                <w:noProof/>
                <w:webHidden/>
              </w:rPr>
              <w:fldChar w:fldCharType="end"/>
            </w:r>
          </w:hyperlink>
        </w:p>
        <w:p w14:paraId="3F4E0189" w14:textId="2C08B554" w:rsidR="00EE04A3" w:rsidRDefault="00AC222A">
          <w:pPr>
            <w:pStyle w:val="TOC2"/>
            <w:rPr>
              <w:noProof/>
              <w:lang w:eastAsia="en-NZ"/>
            </w:rPr>
          </w:pPr>
          <w:hyperlink w:anchor="_Toc78186463" w:history="1">
            <w:r w:rsidR="00EE04A3" w:rsidRPr="00192721">
              <w:rPr>
                <w:rStyle w:val="Hyperlink"/>
                <w:noProof/>
              </w:rPr>
              <w:t>Court actions</w:t>
            </w:r>
            <w:r w:rsidR="00EE04A3">
              <w:rPr>
                <w:noProof/>
                <w:webHidden/>
              </w:rPr>
              <w:tab/>
            </w:r>
            <w:r w:rsidR="00EE04A3">
              <w:rPr>
                <w:noProof/>
                <w:webHidden/>
              </w:rPr>
              <w:fldChar w:fldCharType="begin"/>
            </w:r>
            <w:r w:rsidR="00EE04A3">
              <w:rPr>
                <w:noProof/>
                <w:webHidden/>
              </w:rPr>
              <w:instrText xml:space="preserve"> PAGEREF _Toc78186463 \h </w:instrText>
            </w:r>
            <w:r w:rsidR="00EE04A3">
              <w:rPr>
                <w:noProof/>
                <w:webHidden/>
              </w:rPr>
            </w:r>
            <w:r w:rsidR="00EE04A3">
              <w:rPr>
                <w:noProof/>
                <w:webHidden/>
              </w:rPr>
              <w:fldChar w:fldCharType="separate"/>
            </w:r>
            <w:r w:rsidR="00EE04A3">
              <w:rPr>
                <w:noProof/>
                <w:webHidden/>
              </w:rPr>
              <w:t>32</w:t>
            </w:r>
            <w:r w:rsidR="00EE04A3">
              <w:rPr>
                <w:noProof/>
                <w:webHidden/>
              </w:rPr>
              <w:fldChar w:fldCharType="end"/>
            </w:r>
          </w:hyperlink>
        </w:p>
        <w:p w14:paraId="2E9DBA90" w14:textId="4C8045B7" w:rsidR="00EE04A3" w:rsidRDefault="00AC222A">
          <w:pPr>
            <w:pStyle w:val="TOC3"/>
            <w:rPr>
              <w:noProof/>
              <w:lang w:eastAsia="en-NZ"/>
            </w:rPr>
          </w:pPr>
          <w:hyperlink w:anchor="_Toc78186464" w:history="1">
            <w:r w:rsidR="00EE04A3" w:rsidRPr="00192721">
              <w:rPr>
                <w:rStyle w:val="Hyperlink"/>
                <w:noProof/>
              </w:rPr>
              <w:t>Adult diversion</w:t>
            </w:r>
            <w:r w:rsidR="00EE04A3">
              <w:rPr>
                <w:noProof/>
                <w:webHidden/>
              </w:rPr>
              <w:tab/>
            </w:r>
            <w:r w:rsidR="00EE04A3">
              <w:rPr>
                <w:noProof/>
                <w:webHidden/>
              </w:rPr>
              <w:fldChar w:fldCharType="begin"/>
            </w:r>
            <w:r w:rsidR="00EE04A3">
              <w:rPr>
                <w:noProof/>
                <w:webHidden/>
              </w:rPr>
              <w:instrText xml:space="preserve"> PAGEREF _Toc78186464 \h </w:instrText>
            </w:r>
            <w:r w:rsidR="00EE04A3">
              <w:rPr>
                <w:noProof/>
                <w:webHidden/>
              </w:rPr>
            </w:r>
            <w:r w:rsidR="00EE04A3">
              <w:rPr>
                <w:noProof/>
                <w:webHidden/>
              </w:rPr>
              <w:fldChar w:fldCharType="separate"/>
            </w:r>
            <w:r w:rsidR="00EE04A3">
              <w:rPr>
                <w:noProof/>
                <w:webHidden/>
              </w:rPr>
              <w:t>32</w:t>
            </w:r>
            <w:r w:rsidR="00EE04A3">
              <w:rPr>
                <w:noProof/>
                <w:webHidden/>
              </w:rPr>
              <w:fldChar w:fldCharType="end"/>
            </w:r>
          </w:hyperlink>
        </w:p>
        <w:p w14:paraId="740AFF53" w14:textId="42A1FC28" w:rsidR="00EE04A3" w:rsidRDefault="00AC222A">
          <w:pPr>
            <w:pStyle w:val="TOC3"/>
            <w:rPr>
              <w:noProof/>
              <w:lang w:eastAsia="en-NZ"/>
            </w:rPr>
          </w:pPr>
          <w:hyperlink w:anchor="_Toc78186465" w:history="1">
            <w:r w:rsidR="00EE04A3" w:rsidRPr="00192721">
              <w:rPr>
                <w:rStyle w:val="Hyperlink"/>
                <w:noProof/>
              </w:rPr>
              <w:t>Prosecutions</w:t>
            </w:r>
            <w:r w:rsidR="00EE04A3">
              <w:rPr>
                <w:noProof/>
                <w:webHidden/>
              </w:rPr>
              <w:tab/>
            </w:r>
            <w:r w:rsidR="00EE04A3">
              <w:rPr>
                <w:noProof/>
                <w:webHidden/>
              </w:rPr>
              <w:fldChar w:fldCharType="begin"/>
            </w:r>
            <w:r w:rsidR="00EE04A3">
              <w:rPr>
                <w:noProof/>
                <w:webHidden/>
              </w:rPr>
              <w:instrText xml:space="preserve"> PAGEREF _Toc78186465 \h </w:instrText>
            </w:r>
            <w:r w:rsidR="00EE04A3">
              <w:rPr>
                <w:noProof/>
                <w:webHidden/>
              </w:rPr>
            </w:r>
            <w:r w:rsidR="00EE04A3">
              <w:rPr>
                <w:noProof/>
                <w:webHidden/>
              </w:rPr>
              <w:fldChar w:fldCharType="separate"/>
            </w:r>
            <w:r w:rsidR="00EE04A3">
              <w:rPr>
                <w:noProof/>
                <w:webHidden/>
              </w:rPr>
              <w:t>34</w:t>
            </w:r>
            <w:r w:rsidR="00EE04A3">
              <w:rPr>
                <w:noProof/>
                <w:webHidden/>
              </w:rPr>
              <w:fldChar w:fldCharType="end"/>
            </w:r>
          </w:hyperlink>
        </w:p>
        <w:p w14:paraId="64F20B43" w14:textId="62A6B0D2" w:rsidR="00EE04A3" w:rsidRDefault="00AC222A">
          <w:pPr>
            <w:pStyle w:val="TOC2"/>
            <w:rPr>
              <w:noProof/>
              <w:lang w:eastAsia="en-NZ"/>
            </w:rPr>
          </w:pPr>
          <w:hyperlink w:anchor="_Toc78186466" w:history="1">
            <w:r w:rsidR="00EE04A3" w:rsidRPr="00192721">
              <w:rPr>
                <w:rStyle w:val="Hyperlink"/>
                <w:noProof/>
              </w:rPr>
              <w:t>Equity: proceedings and prosecutions by ethnicity</w:t>
            </w:r>
            <w:r w:rsidR="00EE04A3">
              <w:rPr>
                <w:noProof/>
                <w:webHidden/>
              </w:rPr>
              <w:tab/>
            </w:r>
            <w:r w:rsidR="00EE04A3">
              <w:rPr>
                <w:noProof/>
                <w:webHidden/>
              </w:rPr>
              <w:fldChar w:fldCharType="begin"/>
            </w:r>
            <w:r w:rsidR="00EE04A3">
              <w:rPr>
                <w:noProof/>
                <w:webHidden/>
              </w:rPr>
              <w:instrText xml:space="preserve"> PAGEREF _Toc78186466 \h </w:instrText>
            </w:r>
            <w:r w:rsidR="00EE04A3">
              <w:rPr>
                <w:noProof/>
                <w:webHidden/>
              </w:rPr>
            </w:r>
            <w:r w:rsidR="00EE04A3">
              <w:rPr>
                <w:noProof/>
                <w:webHidden/>
              </w:rPr>
              <w:fldChar w:fldCharType="separate"/>
            </w:r>
            <w:r w:rsidR="00EE04A3">
              <w:rPr>
                <w:noProof/>
                <w:webHidden/>
              </w:rPr>
              <w:t>36</w:t>
            </w:r>
            <w:r w:rsidR="00EE04A3">
              <w:rPr>
                <w:noProof/>
                <w:webHidden/>
              </w:rPr>
              <w:fldChar w:fldCharType="end"/>
            </w:r>
          </w:hyperlink>
        </w:p>
        <w:p w14:paraId="34A6E9C6" w14:textId="28EBE165" w:rsidR="00EE04A3" w:rsidRDefault="00AC222A">
          <w:pPr>
            <w:pStyle w:val="TOC3"/>
            <w:rPr>
              <w:noProof/>
              <w:lang w:eastAsia="en-NZ"/>
            </w:rPr>
          </w:pPr>
          <w:hyperlink w:anchor="_Toc78186467" w:history="1">
            <w:r w:rsidR="00EE04A3" w:rsidRPr="00192721">
              <w:rPr>
                <w:rStyle w:val="Hyperlink"/>
                <w:noProof/>
              </w:rPr>
              <w:t>Non-Court proceedings by ethnicity</w:t>
            </w:r>
            <w:r w:rsidR="00EE04A3">
              <w:rPr>
                <w:noProof/>
                <w:webHidden/>
              </w:rPr>
              <w:tab/>
            </w:r>
            <w:r w:rsidR="00EE04A3">
              <w:rPr>
                <w:noProof/>
                <w:webHidden/>
              </w:rPr>
              <w:fldChar w:fldCharType="begin"/>
            </w:r>
            <w:r w:rsidR="00EE04A3">
              <w:rPr>
                <w:noProof/>
                <w:webHidden/>
              </w:rPr>
              <w:instrText xml:space="preserve"> PAGEREF _Toc78186467 \h </w:instrText>
            </w:r>
            <w:r w:rsidR="00EE04A3">
              <w:rPr>
                <w:noProof/>
                <w:webHidden/>
              </w:rPr>
            </w:r>
            <w:r w:rsidR="00EE04A3">
              <w:rPr>
                <w:noProof/>
                <w:webHidden/>
              </w:rPr>
              <w:fldChar w:fldCharType="separate"/>
            </w:r>
            <w:r w:rsidR="00EE04A3">
              <w:rPr>
                <w:noProof/>
                <w:webHidden/>
              </w:rPr>
              <w:t>37</w:t>
            </w:r>
            <w:r w:rsidR="00EE04A3">
              <w:rPr>
                <w:noProof/>
                <w:webHidden/>
              </w:rPr>
              <w:fldChar w:fldCharType="end"/>
            </w:r>
          </w:hyperlink>
        </w:p>
        <w:p w14:paraId="02632202" w14:textId="2A123919" w:rsidR="00EE04A3" w:rsidRDefault="00AC222A">
          <w:pPr>
            <w:pStyle w:val="TOC3"/>
            <w:rPr>
              <w:noProof/>
              <w:lang w:eastAsia="en-NZ"/>
            </w:rPr>
          </w:pPr>
          <w:hyperlink w:anchor="_Toc78186468" w:history="1">
            <w:r w:rsidR="00EE04A3" w:rsidRPr="00192721">
              <w:rPr>
                <w:rStyle w:val="Hyperlink"/>
                <w:noProof/>
              </w:rPr>
              <w:t>Prosecution of M</w:t>
            </w:r>
            <w:r w:rsidR="00EE04A3" w:rsidRPr="00192721">
              <w:rPr>
                <w:rStyle w:val="Hyperlink"/>
                <w:rFonts w:cstheme="minorHAnsi"/>
                <w:noProof/>
              </w:rPr>
              <w:t>ā</w:t>
            </w:r>
            <w:r w:rsidR="00EE04A3" w:rsidRPr="00192721">
              <w:rPr>
                <w:rStyle w:val="Hyperlink"/>
                <w:noProof/>
              </w:rPr>
              <w:t>ori and non-M</w:t>
            </w:r>
            <w:r w:rsidR="00EE04A3" w:rsidRPr="00192721">
              <w:rPr>
                <w:rStyle w:val="Hyperlink"/>
                <w:rFonts w:cstheme="minorHAnsi"/>
                <w:noProof/>
              </w:rPr>
              <w:t>ā</w:t>
            </w:r>
            <w:r w:rsidR="00EE04A3" w:rsidRPr="00192721">
              <w:rPr>
                <w:rStyle w:val="Hyperlink"/>
                <w:noProof/>
              </w:rPr>
              <w:t>ori for all drugs</w:t>
            </w:r>
            <w:r w:rsidR="00EE04A3">
              <w:rPr>
                <w:noProof/>
                <w:webHidden/>
              </w:rPr>
              <w:tab/>
            </w:r>
            <w:r w:rsidR="00EE04A3">
              <w:rPr>
                <w:noProof/>
                <w:webHidden/>
              </w:rPr>
              <w:fldChar w:fldCharType="begin"/>
            </w:r>
            <w:r w:rsidR="00EE04A3">
              <w:rPr>
                <w:noProof/>
                <w:webHidden/>
              </w:rPr>
              <w:instrText xml:space="preserve"> PAGEREF _Toc78186468 \h </w:instrText>
            </w:r>
            <w:r w:rsidR="00EE04A3">
              <w:rPr>
                <w:noProof/>
                <w:webHidden/>
              </w:rPr>
            </w:r>
            <w:r w:rsidR="00EE04A3">
              <w:rPr>
                <w:noProof/>
                <w:webHidden/>
              </w:rPr>
              <w:fldChar w:fldCharType="separate"/>
            </w:r>
            <w:r w:rsidR="00EE04A3">
              <w:rPr>
                <w:noProof/>
                <w:webHidden/>
              </w:rPr>
              <w:t>38</w:t>
            </w:r>
            <w:r w:rsidR="00EE04A3">
              <w:rPr>
                <w:noProof/>
                <w:webHidden/>
              </w:rPr>
              <w:fldChar w:fldCharType="end"/>
            </w:r>
          </w:hyperlink>
        </w:p>
        <w:p w14:paraId="301C485F" w14:textId="7358286B" w:rsidR="00EE04A3" w:rsidRDefault="00AC222A">
          <w:pPr>
            <w:pStyle w:val="TOC3"/>
            <w:rPr>
              <w:noProof/>
              <w:lang w:eastAsia="en-NZ"/>
            </w:rPr>
          </w:pPr>
          <w:hyperlink w:anchor="_Toc78186469" w:history="1">
            <w:r w:rsidR="00EE04A3" w:rsidRPr="00192721">
              <w:rPr>
                <w:rStyle w:val="Hyperlink"/>
                <w:noProof/>
              </w:rPr>
              <w:t>Conviction rate of Māori and non-Māori for all drugs</w:t>
            </w:r>
            <w:r w:rsidR="00EE04A3">
              <w:rPr>
                <w:noProof/>
                <w:webHidden/>
              </w:rPr>
              <w:tab/>
            </w:r>
            <w:r w:rsidR="00EE04A3">
              <w:rPr>
                <w:noProof/>
                <w:webHidden/>
              </w:rPr>
              <w:fldChar w:fldCharType="begin"/>
            </w:r>
            <w:r w:rsidR="00EE04A3">
              <w:rPr>
                <w:noProof/>
                <w:webHidden/>
              </w:rPr>
              <w:instrText xml:space="preserve"> PAGEREF _Toc78186469 \h </w:instrText>
            </w:r>
            <w:r w:rsidR="00EE04A3">
              <w:rPr>
                <w:noProof/>
                <w:webHidden/>
              </w:rPr>
            </w:r>
            <w:r w:rsidR="00EE04A3">
              <w:rPr>
                <w:noProof/>
                <w:webHidden/>
              </w:rPr>
              <w:fldChar w:fldCharType="separate"/>
            </w:r>
            <w:r w:rsidR="00EE04A3">
              <w:rPr>
                <w:noProof/>
                <w:webHidden/>
              </w:rPr>
              <w:t>39</w:t>
            </w:r>
            <w:r w:rsidR="00EE04A3">
              <w:rPr>
                <w:noProof/>
                <w:webHidden/>
              </w:rPr>
              <w:fldChar w:fldCharType="end"/>
            </w:r>
          </w:hyperlink>
        </w:p>
        <w:p w14:paraId="48112D58" w14:textId="637DF879" w:rsidR="00EE04A3" w:rsidRDefault="00AC222A">
          <w:pPr>
            <w:pStyle w:val="TOC2"/>
            <w:rPr>
              <w:noProof/>
              <w:lang w:eastAsia="en-NZ"/>
            </w:rPr>
          </w:pPr>
          <w:hyperlink w:anchor="_Toc78186470" w:history="1">
            <w:r w:rsidR="00EE04A3" w:rsidRPr="00192721">
              <w:rPr>
                <w:rStyle w:val="Hyperlink"/>
                <w:noProof/>
              </w:rPr>
              <w:t>Referrals to health services</w:t>
            </w:r>
            <w:r w:rsidR="00EE04A3">
              <w:rPr>
                <w:noProof/>
                <w:webHidden/>
              </w:rPr>
              <w:tab/>
            </w:r>
            <w:r w:rsidR="00EE04A3">
              <w:rPr>
                <w:noProof/>
                <w:webHidden/>
              </w:rPr>
              <w:fldChar w:fldCharType="begin"/>
            </w:r>
            <w:r w:rsidR="00EE04A3">
              <w:rPr>
                <w:noProof/>
                <w:webHidden/>
              </w:rPr>
              <w:instrText xml:space="preserve"> PAGEREF _Toc78186470 \h </w:instrText>
            </w:r>
            <w:r w:rsidR="00EE04A3">
              <w:rPr>
                <w:noProof/>
                <w:webHidden/>
              </w:rPr>
            </w:r>
            <w:r w:rsidR="00EE04A3">
              <w:rPr>
                <w:noProof/>
                <w:webHidden/>
              </w:rPr>
              <w:fldChar w:fldCharType="separate"/>
            </w:r>
            <w:r w:rsidR="00EE04A3">
              <w:rPr>
                <w:noProof/>
                <w:webHidden/>
              </w:rPr>
              <w:t>40</w:t>
            </w:r>
            <w:r w:rsidR="00EE04A3">
              <w:rPr>
                <w:noProof/>
                <w:webHidden/>
              </w:rPr>
              <w:fldChar w:fldCharType="end"/>
            </w:r>
          </w:hyperlink>
        </w:p>
        <w:p w14:paraId="560568BA" w14:textId="5C8E80ED" w:rsidR="00EE04A3" w:rsidRDefault="00AC222A">
          <w:pPr>
            <w:pStyle w:val="TOC3"/>
            <w:rPr>
              <w:noProof/>
              <w:lang w:eastAsia="en-NZ"/>
            </w:rPr>
          </w:pPr>
          <w:hyperlink w:anchor="_Toc78186471" w:history="1">
            <w:r w:rsidR="00EE04A3" w:rsidRPr="00192721">
              <w:rPr>
                <w:rStyle w:val="Hyperlink"/>
                <w:noProof/>
              </w:rPr>
              <w:t>Police referrals to the National MoDA Referral Pathway</w:t>
            </w:r>
            <w:r w:rsidR="00EE04A3">
              <w:rPr>
                <w:noProof/>
                <w:webHidden/>
              </w:rPr>
              <w:tab/>
            </w:r>
            <w:r w:rsidR="00EE04A3">
              <w:rPr>
                <w:noProof/>
                <w:webHidden/>
              </w:rPr>
              <w:fldChar w:fldCharType="begin"/>
            </w:r>
            <w:r w:rsidR="00EE04A3">
              <w:rPr>
                <w:noProof/>
                <w:webHidden/>
              </w:rPr>
              <w:instrText xml:space="preserve"> PAGEREF _Toc78186471 \h </w:instrText>
            </w:r>
            <w:r w:rsidR="00EE04A3">
              <w:rPr>
                <w:noProof/>
                <w:webHidden/>
              </w:rPr>
            </w:r>
            <w:r w:rsidR="00EE04A3">
              <w:rPr>
                <w:noProof/>
                <w:webHidden/>
              </w:rPr>
              <w:fldChar w:fldCharType="separate"/>
            </w:r>
            <w:r w:rsidR="00EE04A3">
              <w:rPr>
                <w:noProof/>
                <w:webHidden/>
              </w:rPr>
              <w:t>40</w:t>
            </w:r>
            <w:r w:rsidR="00EE04A3">
              <w:rPr>
                <w:noProof/>
                <w:webHidden/>
              </w:rPr>
              <w:fldChar w:fldCharType="end"/>
            </w:r>
          </w:hyperlink>
        </w:p>
        <w:p w14:paraId="288F86A8" w14:textId="219258AD" w:rsidR="00EE04A3" w:rsidRDefault="00AC222A">
          <w:pPr>
            <w:pStyle w:val="TOC3"/>
            <w:rPr>
              <w:noProof/>
              <w:lang w:eastAsia="en-NZ"/>
            </w:rPr>
          </w:pPr>
          <w:hyperlink w:anchor="_Toc78186472" w:history="1">
            <w:r w:rsidR="00EE04A3" w:rsidRPr="00192721">
              <w:rPr>
                <w:rStyle w:val="Hyperlink"/>
                <w:noProof/>
              </w:rPr>
              <w:t>MoDA referral pathway improvements</w:t>
            </w:r>
            <w:r w:rsidR="00EE04A3">
              <w:rPr>
                <w:noProof/>
                <w:webHidden/>
              </w:rPr>
              <w:tab/>
            </w:r>
            <w:r w:rsidR="00EE04A3">
              <w:rPr>
                <w:noProof/>
                <w:webHidden/>
              </w:rPr>
              <w:fldChar w:fldCharType="begin"/>
            </w:r>
            <w:r w:rsidR="00EE04A3">
              <w:rPr>
                <w:noProof/>
                <w:webHidden/>
              </w:rPr>
              <w:instrText xml:space="preserve"> PAGEREF _Toc78186472 \h </w:instrText>
            </w:r>
            <w:r w:rsidR="00EE04A3">
              <w:rPr>
                <w:noProof/>
                <w:webHidden/>
              </w:rPr>
            </w:r>
            <w:r w:rsidR="00EE04A3">
              <w:rPr>
                <w:noProof/>
                <w:webHidden/>
              </w:rPr>
              <w:fldChar w:fldCharType="separate"/>
            </w:r>
            <w:r w:rsidR="00EE04A3">
              <w:rPr>
                <w:noProof/>
                <w:webHidden/>
              </w:rPr>
              <w:t>43</w:t>
            </w:r>
            <w:r w:rsidR="00EE04A3">
              <w:rPr>
                <w:noProof/>
                <w:webHidden/>
              </w:rPr>
              <w:fldChar w:fldCharType="end"/>
            </w:r>
          </w:hyperlink>
        </w:p>
        <w:p w14:paraId="252DA1C4" w14:textId="0B96A208" w:rsidR="00EE04A3" w:rsidRDefault="00AC222A">
          <w:pPr>
            <w:pStyle w:val="TOC3"/>
            <w:rPr>
              <w:noProof/>
              <w:lang w:eastAsia="en-NZ"/>
            </w:rPr>
          </w:pPr>
          <w:hyperlink w:anchor="_Toc78186473" w:history="1">
            <w:r w:rsidR="00EE04A3" w:rsidRPr="00192721">
              <w:rPr>
                <w:rStyle w:val="Hyperlink"/>
                <w:noProof/>
              </w:rPr>
              <w:t>Direct, local referrals through Alterative Pathways for Help Intervention (AWHI)</w:t>
            </w:r>
            <w:r w:rsidR="00EE04A3">
              <w:rPr>
                <w:noProof/>
                <w:webHidden/>
              </w:rPr>
              <w:tab/>
            </w:r>
            <w:r w:rsidR="00EE04A3">
              <w:rPr>
                <w:noProof/>
                <w:webHidden/>
              </w:rPr>
              <w:fldChar w:fldCharType="begin"/>
            </w:r>
            <w:r w:rsidR="00EE04A3">
              <w:rPr>
                <w:noProof/>
                <w:webHidden/>
              </w:rPr>
              <w:instrText xml:space="preserve"> PAGEREF _Toc78186473 \h </w:instrText>
            </w:r>
            <w:r w:rsidR="00EE04A3">
              <w:rPr>
                <w:noProof/>
                <w:webHidden/>
              </w:rPr>
            </w:r>
            <w:r w:rsidR="00EE04A3">
              <w:rPr>
                <w:noProof/>
                <w:webHidden/>
              </w:rPr>
              <w:fldChar w:fldCharType="separate"/>
            </w:r>
            <w:r w:rsidR="00EE04A3">
              <w:rPr>
                <w:noProof/>
                <w:webHidden/>
              </w:rPr>
              <w:t>43</w:t>
            </w:r>
            <w:r w:rsidR="00EE04A3">
              <w:rPr>
                <w:noProof/>
                <w:webHidden/>
              </w:rPr>
              <w:fldChar w:fldCharType="end"/>
            </w:r>
          </w:hyperlink>
        </w:p>
        <w:p w14:paraId="62A3A1A9" w14:textId="005C7F70" w:rsidR="00EE04A3" w:rsidRDefault="00AC222A">
          <w:pPr>
            <w:pStyle w:val="TOC3"/>
            <w:rPr>
              <w:noProof/>
              <w:lang w:eastAsia="en-NZ"/>
            </w:rPr>
          </w:pPr>
          <w:hyperlink w:anchor="_Toc78186474" w:history="1">
            <w:r w:rsidR="00EE04A3" w:rsidRPr="00192721">
              <w:rPr>
                <w:rStyle w:val="Hyperlink"/>
                <w:noProof/>
              </w:rPr>
              <w:t>Referrals to health services through Adult Diversion</w:t>
            </w:r>
            <w:r w:rsidR="00EE04A3">
              <w:rPr>
                <w:noProof/>
                <w:webHidden/>
              </w:rPr>
              <w:tab/>
            </w:r>
            <w:r w:rsidR="00EE04A3">
              <w:rPr>
                <w:noProof/>
                <w:webHidden/>
              </w:rPr>
              <w:fldChar w:fldCharType="begin"/>
            </w:r>
            <w:r w:rsidR="00EE04A3">
              <w:rPr>
                <w:noProof/>
                <w:webHidden/>
              </w:rPr>
              <w:instrText xml:space="preserve"> PAGEREF _Toc78186474 \h </w:instrText>
            </w:r>
            <w:r w:rsidR="00EE04A3">
              <w:rPr>
                <w:noProof/>
                <w:webHidden/>
              </w:rPr>
            </w:r>
            <w:r w:rsidR="00EE04A3">
              <w:rPr>
                <w:noProof/>
                <w:webHidden/>
              </w:rPr>
              <w:fldChar w:fldCharType="separate"/>
            </w:r>
            <w:r w:rsidR="00EE04A3">
              <w:rPr>
                <w:noProof/>
                <w:webHidden/>
              </w:rPr>
              <w:t>44</w:t>
            </w:r>
            <w:r w:rsidR="00EE04A3">
              <w:rPr>
                <w:noProof/>
                <w:webHidden/>
              </w:rPr>
              <w:fldChar w:fldCharType="end"/>
            </w:r>
          </w:hyperlink>
        </w:p>
        <w:p w14:paraId="3A7DB8D8" w14:textId="662D4B9A" w:rsidR="00EE04A3" w:rsidRDefault="00AC222A">
          <w:pPr>
            <w:pStyle w:val="TOC3"/>
            <w:rPr>
              <w:noProof/>
              <w:lang w:eastAsia="en-NZ"/>
            </w:rPr>
          </w:pPr>
          <w:hyperlink w:anchor="_Toc78186475" w:history="1">
            <w:r w:rsidR="00EE04A3" w:rsidRPr="00192721">
              <w:rPr>
                <w:rStyle w:val="Hyperlink"/>
                <w:noProof/>
              </w:rPr>
              <w:t>Direct Police referrals to DHB Alcohol and Drug and Co-Existing Problems teams</w:t>
            </w:r>
            <w:r w:rsidR="00EE04A3">
              <w:rPr>
                <w:noProof/>
                <w:webHidden/>
              </w:rPr>
              <w:tab/>
            </w:r>
            <w:r w:rsidR="00EE04A3">
              <w:rPr>
                <w:noProof/>
                <w:webHidden/>
              </w:rPr>
              <w:fldChar w:fldCharType="begin"/>
            </w:r>
            <w:r w:rsidR="00EE04A3">
              <w:rPr>
                <w:noProof/>
                <w:webHidden/>
              </w:rPr>
              <w:instrText xml:space="preserve"> PAGEREF _Toc78186475 \h </w:instrText>
            </w:r>
            <w:r w:rsidR="00EE04A3">
              <w:rPr>
                <w:noProof/>
                <w:webHidden/>
              </w:rPr>
            </w:r>
            <w:r w:rsidR="00EE04A3">
              <w:rPr>
                <w:noProof/>
                <w:webHidden/>
              </w:rPr>
              <w:fldChar w:fldCharType="separate"/>
            </w:r>
            <w:r w:rsidR="00EE04A3">
              <w:rPr>
                <w:noProof/>
                <w:webHidden/>
              </w:rPr>
              <w:t>45</w:t>
            </w:r>
            <w:r w:rsidR="00EE04A3">
              <w:rPr>
                <w:noProof/>
                <w:webHidden/>
              </w:rPr>
              <w:fldChar w:fldCharType="end"/>
            </w:r>
          </w:hyperlink>
        </w:p>
        <w:p w14:paraId="04291841" w14:textId="5A8F3CE5" w:rsidR="00EE04A3" w:rsidRDefault="00AC222A">
          <w:pPr>
            <w:pStyle w:val="TOC3"/>
            <w:rPr>
              <w:noProof/>
              <w:lang w:eastAsia="en-NZ"/>
            </w:rPr>
          </w:pPr>
          <w:hyperlink w:anchor="_Toc78186476" w:history="1">
            <w:r w:rsidR="00EE04A3" w:rsidRPr="00192721">
              <w:rPr>
                <w:rStyle w:val="Hyperlink"/>
                <w:noProof/>
              </w:rPr>
              <w:t>Te Pae Oranga</w:t>
            </w:r>
            <w:r w:rsidR="00EE04A3">
              <w:rPr>
                <w:noProof/>
                <w:webHidden/>
              </w:rPr>
              <w:tab/>
            </w:r>
            <w:r w:rsidR="00EE04A3">
              <w:rPr>
                <w:noProof/>
                <w:webHidden/>
              </w:rPr>
              <w:fldChar w:fldCharType="begin"/>
            </w:r>
            <w:r w:rsidR="00EE04A3">
              <w:rPr>
                <w:noProof/>
                <w:webHidden/>
              </w:rPr>
              <w:instrText xml:space="preserve"> PAGEREF _Toc78186476 \h </w:instrText>
            </w:r>
            <w:r w:rsidR="00EE04A3">
              <w:rPr>
                <w:noProof/>
                <w:webHidden/>
              </w:rPr>
            </w:r>
            <w:r w:rsidR="00EE04A3">
              <w:rPr>
                <w:noProof/>
                <w:webHidden/>
              </w:rPr>
              <w:fldChar w:fldCharType="separate"/>
            </w:r>
            <w:r w:rsidR="00EE04A3">
              <w:rPr>
                <w:noProof/>
                <w:webHidden/>
              </w:rPr>
              <w:t>48</w:t>
            </w:r>
            <w:r w:rsidR="00EE04A3">
              <w:rPr>
                <w:noProof/>
                <w:webHidden/>
              </w:rPr>
              <w:fldChar w:fldCharType="end"/>
            </w:r>
          </w:hyperlink>
        </w:p>
        <w:p w14:paraId="37942AAA" w14:textId="219E9A2E" w:rsidR="00EE04A3" w:rsidRDefault="00AC222A">
          <w:pPr>
            <w:pStyle w:val="TOC2"/>
            <w:rPr>
              <w:noProof/>
              <w:lang w:eastAsia="en-NZ"/>
            </w:rPr>
          </w:pPr>
          <w:hyperlink w:anchor="_Toc78186477" w:history="1">
            <w:r w:rsidR="00EE04A3" w:rsidRPr="00192721">
              <w:rPr>
                <w:rStyle w:val="Hyperlink"/>
                <w:noProof/>
              </w:rPr>
              <w:t>Insights from mental health and addiction service providers</w:t>
            </w:r>
            <w:r w:rsidR="00EE04A3">
              <w:rPr>
                <w:noProof/>
                <w:webHidden/>
              </w:rPr>
              <w:tab/>
            </w:r>
            <w:r w:rsidR="00EE04A3">
              <w:rPr>
                <w:noProof/>
                <w:webHidden/>
              </w:rPr>
              <w:fldChar w:fldCharType="begin"/>
            </w:r>
            <w:r w:rsidR="00EE04A3">
              <w:rPr>
                <w:noProof/>
                <w:webHidden/>
              </w:rPr>
              <w:instrText xml:space="preserve"> PAGEREF _Toc78186477 \h </w:instrText>
            </w:r>
            <w:r w:rsidR="00EE04A3">
              <w:rPr>
                <w:noProof/>
                <w:webHidden/>
              </w:rPr>
            </w:r>
            <w:r w:rsidR="00EE04A3">
              <w:rPr>
                <w:noProof/>
                <w:webHidden/>
              </w:rPr>
              <w:fldChar w:fldCharType="separate"/>
            </w:r>
            <w:r w:rsidR="00EE04A3">
              <w:rPr>
                <w:noProof/>
                <w:webHidden/>
              </w:rPr>
              <w:t>48</w:t>
            </w:r>
            <w:r w:rsidR="00EE04A3">
              <w:rPr>
                <w:noProof/>
                <w:webHidden/>
              </w:rPr>
              <w:fldChar w:fldCharType="end"/>
            </w:r>
          </w:hyperlink>
        </w:p>
        <w:p w14:paraId="4A358650" w14:textId="7ABC2F51" w:rsidR="00EE04A3" w:rsidRDefault="00AC222A">
          <w:pPr>
            <w:pStyle w:val="TOC3"/>
            <w:rPr>
              <w:noProof/>
              <w:lang w:eastAsia="en-NZ"/>
            </w:rPr>
          </w:pPr>
          <w:hyperlink w:anchor="_Toc78186478" w:history="1">
            <w:r w:rsidR="00EE04A3" w:rsidRPr="00192721">
              <w:rPr>
                <w:rStyle w:val="Hyperlink"/>
                <w:noProof/>
              </w:rPr>
              <w:t>Survey results</w:t>
            </w:r>
            <w:r w:rsidR="00EE04A3">
              <w:rPr>
                <w:noProof/>
                <w:webHidden/>
              </w:rPr>
              <w:tab/>
            </w:r>
            <w:r w:rsidR="00EE04A3">
              <w:rPr>
                <w:noProof/>
                <w:webHidden/>
              </w:rPr>
              <w:fldChar w:fldCharType="begin"/>
            </w:r>
            <w:r w:rsidR="00EE04A3">
              <w:rPr>
                <w:noProof/>
                <w:webHidden/>
              </w:rPr>
              <w:instrText xml:space="preserve"> PAGEREF _Toc78186478 \h </w:instrText>
            </w:r>
            <w:r w:rsidR="00EE04A3">
              <w:rPr>
                <w:noProof/>
                <w:webHidden/>
              </w:rPr>
            </w:r>
            <w:r w:rsidR="00EE04A3">
              <w:rPr>
                <w:noProof/>
                <w:webHidden/>
              </w:rPr>
              <w:fldChar w:fldCharType="separate"/>
            </w:r>
            <w:r w:rsidR="00EE04A3">
              <w:rPr>
                <w:noProof/>
                <w:webHidden/>
              </w:rPr>
              <w:t>48</w:t>
            </w:r>
            <w:r w:rsidR="00EE04A3">
              <w:rPr>
                <w:noProof/>
                <w:webHidden/>
              </w:rPr>
              <w:fldChar w:fldCharType="end"/>
            </w:r>
          </w:hyperlink>
        </w:p>
        <w:p w14:paraId="026E7AA4" w14:textId="4C6078FD" w:rsidR="00EE04A3" w:rsidRDefault="00AC222A">
          <w:pPr>
            <w:pStyle w:val="TOC3"/>
            <w:rPr>
              <w:noProof/>
              <w:lang w:eastAsia="en-NZ"/>
            </w:rPr>
          </w:pPr>
          <w:hyperlink w:anchor="_Toc78186479" w:history="1">
            <w:r w:rsidR="00EE04A3" w:rsidRPr="00192721">
              <w:rPr>
                <w:rStyle w:val="Hyperlink"/>
                <w:noProof/>
              </w:rPr>
              <w:t>Interviews with mental health and addiction service providers</w:t>
            </w:r>
            <w:r w:rsidR="00EE04A3">
              <w:rPr>
                <w:noProof/>
                <w:webHidden/>
              </w:rPr>
              <w:tab/>
            </w:r>
            <w:r w:rsidR="00EE04A3">
              <w:rPr>
                <w:noProof/>
                <w:webHidden/>
              </w:rPr>
              <w:fldChar w:fldCharType="begin"/>
            </w:r>
            <w:r w:rsidR="00EE04A3">
              <w:rPr>
                <w:noProof/>
                <w:webHidden/>
              </w:rPr>
              <w:instrText xml:space="preserve"> PAGEREF _Toc78186479 \h </w:instrText>
            </w:r>
            <w:r w:rsidR="00EE04A3">
              <w:rPr>
                <w:noProof/>
                <w:webHidden/>
              </w:rPr>
            </w:r>
            <w:r w:rsidR="00EE04A3">
              <w:rPr>
                <w:noProof/>
                <w:webHidden/>
              </w:rPr>
              <w:fldChar w:fldCharType="separate"/>
            </w:r>
            <w:r w:rsidR="00EE04A3">
              <w:rPr>
                <w:noProof/>
                <w:webHidden/>
              </w:rPr>
              <w:t>49</w:t>
            </w:r>
            <w:r w:rsidR="00EE04A3">
              <w:rPr>
                <w:noProof/>
                <w:webHidden/>
              </w:rPr>
              <w:fldChar w:fldCharType="end"/>
            </w:r>
          </w:hyperlink>
        </w:p>
        <w:p w14:paraId="6363954E" w14:textId="29B5C7B6" w:rsidR="00EE04A3" w:rsidRDefault="00AC222A">
          <w:pPr>
            <w:pStyle w:val="TOC3"/>
            <w:rPr>
              <w:noProof/>
              <w:lang w:eastAsia="en-NZ"/>
            </w:rPr>
          </w:pPr>
          <w:hyperlink w:anchor="_Toc78186480" w:history="1">
            <w:r w:rsidR="00EE04A3" w:rsidRPr="00192721">
              <w:rPr>
                <w:rStyle w:val="Hyperlink"/>
                <w:noProof/>
              </w:rPr>
              <w:t>NZ Drug Foundation</w:t>
            </w:r>
            <w:r w:rsidR="00EE04A3">
              <w:rPr>
                <w:noProof/>
                <w:webHidden/>
              </w:rPr>
              <w:tab/>
            </w:r>
            <w:r w:rsidR="00EE04A3">
              <w:rPr>
                <w:noProof/>
                <w:webHidden/>
              </w:rPr>
              <w:fldChar w:fldCharType="begin"/>
            </w:r>
            <w:r w:rsidR="00EE04A3">
              <w:rPr>
                <w:noProof/>
                <w:webHidden/>
              </w:rPr>
              <w:instrText xml:space="preserve"> PAGEREF _Toc78186480 \h </w:instrText>
            </w:r>
            <w:r w:rsidR="00EE04A3">
              <w:rPr>
                <w:noProof/>
                <w:webHidden/>
              </w:rPr>
            </w:r>
            <w:r w:rsidR="00EE04A3">
              <w:rPr>
                <w:noProof/>
                <w:webHidden/>
              </w:rPr>
              <w:fldChar w:fldCharType="separate"/>
            </w:r>
            <w:r w:rsidR="00EE04A3">
              <w:rPr>
                <w:noProof/>
                <w:webHidden/>
              </w:rPr>
              <w:t>51</w:t>
            </w:r>
            <w:r w:rsidR="00EE04A3">
              <w:rPr>
                <w:noProof/>
                <w:webHidden/>
              </w:rPr>
              <w:fldChar w:fldCharType="end"/>
            </w:r>
          </w:hyperlink>
        </w:p>
        <w:p w14:paraId="7E63C639" w14:textId="65A7B6B9" w:rsidR="00EE04A3" w:rsidRDefault="00AC222A">
          <w:pPr>
            <w:pStyle w:val="TOC2"/>
            <w:rPr>
              <w:noProof/>
              <w:lang w:eastAsia="en-NZ"/>
            </w:rPr>
          </w:pPr>
          <w:hyperlink w:anchor="_Toc78186481" w:history="1">
            <w:r w:rsidR="00EE04A3" w:rsidRPr="00192721">
              <w:rPr>
                <w:rStyle w:val="Hyperlink"/>
                <w:noProof/>
              </w:rPr>
              <w:t>Judicial insights</w:t>
            </w:r>
            <w:r w:rsidR="00EE04A3">
              <w:rPr>
                <w:noProof/>
                <w:webHidden/>
              </w:rPr>
              <w:tab/>
            </w:r>
            <w:r w:rsidR="00EE04A3">
              <w:rPr>
                <w:noProof/>
                <w:webHidden/>
              </w:rPr>
              <w:fldChar w:fldCharType="begin"/>
            </w:r>
            <w:r w:rsidR="00EE04A3">
              <w:rPr>
                <w:noProof/>
                <w:webHidden/>
              </w:rPr>
              <w:instrText xml:space="preserve"> PAGEREF _Toc78186481 \h </w:instrText>
            </w:r>
            <w:r w:rsidR="00EE04A3">
              <w:rPr>
                <w:noProof/>
                <w:webHidden/>
              </w:rPr>
            </w:r>
            <w:r w:rsidR="00EE04A3">
              <w:rPr>
                <w:noProof/>
                <w:webHidden/>
              </w:rPr>
              <w:fldChar w:fldCharType="separate"/>
            </w:r>
            <w:r w:rsidR="00EE04A3">
              <w:rPr>
                <w:noProof/>
                <w:webHidden/>
              </w:rPr>
              <w:t>51</w:t>
            </w:r>
            <w:r w:rsidR="00EE04A3">
              <w:rPr>
                <w:noProof/>
                <w:webHidden/>
              </w:rPr>
              <w:fldChar w:fldCharType="end"/>
            </w:r>
          </w:hyperlink>
        </w:p>
        <w:p w14:paraId="54B87756" w14:textId="7ACBBB5F" w:rsidR="00EE04A3" w:rsidRDefault="00AC222A">
          <w:pPr>
            <w:pStyle w:val="TOC2"/>
            <w:rPr>
              <w:noProof/>
              <w:lang w:eastAsia="en-NZ"/>
            </w:rPr>
          </w:pPr>
          <w:hyperlink w:anchor="_Toc78186482" w:history="1">
            <w:r w:rsidR="00EE04A3" w:rsidRPr="00192721">
              <w:rPr>
                <w:rStyle w:val="Hyperlink"/>
                <w:noProof/>
              </w:rPr>
              <w:t>DISCUSSION</w:t>
            </w:r>
            <w:r w:rsidR="00EE04A3">
              <w:rPr>
                <w:noProof/>
                <w:webHidden/>
              </w:rPr>
              <w:tab/>
            </w:r>
            <w:r w:rsidR="00EE04A3">
              <w:rPr>
                <w:noProof/>
                <w:webHidden/>
              </w:rPr>
              <w:fldChar w:fldCharType="begin"/>
            </w:r>
            <w:r w:rsidR="00EE04A3">
              <w:rPr>
                <w:noProof/>
                <w:webHidden/>
              </w:rPr>
              <w:instrText xml:space="preserve"> PAGEREF _Toc78186482 \h </w:instrText>
            </w:r>
            <w:r w:rsidR="00EE04A3">
              <w:rPr>
                <w:noProof/>
                <w:webHidden/>
              </w:rPr>
            </w:r>
            <w:r w:rsidR="00EE04A3">
              <w:rPr>
                <w:noProof/>
                <w:webHidden/>
              </w:rPr>
              <w:fldChar w:fldCharType="separate"/>
            </w:r>
            <w:r w:rsidR="00EE04A3">
              <w:rPr>
                <w:noProof/>
                <w:webHidden/>
              </w:rPr>
              <w:t>54</w:t>
            </w:r>
            <w:r w:rsidR="00EE04A3">
              <w:rPr>
                <w:noProof/>
                <w:webHidden/>
              </w:rPr>
              <w:fldChar w:fldCharType="end"/>
            </w:r>
          </w:hyperlink>
        </w:p>
        <w:p w14:paraId="43C6F72F" w14:textId="7719106A" w:rsidR="00EE04A3" w:rsidRDefault="00AC222A">
          <w:pPr>
            <w:pStyle w:val="TOC3"/>
            <w:rPr>
              <w:noProof/>
              <w:lang w:eastAsia="en-NZ"/>
            </w:rPr>
          </w:pPr>
          <w:hyperlink w:anchor="_Toc78186483" w:history="1">
            <w:r w:rsidR="00EE04A3" w:rsidRPr="00192721">
              <w:rPr>
                <w:rStyle w:val="Hyperlink"/>
                <w:noProof/>
              </w:rPr>
              <w:t>Implementation</w:t>
            </w:r>
            <w:r w:rsidR="00EE04A3">
              <w:rPr>
                <w:noProof/>
                <w:webHidden/>
              </w:rPr>
              <w:tab/>
            </w:r>
            <w:r w:rsidR="00EE04A3">
              <w:rPr>
                <w:noProof/>
                <w:webHidden/>
              </w:rPr>
              <w:fldChar w:fldCharType="begin"/>
            </w:r>
            <w:r w:rsidR="00EE04A3">
              <w:rPr>
                <w:noProof/>
                <w:webHidden/>
              </w:rPr>
              <w:instrText xml:space="preserve"> PAGEREF _Toc78186483 \h </w:instrText>
            </w:r>
            <w:r w:rsidR="00EE04A3">
              <w:rPr>
                <w:noProof/>
                <w:webHidden/>
              </w:rPr>
            </w:r>
            <w:r w:rsidR="00EE04A3">
              <w:rPr>
                <w:noProof/>
                <w:webHidden/>
              </w:rPr>
              <w:fldChar w:fldCharType="separate"/>
            </w:r>
            <w:r w:rsidR="00EE04A3">
              <w:rPr>
                <w:noProof/>
                <w:webHidden/>
              </w:rPr>
              <w:t>54</w:t>
            </w:r>
            <w:r w:rsidR="00EE04A3">
              <w:rPr>
                <w:noProof/>
                <w:webHidden/>
              </w:rPr>
              <w:fldChar w:fldCharType="end"/>
            </w:r>
          </w:hyperlink>
        </w:p>
        <w:p w14:paraId="430590DA" w14:textId="6B291938" w:rsidR="00EE04A3" w:rsidRDefault="00AC222A">
          <w:pPr>
            <w:pStyle w:val="TOC3"/>
            <w:rPr>
              <w:noProof/>
              <w:lang w:eastAsia="en-NZ"/>
            </w:rPr>
          </w:pPr>
          <w:hyperlink w:anchor="_Toc78186484" w:history="1">
            <w:r w:rsidR="00EE04A3" w:rsidRPr="00192721">
              <w:rPr>
                <w:rStyle w:val="Hyperlink"/>
                <w:noProof/>
              </w:rPr>
              <w:t>Further work is needed to support the implementation of a health-based approach</w:t>
            </w:r>
            <w:r w:rsidR="00EE04A3">
              <w:rPr>
                <w:noProof/>
                <w:webHidden/>
              </w:rPr>
              <w:tab/>
            </w:r>
            <w:r w:rsidR="00EE04A3">
              <w:rPr>
                <w:noProof/>
                <w:webHidden/>
              </w:rPr>
              <w:fldChar w:fldCharType="begin"/>
            </w:r>
            <w:r w:rsidR="00EE04A3">
              <w:rPr>
                <w:noProof/>
                <w:webHidden/>
              </w:rPr>
              <w:instrText xml:space="preserve"> PAGEREF _Toc78186484 \h </w:instrText>
            </w:r>
            <w:r w:rsidR="00EE04A3">
              <w:rPr>
                <w:noProof/>
                <w:webHidden/>
              </w:rPr>
            </w:r>
            <w:r w:rsidR="00EE04A3">
              <w:rPr>
                <w:noProof/>
                <w:webHidden/>
              </w:rPr>
              <w:fldChar w:fldCharType="separate"/>
            </w:r>
            <w:r w:rsidR="00EE04A3">
              <w:rPr>
                <w:noProof/>
                <w:webHidden/>
              </w:rPr>
              <w:t>54</w:t>
            </w:r>
            <w:r w:rsidR="00EE04A3">
              <w:rPr>
                <w:noProof/>
                <w:webHidden/>
              </w:rPr>
              <w:fldChar w:fldCharType="end"/>
            </w:r>
          </w:hyperlink>
        </w:p>
        <w:p w14:paraId="4792DFAD" w14:textId="291E8E6E" w:rsidR="00EE04A3" w:rsidRDefault="00AC222A">
          <w:pPr>
            <w:pStyle w:val="TOC3"/>
            <w:rPr>
              <w:noProof/>
              <w:lang w:eastAsia="en-NZ"/>
            </w:rPr>
          </w:pPr>
          <w:hyperlink w:anchor="_Toc78186485" w:history="1">
            <w:r w:rsidR="00EE04A3" w:rsidRPr="00192721">
              <w:rPr>
                <w:rStyle w:val="Hyperlink"/>
                <w:noProof/>
              </w:rPr>
              <w:t>Ongoing changes in the justice system’s treatment of drugs for personal use</w:t>
            </w:r>
            <w:r w:rsidR="00EE04A3">
              <w:rPr>
                <w:noProof/>
                <w:webHidden/>
              </w:rPr>
              <w:tab/>
            </w:r>
            <w:r w:rsidR="00EE04A3">
              <w:rPr>
                <w:noProof/>
                <w:webHidden/>
              </w:rPr>
              <w:fldChar w:fldCharType="begin"/>
            </w:r>
            <w:r w:rsidR="00EE04A3">
              <w:rPr>
                <w:noProof/>
                <w:webHidden/>
              </w:rPr>
              <w:instrText xml:space="preserve"> PAGEREF _Toc78186485 \h </w:instrText>
            </w:r>
            <w:r w:rsidR="00EE04A3">
              <w:rPr>
                <w:noProof/>
                <w:webHidden/>
              </w:rPr>
            </w:r>
            <w:r w:rsidR="00EE04A3">
              <w:rPr>
                <w:noProof/>
                <w:webHidden/>
              </w:rPr>
              <w:fldChar w:fldCharType="separate"/>
            </w:r>
            <w:r w:rsidR="00EE04A3">
              <w:rPr>
                <w:noProof/>
                <w:webHidden/>
              </w:rPr>
              <w:t>55</w:t>
            </w:r>
            <w:r w:rsidR="00EE04A3">
              <w:rPr>
                <w:noProof/>
                <w:webHidden/>
              </w:rPr>
              <w:fldChar w:fldCharType="end"/>
            </w:r>
          </w:hyperlink>
        </w:p>
        <w:p w14:paraId="689BB993" w14:textId="2FE51EF3" w:rsidR="00EE04A3" w:rsidRDefault="00AC222A">
          <w:pPr>
            <w:pStyle w:val="TOC3"/>
            <w:rPr>
              <w:noProof/>
              <w:lang w:eastAsia="en-NZ"/>
            </w:rPr>
          </w:pPr>
          <w:hyperlink w:anchor="_Toc78186486" w:history="1">
            <w:r w:rsidR="00EE04A3" w:rsidRPr="00192721">
              <w:rPr>
                <w:rStyle w:val="Hyperlink"/>
                <w:noProof/>
              </w:rPr>
              <w:t>Improving outcomes for Māori</w:t>
            </w:r>
            <w:r w:rsidR="00EE04A3">
              <w:rPr>
                <w:noProof/>
                <w:webHidden/>
              </w:rPr>
              <w:tab/>
            </w:r>
            <w:r w:rsidR="00EE04A3">
              <w:rPr>
                <w:noProof/>
                <w:webHidden/>
              </w:rPr>
              <w:fldChar w:fldCharType="begin"/>
            </w:r>
            <w:r w:rsidR="00EE04A3">
              <w:rPr>
                <w:noProof/>
                <w:webHidden/>
              </w:rPr>
              <w:instrText xml:space="preserve"> PAGEREF _Toc78186486 \h </w:instrText>
            </w:r>
            <w:r w:rsidR="00EE04A3">
              <w:rPr>
                <w:noProof/>
                <w:webHidden/>
              </w:rPr>
            </w:r>
            <w:r w:rsidR="00EE04A3">
              <w:rPr>
                <w:noProof/>
                <w:webHidden/>
              </w:rPr>
              <w:fldChar w:fldCharType="separate"/>
            </w:r>
            <w:r w:rsidR="00EE04A3">
              <w:rPr>
                <w:noProof/>
                <w:webHidden/>
              </w:rPr>
              <w:t>56</w:t>
            </w:r>
            <w:r w:rsidR="00EE04A3">
              <w:rPr>
                <w:noProof/>
                <w:webHidden/>
              </w:rPr>
              <w:fldChar w:fldCharType="end"/>
            </w:r>
          </w:hyperlink>
        </w:p>
        <w:p w14:paraId="392B326A" w14:textId="5A47451F" w:rsidR="00EE04A3" w:rsidRDefault="00AC222A">
          <w:pPr>
            <w:pStyle w:val="TOC2"/>
            <w:rPr>
              <w:noProof/>
              <w:lang w:eastAsia="en-NZ"/>
            </w:rPr>
          </w:pPr>
          <w:hyperlink w:anchor="_Toc78186487" w:history="1">
            <w:r w:rsidR="00EE04A3" w:rsidRPr="00192721">
              <w:rPr>
                <w:rStyle w:val="Hyperlink"/>
                <w:noProof/>
              </w:rPr>
              <w:t>PART TWO - REVIEW OF IMPACT OF CLASSIFICATION OF AMB-FUBINACA AND 5F-ADB</w:t>
            </w:r>
            <w:r w:rsidR="00EE04A3">
              <w:rPr>
                <w:noProof/>
                <w:webHidden/>
              </w:rPr>
              <w:tab/>
            </w:r>
            <w:r w:rsidR="00EE04A3">
              <w:rPr>
                <w:noProof/>
                <w:webHidden/>
              </w:rPr>
              <w:fldChar w:fldCharType="begin"/>
            </w:r>
            <w:r w:rsidR="00EE04A3">
              <w:rPr>
                <w:noProof/>
                <w:webHidden/>
              </w:rPr>
              <w:instrText xml:space="preserve"> PAGEREF _Toc78186487 \h </w:instrText>
            </w:r>
            <w:r w:rsidR="00EE04A3">
              <w:rPr>
                <w:noProof/>
                <w:webHidden/>
              </w:rPr>
            </w:r>
            <w:r w:rsidR="00EE04A3">
              <w:rPr>
                <w:noProof/>
                <w:webHidden/>
              </w:rPr>
              <w:fldChar w:fldCharType="separate"/>
            </w:r>
            <w:r w:rsidR="00EE04A3">
              <w:rPr>
                <w:noProof/>
                <w:webHidden/>
              </w:rPr>
              <w:t>59</w:t>
            </w:r>
            <w:r w:rsidR="00EE04A3">
              <w:rPr>
                <w:noProof/>
                <w:webHidden/>
              </w:rPr>
              <w:fldChar w:fldCharType="end"/>
            </w:r>
          </w:hyperlink>
        </w:p>
        <w:p w14:paraId="4939E992" w14:textId="20FD4985" w:rsidR="00EE04A3" w:rsidRDefault="00AC222A">
          <w:pPr>
            <w:pStyle w:val="TOC3"/>
            <w:rPr>
              <w:noProof/>
              <w:lang w:eastAsia="en-NZ"/>
            </w:rPr>
          </w:pPr>
          <w:hyperlink w:anchor="_Toc78186488" w:history="1">
            <w:r w:rsidR="00EE04A3" w:rsidRPr="00192721">
              <w:rPr>
                <w:rStyle w:val="Hyperlink"/>
                <w:noProof/>
              </w:rPr>
              <w:t>Review objectives</w:t>
            </w:r>
            <w:r w:rsidR="00EE04A3">
              <w:rPr>
                <w:noProof/>
                <w:webHidden/>
              </w:rPr>
              <w:tab/>
            </w:r>
            <w:r w:rsidR="00EE04A3">
              <w:rPr>
                <w:noProof/>
                <w:webHidden/>
              </w:rPr>
              <w:fldChar w:fldCharType="begin"/>
            </w:r>
            <w:r w:rsidR="00EE04A3">
              <w:rPr>
                <w:noProof/>
                <w:webHidden/>
              </w:rPr>
              <w:instrText xml:space="preserve"> PAGEREF _Toc78186488 \h </w:instrText>
            </w:r>
            <w:r w:rsidR="00EE04A3">
              <w:rPr>
                <w:noProof/>
                <w:webHidden/>
              </w:rPr>
            </w:r>
            <w:r w:rsidR="00EE04A3">
              <w:rPr>
                <w:noProof/>
                <w:webHidden/>
              </w:rPr>
              <w:fldChar w:fldCharType="separate"/>
            </w:r>
            <w:r w:rsidR="00EE04A3">
              <w:rPr>
                <w:noProof/>
                <w:webHidden/>
              </w:rPr>
              <w:t>59</w:t>
            </w:r>
            <w:r w:rsidR="00EE04A3">
              <w:rPr>
                <w:noProof/>
                <w:webHidden/>
              </w:rPr>
              <w:fldChar w:fldCharType="end"/>
            </w:r>
          </w:hyperlink>
        </w:p>
        <w:p w14:paraId="4DC25071" w14:textId="26CBE5BC" w:rsidR="00EE04A3" w:rsidRDefault="00AC222A">
          <w:pPr>
            <w:pStyle w:val="TOC3"/>
            <w:rPr>
              <w:noProof/>
              <w:lang w:eastAsia="en-NZ"/>
            </w:rPr>
          </w:pPr>
          <w:hyperlink w:anchor="_Toc78186489" w:history="1">
            <w:r w:rsidR="00EE04A3" w:rsidRPr="00192721">
              <w:rPr>
                <w:rStyle w:val="Hyperlink"/>
                <w:noProof/>
              </w:rPr>
              <w:t>What are AMB-FUBINACA and 5F-ADB?</w:t>
            </w:r>
            <w:r w:rsidR="00EE04A3">
              <w:rPr>
                <w:noProof/>
                <w:webHidden/>
              </w:rPr>
              <w:tab/>
            </w:r>
            <w:r w:rsidR="00EE04A3">
              <w:rPr>
                <w:noProof/>
                <w:webHidden/>
              </w:rPr>
              <w:fldChar w:fldCharType="begin"/>
            </w:r>
            <w:r w:rsidR="00EE04A3">
              <w:rPr>
                <w:noProof/>
                <w:webHidden/>
              </w:rPr>
              <w:instrText xml:space="preserve"> PAGEREF _Toc78186489 \h </w:instrText>
            </w:r>
            <w:r w:rsidR="00EE04A3">
              <w:rPr>
                <w:noProof/>
                <w:webHidden/>
              </w:rPr>
            </w:r>
            <w:r w:rsidR="00EE04A3">
              <w:rPr>
                <w:noProof/>
                <w:webHidden/>
              </w:rPr>
              <w:fldChar w:fldCharType="separate"/>
            </w:r>
            <w:r w:rsidR="00EE04A3">
              <w:rPr>
                <w:noProof/>
                <w:webHidden/>
              </w:rPr>
              <w:t>59</w:t>
            </w:r>
            <w:r w:rsidR="00EE04A3">
              <w:rPr>
                <w:noProof/>
                <w:webHidden/>
              </w:rPr>
              <w:fldChar w:fldCharType="end"/>
            </w:r>
          </w:hyperlink>
        </w:p>
        <w:p w14:paraId="3294E70D" w14:textId="48083198" w:rsidR="00EE04A3" w:rsidRDefault="00AC222A">
          <w:pPr>
            <w:pStyle w:val="TOC3"/>
            <w:rPr>
              <w:noProof/>
              <w:lang w:eastAsia="en-NZ"/>
            </w:rPr>
          </w:pPr>
          <w:hyperlink w:anchor="_Toc78186490" w:history="1">
            <w:r w:rsidR="00EE04A3" w:rsidRPr="00192721">
              <w:rPr>
                <w:rStyle w:val="Hyperlink"/>
                <w:noProof/>
              </w:rPr>
              <w:t>Synthetic cannabinoid analogues</w:t>
            </w:r>
            <w:r w:rsidR="00EE04A3">
              <w:rPr>
                <w:noProof/>
                <w:webHidden/>
              </w:rPr>
              <w:tab/>
            </w:r>
            <w:r w:rsidR="00EE04A3">
              <w:rPr>
                <w:noProof/>
                <w:webHidden/>
              </w:rPr>
              <w:fldChar w:fldCharType="begin"/>
            </w:r>
            <w:r w:rsidR="00EE04A3">
              <w:rPr>
                <w:noProof/>
                <w:webHidden/>
              </w:rPr>
              <w:instrText xml:space="preserve"> PAGEREF _Toc78186490 \h </w:instrText>
            </w:r>
            <w:r w:rsidR="00EE04A3">
              <w:rPr>
                <w:noProof/>
                <w:webHidden/>
              </w:rPr>
            </w:r>
            <w:r w:rsidR="00EE04A3">
              <w:rPr>
                <w:noProof/>
                <w:webHidden/>
              </w:rPr>
              <w:fldChar w:fldCharType="separate"/>
            </w:r>
            <w:r w:rsidR="00EE04A3">
              <w:rPr>
                <w:noProof/>
                <w:webHidden/>
              </w:rPr>
              <w:t>59</w:t>
            </w:r>
            <w:r w:rsidR="00EE04A3">
              <w:rPr>
                <w:noProof/>
                <w:webHidden/>
              </w:rPr>
              <w:fldChar w:fldCharType="end"/>
            </w:r>
          </w:hyperlink>
        </w:p>
        <w:p w14:paraId="1570BC0F" w14:textId="46091ABC" w:rsidR="00EE04A3" w:rsidRDefault="00AC222A">
          <w:pPr>
            <w:pStyle w:val="TOC3"/>
            <w:rPr>
              <w:noProof/>
              <w:lang w:eastAsia="en-NZ"/>
            </w:rPr>
          </w:pPr>
          <w:hyperlink w:anchor="_Toc78186491" w:history="1">
            <w:r w:rsidR="00EE04A3" w:rsidRPr="00192721">
              <w:rPr>
                <w:rStyle w:val="Hyperlink"/>
                <w:noProof/>
              </w:rPr>
              <w:t>A broad range of activities were already underway to address synthetic drug harm</w:t>
            </w:r>
            <w:r w:rsidR="00EE04A3">
              <w:rPr>
                <w:noProof/>
                <w:webHidden/>
              </w:rPr>
              <w:tab/>
            </w:r>
            <w:r w:rsidR="00EE04A3">
              <w:rPr>
                <w:noProof/>
                <w:webHidden/>
              </w:rPr>
              <w:fldChar w:fldCharType="begin"/>
            </w:r>
            <w:r w:rsidR="00EE04A3">
              <w:rPr>
                <w:noProof/>
                <w:webHidden/>
              </w:rPr>
              <w:instrText xml:space="preserve"> PAGEREF _Toc78186491 \h </w:instrText>
            </w:r>
            <w:r w:rsidR="00EE04A3">
              <w:rPr>
                <w:noProof/>
                <w:webHidden/>
              </w:rPr>
            </w:r>
            <w:r w:rsidR="00EE04A3">
              <w:rPr>
                <w:noProof/>
                <w:webHidden/>
              </w:rPr>
              <w:fldChar w:fldCharType="separate"/>
            </w:r>
            <w:r w:rsidR="00EE04A3">
              <w:rPr>
                <w:noProof/>
                <w:webHidden/>
              </w:rPr>
              <w:t>60</w:t>
            </w:r>
            <w:r w:rsidR="00EE04A3">
              <w:rPr>
                <w:noProof/>
                <w:webHidden/>
              </w:rPr>
              <w:fldChar w:fldCharType="end"/>
            </w:r>
          </w:hyperlink>
        </w:p>
        <w:p w14:paraId="20EB593A" w14:textId="141D061D" w:rsidR="00EE04A3" w:rsidRDefault="00AC222A">
          <w:pPr>
            <w:pStyle w:val="TOC3"/>
            <w:rPr>
              <w:noProof/>
              <w:lang w:eastAsia="en-NZ"/>
            </w:rPr>
          </w:pPr>
          <w:hyperlink w:anchor="_Toc78186492" w:history="1">
            <w:r w:rsidR="00EE04A3" w:rsidRPr="00192721">
              <w:rPr>
                <w:rStyle w:val="Hyperlink"/>
                <w:noProof/>
              </w:rPr>
              <w:t>Drug Information Alert NZ</w:t>
            </w:r>
            <w:r w:rsidR="00EE04A3">
              <w:rPr>
                <w:noProof/>
                <w:webHidden/>
              </w:rPr>
              <w:tab/>
            </w:r>
            <w:r w:rsidR="00EE04A3">
              <w:rPr>
                <w:noProof/>
                <w:webHidden/>
              </w:rPr>
              <w:fldChar w:fldCharType="begin"/>
            </w:r>
            <w:r w:rsidR="00EE04A3">
              <w:rPr>
                <w:noProof/>
                <w:webHidden/>
              </w:rPr>
              <w:instrText xml:space="preserve"> PAGEREF _Toc78186492 \h </w:instrText>
            </w:r>
            <w:r w:rsidR="00EE04A3">
              <w:rPr>
                <w:noProof/>
                <w:webHidden/>
              </w:rPr>
            </w:r>
            <w:r w:rsidR="00EE04A3">
              <w:rPr>
                <w:noProof/>
                <w:webHidden/>
              </w:rPr>
              <w:fldChar w:fldCharType="separate"/>
            </w:r>
            <w:r w:rsidR="00EE04A3">
              <w:rPr>
                <w:noProof/>
                <w:webHidden/>
              </w:rPr>
              <w:t>61</w:t>
            </w:r>
            <w:r w:rsidR="00EE04A3">
              <w:rPr>
                <w:noProof/>
                <w:webHidden/>
              </w:rPr>
              <w:fldChar w:fldCharType="end"/>
            </w:r>
          </w:hyperlink>
        </w:p>
        <w:p w14:paraId="7FCACE5F" w14:textId="0F72568C" w:rsidR="00EE04A3" w:rsidRDefault="00AC222A">
          <w:pPr>
            <w:pStyle w:val="TOC3"/>
            <w:rPr>
              <w:noProof/>
              <w:lang w:eastAsia="en-NZ"/>
            </w:rPr>
          </w:pPr>
          <w:hyperlink w:anchor="_Toc78186493" w:history="1">
            <w:r w:rsidR="00EE04A3" w:rsidRPr="00192721">
              <w:rPr>
                <w:rStyle w:val="Hyperlink"/>
                <w:noProof/>
              </w:rPr>
              <w:t>Harm profile of synthetic cannabinoids AMB-FUBINACA and 5F-ADB</w:t>
            </w:r>
            <w:r w:rsidR="00EE04A3">
              <w:rPr>
                <w:noProof/>
                <w:webHidden/>
              </w:rPr>
              <w:tab/>
            </w:r>
            <w:r w:rsidR="00EE04A3">
              <w:rPr>
                <w:noProof/>
                <w:webHidden/>
              </w:rPr>
              <w:fldChar w:fldCharType="begin"/>
            </w:r>
            <w:r w:rsidR="00EE04A3">
              <w:rPr>
                <w:noProof/>
                <w:webHidden/>
              </w:rPr>
              <w:instrText xml:space="preserve"> PAGEREF _Toc78186493 \h </w:instrText>
            </w:r>
            <w:r w:rsidR="00EE04A3">
              <w:rPr>
                <w:noProof/>
                <w:webHidden/>
              </w:rPr>
            </w:r>
            <w:r w:rsidR="00EE04A3">
              <w:rPr>
                <w:noProof/>
                <w:webHidden/>
              </w:rPr>
              <w:fldChar w:fldCharType="separate"/>
            </w:r>
            <w:r w:rsidR="00EE04A3">
              <w:rPr>
                <w:noProof/>
                <w:webHidden/>
              </w:rPr>
              <w:t>61</w:t>
            </w:r>
            <w:r w:rsidR="00EE04A3">
              <w:rPr>
                <w:noProof/>
                <w:webHidden/>
              </w:rPr>
              <w:fldChar w:fldCharType="end"/>
            </w:r>
          </w:hyperlink>
        </w:p>
        <w:p w14:paraId="225C1D95" w14:textId="7678DBA5" w:rsidR="00EE04A3" w:rsidRDefault="00AC222A">
          <w:pPr>
            <w:pStyle w:val="TOC3"/>
            <w:rPr>
              <w:noProof/>
              <w:lang w:eastAsia="en-NZ"/>
            </w:rPr>
          </w:pPr>
          <w:hyperlink w:anchor="_Toc78186494" w:history="1">
            <w:r w:rsidR="00EE04A3" w:rsidRPr="00192721">
              <w:rPr>
                <w:rStyle w:val="Hyperlink"/>
                <w:noProof/>
              </w:rPr>
              <w:t>Interrupting manufacture and supply of AMB-FUBINACA and 5F-ADB</w:t>
            </w:r>
            <w:r w:rsidR="00EE04A3">
              <w:rPr>
                <w:noProof/>
                <w:webHidden/>
              </w:rPr>
              <w:tab/>
            </w:r>
            <w:r w:rsidR="00EE04A3">
              <w:rPr>
                <w:noProof/>
                <w:webHidden/>
              </w:rPr>
              <w:fldChar w:fldCharType="begin"/>
            </w:r>
            <w:r w:rsidR="00EE04A3">
              <w:rPr>
                <w:noProof/>
                <w:webHidden/>
              </w:rPr>
              <w:instrText xml:space="preserve"> PAGEREF _Toc78186494 \h </w:instrText>
            </w:r>
            <w:r w:rsidR="00EE04A3">
              <w:rPr>
                <w:noProof/>
                <w:webHidden/>
              </w:rPr>
            </w:r>
            <w:r w:rsidR="00EE04A3">
              <w:rPr>
                <w:noProof/>
                <w:webHidden/>
              </w:rPr>
              <w:fldChar w:fldCharType="separate"/>
            </w:r>
            <w:r w:rsidR="00EE04A3">
              <w:rPr>
                <w:noProof/>
                <w:webHidden/>
              </w:rPr>
              <w:t>63</w:t>
            </w:r>
            <w:r w:rsidR="00EE04A3">
              <w:rPr>
                <w:noProof/>
                <w:webHidden/>
              </w:rPr>
              <w:fldChar w:fldCharType="end"/>
            </w:r>
          </w:hyperlink>
        </w:p>
        <w:p w14:paraId="42E79566" w14:textId="3B5F10B9" w:rsidR="00EE04A3" w:rsidRDefault="00AC222A">
          <w:pPr>
            <w:pStyle w:val="TOC2"/>
            <w:rPr>
              <w:noProof/>
              <w:lang w:eastAsia="en-NZ"/>
            </w:rPr>
          </w:pPr>
          <w:hyperlink w:anchor="_Toc78186495" w:history="1">
            <w:r w:rsidR="00EE04A3" w:rsidRPr="00192721">
              <w:rPr>
                <w:rStyle w:val="Hyperlink"/>
                <w:noProof/>
                <w:lang w:eastAsia="zh-TW"/>
              </w:rPr>
              <w:t>ESR testing</w:t>
            </w:r>
            <w:r w:rsidR="00EE04A3">
              <w:rPr>
                <w:noProof/>
                <w:webHidden/>
              </w:rPr>
              <w:tab/>
            </w:r>
            <w:r w:rsidR="00EE04A3">
              <w:rPr>
                <w:noProof/>
                <w:webHidden/>
              </w:rPr>
              <w:fldChar w:fldCharType="begin"/>
            </w:r>
            <w:r w:rsidR="00EE04A3">
              <w:rPr>
                <w:noProof/>
                <w:webHidden/>
              </w:rPr>
              <w:instrText xml:space="preserve"> PAGEREF _Toc78186495 \h </w:instrText>
            </w:r>
            <w:r w:rsidR="00EE04A3">
              <w:rPr>
                <w:noProof/>
                <w:webHidden/>
              </w:rPr>
            </w:r>
            <w:r w:rsidR="00EE04A3">
              <w:rPr>
                <w:noProof/>
                <w:webHidden/>
              </w:rPr>
              <w:fldChar w:fldCharType="separate"/>
            </w:r>
            <w:r w:rsidR="00EE04A3">
              <w:rPr>
                <w:noProof/>
                <w:webHidden/>
              </w:rPr>
              <w:t>65</w:t>
            </w:r>
            <w:r w:rsidR="00EE04A3">
              <w:rPr>
                <w:noProof/>
                <w:webHidden/>
              </w:rPr>
              <w:fldChar w:fldCharType="end"/>
            </w:r>
          </w:hyperlink>
        </w:p>
        <w:p w14:paraId="495B53B4" w14:textId="152A07F8" w:rsidR="00EE04A3" w:rsidRDefault="00AC222A">
          <w:pPr>
            <w:pStyle w:val="TOC2"/>
            <w:rPr>
              <w:noProof/>
              <w:lang w:eastAsia="en-NZ"/>
            </w:rPr>
          </w:pPr>
          <w:hyperlink w:anchor="_Toc78186496" w:history="1">
            <w:r w:rsidR="00EE04A3" w:rsidRPr="00192721">
              <w:rPr>
                <w:rStyle w:val="Hyperlink"/>
                <w:noProof/>
                <w:lang w:eastAsia="zh-TW"/>
              </w:rPr>
              <w:t>New context from changing international regulations</w:t>
            </w:r>
            <w:r w:rsidR="00EE04A3">
              <w:rPr>
                <w:noProof/>
                <w:webHidden/>
              </w:rPr>
              <w:tab/>
            </w:r>
            <w:r w:rsidR="00EE04A3">
              <w:rPr>
                <w:noProof/>
                <w:webHidden/>
              </w:rPr>
              <w:fldChar w:fldCharType="begin"/>
            </w:r>
            <w:r w:rsidR="00EE04A3">
              <w:rPr>
                <w:noProof/>
                <w:webHidden/>
              </w:rPr>
              <w:instrText xml:space="preserve"> PAGEREF _Toc78186496 \h </w:instrText>
            </w:r>
            <w:r w:rsidR="00EE04A3">
              <w:rPr>
                <w:noProof/>
                <w:webHidden/>
              </w:rPr>
            </w:r>
            <w:r w:rsidR="00EE04A3">
              <w:rPr>
                <w:noProof/>
                <w:webHidden/>
              </w:rPr>
              <w:fldChar w:fldCharType="separate"/>
            </w:r>
            <w:r w:rsidR="00EE04A3">
              <w:rPr>
                <w:noProof/>
                <w:webHidden/>
              </w:rPr>
              <w:t>67</w:t>
            </w:r>
            <w:r w:rsidR="00EE04A3">
              <w:rPr>
                <w:noProof/>
                <w:webHidden/>
              </w:rPr>
              <w:fldChar w:fldCharType="end"/>
            </w:r>
          </w:hyperlink>
        </w:p>
        <w:p w14:paraId="4FA6FE93" w14:textId="387D1B72" w:rsidR="00EE04A3" w:rsidRDefault="00AC222A">
          <w:pPr>
            <w:pStyle w:val="TOC2"/>
            <w:rPr>
              <w:noProof/>
              <w:lang w:eastAsia="en-NZ"/>
            </w:rPr>
          </w:pPr>
          <w:hyperlink w:anchor="_Toc78186497" w:history="1">
            <w:r w:rsidR="00EE04A3" w:rsidRPr="00192721">
              <w:rPr>
                <w:rStyle w:val="Hyperlink"/>
                <w:noProof/>
                <w:lang w:eastAsia="zh-TW"/>
              </w:rPr>
              <w:t xml:space="preserve">PART THREE - </w:t>
            </w:r>
            <w:r w:rsidR="00EE04A3" w:rsidRPr="00192721">
              <w:rPr>
                <w:rStyle w:val="Hyperlink"/>
                <w:noProof/>
              </w:rPr>
              <w:t>TEMPORARY CLASS DRUG ORDERS</w:t>
            </w:r>
            <w:r w:rsidR="00EE04A3">
              <w:rPr>
                <w:noProof/>
                <w:webHidden/>
              </w:rPr>
              <w:tab/>
            </w:r>
            <w:r w:rsidR="00EE04A3">
              <w:rPr>
                <w:noProof/>
                <w:webHidden/>
              </w:rPr>
              <w:fldChar w:fldCharType="begin"/>
            </w:r>
            <w:r w:rsidR="00EE04A3">
              <w:rPr>
                <w:noProof/>
                <w:webHidden/>
              </w:rPr>
              <w:instrText xml:space="preserve"> PAGEREF _Toc78186497 \h </w:instrText>
            </w:r>
            <w:r w:rsidR="00EE04A3">
              <w:rPr>
                <w:noProof/>
                <w:webHidden/>
              </w:rPr>
            </w:r>
            <w:r w:rsidR="00EE04A3">
              <w:rPr>
                <w:noProof/>
                <w:webHidden/>
              </w:rPr>
              <w:fldChar w:fldCharType="separate"/>
            </w:r>
            <w:r w:rsidR="00EE04A3">
              <w:rPr>
                <w:noProof/>
                <w:webHidden/>
              </w:rPr>
              <w:t>68</w:t>
            </w:r>
            <w:r w:rsidR="00EE04A3">
              <w:rPr>
                <w:noProof/>
                <w:webHidden/>
              </w:rPr>
              <w:fldChar w:fldCharType="end"/>
            </w:r>
          </w:hyperlink>
        </w:p>
        <w:p w14:paraId="5481339B" w14:textId="0A11E5AE" w:rsidR="00EE04A3" w:rsidRDefault="00AC222A">
          <w:pPr>
            <w:pStyle w:val="TOC3"/>
            <w:rPr>
              <w:noProof/>
              <w:lang w:eastAsia="en-NZ"/>
            </w:rPr>
          </w:pPr>
          <w:hyperlink w:anchor="_Toc78186498" w:history="1">
            <w:r w:rsidR="00EE04A3" w:rsidRPr="00192721">
              <w:rPr>
                <w:rStyle w:val="Hyperlink"/>
                <w:noProof/>
              </w:rPr>
              <w:t>Legislative history leading up to the amendments</w:t>
            </w:r>
            <w:r w:rsidR="00EE04A3">
              <w:rPr>
                <w:noProof/>
                <w:webHidden/>
              </w:rPr>
              <w:tab/>
            </w:r>
            <w:r w:rsidR="00EE04A3">
              <w:rPr>
                <w:noProof/>
                <w:webHidden/>
              </w:rPr>
              <w:fldChar w:fldCharType="begin"/>
            </w:r>
            <w:r w:rsidR="00EE04A3">
              <w:rPr>
                <w:noProof/>
                <w:webHidden/>
              </w:rPr>
              <w:instrText xml:space="preserve"> PAGEREF _Toc78186498 \h </w:instrText>
            </w:r>
            <w:r w:rsidR="00EE04A3">
              <w:rPr>
                <w:noProof/>
                <w:webHidden/>
              </w:rPr>
            </w:r>
            <w:r w:rsidR="00EE04A3">
              <w:rPr>
                <w:noProof/>
                <w:webHidden/>
              </w:rPr>
              <w:fldChar w:fldCharType="separate"/>
            </w:r>
            <w:r w:rsidR="00EE04A3">
              <w:rPr>
                <w:noProof/>
                <w:webHidden/>
              </w:rPr>
              <w:t>68</w:t>
            </w:r>
            <w:r w:rsidR="00EE04A3">
              <w:rPr>
                <w:noProof/>
                <w:webHidden/>
              </w:rPr>
              <w:fldChar w:fldCharType="end"/>
            </w:r>
          </w:hyperlink>
        </w:p>
        <w:p w14:paraId="7BA591DA" w14:textId="0272DEFE" w:rsidR="00EE04A3" w:rsidRDefault="00AC222A">
          <w:pPr>
            <w:pStyle w:val="TOC3"/>
            <w:rPr>
              <w:noProof/>
              <w:lang w:eastAsia="en-NZ"/>
            </w:rPr>
          </w:pPr>
          <w:hyperlink w:anchor="_Toc78186499" w:history="1">
            <w:r w:rsidR="00EE04A3" w:rsidRPr="00192721">
              <w:rPr>
                <w:rStyle w:val="Hyperlink"/>
                <w:rFonts w:eastAsia="Times New Roman"/>
                <w:noProof/>
              </w:rPr>
              <w:t>The temporary class drug orders (TCDOs).</w:t>
            </w:r>
            <w:r w:rsidR="00EE04A3">
              <w:rPr>
                <w:noProof/>
                <w:webHidden/>
              </w:rPr>
              <w:tab/>
            </w:r>
            <w:r w:rsidR="00EE04A3">
              <w:rPr>
                <w:noProof/>
                <w:webHidden/>
              </w:rPr>
              <w:fldChar w:fldCharType="begin"/>
            </w:r>
            <w:r w:rsidR="00EE04A3">
              <w:rPr>
                <w:noProof/>
                <w:webHidden/>
              </w:rPr>
              <w:instrText xml:space="preserve"> PAGEREF _Toc78186499 \h </w:instrText>
            </w:r>
            <w:r w:rsidR="00EE04A3">
              <w:rPr>
                <w:noProof/>
                <w:webHidden/>
              </w:rPr>
            </w:r>
            <w:r w:rsidR="00EE04A3">
              <w:rPr>
                <w:noProof/>
                <w:webHidden/>
              </w:rPr>
              <w:fldChar w:fldCharType="separate"/>
            </w:r>
            <w:r w:rsidR="00EE04A3">
              <w:rPr>
                <w:noProof/>
                <w:webHidden/>
              </w:rPr>
              <w:t>68</w:t>
            </w:r>
            <w:r w:rsidR="00EE04A3">
              <w:rPr>
                <w:noProof/>
                <w:webHidden/>
              </w:rPr>
              <w:fldChar w:fldCharType="end"/>
            </w:r>
          </w:hyperlink>
        </w:p>
        <w:p w14:paraId="19D96284" w14:textId="1607755B" w:rsidR="00EE04A3" w:rsidRDefault="00AC222A">
          <w:pPr>
            <w:pStyle w:val="TOC3"/>
            <w:rPr>
              <w:noProof/>
              <w:lang w:eastAsia="en-NZ"/>
            </w:rPr>
          </w:pPr>
          <w:hyperlink w:anchor="_Toc78186500" w:history="1">
            <w:r w:rsidR="00EE04A3" w:rsidRPr="00192721">
              <w:rPr>
                <w:rStyle w:val="Hyperlink"/>
                <w:noProof/>
              </w:rPr>
              <w:t>Objective of the amendment</w:t>
            </w:r>
            <w:r w:rsidR="00EE04A3">
              <w:rPr>
                <w:noProof/>
                <w:webHidden/>
              </w:rPr>
              <w:tab/>
            </w:r>
            <w:r w:rsidR="00EE04A3">
              <w:rPr>
                <w:noProof/>
                <w:webHidden/>
              </w:rPr>
              <w:fldChar w:fldCharType="begin"/>
            </w:r>
            <w:r w:rsidR="00EE04A3">
              <w:rPr>
                <w:noProof/>
                <w:webHidden/>
              </w:rPr>
              <w:instrText xml:space="preserve"> PAGEREF _Toc78186500 \h </w:instrText>
            </w:r>
            <w:r w:rsidR="00EE04A3">
              <w:rPr>
                <w:noProof/>
                <w:webHidden/>
              </w:rPr>
            </w:r>
            <w:r w:rsidR="00EE04A3">
              <w:rPr>
                <w:noProof/>
                <w:webHidden/>
              </w:rPr>
              <w:fldChar w:fldCharType="separate"/>
            </w:r>
            <w:r w:rsidR="00EE04A3">
              <w:rPr>
                <w:noProof/>
                <w:webHidden/>
              </w:rPr>
              <w:t>69</w:t>
            </w:r>
            <w:r w:rsidR="00EE04A3">
              <w:rPr>
                <w:noProof/>
                <w:webHidden/>
              </w:rPr>
              <w:fldChar w:fldCharType="end"/>
            </w:r>
          </w:hyperlink>
        </w:p>
        <w:p w14:paraId="43A5216B" w14:textId="74210ECC" w:rsidR="00EE04A3" w:rsidRDefault="00AC222A">
          <w:pPr>
            <w:pStyle w:val="TOC3"/>
            <w:rPr>
              <w:noProof/>
              <w:lang w:eastAsia="en-NZ"/>
            </w:rPr>
          </w:pPr>
          <w:hyperlink w:anchor="_Toc78186501" w:history="1">
            <w:r w:rsidR="00EE04A3" w:rsidRPr="00192721">
              <w:rPr>
                <w:rStyle w:val="Hyperlink"/>
                <w:noProof/>
              </w:rPr>
              <w:t>Mechanism for immediate use of MoDA powers and penalties</w:t>
            </w:r>
            <w:r w:rsidR="00EE04A3">
              <w:rPr>
                <w:noProof/>
                <w:webHidden/>
              </w:rPr>
              <w:tab/>
            </w:r>
            <w:r w:rsidR="00EE04A3">
              <w:rPr>
                <w:noProof/>
                <w:webHidden/>
              </w:rPr>
              <w:fldChar w:fldCharType="begin"/>
            </w:r>
            <w:r w:rsidR="00EE04A3">
              <w:rPr>
                <w:noProof/>
                <w:webHidden/>
              </w:rPr>
              <w:instrText xml:space="preserve"> PAGEREF _Toc78186501 \h </w:instrText>
            </w:r>
            <w:r w:rsidR="00EE04A3">
              <w:rPr>
                <w:noProof/>
                <w:webHidden/>
              </w:rPr>
            </w:r>
            <w:r w:rsidR="00EE04A3">
              <w:rPr>
                <w:noProof/>
                <w:webHidden/>
              </w:rPr>
              <w:fldChar w:fldCharType="separate"/>
            </w:r>
            <w:r w:rsidR="00EE04A3">
              <w:rPr>
                <w:noProof/>
                <w:webHidden/>
              </w:rPr>
              <w:t>69</w:t>
            </w:r>
            <w:r w:rsidR="00EE04A3">
              <w:rPr>
                <w:noProof/>
                <w:webHidden/>
              </w:rPr>
              <w:fldChar w:fldCharType="end"/>
            </w:r>
          </w:hyperlink>
        </w:p>
        <w:p w14:paraId="30FFD9F1" w14:textId="1D89CB56" w:rsidR="00EE04A3" w:rsidRDefault="00AC222A">
          <w:pPr>
            <w:pStyle w:val="TOC2"/>
            <w:rPr>
              <w:noProof/>
              <w:lang w:eastAsia="en-NZ"/>
            </w:rPr>
          </w:pPr>
          <w:hyperlink w:anchor="_Toc78186502" w:history="1">
            <w:r w:rsidR="00EE04A3" w:rsidRPr="00192721">
              <w:rPr>
                <w:rStyle w:val="Hyperlink"/>
                <w:noProof/>
                <w:lang w:eastAsia="zh-TW"/>
              </w:rPr>
              <w:t>PREPARATIONS FOR THE 2024 REVIEW OF THE IMPACT OF THE 2019 AMENDMENTS TO MODA</w:t>
            </w:r>
            <w:r w:rsidR="00EE04A3">
              <w:rPr>
                <w:noProof/>
                <w:webHidden/>
              </w:rPr>
              <w:tab/>
            </w:r>
            <w:r w:rsidR="00EE04A3">
              <w:rPr>
                <w:noProof/>
                <w:webHidden/>
              </w:rPr>
              <w:fldChar w:fldCharType="begin"/>
            </w:r>
            <w:r w:rsidR="00EE04A3">
              <w:rPr>
                <w:noProof/>
                <w:webHidden/>
              </w:rPr>
              <w:instrText xml:space="preserve"> PAGEREF _Toc78186502 \h </w:instrText>
            </w:r>
            <w:r w:rsidR="00EE04A3">
              <w:rPr>
                <w:noProof/>
                <w:webHidden/>
              </w:rPr>
            </w:r>
            <w:r w:rsidR="00EE04A3">
              <w:rPr>
                <w:noProof/>
                <w:webHidden/>
              </w:rPr>
              <w:fldChar w:fldCharType="separate"/>
            </w:r>
            <w:r w:rsidR="00EE04A3">
              <w:rPr>
                <w:noProof/>
                <w:webHidden/>
              </w:rPr>
              <w:t>71</w:t>
            </w:r>
            <w:r w:rsidR="00EE04A3">
              <w:rPr>
                <w:noProof/>
                <w:webHidden/>
              </w:rPr>
              <w:fldChar w:fldCharType="end"/>
            </w:r>
          </w:hyperlink>
        </w:p>
        <w:p w14:paraId="6258C4BF" w14:textId="543F635A" w:rsidR="00EE04A3" w:rsidRDefault="00AC222A">
          <w:pPr>
            <w:pStyle w:val="TOC2"/>
            <w:rPr>
              <w:noProof/>
              <w:lang w:eastAsia="en-NZ"/>
            </w:rPr>
          </w:pPr>
          <w:hyperlink w:anchor="_Toc78186503" w:history="1">
            <w:r w:rsidR="00EE04A3" w:rsidRPr="00192721">
              <w:rPr>
                <w:rStyle w:val="Hyperlink"/>
                <w:noProof/>
              </w:rPr>
              <w:t>SUMMARY OF FINDINGS</w:t>
            </w:r>
            <w:r w:rsidR="00EE04A3">
              <w:rPr>
                <w:noProof/>
                <w:webHidden/>
              </w:rPr>
              <w:tab/>
            </w:r>
            <w:r w:rsidR="00EE04A3">
              <w:rPr>
                <w:noProof/>
                <w:webHidden/>
              </w:rPr>
              <w:fldChar w:fldCharType="begin"/>
            </w:r>
            <w:r w:rsidR="00EE04A3">
              <w:rPr>
                <w:noProof/>
                <w:webHidden/>
              </w:rPr>
              <w:instrText xml:space="preserve"> PAGEREF _Toc78186503 \h </w:instrText>
            </w:r>
            <w:r w:rsidR="00EE04A3">
              <w:rPr>
                <w:noProof/>
                <w:webHidden/>
              </w:rPr>
            </w:r>
            <w:r w:rsidR="00EE04A3">
              <w:rPr>
                <w:noProof/>
                <w:webHidden/>
              </w:rPr>
              <w:fldChar w:fldCharType="separate"/>
            </w:r>
            <w:r w:rsidR="00EE04A3">
              <w:rPr>
                <w:noProof/>
                <w:webHidden/>
              </w:rPr>
              <w:t>72</w:t>
            </w:r>
            <w:r w:rsidR="00EE04A3">
              <w:rPr>
                <w:noProof/>
                <w:webHidden/>
              </w:rPr>
              <w:fldChar w:fldCharType="end"/>
            </w:r>
          </w:hyperlink>
        </w:p>
        <w:p w14:paraId="0280B732" w14:textId="5582A718" w:rsidR="00EE04A3" w:rsidRDefault="00AC222A">
          <w:pPr>
            <w:pStyle w:val="TOC2"/>
            <w:rPr>
              <w:noProof/>
              <w:lang w:eastAsia="en-NZ"/>
            </w:rPr>
          </w:pPr>
          <w:hyperlink w:anchor="_Toc78186504" w:history="1">
            <w:r w:rsidR="00EE04A3" w:rsidRPr="00192721">
              <w:rPr>
                <w:rStyle w:val="Hyperlink"/>
                <w:noProof/>
              </w:rPr>
              <w:t>Appendix 1: Glossary</w:t>
            </w:r>
            <w:r w:rsidR="00EE04A3">
              <w:rPr>
                <w:noProof/>
                <w:webHidden/>
              </w:rPr>
              <w:tab/>
            </w:r>
            <w:r w:rsidR="00EE04A3">
              <w:rPr>
                <w:noProof/>
                <w:webHidden/>
              </w:rPr>
              <w:fldChar w:fldCharType="begin"/>
            </w:r>
            <w:r w:rsidR="00EE04A3">
              <w:rPr>
                <w:noProof/>
                <w:webHidden/>
              </w:rPr>
              <w:instrText xml:space="preserve"> PAGEREF _Toc78186504 \h </w:instrText>
            </w:r>
            <w:r w:rsidR="00EE04A3">
              <w:rPr>
                <w:noProof/>
                <w:webHidden/>
              </w:rPr>
            </w:r>
            <w:r w:rsidR="00EE04A3">
              <w:rPr>
                <w:noProof/>
                <w:webHidden/>
              </w:rPr>
              <w:fldChar w:fldCharType="separate"/>
            </w:r>
            <w:r w:rsidR="00EE04A3">
              <w:rPr>
                <w:noProof/>
                <w:webHidden/>
              </w:rPr>
              <w:t>74</w:t>
            </w:r>
            <w:r w:rsidR="00EE04A3">
              <w:rPr>
                <w:noProof/>
                <w:webHidden/>
              </w:rPr>
              <w:fldChar w:fldCharType="end"/>
            </w:r>
          </w:hyperlink>
        </w:p>
        <w:p w14:paraId="1F00AA8B" w14:textId="22B70DA3" w:rsidR="00EE04A3" w:rsidRDefault="00AC222A">
          <w:pPr>
            <w:pStyle w:val="TOC2"/>
            <w:rPr>
              <w:noProof/>
              <w:lang w:eastAsia="en-NZ"/>
            </w:rPr>
          </w:pPr>
          <w:hyperlink w:anchor="_Toc78186505" w:history="1">
            <w:r w:rsidR="00EE04A3" w:rsidRPr="00192721">
              <w:rPr>
                <w:rStyle w:val="Hyperlink"/>
                <w:noProof/>
              </w:rPr>
              <w:t>Appendix 2: Review scope, objectives, approach, data, constraints and limitations</w:t>
            </w:r>
            <w:r w:rsidR="00EE04A3">
              <w:rPr>
                <w:noProof/>
                <w:webHidden/>
              </w:rPr>
              <w:tab/>
            </w:r>
            <w:r w:rsidR="00EE04A3">
              <w:rPr>
                <w:noProof/>
                <w:webHidden/>
              </w:rPr>
              <w:fldChar w:fldCharType="begin"/>
            </w:r>
            <w:r w:rsidR="00EE04A3">
              <w:rPr>
                <w:noProof/>
                <w:webHidden/>
              </w:rPr>
              <w:instrText xml:space="preserve"> PAGEREF _Toc78186505 \h </w:instrText>
            </w:r>
            <w:r w:rsidR="00EE04A3">
              <w:rPr>
                <w:noProof/>
                <w:webHidden/>
              </w:rPr>
            </w:r>
            <w:r w:rsidR="00EE04A3">
              <w:rPr>
                <w:noProof/>
                <w:webHidden/>
              </w:rPr>
              <w:fldChar w:fldCharType="separate"/>
            </w:r>
            <w:r w:rsidR="00EE04A3">
              <w:rPr>
                <w:noProof/>
                <w:webHidden/>
              </w:rPr>
              <w:t>77</w:t>
            </w:r>
            <w:r w:rsidR="00EE04A3">
              <w:rPr>
                <w:noProof/>
                <w:webHidden/>
              </w:rPr>
              <w:fldChar w:fldCharType="end"/>
            </w:r>
          </w:hyperlink>
        </w:p>
        <w:p w14:paraId="779B64DF" w14:textId="1B321C4A" w:rsidR="00EE04A3" w:rsidRDefault="00AC222A">
          <w:pPr>
            <w:pStyle w:val="TOC3"/>
            <w:rPr>
              <w:noProof/>
              <w:lang w:eastAsia="en-NZ"/>
            </w:rPr>
          </w:pPr>
          <w:hyperlink w:anchor="_Toc78186506" w:history="1">
            <w:r w:rsidR="00EE04A3" w:rsidRPr="00192721">
              <w:rPr>
                <w:rStyle w:val="Hyperlink"/>
                <w:noProof/>
              </w:rPr>
              <w:t>Review Scope</w:t>
            </w:r>
            <w:r w:rsidR="00EE04A3">
              <w:rPr>
                <w:noProof/>
                <w:webHidden/>
              </w:rPr>
              <w:tab/>
            </w:r>
            <w:r w:rsidR="00EE04A3">
              <w:rPr>
                <w:noProof/>
                <w:webHidden/>
              </w:rPr>
              <w:fldChar w:fldCharType="begin"/>
            </w:r>
            <w:r w:rsidR="00EE04A3">
              <w:rPr>
                <w:noProof/>
                <w:webHidden/>
              </w:rPr>
              <w:instrText xml:space="preserve"> PAGEREF _Toc78186506 \h </w:instrText>
            </w:r>
            <w:r w:rsidR="00EE04A3">
              <w:rPr>
                <w:noProof/>
                <w:webHidden/>
              </w:rPr>
            </w:r>
            <w:r w:rsidR="00EE04A3">
              <w:rPr>
                <w:noProof/>
                <w:webHidden/>
              </w:rPr>
              <w:fldChar w:fldCharType="separate"/>
            </w:r>
            <w:r w:rsidR="00EE04A3">
              <w:rPr>
                <w:noProof/>
                <w:webHidden/>
              </w:rPr>
              <w:t>77</w:t>
            </w:r>
            <w:r w:rsidR="00EE04A3">
              <w:rPr>
                <w:noProof/>
                <w:webHidden/>
              </w:rPr>
              <w:fldChar w:fldCharType="end"/>
            </w:r>
          </w:hyperlink>
        </w:p>
        <w:p w14:paraId="1F79AFB5" w14:textId="469D9533" w:rsidR="00EE04A3" w:rsidRDefault="00AC222A">
          <w:pPr>
            <w:pStyle w:val="TOC3"/>
            <w:rPr>
              <w:noProof/>
              <w:lang w:eastAsia="en-NZ"/>
            </w:rPr>
          </w:pPr>
          <w:hyperlink w:anchor="_Toc78186507" w:history="1">
            <w:r w:rsidR="00EE04A3" w:rsidRPr="00192721">
              <w:rPr>
                <w:rStyle w:val="Hyperlink"/>
                <w:noProof/>
              </w:rPr>
              <w:t>Review objectives</w:t>
            </w:r>
            <w:r w:rsidR="00EE04A3">
              <w:rPr>
                <w:noProof/>
                <w:webHidden/>
              </w:rPr>
              <w:tab/>
            </w:r>
            <w:r w:rsidR="00EE04A3">
              <w:rPr>
                <w:noProof/>
                <w:webHidden/>
              </w:rPr>
              <w:fldChar w:fldCharType="begin"/>
            </w:r>
            <w:r w:rsidR="00EE04A3">
              <w:rPr>
                <w:noProof/>
                <w:webHidden/>
              </w:rPr>
              <w:instrText xml:space="preserve"> PAGEREF _Toc78186507 \h </w:instrText>
            </w:r>
            <w:r w:rsidR="00EE04A3">
              <w:rPr>
                <w:noProof/>
                <w:webHidden/>
              </w:rPr>
            </w:r>
            <w:r w:rsidR="00EE04A3">
              <w:rPr>
                <w:noProof/>
                <w:webHidden/>
              </w:rPr>
              <w:fldChar w:fldCharType="separate"/>
            </w:r>
            <w:r w:rsidR="00EE04A3">
              <w:rPr>
                <w:noProof/>
                <w:webHidden/>
              </w:rPr>
              <w:t>77</w:t>
            </w:r>
            <w:r w:rsidR="00EE04A3">
              <w:rPr>
                <w:noProof/>
                <w:webHidden/>
              </w:rPr>
              <w:fldChar w:fldCharType="end"/>
            </w:r>
          </w:hyperlink>
        </w:p>
        <w:p w14:paraId="1A566D6D" w14:textId="7C0882C7" w:rsidR="00EE04A3" w:rsidRDefault="00AC222A">
          <w:pPr>
            <w:pStyle w:val="TOC3"/>
            <w:rPr>
              <w:noProof/>
              <w:lang w:eastAsia="en-NZ"/>
            </w:rPr>
          </w:pPr>
          <w:hyperlink w:anchor="_Toc78186508" w:history="1">
            <w:r w:rsidR="00EE04A3" w:rsidRPr="00192721">
              <w:rPr>
                <w:rStyle w:val="Hyperlink"/>
                <w:noProof/>
              </w:rPr>
              <w:t>Review approach</w:t>
            </w:r>
            <w:r w:rsidR="00EE04A3">
              <w:rPr>
                <w:noProof/>
                <w:webHidden/>
              </w:rPr>
              <w:tab/>
            </w:r>
            <w:r w:rsidR="00EE04A3">
              <w:rPr>
                <w:noProof/>
                <w:webHidden/>
              </w:rPr>
              <w:fldChar w:fldCharType="begin"/>
            </w:r>
            <w:r w:rsidR="00EE04A3">
              <w:rPr>
                <w:noProof/>
                <w:webHidden/>
              </w:rPr>
              <w:instrText xml:space="preserve"> PAGEREF _Toc78186508 \h </w:instrText>
            </w:r>
            <w:r w:rsidR="00EE04A3">
              <w:rPr>
                <w:noProof/>
                <w:webHidden/>
              </w:rPr>
            </w:r>
            <w:r w:rsidR="00EE04A3">
              <w:rPr>
                <w:noProof/>
                <w:webHidden/>
              </w:rPr>
              <w:fldChar w:fldCharType="separate"/>
            </w:r>
            <w:r w:rsidR="00EE04A3">
              <w:rPr>
                <w:noProof/>
                <w:webHidden/>
              </w:rPr>
              <w:t>78</w:t>
            </w:r>
            <w:r w:rsidR="00EE04A3">
              <w:rPr>
                <w:noProof/>
                <w:webHidden/>
              </w:rPr>
              <w:fldChar w:fldCharType="end"/>
            </w:r>
          </w:hyperlink>
        </w:p>
        <w:p w14:paraId="00B0AAB2" w14:textId="3144192D" w:rsidR="00EE04A3" w:rsidRDefault="00AC222A">
          <w:pPr>
            <w:pStyle w:val="TOC3"/>
            <w:rPr>
              <w:noProof/>
              <w:lang w:eastAsia="en-NZ"/>
            </w:rPr>
          </w:pPr>
          <w:hyperlink w:anchor="_Toc78186509" w:history="1">
            <w:r w:rsidR="00EE04A3" w:rsidRPr="00192721">
              <w:rPr>
                <w:rStyle w:val="Hyperlink"/>
                <w:noProof/>
              </w:rPr>
              <w:t>Data sought for the review</w:t>
            </w:r>
            <w:r w:rsidR="00EE04A3">
              <w:rPr>
                <w:noProof/>
                <w:webHidden/>
              </w:rPr>
              <w:tab/>
            </w:r>
            <w:r w:rsidR="00EE04A3">
              <w:rPr>
                <w:noProof/>
                <w:webHidden/>
              </w:rPr>
              <w:fldChar w:fldCharType="begin"/>
            </w:r>
            <w:r w:rsidR="00EE04A3">
              <w:rPr>
                <w:noProof/>
                <w:webHidden/>
              </w:rPr>
              <w:instrText xml:space="preserve"> PAGEREF _Toc78186509 \h </w:instrText>
            </w:r>
            <w:r w:rsidR="00EE04A3">
              <w:rPr>
                <w:noProof/>
                <w:webHidden/>
              </w:rPr>
            </w:r>
            <w:r w:rsidR="00EE04A3">
              <w:rPr>
                <w:noProof/>
                <w:webHidden/>
              </w:rPr>
              <w:fldChar w:fldCharType="separate"/>
            </w:r>
            <w:r w:rsidR="00EE04A3">
              <w:rPr>
                <w:noProof/>
                <w:webHidden/>
              </w:rPr>
              <w:t>78</w:t>
            </w:r>
            <w:r w:rsidR="00EE04A3">
              <w:rPr>
                <w:noProof/>
                <w:webHidden/>
              </w:rPr>
              <w:fldChar w:fldCharType="end"/>
            </w:r>
          </w:hyperlink>
        </w:p>
        <w:p w14:paraId="149115B4" w14:textId="6038F2B6" w:rsidR="00EE04A3" w:rsidRDefault="00AC222A">
          <w:pPr>
            <w:pStyle w:val="TOC3"/>
            <w:rPr>
              <w:noProof/>
              <w:lang w:eastAsia="en-NZ"/>
            </w:rPr>
          </w:pPr>
          <w:hyperlink w:anchor="_Toc78186510" w:history="1">
            <w:r w:rsidR="00EE04A3" w:rsidRPr="00192721">
              <w:rPr>
                <w:rStyle w:val="Hyperlink"/>
                <w:noProof/>
              </w:rPr>
              <w:t>Approach constraints</w:t>
            </w:r>
            <w:r w:rsidR="00EE04A3">
              <w:rPr>
                <w:noProof/>
                <w:webHidden/>
              </w:rPr>
              <w:tab/>
            </w:r>
            <w:r w:rsidR="00EE04A3">
              <w:rPr>
                <w:noProof/>
                <w:webHidden/>
              </w:rPr>
              <w:fldChar w:fldCharType="begin"/>
            </w:r>
            <w:r w:rsidR="00EE04A3">
              <w:rPr>
                <w:noProof/>
                <w:webHidden/>
              </w:rPr>
              <w:instrText xml:space="preserve"> PAGEREF _Toc78186510 \h </w:instrText>
            </w:r>
            <w:r w:rsidR="00EE04A3">
              <w:rPr>
                <w:noProof/>
                <w:webHidden/>
              </w:rPr>
            </w:r>
            <w:r w:rsidR="00EE04A3">
              <w:rPr>
                <w:noProof/>
                <w:webHidden/>
              </w:rPr>
              <w:fldChar w:fldCharType="separate"/>
            </w:r>
            <w:r w:rsidR="00EE04A3">
              <w:rPr>
                <w:noProof/>
                <w:webHidden/>
              </w:rPr>
              <w:t>79</w:t>
            </w:r>
            <w:r w:rsidR="00EE04A3">
              <w:rPr>
                <w:noProof/>
                <w:webHidden/>
              </w:rPr>
              <w:fldChar w:fldCharType="end"/>
            </w:r>
          </w:hyperlink>
        </w:p>
        <w:p w14:paraId="1CFA6639" w14:textId="6D997122" w:rsidR="00EE04A3" w:rsidRDefault="00AC222A">
          <w:pPr>
            <w:pStyle w:val="TOC3"/>
            <w:rPr>
              <w:noProof/>
              <w:lang w:eastAsia="en-NZ"/>
            </w:rPr>
          </w:pPr>
          <w:hyperlink w:anchor="_Toc78186511" w:history="1">
            <w:r w:rsidR="00EE04A3" w:rsidRPr="00192721">
              <w:rPr>
                <w:rStyle w:val="Hyperlink"/>
                <w:noProof/>
              </w:rPr>
              <w:t>Data limitations</w:t>
            </w:r>
            <w:r w:rsidR="00EE04A3">
              <w:rPr>
                <w:noProof/>
                <w:webHidden/>
              </w:rPr>
              <w:tab/>
            </w:r>
            <w:r w:rsidR="00EE04A3">
              <w:rPr>
                <w:noProof/>
                <w:webHidden/>
              </w:rPr>
              <w:fldChar w:fldCharType="begin"/>
            </w:r>
            <w:r w:rsidR="00EE04A3">
              <w:rPr>
                <w:noProof/>
                <w:webHidden/>
              </w:rPr>
              <w:instrText xml:space="preserve"> PAGEREF _Toc78186511 \h </w:instrText>
            </w:r>
            <w:r w:rsidR="00EE04A3">
              <w:rPr>
                <w:noProof/>
                <w:webHidden/>
              </w:rPr>
            </w:r>
            <w:r w:rsidR="00EE04A3">
              <w:rPr>
                <w:noProof/>
                <w:webHidden/>
              </w:rPr>
              <w:fldChar w:fldCharType="separate"/>
            </w:r>
            <w:r w:rsidR="00EE04A3">
              <w:rPr>
                <w:noProof/>
                <w:webHidden/>
              </w:rPr>
              <w:t>79</w:t>
            </w:r>
            <w:r w:rsidR="00EE04A3">
              <w:rPr>
                <w:noProof/>
                <w:webHidden/>
              </w:rPr>
              <w:fldChar w:fldCharType="end"/>
            </w:r>
          </w:hyperlink>
        </w:p>
        <w:p w14:paraId="4D3050CA" w14:textId="1A2C0F49" w:rsidR="00EE04A3" w:rsidRDefault="00AC222A">
          <w:pPr>
            <w:pStyle w:val="TOC2"/>
            <w:rPr>
              <w:noProof/>
              <w:lang w:eastAsia="en-NZ"/>
            </w:rPr>
          </w:pPr>
          <w:hyperlink w:anchor="_Toc78186512" w:history="1">
            <w:r w:rsidR="00EE04A3" w:rsidRPr="00192721">
              <w:rPr>
                <w:rStyle w:val="Hyperlink"/>
                <w:noProof/>
              </w:rPr>
              <w:t>Appendix 3:  Inquiry into Mental Health and Addiction System and recent Government investment in the mental health and addiction system</w:t>
            </w:r>
            <w:r w:rsidR="00EE04A3">
              <w:rPr>
                <w:noProof/>
                <w:webHidden/>
              </w:rPr>
              <w:tab/>
            </w:r>
            <w:r w:rsidR="00EE04A3">
              <w:rPr>
                <w:noProof/>
                <w:webHidden/>
              </w:rPr>
              <w:fldChar w:fldCharType="begin"/>
            </w:r>
            <w:r w:rsidR="00EE04A3">
              <w:rPr>
                <w:noProof/>
                <w:webHidden/>
              </w:rPr>
              <w:instrText xml:space="preserve"> PAGEREF _Toc78186512 \h </w:instrText>
            </w:r>
            <w:r w:rsidR="00EE04A3">
              <w:rPr>
                <w:noProof/>
                <w:webHidden/>
              </w:rPr>
            </w:r>
            <w:r w:rsidR="00EE04A3">
              <w:rPr>
                <w:noProof/>
                <w:webHidden/>
              </w:rPr>
              <w:fldChar w:fldCharType="separate"/>
            </w:r>
            <w:r w:rsidR="00EE04A3">
              <w:rPr>
                <w:noProof/>
                <w:webHidden/>
              </w:rPr>
              <w:t>81</w:t>
            </w:r>
            <w:r w:rsidR="00EE04A3">
              <w:rPr>
                <w:noProof/>
                <w:webHidden/>
              </w:rPr>
              <w:fldChar w:fldCharType="end"/>
            </w:r>
          </w:hyperlink>
        </w:p>
        <w:p w14:paraId="519840CB" w14:textId="2D0700A0" w:rsidR="00EE04A3" w:rsidRDefault="00AC222A">
          <w:pPr>
            <w:pStyle w:val="TOC3"/>
            <w:rPr>
              <w:noProof/>
              <w:lang w:eastAsia="en-NZ"/>
            </w:rPr>
          </w:pPr>
          <w:hyperlink w:anchor="_Toc78186513" w:history="1">
            <w:r w:rsidR="00EE04A3" w:rsidRPr="00192721">
              <w:rPr>
                <w:rStyle w:val="Hyperlink"/>
                <w:noProof/>
              </w:rPr>
              <w:t>He Ara Oranga: Report of the Government Inquiry into Mental Health and Addiction</w:t>
            </w:r>
            <w:r w:rsidR="00EE04A3">
              <w:rPr>
                <w:noProof/>
                <w:webHidden/>
              </w:rPr>
              <w:tab/>
            </w:r>
            <w:r w:rsidR="00EE04A3">
              <w:rPr>
                <w:noProof/>
                <w:webHidden/>
              </w:rPr>
              <w:fldChar w:fldCharType="begin"/>
            </w:r>
            <w:r w:rsidR="00EE04A3">
              <w:rPr>
                <w:noProof/>
                <w:webHidden/>
              </w:rPr>
              <w:instrText xml:space="preserve"> PAGEREF _Toc78186513 \h </w:instrText>
            </w:r>
            <w:r w:rsidR="00EE04A3">
              <w:rPr>
                <w:noProof/>
                <w:webHidden/>
              </w:rPr>
            </w:r>
            <w:r w:rsidR="00EE04A3">
              <w:rPr>
                <w:noProof/>
                <w:webHidden/>
              </w:rPr>
              <w:fldChar w:fldCharType="separate"/>
            </w:r>
            <w:r w:rsidR="00EE04A3">
              <w:rPr>
                <w:noProof/>
                <w:webHidden/>
              </w:rPr>
              <w:t>81</w:t>
            </w:r>
            <w:r w:rsidR="00EE04A3">
              <w:rPr>
                <w:noProof/>
                <w:webHidden/>
              </w:rPr>
              <w:fldChar w:fldCharType="end"/>
            </w:r>
          </w:hyperlink>
        </w:p>
        <w:p w14:paraId="58FA8103" w14:textId="671BF606" w:rsidR="00EE04A3" w:rsidRDefault="00AC222A">
          <w:pPr>
            <w:pStyle w:val="TOC3"/>
            <w:rPr>
              <w:noProof/>
              <w:lang w:eastAsia="en-NZ"/>
            </w:rPr>
          </w:pPr>
          <w:hyperlink w:anchor="_Toc78186514" w:history="1">
            <w:r w:rsidR="00EE04A3" w:rsidRPr="00192721">
              <w:rPr>
                <w:rStyle w:val="Hyperlink"/>
                <w:noProof/>
              </w:rPr>
              <w:t>Budget 2019 – shoring up existing services and establishing some new initiatives</w:t>
            </w:r>
            <w:r w:rsidR="00EE04A3">
              <w:rPr>
                <w:noProof/>
                <w:webHidden/>
              </w:rPr>
              <w:tab/>
            </w:r>
            <w:r w:rsidR="00EE04A3">
              <w:rPr>
                <w:noProof/>
                <w:webHidden/>
              </w:rPr>
              <w:fldChar w:fldCharType="begin"/>
            </w:r>
            <w:r w:rsidR="00EE04A3">
              <w:rPr>
                <w:noProof/>
                <w:webHidden/>
              </w:rPr>
              <w:instrText xml:space="preserve"> PAGEREF _Toc78186514 \h </w:instrText>
            </w:r>
            <w:r w:rsidR="00EE04A3">
              <w:rPr>
                <w:noProof/>
                <w:webHidden/>
              </w:rPr>
            </w:r>
            <w:r w:rsidR="00EE04A3">
              <w:rPr>
                <w:noProof/>
                <w:webHidden/>
              </w:rPr>
              <w:fldChar w:fldCharType="separate"/>
            </w:r>
            <w:r w:rsidR="00EE04A3">
              <w:rPr>
                <w:noProof/>
                <w:webHidden/>
              </w:rPr>
              <w:t>82</w:t>
            </w:r>
            <w:r w:rsidR="00EE04A3">
              <w:rPr>
                <w:noProof/>
                <w:webHidden/>
              </w:rPr>
              <w:fldChar w:fldCharType="end"/>
            </w:r>
          </w:hyperlink>
        </w:p>
        <w:p w14:paraId="1D34450E" w14:textId="7AF07B86" w:rsidR="00EE04A3" w:rsidRDefault="00AC222A">
          <w:pPr>
            <w:pStyle w:val="TOC2"/>
            <w:rPr>
              <w:noProof/>
              <w:lang w:eastAsia="en-NZ"/>
            </w:rPr>
          </w:pPr>
          <w:hyperlink w:anchor="_Toc78186515" w:history="1">
            <w:r w:rsidR="00EE04A3" w:rsidRPr="00192721">
              <w:rPr>
                <w:rStyle w:val="Hyperlink"/>
                <w:noProof/>
              </w:rPr>
              <w:t>Appendix 4: Police Initiatives underway before the Amendment</w:t>
            </w:r>
            <w:r w:rsidR="00EE04A3">
              <w:rPr>
                <w:noProof/>
                <w:webHidden/>
              </w:rPr>
              <w:tab/>
            </w:r>
            <w:r w:rsidR="00EE04A3">
              <w:rPr>
                <w:noProof/>
                <w:webHidden/>
              </w:rPr>
              <w:fldChar w:fldCharType="begin"/>
            </w:r>
            <w:r w:rsidR="00EE04A3">
              <w:rPr>
                <w:noProof/>
                <w:webHidden/>
              </w:rPr>
              <w:instrText xml:space="preserve"> PAGEREF _Toc78186515 \h </w:instrText>
            </w:r>
            <w:r w:rsidR="00EE04A3">
              <w:rPr>
                <w:noProof/>
                <w:webHidden/>
              </w:rPr>
            </w:r>
            <w:r w:rsidR="00EE04A3">
              <w:rPr>
                <w:noProof/>
                <w:webHidden/>
              </w:rPr>
              <w:fldChar w:fldCharType="separate"/>
            </w:r>
            <w:r w:rsidR="00EE04A3">
              <w:rPr>
                <w:noProof/>
                <w:webHidden/>
              </w:rPr>
              <w:t>84</w:t>
            </w:r>
            <w:r w:rsidR="00EE04A3">
              <w:rPr>
                <w:noProof/>
                <w:webHidden/>
              </w:rPr>
              <w:fldChar w:fldCharType="end"/>
            </w:r>
          </w:hyperlink>
        </w:p>
        <w:p w14:paraId="7949F250" w14:textId="2F5D3A3C" w:rsidR="00EE04A3" w:rsidRDefault="00AC222A">
          <w:pPr>
            <w:pStyle w:val="TOC3"/>
            <w:rPr>
              <w:noProof/>
              <w:lang w:eastAsia="en-NZ"/>
            </w:rPr>
          </w:pPr>
          <w:hyperlink w:anchor="_Toc78186516" w:history="1">
            <w:r w:rsidR="00EE04A3" w:rsidRPr="00192721">
              <w:rPr>
                <w:rStyle w:val="Hyperlink"/>
                <w:noProof/>
              </w:rPr>
              <w:t>Prevention First operating model</w:t>
            </w:r>
            <w:r w:rsidR="00EE04A3">
              <w:rPr>
                <w:noProof/>
                <w:webHidden/>
              </w:rPr>
              <w:tab/>
            </w:r>
            <w:r w:rsidR="00EE04A3">
              <w:rPr>
                <w:noProof/>
                <w:webHidden/>
              </w:rPr>
              <w:fldChar w:fldCharType="begin"/>
            </w:r>
            <w:r w:rsidR="00EE04A3">
              <w:rPr>
                <w:noProof/>
                <w:webHidden/>
              </w:rPr>
              <w:instrText xml:space="preserve"> PAGEREF _Toc78186516 \h </w:instrText>
            </w:r>
            <w:r w:rsidR="00EE04A3">
              <w:rPr>
                <w:noProof/>
                <w:webHidden/>
              </w:rPr>
            </w:r>
            <w:r w:rsidR="00EE04A3">
              <w:rPr>
                <w:noProof/>
                <w:webHidden/>
              </w:rPr>
              <w:fldChar w:fldCharType="separate"/>
            </w:r>
            <w:r w:rsidR="00EE04A3">
              <w:rPr>
                <w:noProof/>
                <w:webHidden/>
              </w:rPr>
              <w:t>84</w:t>
            </w:r>
            <w:r w:rsidR="00EE04A3">
              <w:rPr>
                <w:noProof/>
                <w:webHidden/>
              </w:rPr>
              <w:fldChar w:fldCharType="end"/>
            </w:r>
          </w:hyperlink>
        </w:p>
        <w:p w14:paraId="24E1EB2A" w14:textId="025CB646" w:rsidR="00EE04A3" w:rsidRDefault="00AC222A">
          <w:pPr>
            <w:pStyle w:val="TOC3"/>
            <w:rPr>
              <w:noProof/>
              <w:lang w:eastAsia="en-NZ"/>
            </w:rPr>
          </w:pPr>
          <w:hyperlink w:anchor="_Toc78186517" w:history="1">
            <w:r w:rsidR="00EE04A3" w:rsidRPr="00192721">
              <w:rPr>
                <w:rStyle w:val="Hyperlink"/>
                <w:noProof/>
              </w:rPr>
              <w:t>Te Huringa o Te Tai- A whanau ora crime and crash prevention strategy</w:t>
            </w:r>
            <w:r w:rsidR="00EE04A3">
              <w:rPr>
                <w:noProof/>
                <w:webHidden/>
              </w:rPr>
              <w:tab/>
            </w:r>
            <w:r w:rsidR="00EE04A3">
              <w:rPr>
                <w:noProof/>
                <w:webHidden/>
              </w:rPr>
              <w:fldChar w:fldCharType="begin"/>
            </w:r>
            <w:r w:rsidR="00EE04A3">
              <w:rPr>
                <w:noProof/>
                <w:webHidden/>
              </w:rPr>
              <w:instrText xml:space="preserve"> PAGEREF _Toc78186517 \h </w:instrText>
            </w:r>
            <w:r w:rsidR="00EE04A3">
              <w:rPr>
                <w:noProof/>
                <w:webHidden/>
              </w:rPr>
            </w:r>
            <w:r w:rsidR="00EE04A3">
              <w:rPr>
                <w:noProof/>
                <w:webHidden/>
              </w:rPr>
              <w:fldChar w:fldCharType="separate"/>
            </w:r>
            <w:r w:rsidR="00EE04A3">
              <w:rPr>
                <w:noProof/>
                <w:webHidden/>
              </w:rPr>
              <w:t>84</w:t>
            </w:r>
            <w:r w:rsidR="00EE04A3">
              <w:rPr>
                <w:noProof/>
                <w:webHidden/>
              </w:rPr>
              <w:fldChar w:fldCharType="end"/>
            </w:r>
          </w:hyperlink>
        </w:p>
        <w:p w14:paraId="0A0766BB" w14:textId="21C703DE" w:rsidR="00EE04A3" w:rsidRDefault="00AC222A">
          <w:pPr>
            <w:pStyle w:val="TOC3"/>
            <w:rPr>
              <w:noProof/>
              <w:lang w:eastAsia="en-NZ"/>
            </w:rPr>
          </w:pPr>
          <w:hyperlink w:anchor="_Toc78186518" w:history="1">
            <w:r w:rsidR="00EE04A3" w:rsidRPr="00192721">
              <w:rPr>
                <w:rStyle w:val="Hyperlink"/>
                <w:noProof/>
              </w:rPr>
              <w:t>Reframe – Improving frontline practice for better resolution outcomes</w:t>
            </w:r>
            <w:r w:rsidR="00EE04A3">
              <w:rPr>
                <w:noProof/>
                <w:webHidden/>
              </w:rPr>
              <w:tab/>
            </w:r>
            <w:r w:rsidR="00EE04A3">
              <w:rPr>
                <w:noProof/>
                <w:webHidden/>
              </w:rPr>
              <w:fldChar w:fldCharType="begin"/>
            </w:r>
            <w:r w:rsidR="00EE04A3">
              <w:rPr>
                <w:noProof/>
                <w:webHidden/>
              </w:rPr>
              <w:instrText xml:space="preserve"> PAGEREF _Toc78186518 \h </w:instrText>
            </w:r>
            <w:r w:rsidR="00EE04A3">
              <w:rPr>
                <w:noProof/>
                <w:webHidden/>
              </w:rPr>
            </w:r>
            <w:r w:rsidR="00EE04A3">
              <w:rPr>
                <w:noProof/>
                <w:webHidden/>
              </w:rPr>
              <w:fldChar w:fldCharType="separate"/>
            </w:r>
            <w:r w:rsidR="00EE04A3">
              <w:rPr>
                <w:noProof/>
                <w:webHidden/>
              </w:rPr>
              <w:t>84</w:t>
            </w:r>
            <w:r w:rsidR="00EE04A3">
              <w:rPr>
                <w:noProof/>
                <w:webHidden/>
              </w:rPr>
              <w:fldChar w:fldCharType="end"/>
            </w:r>
          </w:hyperlink>
        </w:p>
        <w:p w14:paraId="58FCB773" w14:textId="4CC54FC2" w:rsidR="00EE04A3" w:rsidRDefault="00AC222A">
          <w:pPr>
            <w:pStyle w:val="TOC3"/>
            <w:rPr>
              <w:noProof/>
              <w:lang w:eastAsia="en-NZ"/>
            </w:rPr>
          </w:pPr>
          <w:hyperlink w:anchor="_Toc78186519" w:history="1">
            <w:r w:rsidR="00EE04A3" w:rsidRPr="00192721">
              <w:rPr>
                <w:rStyle w:val="Hyperlink"/>
                <w:noProof/>
              </w:rPr>
              <w:t>Te Pae Oranga Iwi Community Panels</w:t>
            </w:r>
            <w:r w:rsidR="00EE04A3">
              <w:rPr>
                <w:noProof/>
                <w:webHidden/>
              </w:rPr>
              <w:tab/>
            </w:r>
            <w:r w:rsidR="00EE04A3">
              <w:rPr>
                <w:noProof/>
                <w:webHidden/>
              </w:rPr>
              <w:fldChar w:fldCharType="begin"/>
            </w:r>
            <w:r w:rsidR="00EE04A3">
              <w:rPr>
                <w:noProof/>
                <w:webHidden/>
              </w:rPr>
              <w:instrText xml:space="preserve"> PAGEREF _Toc78186519 \h </w:instrText>
            </w:r>
            <w:r w:rsidR="00EE04A3">
              <w:rPr>
                <w:noProof/>
                <w:webHidden/>
              </w:rPr>
            </w:r>
            <w:r w:rsidR="00EE04A3">
              <w:rPr>
                <w:noProof/>
                <w:webHidden/>
              </w:rPr>
              <w:fldChar w:fldCharType="separate"/>
            </w:r>
            <w:r w:rsidR="00EE04A3">
              <w:rPr>
                <w:noProof/>
                <w:webHidden/>
              </w:rPr>
              <w:t>85</w:t>
            </w:r>
            <w:r w:rsidR="00EE04A3">
              <w:rPr>
                <w:noProof/>
                <w:webHidden/>
              </w:rPr>
              <w:fldChar w:fldCharType="end"/>
            </w:r>
          </w:hyperlink>
        </w:p>
        <w:p w14:paraId="7216945C" w14:textId="1DB285A8" w:rsidR="00EE04A3" w:rsidRDefault="00AC222A">
          <w:pPr>
            <w:pStyle w:val="TOC3"/>
            <w:rPr>
              <w:noProof/>
              <w:lang w:eastAsia="en-NZ"/>
            </w:rPr>
          </w:pPr>
          <w:hyperlink w:anchor="_Toc78186520" w:history="1">
            <w:r w:rsidR="00EE04A3" w:rsidRPr="00192721">
              <w:rPr>
                <w:rStyle w:val="Hyperlink"/>
                <w:noProof/>
              </w:rPr>
              <w:t>Adult Diversion</w:t>
            </w:r>
            <w:r w:rsidR="00EE04A3">
              <w:rPr>
                <w:noProof/>
                <w:webHidden/>
              </w:rPr>
              <w:tab/>
            </w:r>
            <w:r w:rsidR="00EE04A3">
              <w:rPr>
                <w:noProof/>
                <w:webHidden/>
              </w:rPr>
              <w:fldChar w:fldCharType="begin"/>
            </w:r>
            <w:r w:rsidR="00EE04A3">
              <w:rPr>
                <w:noProof/>
                <w:webHidden/>
              </w:rPr>
              <w:instrText xml:space="preserve"> PAGEREF _Toc78186520 \h </w:instrText>
            </w:r>
            <w:r w:rsidR="00EE04A3">
              <w:rPr>
                <w:noProof/>
                <w:webHidden/>
              </w:rPr>
            </w:r>
            <w:r w:rsidR="00EE04A3">
              <w:rPr>
                <w:noProof/>
                <w:webHidden/>
              </w:rPr>
              <w:fldChar w:fldCharType="separate"/>
            </w:r>
            <w:r w:rsidR="00EE04A3">
              <w:rPr>
                <w:noProof/>
                <w:webHidden/>
              </w:rPr>
              <w:t>86</w:t>
            </w:r>
            <w:r w:rsidR="00EE04A3">
              <w:rPr>
                <w:noProof/>
                <w:webHidden/>
              </w:rPr>
              <w:fldChar w:fldCharType="end"/>
            </w:r>
          </w:hyperlink>
        </w:p>
        <w:p w14:paraId="6746889A" w14:textId="044AF82F" w:rsidR="00EE04A3" w:rsidRDefault="00AC222A">
          <w:pPr>
            <w:pStyle w:val="TOC3"/>
            <w:rPr>
              <w:noProof/>
              <w:lang w:eastAsia="en-NZ"/>
            </w:rPr>
          </w:pPr>
          <w:hyperlink w:anchor="_Toc78186521" w:history="1">
            <w:r w:rsidR="00EE04A3" w:rsidRPr="00192721">
              <w:rPr>
                <w:rStyle w:val="Hyperlink"/>
                <w:noProof/>
              </w:rPr>
              <w:t>AWHI</w:t>
            </w:r>
            <w:r w:rsidR="00EE04A3">
              <w:rPr>
                <w:noProof/>
                <w:webHidden/>
              </w:rPr>
              <w:tab/>
            </w:r>
            <w:r w:rsidR="00EE04A3">
              <w:rPr>
                <w:noProof/>
                <w:webHidden/>
              </w:rPr>
              <w:fldChar w:fldCharType="begin"/>
            </w:r>
            <w:r w:rsidR="00EE04A3">
              <w:rPr>
                <w:noProof/>
                <w:webHidden/>
              </w:rPr>
              <w:instrText xml:space="preserve"> PAGEREF _Toc78186521 \h </w:instrText>
            </w:r>
            <w:r w:rsidR="00EE04A3">
              <w:rPr>
                <w:noProof/>
                <w:webHidden/>
              </w:rPr>
            </w:r>
            <w:r w:rsidR="00EE04A3">
              <w:rPr>
                <w:noProof/>
                <w:webHidden/>
              </w:rPr>
              <w:fldChar w:fldCharType="separate"/>
            </w:r>
            <w:r w:rsidR="00EE04A3">
              <w:rPr>
                <w:noProof/>
                <w:webHidden/>
              </w:rPr>
              <w:t>87</w:t>
            </w:r>
            <w:r w:rsidR="00EE04A3">
              <w:rPr>
                <w:noProof/>
                <w:webHidden/>
              </w:rPr>
              <w:fldChar w:fldCharType="end"/>
            </w:r>
          </w:hyperlink>
        </w:p>
        <w:p w14:paraId="17F36D77" w14:textId="00250B13" w:rsidR="00EE04A3" w:rsidRDefault="00AC222A">
          <w:pPr>
            <w:pStyle w:val="TOC2"/>
            <w:rPr>
              <w:noProof/>
              <w:lang w:eastAsia="en-NZ"/>
            </w:rPr>
          </w:pPr>
          <w:hyperlink w:anchor="_Toc78186522" w:history="1">
            <w:r w:rsidR="00EE04A3" w:rsidRPr="00192721">
              <w:rPr>
                <w:rStyle w:val="Hyperlink"/>
                <w:noProof/>
              </w:rPr>
              <w:t>Appendix 5: Drug seizures 2016 to May 2021</w:t>
            </w:r>
            <w:r w:rsidR="00EE04A3">
              <w:rPr>
                <w:noProof/>
                <w:webHidden/>
              </w:rPr>
              <w:tab/>
            </w:r>
            <w:r w:rsidR="00EE04A3">
              <w:rPr>
                <w:noProof/>
                <w:webHidden/>
              </w:rPr>
              <w:fldChar w:fldCharType="begin"/>
            </w:r>
            <w:r w:rsidR="00EE04A3">
              <w:rPr>
                <w:noProof/>
                <w:webHidden/>
              </w:rPr>
              <w:instrText xml:space="preserve"> PAGEREF _Toc78186522 \h </w:instrText>
            </w:r>
            <w:r w:rsidR="00EE04A3">
              <w:rPr>
                <w:noProof/>
                <w:webHidden/>
              </w:rPr>
            </w:r>
            <w:r w:rsidR="00EE04A3">
              <w:rPr>
                <w:noProof/>
                <w:webHidden/>
              </w:rPr>
              <w:fldChar w:fldCharType="separate"/>
            </w:r>
            <w:r w:rsidR="00EE04A3">
              <w:rPr>
                <w:noProof/>
                <w:webHidden/>
              </w:rPr>
              <w:t>88</w:t>
            </w:r>
            <w:r w:rsidR="00EE04A3">
              <w:rPr>
                <w:noProof/>
                <w:webHidden/>
              </w:rPr>
              <w:fldChar w:fldCharType="end"/>
            </w:r>
          </w:hyperlink>
        </w:p>
        <w:p w14:paraId="70BB28D2" w14:textId="2D9A82BF" w:rsidR="00EE04A3" w:rsidRDefault="00AC222A">
          <w:pPr>
            <w:pStyle w:val="TOC1"/>
            <w:rPr>
              <w:noProof/>
              <w:lang w:eastAsia="en-NZ"/>
            </w:rPr>
          </w:pPr>
          <w:hyperlink w:anchor="_Toc78186523" w:history="1">
            <w:r w:rsidR="00EE04A3" w:rsidRPr="00192721">
              <w:rPr>
                <w:rStyle w:val="Hyperlink"/>
                <w:noProof/>
              </w:rPr>
              <w:t xml:space="preserve">Appendix 6: </w:t>
            </w:r>
            <w:r w:rsidR="00EE04A3" w:rsidRPr="00192721">
              <w:rPr>
                <w:rStyle w:val="Hyperlink"/>
                <w:rFonts w:eastAsia="Times New Roman"/>
                <w:noProof/>
              </w:rPr>
              <w:t>Acute Drug Harm Discretionary Fund agreed by Cabinet in 2018</w:t>
            </w:r>
            <w:r w:rsidR="00EE04A3">
              <w:rPr>
                <w:noProof/>
                <w:webHidden/>
              </w:rPr>
              <w:tab/>
            </w:r>
            <w:r w:rsidR="00EE04A3">
              <w:rPr>
                <w:noProof/>
                <w:webHidden/>
              </w:rPr>
              <w:fldChar w:fldCharType="begin"/>
            </w:r>
            <w:r w:rsidR="00EE04A3">
              <w:rPr>
                <w:noProof/>
                <w:webHidden/>
              </w:rPr>
              <w:instrText xml:space="preserve"> PAGEREF _Toc78186523 \h </w:instrText>
            </w:r>
            <w:r w:rsidR="00EE04A3">
              <w:rPr>
                <w:noProof/>
                <w:webHidden/>
              </w:rPr>
            </w:r>
            <w:r w:rsidR="00EE04A3">
              <w:rPr>
                <w:noProof/>
                <w:webHidden/>
              </w:rPr>
              <w:fldChar w:fldCharType="separate"/>
            </w:r>
            <w:r w:rsidR="00EE04A3">
              <w:rPr>
                <w:noProof/>
                <w:webHidden/>
              </w:rPr>
              <w:t>93</w:t>
            </w:r>
            <w:r w:rsidR="00EE04A3">
              <w:rPr>
                <w:noProof/>
                <w:webHidden/>
              </w:rPr>
              <w:fldChar w:fldCharType="end"/>
            </w:r>
          </w:hyperlink>
        </w:p>
        <w:p w14:paraId="571A0224" w14:textId="5E4E05AE" w:rsidR="00EE04A3" w:rsidRDefault="00AC222A">
          <w:pPr>
            <w:pStyle w:val="TOC2"/>
            <w:rPr>
              <w:noProof/>
              <w:lang w:eastAsia="en-NZ"/>
            </w:rPr>
          </w:pPr>
          <w:hyperlink w:anchor="_Toc78186524" w:history="1">
            <w:r w:rsidR="00EE04A3" w:rsidRPr="00192721">
              <w:rPr>
                <w:rStyle w:val="Hyperlink"/>
                <w:rFonts w:eastAsia="Times New Roman"/>
                <w:noProof/>
              </w:rPr>
              <w:t>Current State – as at 8 July 2021</w:t>
            </w:r>
            <w:r w:rsidR="00EE04A3">
              <w:rPr>
                <w:noProof/>
                <w:webHidden/>
              </w:rPr>
              <w:tab/>
            </w:r>
            <w:r w:rsidR="00EE04A3">
              <w:rPr>
                <w:noProof/>
                <w:webHidden/>
              </w:rPr>
              <w:fldChar w:fldCharType="begin"/>
            </w:r>
            <w:r w:rsidR="00EE04A3">
              <w:rPr>
                <w:noProof/>
                <w:webHidden/>
              </w:rPr>
              <w:instrText xml:space="preserve"> PAGEREF _Toc78186524 \h </w:instrText>
            </w:r>
            <w:r w:rsidR="00EE04A3">
              <w:rPr>
                <w:noProof/>
                <w:webHidden/>
              </w:rPr>
            </w:r>
            <w:r w:rsidR="00EE04A3">
              <w:rPr>
                <w:noProof/>
                <w:webHidden/>
              </w:rPr>
              <w:fldChar w:fldCharType="separate"/>
            </w:r>
            <w:r w:rsidR="00EE04A3">
              <w:rPr>
                <w:noProof/>
                <w:webHidden/>
              </w:rPr>
              <w:t>93</w:t>
            </w:r>
            <w:r w:rsidR="00EE04A3">
              <w:rPr>
                <w:noProof/>
                <w:webHidden/>
              </w:rPr>
              <w:fldChar w:fldCharType="end"/>
            </w:r>
          </w:hyperlink>
        </w:p>
        <w:p w14:paraId="59A187E2" w14:textId="1BD0F0AD" w:rsidR="006E6DBC" w:rsidRDefault="006E6DBC">
          <w:r>
            <w:rPr>
              <w:b/>
              <w:bCs/>
              <w:noProof/>
            </w:rPr>
            <w:fldChar w:fldCharType="end"/>
          </w:r>
        </w:p>
      </w:sdtContent>
    </w:sdt>
    <w:p w14:paraId="5D4680D0" w14:textId="77777777" w:rsidR="00AC2AFB" w:rsidRDefault="00AC2AFB" w:rsidP="00AC2AFB">
      <w:bookmarkStart w:id="3" w:name="_Toc74572629"/>
      <w:bookmarkStart w:id="4" w:name="_Toc75528206"/>
      <w:bookmarkStart w:id="5" w:name="_Toc75952867"/>
    </w:p>
    <w:p w14:paraId="38CD9F77" w14:textId="77777777" w:rsidR="00AC2AFB" w:rsidRDefault="00AC2AFB" w:rsidP="00AC2AFB"/>
    <w:p w14:paraId="6441D723" w14:textId="14B9D92F" w:rsidR="001C3762" w:rsidRDefault="001C3762" w:rsidP="0098600B">
      <w:pPr>
        <w:pStyle w:val="Heading2"/>
      </w:pPr>
      <w:bookmarkStart w:id="6" w:name="_Toc78186430"/>
      <w:r>
        <w:lastRenderedPageBreak/>
        <w:t>Graphs and tables</w:t>
      </w:r>
      <w:bookmarkEnd w:id="3"/>
      <w:bookmarkEnd w:id="4"/>
      <w:bookmarkEnd w:id="5"/>
      <w:bookmarkEnd w:id="6"/>
    </w:p>
    <w:p w14:paraId="78CDFEB2" w14:textId="766A14CD" w:rsidR="00367964" w:rsidRDefault="00A45C46">
      <w:pPr>
        <w:pStyle w:val="TableofFigures"/>
        <w:tabs>
          <w:tab w:val="right" w:leader="dot" w:pos="9040"/>
        </w:tabs>
        <w:rPr>
          <w:noProof/>
          <w:lang w:eastAsia="en-NZ"/>
        </w:rPr>
      </w:pPr>
      <w:r w:rsidRPr="004A41BB">
        <w:fldChar w:fldCharType="begin"/>
      </w:r>
      <w:r w:rsidRPr="004A41BB">
        <w:instrText xml:space="preserve"> TOC \h \z \c "Figure" </w:instrText>
      </w:r>
      <w:r w:rsidRPr="004A41BB">
        <w:fldChar w:fldCharType="separate"/>
      </w:r>
      <w:hyperlink w:anchor="_Toc77775984" w:history="1">
        <w:r w:rsidR="00367964" w:rsidRPr="0004095C">
          <w:rPr>
            <w:rStyle w:val="Hyperlink"/>
            <w:noProof/>
          </w:rPr>
          <w:t>Figure 1 Resolution Outcomes</w:t>
        </w:r>
        <w:r w:rsidR="00367964">
          <w:rPr>
            <w:noProof/>
            <w:webHidden/>
          </w:rPr>
          <w:tab/>
        </w:r>
        <w:r w:rsidR="00367964">
          <w:rPr>
            <w:noProof/>
            <w:webHidden/>
          </w:rPr>
          <w:fldChar w:fldCharType="begin"/>
        </w:r>
        <w:r w:rsidR="00367964">
          <w:rPr>
            <w:noProof/>
            <w:webHidden/>
          </w:rPr>
          <w:instrText xml:space="preserve"> PAGEREF _Toc77775984 \h </w:instrText>
        </w:r>
        <w:r w:rsidR="00367964">
          <w:rPr>
            <w:noProof/>
            <w:webHidden/>
          </w:rPr>
        </w:r>
        <w:r w:rsidR="00367964">
          <w:rPr>
            <w:noProof/>
            <w:webHidden/>
          </w:rPr>
          <w:fldChar w:fldCharType="separate"/>
        </w:r>
        <w:r w:rsidR="00AA3031">
          <w:rPr>
            <w:noProof/>
            <w:webHidden/>
          </w:rPr>
          <w:t>23</w:t>
        </w:r>
        <w:r w:rsidR="00367964">
          <w:rPr>
            <w:noProof/>
            <w:webHidden/>
          </w:rPr>
          <w:fldChar w:fldCharType="end"/>
        </w:r>
      </w:hyperlink>
    </w:p>
    <w:p w14:paraId="11B0DFD6" w14:textId="2B91BF9A" w:rsidR="00367964" w:rsidRDefault="00AC222A">
      <w:pPr>
        <w:pStyle w:val="TableofFigures"/>
        <w:tabs>
          <w:tab w:val="right" w:leader="dot" w:pos="9040"/>
        </w:tabs>
        <w:rPr>
          <w:noProof/>
          <w:lang w:eastAsia="en-NZ"/>
        </w:rPr>
      </w:pPr>
      <w:hyperlink w:anchor="_Toc77775985" w:history="1">
        <w:r w:rsidR="00367964" w:rsidRPr="0004095C">
          <w:rPr>
            <w:rStyle w:val="Hyperlink"/>
            <w:noProof/>
          </w:rPr>
          <w:t>Graph 2. Percentage of non-court proceedings where personal possession and use is the most serious offence</w:t>
        </w:r>
        <w:r w:rsidR="00367964">
          <w:rPr>
            <w:noProof/>
            <w:webHidden/>
          </w:rPr>
          <w:tab/>
        </w:r>
        <w:r w:rsidR="00367964">
          <w:rPr>
            <w:noProof/>
            <w:webHidden/>
          </w:rPr>
          <w:fldChar w:fldCharType="begin"/>
        </w:r>
        <w:r w:rsidR="00367964">
          <w:rPr>
            <w:noProof/>
            <w:webHidden/>
          </w:rPr>
          <w:instrText xml:space="preserve"> PAGEREF _Toc77775985 \h </w:instrText>
        </w:r>
        <w:r w:rsidR="00367964">
          <w:rPr>
            <w:noProof/>
            <w:webHidden/>
          </w:rPr>
        </w:r>
        <w:r w:rsidR="00367964">
          <w:rPr>
            <w:noProof/>
            <w:webHidden/>
          </w:rPr>
          <w:fldChar w:fldCharType="separate"/>
        </w:r>
        <w:r w:rsidR="00AA3031">
          <w:rPr>
            <w:noProof/>
            <w:webHidden/>
          </w:rPr>
          <w:t>25</w:t>
        </w:r>
        <w:r w:rsidR="00367964">
          <w:rPr>
            <w:noProof/>
            <w:webHidden/>
          </w:rPr>
          <w:fldChar w:fldCharType="end"/>
        </w:r>
      </w:hyperlink>
    </w:p>
    <w:p w14:paraId="4987E13E" w14:textId="19F541EE" w:rsidR="00367964" w:rsidRDefault="00AC222A">
      <w:pPr>
        <w:pStyle w:val="TableofFigures"/>
        <w:tabs>
          <w:tab w:val="right" w:leader="dot" w:pos="9040"/>
        </w:tabs>
        <w:rPr>
          <w:noProof/>
          <w:lang w:eastAsia="en-NZ"/>
        </w:rPr>
      </w:pPr>
      <w:hyperlink w:anchor="_Toc77775986" w:history="1">
        <w:r w:rsidR="00367964" w:rsidRPr="0004095C">
          <w:rPr>
            <w:rStyle w:val="Hyperlink"/>
            <w:noProof/>
          </w:rPr>
          <w:t>Graph 3 Non - court proceedings as a percentage of all proceedings where personal possession and use is the most serious offence</w:t>
        </w:r>
        <w:r w:rsidR="00367964">
          <w:rPr>
            <w:noProof/>
            <w:webHidden/>
          </w:rPr>
          <w:tab/>
        </w:r>
        <w:r w:rsidR="00367964">
          <w:rPr>
            <w:noProof/>
            <w:webHidden/>
          </w:rPr>
          <w:fldChar w:fldCharType="begin"/>
        </w:r>
        <w:r w:rsidR="00367964">
          <w:rPr>
            <w:noProof/>
            <w:webHidden/>
          </w:rPr>
          <w:instrText xml:space="preserve"> PAGEREF _Toc77775986 \h </w:instrText>
        </w:r>
        <w:r w:rsidR="00367964">
          <w:rPr>
            <w:noProof/>
            <w:webHidden/>
          </w:rPr>
        </w:r>
        <w:r w:rsidR="00367964">
          <w:rPr>
            <w:noProof/>
            <w:webHidden/>
          </w:rPr>
          <w:fldChar w:fldCharType="separate"/>
        </w:r>
        <w:r w:rsidR="00AA3031">
          <w:rPr>
            <w:noProof/>
            <w:webHidden/>
          </w:rPr>
          <w:t>25</w:t>
        </w:r>
        <w:r w:rsidR="00367964">
          <w:rPr>
            <w:noProof/>
            <w:webHidden/>
          </w:rPr>
          <w:fldChar w:fldCharType="end"/>
        </w:r>
      </w:hyperlink>
    </w:p>
    <w:p w14:paraId="7CD8F2D1" w14:textId="1E8A536B" w:rsidR="00367964" w:rsidRDefault="00AC222A">
      <w:pPr>
        <w:pStyle w:val="TableofFigures"/>
        <w:tabs>
          <w:tab w:val="right" w:leader="dot" w:pos="9040"/>
        </w:tabs>
        <w:rPr>
          <w:noProof/>
          <w:lang w:eastAsia="en-NZ"/>
        </w:rPr>
      </w:pPr>
      <w:hyperlink w:anchor="_Toc77775987" w:history="1">
        <w:r w:rsidR="00367964" w:rsidRPr="0004095C">
          <w:rPr>
            <w:rStyle w:val="Hyperlink"/>
            <w:noProof/>
          </w:rPr>
          <w:t>Graph 4. Percent non - court proceedings where personal possession and use is one of multiple offences</w:t>
        </w:r>
        <w:r w:rsidR="00367964">
          <w:rPr>
            <w:noProof/>
            <w:webHidden/>
          </w:rPr>
          <w:tab/>
        </w:r>
        <w:r w:rsidR="00367964">
          <w:rPr>
            <w:noProof/>
            <w:webHidden/>
          </w:rPr>
          <w:fldChar w:fldCharType="begin"/>
        </w:r>
        <w:r w:rsidR="00367964">
          <w:rPr>
            <w:noProof/>
            <w:webHidden/>
          </w:rPr>
          <w:instrText xml:space="preserve"> PAGEREF _Toc77775987 \h </w:instrText>
        </w:r>
        <w:r w:rsidR="00367964">
          <w:rPr>
            <w:noProof/>
            <w:webHidden/>
          </w:rPr>
        </w:r>
        <w:r w:rsidR="00367964">
          <w:rPr>
            <w:noProof/>
            <w:webHidden/>
          </w:rPr>
          <w:fldChar w:fldCharType="separate"/>
        </w:r>
        <w:r w:rsidR="00AA3031">
          <w:rPr>
            <w:noProof/>
            <w:webHidden/>
          </w:rPr>
          <w:t>26</w:t>
        </w:r>
        <w:r w:rsidR="00367964">
          <w:rPr>
            <w:noProof/>
            <w:webHidden/>
          </w:rPr>
          <w:fldChar w:fldCharType="end"/>
        </w:r>
      </w:hyperlink>
    </w:p>
    <w:p w14:paraId="29E84053" w14:textId="40A21001" w:rsidR="00367964" w:rsidRDefault="00AC222A">
      <w:pPr>
        <w:pStyle w:val="TableofFigures"/>
        <w:tabs>
          <w:tab w:val="right" w:leader="dot" w:pos="9040"/>
        </w:tabs>
        <w:rPr>
          <w:noProof/>
          <w:lang w:eastAsia="en-NZ"/>
        </w:rPr>
      </w:pPr>
      <w:hyperlink w:anchor="_Toc77775988" w:history="1">
        <w:r w:rsidR="00367964" w:rsidRPr="0004095C">
          <w:rPr>
            <w:rStyle w:val="Hyperlink"/>
            <w:noProof/>
          </w:rPr>
          <w:t>Graph 5 Percentage non-Court by first time and repeat offences where personal possession and use is the most serious offence</w:t>
        </w:r>
        <w:r w:rsidR="00367964">
          <w:rPr>
            <w:noProof/>
            <w:webHidden/>
          </w:rPr>
          <w:tab/>
        </w:r>
        <w:r w:rsidR="00367964">
          <w:rPr>
            <w:noProof/>
            <w:webHidden/>
          </w:rPr>
          <w:fldChar w:fldCharType="begin"/>
        </w:r>
        <w:r w:rsidR="00367964">
          <w:rPr>
            <w:noProof/>
            <w:webHidden/>
          </w:rPr>
          <w:instrText xml:space="preserve"> PAGEREF _Toc77775988 \h </w:instrText>
        </w:r>
        <w:r w:rsidR="00367964">
          <w:rPr>
            <w:noProof/>
            <w:webHidden/>
          </w:rPr>
        </w:r>
        <w:r w:rsidR="00367964">
          <w:rPr>
            <w:noProof/>
            <w:webHidden/>
          </w:rPr>
          <w:fldChar w:fldCharType="separate"/>
        </w:r>
        <w:r w:rsidR="00AA3031">
          <w:rPr>
            <w:noProof/>
            <w:webHidden/>
          </w:rPr>
          <w:t>27</w:t>
        </w:r>
        <w:r w:rsidR="00367964">
          <w:rPr>
            <w:noProof/>
            <w:webHidden/>
          </w:rPr>
          <w:fldChar w:fldCharType="end"/>
        </w:r>
      </w:hyperlink>
    </w:p>
    <w:p w14:paraId="4DF8887E" w14:textId="2F248BDC" w:rsidR="00367964" w:rsidRDefault="00AC222A">
      <w:pPr>
        <w:pStyle w:val="TableofFigures"/>
        <w:tabs>
          <w:tab w:val="right" w:leader="dot" w:pos="9040"/>
        </w:tabs>
        <w:rPr>
          <w:noProof/>
          <w:lang w:eastAsia="en-NZ"/>
        </w:rPr>
      </w:pPr>
      <w:hyperlink w:anchor="_Toc77775989" w:history="1">
        <w:r w:rsidR="00367964" w:rsidRPr="0004095C">
          <w:rPr>
            <w:rStyle w:val="Hyperlink"/>
            <w:noProof/>
          </w:rPr>
          <w:t>Graph 6. Percentage of non-Court Proceedings for personal use and possession offences for youth and adults where personal possession and use is the most serious offence</w:t>
        </w:r>
        <w:r w:rsidR="00367964">
          <w:rPr>
            <w:noProof/>
            <w:webHidden/>
          </w:rPr>
          <w:tab/>
        </w:r>
        <w:r w:rsidR="00367964">
          <w:rPr>
            <w:noProof/>
            <w:webHidden/>
          </w:rPr>
          <w:fldChar w:fldCharType="begin"/>
        </w:r>
        <w:r w:rsidR="00367964">
          <w:rPr>
            <w:noProof/>
            <w:webHidden/>
          </w:rPr>
          <w:instrText xml:space="preserve"> PAGEREF _Toc77775989 \h </w:instrText>
        </w:r>
        <w:r w:rsidR="00367964">
          <w:rPr>
            <w:noProof/>
            <w:webHidden/>
          </w:rPr>
        </w:r>
        <w:r w:rsidR="00367964">
          <w:rPr>
            <w:noProof/>
            <w:webHidden/>
          </w:rPr>
          <w:fldChar w:fldCharType="separate"/>
        </w:r>
        <w:r w:rsidR="00AA3031">
          <w:rPr>
            <w:noProof/>
            <w:webHidden/>
          </w:rPr>
          <w:t>27</w:t>
        </w:r>
        <w:r w:rsidR="00367964">
          <w:rPr>
            <w:noProof/>
            <w:webHidden/>
          </w:rPr>
          <w:fldChar w:fldCharType="end"/>
        </w:r>
      </w:hyperlink>
    </w:p>
    <w:p w14:paraId="52992988" w14:textId="7B0E1B8B" w:rsidR="00367964" w:rsidRDefault="00AC222A">
      <w:pPr>
        <w:pStyle w:val="TableofFigures"/>
        <w:tabs>
          <w:tab w:val="right" w:leader="dot" w:pos="9040"/>
        </w:tabs>
        <w:rPr>
          <w:noProof/>
          <w:lang w:eastAsia="en-NZ"/>
        </w:rPr>
      </w:pPr>
      <w:hyperlink w:anchor="_Toc77775990" w:history="1">
        <w:r w:rsidR="00367964" w:rsidRPr="0004095C">
          <w:rPr>
            <w:rStyle w:val="Hyperlink"/>
            <w:noProof/>
          </w:rPr>
          <w:t>Graph 7.</w:t>
        </w:r>
        <w:r w:rsidR="00367964" w:rsidRPr="0004095C">
          <w:rPr>
            <w:rStyle w:val="Hyperlink"/>
            <w:noProof/>
            <w:lang w:eastAsia="en-NZ"/>
          </w:rPr>
          <w:t xml:space="preserve"> Percentage of Non-court Proceedings by drug type where </w:t>
        </w:r>
        <w:r w:rsidR="00367964" w:rsidRPr="0004095C">
          <w:rPr>
            <w:rStyle w:val="Hyperlink"/>
            <w:noProof/>
          </w:rPr>
          <w:t>personal possession and use is the most serious offence</w:t>
        </w:r>
        <w:r w:rsidR="00367964">
          <w:rPr>
            <w:noProof/>
            <w:webHidden/>
          </w:rPr>
          <w:tab/>
        </w:r>
        <w:r w:rsidR="00367964">
          <w:rPr>
            <w:noProof/>
            <w:webHidden/>
          </w:rPr>
          <w:fldChar w:fldCharType="begin"/>
        </w:r>
        <w:r w:rsidR="00367964">
          <w:rPr>
            <w:noProof/>
            <w:webHidden/>
          </w:rPr>
          <w:instrText xml:space="preserve"> PAGEREF _Toc77775990 \h </w:instrText>
        </w:r>
        <w:r w:rsidR="00367964">
          <w:rPr>
            <w:noProof/>
            <w:webHidden/>
          </w:rPr>
        </w:r>
        <w:r w:rsidR="00367964">
          <w:rPr>
            <w:noProof/>
            <w:webHidden/>
          </w:rPr>
          <w:fldChar w:fldCharType="separate"/>
        </w:r>
        <w:r w:rsidR="00AA3031">
          <w:rPr>
            <w:noProof/>
            <w:webHidden/>
          </w:rPr>
          <w:t>28</w:t>
        </w:r>
        <w:r w:rsidR="00367964">
          <w:rPr>
            <w:noProof/>
            <w:webHidden/>
          </w:rPr>
          <w:fldChar w:fldCharType="end"/>
        </w:r>
      </w:hyperlink>
    </w:p>
    <w:p w14:paraId="58DB257D" w14:textId="280BA5DD" w:rsidR="00367964" w:rsidRDefault="00AC222A">
      <w:pPr>
        <w:pStyle w:val="TableofFigures"/>
        <w:tabs>
          <w:tab w:val="right" w:leader="dot" w:pos="9040"/>
        </w:tabs>
        <w:rPr>
          <w:noProof/>
          <w:lang w:eastAsia="en-NZ"/>
        </w:rPr>
      </w:pPr>
      <w:hyperlink w:anchor="_Toc77775991" w:history="1">
        <w:r w:rsidR="00367964" w:rsidRPr="0004095C">
          <w:rPr>
            <w:rStyle w:val="Hyperlink"/>
            <w:noProof/>
          </w:rPr>
          <w:t>Graph 8. Percentage of non-court action where personal possession and use is the most serious offence by Police district</w:t>
        </w:r>
        <w:r w:rsidR="00367964">
          <w:rPr>
            <w:noProof/>
            <w:webHidden/>
          </w:rPr>
          <w:tab/>
        </w:r>
        <w:r w:rsidR="00367964">
          <w:rPr>
            <w:noProof/>
            <w:webHidden/>
          </w:rPr>
          <w:fldChar w:fldCharType="begin"/>
        </w:r>
        <w:r w:rsidR="00367964">
          <w:rPr>
            <w:noProof/>
            <w:webHidden/>
          </w:rPr>
          <w:instrText xml:space="preserve"> PAGEREF _Toc77775991 \h </w:instrText>
        </w:r>
        <w:r w:rsidR="00367964">
          <w:rPr>
            <w:noProof/>
            <w:webHidden/>
          </w:rPr>
        </w:r>
        <w:r w:rsidR="00367964">
          <w:rPr>
            <w:noProof/>
            <w:webHidden/>
          </w:rPr>
          <w:fldChar w:fldCharType="separate"/>
        </w:r>
        <w:r w:rsidR="00AA3031">
          <w:rPr>
            <w:noProof/>
            <w:webHidden/>
          </w:rPr>
          <w:t>29</w:t>
        </w:r>
        <w:r w:rsidR="00367964">
          <w:rPr>
            <w:noProof/>
            <w:webHidden/>
          </w:rPr>
          <w:fldChar w:fldCharType="end"/>
        </w:r>
      </w:hyperlink>
    </w:p>
    <w:p w14:paraId="6A3A1981" w14:textId="6FF2402B" w:rsidR="00367964" w:rsidRDefault="00AC222A">
      <w:pPr>
        <w:pStyle w:val="TableofFigures"/>
        <w:tabs>
          <w:tab w:val="right" w:leader="dot" w:pos="9040"/>
        </w:tabs>
        <w:rPr>
          <w:noProof/>
          <w:lang w:eastAsia="en-NZ"/>
        </w:rPr>
      </w:pPr>
      <w:hyperlink w:anchor="_Toc77775992" w:history="1">
        <w:r w:rsidR="00367964" w:rsidRPr="0004095C">
          <w:rPr>
            <w:rStyle w:val="Hyperlink"/>
            <w:noProof/>
          </w:rPr>
          <w:t>Figure 9. Use of non-court proceedings where Personal possession and or use is the most serious charge differences by Police district annual average calendar year before amendment and after amendment</w:t>
        </w:r>
        <w:r w:rsidR="00367964">
          <w:rPr>
            <w:noProof/>
            <w:webHidden/>
          </w:rPr>
          <w:tab/>
        </w:r>
        <w:r w:rsidR="00367964">
          <w:rPr>
            <w:noProof/>
            <w:webHidden/>
          </w:rPr>
          <w:fldChar w:fldCharType="begin"/>
        </w:r>
        <w:r w:rsidR="00367964">
          <w:rPr>
            <w:noProof/>
            <w:webHidden/>
          </w:rPr>
          <w:instrText xml:space="preserve"> PAGEREF _Toc77775992 \h </w:instrText>
        </w:r>
        <w:r w:rsidR="00367964">
          <w:rPr>
            <w:noProof/>
            <w:webHidden/>
          </w:rPr>
        </w:r>
        <w:r w:rsidR="00367964">
          <w:rPr>
            <w:noProof/>
            <w:webHidden/>
          </w:rPr>
          <w:fldChar w:fldCharType="separate"/>
        </w:r>
        <w:r w:rsidR="00AA3031">
          <w:rPr>
            <w:noProof/>
            <w:webHidden/>
          </w:rPr>
          <w:t>30</w:t>
        </w:r>
        <w:r w:rsidR="00367964">
          <w:rPr>
            <w:noProof/>
            <w:webHidden/>
          </w:rPr>
          <w:fldChar w:fldCharType="end"/>
        </w:r>
      </w:hyperlink>
    </w:p>
    <w:p w14:paraId="51F155AF" w14:textId="51546A89" w:rsidR="00367964" w:rsidRDefault="00AC222A">
      <w:pPr>
        <w:pStyle w:val="TableofFigures"/>
        <w:tabs>
          <w:tab w:val="right" w:leader="dot" w:pos="9040"/>
        </w:tabs>
        <w:rPr>
          <w:noProof/>
          <w:lang w:eastAsia="en-NZ"/>
        </w:rPr>
      </w:pPr>
      <w:hyperlink w:anchor="_Toc77775993" w:history="1">
        <w:r w:rsidR="00367964" w:rsidRPr="0004095C">
          <w:rPr>
            <w:rStyle w:val="Hyperlink"/>
            <w:noProof/>
          </w:rPr>
          <w:t>Graph 10. Adult diversion for possession and use of personal drugs, by drug type</w:t>
        </w:r>
        <w:r w:rsidR="00367964">
          <w:rPr>
            <w:noProof/>
            <w:webHidden/>
          </w:rPr>
          <w:tab/>
        </w:r>
        <w:r w:rsidR="00367964">
          <w:rPr>
            <w:noProof/>
            <w:webHidden/>
          </w:rPr>
          <w:fldChar w:fldCharType="begin"/>
        </w:r>
        <w:r w:rsidR="00367964">
          <w:rPr>
            <w:noProof/>
            <w:webHidden/>
          </w:rPr>
          <w:instrText xml:space="preserve"> PAGEREF _Toc77775993 \h </w:instrText>
        </w:r>
        <w:r w:rsidR="00367964">
          <w:rPr>
            <w:noProof/>
            <w:webHidden/>
          </w:rPr>
        </w:r>
        <w:r w:rsidR="00367964">
          <w:rPr>
            <w:noProof/>
            <w:webHidden/>
          </w:rPr>
          <w:fldChar w:fldCharType="separate"/>
        </w:r>
        <w:r w:rsidR="00AA3031">
          <w:rPr>
            <w:noProof/>
            <w:webHidden/>
          </w:rPr>
          <w:t>33</w:t>
        </w:r>
        <w:r w:rsidR="00367964">
          <w:rPr>
            <w:noProof/>
            <w:webHidden/>
          </w:rPr>
          <w:fldChar w:fldCharType="end"/>
        </w:r>
      </w:hyperlink>
    </w:p>
    <w:p w14:paraId="32710307" w14:textId="2F5BBC06" w:rsidR="00367964" w:rsidRDefault="00AC222A">
      <w:pPr>
        <w:pStyle w:val="TableofFigures"/>
        <w:tabs>
          <w:tab w:val="right" w:leader="dot" w:pos="9040"/>
        </w:tabs>
        <w:rPr>
          <w:noProof/>
          <w:lang w:eastAsia="en-NZ"/>
        </w:rPr>
      </w:pPr>
      <w:hyperlink w:anchor="_Toc77775994" w:history="1">
        <w:r w:rsidR="00367964" w:rsidRPr="0004095C">
          <w:rPr>
            <w:rStyle w:val="Hyperlink"/>
            <w:noProof/>
          </w:rPr>
          <w:t>Graph 11. Adult diversion for personal possession and use of drugs, where this is the first offence</w:t>
        </w:r>
        <w:r w:rsidR="00367964">
          <w:rPr>
            <w:noProof/>
            <w:webHidden/>
          </w:rPr>
          <w:tab/>
        </w:r>
        <w:r w:rsidR="00367964">
          <w:rPr>
            <w:noProof/>
            <w:webHidden/>
          </w:rPr>
          <w:fldChar w:fldCharType="begin"/>
        </w:r>
        <w:r w:rsidR="00367964">
          <w:rPr>
            <w:noProof/>
            <w:webHidden/>
          </w:rPr>
          <w:instrText xml:space="preserve"> PAGEREF _Toc77775994 \h </w:instrText>
        </w:r>
        <w:r w:rsidR="00367964">
          <w:rPr>
            <w:noProof/>
            <w:webHidden/>
          </w:rPr>
        </w:r>
        <w:r w:rsidR="00367964">
          <w:rPr>
            <w:noProof/>
            <w:webHidden/>
          </w:rPr>
          <w:fldChar w:fldCharType="separate"/>
        </w:r>
        <w:r w:rsidR="00AA3031">
          <w:rPr>
            <w:noProof/>
            <w:webHidden/>
          </w:rPr>
          <w:t>33</w:t>
        </w:r>
        <w:r w:rsidR="00367964">
          <w:rPr>
            <w:noProof/>
            <w:webHidden/>
          </w:rPr>
          <w:fldChar w:fldCharType="end"/>
        </w:r>
      </w:hyperlink>
    </w:p>
    <w:p w14:paraId="348DDEF6" w14:textId="25EED289" w:rsidR="00367964" w:rsidRDefault="00AC222A">
      <w:pPr>
        <w:pStyle w:val="TableofFigures"/>
        <w:tabs>
          <w:tab w:val="right" w:leader="dot" w:pos="9040"/>
        </w:tabs>
        <w:rPr>
          <w:noProof/>
          <w:lang w:eastAsia="en-NZ"/>
        </w:rPr>
      </w:pPr>
      <w:hyperlink w:anchor="_Toc77775995" w:history="1">
        <w:r w:rsidR="00367964" w:rsidRPr="0004095C">
          <w:rPr>
            <w:rStyle w:val="Hyperlink"/>
            <w:noProof/>
          </w:rPr>
          <w:t>Graph 12. Adult diversion for personal possession and use of illegal drugs by number of charges</w:t>
        </w:r>
        <w:r w:rsidR="00367964">
          <w:rPr>
            <w:noProof/>
            <w:webHidden/>
          </w:rPr>
          <w:tab/>
        </w:r>
        <w:r w:rsidR="00367964">
          <w:rPr>
            <w:noProof/>
            <w:webHidden/>
          </w:rPr>
          <w:fldChar w:fldCharType="begin"/>
        </w:r>
        <w:r w:rsidR="00367964">
          <w:rPr>
            <w:noProof/>
            <w:webHidden/>
          </w:rPr>
          <w:instrText xml:space="preserve"> PAGEREF _Toc77775995 \h </w:instrText>
        </w:r>
        <w:r w:rsidR="00367964">
          <w:rPr>
            <w:noProof/>
            <w:webHidden/>
          </w:rPr>
        </w:r>
        <w:r w:rsidR="00367964">
          <w:rPr>
            <w:noProof/>
            <w:webHidden/>
          </w:rPr>
          <w:fldChar w:fldCharType="separate"/>
        </w:r>
        <w:r w:rsidR="00AA3031">
          <w:rPr>
            <w:noProof/>
            <w:webHidden/>
          </w:rPr>
          <w:t>34</w:t>
        </w:r>
        <w:r w:rsidR="00367964">
          <w:rPr>
            <w:noProof/>
            <w:webHidden/>
          </w:rPr>
          <w:fldChar w:fldCharType="end"/>
        </w:r>
      </w:hyperlink>
    </w:p>
    <w:p w14:paraId="41AF5EC8" w14:textId="2D8007A9" w:rsidR="00367964" w:rsidRDefault="00AC222A">
      <w:pPr>
        <w:pStyle w:val="TableofFigures"/>
        <w:tabs>
          <w:tab w:val="right" w:leader="dot" w:pos="9040"/>
        </w:tabs>
        <w:rPr>
          <w:noProof/>
          <w:lang w:eastAsia="en-NZ"/>
        </w:rPr>
      </w:pPr>
      <w:hyperlink w:anchor="_Toc77775996" w:history="1">
        <w:r w:rsidR="00367964" w:rsidRPr="0004095C">
          <w:rPr>
            <w:rStyle w:val="Hyperlink"/>
            <w:noProof/>
          </w:rPr>
          <w:t>Graph 13  Non – court proceedings by ethnicity personal possession and or use most serious charge</w:t>
        </w:r>
        <w:r w:rsidR="00367964">
          <w:rPr>
            <w:noProof/>
            <w:webHidden/>
          </w:rPr>
          <w:tab/>
        </w:r>
        <w:r w:rsidR="00367964">
          <w:rPr>
            <w:noProof/>
            <w:webHidden/>
          </w:rPr>
          <w:fldChar w:fldCharType="begin"/>
        </w:r>
        <w:r w:rsidR="00367964">
          <w:rPr>
            <w:noProof/>
            <w:webHidden/>
          </w:rPr>
          <w:instrText xml:space="preserve"> PAGEREF _Toc77775996 \h </w:instrText>
        </w:r>
        <w:r w:rsidR="00367964">
          <w:rPr>
            <w:noProof/>
            <w:webHidden/>
          </w:rPr>
        </w:r>
        <w:r w:rsidR="00367964">
          <w:rPr>
            <w:noProof/>
            <w:webHidden/>
          </w:rPr>
          <w:fldChar w:fldCharType="separate"/>
        </w:r>
        <w:r w:rsidR="00AA3031">
          <w:rPr>
            <w:noProof/>
            <w:webHidden/>
          </w:rPr>
          <w:t>37</w:t>
        </w:r>
        <w:r w:rsidR="00367964">
          <w:rPr>
            <w:noProof/>
            <w:webHidden/>
          </w:rPr>
          <w:fldChar w:fldCharType="end"/>
        </w:r>
      </w:hyperlink>
    </w:p>
    <w:p w14:paraId="7FD3E935" w14:textId="1AEDE07D" w:rsidR="00367964" w:rsidRDefault="00AC222A">
      <w:pPr>
        <w:pStyle w:val="TableofFigures"/>
        <w:tabs>
          <w:tab w:val="right" w:leader="dot" w:pos="9040"/>
        </w:tabs>
        <w:rPr>
          <w:noProof/>
          <w:lang w:eastAsia="en-NZ"/>
        </w:rPr>
      </w:pPr>
      <w:hyperlink w:anchor="_Toc77775997" w:history="1">
        <w:r w:rsidR="00367964" w:rsidRPr="0004095C">
          <w:rPr>
            <w:rStyle w:val="Hyperlink"/>
            <w:noProof/>
          </w:rPr>
          <w:t>Graph 14. All Non – court proceedings by ethnicity personal possession and or use not most serious charge</w:t>
        </w:r>
        <w:r w:rsidR="00367964">
          <w:rPr>
            <w:noProof/>
            <w:webHidden/>
          </w:rPr>
          <w:tab/>
        </w:r>
        <w:r w:rsidR="00367964">
          <w:rPr>
            <w:noProof/>
            <w:webHidden/>
          </w:rPr>
          <w:fldChar w:fldCharType="begin"/>
        </w:r>
        <w:r w:rsidR="00367964">
          <w:rPr>
            <w:noProof/>
            <w:webHidden/>
          </w:rPr>
          <w:instrText xml:space="preserve"> PAGEREF _Toc77775997 \h </w:instrText>
        </w:r>
        <w:r w:rsidR="00367964">
          <w:rPr>
            <w:noProof/>
            <w:webHidden/>
          </w:rPr>
        </w:r>
        <w:r w:rsidR="00367964">
          <w:rPr>
            <w:noProof/>
            <w:webHidden/>
          </w:rPr>
          <w:fldChar w:fldCharType="separate"/>
        </w:r>
        <w:r w:rsidR="00AA3031">
          <w:rPr>
            <w:noProof/>
            <w:webHidden/>
          </w:rPr>
          <w:t>38</w:t>
        </w:r>
        <w:r w:rsidR="00367964">
          <w:rPr>
            <w:noProof/>
            <w:webHidden/>
          </w:rPr>
          <w:fldChar w:fldCharType="end"/>
        </w:r>
      </w:hyperlink>
    </w:p>
    <w:p w14:paraId="7FA68C30" w14:textId="04269FBA" w:rsidR="00367964" w:rsidRDefault="00AC222A">
      <w:pPr>
        <w:pStyle w:val="TableofFigures"/>
        <w:tabs>
          <w:tab w:val="right" w:leader="dot" w:pos="9040"/>
        </w:tabs>
        <w:rPr>
          <w:noProof/>
          <w:lang w:eastAsia="en-NZ"/>
        </w:rPr>
      </w:pPr>
      <w:hyperlink w:anchor="_Toc77775998" w:history="1">
        <w:r w:rsidR="00367964" w:rsidRPr="0004095C">
          <w:rPr>
            <w:rStyle w:val="Hyperlink"/>
            <w:noProof/>
          </w:rPr>
          <w:t>Graph 15. Prosecution of Māori and non-Māori for personal possession and use of all drugs</w:t>
        </w:r>
        <w:r w:rsidR="00367964">
          <w:rPr>
            <w:noProof/>
            <w:webHidden/>
          </w:rPr>
          <w:tab/>
        </w:r>
        <w:r w:rsidR="00367964">
          <w:rPr>
            <w:noProof/>
            <w:webHidden/>
          </w:rPr>
          <w:fldChar w:fldCharType="begin"/>
        </w:r>
        <w:r w:rsidR="00367964">
          <w:rPr>
            <w:noProof/>
            <w:webHidden/>
          </w:rPr>
          <w:instrText xml:space="preserve"> PAGEREF _Toc77775998 \h </w:instrText>
        </w:r>
        <w:r w:rsidR="00367964">
          <w:rPr>
            <w:noProof/>
            <w:webHidden/>
          </w:rPr>
        </w:r>
        <w:r w:rsidR="00367964">
          <w:rPr>
            <w:noProof/>
            <w:webHidden/>
          </w:rPr>
          <w:fldChar w:fldCharType="separate"/>
        </w:r>
        <w:r w:rsidR="00AA3031">
          <w:rPr>
            <w:noProof/>
            <w:webHidden/>
          </w:rPr>
          <w:t>38</w:t>
        </w:r>
        <w:r w:rsidR="00367964">
          <w:rPr>
            <w:noProof/>
            <w:webHidden/>
          </w:rPr>
          <w:fldChar w:fldCharType="end"/>
        </w:r>
      </w:hyperlink>
    </w:p>
    <w:p w14:paraId="335D0A0B" w14:textId="6376B17F" w:rsidR="00367964" w:rsidRDefault="00AC222A">
      <w:pPr>
        <w:pStyle w:val="TableofFigures"/>
        <w:tabs>
          <w:tab w:val="right" w:leader="dot" w:pos="9040"/>
        </w:tabs>
        <w:rPr>
          <w:noProof/>
          <w:lang w:eastAsia="en-NZ"/>
        </w:rPr>
      </w:pPr>
      <w:hyperlink w:anchor="_Toc77775999" w:history="1">
        <w:r w:rsidR="00367964" w:rsidRPr="0004095C">
          <w:rPr>
            <w:rStyle w:val="Hyperlink"/>
            <w:noProof/>
          </w:rPr>
          <w:t>Graph 16. Conviction numbers of Māori and non-Māori for personal possession and use of all drugs</w:t>
        </w:r>
        <w:r w:rsidR="00367964">
          <w:rPr>
            <w:noProof/>
            <w:webHidden/>
          </w:rPr>
          <w:tab/>
        </w:r>
        <w:r w:rsidR="00367964">
          <w:rPr>
            <w:noProof/>
            <w:webHidden/>
          </w:rPr>
          <w:fldChar w:fldCharType="begin"/>
        </w:r>
        <w:r w:rsidR="00367964">
          <w:rPr>
            <w:noProof/>
            <w:webHidden/>
          </w:rPr>
          <w:instrText xml:space="preserve"> PAGEREF _Toc77775999 \h </w:instrText>
        </w:r>
        <w:r w:rsidR="00367964">
          <w:rPr>
            <w:noProof/>
            <w:webHidden/>
          </w:rPr>
        </w:r>
        <w:r w:rsidR="00367964">
          <w:rPr>
            <w:noProof/>
            <w:webHidden/>
          </w:rPr>
          <w:fldChar w:fldCharType="separate"/>
        </w:r>
        <w:r w:rsidR="00AA3031">
          <w:rPr>
            <w:noProof/>
            <w:webHidden/>
          </w:rPr>
          <w:t>39</w:t>
        </w:r>
        <w:r w:rsidR="00367964">
          <w:rPr>
            <w:noProof/>
            <w:webHidden/>
          </w:rPr>
          <w:fldChar w:fldCharType="end"/>
        </w:r>
      </w:hyperlink>
    </w:p>
    <w:p w14:paraId="13572489" w14:textId="7DC2482C" w:rsidR="00367964" w:rsidRDefault="00AC222A">
      <w:pPr>
        <w:pStyle w:val="TableofFigures"/>
        <w:tabs>
          <w:tab w:val="right" w:leader="dot" w:pos="9040"/>
        </w:tabs>
        <w:rPr>
          <w:noProof/>
          <w:lang w:eastAsia="en-NZ"/>
        </w:rPr>
      </w:pPr>
      <w:hyperlink w:anchor="_Toc77776000" w:history="1">
        <w:r w:rsidR="00367964" w:rsidRPr="0004095C">
          <w:rPr>
            <w:rStyle w:val="Hyperlink"/>
            <w:noProof/>
          </w:rPr>
          <w:t>Graph 17. Percentage of diversions referred for counselling – cannabis and other drugs</w:t>
        </w:r>
        <w:r w:rsidR="00367964">
          <w:rPr>
            <w:noProof/>
            <w:webHidden/>
          </w:rPr>
          <w:tab/>
        </w:r>
        <w:r w:rsidR="00367964">
          <w:rPr>
            <w:noProof/>
            <w:webHidden/>
          </w:rPr>
          <w:fldChar w:fldCharType="begin"/>
        </w:r>
        <w:r w:rsidR="00367964">
          <w:rPr>
            <w:noProof/>
            <w:webHidden/>
          </w:rPr>
          <w:instrText xml:space="preserve"> PAGEREF _Toc77776000 \h </w:instrText>
        </w:r>
        <w:r w:rsidR="00367964">
          <w:rPr>
            <w:noProof/>
            <w:webHidden/>
          </w:rPr>
        </w:r>
        <w:r w:rsidR="00367964">
          <w:rPr>
            <w:noProof/>
            <w:webHidden/>
          </w:rPr>
          <w:fldChar w:fldCharType="separate"/>
        </w:r>
        <w:r w:rsidR="00AA3031">
          <w:rPr>
            <w:noProof/>
            <w:webHidden/>
          </w:rPr>
          <w:t>45</w:t>
        </w:r>
        <w:r w:rsidR="00367964">
          <w:rPr>
            <w:noProof/>
            <w:webHidden/>
          </w:rPr>
          <w:fldChar w:fldCharType="end"/>
        </w:r>
      </w:hyperlink>
    </w:p>
    <w:p w14:paraId="11215BC3" w14:textId="3DB70BB8" w:rsidR="00367964" w:rsidRDefault="00AC222A">
      <w:pPr>
        <w:pStyle w:val="TableofFigures"/>
        <w:tabs>
          <w:tab w:val="right" w:leader="dot" w:pos="9040"/>
        </w:tabs>
        <w:rPr>
          <w:noProof/>
          <w:lang w:eastAsia="en-NZ"/>
        </w:rPr>
      </w:pPr>
      <w:hyperlink w:anchor="_Toc77776001" w:history="1">
        <w:r w:rsidR="00367964" w:rsidRPr="0004095C">
          <w:rPr>
            <w:rStyle w:val="Hyperlink"/>
            <w:noProof/>
          </w:rPr>
          <w:t>Graph 18. Number of referrals by Police to AOD and CEP Teams</w:t>
        </w:r>
        <w:r w:rsidR="00367964">
          <w:rPr>
            <w:noProof/>
            <w:webHidden/>
          </w:rPr>
          <w:tab/>
        </w:r>
        <w:r w:rsidR="00367964">
          <w:rPr>
            <w:noProof/>
            <w:webHidden/>
          </w:rPr>
          <w:fldChar w:fldCharType="begin"/>
        </w:r>
        <w:r w:rsidR="00367964">
          <w:rPr>
            <w:noProof/>
            <w:webHidden/>
          </w:rPr>
          <w:instrText xml:space="preserve"> PAGEREF _Toc77776001 \h </w:instrText>
        </w:r>
        <w:r w:rsidR="00367964">
          <w:rPr>
            <w:noProof/>
            <w:webHidden/>
          </w:rPr>
        </w:r>
        <w:r w:rsidR="00367964">
          <w:rPr>
            <w:noProof/>
            <w:webHidden/>
          </w:rPr>
          <w:fldChar w:fldCharType="separate"/>
        </w:r>
        <w:r w:rsidR="00AA3031">
          <w:rPr>
            <w:noProof/>
            <w:webHidden/>
          </w:rPr>
          <w:t>45</w:t>
        </w:r>
        <w:r w:rsidR="00367964">
          <w:rPr>
            <w:noProof/>
            <w:webHidden/>
          </w:rPr>
          <w:fldChar w:fldCharType="end"/>
        </w:r>
      </w:hyperlink>
    </w:p>
    <w:p w14:paraId="47C9FFF6" w14:textId="4733390C" w:rsidR="00367964" w:rsidRDefault="00AC222A">
      <w:pPr>
        <w:pStyle w:val="TableofFigures"/>
        <w:tabs>
          <w:tab w:val="right" w:leader="dot" w:pos="9040"/>
        </w:tabs>
        <w:rPr>
          <w:noProof/>
          <w:lang w:eastAsia="en-NZ"/>
        </w:rPr>
      </w:pPr>
      <w:hyperlink w:anchor="_Toc77776002" w:history="1">
        <w:r w:rsidR="00367964" w:rsidRPr="0004095C">
          <w:rPr>
            <w:rStyle w:val="Hyperlink"/>
            <w:noProof/>
          </w:rPr>
          <w:t>Graph 19. Police referrals to AOD and CEP teams as a proportion of all referrals</w:t>
        </w:r>
        <w:r w:rsidR="00367964">
          <w:rPr>
            <w:noProof/>
            <w:webHidden/>
          </w:rPr>
          <w:tab/>
        </w:r>
        <w:r w:rsidR="00367964">
          <w:rPr>
            <w:noProof/>
            <w:webHidden/>
          </w:rPr>
          <w:fldChar w:fldCharType="begin"/>
        </w:r>
        <w:r w:rsidR="00367964">
          <w:rPr>
            <w:noProof/>
            <w:webHidden/>
          </w:rPr>
          <w:instrText xml:space="preserve"> PAGEREF _Toc77776002 \h </w:instrText>
        </w:r>
        <w:r w:rsidR="00367964">
          <w:rPr>
            <w:noProof/>
            <w:webHidden/>
          </w:rPr>
        </w:r>
        <w:r w:rsidR="00367964">
          <w:rPr>
            <w:noProof/>
            <w:webHidden/>
          </w:rPr>
          <w:fldChar w:fldCharType="separate"/>
        </w:r>
        <w:r w:rsidR="00AA3031">
          <w:rPr>
            <w:noProof/>
            <w:webHidden/>
          </w:rPr>
          <w:t>47</w:t>
        </w:r>
        <w:r w:rsidR="00367964">
          <w:rPr>
            <w:noProof/>
            <w:webHidden/>
          </w:rPr>
          <w:fldChar w:fldCharType="end"/>
        </w:r>
      </w:hyperlink>
    </w:p>
    <w:p w14:paraId="2B6D5C15" w14:textId="599FB8FC" w:rsidR="00367964" w:rsidRDefault="00AC222A">
      <w:pPr>
        <w:pStyle w:val="TableofFigures"/>
        <w:tabs>
          <w:tab w:val="right" w:leader="dot" w:pos="9040"/>
        </w:tabs>
        <w:rPr>
          <w:noProof/>
          <w:lang w:eastAsia="en-NZ"/>
        </w:rPr>
      </w:pPr>
      <w:hyperlink w:anchor="_Toc77776003" w:history="1">
        <w:r w:rsidR="00367964" w:rsidRPr="0004095C">
          <w:rPr>
            <w:rStyle w:val="Hyperlink"/>
            <w:noProof/>
          </w:rPr>
          <w:t>GRAPH 20. Synthetic Cannabinoid Seizures - Quantity</w:t>
        </w:r>
        <w:r w:rsidR="00367964">
          <w:rPr>
            <w:noProof/>
            <w:webHidden/>
          </w:rPr>
          <w:tab/>
        </w:r>
        <w:r w:rsidR="00367964">
          <w:rPr>
            <w:noProof/>
            <w:webHidden/>
          </w:rPr>
          <w:fldChar w:fldCharType="begin"/>
        </w:r>
        <w:r w:rsidR="00367964">
          <w:rPr>
            <w:noProof/>
            <w:webHidden/>
          </w:rPr>
          <w:instrText xml:space="preserve"> PAGEREF _Toc77776003 \h </w:instrText>
        </w:r>
        <w:r w:rsidR="00367964">
          <w:rPr>
            <w:noProof/>
            <w:webHidden/>
          </w:rPr>
        </w:r>
        <w:r w:rsidR="00367964">
          <w:rPr>
            <w:noProof/>
            <w:webHidden/>
          </w:rPr>
          <w:fldChar w:fldCharType="separate"/>
        </w:r>
        <w:r w:rsidR="00AA3031">
          <w:rPr>
            <w:noProof/>
            <w:webHidden/>
          </w:rPr>
          <w:t>64</w:t>
        </w:r>
        <w:r w:rsidR="00367964">
          <w:rPr>
            <w:noProof/>
            <w:webHidden/>
          </w:rPr>
          <w:fldChar w:fldCharType="end"/>
        </w:r>
      </w:hyperlink>
    </w:p>
    <w:p w14:paraId="1D7251B2" w14:textId="137BEC93" w:rsidR="00367964" w:rsidRDefault="00AC222A">
      <w:pPr>
        <w:pStyle w:val="TableofFigures"/>
        <w:tabs>
          <w:tab w:val="right" w:leader="dot" w:pos="9040"/>
        </w:tabs>
        <w:rPr>
          <w:noProof/>
          <w:lang w:eastAsia="en-NZ"/>
        </w:rPr>
      </w:pPr>
      <w:hyperlink w:anchor="_Toc77776004" w:history="1">
        <w:r w:rsidR="00367964" w:rsidRPr="0004095C">
          <w:rPr>
            <w:rStyle w:val="Hyperlink"/>
            <w:noProof/>
          </w:rPr>
          <w:t>Graph  21 Synthetic Cannabis Seizures - Quantity</w:t>
        </w:r>
        <w:r w:rsidR="00367964">
          <w:rPr>
            <w:noProof/>
            <w:webHidden/>
          </w:rPr>
          <w:tab/>
        </w:r>
        <w:r w:rsidR="00367964">
          <w:rPr>
            <w:noProof/>
            <w:webHidden/>
          </w:rPr>
          <w:fldChar w:fldCharType="begin"/>
        </w:r>
        <w:r w:rsidR="00367964">
          <w:rPr>
            <w:noProof/>
            <w:webHidden/>
          </w:rPr>
          <w:instrText xml:space="preserve"> PAGEREF _Toc77776004 \h </w:instrText>
        </w:r>
        <w:r w:rsidR="00367964">
          <w:rPr>
            <w:noProof/>
            <w:webHidden/>
          </w:rPr>
        </w:r>
        <w:r w:rsidR="00367964">
          <w:rPr>
            <w:noProof/>
            <w:webHidden/>
          </w:rPr>
          <w:fldChar w:fldCharType="separate"/>
        </w:r>
        <w:r w:rsidR="00AA3031">
          <w:rPr>
            <w:noProof/>
            <w:webHidden/>
          </w:rPr>
          <w:t>64</w:t>
        </w:r>
        <w:r w:rsidR="00367964">
          <w:rPr>
            <w:noProof/>
            <w:webHidden/>
          </w:rPr>
          <w:fldChar w:fldCharType="end"/>
        </w:r>
      </w:hyperlink>
    </w:p>
    <w:p w14:paraId="45B4D8C1" w14:textId="7FD5DA88" w:rsidR="00367964" w:rsidRDefault="00AC222A">
      <w:pPr>
        <w:pStyle w:val="TableofFigures"/>
        <w:tabs>
          <w:tab w:val="right" w:leader="dot" w:pos="9040"/>
        </w:tabs>
        <w:rPr>
          <w:noProof/>
          <w:lang w:eastAsia="en-NZ"/>
        </w:rPr>
      </w:pPr>
      <w:hyperlink w:anchor="_Toc77776005" w:history="1">
        <w:r w:rsidR="00367964" w:rsidRPr="0004095C">
          <w:rPr>
            <w:rStyle w:val="Hyperlink"/>
            <w:noProof/>
          </w:rPr>
          <w:t>Graph 22 ESR testing for synthetic cannabinoids</w:t>
        </w:r>
        <w:r w:rsidR="00367964">
          <w:rPr>
            <w:noProof/>
            <w:webHidden/>
          </w:rPr>
          <w:tab/>
        </w:r>
        <w:r w:rsidR="00367964">
          <w:rPr>
            <w:noProof/>
            <w:webHidden/>
          </w:rPr>
          <w:fldChar w:fldCharType="begin"/>
        </w:r>
        <w:r w:rsidR="00367964">
          <w:rPr>
            <w:noProof/>
            <w:webHidden/>
          </w:rPr>
          <w:instrText xml:space="preserve"> PAGEREF _Toc77776005 \h </w:instrText>
        </w:r>
        <w:r w:rsidR="00367964">
          <w:rPr>
            <w:noProof/>
            <w:webHidden/>
          </w:rPr>
        </w:r>
        <w:r w:rsidR="00367964">
          <w:rPr>
            <w:noProof/>
            <w:webHidden/>
          </w:rPr>
          <w:fldChar w:fldCharType="separate"/>
        </w:r>
        <w:r w:rsidR="00AA3031">
          <w:rPr>
            <w:noProof/>
            <w:webHidden/>
          </w:rPr>
          <w:t>66</w:t>
        </w:r>
        <w:r w:rsidR="00367964">
          <w:rPr>
            <w:noProof/>
            <w:webHidden/>
          </w:rPr>
          <w:fldChar w:fldCharType="end"/>
        </w:r>
      </w:hyperlink>
    </w:p>
    <w:p w14:paraId="49D5953D" w14:textId="45EC3BB4" w:rsidR="00997C38" w:rsidRPr="004A41BB" w:rsidRDefault="00A45C46" w:rsidP="0075514F">
      <w:r w:rsidRPr="004A41BB">
        <w:fldChar w:fldCharType="end"/>
      </w:r>
    </w:p>
    <w:p w14:paraId="67703C0F" w14:textId="4FDE0C5B" w:rsidR="00367964" w:rsidRDefault="00C67CE7">
      <w:pPr>
        <w:pStyle w:val="TableofFigures"/>
        <w:tabs>
          <w:tab w:val="right" w:leader="dot" w:pos="9040"/>
        </w:tabs>
        <w:rPr>
          <w:noProof/>
          <w:lang w:eastAsia="en-NZ"/>
        </w:rPr>
      </w:pPr>
      <w:r w:rsidRPr="004A41BB">
        <w:fldChar w:fldCharType="begin"/>
      </w:r>
      <w:r w:rsidRPr="004A41BB">
        <w:instrText xml:space="preserve"> TOC \h \z \c "Table" </w:instrText>
      </w:r>
      <w:r w:rsidRPr="004A41BB">
        <w:fldChar w:fldCharType="separate"/>
      </w:r>
      <w:hyperlink w:anchor="_Toc77776097" w:history="1">
        <w:r w:rsidR="00367964" w:rsidRPr="00441AA4">
          <w:rPr>
            <w:rStyle w:val="Hyperlink"/>
            <w:noProof/>
          </w:rPr>
          <w:t>Table 1.Prosecutions for methamphetamine and cannabis possession and use</w:t>
        </w:r>
        <w:r w:rsidR="00367964">
          <w:rPr>
            <w:noProof/>
            <w:webHidden/>
          </w:rPr>
          <w:tab/>
        </w:r>
        <w:r w:rsidR="00367964">
          <w:rPr>
            <w:noProof/>
            <w:webHidden/>
          </w:rPr>
          <w:fldChar w:fldCharType="begin"/>
        </w:r>
        <w:r w:rsidR="00367964">
          <w:rPr>
            <w:noProof/>
            <w:webHidden/>
          </w:rPr>
          <w:instrText xml:space="preserve"> PAGEREF _Toc77776097 \h </w:instrText>
        </w:r>
        <w:r w:rsidR="00367964">
          <w:rPr>
            <w:noProof/>
            <w:webHidden/>
          </w:rPr>
        </w:r>
        <w:r w:rsidR="00367964">
          <w:rPr>
            <w:noProof/>
            <w:webHidden/>
          </w:rPr>
          <w:fldChar w:fldCharType="separate"/>
        </w:r>
        <w:r w:rsidR="00AA3031">
          <w:rPr>
            <w:noProof/>
            <w:webHidden/>
          </w:rPr>
          <w:t>35</w:t>
        </w:r>
        <w:r w:rsidR="00367964">
          <w:rPr>
            <w:noProof/>
            <w:webHidden/>
          </w:rPr>
          <w:fldChar w:fldCharType="end"/>
        </w:r>
      </w:hyperlink>
    </w:p>
    <w:p w14:paraId="57BCF8C5" w14:textId="7924EFD6" w:rsidR="00367964" w:rsidRDefault="00AC222A">
      <w:pPr>
        <w:pStyle w:val="TableofFigures"/>
        <w:tabs>
          <w:tab w:val="right" w:leader="dot" w:pos="9040"/>
        </w:tabs>
        <w:rPr>
          <w:noProof/>
          <w:lang w:eastAsia="en-NZ"/>
        </w:rPr>
      </w:pPr>
      <w:hyperlink w:anchor="_Toc77776098" w:history="1">
        <w:r w:rsidR="00367964" w:rsidRPr="00441AA4">
          <w:rPr>
            <w:rStyle w:val="Hyperlink"/>
            <w:noProof/>
          </w:rPr>
          <w:t>Table 2 Court action Māori and Non-Māori before and after the Amendment</w:t>
        </w:r>
        <w:r w:rsidR="00367964">
          <w:rPr>
            <w:noProof/>
            <w:webHidden/>
          </w:rPr>
          <w:tab/>
        </w:r>
        <w:r w:rsidR="00367964">
          <w:rPr>
            <w:noProof/>
            <w:webHidden/>
          </w:rPr>
          <w:fldChar w:fldCharType="begin"/>
        </w:r>
        <w:r w:rsidR="00367964">
          <w:rPr>
            <w:noProof/>
            <w:webHidden/>
          </w:rPr>
          <w:instrText xml:space="preserve"> PAGEREF _Toc77776098 \h </w:instrText>
        </w:r>
        <w:r w:rsidR="00367964">
          <w:rPr>
            <w:noProof/>
            <w:webHidden/>
          </w:rPr>
        </w:r>
        <w:r w:rsidR="00367964">
          <w:rPr>
            <w:noProof/>
            <w:webHidden/>
          </w:rPr>
          <w:fldChar w:fldCharType="separate"/>
        </w:r>
        <w:r w:rsidR="00AA3031">
          <w:rPr>
            <w:noProof/>
            <w:webHidden/>
          </w:rPr>
          <w:t>37</w:t>
        </w:r>
        <w:r w:rsidR="00367964">
          <w:rPr>
            <w:noProof/>
            <w:webHidden/>
          </w:rPr>
          <w:fldChar w:fldCharType="end"/>
        </w:r>
      </w:hyperlink>
    </w:p>
    <w:p w14:paraId="07A077EF" w14:textId="5F43C12E" w:rsidR="00367964" w:rsidRDefault="00AC222A">
      <w:pPr>
        <w:pStyle w:val="TableofFigures"/>
        <w:tabs>
          <w:tab w:val="right" w:leader="dot" w:pos="9040"/>
        </w:tabs>
        <w:rPr>
          <w:noProof/>
          <w:lang w:eastAsia="en-NZ"/>
        </w:rPr>
      </w:pPr>
      <w:hyperlink w:anchor="_Toc77776099" w:history="1">
        <w:r w:rsidR="00367964" w:rsidRPr="00441AA4">
          <w:rPr>
            <w:rStyle w:val="Hyperlink"/>
            <w:noProof/>
          </w:rPr>
          <w:t>Table 3: Police referrals to the MoDA referral pathway</w:t>
        </w:r>
        <w:r w:rsidR="00367964">
          <w:rPr>
            <w:noProof/>
            <w:webHidden/>
          </w:rPr>
          <w:tab/>
        </w:r>
        <w:r w:rsidR="00367964">
          <w:rPr>
            <w:noProof/>
            <w:webHidden/>
          </w:rPr>
          <w:fldChar w:fldCharType="begin"/>
        </w:r>
        <w:r w:rsidR="00367964">
          <w:rPr>
            <w:noProof/>
            <w:webHidden/>
          </w:rPr>
          <w:instrText xml:space="preserve"> PAGEREF _Toc77776099 \h </w:instrText>
        </w:r>
        <w:r w:rsidR="00367964">
          <w:rPr>
            <w:noProof/>
            <w:webHidden/>
          </w:rPr>
        </w:r>
        <w:r w:rsidR="00367964">
          <w:rPr>
            <w:noProof/>
            <w:webHidden/>
          </w:rPr>
          <w:fldChar w:fldCharType="separate"/>
        </w:r>
        <w:r w:rsidR="00AA3031">
          <w:rPr>
            <w:noProof/>
            <w:webHidden/>
          </w:rPr>
          <w:t>42</w:t>
        </w:r>
        <w:r w:rsidR="00367964">
          <w:rPr>
            <w:noProof/>
            <w:webHidden/>
          </w:rPr>
          <w:fldChar w:fldCharType="end"/>
        </w:r>
      </w:hyperlink>
    </w:p>
    <w:p w14:paraId="3225C18D" w14:textId="303A2182" w:rsidR="00367964" w:rsidRDefault="00AC222A">
      <w:pPr>
        <w:pStyle w:val="TableofFigures"/>
        <w:tabs>
          <w:tab w:val="right" w:leader="dot" w:pos="9040"/>
        </w:tabs>
        <w:rPr>
          <w:noProof/>
          <w:lang w:eastAsia="en-NZ"/>
        </w:rPr>
      </w:pPr>
      <w:hyperlink w:anchor="_Toc77776100" w:history="1">
        <w:r w:rsidR="00367964" w:rsidRPr="00441AA4">
          <w:rPr>
            <w:rStyle w:val="Hyperlink"/>
            <w:noProof/>
          </w:rPr>
          <w:t>Table 4: Referrals from Police to addiction services through AWHI</w:t>
        </w:r>
        <w:r w:rsidR="00367964">
          <w:rPr>
            <w:noProof/>
            <w:webHidden/>
          </w:rPr>
          <w:tab/>
        </w:r>
        <w:r w:rsidR="00367964">
          <w:rPr>
            <w:noProof/>
            <w:webHidden/>
          </w:rPr>
          <w:fldChar w:fldCharType="begin"/>
        </w:r>
        <w:r w:rsidR="00367964">
          <w:rPr>
            <w:noProof/>
            <w:webHidden/>
          </w:rPr>
          <w:instrText xml:space="preserve"> PAGEREF _Toc77776100 \h </w:instrText>
        </w:r>
        <w:r w:rsidR="00367964">
          <w:rPr>
            <w:noProof/>
            <w:webHidden/>
          </w:rPr>
        </w:r>
        <w:r w:rsidR="00367964">
          <w:rPr>
            <w:noProof/>
            <w:webHidden/>
          </w:rPr>
          <w:fldChar w:fldCharType="separate"/>
        </w:r>
        <w:r w:rsidR="00AA3031">
          <w:rPr>
            <w:noProof/>
            <w:webHidden/>
          </w:rPr>
          <w:t>44</w:t>
        </w:r>
        <w:r w:rsidR="00367964">
          <w:rPr>
            <w:noProof/>
            <w:webHidden/>
          </w:rPr>
          <w:fldChar w:fldCharType="end"/>
        </w:r>
      </w:hyperlink>
    </w:p>
    <w:p w14:paraId="6D7EFAC3" w14:textId="27819DF7" w:rsidR="00367964" w:rsidRDefault="00AC222A">
      <w:pPr>
        <w:pStyle w:val="TableofFigures"/>
        <w:tabs>
          <w:tab w:val="right" w:leader="dot" w:pos="9040"/>
        </w:tabs>
        <w:rPr>
          <w:noProof/>
          <w:lang w:eastAsia="en-NZ"/>
        </w:rPr>
      </w:pPr>
      <w:hyperlink w:anchor="_Toc77776101" w:history="1">
        <w:r w:rsidR="00367964" w:rsidRPr="00441AA4">
          <w:rPr>
            <w:rStyle w:val="Hyperlink"/>
            <w:noProof/>
          </w:rPr>
          <w:t>Table 5. Strengths observed in the MoDA Referral Pathway and AWHI</w:t>
        </w:r>
        <w:r w:rsidR="00367964">
          <w:rPr>
            <w:noProof/>
            <w:webHidden/>
          </w:rPr>
          <w:tab/>
        </w:r>
        <w:r w:rsidR="00367964">
          <w:rPr>
            <w:noProof/>
            <w:webHidden/>
          </w:rPr>
          <w:fldChar w:fldCharType="begin"/>
        </w:r>
        <w:r w:rsidR="00367964">
          <w:rPr>
            <w:noProof/>
            <w:webHidden/>
          </w:rPr>
          <w:instrText xml:space="preserve"> PAGEREF _Toc77776101 \h </w:instrText>
        </w:r>
        <w:r w:rsidR="00367964">
          <w:rPr>
            <w:noProof/>
            <w:webHidden/>
          </w:rPr>
        </w:r>
        <w:r w:rsidR="00367964">
          <w:rPr>
            <w:noProof/>
            <w:webHidden/>
          </w:rPr>
          <w:fldChar w:fldCharType="separate"/>
        </w:r>
        <w:r w:rsidR="00AA3031">
          <w:rPr>
            <w:noProof/>
            <w:webHidden/>
          </w:rPr>
          <w:t>57</w:t>
        </w:r>
        <w:r w:rsidR="00367964">
          <w:rPr>
            <w:noProof/>
            <w:webHidden/>
          </w:rPr>
          <w:fldChar w:fldCharType="end"/>
        </w:r>
      </w:hyperlink>
    </w:p>
    <w:p w14:paraId="3B67020D" w14:textId="38098B43" w:rsidR="00367964" w:rsidRDefault="00AC222A">
      <w:pPr>
        <w:pStyle w:val="TableofFigures"/>
        <w:tabs>
          <w:tab w:val="right" w:leader="dot" w:pos="9040"/>
        </w:tabs>
        <w:rPr>
          <w:noProof/>
          <w:lang w:eastAsia="en-NZ"/>
        </w:rPr>
      </w:pPr>
      <w:hyperlink w:anchor="_Toc77776102" w:history="1">
        <w:r w:rsidR="00367964" w:rsidRPr="00441AA4">
          <w:rPr>
            <w:rStyle w:val="Hyperlink"/>
            <w:noProof/>
          </w:rPr>
          <w:t xml:space="preserve">Table 6. Numbers of deaths in closed coronial cases between January 2016 and 30 April 2021 involving synthetic cannabinoids  </w:t>
        </w:r>
        <w:r w:rsidR="00367964">
          <w:rPr>
            <w:noProof/>
            <w:webHidden/>
          </w:rPr>
          <w:tab/>
        </w:r>
        <w:r w:rsidR="00367964">
          <w:rPr>
            <w:noProof/>
            <w:webHidden/>
          </w:rPr>
          <w:fldChar w:fldCharType="begin"/>
        </w:r>
        <w:r w:rsidR="00367964">
          <w:rPr>
            <w:noProof/>
            <w:webHidden/>
          </w:rPr>
          <w:instrText xml:space="preserve"> PAGEREF _Toc77776102 \h </w:instrText>
        </w:r>
        <w:r w:rsidR="00367964">
          <w:rPr>
            <w:noProof/>
            <w:webHidden/>
          </w:rPr>
        </w:r>
        <w:r w:rsidR="00367964">
          <w:rPr>
            <w:noProof/>
            <w:webHidden/>
          </w:rPr>
          <w:fldChar w:fldCharType="separate"/>
        </w:r>
        <w:r w:rsidR="00AA3031">
          <w:rPr>
            <w:noProof/>
            <w:webHidden/>
          </w:rPr>
          <w:t>61</w:t>
        </w:r>
        <w:r w:rsidR="00367964">
          <w:rPr>
            <w:noProof/>
            <w:webHidden/>
          </w:rPr>
          <w:fldChar w:fldCharType="end"/>
        </w:r>
      </w:hyperlink>
    </w:p>
    <w:p w14:paraId="79C68642" w14:textId="147FB9BF" w:rsidR="00367964" w:rsidRDefault="00AC222A">
      <w:pPr>
        <w:pStyle w:val="TableofFigures"/>
        <w:tabs>
          <w:tab w:val="right" w:leader="dot" w:pos="9040"/>
        </w:tabs>
        <w:rPr>
          <w:noProof/>
          <w:lang w:eastAsia="en-NZ"/>
        </w:rPr>
      </w:pPr>
      <w:hyperlink w:anchor="_Toc77776103" w:history="1">
        <w:r w:rsidR="00367964" w:rsidRPr="00441AA4">
          <w:rPr>
            <w:rStyle w:val="Hyperlink"/>
            <w:smallCaps/>
            <w:noProof/>
          </w:rPr>
          <w:t>Table 7 Hospital discharges with a synthetic cannabinoid general diagnosis and principal diagnosis</w:t>
        </w:r>
        <w:r w:rsidR="00367964">
          <w:rPr>
            <w:noProof/>
            <w:webHidden/>
          </w:rPr>
          <w:tab/>
        </w:r>
        <w:r w:rsidR="00367964">
          <w:rPr>
            <w:noProof/>
            <w:webHidden/>
          </w:rPr>
          <w:fldChar w:fldCharType="begin"/>
        </w:r>
        <w:r w:rsidR="00367964">
          <w:rPr>
            <w:noProof/>
            <w:webHidden/>
          </w:rPr>
          <w:instrText xml:space="preserve"> PAGEREF _Toc77776103 \h </w:instrText>
        </w:r>
        <w:r w:rsidR="00367964">
          <w:rPr>
            <w:noProof/>
            <w:webHidden/>
          </w:rPr>
        </w:r>
        <w:r w:rsidR="00367964">
          <w:rPr>
            <w:noProof/>
            <w:webHidden/>
          </w:rPr>
          <w:fldChar w:fldCharType="separate"/>
        </w:r>
        <w:r w:rsidR="00AA3031">
          <w:rPr>
            <w:noProof/>
            <w:webHidden/>
          </w:rPr>
          <w:t>62</w:t>
        </w:r>
        <w:r w:rsidR="00367964">
          <w:rPr>
            <w:noProof/>
            <w:webHidden/>
          </w:rPr>
          <w:fldChar w:fldCharType="end"/>
        </w:r>
      </w:hyperlink>
    </w:p>
    <w:p w14:paraId="50199480" w14:textId="0545A5F4" w:rsidR="00367964" w:rsidRDefault="00AC222A">
      <w:pPr>
        <w:pStyle w:val="TableofFigures"/>
        <w:tabs>
          <w:tab w:val="right" w:leader="dot" w:pos="9040"/>
        </w:tabs>
        <w:rPr>
          <w:noProof/>
          <w:lang w:eastAsia="en-NZ"/>
        </w:rPr>
      </w:pPr>
      <w:hyperlink w:anchor="_Toc77776104" w:history="1">
        <w:r w:rsidR="00367964" w:rsidRPr="00441AA4">
          <w:rPr>
            <w:rStyle w:val="Hyperlink"/>
            <w:noProof/>
          </w:rPr>
          <w:t>Table 8 the percentage of Hospital discharges with a synthetic cannabinoid related PRINCIPAL diagnosis by ethnicity</w:t>
        </w:r>
        <w:r w:rsidR="00367964">
          <w:rPr>
            <w:noProof/>
            <w:webHidden/>
          </w:rPr>
          <w:tab/>
        </w:r>
        <w:r w:rsidR="00367964">
          <w:rPr>
            <w:noProof/>
            <w:webHidden/>
          </w:rPr>
          <w:fldChar w:fldCharType="begin"/>
        </w:r>
        <w:r w:rsidR="00367964">
          <w:rPr>
            <w:noProof/>
            <w:webHidden/>
          </w:rPr>
          <w:instrText xml:space="preserve"> PAGEREF _Toc77776104 \h </w:instrText>
        </w:r>
        <w:r w:rsidR="00367964">
          <w:rPr>
            <w:noProof/>
            <w:webHidden/>
          </w:rPr>
        </w:r>
        <w:r w:rsidR="00367964">
          <w:rPr>
            <w:noProof/>
            <w:webHidden/>
          </w:rPr>
          <w:fldChar w:fldCharType="separate"/>
        </w:r>
        <w:r w:rsidR="00AA3031">
          <w:rPr>
            <w:noProof/>
            <w:webHidden/>
          </w:rPr>
          <w:t>63</w:t>
        </w:r>
        <w:r w:rsidR="00367964">
          <w:rPr>
            <w:noProof/>
            <w:webHidden/>
          </w:rPr>
          <w:fldChar w:fldCharType="end"/>
        </w:r>
      </w:hyperlink>
    </w:p>
    <w:p w14:paraId="0062DC87" w14:textId="763E00AC" w:rsidR="00367964" w:rsidRDefault="00AC222A">
      <w:pPr>
        <w:pStyle w:val="TableofFigures"/>
        <w:tabs>
          <w:tab w:val="right" w:leader="dot" w:pos="9040"/>
        </w:tabs>
        <w:rPr>
          <w:noProof/>
          <w:lang w:eastAsia="en-NZ"/>
        </w:rPr>
      </w:pPr>
      <w:hyperlink w:anchor="_Toc77776105" w:history="1">
        <w:r w:rsidR="00367964" w:rsidRPr="00441AA4">
          <w:rPr>
            <w:rStyle w:val="Hyperlink"/>
            <w:noProof/>
          </w:rPr>
          <w:t>Table 9. Methamphetamine annual seizure quantity (Kilograms)</w:t>
        </w:r>
        <w:r w:rsidR="00367964">
          <w:rPr>
            <w:noProof/>
            <w:webHidden/>
          </w:rPr>
          <w:tab/>
        </w:r>
        <w:r w:rsidR="00367964">
          <w:rPr>
            <w:noProof/>
            <w:webHidden/>
          </w:rPr>
          <w:fldChar w:fldCharType="begin"/>
        </w:r>
        <w:r w:rsidR="00367964">
          <w:rPr>
            <w:noProof/>
            <w:webHidden/>
          </w:rPr>
          <w:instrText xml:space="preserve"> PAGEREF _Toc77776105 \h </w:instrText>
        </w:r>
        <w:r w:rsidR="00367964">
          <w:rPr>
            <w:noProof/>
            <w:webHidden/>
          </w:rPr>
        </w:r>
        <w:r w:rsidR="00367964">
          <w:rPr>
            <w:noProof/>
            <w:webHidden/>
          </w:rPr>
          <w:fldChar w:fldCharType="separate"/>
        </w:r>
        <w:r w:rsidR="00AA3031">
          <w:rPr>
            <w:noProof/>
            <w:webHidden/>
          </w:rPr>
          <w:t>88</w:t>
        </w:r>
        <w:r w:rsidR="00367964">
          <w:rPr>
            <w:noProof/>
            <w:webHidden/>
          </w:rPr>
          <w:fldChar w:fldCharType="end"/>
        </w:r>
      </w:hyperlink>
    </w:p>
    <w:p w14:paraId="6BB2DB57" w14:textId="5529ECE0" w:rsidR="00367964" w:rsidRDefault="00AC222A">
      <w:pPr>
        <w:pStyle w:val="TableofFigures"/>
        <w:tabs>
          <w:tab w:val="right" w:leader="dot" w:pos="9040"/>
        </w:tabs>
        <w:rPr>
          <w:noProof/>
          <w:lang w:eastAsia="en-NZ"/>
        </w:rPr>
      </w:pPr>
      <w:hyperlink w:anchor="_Toc77776106" w:history="1">
        <w:r w:rsidR="00367964" w:rsidRPr="00441AA4">
          <w:rPr>
            <w:rStyle w:val="Hyperlink"/>
            <w:noProof/>
          </w:rPr>
          <w:t>Table 10. Cannabis head/leaf annual seizure quantity (Kilograms)</w:t>
        </w:r>
        <w:r w:rsidR="00367964">
          <w:rPr>
            <w:noProof/>
            <w:webHidden/>
          </w:rPr>
          <w:tab/>
        </w:r>
        <w:r w:rsidR="00367964">
          <w:rPr>
            <w:noProof/>
            <w:webHidden/>
          </w:rPr>
          <w:fldChar w:fldCharType="begin"/>
        </w:r>
        <w:r w:rsidR="00367964">
          <w:rPr>
            <w:noProof/>
            <w:webHidden/>
          </w:rPr>
          <w:instrText xml:space="preserve"> PAGEREF _Toc77776106 \h </w:instrText>
        </w:r>
        <w:r w:rsidR="00367964">
          <w:rPr>
            <w:noProof/>
            <w:webHidden/>
          </w:rPr>
        </w:r>
        <w:r w:rsidR="00367964">
          <w:rPr>
            <w:noProof/>
            <w:webHidden/>
          </w:rPr>
          <w:fldChar w:fldCharType="separate"/>
        </w:r>
        <w:r w:rsidR="00AA3031">
          <w:rPr>
            <w:noProof/>
            <w:webHidden/>
          </w:rPr>
          <w:t>88</w:t>
        </w:r>
        <w:r w:rsidR="00367964">
          <w:rPr>
            <w:noProof/>
            <w:webHidden/>
          </w:rPr>
          <w:fldChar w:fldCharType="end"/>
        </w:r>
      </w:hyperlink>
    </w:p>
    <w:p w14:paraId="47959091" w14:textId="44B5123F" w:rsidR="00367964" w:rsidRDefault="00AC222A">
      <w:pPr>
        <w:pStyle w:val="TableofFigures"/>
        <w:tabs>
          <w:tab w:val="right" w:leader="dot" w:pos="9040"/>
        </w:tabs>
        <w:rPr>
          <w:noProof/>
          <w:lang w:eastAsia="en-NZ"/>
        </w:rPr>
      </w:pPr>
      <w:hyperlink w:anchor="_Toc77776107" w:history="1">
        <w:r w:rsidR="00367964" w:rsidRPr="00441AA4">
          <w:rPr>
            <w:rStyle w:val="Hyperlink"/>
            <w:noProof/>
          </w:rPr>
          <w:t>Table 11. Synthetic cannabinoid plant material annual seizure quantity (Grams)</w:t>
        </w:r>
        <w:r w:rsidR="00367964">
          <w:rPr>
            <w:noProof/>
            <w:webHidden/>
          </w:rPr>
          <w:tab/>
        </w:r>
        <w:r w:rsidR="00367964">
          <w:rPr>
            <w:noProof/>
            <w:webHidden/>
          </w:rPr>
          <w:fldChar w:fldCharType="begin"/>
        </w:r>
        <w:r w:rsidR="00367964">
          <w:rPr>
            <w:noProof/>
            <w:webHidden/>
          </w:rPr>
          <w:instrText xml:space="preserve"> PAGEREF _Toc77776107 \h </w:instrText>
        </w:r>
        <w:r w:rsidR="00367964">
          <w:rPr>
            <w:noProof/>
            <w:webHidden/>
          </w:rPr>
        </w:r>
        <w:r w:rsidR="00367964">
          <w:rPr>
            <w:noProof/>
            <w:webHidden/>
          </w:rPr>
          <w:fldChar w:fldCharType="separate"/>
        </w:r>
        <w:r w:rsidR="00AA3031">
          <w:rPr>
            <w:noProof/>
            <w:webHidden/>
          </w:rPr>
          <w:t>88</w:t>
        </w:r>
        <w:r w:rsidR="00367964">
          <w:rPr>
            <w:noProof/>
            <w:webHidden/>
          </w:rPr>
          <w:fldChar w:fldCharType="end"/>
        </w:r>
      </w:hyperlink>
    </w:p>
    <w:p w14:paraId="4FD7EB8F" w14:textId="4FBB54DB" w:rsidR="00367964" w:rsidRDefault="00AC222A">
      <w:pPr>
        <w:pStyle w:val="TableofFigures"/>
        <w:tabs>
          <w:tab w:val="right" w:leader="dot" w:pos="9040"/>
        </w:tabs>
        <w:rPr>
          <w:noProof/>
          <w:lang w:eastAsia="en-NZ"/>
        </w:rPr>
      </w:pPr>
      <w:hyperlink w:anchor="_Toc77776108" w:history="1">
        <w:r w:rsidR="00367964" w:rsidRPr="00441AA4">
          <w:rPr>
            <w:rStyle w:val="Hyperlink"/>
            <w:noProof/>
          </w:rPr>
          <w:t>Table 12. Synthetic cannabinoid powder annual seizure quantity (Grams)</w:t>
        </w:r>
        <w:r w:rsidR="00367964">
          <w:rPr>
            <w:noProof/>
            <w:webHidden/>
          </w:rPr>
          <w:tab/>
        </w:r>
        <w:r w:rsidR="00367964">
          <w:rPr>
            <w:noProof/>
            <w:webHidden/>
          </w:rPr>
          <w:fldChar w:fldCharType="begin"/>
        </w:r>
        <w:r w:rsidR="00367964">
          <w:rPr>
            <w:noProof/>
            <w:webHidden/>
          </w:rPr>
          <w:instrText xml:space="preserve"> PAGEREF _Toc77776108 \h </w:instrText>
        </w:r>
        <w:r w:rsidR="00367964">
          <w:rPr>
            <w:noProof/>
            <w:webHidden/>
          </w:rPr>
        </w:r>
        <w:r w:rsidR="00367964">
          <w:rPr>
            <w:noProof/>
            <w:webHidden/>
          </w:rPr>
          <w:fldChar w:fldCharType="separate"/>
        </w:r>
        <w:r w:rsidR="00AA3031">
          <w:rPr>
            <w:noProof/>
            <w:webHidden/>
          </w:rPr>
          <w:t>88</w:t>
        </w:r>
        <w:r w:rsidR="00367964">
          <w:rPr>
            <w:noProof/>
            <w:webHidden/>
          </w:rPr>
          <w:fldChar w:fldCharType="end"/>
        </w:r>
      </w:hyperlink>
    </w:p>
    <w:p w14:paraId="2974A178" w14:textId="534583B6" w:rsidR="00367964" w:rsidRDefault="00AC222A">
      <w:pPr>
        <w:pStyle w:val="TableofFigures"/>
        <w:tabs>
          <w:tab w:val="right" w:leader="dot" w:pos="9040"/>
        </w:tabs>
        <w:rPr>
          <w:noProof/>
          <w:lang w:eastAsia="en-NZ"/>
        </w:rPr>
      </w:pPr>
      <w:hyperlink w:anchor="_Toc77776109" w:history="1">
        <w:r w:rsidR="00367964" w:rsidRPr="00441AA4">
          <w:rPr>
            <w:rStyle w:val="Hyperlink"/>
            <w:noProof/>
          </w:rPr>
          <w:t>Table 13. MDMA annual seizure quantity</w:t>
        </w:r>
        <w:r w:rsidR="00367964">
          <w:rPr>
            <w:noProof/>
            <w:webHidden/>
          </w:rPr>
          <w:tab/>
        </w:r>
        <w:r w:rsidR="00367964">
          <w:rPr>
            <w:noProof/>
            <w:webHidden/>
          </w:rPr>
          <w:fldChar w:fldCharType="begin"/>
        </w:r>
        <w:r w:rsidR="00367964">
          <w:rPr>
            <w:noProof/>
            <w:webHidden/>
          </w:rPr>
          <w:instrText xml:space="preserve"> PAGEREF _Toc77776109 \h </w:instrText>
        </w:r>
        <w:r w:rsidR="00367964">
          <w:rPr>
            <w:noProof/>
            <w:webHidden/>
          </w:rPr>
        </w:r>
        <w:r w:rsidR="00367964">
          <w:rPr>
            <w:noProof/>
            <w:webHidden/>
          </w:rPr>
          <w:fldChar w:fldCharType="separate"/>
        </w:r>
        <w:r w:rsidR="00AA3031">
          <w:rPr>
            <w:noProof/>
            <w:webHidden/>
          </w:rPr>
          <w:t>89</w:t>
        </w:r>
        <w:r w:rsidR="00367964">
          <w:rPr>
            <w:noProof/>
            <w:webHidden/>
          </w:rPr>
          <w:fldChar w:fldCharType="end"/>
        </w:r>
      </w:hyperlink>
    </w:p>
    <w:p w14:paraId="7A634E3C" w14:textId="5F19961F" w:rsidR="00367964" w:rsidRDefault="00AC222A">
      <w:pPr>
        <w:pStyle w:val="TableofFigures"/>
        <w:tabs>
          <w:tab w:val="right" w:leader="dot" w:pos="9040"/>
        </w:tabs>
        <w:rPr>
          <w:noProof/>
          <w:lang w:eastAsia="en-NZ"/>
        </w:rPr>
      </w:pPr>
      <w:hyperlink w:anchor="_Toc77776110" w:history="1">
        <w:r w:rsidR="00367964" w:rsidRPr="00441AA4">
          <w:rPr>
            <w:rStyle w:val="Hyperlink"/>
            <w:noProof/>
          </w:rPr>
          <w:t>Table 14. Wastewater total load (Grams)</w:t>
        </w:r>
        <w:r w:rsidR="00367964">
          <w:rPr>
            <w:noProof/>
            <w:webHidden/>
          </w:rPr>
          <w:tab/>
        </w:r>
        <w:r w:rsidR="00367964">
          <w:rPr>
            <w:noProof/>
            <w:webHidden/>
          </w:rPr>
          <w:fldChar w:fldCharType="begin"/>
        </w:r>
        <w:r w:rsidR="00367964">
          <w:rPr>
            <w:noProof/>
            <w:webHidden/>
          </w:rPr>
          <w:instrText xml:space="preserve"> PAGEREF _Toc77776110 \h </w:instrText>
        </w:r>
        <w:r w:rsidR="00367964">
          <w:rPr>
            <w:noProof/>
            <w:webHidden/>
          </w:rPr>
        </w:r>
        <w:r w:rsidR="00367964">
          <w:rPr>
            <w:noProof/>
            <w:webHidden/>
          </w:rPr>
          <w:fldChar w:fldCharType="separate"/>
        </w:r>
        <w:r w:rsidR="00AA3031">
          <w:rPr>
            <w:noProof/>
            <w:webHidden/>
          </w:rPr>
          <w:t>89</w:t>
        </w:r>
        <w:r w:rsidR="00367964">
          <w:rPr>
            <w:noProof/>
            <w:webHidden/>
          </w:rPr>
          <w:fldChar w:fldCharType="end"/>
        </w:r>
      </w:hyperlink>
    </w:p>
    <w:p w14:paraId="4EBD453D" w14:textId="03795058" w:rsidR="00367964" w:rsidRDefault="00AC222A">
      <w:pPr>
        <w:pStyle w:val="TableofFigures"/>
        <w:tabs>
          <w:tab w:val="right" w:leader="dot" w:pos="9040"/>
        </w:tabs>
        <w:rPr>
          <w:noProof/>
          <w:lang w:eastAsia="en-NZ"/>
        </w:rPr>
      </w:pPr>
      <w:hyperlink w:anchor="_Toc77776111" w:history="1">
        <w:r w:rsidR="00367964" w:rsidRPr="00441AA4">
          <w:rPr>
            <w:rStyle w:val="Hyperlink"/>
            <w:noProof/>
          </w:rPr>
          <w:t>Table 15. Seizure frequency</w:t>
        </w:r>
        <w:r w:rsidR="00367964">
          <w:rPr>
            <w:noProof/>
            <w:webHidden/>
          </w:rPr>
          <w:tab/>
        </w:r>
        <w:r w:rsidR="00367964">
          <w:rPr>
            <w:noProof/>
            <w:webHidden/>
          </w:rPr>
          <w:fldChar w:fldCharType="begin"/>
        </w:r>
        <w:r w:rsidR="00367964">
          <w:rPr>
            <w:noProof/>
            <w:webHidden/>
          </w:rPr>
          <w:instrText xml:space="preserve"> PAGEREF _Toc77776111 \h </w:instrText>
        </w:r>
        <w:r w:rsidR="00367964">
          <w:rPr>
            <w:noProof/>
            <w:webHidden/>
          </w:rPr>
        </w:r>
        <w:r w:rsidR="00367964">
          <w:rPr>
            <w:noProof/>
            <w:webHidden/>
          </w:rPr>
          <w:fldChar w:fldCharType="separate"/>
        </w:r>
        <w:r w:rsidR="00AA3031">
          <w:rPr>
            <w:noProof/>
            <w:webHidden/>
          </w:rPr>
          <w:t>90</w:t>
        </w:r>
        <w:r w:rsidR="00367964">
          <w:rPr>
            <w:noProof/>
            <w:webHidden/>
          </w:rPr>
          <w:fldChar w:fldCharType="end"/>
        </w:r>
      </w:hyperlink>
    </w:p>
    <w:p w14:paraId="5CBFBC85" w14:textId="4E160F4C" w:rsidR="00927735" w:rsidRDefault="00C67CE7" w:rsidP="0075514F">
      <w:pPr>
        <w:pStyle w:val="TableofFigures"/>
        <w:tabs>
          <w:tab w:val="right" w:leader="dot" w:pos="9182"/>
        </w:tabs>
        <w:rPr>
          <w:rFonts w:asciiTheme="majorHAnsi" w:eastAsiaTheme="majorEastAsia" w:hAnsiTheme="majorHAnsi" w:cstheme="majorBidi"/>
          <w:color w:val="2F5496" w:themeColor="accent1" w:themeShade="BF"/>
          <w:sz w:val="32"/>
          <w:szCs w:val="32"/>
        </w:rPr>
      </w:pPr>
      <w:r w:rsidRPr="004A41BB">
        <w:fldChar w:fldCharType="end"/>
      </w:r>
      <w:bookmarkStart w:id="7" w:name="_Toc74572630"/>
      <w:r w:rsidR="00927735">
        <w:br w:type="page"/>
      </w:r>
    </w:p>
    <w:p w14:paraId="2CB7EFE7" w14:textId="2C4608DD" w:rsidR="008C4B26" w:rsidRPr="00997C38" w:rsidRDefault="00FE6EDF" w:rsidP="00997C38">
      <w:pPr>
        <w:pStyle w:val="Heading2"/>
        <w:rPr>
          <w:rStyle w:val="normaltextrun1"/>
        </w:rPr>
      </w:pPr>
      <w:bookmarkStart w:id="8" w:name="_Toc75528207"/>
      <w:bookmarkStart w:id="9" w:name="_Toc75952868"/>
      <w:bookmarkStart w:id="10" w:name="_Toc78186431"/>
      <w:r>
        <w:lastRenderedPageBreak/>
        <w:t>EXECUTIVE SUMMARY</w:t>
      </w:r>
      <w:bookmarkStart w:id="11" w:name="_Hlk75772155"/>
      <w:bookmarkEnd w:id="7"/>
      <w:bookmarkEnd w:id="8"/>
      <w:bookmarkEnd w:id="9"/>
      <w:bookmarkEnd w:id="10"/>
    </w:p>
    <w:p w14:paraId="212A7157" w14:textId="77777777" w:rsidR="005755A8" w:rsidRDefault="005755A8" w:rsidP="008C4B26">
      <w:pPr>
        <w:pStyle w:val="Heading3"/>
      </w:pPr>
      <w:bookmarkStart w:id="12" w:name="_Toc78186432"/>
      <w:bookmarkStart w:id="13" w:name="_Toc75528208"/>
      <w:bookmarkStart w:id="14" w:name="_Toc75952869"/>
      <w:r>
        <w:t>Purpose of Report</w:t>
      </w:r>
      <w:bookmarkEnd w:id="12"/>
    </w:p>
    <w:p w14:paraId="6163B622" w14:textId="77777777" w:rsidR="005755A8" w:rsidRDefault="005755A8" w:rsidP="005755A8">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This report is an interim review of the impact of amendments made in 2019 to MoDA 1975</w:t>
      </w:r>
      <w:r>
        <w:rPr>
          <w:rStyle w:val="normaltextrun1"/>
          <w:rFonts w:ascii="Calibri" w:eastAsia="Times New Roman" w:hAnsi="Calibri" w:cs="Calibri"/>
          <w:lang w:eastAsia="en-NZ"/>
        </w:rPr>
        <w:t>.</w:t>
      </w:r>
      <w:r w:rsidRPr="005755A8">
        <w:rPr>
          <w:rStyle w:val="normaltextrun1"/>
          <w:rFonts w:ascii="Calibri" w:eastAsia="Times New Roman" w:hAnsi="Calibri" w:cs="Calibri"/>
          <w:sz w:val="22"/>
          <w:szCs w:val="22"/>
          <w:lang w:eastAsia="en-NZ"/>
        </w:rPr>
        <w:t xml:space="preserve"> </w:t>
      </w:r>
    </w:p>
    <w:p w14:paraId="59E2FE72" w14:textId="744ADD69" w:rsidR="008C4B26" w:rsidRPr="008C4B26" w:rsidRDefault="008C4B26" w:rsidP="008C4B26">
      <w:pPr>
        <w:pStyle w:val="Heading3"/>
      </w:pPr>
      <w:bookmarkStart w:id="15" w:name="_Toc78186433"/>
      <w:r w:rsidRPr="008C4B26">
        <w:t>The amendment</w:t>
      </w:r>
      <w:bookmarkEnd w:id="13"/>
      <w:bookmarkEnd w:id="14"/>
      <w:bookmarkEnd w:id="15"/>
    </w:p>
    <w:p w14:paraId="4B666272" w14:textId="689213DF" w:rsidR="007C205A" w:rsidRDefault="008C4B26" w:rsidP="008C4B26">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In</w:t>
      </w:r>
      <w:r w:rsidRPr="00874BA6">
        <w:rPr>
          <w:rStyle w:val="normaltextrun1"/>
          <w:rFonts w:ascii="Calibri" w:eastAsia="Times New Roman" w:hAnsi="Calibri" w:cs="Calibri"/>
          <w:sz w:val="22"/>
          <w:szCs w:val="22"/>
          <w:lang w:eastAsia="en-NZ"/>
        </w:rPr>
        <w:t xml:space="preserve"> August 2019</w:t>
      </w:r>
      <w:r>
        <w:rPr>
          <w:rStyle w:val="normaltextrun1"/>
          <w:rFonts w:ascii="Calibri" w:eastAsia="Times New Roman" w:hAnsi="Calibri" w:cs="Calibri"/>
          <w:sz w:val="22"/>
          <w:szCs w:val="22"/>
          <w:lang w:eastAsia="en-NZ"/>
        </w:rPr>
        <w:t xml:space="preserve">, the Misuse of Drugs Act </w:t>
      </w:r>
      <w:r w:rsidR="002E5B9A">
        <w:rPr>
          <w:rStyle w:val="normaltextrun1"/>
          <w:rFonts w:ascii="Calibri" w:eastAsia="Times New Roman" w:hAnsi="Calibri" w:cs="Calibri"/>
          <w:sz w:val="22"/>
          <w:szCs w:val="22"/>
          <w:lang w:eastAsia="en-NZ"/>
        </w:rPr>
        <w:t xml:space="preserve">(MoDA) </w:t>
      </w:r>
      <w:r>
        <w:rPr>
          <w:rStyle w:val="normaltextrun1"/>
          <w:rFonts w:ascii="Calibri" w:eastAsia="Times New Roman" w:hAnsi="Calibri" w:cs="Calibri"/>
          <w:sz w:val="22"/>
          <w:szCs w:val="22"/>
          <w:lang w:eastAsia="en-NZ"/>
        </w:rPr>
        <w:t>was amended</w:t>
      </w:r>
      <w:r w:rsidR="007C205A">
        <w:rPr>
          <w:rStyle w:val="normaltextrun1"/>
          <w:rFonts w:ascii="Calibri" w:eastAsia="Times New Roman" w:hAnsi="Calibri" w:cs="Calibri"/>
          <w:sz w:val="22"/>
          <w:szCs w:val="22"/>
          <w:lang w:eastAsia="en-NZ"/>
        </w:rPr>
        <w:t xml:space="preserve"> to:</w:t>
      </w:r>
    </w:p>
    <w:p w14:paraId="7384B3E6" w14:textId="47115177" w:rsidR="007C205A" w:rsidRPr="00AD0CA4" w:rsidRDefault="007C205A" w:rsidP="007C205A">
      <w:pPr>
        <w:pStyle w:val="ListParagraph"/>
        <w:numPr>
          <w:ilvl w:val="0"/>
          <w:numId w:val="2"/>
        </w:numPr>
        <w:spacing w:after="0"/>
        <w:ind w:left="851" w:hanging="851"/>
        <w:rPr>
          <w:rStyle w:val="normaltextrun1"/>
          <w:rFonts w:ascii="Calibri" w:hAnsi="Calibri" w:cs="Calibri"/>
        </w:rPr>
      </w:pPr>
      <w:r w:rsidRPr="00AD0CA4">
        <w:rPr>
          <w:rStyle w:val="normaltextrun1"/>
          <w:rFonts w:ascii="Calibri" w:hAnsi="Calibri" w:cs="Calibri"/>
        </w:rPr>
        <w:t>enable temporary classification orders to be issued for emerging and potentially harmful substances</w:t>
      </w:r>
    </w:p>
    <w:p w14:paraId="44F6637C" w14:textId="65A704C7" w:rsidR="007C205A" w:rsidRDefault="007C205A" w:rsidP="007C205A">
      <w:pPr>
        <w:pStyle w:val="ListParagraph"/>
        <w:numPr>
          <w:ilvl w:val="0"/>
          <w:numId w:val="2"/>
        </w:numPr>
        <w:ind w:left="851" w:hanging="851"/>
      </w:pPr>
      <w:r w:rsidRPr="00AD0CA4">
        <w:rPr>
          <w:rStyle w:val="normaltextrun1"/>
          <w:rFonts w:ascii="Calibri" w:hAnsi="Calibri" w:cs="Calibri"/>
        </w:rPr>
        <w:t>classif</w:t>
      </w:r>
      <w:r>
        <w:rPr>
          <w:rStyle w:val="normaltextrun1"/>
          <w:rFonts w:ascii="Calibri" w:hAnsi="Calibri" w:cs="Calibri"/>
        </w:rPr>
        <w:t>y</w:t>
      </w:r>
      <w:r w:rsidRPr="00AD0CA4">
        <w:rPr>
          <w:rStyle w:val="normaltextrun1"/>
          <w:rFonts w:ascii="Calibri" w:hAnsi="Calibri" w:cs="Calibri"/>
        </w:rPr>
        <w:t xml:space="preserve"> synthetic cannabinoids AMB-FUBINACA and 5F-ADB as Class A controlled substances</w:t>
      </w:r>
      <w:r>
        <w:t>.</w:t>
      </w:r>
    </w:p>
    <w:p w14:paraId="10EE13EA" w14:textId="65CBCED6" w:rsidR="00E07C50" w:rsidRDefault="008C4B26" w:rsidP="007C205A">
      <w:pPr>
        <w:pStyle w:val="ListParagraph"/>
        <w:numPr>
          <w:ilvl w:val="0"/>
          <w:numId w:val="2"/>
        </w:numPr>
        <w:spacing w:after="120"/>
        <w:ind w:left="851" w:hanging="851"/>
        <w:rPr>
          <w:rStyle w:val="normaltextrun1"/>
          <w:rFonts w:ascii="Calibri" w:eastAsia="Times New Roman" w:hAnsi="Calibri" w:cs="Calibri"/>
          <w:lang w:eastAsia="en-NZ"/>
        </w:rPr>
      </w:pPr>
      <w:r w:rsidRPr="00547985">
        <w:rPr>
          <w:rStyle w:val="normaltextrun1"/>
          <w:rFonts w:ascii="Calibri" w:eastAsia="Times New Roman" w:hAnsi="Calibri" w:cs="Calibri"/>
          <w:lang w:eastAsia="en-NZ"/>
        </w:rPr>
        <w:t xml:space="preserve">affirm the ability of New Zealand Police </w:t>
      </w:r>
      <w:r w:rsidR="008C0495">
        <w:rPr>
          <w:rStyle w:val="normaltextrun1"/>
          <w:rFonts w:ascii="Calibri" w:eastAsia="Times New Roman" w:hAnsi="Calibri" w:cs="Calibri"/>
          <w:lang w:eastAsia="en-NZ"/>
        </w:rPr>
        <w:t xml:space="preserve">(Police) </w:t>
      </w:r>
      <w:r w:rsidRPr="00547985">
        <w:rPr>
          <w:rStyle w:val="normaltextrun1"/>
          <w:rFonts w:ascii="Calibri" w:eastAsia="Times New Roman" w:hAnsi="Calibri" w:cs="Calibri"/>
          <w:lang w:eastAsia="en-NZ"/>
        </w:rPr>
        <w:t xml:space="preserve">to use discretion when considering whether to prosecute people for personal possession and use of </w:t>
      </w:r>
      <w:r w:rsidRPr="007C205A">
        <w:rPr>
          <w:rStyle w:val="normaltextrun1"/>
          <w:rFonts w:ascii="Calibri" w:hAnsi="Calibri" w:cs="Calibri"/>
        </w:rPr>
        <w:t>drugs</w:t>
      </w:r>
      <w:r w:rsidRPr="00547985">
        <w:rPr>
          <w:rStyle w:val="normaltextrun1"/>
          <w:rFonts w:ascii="Calibri" w:eastAsia="Times New Roman" w:hAnsi="Calibri" w:cs="Calibri"/>
          <w:lang w:eastAsia="en-NZ"/>
        </w:rPr>
        <w:t xml:space="preserve">. This includes requiring </w:t>
      </w:r>
      <w:r w:rsidR="005755A8">
        <w:rPr>
          <w:rStyle w:val="normaltextrun1"/>
          <w:rFonts w:ascii="Calibri" w:eastAsia="Times New Roman" w:hAnsi="Calibri" w:cs="Calibri"/>
          <w:lang w:eastAsia="en-NZ"/>
        </w:rPr>
        <w:t>the Police to consider</w:t>
      </w:r>
      <w:r w:rsidRPr="00547985">
        <w:rPr>
          <w:rStyle w:val="normaltextrun1"/>
          <w:rFonts w:ascii="Calibri" w:eastAsia="Times New Roman" w:hAnsi="Calibri" w:cs="Calibri"/>
          <w:lang w:eastAsia="en-NZ"/>
        </w:rPr>
        <w:t xml:space="preserve"> whether, in addition to other relevant matters, health-based alternatives would be more beneficial to the public interest.</w:t>
      </w:r>
      <w:r>
        <w:rPr>
          <w:rStyle w:val="normaltextrun1"/>
          <w:rFonts w:ascii="Calibri" w:eastAsia="Times New Roman" w:hAnsi="Calibri" w:cs="Calibri"/>
          <w:lang w:eastAsia="en-NZ"/>
        </w:rPr>
        <w:t xml:space="preserve"> </w:t>
      </w:r>
    </w:p>
    <w:p w14:paraId="12EA7C5F" w14:textId="79555966" w:rsidR="008C4B26" w:rsidRDefault="008C4B26" w:rsidP="007C205A">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The amendment</w:t>
      </w:r>
      <w:r w:rsidR="007C205A">
        <w:rPr>
          <w:rStyle w:val="normaltextrun1"/>
          <w:rFonts w:ascii="Calibri" w:eastAsia="Times New Roman" w:hAnsi="Calibri" w:cs="Calibri"/>
          <w:sz w:val="22"/>
          <w:szCs w:val="22"/>
          <w:lang w:eastAsia="en-NZ"/>
        </w:rPr>
        <w:t>s</w:t>
      </w:r>
      <w:r>
        <w:rPr>
          <w:rStyle w:val="normaltextrun1"/>
          <w:rFonts w:ascii="Calibri" w:eastAsia="Times New Roman" w:hAnsi="Calibri" w:cs="Calibri"/>
          <w:sz w:val="22"/>
          <w:szCs w:val="22"/>
          <w:lang w:eastAsia="en-NZ"/>
        </w:rPr>
        <w:t xml:space="preserve"> w</w:t>
      </w:r>
      <w:r w:rsidR="007C205A">
        <w:rPr>
          <w:rStyle w:val="normaltextrun1"/>
          <w:rFonts w:ascii="Calibri" w:eastAsia="Times New Roman" w:hAnsi="Calibri" w:cs="Calibri"/>
          <w:sz w:val="22"/>
          <w:szCs w:val="22"/>
          <w:lang w:eastAsia="en-NZ"/>
        </w:rPr>
        <w:t>ere</w:t>
      </w:r>
      <w:r>
        <w:rPr>
          <w:rStyle w:val="normaltextrun1"/>
          <w:rFonts w:ascii="Calibri" w:eastAsia="Times New Roman" w:hAnsi="Calibri" w:cs="Calibri"/>
          <w:sz w:val="22"/>
          <w:szCs w:val="22"/>
          <w:lang w:eastAsia="en-NZ"/>
        </w:rPr>
        <w:t xml:space="preserve"> made in response to a spike in drug-related harm that was observed in 2017. </w:t>
      </w:r>
      <w:r w:rsidR="007C205A">
        <w:rPr>
          <w:rStyle w:val="normaltextrun1"/>
          <w:rFonts w:ascii="Calibri" w:eastAsia="Times New Roman" w:hAnsi="Calibri" w:cs="Calibri"/>
          <w:sz w:val="22"/>
          <w:szCs w:val="22"/>
          <w:lang w:eastAsia="en-NZ"/>
        </w:rPr>
        <w:t>They</w:t>
      </w:r>
      <w:r w:rsidR="007C205A" w:rsidRPr="00874BA6" w:rsidDel="00C8396A">
        <w:rPr>
          <w:rStyle w:val="normaltextrun1"/>
          <w:rFonts w:ascii="Calibri" w:eastAsia="Times New Roman" w:hAnsi="Calibri" w:cs="Calibri"/>
          <w:sz w:val="22"/>
          <w:szCs w:val="22"/>
          <w:lang w:eastAsia="en-NZ"/>
        </w:rPr>
        <w:t xml:space="preserve"> made clear the Government’s commitment to </w:t>
      </w:r>
      <w:r w:rsidR="007C205A">
        <w:rPr>
          <w:rStyle w:val="normaltextrun1"/>
          <w:rFonts w:ascii="Calibri" w:eastAsia="Times New Roman" w:hAnsi="Calibri" w:cs="Calibri"/>
          <w:sz w:val="22"/>
          <w:szCs w:val="22"/>
          <w:lang w:eastAsia="en-NZ"/>
        </w:rPr>
        <w:t>a</w:t>
      </w:r>
      <w:r w:rsidR="007C205A" w:rsidRPr="00874BA6" w:rsidDel="00C8396A">
        <w:rPr>
          <w:rStyle w:val="normaltextrun1"/>
          <w:rFonts w:ascii="Calibri" w:eastAsia="Times New Roman" w:hAnsi="Calibri" w:cs="Calibri"/>
          <w:sz w:val="22"/>
          <w:szCs w:val="22"/>
          <w:lang w:eastAsia="en-NZ"/>
        </w:rPr>
        <w:t xml:space="preserve"> health-based approach to preventing drug-related harm</w:t>
      </w:r>
      <w:r w:rsidR="007C205A" w:rsidRPr="00F11FE3" w:rsidDel="00C8396A">
        <w:rPr>
          <w:rStyle w:val="normaltextrun1"/>
          <w:rFonts w:ascii="Calibri" w:eastAsia="Times New Roman" w:hAnsi="Calibri" w:cs="Calibri"/>
          <w:sz w:val="22"/>
          <w:szCs w:val="22"/>
          <w:lang w:eastAsia="en-NZ"/>
        </w:rPr>
        <w:t xml:space="preserve"> </w:t>
      </w:r>
      <w:r w:rsidR="007C205A" w:rsidDel="00C8396A">
        <w:rPr>
          <w:rStyle w:val="normaltextrun1"/>
          <w:rFonts w:ascii="Calibri" w:eastAsia="Times New Roman" w:hAnsi="Calibri" w:cs="Calibri"/>
          <w:sz w:val="22"/>
          <w:szCs w:val="22"/>
          <w:lang w:eastAsia="en-NZ"/>
        </w:rPr>
        <w:t>b</w:t>
      </w:r>
      <w:r w:rsidR="007C205A" w:rsidRPr="00874BA6" w:rsidDel="00C8396A">
        <w:rPr>
          <w:rStyle w:val="normaltextrun1"/>
          <w:rFonts w:ascii="Calibri" w:eastAsia="Times New Roman" w:hAnsi="Calibri" w:cs="Calibri"/>
          <w:sz w:val="22"/>
          <w:szCs w:val="22"/>
          <w:lang w:eastAsia="en-NZ"/>
        </w:rPr>
        <w:t xml:space="preserve">y seeking to interrupt supply and consumer cycles, promote awareness of dangers associated with unregulated substances, and reduce exposure to the criminal justice </w:t>
      </w:r>
      <w:r w:rsidR="007C205A" w:rsidDel="00C8396A">
        <w:rPr>
          <w:rStyle w:val="normaltextrun1"/>
          <w:rFonts w:ascii="Calibri" w:eastAsia="Times New Roman" w:hAnsi="Calibri" w:cs="Calibri"/>
          <w:sz w:val="22"/>
          <w:szCs w:val="22"/>
          <w:lang w:eastAsia="en-NZ"/>
        </w:rPr>
        <w:t>system for possession for personal use</w:t>
      </w:r>
      <w:r w:rsidR="007C205A">
        <w:rPr>
          <w:rStyle w:val="normaltextrun1"/>
          <w:rFonts w:ascii="Calibri" w:eastAsia="Times New Roman" w:hAnsi="Calibri" w:cs="Calibri"/>
          <w:sz w:val="22"/>
          <w:szCs w:val="22"/>
          <w:lang w:eastAsia="en-NZ"/>
        </w:rPr>
        <w:t>, where appropriate.</w:t>
      </w:r>
    </w:p>
    <w:p w14:paraId="48B20D12" w14:textId="77777777" w:rsidR="008C4B26" w:rsidRPr="008C4B26" w:rsidRDefault="008C4B26" w:rsidP="008C4B26">
      <w:pPr>
        <w:pStyle w:val="Heading3"/>
      </w:pPr>
      <w:bookmarkStart w:id="16" w:name="_Toc75528209"/>
      <w:bookmarkStart w:id="17" w:name="_Toc75952870"/>
      <w:bookmarkStart w:id="18" w:name="_Toc78186434"/>
      <w:r w:rsidRPr="008C4B26">
        <w:t>Changes made in the system</w:t>
      </w:r>
      <w:bookmarkEnd w:id="16"/>
      <w:bookmarkEnd w:id="17"/>
      <w:bookmarkEnd w:id="18"/>
    </w:p>
    <w:p w14:paraId="5C6D4FCC" w14:textId="39D1402C" w:rsidR="00907537" w:rsidRDefault="00D57928" w:rsidP="00907537">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A</w:t>
      </w:r>
      <w:r w:rsidR="00907537" w:rsidRPr="007A07A8">
        <w:rPr>
          <w:rStyle w:val="normaltextrun1"/>
          <w:rFonts w:ascii="Calibri" w:eastAsia="Times New Roman" w:hAnsi="Calibri" w:cs="Calibri"/>
          <w:sz w:val="22"/>
          <w:szCs w:val="22"/>
          <w:lang w:eastAsia="en-NZ"/>
        </w:rPr>
        <w:t xml:space="preserve"> </w:t>
      </w:r>
      <w:r w:rsidR="00907537">
        <w:rPr>
          <w:rStyle w:val="normaltextrun1"/>
          <w:rFonts w:ascii="Calibri" w:eastAsia="Times New Roman" w:hAnsi="Calibri" w:cs="Calibri"/>
          <w:sz w:val="22"/>
          <w:szCs w:val="22"/>
          <w:lang w:eastAsia="en-NZ"/>
        </w:rPr>
        <w:t xml:space="preserve">new national referral </w:t>
      </w:r>
      <w:r w:rsidR="00907537" w:rsidRPr="007A07A8">
        <w:rPr>
          <w:rStyle w:val="normaltextrun1"/>
          <w:rFonts w:ascii="Calibri" w:eastAsia="Times New Roman" w:hAnsi="Calibri" w:cs="Calibri"/>
          <w:sz w:val="22"/>
          <w:szCs w:val="22"/>
          <w:lang w:eastAsia="en-NZ"/>
        </w:rPr>
        <w:t xml:space="preserve">pathway </w:t>
      </w:r>
      <w:r w:rsidR="00907537">
        <w:rPr>
          <w:rStyle w:val="normaltextrun1"/>
          <w:rFonts w:ascii="Calibri" w:eastAsia="Times New Roman" w:hAnsi="Calibri" w:cs="Calibri"/>
          <w:sz w:val="22"/>
          <w:szCs w:val="22"/>
          <w:lang w:eastAsia="en-NZ"/>
        </w:rPr>
        <w:t xml:space="preserve">to </w:t>
      </w:r>
      <w:proofErr w:type="spellStart"/>
      <w:r w:rsidR="00907537">
        <w:rPr>
          <w:rStyle w:val="normaltextrun1"/>
          <w:rFonts w:ascii="Calibri" w:eastAsia="Times New Roman" w:hAnsi="Calibri" w:cs="Calibri"/>
          <w:sz w:val="22"/>
          <w:szCs w:val="22"/>
          <w:lang w:eastAsia="en-NZ"/>
        </w:rPr>
        <w:t>Whakarongorau</w:t>
      </w:r>
      <w:proofErr w:type="spellEnd"/>
      <w:r w:rsidR="00907537">
        <w:rPr>
          <w:rStyle w:val="normaltextrun1"/>
          <w:rFonts w:ascii="Calibri" w:eastAsia="Times New Roman" w:hAnsi="Calibri" w:cs="Calibri"/>
          <w:sz w:val="22"/>
          <w:szCs w:val="22"/>
          <w:lang w:eastAsia="en-NZ"/>
        </w:rPr>
        <w:t xml:space="preserve"> Aotearoa’s Alcohol Drug Helpline </w:t>
      </w:r>
      <w:r w:rsidR="00907537" w:rsidRPr="007A07A8">
        <w:rPr>
          <w:rStyle w:val="normaltextrun1"/>
          <w:rFonts w:ascii="Calibri" w:eastAsia="Times New Roman" w:hAnsi="Calibri" w:cs="Calibri"/>
          <w:sz w:val="22"/>
          <w:szCs w:val="22"/>
          <w:lang w:eastAsia="en-NZ"/>
        </w:rPr>
        <w:t>was</w:t>
      </w:r>
      <w:r w:rsidR="00907537">
        <w:rPr>
          <w:rStyle w:val="normaltextrun1"/>
          <w:rFonts w:ascii="Calibri" w:eastAsia="Times New Roman" w:hAnsi="Calibri" w:cs="Calibri"/>
          <w:sz w:val="22"/>
          <w:szCs w:val="22"/>
          <w:lang w:eastAsia="en-NZ"/>
        </w:rPr>
        <w:t xml:space="preserve"> </w:t>
      </w:r>
      <w:r w:rsidR="00907537" w:rsidRPr="007A07A8">
        <w:rPr>
          <w:rStyle w:val="normaltextrun1"/>
          <w:rFonts w:ascii="Calibri" w:eastAsia="Times New Roman" w:hAnsi="Calibri" w:cs="Calibri"/>
          <w:sz w:val="22"/>
          <w:szCs w:val="22"/>
          <w:lang w:eastAsia="en-NZ"/>
        </w:rPr>
        <w:t xml:space="preserve">established by the Ministry of Health and Police to support implementation of the health-based approach amendment. </w:t>
      </w:r>
      <w:r w:rsidR="0084294C" w:rsidRPr="00E71574">
        <w:rPr>
          <w:rStyle w:val="normaltextrun1"/>
          <w:rFonts w:ascii="Calibri" w:eastAsia="Times New Roman" w:hAnsi="Calibri" w:cs="Calibri"/>
          <w:sz w:val="22"/>
          <w:szCs w:val="22"/>
          <w:lang w:eastAsia="en-NZ"/>
        </w:rPr>
        <w:t xml:space="preserve">Police </w:t>
      </w:r>
      <w:r w:rsidR="0084294C">
        <w:rPr>
          <w:rStyle w:val="normaltextrun1"/>
          <w:rFonts w:ascii="Calibri" w:eastAsia="Times New Roman" w:hAnsi="Calibri" w:cs="Calibri"/>
          <w:sz w:val="22"/>
          <w:szCs w:val="22"/>
          <w:lang w:eastAsia="en-NZ"/>
        </w:rPr>
        <w:t>issued advice</w:t>
      </w:r>
      <w:r w:rsidR="0084294C" w:rsidRPr="00E71574">
        <w:rPr>
          <w:rStyle w:val="normaltextrun1"/>
          <w:rFonts w:ascii="Calibri" w:eastAsia="Times New Roman" w:hAnsi="Calibri" w:cs="Calibri"/>
          <w:sz w:val="22"/>
          <w:szCs w:val="22"/>
          <w:lang w:eastAsia="en-NZ"/>
        </w:rPr>
        <w:t xml:space="preserve"> to </w:t>
      </w:r>
      <w:r w:rsidR="0084294C" w:rsidRPr="007A07A8">
        <w:rPr>
          <w:rStyle w:val="normaltextrun1"/>
          <w:rFonts w:ascii="Calibri" w:eastAsia="Times New Roman" w:hAnsi="Calibri" w:cs="Calibri"/>
          <w:sz w:val="22"/>
          <w:szCs w:val="22"/>
          <w:lang w:eastAsia="en-NZ"/>
        </w:rPr>
        <w:t>alert officers to the changes and provide guidance on the health-based approach to decision</w:t>
      </w:r>
      <w:r w:rsidR="0084294C">
        <w:rPr>
          <w:rStyle w:val="normaltextrun1"/>
          <w:rFonts w:ascii="Calibri" w:eastAsia="Times New Roman" w:hAnsi="Calibri" w:cs="Calibri"/>
          <w:sz w:val="22"/>
          <w:szCs w:val="22"/>
          <w:lang w:eastAsia="en-NZ"/>
        </w:rPr>
        <w:t>-</w:t>
      </w:r>
      <w:r w:rsidR="0084294C" w:rsidRPr="007A07A8">
        <w:rPr>
          <w:rStyle w:val="normaltextrun1"/>
          <w:rFonts w:ascii="Calibri" w:eastAsia="Times New Roman" w:hAnsi="Calibri" w:cs="Calibri"/>
          <w:sz w:val="22"/>
          <w:szCs w:val="22"/>
          <w:lang w:eastAsia="en-NZ"/>
        </w:rPr>
        <w:t xml:space="preserve">making and how to make a health referral. Police </w:t>
      </w:r>
      <w:r w:rsidR="0084294C">
        <w:rPr>
          <w:rStyle w:val="normaltextrun1"/>
          <w:rFonts w:ascii="Calibri" w:eastAsia="Times New Roman" w:hAnsi="Calibri" w:cs="Calibri"/>
          <w:sz w:val="22"/>
          <w:szCs w:val="22"/>
          <w:lang w:eastAsia="en-NZ"/>
        </w:rPr>
        <w:t xml:space="preserve">amended </w:t>
      </w:r>
      <w:r w:rsidR="0084294C" w:rsidRPr="007A07A8">
        <w:rPr>
          <w:rStyle w:val="normaltextrun1"/>
          <w:rFonts w:ascii="Calibri" w:eastAsia="Times New Roman" w:hAnsi="Calibri" w:cs="Calibri"/>
          <w:sz w:val="22"/>
          <w:szCs w:val="22"/>
          <w:lang w:eastAsia="en-NZ"/>
        </w:rPr>
        <w:t xml:space="preserve">instructions to </w:t>
      </w:r>
      <w:r w:rsidR="0084294C" w:rsidRPr="00E71574">
        <w:rPr>
          <w:rStyle w:val="normaltextrun1"/>
          <w:rFonts w:ascii="Calibri" w:eastAsia="Times New Roman" w:hAnsi="Calibri" w:cs="Calibri"/>
          <w:sz w:val="22"/>
          <w:szCs w:val="22"/>
          <w:lang w:eastAsia="en-NZ"/>
        </w:rPr>
        <w:t>make</w:t>
      </w:r>
      <w:r w:rsidR="0084294C">
        <w:rPr>
          <w:rStyle w:val="normaltextrun1"/>
          <w:rFonts w:ascii="Calibri" w:eastAsia="Times New Roman" w:hAnsi="Calibri" w:cs="Calibri"/>
          <w:sz w:val="22"/>
          <w:szCs w:val="22"/>
          <w:lang w:eastAsia="en-NZ"/>
        </w:rPr>
        <w:t xml:space="preserve"> low-level methamphetamine offences eligible for non-court proceedings.</w:t>
      </w:r>
    </w:p>
    <w:p w14:paraId="3C3C117B" w14:textId="3AFC0AE6" w:rsidR="009A5ADD" w:rsidRDefault="0084294C" w:rsidP="009A5ADD">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These changes were made against a backdrop of existing Police initiatives designed </w:t>
      </w:r>
      <w:r w:rsidR="009A5ADD">
        <w:rPr>
          <w:rStyle w:val="normaltextrun1"/>
          <w:rFonts w:ascii="Calibri" w:eastAsia="Times New Roman" w:hAnsi="Calibri" w:cs="Calibri"/>
          <w:sz w:val="22"/>
          <w:szCs w:val="22"/>
          <w:lang w:eastAsia="en-NZ"/>
        </w:rPr>
        <w:t>to prevent harm</w:t>
      </w:r>
      <w:r w:rsidR="00B76A8A">
        <w:rPr>
          <w:rStyle w:val="normaltextrun1"/>
          <w:rFonts w:ascii="Calibri" w:eastAsia="Times New Roman" w:hAnsi="Calibri" w:cs="Calibri"/>
          <w:sz w:val="22"/>
          <w:szCs w:val="22"/>
          <w:lang w:eastAsia="en-NZ"/>
        </w:rPr>
        <w:t xml:space="preserve">, </w:t>
      </w:r>
      <w:r w:rsidR="009A5ADD">
        <w:rPr>
          <w:rStyle w:val="normaltextrun1"/>
          <w:rFonts w:ascii="Calibri" w:eastAsia="Times New Roman" w:hAnsi="Calibri" w:cs="Calibri"/>
          <w:sz w:val="22"/>
          <w:szCs w:val="22"/>
          <w:lang w:eastAsia="en-NZ"/>
        </w:rPr>
        <w:t xml:space="preserve">offending </w:t>
      </w:r>
      <w:r w:rsidR="006F5060">
        <w:rPr>
          <w:rStyle w:val="normaltextrun1"/>
          <w:rFonts w:ascii="Calibri" w:eastAsia="Times New Roman" w:hAnsi="Calibri" w:cs="Calibri"/>
          <w:sz w:val="22"/>
          <w:szCs w:val="22"/>
          <w:lang w:eastAsia="en-NZ"/>
        </w:rPr>
        <w:t xml:space="preserve">and </w:t>
      </w:r>
      <w:r w:rsidR="009A5ADD">
        <w:rPr>
          <w:rStyle w:val="normaltextrun1"/>
          <w:rFonts w:ascii="Calibri" w:eastAsia="Times New Roman" w:hAnsi="Calibri" w:cs="Calibri"/>
          <w:sz w:val="22"/>
          <w:szCs w:val="22"/>
          <w:lang w:eastAsia="en-NZ"/>
        </w:rPr>
        <w:t xml:space="preserve">reoffending and provide alternatives to prosecution, including the ability to refer people to health services. </w:t>
      </w:r>
      <w:r w:rsidR="0024446E">
        <w:rPr>
          <w:rStyle w:val="normaltextrun1"/>
          <w:rFonts w:ascii="Calibri" w:eastAsia="Times New Roman" w:hAnsi="Calibri" w:cs="Calibri"/>
          <w:sz w:val="22"/>
          <w:szCs w:val="22"/>
          <w:lang w:eastAsia="en-NZ"/>
        </w:rPr>
        <w:t xml:space="preserve">The mental health and addiction system </w:t>
      </w:r>
      <w:r w:rsidR="00853E40">
        <w:rPr>
          <w:rStyle w:val="normaltextrun1"/>
          <w:rFonts w:ascii="Calibri" w:eastAsia="Times New Roman" w:hAnsi="Calibri" w:cs="Calibri"/>
          <w:sz w:val="22"/>
          <w:szCs w:val="22"/>
          <w:lang w:eastAsia="en-NZ"/>
        </w:rPr>
        <w:t xml:space="preserve">had been the subject of a major government inquiry, and decisions were being made on the recommendations of </w:t>
      </w:r>
      <w:proofErr w:type="spellStart"/>
      <w:r w:rsidR="00853E40">
        <w:rPr>
          <w:rStyle w:val="normaltextrun1"/>
          <w:rFonts w:ascii="Calibri" w:eastAsia="Times New Roman" w:hAnsi="Calibri" w:cs="Calibri"/>
          <w:sz w:val="22"/>
          <w:szCs w:val="22"/>
          <w:lang w:eastAsia="en-NZ"/>
        </w:rPr>
        <w:t>He</w:t>
      </w:r>
      <w:proofErr w:type="spellEnd"/>
      <w:r w:rsidR="00853E40">
        <w:rPr>
          <w:rStyle w:val="normaltextrun1"/>
          <w:rFonts w:ascii="Calibri" w:eastAsia="Times New Roman" w:hAnsi="Calibri" w:cs="Calibri"/>
          <w:sz w:val="22"/>
          <w:szCs w:val="22"/>
          <w:lang w:eastAsia="en-NZ"/>
        </w:rPr>
        <w:t xml:space="preserve"> Ara </w:t>
      </w:r>
      <w:proofErr w:type="spellStart"/>
      <w:r w:rsidR="00853E40">
        <w:rPr>
          <w:rStyle w:val="normaltextrun1"/>
          <w:rFonts w:ascii="Calibri" w:eastAsia="Times New Roman" w:hAnsi="Calibri" w:cs="Calibri"/>
          <w:sz w:val="22"/>
          <w:szCs w:val="22"/>
          <w:lang w:eastAsia="en-NZ"/>
        </w:rPr>
        <w:t>Oranga</w:t>
      </w:r>
      <w:proofErr w:type="spellEnd"/>
      <w:r w:rsidR="009B2050">
        <w:rPr>
          <w:rStyle w:val="normaltextrun1"/>
          <w:rFonts w:ascii="Calibri" w:eastAsia="Times New Roman" w:hAnsi="Calibri" w:cs="Calibri"/>
          <w:sz w:val="22"/>
          <w:szCs w:val="22"/>
          <w:lang w:eastAsia="en-NZ"/>
        </w:rPr>
        <w:t xml:space="preserve">.  </w:t>
      </w:r>
    </w:p>
    <w:p w14:paraId="71AC4D18" w14:textId="3E1226D5" w:rsidR="008C4B26" w:rsidRDefault="008C4B26" w:rsidP="008C4B26">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In order to be successful, the initiative requires Police and the mental health and addiction system to be actively engaged. Police need to be able to easily refer people to the mental health and addiction system which in turn needs to have </w:t>
      </w:r>
      <w:r w:rsidR="00A34B8D">
        <w:rPr>
          <w:rStyle w:val="normaltextrun1"/>
          <w:rFonts w:ascii="Calibri" w:eastAsia="Times New Roman" w:hAnsi="Calibri" w:cs="Calibri"/>
          <w:sz w:val="22"/>
          <w:szCs w:val="22"/>
          <w:lang w:eastAsia="en-NZ"/>
        </w:rPr>
        <w:t xml:space="preserve">a range of support available with </w:t>
      </w:r>
      <w:r>
        <w:rPr>
          <w:rStyle w:val="normaltextrun1"/>
          <w:rFonts w:ascii="Calibri" w:eastAsia="Times New Roman" w:hAnsi="Calibri" w:cs="Calibri"/>
          <w:sz w:val="22"/>
          <w:szCs w:val="22"/>
          <w:lang w:eastAsia="en-NZ"/>
        </w:rPr>
        <w:t>capacity and processes in place to support the people who need help.</w:t>
      </w:r>
    </w:p>
    <w:p w14:paraId="4C980BC7" w14:textId="12182F24" w:rsidR="007C205A" w:rsidRDefault="007C205A" w:rsidP="008C4B26">
      <w:pPr>
        <w:pStyle w:val="Heading3"/>
      </w:pPr>
      <w:bookmarkStart w:id="19" w:name="_Toc78186435"/>
      <w:bookmarkStart w:id="20" w:name="_Toc75528210"/>
      <w:bookmarkStart w:id="21" w:name="_Toc75952871"/>
      <w:r>
        <w:t>The review</w:t>
      </w:r>
      <w:bookmarkEnd w:id="19"/>
    </w:p>
    <w:p w14:paraId="4292A5A3" w14:textId="77777777" w:rsidR="007C205A" w:rsidRDefault="007C205A" w:rsidP="007C205A">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The Ministers of Finance and Health that the amendments should be reviewed, with an interim review due in two years’ time and a full review due in five years’ time. The purpose of </w:t>
      </w:r>
      <w:r w:rsidRPr="008E7934">
        <w:rPr>
          <w:rStyle w:val="normaltextrun1"/>
          <w:rFonts w:ascii="Calibri" w:eastAsia="Times New Roman" w:hAnsi="Calibri" w:cs="Calibri"/>
          <w:sz w:val="22"/>
          <w:szCs w:val="22"/>
          <w:lang w:eastAsia="en-NZ"/>
        </w:rPr>
        <w:t>these reviews</w:t>
      </w:r>
      <w:r>
        <w:rPr>
          <w:rStyle w:val="normaltextrun1"/>
          <w:rFonts w:ascii="Calibri" w:eastAsia="Times New Roman" w:hAnsi="Calibri" w:cs="Calibri"/>
          <w:sz w:val="22"/>
          <w:szCs w:val="22"/>
          <w:lang w:eastAsia="en-NZ"/>
        </w:rPr>
        <w:t xml:space="preserve"> is to understand whether the amendment has been successful in supporting a health-based approach to drug-harm reduction and minimising the interaction of people with a drug harm issue with the criminal justice system. </w:t>
      </w:r>
    </w:p>
    <w:p w14:paraId="76B03F5F" w14:textId="77777777" w:rsidR="009D211C" w:rsidRDefault="007C205A" w:rsidP="009D211C">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This interim review is also intended to identify opportunities to improve</w:t>
      </w:r>
      <w:r w:rsidRPr="008E7934">
        <w:rPr>
          <w:rStyle w:val="normaltextrun1"/>
          <w:rFonts w:ascii="Calibri" w:eastAsia="Times New Roman" w:hAnsi="Calibri" w:cs="Calibri"/>
          <w:sz w:val="22"/>
          <w:szCs w:val="22"/>
          <w:lang w:eastAsia="en-NZ"/>
        </w:rPr>
        <w:t xml:space="preserve"> </w:t>
      </w:r>
      <w:r>
        <w:rPr>
          <w:rStyle w:val="normaltextrun1"/>
          <w:rFonts w:ascii="Calibri" w:eastAsia="Times New Roman" w:hAnsi="Calibri" w:cs="Calibri"/>
          <w:sz w:val="22"/>
          <w:szCs w:val="22"/>
          <w:lang w:eastAsia="en-NZ"/>
        </w:rPr>
        <w:t>our approach to analysing the impacts of the amendments to ensure the full review scheduled for 2024 is able to provide a comprehensive picture.</w:t>
      </w:r>
    </w:p>
    <w:p w14:paraId="7CF5CE10" w14:textId="6D43969B" w:rsidR="000A69E6" w:rsidRPr="009D211C" w:rsidRDefault="009D211C" w:rsidP="009D211C">
      <w:pPr>
        <w:pStyle w:val="CommentText"/>
        <w:textAlignment w:val="baseline"/>
        <w:rPr>
          <w:rStyle w:val="normaltextrun1"/>
          <w:lang w:eastAsia="en-NZ"/>
        </w:rPr>
      </w:pPr>
      <w:r>
        <w:rPr>
          <w:rStyle w:val="normaltextrun1"/>
          <w:rFonts w:ascii="Calibri" w:eastAsia="Times New Roman" w:hAnsi="Calibri" w:cs="Calibri"/>
          <w:sz w:val="22"/>
          <w:szCs w:val="22"/>
          <w:lang w:eastAsia="en-NZ"/>
        </w:rPr>
        <w:t xml:space="preserve">The </w:t>
      </w:r>
      <w:r w:rsidR="000A69E6" w:rsidRPr="009D211C">
        <w:rPr>
          <w:rStyle w:val="normaltextrun1"/>
          <w:rFonts w:ascii="Calibri" w:eastAsia="Times New Roman" w:hAnsi="Calibri" w:cs="Calibri"/>
          <w:sz w:val="22"/>
          <w:szCs w:val="22"/>
          <w:lang w:eastAsia="en-NZ"/>
        </w:rPr>
        <w:t xml:space="preserve">limitations of </w:t>
      </w:r>
      <w:r w:rsidRPr="009D211C">
        <w:rPr>
          <w:rStyle w:val="normaltextrun1"/>
          <w:rFonts w:ascii="Calibri" w:eastAsia="Times New Roman" w:hAnsi="Calibri" w:cs="Calibri"/>
          <w:sz w:val="22"/>
          <w:szCs w:val="22"/>
          <w:lang w:eastAsia="en-NZ"/>
        </w:rPr>
        <w:t xml:space="preserve">the information and data means </w:t>
      </w:r>
      <w:r w:rsidR="000A69E6" w:rsidRPr="009D211C">
        <w:rPr>
          <w:rStyle w:val="normaltextrun1"/>
          <w:rFonts w:ascii="Calibri" w:eastAsia="Times New Roman" w:hAnsi="Calibri" w:cs="Calibri"/>
          <w:sz w:val="22"/>
          <w:szCs w:val="22"/>
          <w:lang w:eastAsia="en-NZ"/>
        </w:rPr>
        <w:t>this review has only been able make observations and not be conclusive in several areas. For example, it is unable to draw conclusions on:</w:t>
      </w:r>
    </w:p>
    <w:p w14:paraId="5D2DF0FE" w14:textId="77777777" w:rsidR="009D211C" w:rsidRDefault="000A69E6" w:rsidP="009D211C">
      <w:pPr>
        <w:pStyle w:val="CommentText"/>
        <w:numPr>
          <w:ilvl w:val="0"/>
          <w:numId w:val="32"/>
        </w:numPr>
        <w:textAlignment w:val="baseline"/>
        <w:rPr>
          <w:rStyle w:val="normaltextrun1"/>
          <w:rFonts w:ascii="Calibri" w:eastAsia="Times New Roman" w:hAnsi="Calibri" w:cs="Calibri"/>
          <w:sz w:val="22"/>
          <w:szCs w:val="22"/>
          <w:lang w:eastAsia="en-NZ"/>
        </w:rPr>
      </w:pPr>
      <w:r w:rsidRPr="009D211C">
        <w:rPr>
          <w:rStyle w:val="normaltextrun1"/>
          <w:rFonts w:ascii="Calibri" w:eastAsia="Times New Roman" w:hAnsi="Calibri" w:cs="Calibri"/>
          <w:sz w:val="22"/>
          <w:szCs w:val="22"/>
          <w:lang w:eastAsia="en-NZ"/>
        </w:rPr>
        <w:lastRenderedPageBreak/>
        <w:t xml:space="preserve">awareness among Police of the 2019 amendment, its intent and the processes established to give effect, or attitudes or beliefs around the referral process </w:t>
      </w:r>
    </w:p>
    <w:p w14:paraId="14956B44" w14:textId="77777777" w:rsidR="009D211C" w:rsidRDefault="000A69E6" w:rsidP="009D211C">
      <w:pPr>
        <w:pStyle w:val="CommentText"/>
        <w:numPr>
          <w:ilvl w:val="0"/>
          <w:numId w:val="32"/>
        </w:numPr>
        <w:textAlignment w:val="baseline"/>
        <w:rPr>
          <w:rStyle w:val="normaltextrun1"/>
          <w:rFonts w:ascii="Calibri" w:eastAsia="Times New Roman" w:hAnsi="Calibri" w:cs="Calibri"/>
          <w:sz w:val="22"/>
          <w:szCs w:val="22"/>
          <w:lang w:eastAsia="en-NZ"/>
        </w:rPr>
      </w:pPr>
      <w:r w:rsidRPr="009D211C">
        <w:rPr>
          <w:rStyle w:val="normaltextrun1"/>
          <w:rFonts w:ascii="Calibri" w:eastAsia="Times New Roman" w:hAnsi="Calibri" w:cs="Calibri"/>
          <w:sz w:val="22"/>
          <w:szCs w:val="22"/>
          <w:lang w:eastAsia="en-NZ"/>
        </w:rPr>
        <w:t>the relationship between offending types and health referrals</w:t>
      </w:r>
    </w:p>
    <w:p w14:paraId="3AC5A984" w14:textId="77777777" w:rsidR="009D211C" w:rsidRDefault="000A69E6" w:rsidP="009D211C">
      <w:pPr>
        <w:pStyle w:val="CommentText"/>
        <w:numPr>
          <w:ilvl w:val="0"/>
          <w:numId w:val="32"/>
        </w:numPr>
        <w:textAlignment w:val="baseline"/>
        <w:rPr>
          <w:rStyle w:val="normaltextrun1"/>
          <w:rFonts w:ascii="Calibri" w:eastAsia="Times New Roman" w:hAnsi="Calibri" w:cs="Calibri"/>
          <w:sz w:val="22"/>
          <w:szCs w:val="22"/>
          <w:lang w:eastAsia="en-NZ"/>
        </w:rPr>
      </w:pPr>
      <w:r w:rsidRPr="009D211C">
        <w:rPr>
          <w:rStyle w:val="normaltextrun1"/>
          <w:rFonts w:ascii="Calibri" w:eastAsia="Times New Roman" w:hAnsi="Calibri" w:cs="Calibri"/>
          <w:sz w:val="22"/>
          <w:szCs w:val="22"/>
          <w:lang w:eastAsia="en-NZ"/>
        </w:rPr>
        <w:t>the relationship between Police proceedings and health referrals</w:t>
      </w:r>
    </w:p>
    <w:p w14:paraId="44D53658" w14:textId="13659304" w:rsidR="007C205A" w:rsidRPr="009D211C" w:rsidRDefault="000A69E6" w:rsidP="009D211C">
      <w:pPr>
        <w:pStyle w:val="CommentText"/>
        <w:numPr>
          <w:ilvl w:val="0"/>
          <w:numId w:val="32"/>
        </w:numPr>
        <w:textAlignment w:val="baseline"/>
        <w:rPr>
          <w:rStyle w:val="normaltextrun1"/>
          <w:rFonts w:ascii="Calibri" w:eastAsia="Times New Roman" w:hAnsi="Calibri" w:cs="Calibri"/>
          <w:sz w:val="22"/>
          <w:szCs w:val="22"/>
          <w:lang w:eastAsia="en-NZ"/>
        </w:rPr>
      </w:pPr>
      <w:r w:rsidRPr="009D211C">
        <w:rPr>
          <w:rStyle w:val="normaltextrun1"/>
          <w:rFonts w:ascii="Calibri" w:eastAsia="Times New Roman" w:hAnsi="Calibri" w:cs="Calibri"/>
          <w:sz w:val="22"/>
          <w:szCs w:val="22"/>
          <w:lang w:eastAsia="en-NZ"/>
        </w:rPr>
        <w:t>the AOD sector in terms of national coverage, equity of access and capacity to meet referral demand into the future.</w:t>
      </w:r>
    </w:p>
    <w:p w14:paraId="4B82EAA8" w14:textId="79299DCF" w:rsidR="008C4B26" w:rsidRDefault="001C14BD" w:rsidP="008C4B26">
      <w:pPr>
        <w:pStyle w:val="Heading3"/>
      </w:pPr>
      <w:bookmarkStart w:id="22" w:name="_Toc78186436"/>
      <w:r>
        <w:t>Part one</w:t>
      </w:r>
      <w:r w:rsidR="00E12BDE">
        <w:t xml:space="preserve">: </w:t>
      </w:r>
      <w:r w:rsidR="00E77468">
        <w:t xml:space="preserve">Health-based Police discretion - </w:t>
      </w:r>
      <w:r w:rsidR="008C4B26">
        <w:t>Findings</w:t>
      </w:r>
      <w:bookmarkEnd w:id="20"/>
      <w:bookmarkEnd w:id="21"/>
      <w:bookmarkEnd w:id="22"/>
    </w:p>
    <w:p w14:paraId="78711142" w14:textId="2087DDAB" w:rsidR="008C4B26" w:rsidRDefault="008C4B26" w:rsidP="008C4B26">
      <w:pPr>
        <w:pStyle w:val="Heading4"/>
      </w:pPr>
      <w:r w:rsidRPr="001304F6">
        <w:t>Drug prevalence</w:t>
      </w:r>
    </w:p>
    <w:p w14:paraId="24B01633" w14:textId="35FDC7BB" w:rsidR="008C4B26" w:rsidRPr="00E1392D" w:rsidRDefault="001504A2" w:rsidP="006E14C9">
      <w:pPr>
        <w:spacing w:after="120" w:line="240" w:lineRule="auto"/>
      </w:pPr>
      <w:r>
        <w:t>To provide context</w:t>
      </w:r>
      <w:r w:rsidR="00581AAE">
        <w:t xml:space="preserve"> to the findings</w:t>
      </w:r>
      <w:r w:rsidR="00701AEF">
        <w:t xml:space="preserve">, the review looked at indicators of drug prevalence. </w:t>
      </w:r>
      <w:r w:rsidR="00830D00">
        <w:t xml:space="preserve">Overall </w:t>
      </w:r>
      <w:r w:rsidR="001155D9">
        <w:t>illegal</w:t>
      </w:r>
      <w:r w:rsidR="00830D00">
        <w:t xml:space="preserve"> drug supply in New Zealand has remained steady over the last five years, excluding 2019 which was an outlier, skewed by several high</w:t>
      </w:r>
      <w:r w:rsidR="00967666">
        <w:t>-</w:t>
      </w:r>
      <w:r w:rsidR="00830D00">
        <w:t xml:space="preserve">volume seizures of methamphetamine. Cannabis, methamphetamine and </w:t>
      </w:r>
      <w:proofErr w:type="spellStart"/>
      <w:r w:rsidR="00C56B6C">
        <w:t>methylen</w:t>
      </w:r>
      <w:r w:rsidR="00674D72">
        <w:t>e</w:t>
      </w:r>
      <w:r w:rsidR="00C56B6C">
        <w:t>dioxymeth</w:t>
      </w:r>
      <w:r w:rsidR="00B460CA">
        <w:t>ylamphetamine</w:t>
      </w:r>
      <w:proofErr w:type="spellEnd"/>
      <w:r w:rsidR="00B460CA">
        <w:t xml:space="preserve"> (</w:t>
      </w:r>
      <w:r w:rsidR="00830D00">
        <w:t>MDMA</w:t>
      </w:r>
      <w:r w:rsidR="00B460CA">
        <w:t>)</w:t>
      </w:r>
      <w:r w:rsidR="00830D00">
        <w:t xml:space="preserve"> are the most prevalent </w:t>
      </w:r>
      <w:r w:rsidR="00663DE7">
        <w:t xml:space="preserve">illegal </w:t>
      </w:r>
      <w:r w:rsidR="00830D00">
        <w:t>drug</w:t>
      </w:r>
      <w:r w:rsidR="00663DE7">
        <w:t>s in New Zealand</w:t>
      </w:r>
      <w:r w:rsidR="00830D00">
        <w:t xml:space="preserve">. While COVID-19 caused some disruptions to the </w:t>
      </w:r>
      <w:r w:rsidR="001155D9">
        <w:t>illegal</w:t>
      </w:r>
      <w:r w:rsidR="00830D00">
        <w:t xml:space="preserve"> drug market during 2020, the effects appear to have been temporary for most commodities.</w:t>
      </w:r>
    </w:p>
    <w:p w14:paraId="12507ADF" w14:textId="77777777" w:rsidR="008C4B26" w:rsidRPr="001304F6" w:rsidRDefault="008C4B26" w:rsidP="008C4B26">
      <w:pPr>
        <w:pStyle w:val="Heading4"/>
      </w:pPr>
      <w:r>
        <w:t xml:space="preserve">Use of non-Court proceedings by </w:t>
      </w:r>
      <w:r w:rsidRPr="001304F6">
        <w:t xml:space="preserve">Police </w:t>
      </w:r>
    </w:p>
    <w:p w14:paraId="27BE125D" w14:textId="723ADF4F" w:rsidR="00772963" w:rsidRPr="005018AD" w:rsidRDefault="00772963" w:rsidP="00772963">
      <w:pPr>
        <w:rPr>
          <w:rStyle w:val="normaltextrun1"/>
          <w:rFonts w:ascii="Calibri" w:hAnsi="Calibri" w:cs="Calibri"/>
        </w:rPr>
      </w:pPr>
      <w:r w:rsidRPr="00772963">
        <w:rPr>
          <w:rStyle w:val="normaltextrun1"/>
          <w:rFonts w:ascii="Calibri" w:hAnsi="Calibri" w:cs="Calibri"/>
          <w:bCs/>
        </w:rPr>
        <w:t xml:space="preserve">Non-court proceedings </w:t>
      </w:r>
      <w:r>
        <w:rPr>
          <w:rStyle w:val="normaltextrun1"/>
          <w:rFonts w:ascii="Calibri" w:hAnsi="Calibri" w:cs="Calibri"/>
          <w:bCs/>
        </w:rPr>
        <w:t>include i</w:t>
      </w:r>
      <w:r w:rsidRPr="00772963">
        <w:rPr>
          <w:rStyle w:val="normaltextrun1"/>
          <w:rFonts w:ascii="Calibri" w:hAnsi="Calibri" w:cs="Calibri"/>
          <w:bCs/>
        </w:rPr>
        <w:t>nformal warnings</w:t>
      </w:r>
      <w:r>
        <w:rPr>
          <w:rStyle w:val="normaltextrun1"/>
          <w:rFonts w:ascii="Calibri" w:hAnsi="Calibri" w:cs="Calibri"/>
          <w:bCs/>
        </w:rPr>
        <w:t xml:space="preserve">, </w:t>
      </w:r>
      <w:r w:rsidR="008279A3">
        <w:rPr>
          <w:rStyle w:val="normaltextrun1"/>
          <w:rFonts w:ascii="Calibri" w:hAnsi="Calibri" w:cs="Calibri"/>
          <w:bCs/>
        </w:rPr>
        <w:t>f</w:t>
      </w:r>
      <w:r w:rsidRPr="00772963">
        <w:rPr>
          <w:rStyle w:val="normaltextrun1"/>
          <w:rFonts w:ascii="Calibri" w:hAnsi="Calibri" w:cs="Calibri"/>
          <w:bCs/>
        </w:rPr>
        <w:t>ormal warnings</w:t>
      </w:r>
      <w:r>
        <w:rPr>
          <w:rStyle w:val="normaltextrun1"/>
          <w:rFonts w:ascii="Calibri" w:hAnsi="Calibri" w:cs="Calibri"/>
          <w:bCs/>
        </w:rPr>
        <w:t xml:space="preserve"> and </w:t>
      </w:r>
      <w:r w:rsidR="008279A3">
        <w:rPr>
          <w:rStyle w:val="normaltextrun1"/>
          <w:rFonts w:ascii="Calibri" w:hAnsi="Calibri" w:cs="Calibri"/>
          <w:bCs/>
        </w:rPr>
        <w:t>r</w:t>
      </w:r>
      <w:r w:rsidRPr="00772963">
        <w:rPr>
          <w:rStyle w:val="normaltextrun1"/>
          <w:rFonts w:ascii="Calibri" w:hAnsi="Calibri" w:cs="Calibri"/>
          <w:bCs/>
        </w:rPr>
        <w:t>eferral</w:t>
      </w:r>
      <w:r>
        <w:rPr>
          <w:rStyle w:val="normaltextrun1"/>
          <w:rFonts w:ascii="Calibri" w:hAnsi="Calibri" w:cs="Calibri"/>
          <w:bCs/>
        </w:rPr>
        <w:t>s</w:t>
      </w:r>
      <w:r w:rsidRPr="00772963">
        <w:rPr>
          <w:rStyle w:val="normaltextrun1"/>
          <w:rFonts w:ascii="Calibri" w:hAnsi="Calibri" w:cs="Calibri"/>
          <w:bCs/>
        </w:rPr>
        <w:t xml:space="preserve"> to Te Pae Oranga</w:t>
      </w:r>
      <w:r w:rsidRPr="00962E56">
        <w:rPr>
          <w:rStyle w:val="normaltextrun1"/>
          <w:rFonts w:ascii="Calibri" w:hAnsi="Calibri" w:cs="Calibri"/>
        </w:rPr>
        <w:t xml:space="preserve"> </w:t>
      </w:r>
      <w:r>
        <w:rPr>
          <w:rStyle w:val="normaltextrun1"/>
          <w:rFonts w:ascii="Calibri" w:hAnsi="Calibri" w:cs="Calibri"/>
        </w:rPr>
        <w:t>(</w:t>
      </w:r>
      <w:r w:rsidRPr="5E903C6E">
        <w:rPr>
          <w:rStyle w:val="normaltextrun1"/>
          <w:rFonts w:ascii="Calibri" w:hAnsi="Calibri" w:cs="Calibri"/>
        </w:rPr>
        <w:t xml:space="preserve">an alternative justice model </w:t>
      </w:r>
      <w:r>
        <w:rPr>
          <w:rStyle w:val="normaltextrun1"/>
          <w:rFonts w:ascii="Calibri" w:hAnsi="Calibri" w:cs="Calibri"/>
        </w:rPr>
        <w:t>informed by</w:t>
      </w:r>
      <w:r w:rsidRPr="5E903C6E">
        <w:rPr>
          <w:rStyle w:val="normaltextrun1"/>
          <w:rFonts w:ascii="Calibri" w:hAnsi="Calibri" w:cs="Calibri"/>
        </w:rPr>
        <w:t xml:space="preserve"> a te ao Māori framework</w:t>
      </w:r>
      <w:r>
        <w:rPr>
          <w:rStyle w:val="normaltextrun1"/>
          <w:rFonts w:ascii="Calibri" w:hAnsi="Calibri" w:cs="Calibri"/>
        </w:rPr>
        <w:t>). These are recorded but do not involve any further action.</w:t>
      </w:r>
      <w:r w:rsidRPr="00772963">
        <w:t xml:space="preserve"> </w:t>
      </w:r>
    </w:p>
    <w:p w14:paraId="23DCA248" w14:textId="63335787" w:rsidR="004E472A" w:rsidRPr="00176190" w:rsidRDefault="004E472A" w:rsidP="008C4B26">
      <w:pPr>
        <w:rPr>
          <w:b/>
          <w:bCs/>
        </w:rPr>
      </w:pPr>
      <w:r>
        <w:t>The use of non-court proceedings for personal drug possession and use has increased from 66</w:t>
      </w:r>
      <w:r w:rsidR="00602B9F">
        <w:t xml:space="preserve"> percent</w:t>
      </w:r>
      <w:r>
        <w:t xml:space="preserve"> </w:t>
      </w:r>
      <w:r w:rsidR="007C205A">
        <w:t xml:space="preserve">of Police interactions </w:t>
      </w:r>
      <w:r>
        <w:t>in August 2019 to 82</w:t>
      </w:r>
      <w:r w:rsidR="00602B9F">
        <w:t xml:space="preserve"> percent</w:t>
      </w:r>
      <w:r>
        <w:t xml:space="preserve"> in the first quarter of 2021.</w:t>
      </w:r>
      <w:r w:rsidR="00176190">
        <w:t xml:space="preserve"> </w:t>
      </w:r>
      <w:r w:rsidR="00257A3E">
        <w:t xml:space="preserve">It is not clear how much of this can be attributed directly to the amendment. </w:t>
      </w:r>
      <w:r w:rsidR="00602B9F">
        <w:t>Ninety percent</w:t>
      </w:r>
      <w:r w:rsidR="00176190">
        <w:t xml:space="preserve"> of first offences are dealt with by way o</w:t>
      </w:r>
      <w:r w:rsidR="00602B9F">
        <w:t>f</w:t>
      </w:r>
      <w:r w:rsidR="00176190">
        <w:t xml:space="preserve"> non-court proceedings.</w:t>
      </w:r>
      <w:r w:rsidR="00176190" w:rsidRPr="00176190">
        <w:t xml:space="preserve"> </w:t>
      </w:r>
      <w:r w:rsidR="00176190">
        <w:t xml:space="preserve">Police use of non-court proceedings has increased </w:t>
      </w:r>
      <w:r w:rsidR="00772963">
        <w:t xml:space="preserve">significantly </w:t>
      </w:r>
      <w:r w:rsidR="00176190">
        <w:t>for repeat offences since August 2019 (59</w:t>
      </w:r>
      <w:r w:rsidR="00E41D01">
        <w:t xml:space="preserve"> percent</w:t>
      </w:r>
      <w:r w:rsidR="00176190">
        <w:t xml:space="preserve"> in August 2019 to 77</w:t>
      </w:r>
      <w:r w:rsidR="00E41D01">
        <w:t xml:space="preserve"> percent</w:t>
      </w:r>
      <w:r w:rsidR="00176190">
        <w:t xml:space="preserve"> in the first quarter of 2021).</w:t>
      </w:r>
    </w:p>
    <w:p w14:paraId="34867668" w14:textId="48E40BA1" w:rsidR="008C4B26" w:rsidRDefault="00772963" w:rsidP="008C4B26">
      <w:r>
        <w:t xml:space="preserve">It is not known how many of these resulted in health referrals. Where </w:t>
      </w:r>
      <w:r w:rsidR="008C4B26">
        <w:t xml:space="preserve">individuals </w:t>
      </w:r>
      <w:r w:rsidR="00F35581">
        <w:t>have</w:t>
      </w:r>
      <w:r w:rsidR="008C4B26">
        <w:t xml:space="preserve"> not </w:t>
      </w:r>
      <w:r w:rsidR="00F35581">
        <w:t>been</w:t>
      </w:r>
      <w:r w:rsidR="008C4B26">
        <w:t xml:space="preserve"> </w:t>
      </w:r>
      <w:r w:rsidR="004C717C">
        <w:t xml:space="preserve">formally </w:t>
      </w:r>
      <w:r w:rsidR="008C4B26">
        <w:t>referred to a health service</w:t>
      </w:r>
      <w:r w:rsidR="00E20E33">
        <w:t>,</w:t>
      </w:r>
      <w:r w:rsidR="008C4B26">
        <w:t xml:space="preserve"> not entering the criminal justice system</w:t>
      </w:r>
      <w:r w:rsidR="00F35581">
        <w:t xml:space="preserve"> for personal drug use is </w:t>
      </w:r>
      <w:r w:rsidR="00E20E33">
        <w:t xml:space="preserve">still considered </w:t>
      </w:r>
      <w:r w:rsidR="00F35581">
        <w:t>a form of harm reduction</w:t>
      </w:r>
      <w:r w:rsidR="008C4B26">
        <w:t>.</w:t>
      </w:r>
      <w:r>
        <w:t xml:space="preserve"> </w:t>
      </w:r>
    </w:p>
    <w:p w14:paraId="39FEF6E7" w14:textId="409E8D57" w:rsidR="001645CC" w:rsidRDefault="001645CC" w:rsidP="008C4B26">
      <w:r w:rsidRPr="001645CC">
        <w:t>Prosecutions</w:t>
      </w:r>
      <w:r>
        <w:t xml:space="preserve"> for </w:t>
      </w:r>
      <w:r w:rsidRPr="001645CC">
        <w:t>personal possession and use of cannabis h</w:t>
      </w:r>
      <w:r w:rsidR="007C205A">
        <w:t>ave</w:t>
      </w:r>
      <w:r w:rsidRPr="001645CC">
        <w:t xml:space="preserve"> been declining for a decade. </w:t>
      </w:r>
      <w:r>
        <w:t>P</w:t>
      </w:r>
      <w:r w:rsidRPr="001645CC">
        <w:t xml:space="preserve">rosecutions have continued to trend downwards following the 2019 amendments. Use of </w:t>
      </w:r>
      <w:r w:rsidR="007C205A">
        <w:t xml:space="preserve">non-court </w:t>
      </w:r>
      <w:r w:rsidR="007C205A" w:rsidRPr="001645CC">
        <w:t>proceedings</w:t>
      </w:r>
      <w:r w:rsidR="007C205A">
        <w:t>,</w:t>
      </w:r>
      <w:r w:rsidRPr="001645CC">
        <w:t xml:space="preserve"> such as warnings, continue to trend upwards. </w:t>
      </w:r>
    </w:p>
    <w:p w14:paraId="257952DE" w14:textId="778A5ECD" w:rsidR="008C4B26" w:rsidRDefault="008C4B26" w:rsidP="008C4B26">
      <w:r>
        <w:t>There has been a significant increase in the use of non-court proceedings for possession and use of methamphetamine since the amendment</w:t>
      </w:r>
      <w:r w:rsidR="00B63B7C">
        <w:t xml:space="preserve"> with no decrease in the prevalence of the drug</w:t>
      </w:r>
      <w:r w:rsidR="001645CC">
        <w:t xml:space="preserve"> </w:t>
      </w:r>
      <w:r w:rsidR="001645CC">
        <w:rPr>
          <w:rFonts w:ascii="Calibri" w:eastAsia="Times New Roman" w:hAnsi="Calibri" w:cs="Calibri"/>
          <w:color w:val="000000"/>
          <w:lang w:eastAsia="en-NZ"/>
        </w:rPr>
        <w:t>(</w:t>
      </w:r>
      <w:r w:rsidR="00154D11">
        <w:rPr>
          <w:rFonts w:ascii="Calibri" w:eastAsia="Times New Roman" w:hAnsi="Calibri" w:cs="Calibri"/>
          <w:color w:val="000000"/>
          <w:lang w:eastAsia="en-NZ"/>
        </w:rPr>
        <w:t>eight</w:t>
      </w:r>
      <w:r w:rsidR="00D26471">
        <w:rPr>
          <w:rFonts w:ascii="Calibri" w:eastAsia="Times New Roman" w:hAnsi="Calibri" w:cs="Calibri"/>
          <w:color w:val="000000"/>
          <w:lang w:eastAsia="en-NZ"/>
        </w:rPr>
        <w:t xml:space="preserve"> percent</w:t>
      </w:r>
      <w:r w:rsidR="001645CC">
        <w:rPr>
          <w:rFonts w:ascii="Calibri" w:eastAsia="Times New Roman" w:hAnsi="Calibri" w:cs="Calibri"/>
          <w:color w:val="000000"/>
          <w:lang w:eastAsia="en-NZ"/>
        </w:rPr>
        <w:t xml:space="preserve"> quarter 2 2019 – 49</w:t>
      </w:r>
      <w:r w:rsidR="00D26471">
        <w:rPr>
          <w:rFonts w:ascii="Calibri" w:eastAsia="Times New Roman" w:hAnsi="Calibri" w:cs="Calibri"/>
          <w:color w:val="000000"/>
          <w:lang w:eastAsia="en-NZ"/>
        </w:rPr>
        <w:t xml:space="preserve"> percent</w:t>
      </w:r>
      <w:r w:rsidR="001645CC">
        <w:rPr>
          <w:rFonts w:ascii="Calibri" w:eastAsia="Times New Roman" w:hAnsi="Calibri" w:cs="Calibri"/>
          <w:color w:val="000000"/>
          <w:lang w:eastAsia="en-NZ"/>
        </w:rPr>
        <w:t xml:space="preserve"> quarter 1 2021)</w:t>
      </w:r>
      <w:r w:rsidR="000A2A2D">
        <w:t>.</w:t>
      </w:r>
      <w:r w:rsidR="00772963">
        <w:t xml:space="preserve"> </w:t>
      </w:r>
      <w:r w:rsidR="000A2A2D">
        <w:t>It appears that this has occurred</w:t>
      </w:r>
      <w:r>
        <w:t xml:space="preserve"> </w:t>
      </w:r>
      <w:r w:rsidR="008E7934">
        <w:t>as a</w:t>
      </w:r>
      <w:r>
        <w:t xml:space="preserve"> result of the updated </w:t>
      </w:r>
      <w:r w:rsidR="00772963">
        <w:t>instructions</w:t>
      </w:r>
      <w:r>
        <w:t xml:space="preserve"> issued by Police in response to the amendment.</w:t>
      </w:r>
      <w:r w:rsidR="00772963">
        <w:t xml:space="preserve"> </w:t>
      </w:r>
    </w:p>
    <w:p w14:paraId="3A6CD562" w14:textId="2415B787" w:rsidR="008C4B26" w:rsidRDefault="008C4B26" w:rsidP="008C4B26">
      <w:r>
        <w:t xml:space="preserve">The use of Police discretion </w:t>
      </w:r>
      <w:r w:rsidR="000A2A2D">
        <w:t>around the country appears to be largely consistent with t</w:t>
      </w:r>
      <w:r w:rsidR="00533E1E">
        <w:t>wo</w:t>
      </w:r>
      <w:r w:rsidR="000A2A2D">
        <w:t xml:space="preserve"> possible outlier districts</w:t>
      </w:r>
      <w:r>
        <w:t xml:space="preserve">. The </w:t>
      </w:r>
      <w:r w:rsidR="00930757">
        <w:t>Eastern Police District</w:t>
      </w:r>
      <w:r>
        <w:t xml:space="preserve"> appears to use non-Court proceedings less than the regional average while Southland appear</w:t>
      </w:r>
      <w:r w:rsidR="00533E1E">
        <w:t>s</w:t>
      </w:r>
      <w:r>
        <w:t xml:space="preserve"> to use non-Court proceedings more than the </w:t>
      </w:r>
      <w:r w:rsidR="000A2A2D">
        <w:t>district</w:t>
      </w:r>
      <w:r>
        <w:t xml:space="preserve"> average.</w:t>
      </w:r>
      <w:r w:rsidR="0097626B" w:rsidRPr="0097626B">
        <w:t xml:space="preserve"> </w:t>
      </w:r>
      <w:r w:rsidR="0097626B" w:rsidRPr="0076209A">
        <w:t xml:space="preserve">There are, however, challenges in achieving statistically significant trends with the small datasets and the need to account for factors such as the higher incidence of repeat offending in Eastern. There will be </w:t>
      </w:r>
      <w:r w:rsidR="00C91CB1" w:rsidRPr="0076209A">
        <w:t>a</w:t>
      </w:r>
      <w:r w:rsidR="0097626B" w:rsidRPr="0076209A">
        <w:t xml:space="preserve"> better understanding of trends in the final review in 2024.</w:t>
      </w:r>
    </w:p>
    <w:p w14:paraId="1AF88865" w14:textId="7683C539" w:rsidR="006966A8" w:rsidRDefault="008279A3" w:rsidP="008C4B26">
      <w:bookmarkStart w:id="23" w:name="_Hlk75519386"/>
      <w:r w:rsidRPr="008279A3">
        <w:t>Police are providing information to Districts on offending, victimisation and use of supported resolutions, to better inform operational performance and to improve equitable outcomes s</w:t>
      </w:r>
      <w:r w:rsidR="006966A8" w:rsidRPr="008279A3">
        <w:t xml:space="preserve">ince </w:t>
      </w:r>
      <w:r w:rsidR="006966A8" w:rsidRPr="008279A3">
        <w:lastRenderedPageBreak/>
        <w:t xml:space="preserve">implementing </w:t>
      </w:r>
      <w:proofErr w:type="spellStart"/>
      <w:r w:rsidR="006966A8" w:rsidRPr="008279A3">
        <w:t>Te</w:t>
      </w:r>
      <w:proofErr w:type="spellEnd"/>
      <w:r w:rsidR="006966A8" w:rsidRPr="008279A3">
        <w:t xml:space="preserve"> </w:t>
      </w:r>
      <w:proofErr w:type="spellStart"/>
      <w:r w:rsidR="006966A8" w:rsidRPr="008279A3">
        <w:t>Huringa</w:t>
      </w:r>
      <w:proofErr w:type="spellEnd"/>
      <w:r w:rsidR="006966A8" w:rsidRPr="008279A3">
        <w:t xml:space="preserve"> O </w:t>
      </w:r>
      <w:proofErr w:type="spellStart"/>
      <w:r w:rsidR="006966A8" w:rsidRPr="008279A3">
        <w:t>Te</w:t>
      </w:r>
      <w:proofErr w:type="spellEnd"/>
      <w:r w:rsidR="006966A8" w:rsidRPr="008279A3">
        <w:t xml:space="preserve"> Tai</w:t>
      </w:r>
      <w:r>
        <w:t xml:space="preserve">. </w:t>
      </w:r>
      <w:proofErr w:type="spellStart"/>
      <w:r w:rsidR="00F35581">
        <w:t>Te</w:t>
      </w:r>
      <w:proofErr w:type="spellEnd"/>
      <w:r w:rsidR="00F35581">
        <w:t xml:space="preserve"> </w:t>
      </w:r>
      <w:proofErr w:type="spellStart"/>
      <w:r w:rsidR="00F35581">
        <w:t>Huringa</w:t>
      </w:r>
      <w:proofErr w:type="spellEnd"/>
      <w:r w:rsidR="00F35581">
        <w:t xml:space="preserve"> O </w:t>
      </w:r>
      <w:proofErr w:type="spellStart"/>
      <w:r w:rsidR="00F35581">
        <w:t>Te</w:t>
      </w:r>
      <w:proofErr w:type="spellEnd"/>
      <w:r w:rsidR="00F35581">
        <w:t xml:space="preserve"> Tai</w:t>
      </w:r>
      <w:r>
        <w:t xml:space="preserve"> is </w:t>
      </w:r>
      <w:r w:rsidR="00F70FC0">
        <w:t>a</w:t>
      </w:r>
      <w:r w:rsidRPr="008279A3">
        <w:rPr>
          <w:rStyle w:val="normaltextrun1"/>
          <w:rFonts w:ascii="Calibri" w:eastAsia="Times New Roman" w:hAnsi="Calibri" w:cs="Calibri"/>
          <w:lang w:eastAsia="en-NZ"/>
        </w:rPr>
        <w:t xml:space="preserve"> whānau ora crime and crash prevention strategy which focuses on keeping Māori from entering the criminal justice system and addressing the underlying causes of offending.</w:t>
      </w:r>
      <w:r w:rsidR="006966A8" w:rsidRPr="008279A3">
        <w:t xml:space="preserve"> This national and District-specific information includes use of Court and non-Court proceedings for M</w:t>
      </w:r>
      <w:r w:rsidR="006966A8" w:rsidRPr="008279A3">
        <w:rPr>
          <w:rFonts w:cstheme="minorHAnsi"/>
        </w:rPr>
        <w:t>ā</w:t>
      </w:r>
      <w:r w:rsidR="006966A8" w:rsidRPr="008279A3">
        <w:t>ori and non-M</w:t>
      </w:r>
      <w:r w:rsidR="006966A8" w:rsidRPr="008279A3">
        <w:rPr>
          <w:rFonts w:cstheme="minorHAnsi"/>
        </w:rPr>
        <w:t>ā</w:t>
      </w:r>
      <w:r w:rsidR="006966A8" w:rsidRPr="008279A3">
        <w:t>ori. Inclusion of data specific to personal drug possession</w:t>
      </w:r>
      <w:r w:rsidR="00617A64">
        <w:t xml:space="preserve"> and </w:t>
      </w:r>
      <w:r w:rsidR="006966A8" w:rsidRPr="008279A3">
        <w:t>use would enable closer monitoring of outcomes by Districts and will be investigated by Police</w:t>
      </w:r>
      <w:r w:rsidR="005856B7" w:rsidRPr="008279A3">
        <w:t>.</w:t>
      </w:r>
    </w:p>
    <w:bookmarkEnd w:id="23"/>
    <w:p w14:paraId="10B7A066" w14:textId="5CAD41F3" w:rsidR="008C4B26" w:rsidRDefault="008C4B26" w:rsidP="008C4B26">
      <w:pPr>
        <w:pStyle w:val="Heading4"/>
      </w:pPr>
      <w:r>
        <w:t xml:space="preserve">Court </w:t>
      </w:r>
      <w:r w:rsidR="009612B7">
        <w:t>actions</w:t>
      </w:r>
    </w:p>
    <w:p w14:paraId="4F29A457" w14:textId="2755F894" w:rsidR="00F35581" w:rsidRDefault="00F35581" w:rsidP="00F35581">
      <w:r>
        <w:t xml:space="preserve">Prosecutions overall have declined since 2019 with a sharp decrease in prosecutions for possession or use of methamphetamine. This reflects that there has a been a change in Police operational policy and practice in relation to prosecution for offences related to methamphetamine. Overall conviction rates have also declined over the same period. </w:t>
      </w:r>
    </w:p>
    <w:p w14:paraId="4D423426" w14:textId="200EA108" w:rsidR="00DE53CD" w:rsidRDefault="00DE53CD" w:rsidP="00DE53CD">
      <w:r>
        <w:t>Diversion</w:t>
      </w:r>
      <w:r w:rsidR="00F35581">
        <w:t xml:space="preserve"> is an option for individuals facing court action. It</w:t>
      </w:r>
      <w:r>
        <w:t xml:space="preserve"> offers the individual the chance to have their charges dismissed once the conditions of the diversion have been met. </w:t>
      </w:r>
      <w:r w:rsidR="009612B7">
        <w:t>It has largely been used for personal cannabis possession and use</w:t>
      </w:r>
      <w:r w:rsidR="00AC2AFB">
        <w:t>;</w:t>
      </w:r>
      <w:r w:rsidR="009612B7">
        <w:t xml:space="preserve"> but is decreasing as fewer prosecutions for possession and use of cannabis are being made. Fewer people facing their first offence for personal drug possession and use are being offered diversion. This could be because most </w:t>
      </w:r>
      <w:r w:rsidR="006E7834">
        <w:t>low</w:t>
      </w:r>
      <w:r w:rsidR="00023766">
        <w:t>-</w:t>
      </w:r>
      <w:r w:rsidR="00F27429">
        <w:t>level</w:t>
      </w:r>
      <w:r w:rsidR="006E7834">
        <w:t xml:space="preserve"> offending is not making it to the courts. This aligns with the Police proceedings findings.</w:t>
      </w:r>
      <w:r w:rsidR="006E7834" w:rsidRPr="006E7834">
        <w:t xml:space="preserve"> </w:t>
      </w:r>
      <w:r w:rsidR="006E7834">
        <w:t>Total drug-related diversion numbers have declined over the last decade from 841 in 2010, to 87 in 2016, and 128 in 2020.</w:t>
      </w:r>
    </w:p>
    <w:p w14:paraId="0A0F0178" w14:textId="77777777" w:rsidR="00A40340" w:rsidRDefault="00A40340" w:rsidP="00A40340">
      <w:pPr>
        <w:pStyle w:val="Heading4"/>
      </w:pPr>
      <w:r>
        <w:t xml:space="preserve">Equity </w:t>
      </w:r>
    </w:p>
    <w:p w14:paraId="1F9B7074" w14:textId="17B89D5B" w:rsidR="00F35581" w:rsidRDefault="00A40340" w:rsidP="00F35581">
      <w:r>
        <w:t>There has been a marked increase in the use of non-court proceedings for M</w:t>
      </w:r>
      <w:r>
        <w:rPr>
          <w:rFonts w:cstheme="minorHAnsi"/>
        </w:rPr>
        <w:t>ā</w:t>
      </w:r>
      <w:r>
        <w:t>ori for personal possession and use of drugs</w:t>
      </w:r>
      <w:r w:rsidR="009C1652" w:rsidRPr="009C1652">
        <w:t xml:space="preserve"> </w:t>
      </w:r>
      <w:r w:rsidR="009C1652">
        <w:t xml:space="preserve">(84 </w:t>
      </w:r>
      <w:r w:rsidR="009C28D3">
        <w:t>percent</w:t>
      </w:r>
      <w:r w:rsidR="009C1652">
        <w:t xml:space="preserve"> to 91 </w:t>
      </w:r>
      <w:r w:rsidR="002F11C4">
        <w:t>percent</w:t>
      </w:r>
      <w:r w:rsidR="008130DF">
        <w:t xml:space="preserve"> </w:t>
      </w:r>
      <w:r w:rsidR="009C1652">
        <w:t xml:space="preserve">for first time </w:t>
      </w:r>
      <w:r w:rsidR="008130DF">
        <w:t>M</w:t>
      </w:r>
      <w:r w:rsidR="00706CA0">
        <w:t>ā</w:t>
      </w:r>
      <w:r w:rsidR="008130DF">
        <w:t>ori</w:t>
      </w:r>
      <w:r w:rsidR="009C1652">
        <w:t xml:space="preserve"> offenders and 56 </w:t>
      </w:r>
      <w:r w:rsidR="002F11C4">
        <w:t>percent</w:t>
      </w:r>
      <w:r w:rsidR="008130DF">
        <w:t xml:space="preserve"> </w:t>
      </w:r>
      <w:r w:rsidR="009C1652">
        <w:t xml:space="preserve">to 70 </w:t>
      </w:r>
      <w:r w:rsidR="002F11C4">
        <w:t>percent</w:t>
      </w:r>
      <w:r w:rsidR="009C1652">
        <w:t xml:space="preserve"> for repeat </w:t>
      </w:r>
      <w:r w:rsidR="008130DF">
        <w:t>M</w:t>
      </w:r>
      <w:r w:rsidR="00706CA0">
        <w:t>ā</w:t>
      </w:r>
      <w:r w:rsidR="008130DF">
        <w:t xml:space="preserve">ori </w:t>
      </w:r>
      <w:r w:rsidR="009C1652">
        <w:t>offenders).</w:t>
      </w:r>
      <w:r w:rsidR="008130DF">
        <w:t xml:space="preserve"> </w:t>
      </w:r>
      <w:r>
        <w:t xml:space="preserve">The timing is consistent with the amendment’s introduction. The increase </w:t>
      </w:r>
      <w:r w:rsidR="006B57D0" w:rsidRPr="0076209A">
        <w:t>appears to be</w:t>
      </w:r>
      <w:r w:rsidRPr="0076209A">
        <w:t xml:space="preserve"> less</w:t>
      </w:r>
      <w:r>
        <w:t xml:space="preserve"> than that for non-M</w:t>
      </w:r>
      <w:r>
        <w:rPr>
          <w:rFonts w:cstheme="minorHAnsi"/>
        </w:rPr>
        <w:t>ā</w:t>
      </w:r>
      <w:r>
        <w:t xml:space="preserve">ori but follows the same trend. </w:t>
      </w:r>
      <w:r w:rsidR="00F35581">
        <w:t>The drivers for this are likely complex and require further investigation before any conclusions can be made.</w:t>
      </w:r>
    </w:p>
    <w:p w14:paraId="64FAD378" w14:textId="510D93D1" w:rsidR="00A40340" w:rsidRDefault="00A40340" w:rsidP="00A40340">
      <w:r>
        <w:t xml:space="preserve">The data shows that the trends in non-Court and Court proceedings are similar for Māori and non-Māori indicating that once the decision is made by Police to take proceedings against an individual, they are treated similarly </w:t>
      </w:r>
      <w:r w:rsidR="00E20E33">
        <w:t xml:space="preserve">within the </w:t>
      </w:r>
      <w:r w:rsidR="00AC2AFB">
        <w:t>Police</w:t>
      </w:r>
      <w:r w:rsidR="00E20E33">
        <w:t xml:space="preserve"> system</w:t>
      </w:r>
      <w:r w:rsidR="00AC2AFB">
        <w:t xml:space="preserve"> in relation to the use of non-court proceedings</w:t>
      </w:r>
      <w:r w:rsidR="00E20E33">
        <w:t xml:space="preserve"> </w:t>
      </w:r>
      <w:r>
        <w:t xml:space="preserve">irrespective of ethnicity. </w:t>
      </w:r>
    </w:p>
    <w:p w14:paraId="6FE9FA5C" w14:textId="13CD84CE" w:rsidR="00A40340" w:rsidRDefault="00A40340" w:rsidP="00A40340">
      <w:pPr>
        <w:rPr>
          <w:lang w:eastAsia="zh-CN"/>
        </w:rPr>
      </w:pPr>
      <w:r>
        <w:rPr>
          <w:lang w:eastAsia="zh-CN"/>
        </w:rPr>
        <w:t xml:space="preserve">Conclusions on equity cannot be made as the complexity of the picture is not contained in the </w:t>
      </w:r>
      <w:r w:rsidR="72F4D389" w:rsidRPr="2A0484DB">
        <w:rPr>
          <w:lang w:eastAsia="zh-CN"/>
        </w:rPr>
        <w:t>P</w:t>
      </w:r>
      <w:r w:rsidR="59D4E42F" w:rsidRPr="2A0484DB">
        <w:rPr>
          <w:lang w:eastAsia="zh-CN"/>
        </w:rPr>
        <w:t>olice</w:t>
      </w:r>
      <w:r>
        <w:rPr>
          <w:lang w:eastAsia="zh-CN"/>
        </w:rPr>
        <w:t xml:space="preserve"> proceedings data. Demographic and case-level data and interviews with Police officers would be required to more fully understand the full picture.</w:t>
      </w:r>
    </w:p>
    <w:p w14:paraId="31CE7DED" w14:textId="77777777" w:rsidR="00B33630" w:rsidRDefault="00B33630" w:rsidP="00B33630">
      <w:r>
        <w:t xml:space="preserve">The Police </w:t>
      </w:r>
      <w:r w:rsidRPr="009E0464">
        <w:t xml:space="preserve">Prevention First </w:t>
      </w:r>
      <w:r>
        <w:t xml:space="preserve">approach </w:t>
      </w:r>
      <w:r w:rsidRPr="009E0464">
        <w:t xml:space="preserve">and Reframe work programme </w:t>
      </w:r>
      <w:r>
        <w:t>are</w:t>
      </w:r>
      <w:r w:rsidRPr="009E0464">
        <w:t xml:space="preserve"> expected to improve outcomes for Māori and Pacific communities through the focus on harm prevention and </w:t>
      </w:r>
      <w:r>
        <w:t xml:space="preserve">the </w:t>
      </w:r>
      <w:r w:rsidRPr="009E0464">
        <w:t>use of supported resolutions</w:t>
      </w:r>
      <w:r>
        <w:t>.</w:t>
      </w:r>
    </w:p>
    <w:p w14:paraId="59C1AAD6" w14:textId="303A036E" w:rsidR="00B33630" w:rsidRDefault="00786D10" w:rsidP="00B33630">
      <w:pPr>
        <w:rPr>
          <w:lang w:eastAsia="zh-CN"/>
        </w:rPr>
      </w:pPr>
      <w:r>
        <w:t>Deeper investigation is neede</w:t>
      </w:r>
      <w:r w:rsidR="00A91ADF">
        <w:t xml:space="preserve">d </w:t>
      </w:r>
      <w:r w:rsidR="009604E1">
        <w:t>into the equitable applicat</w:t>
      </w:r>
      <w:r w:rsidR="0013051C">
        <w:t>ion of decision making and use of di</w:t>
      </w:r>
      <w:r w:rsidR="00BE3B6F">
        <w:t>scretion.</w:t>
      </w:r>
      <w:r w:rsidR="00DA44EA">
        <w:t xml:space="preserve"> </w:t>
      </w:r>
      <w:r w:rsidR="00B33630">
        <w:t>Police</w:t>
      </w:r>
      <w:r w:rsidR="00B33630">
        <w:rPr>
          <w:lang w:eastAsia="zh-CN"/>
        </w:rPr>
        <w:t xml:space="preserve"> is working with the University of Waikato on a long-term research programme focussed on examining where bias may exist within Police policies, processes, and practices.</w:t>
      </w:r>
    </w:p>
    <w:p w14:paraId="2F398579" w14:textId="77777777" w:rsidR="008C4B26" w:rsidRDefault="008C4B26" w:rsidP="008C4B26">
      <w:pPr>
        <w:pStyle w:val="Heading4"/>
      </w:pPr>
      <w:r>
        <w:t>Referrals to health services</w:t>
      </w:r>
    </w:p>
    <w:p w14:paraId="08A517BB" w14:textId="67FB53F6" w:rsidR="005E6721" w:rsidRDefault="008818C0" w:rsidP="00CA5B83">
      <w:r>
        <w:t>Primary health care providers, social sector agencies, Oranga Tamariki, the Courts</w:t>
      </w:r>
      <w:r w:rsidR="00620D1F">
        <w:t xml:space="preserve"> and</w:t>
      </w:r>
      <w:r>
        <w:t xml:space="preserve"> Corrections can all offer referrals into alcohol and other drug services. Police has had the ability to refer into health and social services for some time, through various local mechanisms</w:t>
      </w:r>
      <w:r w:rsidR="00F04368">
        <w:t xml:space="preserve">. Individuals can also </w:t>
      </w:r>
      <w:r w:rsidR="009E2E68">
        <w:t>choose to self-refer at any time.</w:t>
      </w:r>
    </w:p>
    <w:p w14:paraId="41355A08" w14:textId="6194371A" w:rsidR="008818C0" w:rsidRDefault="008818C0" w:rsidP="00CA5B83">
      <w:r>
        <w:lastRenderedPageBreak/>
        <w:t xml:space="preserve">In response to the health-based </w:t>
      </w:r>
      <w:r w:rsidR="00E20E33">
        <w:t xml:space="preserve">discretion </w:t>
      </w:r>
      <w:r>
        <w:t xml:space="preserve">amendment a new national </w:t>
      </w:r>
      <w:r w:rsidR="00544FE8">
        <w:t>r</w:t>
      </w:r>
      <w:r w:rsidR="00CA5B83">
        <w:t xml:space="preserve">eferral </w:t>
      </w:r>
      <w:r w:rsidR="00544FE8">
        <w:t>p</w:t>
      </w:r>
      <w:r w:rsidR="004D081B">
        <w:t>athway</w:t>
      </w:r>
      <w:r w:rsidR="00E2370B">
        <w:t xml:space="preserve"> (the MoDA referral pathway)</w:t>
      </w:r>
      <w:r w:rsidR="00CA5B83">
        <w:t xml:space="preserve"> was established, connected to the Alcohol Drug Helpline provided by the </w:t>
      </w:r>
      <w:r w:rsidR="00ED4B33">
        <w:t>nationwide</w:t>
      </w:r>
      <w:r w:rsidR="00CA5B83">
        <w:t xml:space="preserve"> telehealth provider </w:t>
      </w:r>
      <w:proofErr w:type="spellStart"/>
      <w:r w:rsidR="00CA5B83">
        <w:t>Whakarongorau</w:t>
      </w:r>
      <w:proofErr w:type="spellEnd"/>
      <w:r w:rsidR="00CA5B83">
        <w:t xml:space="preserve"> Aotearoa (formerly </w:t>
      </w:r>
      <w:r w:rsidR="005F7394">
        <w:t xml:space="preserve">known as </w:t>
      </w:r>
      <w:r w:rsidR="00CA5B83">
        <w:t xml:space="preserve">Homecare Medical). </w:t>
      </w:r>
    </w:p>
    <w:p w14:paraId="2295FD67" w14:textId="227BA7D9" w:rsidR="004222FA" w:rsidRDefault="00D33252" w:rsidP="00CA5B83">
      <w:r>
        <w:t xml:space="preserve">If a </w:t>
      </w:r>
      <w:r w:rsidR="00351DF4">
        <w:t>p</w:t>
      </w:r>
      <w:r>
        <w:t xml:space="preserve">olice officer thinks that someone would benefit from health support, they can refer them to </w:t>
      </w:r>
      <w:proofErr w:type="spellStart"/>
      <w:r>
        <w:t>Whakarongorau</w:t>
      </w:r>
      <w:proofErr w:type="spellEnd"/>
      <w:r>
        <w:t xml:space="preserve"> Aotearoa. This can be done even where no offence has taken place</w:t>
      </w:r>
      <w:r w:rsidR="00FB5980">
        <w:t xml:space="preserve"> or as part of any Police proceedings. </w:t>
      </w:r>
      <w:r w:rsidR="008F554E">
        <w:t xml:space="preserve">Data is not recorded when the referral offer is declined. Not all referrals will lead to </w:t>
      </w:r>
      <w:r w:rsidR="00221B70">
        <w:t>the individual choosing to accept the offer of support</w:t>
      </w:r>
      <w:r w:rsidR="008F554E">
        <w:t>.</w:t>
      </w:r>
      <w:r w:rsidR="00885420">
        <w:t xml:space="preserve"> Police encounter a wide cohort of people who use drugs, including many who do not require clinical treatment, as well as those experiencing severe harm.</w:t>
      </w:r>
    </w:p>
    <w:p w14:paraId="4FEBCF26" w14:textId="4FA2DFA2" w:rsidR="008F554E" w:rsidRDefault="008F554E" w:rsidP="00CA5B83">
      <w:r>
        <w:t xml:space="preserve">Since the service started there have been 959 referrals to </w:t>
      </w:r>
      <w:proofErr w:type="spellStart"/>
      <w:r>
        <w:t>Whakarongorau</w:t>
      </w:r>
      <w:proofErr w:type="spellEnd"/>
      <w:r>
        <w:t xml:space="preserve"> Aotearoa, resulting in 181 calls and texts from 147 people.</w:t>
      </w:r>
      <w:r w:rsidR="008279A3">
        <w:t xml:space="preserve"> Referral rates through this service are low compared to referrals directly to </w:t>
      </w:r>
      <w:r w:rsidR="0090417E">
        <w:t xml:space="preserve">mental health and addiction services in </w:t>
      </w:r>
      <w:r w:rsidR="008279A3">
        <w:t>DHB</w:t>
      </w:r>
      <w:r w:rsidR="001B0667">
        <w:t>s</w:t>
      </w:r>
      <w:r w:rsidR="008279A3">
        <w:t>.</w:t>
      </w:r>
    </w:p>
    <w:p w14:paraId="632A3E28" w14:textId="0E391710" w:rsidR="00C00D27" w:rsidRDefault="00C00D27" w:rsidP="00C00D27">
      <w:r w:rsidRPr="00216263">
        <w:t>Police consider a key factor in frontline officer referral rates is confidence that health services are available for individuals referred, particularly from a kaupapa M</w:t>
      </w:r>
      <w:r w:rsidRPr="00216263">
        <w:rPr>
          <w:rFonts w:cstheme="minorHAnsi"/>
        </w:rPr>
        <w:t>ā</w:t>
      </w:r>
      <w:r w:rsidRPr="00216263">
        <w:t>ori perspective.</w:t>
      </w:r>
      <w:r>
        <w:t xml:space="preserve"> </w:t>
      </w:r>
    </w:p>
    <w:p w14:paraId="4F68E160" w14:textId="1C6956C9" w:rsidR="00C74F66" w:rsidRDefault="00CA5B83" w:rsidP="00C00D27">
      <w:pPr>
        <w:rPr>
          <w:rStyle w:val="normaltextrun1"/>
          <w:rFonts w:ascii="Calibri" w:hAnsi="Calibri" w:cs="Calibri"/>
        </w:rPr>
      </w:pPr>
      <w:r>
        <w:t>A</w:t>
      </w:r>
      <w:r w:rsidR="66892B41">
        <w:t>lternative pathways for Health Intervention (</w:t>
      </w:r>
      <w:r>
        <w:t>AWHI</w:t>
      </w:r>
      <w:r w:rsidR="7367E11A">
        <w:t>)</w:t>
      </w:r>
      <w:r>
        <w:t xml:space="preserve"> is a Police-designed local pathway that </w:t>
      </w:r>
      <w:r w:rsidR="00C00D27" w:rsidRPr="00C00D27">
        <w:t>refers people directly to local agencies who can help them</w:t>
      </w:r>
      <w:r w:rsidR="00C00D27">
        <w:t xml:space="preserve">. It </w:t>
      </w:r>
      <w:r w:rsidR="00C74F66" w:rsidRPr="00C00D27">
        <w:t>was established as a means of early intervention and wrap-around support for people</w:t>
      </w:r>
      <w:r w:rsidR="00C74F66">
        <w:rPr>
          <w:rStyle w:val="normaltextrun1"/>
          <w:rFonts w:ascii="Calibri" w:hAnsi="Calibri" w:cs="Calibri"/>
        </w:rPr>
        <w:t xml:space="preserve"> in need and at risk of offending, reoffending or victimisation. AWHI is an offer of support and can be used both when no offending has occurred as well as where there has been an offence.</w:t>
      </w:r>
      <w:r w:rsidR="00C00D27" w:rsidRPr="00C00D27">
        <w:rPr>
          <w:rStyle w:val="CommentReference"/>
          <w:rFonts w:ascii="Calibri" w:hAnsi="Calibri" w:cs="Calibri"/>
          <w:sz w:val="22"/>
          <w:szCs w:val="22"/>
        </w:rPr>
        <w:t xml:space="preserve"> </w:t>
      </w:r>
      <w:r w:rsidR="00C00D27">
        <w:rPr>
          <w:rStyle w:val="normaltextrun1"/>
          <w:rFonts w:ascii="Calibri" w:hAnsi="Calibri" w:cs="Calibri"/>
        </w:rPr>
        <w:t xml:space="preserve">If providers do not have the capacity to respond to a referral within a 48-hour period, they are not available for selection by an officer.  </w:t>
      </w:r>
    </w:p>
    <w:p w14:paraId="0C531787" w14:textId="77777777" w:rsidR="00C00D27" w:rsidRDefault="00C00D27" w:rsidP="00C00D27">
      <w:r>
        <w:t>Both initiatives have strengths and there is merit in investigating how to design an integrated pathway that takes advantage of the strengths of both and improves on existing processes.</w:t>
      </w:r>
    </w:p>
    <w:p w14:paraId="036F45F8" w14:textId="5DA26B58" w:rsidR="00B5661C" w:rsidRPr="003F513C" w:rsidRDefault="00B5661C" w:rsidP="00B5661C">
      <w:r>
        <w:t>Health-based referrals were made during 61 percent of all drug-related diversions. Referral percentages reached a peak of 74 percent in 2019 (the year in which the amendment was enacted) but fell to 50</w:t>
      </w:r>
      <w:r w:rsidR="00A8081E">
        <w:t xml:space="preserve"> percent</w:t>
      </w:r>
      <w:r>
        <w:t xml:space="preserve"> in 2020. </w:t>
      </w:r>
      <w:r w:rsidRPr="005E59C1">
        <w:t>It is difficult to explain this decline without conducting further research.</w:t>
      </w:r>
    </w:p>
    <w:p w14:paraId="4711043F" w14:textId="2212A8A9" w:rsidR="00442628" w:rsidRDefault="00551195" w:rsidP="00442628">
      <w:r>
        <w:t xml:space="preserve">This review has found a number of areas </w:t>
      </w:r>
      <w:r w:rsidR="006C180B">
        <w:t xml:space="preserve">for policy and operational improvement to </w:t>
      </w:r>
      <w:r w:rsidR="00297C42">
        <w:t xml:space="preserve">support </w:t>
      </w:r>
      <w:r w:rsidR="00220CF6">
        <w:t xml:space="preserve">delivery </w:t>
      </w:r>
      <w:r w:rsidR="00EE4AE7">
        <w:t>on the intent of the recommendations</w:t>
      </w:r>
      <w:r w:rsidR="007E0CC6">
        <w:t xml:space="preserve"> which</w:t>
      </w:r>
      <w:r w:rsidR="00051A54">
        <w:t xml:space="preserve"> are detailed on the next page.  </w:t>
      </w:r>
    </w:p>
    <w:p w14:paraId="1C46B59E" w14:textId="00AB4F62" w:rsidR="00F70FC0" w:rsidRDefault="00F70FC0" w:rsidP="00442628">
      <w:pPr>
        <w:pStyle w:val="Heading4"/>
      </w:pPr>
      <w:r>
        <w:t>Health sector capacity to respond</w:t>
      </w:r>
    </w:p>
    <w:p w14:paraId="4F117312" w14:textId="44CD810F" w:rsidR="006B0074" w:rsidRPr="000E2856" w:rsidRDefault="006B0074" w:rsidP="006B0074">
      <w:r w:rsidRPr="0076209A">
        <w:t>A health-based approach needs the mental health and addiction system to have the capacity to respond to demands for services. The scope of the review has not allowed for a deep examination of the health response, but it is important to understand the complete picture to be able to measure success of the shift to a health-based approach. This will be an important part of the 2024 review</w:t>
      </w:r>
      <w:r w:rsidRPr="000E2856">
        <w:t>.</w:t>
      </w:r>
    </w:p>
    <w:p w14:paraId="4E5B2FC7" w14:textId="4F2234BF" w:rsidR="00B753C4" w:rsidRDefault="009B55CF" w:rsidP="00B753C4">
      <w:pPr>
        <w:pStyle w:val="CommentText"/>
        <w:textAlignment w:val="baseline"/>
        <w:rPr>
          <w:rStyle w:val="normaltextrun1"/>
          <w:rFonts w:ascii="Calibri" w:eastAsia="Times New Roman" w:hAnsi="Calibri" w:cs="Calibri"/>
          <w:sz w:val="22"/>
          <w:szCs w:val="22"/>
          <w:lang w:eastAsia="en-NZ"/>
        </w:rPr>
      </w:pPr>
      <w:r w:rsidRPr="00170877">
        <w:rPr>
          <w:sz w:val="22"/>
          <w:szCs w:val="22"/>
        </w:rPr>
        <w:t xml:space="preserve">Currently there is not a consistent range of alcohol and other drug supports in place across the country with </w:t>
      </w:r>
      <w:r w:rsidR="00F70FC0" w:rsidRPr="00170877">
        <w:rPr>
          <w:sz w:val="22"/>
          <w:szCs w:val="22"/>
        </w:rPr>
        <w:t xml:space="preserve">capacity to meet </w:t>
      </w:r>
      <w:r w:rsidRPr="00170877">
        <w:rPr>
          <w:sz w:val="22"/>
          <w:szCs w:val="22"/>
        </w:rPr>
        <w:t>all</w:t>
      </w:r>
      <w:r w:rsidR="00F70FC0" w:rsidRPr="00170877">
        <w:rPr>
          <w:sz w:val="22"/>
          <w:szCs w:val="22"/>
        </w:rPr>
        <w:t xml:space="preserve"> the demand that referrals from Police and other sources (primary health care, Oranga Tamariki, Courts, social services) generate.</w:t>
      </w:r>
      <w:r w:rsidR="00F70FC0" w:rsidRPr="005237F2">
        <w:rPr>
          <w:rFonts w:cstheme="minorHAnsi"/>
        </w:rPr>
        <w:t xml:space="preserve"> </w:t>
      </w:r>
      <w:r w:rsidR="00B753C4" w:rsidRPr="00107AD8">
        <w:rPr>
          <w:rStyle w:val="normaltextrun1"/>
          <w:rFonts w:ascii="Calibri" w:eastAsia="Times New Roman" w:hAnsi="Calibri" w:cs="Calibri"/>
          <w:sz w:val="22"/>
          <w:szCs w:val="22"/>
          <w:lang w:eastAsia="en-NZ"/>
        </w:rPr>
        <w:t xml:space="preserve">The investment in Budget 2019 </w:t>
      </w:r>
      <w:r w:rsidR="00107AD8">
        <w:rPr>
          <w:rStyle w:val="normaltextrun1"/>
          <w:rFonts w:ascii="Calibri" w:eastAsia="Times New Roman" w:hAnsi="Calibri" w:cs="Calibri"/>
          <w:sz w:val="22"/>
          <w:szCs w:val="22"/>
          <w:lang w:eastAsia="en-NZ"/>
        </w:rPr>
        <w:t xml:space="preserve">in </w:t>
      </w:r>
      <w:r w:rsidR="007800F1">
        <w:rPr>
          <w:rStyle w:val="normaltextrun1"/>
          <w:rFonts w:ascii="Calibri" w:eastAsia="Times New Roman" w:hAnsi="Calibri" w:cs="Calibri"/>
          <w:sz w:val="22"/>
          <w:szCs w:val="22"/>
          <w:lang w:eastAsia="en-NZ"/>
        </w:rPr>
        <w:t xml:space="preserve">mental health and addiction services </w:t>
      </w:r>
      <w:r w:rsidR="00B753C4" w:rsidRPr="00107AD8">
        <w:rPr>
          <w:rStyle w:val="normaltextrun1"/>
          <w:rFonts w:ascii="Calibri" w:eastAsia="Times New Roman" w:hAnsi="Calibri" w:cs="Calibri"/>
          <w:sz w:val="22"/>
          <w:szCs w:val="22"/>
          <w:lang w:eastAsia="en-NZ"/>
        </w:rPr>
        <w:t>is intended to bolster existing services and establish new initiatives.</w:t>
      </w:r>
    </w:p>
    <w:p w14:paraId="47750A64" w14:textId="4577F3D0" w:rsidR="008C1FB9" w:rsidRPr="0076209A" w:rsidRDefault="008C1FB9" w:rsidP="008C1FB9">
      <w:pPr>
        <w:pStyle w:val="Heading4"/>
      </w:pPr>
      <w:r w:rsidRPr="0076209A">
        <w:t>Harm reduction</w:t>
      </w:r>
    </w:p>
    <w:p w14:paraId="08873E7E" w14:textId="76294D3B" w:rsidR="008C1FB9" w:rsidRDefault="00C91652" w:rsidP="008C1FB9">
      <w:r w:rsidRPr="0076209A">
        <w:t xml:space="preserve">Police are </w:t>
      </w:r>
      <w:r w:rsidR="00187402" w:rsidRPr="0076209A">
        <w:t>using a range of alternative resolutions, including</w:t>
      </w:r>
      <w:r w:rsidRPr="0076209A">
        <w:t xml:space="preserve"> referring individuals to health services</w:t>
      </w:r>
      <w:r w:rsidR="00187402" w:rsidRPr="0076209A">
        <w:t xml:space="preserve"> where appropriate</w:t>
      </w:r>
      <w:r w:rsidR="009C66F7" w:rsidRPr="0076209A">
        <w:t>,</w:t>
      </w:r>
      <w:r w:rsidR="00187402" w:rsidRPr="0076209A">
        <w:t xml:space="preserve"> </w:t>
      </w:r>
      <w:r w:rsidR="009C66F7" w:rsidRPr="0076209A">
        <w:t xml:space="preserve">in response to personal possession and use of </w:t>
      </w:r>
      <w:r w:rsidR="00BA6B11" w:rsidRPr="0076209A">
        <w:t>drugs (and for other reasons).</w:t>
      </w:r>
      <w:r w:rsidR="002F08C9" w:rsidRPr="0076209A">
        <w:t xml:space="preserve"> </w:t>
      </w:r>
      <w:r w:rsidR="00FE2AC5" w:rsidRPr="0076209A">
        <w:t>This review has been unable to draw conclusions</w:t>
      </w:r>
      <w:r w:rsidR="00E82CD9" w:rsidRPr="0076209A">
        <w:t xml:space="preserve"> on</w:t>
      </w:r>
      <w:r w:rsidR="002F08C9" w:rsidRPr="0076209A">
        <w:t xml:space="preserve"> the extent of</w:t>
      </w:r>
      <w:r w:rsidR="00E82CD9" w:rsidRPr="0076209A">
        <w:t xml:space="preserve"> the</w:t>
      </w:r>
      <w:r w:rsidR="002F08C9" w:rsidRPr="0076209A">
        <w:t xml:space="preserve"> harm</w:t>
      </w:r>
      <w:r w:rsidR="00E82CD9" w:rsidRPr="0076209A">
        <w:t>s that may have been</w:t>
      </w:r>
      <w:r w:rsidR="002F08C9" w:rsidRPr="0076209A">
        <w:t xml:space="preserve"> reduc</w:t>
      </w:r>
      <w:r w:rsidR="00E82CD9" w:rsidRPr="0076209A">
        <w:t>ed</w:t>
      </w:r>
      <w:r w:rsidR="002F08C9" w:rsidRPr="0076209A">
        <w:t xml:space="preserve"> </w:t>
      </w:r>
      <w:r w:rsidR="00277A09" w:rsidRPr="0076209A">
        <w:lastRenderedPageBreak/>
        <w:t xml:space="preserve">in response </w:t>
      </w:r>
      <w:r w:rsidR="00653015" w:rsidRPr="0076209A">
        <w:t>to the</w:t>
      </w:r>
      <w:r w:rsidR="00612586" w:rsidRPr="0076209A">
        <w:t xml:space="preserve"> 2019 amendments</w:t>
      </w:r>
      <w:r w:rsidR="00CA2E89" w:rsidRPr="0076209A">
        <w:t xml:space="preserve"> due to the limited amount of data available </w:t>
      </w:r>
      <w:r w:rsidR="00E82CD9" w:rsidRPr="0076209A">
        <w:t>at the time of the review</w:t>
      </w:r>
      <w:r w:rsidR="00CA2E89" w:rsidRPr="0076209A">
        <w:t xml:space="preserve"> and the complicated nature of assessing drug harm reduction</w:t>
      </w:r>
      <w:r w:rsidR="002D228C" w:rsidRPr="0076209A">
        <w:t xml:space="preserve">. </w:t>
      </w:r>
      <w:r w:rsidR="0025315F" w:rsidRPr="0076209A">
        <w:t xml:space="preserve">Ways of measuring or estimating the amount of harm reduced </w:t>
      </w:r>
      <w:r w:rsidR="00466567" w:rsidRPr="0076209A">
        <w:t>will be investigated for the 2024 review</w:t>
      </w:r>
      <w:r w:rsidR="0025315F" w:rsidRPr="0076209A">
        <w:t xml:space="preserve"> when more data will be available</w:t>
      </w:r>
      <w:r w:rsidR="00466567" w:rsidRPr="0076209A">
        <w:t>.</w:t>
      </w:r>
    </w:p>
    <w:p w14:paraId="5CAF4FFA" w14:textId="3CF499F4" w:rsidR="00F46690" w:rsidRPr="004A41BB" w:rsidRDefault="001C14BD" w:rsidP="002F7FE2">
      <w:pPr>
        <w:pStyle w:val="Heading2"/>
      </w:pPr>
      <w:bookmarkStart w:id="24" w:name="_Toc78186437"/>
      <w:r w:rsidRPr="004A41BB">
        <w:t>Part Two</w:t>
      </w:r>
      <w:r w:rsidR="00146B56" w:rsidRPr="004A41BB">
        <w:t xml:space="preserve">: </w:t>
      </w:r>
      <w:r w:rsidR="00F46690" w:rsidRPr="004A41BB">
        <w:t>Review of impact of classification of AMB-FUBINACA and 5F-ADB</w:t>
      </w:r>
      <w:r w:rsidR="00E94097" w:rsidRPr="004A41BB">
        <w:t xml:space="preserve"> - </w:t>
      </w:r>
      <w:r w:rsidRPr="004A41BB">
        <w:t>Findings</w:t>
      </w:r>
      <w:bookmarkEnd w:id="24"/>
    </w:p>
    <w:p w14:paraId="3730499B" w14:textId="3501DB5F" w:rsidR="00F46690" w:rsidRPr="004A41BB" w:rsidRDefault="00F46690" w:rsidP="00F46690">
      <w:pPr>
        <w:pStyle w:val="Heading4"/>
      </w:pPr>
      <w:r w:rsidRPr="004A41BB">
        <w:t>Background</w:t>
      </w:r>
    </w:p>
    <w:p w14:paraId="2DD1EA8D" w14:textId="77777777" w:rsidR="00FE2822" w:rsidRPr="004A41BB" w:rsidRDefault="008A4E82">
      <w:r w:rsidRPr="004A41BB">
        <w:t xml:space="preserve">Classifying </w:t>
      </w:r>
      <w:r w:rsidR="00FB69BD" w:rsidRPr="004A41BB">
        <w:t xml:space="preserve">AMB-FUBINACA and 5F-ADB in Schedule 1 (Class A controlled drugs) of MoDA </w:t>
      </w:r>
      <w:r w:rsidR="001D3915" w:rsidRPr="004A41BB">
        <w:t>increases the offences and penalties that can be imposed for activities such as importing, manufacturing and supply of the drugs, and Police and Customs have greater search and seizure powers.</w:t>
      </w:r>
      <w:r w:rsidR="00DE0BF5" w:rsidRPr="004A41BB">
        <w:t xml:space="preserve"> The Expert Advisory Committee on Drugs recommended to the Minister of Health that they</w:t>
      </w:r>
      <w:r w:rsidR="007552E4" w:rsidRPr="004A41BB">
        <w:t xml:space="preserve"> </w:t>
      </w:r>
      <w:r w:rsidR="00DE0BF5" w:rsidRPr="004A41BB">
        <w:t xml:space="preserve">be classified as Class A drugs because of the risk of harm they pose.  </w:t>
      </w:r>
      <w:r w:rsidR="00D241BC" w:rsidRPr="004A41BB">
        <w:t xml:space="preserve">Once </w:t>
      </w:r>
      <w:r w:rsidR="00A6333B" w:rsidRPr="004A41BB">
        <w:t>they</w:t>
      </w:r>
      <w:r w:rsidR="00D241BC" w:rsidRPr="004A41BB">
        <w:t xml:space="preserve"> were classified as Class A controlled drugs, analogues (substances with similar structures) of AMB-FUBINACA and 5F-ADB became controlled drug analogues </w:t>
      </w:r>
      <w:r w:rsidR="00FE2822" w:rsidRPr="004A41BB">
        <w:t>and subject to penalties under MoDA, providing a deterrent for importers, suppliers and manufacturers to move to similar substances.</w:t>
      </w:r>
    </w:p>
    <w:p w14:paraId="18559D89" w14:textId="3C7E80E5" w:rsidR="00926586" w:rsidRPr="004A41BB" w:rsidRDefault="00926586" w:rsidP="00926586">
      <w:pPr>
        <w:pStyle w:val="Heading4"/>
      </w:pPr>
      <w:r w:rsidRPr="004A41BB">
        <w:t>Harm reduction</w:t>
      </w:r>
    </w:p>
    <w:p w14:paraId="6ED2841F" w14:textId="599B575F" w:rsidR="00554E72" w:rsidRDefault="0081319C">
      <w:r>
        <w:rPr>
          <w:lang w:eastAsia="zh-TW"/>
        </w:rPr>
        <w:t xml:space="preserve">Closed coronial cases involving synthetic cannabinoids showed a surge in deaths in 2017 – 2018 and in the majority of cases AMB-FUBINACA was detected. </w:t>
      </w:r>
    </w:p>
    <w:p w14:paraId="48CED152" w14:textId="14B4955B" w:rsidR="004F6A65" w:rsidRPr="004A41BB" w:rsidRDefault="00A10651">
      <w:r w:rsidRPr="004A41BB">
        <w:t xml:space="preserve">Hospital discharges with a synthetic cannabinoid diagnosis returned in 2019 and 2020 to pre-surge levels.  This suggests that synthetic cannabinoids in general are still available and causing harm but at greatly reduced levels.  </w:t>
      </w:r>
      <w:r w:rsidR="009619AC" w:rsidRPr="004A41BB">
        <w:t>The percentage of M</w:t>
      </w:r>
      <w:r w:rsidR="009619AC" w:rsidRPr="004A41BB">
        <w:rPr>
          <w:rFonts w:cstheme="minorHAnsi"/>
        </w:rPr>
        <w:t>ā</w:t>
      </w:r>
      <w:r w:rsidR="009619AC" w:rsidRPr="004A41BB">
        <w:t>ori represented in synthetic cannabinoid hospitalisations is higher than the proportion of M</w:t>
      </w:r>
      <w:r w:rsidR="009619AC" w:rsidRPr="004A41BB">
        <w:rPr>
          <w:rFonts w:cstheme="minorHAnsi"/>
        </w:rPr>
        <w:t>ā</w:t>
      </w:r>
      <w:r w:rsidR="009619AC" w:rsidRPr="004A41BB">
        <w:t>ori in the general population</w:t>
      </w:r>
      <w:r w:rsidR="002A3B24" w:rsidRPr="004A41BB">
        <w:t>. In 2020</w:t>
      </w:r>
      <w:r w:rsidR="000860CF" w:rsidRPr="004A41BB">
        <w:t xml:space="preserve"> </w:t>
      </w:r>
      <w:r w:rsidR="002A3B24" w:rsidRPr="004A41BB">
        <w:t xml:space="preserve">56% of all hospitalisations with </w:t>
      </w:r>
      <w:r w:rsidR="000860CF" w:rsidRPr="004A41BB">
        <w:t>a synthetic cannabinoid related principal diagnosis were M</w:t>
      </w:r>
      <w:r w:rsidR="000860CF" w:rsidRPr="004A41BB">
        <w:rPr>
          <w:rFonts w:cstheme="minorHAnsi"/>
        </w:rPr>
        <w:t>ā</w:t>
      </w:r>
      <w:r w:rsidR="000860CF" w:rsidRPr="004A41BB">
        <w:t>ori.</w:t>
      </w:r>
    </w:p>
    <w:p w14:paraId="7C122019" w14:textId="39FDC29A" w:rsidR="00EE0D4B" w:rsidRPr="004A41BB" w:rsidRDefault="00926586" w:rsidP="00EE0D4B">
      <w:pPr>
        <w:pStyle w:val="Heading4"/>
        <w:rPr>
          <w:lang w:eastAsia="en-NZ"/>
        </w:rPr>
      </w:pPr>
      <w:r w:rsidRPr="004A41BB">
        <w:rPr>
          <w:lang w:eastAsia="en-NZ"/>
        </w:rPr>
        <w:t>Supply re</w:t>
      </w:r>
      <w:r w:rsidR="00A82562" w:rsidRPr="004A41BB">
        <w:rPr>
          <w:lang w:eastAsia="en-NZ"/>
        </w:rPr>
        <w:t>duction</w:t>
      </w:r>
    </w:p>
    <w:p w14:paraId="038B7442" w14:textId="1BFF9997" w:rsidR="00EE0D4B" w:rsidRPr="004A41BB" w:rsidRDefault="00554E72" w:rsidP="00EE0D4B">
      <w:pPr>
        <w:rPr>
          <w:lang w:eastAsia="en-NZ"/>
        </w:rPr>
      </w:pPr>
      <w:r>
        <w:rPr>
          <w:lang w:eastAsia="en-NZ"/>
        </w:rPr>
        <w:t xml:space="preserve">The Institute for Environmental Science and Research (ESR) </w:t>
      </w:r>
      <w:r w:rsidR="00EE0D4B" w:rsidRPr="004A41BB">
        <w:rPr>
          <w:lang w:eastAsia="en-NZ"/>
        </w:rPr>
        <w:t xml:space="preserve">testing has found a sharp decline in samples containing AMB-FUBINACA and 5F-ADB since 2019.  </w:t>
      </w:r>
    </w:p>
    <w:p w14:paraId="4854A36E" w14:textId="77777777" w:rsidR="00A52076" w:rsidRPr="004A41BB" w:rsidRDefault="00C14EA0">
      <w:r w:rsidRPr="004A41BB">
        <w:rPr>
          <w:rFonts w:ascii="Calibri" w:eastAsia="Calibri" w:hAnsi="Calibri" w:cs="Calibri"/>
          <w:lang w:eastAsia="en-NZ"/>
        </w:rPr>
        <w:t xml:space="preserve">There has been a </w:t>
      </w:r>
      <w:r w:rsidR="004F6A65" w:rsidRPr="004A41BB">
        <w:rPr>
          <w:rFonts w:ascii="Calibri" w:eastAsia="Calibri" w:hAnsi="Calibri" w:cs="Calibri"/>
          <w:lang w:eastAsia="en-NZ"/>
        </w:rPr>
        <w:t xml:space="preserve">reduction in the quantities of synthetic cannabinoids </w:t>
      </w:r>
      <w:r w:rsidR="004F6A65" w:rsidRPr="004A41BB">
        <w:rPr>
          <w:rFonts w:ascii="Calibri" w:eastAsia="Calibri" w:hAnsi="Calibri" w:cs="Calibri"/>
          <w:i/>
          <w:iCs/>
          <w:lang w:eastAsia="en-NZ"/>
        </w:rPr>
        <w:t>powder</w:t>
      </w:r>
      <w:r w:rsidR="004F6A65" w:rsidRPr="004A41BB">
        <w:rPr>
          <w:rFonts w:ascii="Calibri" w:eastAsia="Calibri" w:hAnsi="Calibri" w:cs="Calibri"/>
          <w:lang w:eastAsia="en-NZ"/>
        </w:rPr>
        <w:t xml:space="preserve"> seized since 2019</w:t>
      </w:r>
      <w:r w:rsidRPr="004A41BB">
        <w:t xml:space="preserve"> and the quantities of synthetic cannabinoid </w:t>
      </w:r>
      <w:r w:rsidRPr="004A41BB">
        <w:rPr>
          <w:i/>
          <w:iCs/>
        </w:rPr>
        <w:t>plant matter</w:t>
      </w:r>
      <w:r w:rsidRPr="004A41BB">
        <w:t xml:space="preserve"> seized has substantially reduced since 2018</w:t>
      </w:r>
      <w:r w:rsidR="004F6A65" w:rsidRPr="004A41BB">
        <w:rPr>
          <w:rFonts w:ascii="Calibri" w:eastAsia="Calibri" w:hAnsi="Calibri" w:cs="Calibri"/>
          <w:lang w:eastAsia="en-NZ"/>
        </w:rPr>
        <w:t xml:space="preserve">.   </w:t>
      </w:r>
      <w:r w:rsidR="004F6A65" w:rsidRPr="004A41BB">
        <w:t>This would suggest that the amount of synthetic cannabinoids being imported has reduced and consequently less synthetic cannabis is being manufactured in New Zealand</w:t>
      </w:r>
      <w:r w:rsidRPr="004A41BB">
        <w:t>.</w:t>
      </w:r>
    </w:p>
    <w:p w14:paraId="720E8C7F" w14:textId="3069C623" w:rsidR="00A52076" w:rsidRPr="004A41BB" w:rsidRDefault="00A52076" w:rsidP="00A52076">
      <w:pPr>
        <w:pStyle w:val="Heading2"/>
      </w:pPr>
      <w:bookmarkStart w:id="25" w:name="_Toc78186438"/>
      <w:r w:rsidRPr="004A41BB">
        <w:t xml:space="preserve">Part Three: </w:t>
      </w:r>
      <w:r w:rsidR="00E94097" w:rsidRPr="004A41BB">
        <w:t xml:space="preserve">Temporary Drug Class Orders - </w:t>
      </w:r>
      <w:r w:rsidRPr="004A41BB">
        <w:t>Findings</w:t>
      </w:r>
      <w:bookmarkEnd w:id="25"/>
    </w:p>
    <w:p w14:paraId="58278DBD" w14:textId="10EC9577" w:rsidR="00FA2BFA" w:rsidRDefault="000F5452" w:rsidP="00ED5660">
      <w:r w:rsidRPr="004A41BB">
        <w:rPr>
          <w:rFonts w:eastAsia="Times New Roman"/>
        </w:rPr>
        <w:t xml:space="preserve">The amendment allows </w:t>
      </w:r>
      <w:r w:rsidR="00236A7E" w:rsidRPr="004A41BB">
        <w:rPr>
          <w:rFonts w:eastAsia="Times New Roman"/>
        </w:rPr>
        <w:t xml:space="preserve">the </w:t>
      </w:r>
      <w:r w:rsidRPr="004A41BB">
        <w:rPr>
          <w:rFonts w:eastAsia="Times New Roman"/>
        </w:rPr>
        <w:t xml:space="preserve">Minister </w:t>
      </w:r>
      <w:r w:rsidR="00236A7E" w:rsidRPr="004A41BB">
        <w:rPr>
          <w:rFonts w:eastAsia="Times New Roman"/>
        </w:rPr>
        <w:t xml:space="preserve">of Health </w:t>
      </w:r>
      <w:r w:rsidRPr="004A41BB">
        <w:rPr>
          <w:rFonts w:eastAsia="Times New Roman"/>
        </w:rPr>
        <w:t>to issue a notice in the Gazette that temporarily classifies a substance as a Class C1 drug under MODA</w:t>
      </w:r>
      <w:r w:rsidR="00ED5660" w:rsidRPr="004A41BB">
        <w:rPr>
          <w:rFonts w:eastAsia="Times New Roman"/>
        </w:rPr>
        <w:t xml:space="preserve"> where </w:t>
      </w:r>
      <w:r w:rsidR="00ED5660" w:rsidRPr="004A41BB">
        <w:t xml:space="preserve">the substance poses, or may pose, a risk of harm to individuals or society. The intent is to enable immediate action to reduce harm </w:t>
      </w:r>
      <w:r w:rsidR="00B70A12">
        <w:t>from a</w:t>
      </w:r>
      <w:r w:rsidR="00ED5660" w:rsidRPr="004A41BB">
        <w:t xml:space="preserve"> substance. The effect of temporarily classifying the substance is to provide a mechanism for the immediate search and seizure of the substance and to increase penalties associated with its sale and importation.</w:t>
      </w:r>
    </w:p>
    <w:p w14:paraId="5F2EB638" w14:textId="311A9DF7" w:rsidR="00AC2AFB" w:rsidRPr="004A41BB" w:rsidRDefault="00AC2AFB" w:rsidP="00ED5660">
      <w:r>
        <w:t>The orders are temporary to enable the classification process to happen over the following year.  This includes the consideration of the substance by the Expert Advisory Committee.</w:t>
      </w:r>
    </w:p>
    <w:p w14:paraId="3D125C21" w14:textId="77777777" w:rsidR="00454878" w:rsidRPr="004A41BB" w:rsidRDefault="00FA2BFA" w:rsidP="00FA2BFA">
      <w:r w:rsidRPr="004A41BB">
        <w:t>Being able to quickly classify emerging products under MoDA allows for a fast response to a rapidly adapting synthetic drug market and ensure the continued disruption of the supply of new synthetic drugs.</w:t>
      </w:r>
    </w:p>
    <w:p w14:paraId="0465204E" w14:textId="6EBD975C" w:rsidR="00454878" w:rsidRPr="004A41BB" w:rsidRDefault="002D7967" w:rsidP="00454878">
      <w:r>
        <w:rPr>
          <w:rFonts w:eastAsia="Times New Roman"/>
        </w:rPr>
        <w:lastRenderedPageBreak/>
        <w:t>The process for making a temporary drug classification order (TCDO) is</w:t>
      </w:r>
      <w:r w:rsidR="00454878" w:rsidRPr="004A41BB">
        <w:rPr>
          <w:rFonts w:eastAsia="Times New Roman"/>
        </w:rPr>
        <w:t xml:space="preserve"> untested. </w:t>
      </w:r>
      <w:r w:rsidR="00454878" w:rsidRPr="004A41BB">
        <w:t xml:space="preserve"> </w:t>
      </w:r>
      <w:r w:rsidR="00454878" w:rsidRPr="004A41BB">
        <w:rPr>
          <w:rFonts w:eastAsia="Times New Roman"/>
        </w:rPr>
        <w:t>T</w:t>
      </w:r>
      <w:r w:rsidR="009E64A1" w:rsidRPr="000E7D4E">
        <w:rPr>
          <w:rFonts w:eastAsia="Times New Roman"/>
        </w:rPr>
        <w:t xml:space="preserve">he review team recommends that the existing application process be refined, and </w:t>
      </w:r>
      <w:r w:rsidR="009E64A1">
        <w:rPr>
          <w:rFonts w:eastAsia="Times New Roman"/>
        </w:rPr>
        <w:t>more clearly comm</w:t>
      </w:r>
      <w:r w:rsidR="009E64A1" w:rsidRPr="000E7D4E">
        <w:rPr>
          <w:rFonts w:eastAsia="Times New Roman"/>
        </w:rPr>
        <w:t xml:space="preserve">unicated to relevant stakeholders.  </w:t>
      </w:r>
    </w:p>
    <w:p w14:paraId="3FEA9CDA" w14:textId="024D938E" w:rsidR="00ED5660" w:rsidRPr="009B1BDF" w:rsidRDefault="00454878" w:rsidP="00ED5660">
      <w:r w:rsidRPr="004A41BB">
        <w:rPr>
          <w:rFonts w:eastAsia="Times New Roman"/>
        </w:rPr>
        <w:t>On the 29</w:t>
      </w:r>
      <w:r w:rsidRPr="004A41BB">
        <w:rPr>
          <w:rFonts w:eastAsia="Times New Roman"/>
          <w:vertAlign w:val="superscript"/>
        </w:rPr>
        <w:t>th</w:t>
      </w:r>
      <w:r w:rsidRPr="004A41BB">
        <w:rPr>
          <w:rFonts w:eastAsia="Times New Roman"/>
        </w:rPr>
        <w:t xml:space="preserve"> June 2021 the Ministry received its first request for a TCDO from the National Drug Intelligence Bureau, for the drug Etizolam. This </w:t>
      </w:r>
      <w:r w:rsidR="00ED0CA9" w:rsidRPr="004A41BB">
        <w:rPr>
          <w:rFonts w:eastAsia="Times New Roman"/>
        </w:rPr>
        <w:t xml:space="preserve">application </w:t>
      </w:r>
      <w:r w:rsidR="00601C9C" w:rsidRPr="004A41BB">
        <w:rPr>
          <w:rFonts w:eastAsia="Times New Roman"/>
        </w:rPr>
        <w:t xml:space="preserve">is being considered and </w:t>
      </w:r>
      <w:r w:rsidRPr="004A41BB">
        <w:rPr>
          <w:rFonts w:eastAsia="Times New Roman"/>
        </w:rPr>
        <w:t>provides an opportunity to test the process.</w:t>
      </w:r>
    </w:p>
    <w:p w14:paraId="63DC49F9" w14:textId="2E298FF8" w:rsidR="00997C38" w:rsidRDefault="00997C38" w:rsidP="00997C38">
      <w:pPr>
        <w:pStyle w:val="Heading2"/>
      </w:pPr>
      <w:bookmarkStart w:id="26" w:name="_Toc75528212"/>
      <w:bookmarkStart w:id="27" w:name="_Toc75952873"/>
      <w:bookmarkStart w:id="28" w:name="_Toc78186439"/>
      <w:bookmarkEnd w:id="11"/>
      <w:r>
        <w:t>RECOMMENDATIONS</w:t>
      </w:r>
      <w:bookmarkEnd w:id="26"/>
      <w:bookmarkEnd w:id="27"/>
      <w:bookmarkEnd w:id="28"/>
    </w:p>
    <w:p w14:paraId="1C725BF5" w14:textId="3D456618" w:rsidR="00E5136F" w:rsidRPr="00F421DC" w:rsidRDefault="008C6ED1" w:rsidP="00997C38">
      <w:r w:rsidRPr="00F421DC">
        <w:t xml:space="preserve">The following recommendations </w:t>
      </w:r>
      <w:r w:rsidR="00904503" w:rsidRPr="00F421DC">
        <w:t xml:space="preserve">cover the scope of the review, </w:t>
      </w:r>
      <w:r w:rsidR="00D92618" w:rsidRPr="00F421DC">
        <w:t xml:space="preserve">areas for improvement to deliver on the intent of the </w:t>
      </w:r>
      <w:r w:rsidR="00C43AC8" w:rsidRPr="00F421DC">
        <w:t>amendments</w:t>
      </w:r>
      <w:r w:rsidR="001777AB" w:rsidRPr="00F421DC">
        <w:t xml:space="preserve">, and </w:t>
      </w:r>
      <w:r w:rsidR="00C43AC8" w:rsidRPr="00F421DC">
        <w:t xml:space="preserve">recommendations </w:t>
      </w:r>
      <w:r w:rsidR="00F421DC" w:rsidRPr="00F421DC">
        <w:t xml:space="preserve">to enable a fulsome review in 2024. </w:t>
      </w:r>
      <w:r w:rsidR="00F421DC">
        <w:t xml:space="preserve">Findings of the review are noted </w:t>
      </w:r>
      <w:r w:rsidR="00F421DC" w:rsidRPr="00632A7E">
        <w:t xml:space="preserve">on </w:t>
      </w:r>
      <w:r w:rsidR="002D230B" w:rsidRPr="00632A7E">
        <w:t xml:space="preserve">page </w:t>
      </w:r>
      <w:r w:rsidR="00C40C4F" w:rsidRPr="00632A7E">
        <w:t>19</w:t>
      </w:r>
      <w:r w:rsidR="002D230B" w:rsidRPr="00632A7E">
        <w:t>.</w:t>
      </w:r>
      <w:r w:rsidR="002D230B">
        <w:t xml:space="preserve">  </w:t>
      </w:r>
    </w:p>
    <w:p w14:paraId="418DACD3" w14:textId="0C7C84F5" w:rsidR="00E41DAD" w:rsidRPr="00757D96" w:rsidRDefault="00421E0D" w:rsidP="00686AE3">
      <w:pPr>
        <w:pStyle w:val="Heading3"/>
      </w:pPr>
      <w:bookmarkStart w:id="29" w:name="_Toc75952875"/>
      <w:bookmarkStart w:id="30" w:name="_Toc78186440"/>
      <w:r w:rsidRPr="00757D96">
        <w:t xml:space="preserve">Recommendations for policy and operational improvements to deliver on the intent of the </w:t>
      </w:r>
      <w:r w:rsidR="00147F5F" w:rsidRPr="00757D96">
        <w:t>amendments</w:t>
      </w:r>
      <w:bookmarkEnd w:id="29"/>
      <w:bookmarkEnd w:id="30"/>
    </w:p>
    <w:p w14:paraId="4BB99870" w14:textId="3ECE7136" w:rsidR="00D10BA6" w:rsidRDefault="003E7090" w:rsidP="00B603EC">
      <w:pPr>
        <w:pStyle w:val="ListParagraph"/>
        <w:numPr>
          <w:ilvl w:val="0"/>
          <w:numId w:val="13"/>
        </w:numPr>
      </w:pPr>
      <w:r w:rsidRPr="00F8010F">
        <w:rPr>
          <w:b/>
          <w:bCs/>
        </w:rPr>
        <w:t>Develop</w:t>
      </w:r>
      <w:r>
        <w:t xml:space="preserve"> </w:t>
      </w:r>
      <w:r w:rsidRPr="00D10BA6">
        <w:t>a common understanding</w:t>
      </w:r>
      <w:r>
        <w:t xml:space="preserve"> of </w:t>
      </w:r>
      <w:r w:rsidR="00E80053">
        <w:t>“</w:t>
      </w:r>
      <w:r>
        <w:t>health-based approaches</w:t>
      </w:r>
      <w:r w:rsidR="00C34AAB">
        <w:t>” to drug harm reduction</w:t>
      </w:r>
      <w:r>
        <w:t>, reflecting on their development since 2019</w:t>
      </w:r>
      <w:r w:rsidR="00CA3A82">
        <w:t>.</w:t>
      </w:r>
      <w:r>
        <w:t xml:space="preserve"> </w:t>
      </w:r>
    </w:p>
    <w:p w14:paraId="3F33BE44" w14:textId="7EFC5969" w:rsidR="00637782" w:rsidRDefault="003E7090" w:rsidP="00B603EC">
      <w:pPr>
        <w:pStyle w:val="ListParagraph"/>
        <w:numPr>
          <w:ilvl w:val="0"/>
          <w:numId w:val="13"/>
        </w:numPr>
      </w:pPr>
      <w:r w:rsidRPr="00D10BA6">
        <w:rPr>
          <w:b/>
          <w:bCs/>
        </w:rPr>
        <w:t>Review</w:t>
      </w:r>
      <w:r>
        <w:t xml:space="preserve"> the evidence of effective outreach approaches for people using drugs harmfully to identify areas for service improvement</w:t>
      </w:r>
      <w:r w:rsidR="00CA3A82">
        <w:t>.</w:t>
      </w:r>
    </w:p>
    <w:p w14:paraId="4E74E06B" w14:textId="0D92E29D" w:rsidR="009C0D4A" w:rsidRDefault="003E7090" w:rsidP="00B603EC">
      <w:pPr>
        <w:pStyle w:val="ListParagraph"/>
        <w:numPr>
          <w:ilvl w:val="0"/>
          <w:numId w:val="13"/>
        </w:numPr>
      </w:pPr>
      <w:r w:rsidRPr="009C0D4A">
        <w:rPr>
          <w:b/>
          <w:bCs/>
        </w:rPr>
        <w:t>Continually i</w:t>
      </w:r>
      <w:r w:rsidR="003978DC">
        <w:rPr>
          <w:b/>
          <w:bCs/>
        </w:rPr>
        <w:t>mprove</w:t>
      </w:r>
      <w:r>
        <w:t xml:space="preserve"> the MoDA referral pathways in line with international best practice so they are safe, evidence-based, accessible and maximise engagement by those who need support to reduce drug harm</w:t>
      </w:r>
      <w:r w:rsidR="00CA3A82">
        <w:t>.</w:t>
      </w:r>
    </w:p>
    <w:p w14:paraId="6013A4E7" w14:textId="6188A0B0" w:rsidR="009C0D4A" w:rsidRDefault="009919A5" w:rsidP="00B603EC">
      <w:pPr>
        <w:pStyle w:val="ListParagraph"/>
        <w:numPr>
          <w:ilvl w:val="0"/>
          <w:numId w:val="13"/>
        </w:numPr>
      </w:pPr>
      <w:r w:rsidRPr="0076209A">
        <w:rPr>
          <w:b/>
          <w:bCs/>
        </w:rPr>
        <w:t xml:space="preserve">Understand and inform </w:t>
      </w:r>
      <w:r w:rsidR="003E7090" w:rsidRPr="0076209A">
        <w:t>national</w:t>
      </w:r>
      <w:r w:rsidR="003E7090">
        <w:t xml:space="preserve"> and local referral pathways to health-based supports for people using illegal drugs, to facilitate easy access for people needing support to the most appropriate service or other support</w:t>
      </w:r>
      <w:r w:rsidR="00CA3A82">
        <w:t>.</w:t>
      </w:r>
      <w:r w:rsidR="003E7090">
        <w:t xml:space="preserve"> </w:t>
      </w:r>
    </w:p>
    <w:p w14:paraId="0257AE53" w14:textId="22E03749" w:rsidR="00E80053" w:rsidRDefault="003E7090" w:rsidP="00B603EC">
      <w:pPr>
        <w:pStyle w:val="ListParagraph"/>
        <w:numPr>
          <w:ilvl w:val="0"/>
          <w:numId w:val="13"/>
        </w:numPr>
      </w:pPr>
      <w:r w:rsidRPr="00E80053">
        <w:rPr>
          <w:b/>
          <w:bCs/>
        </w:rPr>
        <w:t>Promote</w:t>
      </w:r>
      <w:r>
        <w:t xml:space="preserve"> awareness of the national MoDA referral pathway, both with Police and alcohol and other drug service providers</w:t>
      </w:r>
      <w:r w:rsidR="00CA3A82">
        <w:t>.</w:t>
      </w:r>
      <w:r>
        <w:t xml:space="preserve">  </w:t>
      </w:r>
    </w:p>
    <w:p w14:paraId="275B6A21" w14:textId="77777777" w:rsidR="00E80053" w:rsidRDefault="003E7090" w:rsidP="00B603EC">
      <w:pPr>
        <w:pStyle w:val="ListParagraph"/>
        <w:numPr>
          <w:ilvl w:val="0"/>
          <w:numId w:val="13"/>
        </w:numPr>
      </w:pPr>
      <w:r w:rsidRPr="00E80053">
        <w:rPr>
          <w:b/>
          <w:bCs/>
        </w:rPr>
        <w:t>Consider</w:t>
      </w:r>
      <w:r>
        <w:t xml:space="preserve"> developing a cross-sector strategic framework to enhance health-based approaches to drug har</w:t>
      </w:r>
      <w:r w:rsidR="00E80053">
        <w:t>m</w:t>
      </w:r>
    </w:p>
    <w:p w14:paraId="13C61BA8" w14:textId="0EB5BCF8" w:rsidR="00E80053" w:rsidRDefault="003E7090" w:rsidP="00B603EC">
      <w:pPr>
        <w:pStyle w:val="ListParagraph"/>
        <w:numPr>
          <w:ilvl w:val="0"/>
          <w:numId w:val="13"/>
        </w:numPr>
      </w:pPr>
      <w:r w:rsidRPr="00E80053">
        <w:rPr>
          <w:b/>
          <w:bCs/>
        </w:rPr>
        <w:t>Consider</w:t>
      </w:r>
      <w:r>
        <w:t xml:space="preserve"> whether other referral pathways to mental health and addiction services require best practice improvements for effective outreach</w:t>
      </w:r>
      <w:r w:rsidR="00CA3A82">
        <w:t>.</w:t>
      </w:r>
      <w:r>
        <w:t xml:space="preserve"> </w:t>
      </w:r>
    </w:p>
    <w:p w14:paraId="321FB08F" w14:textId="586B2504" w:rsidR="003E7090" w:rsidRDefault="003E7090" w:rsidP="00B603EC">
      <w:pPr>
        <w:pStyle w:val="ListParagraph"/>
        <w:numPr>
          <w:ilvl w:val="0"/>
          <w:numId w:val="13"/>
        </w:numPr>
      </w:pPr>
      <w:r w:rsidRPr="008C6451">
        <w:rPr>
          <w:b/>
          <w:bCs/>
        </w:rPr>
        <w:t>Note</w:t>
      </w:r>
      <w:r>
        <w:t xml:space="preserve"> these recommendations require careful phasing in line with </w:t>
      </w:r>
      <w:r w:rsidRPr="00927DFF">
        <w:rPr>
          <w:i/>
          <w:iCs/>
        </w:rPr>
        <w:t>Kia Manawanui</w:t>
      </w:r>
      <w:r>
        <w:t xml:space="preserve"> and </w:t>
      </w:r>
      <w:r w:rsidRPr="00927DFF">
        <w:rPr>
          <w:i/>
          <w:iCs/>
        </w:rPr>
        <w:t>Reframe</w:t>
      </w:r>
      <w:r w:rsidR="00CA3A82">
        <w:rPr>
          <w:i/>
          <w:iCs/>
        </w:rPr>
        <w:t>.</w:t>
      </w:r>
    </w:p>
    <w:p w14:paraId="1121900A" w14:textId="116A8E4A" w:rsidR="00E12A24" w:rsidRPr="004A41BB" w:rsidRDefault="00E12A24" w:rsidP="00B603EC">
      <w:pPr>
        <w:pStyle w:val="ListParagraph"/>
        <w:numPr>
          <w:ilvl w:val="0"/>
          <w:numId w:val="13"/>
        </w:numPr>
        <w:rPr>
          <w:rFonts w:eastAsia="Times New Roman"/>
        </w:rPr>
      </w:pPr>
      <w:bookmarkStart w:id="31" w:name="_Hlk77160614"/>
      <w:r w:rsidRPr="004A41BB">
        <w:rPr>
          <w:b/>
          <w:bCs/>
          <w:lang w:eastAsia="zh-TW"/>
        </w:rPr>
        <w:t>Continue to explore</w:t>
      </w:r>
      <w:r w:rsidRPr="004A41BB">
        <w:rPr>
          <w:lang w:eastAsia="zh-TW"/>
        </w:rPr>
        <w:t xml:space="preserve"> opportunities to target support services to Māori and vulnerable populations to address the issues associated with deaths and hospitalisations due to synthetic cannabinoids</w:t>
      </w:r>
      <w:bookmarkEnd w:id="31"/>
      <w:r w:rsidRPr="004A41BB">
        <w:rPr>
          <w:lang w:eastAsia="zh-TW"/>
        </w:rPr>
        <w:t>.</w:t>
      </w:r>
      <w:r w:rsidRPr="004A41BB">
        <w:rPr>
          <w:rFonts w:eastAsia="Times New Roman"/>
        </w:rPr>
        <w:t xml:space="preserve"> </w:t>
      </w:r>
    </w:p>
    <w:p w14:paraId="05A6CE05" w14:textId="75AEBC35" w:rsidR="00C15FF3" w:rsidRPr="009D211C" w:rsidRDefault="004421AA" w:rsidP="009D211C">
      <w:pPr>
        <w:pStyle w:val="ListParagraph"/>
        <w:numPr>
          <w:ilvl w:val="0"/>
          <w:numId w:val="13"/>
        </w:numPr>
        <w:spacing w:after="0" w:line="240" w:lineRule="auto"/>
        <w:rPr>
          <w:b/>
          <w:bCs/>
        </w:rPr>
      </w:pPr>
      <w:r w:rsidRPr="004A41BB">
        <w:rPr>
          <w:rFonts w:eastAsia="Times New Roman"/>
          <w:b/>
          <w:bCs/>
        </w:rPr>
        <w:t>Refine</w:t>
      </w:r>
      <w:r w:rsidR="002905DF" w:rsidRPr="004A41BB">
        <w:rPr>
          <w:rFonts w:eastAsia="Times New Roman"/>
        </w:rPr>
        <w:t xml:space="preserve"> t</w:t>
      </w:r>
      <w:r w:rsidRPr="004A41BB">
        <w:rPr>
          <w:rFonts w:eastAsia="Times New Roman"/>
        </w:rPr>
        <w:t>he existing T</w:t>
      </w:r>
      <w:r w:rsidR="00242111">
        <w:rPr>
          <w:rFonts w:eastAsia="Times New Roman"/>
        </w:rPr>
        <w:t xml:space="preserve">emporary </w:t>
      </w:r>
      <w:r w:rsidRPr="004A41BB">
        <w:rPr>
          <w:rFonts w:eastAsia="Times New Roman"/>
        </w:rPr>
        <w:t>C</w:t>
      </w:r>
      <w:r w:rsidR="005914B5">
        <w:rPr>
          <w:rFonts w:eastAsia="Times New Roman"/>
        </w:rPr>
        <w:t xml:space="preserve">lass </w:t>
      </w:r>
      <w:r w:rsidRPr="004A41BB">
        <w:rPr>
          <w:rFonts w:eastAsia="Times New Roman"/>
        </w:rPr>
        <w:t>D</w:t>
      </w:r>
      <w:r w:rsidR="005914B5">
        <w:rPr>
          <w:rFonts w:eastAsia="Times New Roman"/>
        </w:rPr>
        <w:t xml:space="preserve">rugs </w:t>
      </w:r>
      <w:r w:rsidRPr="004A41BB">
        <w:rPr>
          <w:rFonts w:eastAsia="Times New Roman"/>
        </w:rPr>
        <w:t>O</w:t>
      </w:r>
      <w:r w:rsidR="005914B5">
        <w:rPr>
          <w:rFonts w:eastAsia="Times New Roman"/>
        </w:rPr>
        <w:t>rder</w:t>
      </w:r>
      <w:r w:rsidRPr="004A41BB">
        <w:rPr>
          <w:rFonts w:eastAsia="Times New Roman"/>
        </w:rPr>
        <w:t xml:space="preserve"> application process</w:t>
      </w:r>
      <w:r w:rsidR="00EE0D4B" w:rsidRPr="004A41BB">
        <w:rPr>
          <w:rFonts w:eastAsia="Times New Roman"/>
        </w:rPr>
        <w:t>,</w:t>
      </w:r>
      <w:r w:rsidRPr="004A41BB">
        <w:rPr>
          <w:rFonts w:eastAsia="Times New Roman"/>
        </w:rPr>
        <w:t xml:space="preserve"> </w:t>
      </w:r>
      <w:r w:rsidR="00956530" w:rsidRPr="004A41BB">
        <w:rPr>
          <w:rFonts w:eastAsia="Times New Roman"/>
        </w:rPr>
        <w:t xml:space="preserve">and </w:t>
      </w:r>
      <w:r w:rsidR="007C2C4E" w:rsidRPr="004A41BB">
        <w:rPr>
          <w:rFonts w:eastAsia="Times New Roman"/>
        </w:rPr>
        <w:t xml:space="preserve">clarity about the </w:t>
      </w:r>
      <w:r w:rsidR="00956530" w:rsidRPr="004A41BB">
        <w:rPr>
          <w:rFonts w:eastAsia="Times New Roman"/>
        </w:rPr>
        <w:t>process be communicated</w:t>
      </w:r>
      <w:r w:rsidRPr="004A41BB">
        <w:rPr>
          <w:rFonts w:eastAsia="Times New Roman"/>
        </w:rPr>
        <w:t xml:space="preserve"> to relevant stakeholders. </w:t>
      </w:r>
    </w:p>
    <w:p w14:paraId="4B44E104" w14:textId="67687290" w:rsidR="005D7E1C" w:rsidRPr="00757D96" w:rsidRDefault="00D04F46" w:rsidP="00927DFF">
      <w:pPr>
        <w:pStyle w:val="Heading3"/>
      </w:pPr>
      <w:bookmarkStart w:id="32" w:name="_Toc75952876"/>
      <w:bookmarkStart w:id="33" w:name="_Toc78186441"/>
      <w:r w:rsidRPr="00757D96">
        <w:t xml:space="preserve">Recommendations for the </w:t>
      </w:r>
      <w:r w:rsidR="005010BC" w:rsidRPr="00757D96">
        <w:t>full review scheduled for 2024</w:t>
      </w:r>
      <w:bookmarkEnd w:id="32"/>
      <w:bookmarkEnd w:id="33"/>
    </w:p>
    <w:p w14:paraId="3D7A7941" w14:textId="1EADD046" w:rsidR="000A69E6" w:rsidRPr="000A69E6" w:rsidRDefault="000A69E6" w:rsidP="000A69E6">
      <w:pPr>
        <w:pStyle w:val="ListParagraph"/>
        <w:numPr>
          <w:ilvl w:val="0"/>
          <w:numId w:val="13"/>
        </w:numPr>
        <w:spacing w:after="0" w:line="240" w:lineRule="auto"/>
        <w:rPr>
          <w:rFonts w:eastAsia="Times New Roman"/>
        </w:rPr>
      </w:pPr>
      <w:r w:rsidRPr="000A69E6">
        <w:rPr>
          <w:rFonts w:eastAsia="Times New Roman"/>
          <w:b/>
          <w:bCs/>
        </w:rPr>
        <w:t xml:space="preserve">Develop </w:t>
      </w:r>
      <w:r w:rsidRPr="000A69E6">
        <w:rPr>
          <w:rFonts w:eastAsia="Times New Roman"/>
        </w:rPr>
        <w:t>an evaluation framework by the end of 2021 to guide the final review in 2024</w:t>
      </w:r>
      <w:r>
        <w:rPr>
          <w:rFonts w:eastAsia="Times New Roman"/>
        </w:rPr>
        <w:t>, with</w:t>
      </w:r>
      <w:r w:rsidRPr="000A69E6">
        <w:rPr>
          <w:rFonts w:eastAsia="Times New Roman"/>
        </w:rPr>
        <w:t xml:space="preserve"> agencies </w:t>
      </w:r>
      <w:r>
        <w:rPr>
          <w:rFonts w:eastAsia="Times New Roman"/>
        </w:rPr>
        <w:t xml:space="preserve">working </w:t>
      </w:r>
      <w:r w:rsidRPr="000A69E6">
        <w:rPr>
          <w:rFonts w:eastAsia="Times New Roman"/>
        </w:rPr>
        <w:t xml:space="preserve">together to determine the key datasets and investigate the following factors: </w:t>
      </w:r>
    </w:p>
    <w:p w14:paraId="1E8A84D0" w14:textId="77777777" w:rsidR="000A69E6" w:rsidRDefault="000A69E6" w:rsidP="000A69E6">
      <w:pPr>
        <w:pStyle w:val="ListParagraph"/>
        <w:numPr>
          <w:ilvl w:val="0"/>
          <w:numId w:val="31"/>
        </w:numPr>
        <w:spacing w:line="256" w:lineRule="auto"/>
      </w:pPr>
      <w:r w:rsidRPr="00D87BDE">
        <w:t>engage with front-line Police to explore their understanding, beliefs, confidence and decision-making processes in using health-based approaches to reduce drug-related harm</w:t>
      </w:r>
    </w:p>
    <w:p w14:paraId="4315DD01" w14:textId="77777777" w:rsidR="000A69E6" w:rsidRDefault="000A69E6" w:rsidP="000A69E6">
      <w:pPr>
        <w:pStyle w:val="ListParagraph"/>
        <w:numPr>
          <w:ilvl w:val="0"/>
          <w:numId w:val="31"/>
        </w:numPr>
        <w:spacing w:line="256" w:lineRule="auto"/>
      </w:pPr>
      <w:r w:rsidRPr="00D87BDE">
        <w:t>interview people who use drugs on their experiences of the justice system’s use of health-based approaches, and what’s helped them to reduce drug harm</w:t>
      </w:r>
    </w:p>
    <w:p w14:paraId="38CC471B" w14:textId="77777777" w:rsidR="000A69E6" w:rsidRDefault="000A69E6" w:rsidP="000A69E6">
      <w:pPr>
        <w:pStyle w:val="ListParagraph"/>
        <w:numPr>
          <w:ilvl w:val="0"/>
          <w:numId w:val="31"/>
        </w:numPr>
        <w:spacing w:line="256" w:lineRule="auto"/>
      </w:pPr>
      <w:r w:rsidRPr="00D87BDE">
        <w:lastRenderedPageBreak/>
        <w:t xml:space="preserve">assess performance against the principles of Te Tiriti o Waitangi </w:t>
      </w:r>
      <w:r>
        <w:t>including the perspectives of iwi and the community</w:t>
      </w:r>
    </w:p>
    <w:p w14:paraId="0FD0A530" w14:textId="77777777" w:rsidR="000A69E6" w:rsidRPr="00D87BDE" w:rsidRDefault="000A69E6" w:rsidP="000A69E6">
      <w:pPr>
        <w:pStyle w:val="ListParagraph"/>
        <w:numPr>
          <w:ilvl w:val="0"/>
          <w:numId w:val="31"/>
        </w:numPr>
        <w:spacing w:after="0" w:line="256" w:lineRule="auto"/>
        <w:textAlignment w:val="baseline"/>
        <w:rPr>
          <w:rStyle w:val="normaltextrun1"/>
          <w:rFonts w:ascii="Calibri" w:hAnsi="Calibri" w:cs="Calibri"/>
          <w:lang w:eastAsia="en-NZ"/>
        </w:rPr>
      </w:pPr>
      <w:r w:rsidRPr="00D87BDE">
        <w:rPr>
          <w:rStyle w:val="normaltextrun1"/>
          <w:rFonts w:ascii="Calibri" w:hAnsi="Calibri" w:cs="Calibri"/>
          <w:lang w:eastAsia="en-NZ"/>
        </w:rPr>
        <w:t>data on the AOD sector, the level of referrals pre and post-amendment</w:t>
      </w:r>
    </w:p>
    <w:p w14:paraId="525DD5C3" w14:textId="31DAB1B9" w:rsidR="000A69E6" w:rsidRDefault="000A69E6" w:rsidP="000A69E6">
      <w:pPr>
        <w:pStyle w:val="ListParagraph"/>
        <w:numPr>
          <w:ilvl w:val="0"/>
          <w:numId w:val="31"/>
        </w:numPr>
        <w:spacing w:after="120" w:line="256" w:lineRule="auto"/>
        <w:textAlignment w:val="baseline"/>
        <w:rPr>
          <w:rStyle w:val="normaltextrun1"/>
          <w:rFonts w:ascii="Calibri" w:hAnsi="Calibri" w:cs="Calibri"/>
          <w:lang w:eastAsia="en-NZ"/>
        </w:rPr>
      </w:pPr>
      <w:r w:rsidRPr="00D87BDE">
        <w:rPr>
          <w:rStyle w:val="normaltextrun1"/>
          <w:rFonts w:ascii="Calibri" w:hAnsi="Calibri" w:cs="Calibri"/>
          <w:lang w:eastAsia="en-NZ"/>
        </w:rPr>
        <w:t>unmet need for Māori including how the sector is taking a kaupapa Māori approach</w:t>
      </w:r>
      <w:r>
        <w:rPr>
          <w:rStyle w:val="normaltextrun1"/>
          <w:rFonts w:ascii="Calibri" w:hAnsi="Calibri" w:cs="Calibri"/>
          <w:lang w:eastAsia="en-NZ"/>
        </w:rPr>
        <w:t>.</w:t>
      </w:r>
    </w:p>
    <w:p w14:paraId="2DE0D927" w14:textId="25F789EE" w:rsidR="002D7967" w:rsidRDefault="002D7967">
      <w:pPr>
        <w:rPr>
          <w:rStyle w:val="normaltextrun1"/>
          <w:rFonts w:ascii="Calibri" w:hAnsi="Calibri" w:cs="Calibri"/>
          <w:lang w:eastAsia="en-NZ"/>
        </w:rPr>
      </w:pPr>
      <w:r>
        <w:rPr>
          <w:rStyle w:val="normaltextrun1"/>
          <w:rFonts w:ascii="Calibri" w:hAnsi="Calibri" w:cs="Calibri"/>
          <w:lang w:eastAsia="en-NZ"/>
        </w:rPr>
        <w:br w:type="page"/>
      </w:r>
    </w:p>
    <w:p w14:paraId="727CD012" w14:textId="77777777" w:rsidR="00FE6EDF" w:rsidRDefault="00FE6EDF" w:rsidP="00DE79BB">
      <w:pPr>
        <w:pStyle w:val="Heading2"/>
      </w:pPr>
      <w:bookmarkStart w:id="34" w:name="_Toc74572631"/>
      <w:bookmarkStart w:id="35" w:name="_Toc75528213"/>
      <w:bookmarkStart w:id="36" w:name="_Toc75952877"/>
      <w:bookmarkStart w:id="37" w:name="_Toc78186442"/>
      <w:r>
        <w:lastRenderedPageBreak/>
        <w:t>INTRODUCTION</w:t>
      </w:r>
      <w:bookmarkEnd w:id="34"/>
      <w:bookmarkEnd w:id="35"/>
      <w:bookmarkEnd w:id="36"/>
      <w:bookmarkEnd w:id="37"/>
    </w:p>
    <w:p w14:paraId="68BAF7C9" w14:textId="689D3811" w:rsidR="009D10C1" w:rsidRDefault="00DE79BB" w:rsidP="00997C38">
      <w:pPr>
        <w:pStyle w:val="Heading3"/>
      </w:pPr>
      <w:bookmarkStart w:id="38" w:name="_Toc74572632"/>
      <w:bookmarkStart w:id="39" w:name="_Toc75528214"/>
      <w:bookmarkStart w:id="40" w:name="_Toc75952878"/>
      <w:bookmarkStart w:id="41" w:name="_Toc78186443"/>
      <w:r>
        <w:t>Purpose of r</w:t>
      </w:r>
      <w:r w:rsidR="009A55DE">
        <w:t>eport</w:t>
      </w:r>
      <w:bookmarkEnd w:id="38"/>
      <w:bookmarkEnd w:id="39"/>
      <w:bookmarkEnd w:id="40"/>
      <w:bookmarkEnd w:id="41"/>
    </w:p>
    <w:p w14:paraId="1931187C" w14:textId="0C2D5459" w:rsidR="00043511" w:rsidRDefault="00043511" w:rsidP="00AD0CA4">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This report </w:t>
      </w:r>
      <w:r w:rsidR="005755A8">
        <w:rPr>
          <w:rStyle w:val="normaltextrun1"/>
          <w:rFonts w:ascii="Calibri" w:eastAsia="Times New Roman" w:hAnsi="Calibri" w:cs="Calibri"/>
          <w:sz w:val="22"/>
          <w:szCs w:val="22"/>
          <w:lang w:eastAsia="en-NZ"/>
        </w:rPr>
        <w:t>is</w:t>
      </w:r>
      <w:r>
        <w:rPr>
          <w:rStyle w:val="normaltextrun1"/>
          <w:rFonts w:ascii="Calibri" w:eastAsia="Times New Roman" w:hAnsi="Calibri" w:cs="Calibri"/>
          <w:sz w:val="22"/>
          <w:szCs w:val="22"/>
          <w:lang w:eastAsia="en-NZ"/>
        </w:rPr>
        <w:t xml:space="preserve"> an i</w:t>
      </w:r>
      <w:r w:rsidR="008E0BD4">
        <w:rPr>
          <w:rStyle w:val="normaltextrun1"/>
          <w:rFonts w:ascii="Calibri" w:eastAsia="Times New Roman" w:hAnsi="Calibri" w:cs="Calibri"/>
          <w:sz w:val="22"/>
          <w:szCs w:val="22"/>
          <w:lang w:eastAsia="en-NZ"/>
        </w:rPr>
        <w:t>nterim</w:t>
      </w:r>
      <w:r>
        <w:rPr>
          <w:rStyle w:val="normaltextrun1"/>
          <w:rFonts w:ascii="Calibri" w:eastAsia="Times New Roman" w:hAnsi="Calibri" w:cs="Calibri"/>
          <w:sz w:val="22"/>
          <w:szCs w:val="22"/>
          <w:lang w:eastAsia="en-NZ"/>
        </w:rPr>
        <w:t xml:space="preserve"> review of </w:t>
      </w:r>
      <w:r w:rsidR="007D07CD">
        <w:rPr>
          <w:rStyle w:val="normaltextrun1"/>
          <w:rFonts w:ascii="Calibri" w:eastAsia="Times New Roman" w:hAnsi="Calibri" w:cs="Calibri"/>
          <w:sz w:val="22"/>
          <w:szCs w:val="22"/>
          <w:lang w:eastAsia="en-NZ"/>
        </w:rPr>
        <w:t xml:space="preserve">the impact of </w:t>
      </w:r>
      <w:r>
        <w:rPr>
          <w:rStyle w:val="normaltextrun1"/>
          <w:rFonts w:ascii="Calibri" w:eastAsia="Times New Roman" w:hAnsi="Calibri" w:cs="Calibri"/>
          <w:sz w:val="22"/>
          <w:szCs w:val="22"/>
          <w:lang w:eastAsia="en-NZ"/>
        </w:rPr>
        <w:t xml:space="preserve">amendments made in 2019 to MoDA 1975.  </w:t>
      </w:r>
      <w:r w:rsidR="008107BF">
        <w:rPr>
          <w:rStyle w:val="normaltextrun1"/>
          <w:rFonts w:ascii="Calibri" w:eastAsia="Times New Roman" w:hAnsi="Calibri" w:cs="Calibri"/>
          <w:sz w:val="22"/>
          <w:szCs w:val="22"/>
          <w:lang w:eastAsia="en-NZ"/>
        </w:rPr>
        <w:t xml:space="preserve">Part one covers </w:t>
      </w:r>
      <w:r w:rsidR="007B46B1">
        <w:rPr>
          <w:rStyle w:val="normaltextrun1"/>
          <w:rFonts w:ascii="Calibri" w:eastAsia="Times New Roman" w:hAnsi="Calibri" w:cs="Calibri"/>
          <w:sz w:val="22"/>
          <w:szCs w:val="22"/>
          <w:lang w:eastAsia="en-NZ"/>
        </w:rPr>
        <w:t xml:space="preserve">amendments </w:t>
      </w:r>
      <w:r w:rsidR="00BF4DBE">
        <w:rPr>
          <w:rStyle w:val="normaltextrun1"/>
          <w:rFonts w:ascii="Calibri" w:eastAsia="Times New Roman" w:hAnsi="Calibri" w:cs="Calibri"/>
          <w:sz w:val="22"/>
          <w:szCs w:val="22"/>
          <w:lang w:eastAsia="en-NZ"/>
        </w:rPr>
        <w:t>to section 7 of the Act, which emphasise health-based approaches for the exercise of Police discretion in prosecution of possession and use of drugs</w:t>
      </w:r>
      <w:r w:rsidR="00BF4DBE" w:rsidRPr="004A41BB">
        <w:rPr>
          <w:rStyle w:val="normaltextrun1"/>
          <w:rFonts w:ascii="Calibri" w:eastAsia="Times New Roman" w:hAnsi="Calibri" w:cs="Calibri"/>
          <w:sz w:val="22"/>
          <w:szCs w:val="22"/>
          <w:lang w:eastAsia="en-NZ"/>
        </w:rPr>
        <w:t xml:space="preserve">. </w:t>
      </w:r>
      <w:r w:rsidR="00EB4865" w:rsidRPr="004A41BB">
        <w:rPr>
          <w:rStyle w:val="normaltextrun1"/>
          <w:rFonts w:ascii="Calibri" w:eastAsia="Times New Roman" w:hAnsi="Calibri" w:cs="Calibri"/>
          <w:sz w:val="22"/>
          <w:szCs w:val="22"/>
          <w:lang w:eastAsia="en-NZ"/>
        </w:rPr>
        <w:t xml:space="preserve">Part two </w:t>
      </w:r>
      <w:r w:rsidR="00C00188" w:rsidRPr="004A41BB">
        <w:rPr>
          <w:rStyle w:val="normaltextrun1"/>
          <w:rFonts w:ascii="Calibri" w:eastAsia="Times New Roman" w:hAnsi="Calibri" w:cs="Calibri"/>
          <w:sz w:val="22"/>
          <w:szCs w:val="22"/>
          <w:lang w:eastAsia="en-NZ"/>
        </w:rPr>
        <w:t>covers the impact of the classification of AMB-FUBINCA and 5F-ADB</w:t>
      </w:r>
      <w:r w:rsidR="00E47BDD" w:rsidRPr="004A41BB">
        <w:rPr>
          <w:rStyle w:val="normaltextrun1"/>
          <w:rFonts w:ascii="Calibri" w:eastAsia="Times New Roman" w:hAnsi="Calibri" w:cs="Calibri"/>
          <w:sz w:val="22"/>
          <w:szCs w:val="22"/>
          <w:lang w:eastAsia="en-NZ"/>
        </w:rPr>
        <w:t xml:space="preserve">. Part </w:t>
      </w:r>
      <w:r w:rsidR="00924BB0" w:rsidRPr="004A41BB">
        <w:rPr>
          <w:rStyle w:val="normaltextrun1"/>
          <w:rFonts w:ascii="Calibri" w:eastAsia="Times New Roman" w:hAnsi="Calibri" w:cs="Calibri"/>
          <w:sz w:val="22"/>
          <w:szCs w:val="22"/>
          <w:lang w:eastAsia="en-NZ"/>
        </w:rPr>
        <w:t>three review</w:t>
      </w:r>
      <w:r w:rsidR="00215022" w:rsidRPr="004A41BB">
        <w:rPr>
          <w:rStyle w:val="normaltextrun1"/>
          <w:rFonts w:ascii="Calibri" w:eastAsia="Times New Roman" w:hAnsi="Calibri" w:cs="Calibri"/>
          <w:sz w:val="22"/>
          <w:szCs w:val="22"/>
          <w:lang w:eastAsia="en-NZ"/>
        </w:rPr>
        <w:t>s</w:t>
      </w:r>
      <w:r w:rsidR="00924BB0" w:rsidRPr="004A41BB">
        <w:rPr>
          <w:rStyle w:val="normaltextrun1"/>
          <w:rFonts w:ascii="Calibri" w:eastAsia="Times New Roman" w:hAnsi="Calibri" w:cs="Calibri"/>
          <w:sz w:val="22"/>
          <w:szCs w:val="22"/>
          <w:lang w:eastAsia="en-NZ"/>
        </w:rPr>
        <w:t xml:space="preserve"> the implementation of </w:t>
      </w:r>
      <w:r w:rsidR="00A314D3" w:rsidRPr="004A41BB">
        <w:rPr>
          <w:rStyle w:val="normaltextrun1"/>
          <w:rFonts w:ascii="Calibri" w:eastAsia="Times New Roman" w:hAnsi="Calibri" w:cs="Calibri"/>
          <w:sz w:val="22"/>
          <w:szCs w:val="22"/>
          <w:lang w:eastAsia="en-NZ"/>
        </w:rPr>
        <w:t>the temporary class drug orders.</w:t>
      </w:r>
    </w:p>
    <w:p w14:paraId="29B9B53C" w14:textId="25933FB2" w:rsidR="00E952AB" w:rsidRDefault="00D776DC" w:rsidP="00364C83">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As</w:t>
      </w:r>
      <w:r w:rsidR="00364C83">
        <w:rPr>
          <w:rStyle w:val="normaltextrun1"/>
          <w:rFonts w:ascii="Calibri" w:eastAsia="Times New Roman" w:hAnsi="Calibri" w:cs="Calibri"/>
          <w:sz w:val="22"/>
          <w:szCs w:val="22"/>
          <w:lang w:eastAsia="en-NZ"/>
        </w:rPr>
        <w:t xml:space="preserve"> interim reports</w:t>
      </w:r>
      <w:r>
        <w:rPr>
          <w:rStyle w:val="normaltextrun1"/>
          <w:rFonts w:ascii="Calibri" w:eastAsia="Times New Roman" w:hAnsi="Calibri" w:cs="Calibri"/>
          <w:sz w:val="22"/>
          <w:szCs w:val="22"/>
          <w:lang w:eastAsia="en-NZ"/>
        </w:rPr>
        <w:t>, they</w:t>
      </w:r>
      <w:r w:rsidR="00364C83">
        <w:rPr>
          <w:rStyle w:val="normaltextrun1"/>
          <w:rFonts w:ascii="Calibri" w:eastAsia="Times New Roman" w:hAnsi="Calibri" w:cs="Calibri"/>
          <w:sz w:val="22"/>
          <w:szCs w:val="22"/>
          <w:lang w:eastAsia="en-NZ"/>
        </w:rPr>
        <w:t xml:space="preserve"> draw </w:t>
      </w:r>
      <w:r w:rsidR="0059086B">
        <w:rPr>
          <w:rStyle w:val="normaltextrun1"/>
          <w:rFonts w:ascii="Calibri" w:eastAsia="Times New Roman" w:hAnsi="Calibri" w:cs="Calibri"/>
          <w:sz w:val="22"/>
          <w:szCs w:val="22"/>
          <w:lang w:eastAsia="en-NZ"/>
        </w:rPr>
        <w:t xml:space="preserve">findings from the </w:t>
      </w:r>
      <w:r w:rsidR="00EE73BF">
        <w:rPr>
          <w:rStyle w:val="normaltextrun1"/>
          <w:rFonts w:ascii="Calibri" w:eastAsia="Times New Roman" w:hAnsi="Calibri" w:cs="Calibri"/>
          <w:sz w:val="22"/>
          <w:szCs w:val="22"/>
          <w:lang w:eastAsia="en-NZ"/>
        </w:rPr>
        <w:t xml:space="preserve">limited </w:t>
      </w:r>
      <w:r w:rsidR="0059086B">
        <w:rPr>
          <w:rStyle w:val="normaltextrun1"/>
          <w:rFonts w:ascii="Calibri" w:eastAsia="Times New Roman" w:hAnsi="Calibri" w:cs="Calibri"/>
          <w:sz w:val="22"/>
          <w:szCs w:val="22"/>
          <w:lang w:eastAsia="en-NZ"/>
        </w:rPr>
        <w:t xml:space="preserve">data </w:t>
      </w:r>
      <w:r w:rsidR="00E952AB">
        <w:rPr>
          <w:rStyle w:val="normaltextrun1"/>
          <w:rFonts w:ascii="Calibri" w:eastAsia="Times New Roman" w:hAnsi="Calibri" w:cs="Calibri"/>
          <w:sz w:val="22"/>
          <w:szCs w:val="22"/>
          <w:lang w:eastAsia="en-NZ"/>
        </w:rPr>
        <w:t>a</w:t>
      </w:r>
      <w:r w:rsidR="00EE73BF">
        <w:rPr>
          <w:rStyle w:val="normaltextrun1"/>
          <w:rFonts w:ascii="Calibri" w:eastAsia="Times New Roman" w:hAnsi="Calibri" w:cs="Calibri"/>
          <w:sz w:val="22"/>
          <w:szCs w:val="22"/>
          <w:lang w:eastAsia="en-NZ"/>
        </w:rPr>
        <w:t>vailable</w:t>
      </w:r>
      <w:r w:rsidR="00E90AA5">
        <w:rPr>
          <w:rStyle w:val="normaltextrun1"/>
          <w:rFonts w:ascii="Calibri" w:eastAsia="Times New Roman" w:hAnsi="Calibri" w:cs="Calibri"/>
          <w:sz w:val="22"/>
          <w:szCs w:val="22"/>
          <w:lang w:eastAsia="en-NZ"/>
        </w:rPr>
        <w:t xml:space="preserve"> in the two years since the amendments were made</w:t>
      </w:r>
      <w:r w:rsidR="00E952AB">
        <w:rPr>
          <w:rStyle w:val="normaltextrun1"/>
          <w:rFonts w:ascii="Calibri" w:eastAsia="Times New Roman" w:hAnsi="Calibri" w:cs="Calibri"/>
          <w:sz w:val="22"/>
          <w:szCs w:val="22"/>
          <w:lang w:eastAsia="en-NZ"/>
        </w:rPr>
        <w:t xml:space="preserve">. </w:t>
      </w:r>
      <w:r w:rsidR="00C614DB">
        <w:rPr>
          <w:rStyle w:val="normaltextrun1"/>
          <w:rFonts w:ascii="Calibri" w:eastAsia="Times New Roman" w:hAnsi="Calibri" w:cs="Calibri"/>
          <w:sz w:val="22"/>
          <w:szCs w:val="22"/>
          <w:lang w:eastAsia="en-NZ"/>
        </w:rPr>
        <w:t xml:space="preserve">The reports also include </w:t>
      </w:r>
      <w:r w:rsidR="00B83595">
        <w:rPr>
          <w:rStyle w:val="normaltextrun1"/>
          <w:rFonts w:ascii="Calibri" w:eastAsia="Times New Roman" w:hAnsi="Calibri" w:cs="Calibri"/>
          <w:sz w:val="22"/>
          <w:szCs w:val="22"/>
          <w:lang w:eastAsia="en-NZ"/>
        </w:rPr>
        <w:t xml:space="preserve">recommendations </w:t>
      </w:r>
      <w:r w:rsidR="00730D24">
        <w:rPr>
          <w:rStyle w:val="normaltextrun1"/>
          <w:rFonts w:ascii="Calibri" w:eastAsia="Times New Roman" w:hAnsi="Calibri" w:cs="Calibri"/>
          <w:sz w:val="22"/>
          <w:szCs w:val="22"/>
          <w:lang w:eastAsia="en-NZ"/>
        </w:rPr>
        <w:t xml:space="preserve">on how gaps could be addressed, and </w:t>
      </w:r>
      <w:r w:rsidR="00DB31F7">
        <w:rPr>
          <w:rStyle w:val="normaltextrun1"/>
          <w:rFonts w:ascii="Calibri" w:eastAsia="Times New Roman" w:hAnsi="Calibri" w:cs="Calibri"/>
          <w:sz w:val="22"/>
          <w:szCs w:val="22"/>
          <w:lang w:eastAsia="en-NZ"/>
        </w:rPr>
        <w:t xml:space="preserve">further opportunities to provide a comprehensive picture in a full review of the impact of these amendments, scheduled for 2024.  </w:t>
      </w:r>
      <w:r w:rsidR="00612ECE">
        <w:rPr>
          <w:rStyle w:val="normaltextrun1"/>
          <w:rFonts w:ascii="Calibri" w:eastAsia="Times New Roman" w:hAnsi="Calibri" w:cs="Calibri"/>
          <w:sz w:val="22"/>
          <w:szCs w:val="22"/>
          <w:lang w:eastAsia="en-NZ"/>
        </w:rPr>
        <w:t xml:space="preserve"> </w:t>
      </w:r>
    </w:p>
    <w:p w14:paraId="420A8409" w14:textId="6BDE6C35" w:rsidR="00874BA6" w:rsidRPr="00F71A94" w:rsidRDefault="00874BA6" w:rsidP="00997C38">
      <w:pPr>
        <w:pStyle w:val="Heading3"/>
      </w:pPr>
      <w:bookmarkStart w:id="42" w:name="_Toc74572633"/>
      <w:bookmarkStart w:id="43" w:name="_Toc75528215"/>
      <w:bookmarkStart w:id="44" w:name="_Toc75952879"/>
      <w:bookmarkStart w:id="45" w:name="_Toc78186444"/>
      <w:r w:rsidRPr="00E540E2">
        <w:t>Background</w:t>
      </w:r>
      <w:bookmarkEnd w:id="42"/>
      <w:bookmarkEnd w:id="43"/>
      <w:bookmarkEnd w:id="44"/>
      <w:bookmarkEnd w:id="45"/>
    </w:p>
    <w:p w14:paraId="2302E00C" w14:textId="218D2C2E" w:rsidR="00874BA6" w:rsidRPr="00874BA6" w:rsidRDefault="00874BA6" w:rsidP="00AD0CA4">
      <w:pPr>
        <w:pStyle w:val="CommentText"/>
        <w:textAlignment w:val="baseline"/>
        <w:rPr>
          <w:rStyle w:val="normaltextrun1"/>
          <w:sz w:val="22"/>
          <w:szCs w:val="22"/>
          <w:lang w:eastAsia="en-NZ"/>
        </w:rPr>
      </w:pPr>
      <w:r w:rsidRPr="00874BA6">
        <w:rPr>
          <w:rStyle w:val="normaltextrun1"/>
          <w:rFonts w:ascii="Calibri" w:eastAsia="Times New Roman" w:hAnsi="Calibri" w:cs="Calibri"/>
          <w:sz w:val="22"/>
          <w:szCs w:val="22"/>
          <w:lang w:eastAsia="en-NZ"/>
        </w:rPr>
        <w:t xml:space="preserve">On 13 August 2019 </w:t>
      </w:r>
      <w:r w:rsidR="0004540E">
        <w:rPr>
          <w:rStyle w:val="normaltextrun1"/>
          <w:rFonts w:ascii="Calibri" w:eastAsia="Times New Roman" w:hAnsi="Calibri" w:cs="Calibri"/>
          <w:sz w:val="22"/>
          <w:szCs w:val="22"/>
          <w:lang w:eastAsia="en-NZ"/>
        </w:rPr>
        <w:t>MoDA</w:t>
      </w:r>
      <w:r w:rsidRPr="00874BA6">
        <w:rPr>
          <w:rStyle w:val="normaltextrun1"/>
          <w:rFonts w:ascii="Calibri" w:eastAsia="Times New Roman" w:hAnsi="Calibri" w:cs="Calibri"/>
          <w:sz w:val="22"/>
          <w:szCs w:val="22"/>
          <w:lang w:eastAsia="en-NZ"/>
        </w:rPr>
        <w:t xml:space="preserve"> </w:t>
      </w:r>
      <w:r w:rsidR="0A901B37" w:rsidRPr="55CA9562">
        <w:rPr>
          <w:rStyle w:val="normaltextrun1"/>
          <w:rFonts w:ascii="Calibri" w:eastAsia="Times New Roman" w:hAnsi="Calibri" w:cs="Calibri"/>
          <w:sz w:val="22"/>
          <w:szCs w:val="22"/>
          <w:lang w:eastAsia="en-NZ"/>
        </w:rPr>
        <w:t>a</w:t>
      </w:r>
      <w:r w:rsidR="00010292">
        <w:rPr>
          <w:rStyle w:val="normaltextrun1"/>
          <w:rFonts w:ascii="Calibri" w:eastAsia="Times New Roman" w:hAnsi="Calibri" w:cs="Calibri"/>
          <w:sz w:val="22"/>
          <w:szCs w:val="22"/>
          <w:lang w:eastAsia="en-NZ"/>
        </w:rPr>
        <w:t xml:space="preserve">mendments </w:t>
      </w:r>
      <w:r w:rsidRPr="00874BA6">
        <w:rPr>
          <w:rStyle w:val="normaltextrun1"/>
          <w:rFonts w:ascii="Calibri" w:eastAsia="Times New Roman" w:hAnsi="Calibri" w:cs="Calibri"/>
          <w:sz w:val="22"/>
          <w:szCs w:val="22"/>
          <w:lang w:eastAsia="en-NZ"/>
        </w:rPr>
        <w:t>came into effect</w:t>
      </w:r>
      <w:r w:rsidR="00445581">
        <w:rPr>
          <w:rStyle w:val="normaltextrun1"/>
          <w:rFonts w:ascii="Calibri" w:eastAsia="Times New Roman" w:hAnsi="Calibri" w:cs="Calibri"/>
          <w:sz w:val="22"/>
          <w:szCs w:val="22"/>
          <w:lang w:eastAsia="en-NZ"/>
        </w:rPr>
        <w:t xml:space="preserve"> </w:t>
      </w:r>
      <w:r w:rsidR="76D26836" w:rsidRPr="55CA9562">
        <w:rPr>
          <w:rStyle w:val="normaltextrun1"/>
          <w:rFonts w:ascii="Calibri" w:eastAsia="Times New Roman" w:hAnsi="Calibri" w:cs="Calibri"/>
          <w:sz w:val="22"/>
          <w:szCs w:val="22"/>
          <w:lang w:eastAsia="en-NZ"/>
        </w:rPr>
        <w:t>which</w:t>
      </w:r>
      <w:r w:rsidR="00445581">
        <w:rPr>
          <w:rStyle w:val="normaltextrun1"/>
          <w:rFonts w:ascii="Calibri" w:eastAsia="Times New Roman" w:hAnsi="Calibri" w:cs="Calibri"/>
          <w:sz w:val="22"/>
          <w:szCs w:val="22"/>
          <w:lang w:eastAsia="en-NZ"/>
        </w:rPr>
        <w:t xml:space="preserve">: </w:t>
      </w:r>
      <w:r w:rsidRPr="00874BA6">
        <w:rPr>
          <w:rStyle w:val="normaltextrun1"/>
          <w:rFonts w:ascii="Calibri" w:eastAsia="Times New Roman" w:hAnsi="Calibri" w:cs="Calibri"/>
          <w:sz w:val="22"/>
          <w:szCs w:val="22"/>
          <w:lang w:eastAsia="en-NZ"/>
        </w:rPr>
        <w:t xml:space="preserve">  </w:t>
      </w:r>
    </w:p>
    <w:p w14:paraId="5EBE125E" w14:textId="3FE49443" w:rsidR="00CC5811" w:rsidRDefault="00CC5811" w:rsidP="009603F0">
      <w:pPr>
        <w:pStyle w:val="ListParagraph"/>
        <w:numPr>
          <w:ilvl w:val="0"/>
          <w:numId w:val="2"/>
        </w:numPr>
        <w:spacing w:after="0"/>
        <w:ind w:left="851" w:hanging="851"/>
      </w:pPr>
      <w:r w:rsidRPr="00AD5AC4">
        <w:rPr>
          <w:rStyle w:val="normaltextrun1"/>
          <w:rFonts w:ascii="Calibri" w:hAnsi="Calibri" w:cs="Calibri"/>
        </w:rPr>
        <w:t>affirmed</w:t>
      </w:r>
      <w:r>
        <w:t xml:space="preserve"> the ability of New Zealand Police to use discretion when considering whether to prosecute people for personal possession and use of drugs</w:t>
      </w:r>
      <w:r w:rsidR="002D681E">
        <w:t>. This</w:t>
      </w:r>
      <w:r>
        <w:t xml:space="preserve"> includes requiring </w:t>
      </w:r>
      <w:r w:rsidRPr="004F066F">
        <w:t xml:space="preserve">the consideration of </w:t>
      </w:r>
      <w:r>
        <w:t xml:space="preserve">whether, in addition to other relevant matters, </w:t>
      </w:r>
      <w:r w:rsidRPr="004F066F">
        <w:t xml:space="preserve">health-based alternatives </w:t>
      </w:r>
      <w:r>
        <w:t>would be more beneficial to</w:t>
      </w:r>
      <w:r w:rsidRPr="004F066F">
        <w:t xml:space="preserve"> the public interest</w:t>
      </w:r>
    </w:p>
    <w:p w14:paraId="5482342E" w14:textId="11D2A85A" w:rsidR="00874BA6" w:rsidRPr="00AD0CA4" w:rsidRDefault="00874BA6" w:rsidP="009603F0">
      <w:pPr>
        <w:pStyle w:val="ListParagraph"/>
        <w:numPr>
          <w:ilvl w:val="0"/>
          <w:numId w:val="2"/>
        </w:numPr>
        <w:spacing w:after="0"/>
        <w:ind w:left="851" w:hanging="851"/>
        <w:rPr>
          <w:rStyle w:val="normaltextrun1"/>
          <w:rFonts w:ascii="Calibri" w:hAnsi="Calibri" w:cs="Calibri"/>
        </w:rPr>
      </w:pPr>
      <w:r w:rsidRPr="00AD0CA4">
        <w:rPr>
          <w:rStyle w:val="normaltextrun1"/>
          <w:rFonts w:ascii="Calibri" w:hAnsi="Calibri" w:cs="Calibri"/>
        </w:rPr>
        <w:t>enabled temporary classification orders to be issued for emerging and potentially harmful substances</w:t>
      </w:r>
    </w:p>
    <w:p w14:paraId="22189C7C" w14:textId="72A42098" w:rsidR="00874BA6" w:rsidRDefault="00874BA6" w:rsidP="009603F0">
      <w:pPr>
        <w:pStyle w:val="ListParagraph"/>
        <w:numPr>
          <w:ilvl w:val="0"/>
          <w:numId w:val="2"/>
        </w:numPr>
        <w:ind w:left="851" w:hanging="851"/>
      </w:pPr>
      <w:r w:rsidRPr="00AD0CA4">
        <w:rPr>
          <w:rStyle w:val="normaltextrun1"/>
          <w:rFonts w:ascii="Calibri" w:hAnsi="Calibri" w:cs="Calibri"/>
        </w:rPr>
        <w:t>classified synthetic cannabinoids AMB-FUBINACA and 5F-ADB as Class A controlled substances</w:t>
      </w:r>
      <w:r>
        <w:t>.</w:t>
      </w:r>
    </w:p>
    <w:p w14:paraId="39311BEF" w14:textId="33F9CE41" w:rsidR="00C8396A" w:rsidRPr="00E540E2" w:rsidRDefault="5A7C9AB5" w:rsidP="00AD0CA4">
      <w:pPr>
        <w:pStyle w:val="CommentText"/>
        <w:textAlignment w:val="baseline"/>
        <w:rPr>
          <w:rStyle w:val="normaltextrun1"/>
          <w:sz w:val="22"/>
          <w:szCs w:val="22"/>
          <w:lang w:eastAsia="en-NZ"/>
        </w:rPr>
      </w:pPr>
      <w:r w:rsidRPr="5E903C6E" w:rsidDel="00C8396A">
        <w:rPr>
          <w:rStyle w:val="normaltextrun1"/>
          <w:rFonts w:ascii="Calibri" w:eastAsia="Times New Roman" w:hAnsi="Calibri" w:cs="Calibri"/>
          <w:sz w:val="22"/>
          <w:szCs w:val="22"/>
          <w:lang w:eastAsia="en-NZ"/>
        </w:rPr>
        <w:t>T</w:t>
      </w:r>
      <w:r w:rsidR="075FD93F" w:rsidRPr="5E903C6E" w:rsidDel="00C8396A">
        <w:rPr>
          <w:rStyle w:val="normaltextrun1"/>
          <w:rFonts w:ascii="Calibri" w:eastAsia="Times New Roman" w:hAnsi="Calibri" w:cs="Calibri"/>
          <w:sz w:val="22"/>
          <w:szCs w:val="22"/>
          <w:lang w:eastAsia="en-NZ"/>
        </w:rPr>
        <w:t xml:space="preserve">he </w:t>
      </w:r>
      <w:r w:rsidR="008318A9" w:rsidDel="00C8396A">
        <w:rPr>
          <w:rStyle w:val="normaltextrun1"/>
          <w:rFonts w:ascii="Calibri" w:eastAsia="Times New Roman" w:hAnsi="Calibri" w:cs="Calibri"/>
          <w:sz w:val="22"/>
          <w:szCs w:val="22"/>
          <w:lang w:eastAsia="en-NZ"/>
        </w:rPr>
        <w:t>MoDA</w:t>
      </w:r>
      <w:r w:rsidR="075FD93F" w:rsidRPr="5E903C6E" w:rsidDel="00C8396A">
        <w:rPr>
          <w:rStyle w:val="normaltextrun1"/>
          <w:rFonts w:ascii="Calibri" w:eastAsia="Times New Roman" w:hAnsi="Calibri" w:cs="Calibri"/>
          <w:sz w:val="22"/>
          <w:szCs w:val="22"/>
          <w:lang w:eastAsia="en-NZ"/>
        </w:rPr>
        <w:t xml:space="preserve"> amendments</w:t>
      </w:r>
      <w:r w:rsidR="00874BA6" w:rsidRPr="00874BA6" w:rsidDel="00C8396A">
        <w:rPr>
          <w:rStyle w:val="normaltextrun1"/>
          <w:rFonts w:ascii="Calibri" w:eastAsia="Times New Roman" w:hAnsi="Calibri" w:cs="Calibri"/>
          <w:sz w:val="22"/>
          <w:szCs w:val="22"/>
          <w:lang w:eastAsia="en-NZ"/>
        </w:rPr>
        <w:t xml:space="preserve"> made clear the Government’s commitment to </w:t>
      </w:r>
      <w:r w:rsidR="002072D1">
        <w:rPr>
          <w:rStyle w:val="normaltextrun1"/>
          <w:rFonts w:ascii="Calibri" w:eastAsia="Times New Roman" w:hAnsi="Calibri" w:cs="Calibri"/>
          <w:sz w:val="22"/>
          <w:szCs w:val="22"/>
          <w:lang w:eastAsia="en-NZ"/>
        </w:rPr>
        <w:t>a</w:t>
      </w:r>
      <w:r w:rsidR="00874BA6" w:rsidRPr="00874BA6" w:rsidDel="00C8396A">
        <w:rPr>
          <w:rStyle w:val="normaltextrun1"/>
          <w:rFonts w:ascii="Calibri" w:eastAsia="Times New Roman" w:hAnsi="Calibri" w:cs="Calibri"/>
          <w:sz w:val="22"/>
          <w:szCs w:val="22"/>
          <w:lang w:eastAsia="en-NZ"/>
        </w:rPr>
        <w:t xml:space="preserve"> health-based approach to preventing drug-related harm</w:t>
      </w:r>
      <w:r w:rsidR="00F11FE3" w:rsidRPr="00F11FE3" w:rsidDel="00C8396A">
        <w:rPr>
          <w:rStyle w:val="normaltextrun1"/>
          <w:rFonts w:ascii="Calibri" w:eastAsia="Times New Roman" w:hAnsi="Calibri" w:cs="Calibri"/>
          <w:sz w:val="22"/>
          <w:szCs w:val="22"/>
          <w:lang w:eastAsia="en-NZ"/>
        </w:rPr>
        <w:t xml:space="preserve"> </w:t>
      </w:r>
      <w:r w:rsidR="00F11FE3" w:rsidDel="00C8396A">
        <w:rPr>
          <w:rStyle w:val="normaltextrun1"/>
          <w:rFonts w:ascii="Calibri" w:eastAsia="Times New Roman" w:hAnsi="Calibri" w:cs="Calibri"/>
          <w:sz w:val="22"/>
          <w:szCs w:val="22"/>
          <w:lang w:eastAsia="en-NZ"/>
        </w:rPr>
        <w:t>b</w:t>
      </w:r>
      <w:r w:rsidR="00F11FE3" w:rsidRPr="00874BA6" w:rsidDel="00C8396A">
        <w:rPr>
          <w:rStyle w:val="normaltextrun1"/>
          <w:rFonts w:ascii="Calibri" w:eastAsia="Times New Roman" w:hAnsi="Calibri" w:cs="Calibri"/>
          <w:sz w:val="22"/>
          <w:szCs w:val="22"/>
          <w:lang w:eastAsia="en-NZ"/>
        </w:rPr>
        <w:t xml:space="preserve">y seeking to interrupt supply and consumer cycles, promote awareness of dangers associated with unregulated substances, and reduce exposure to the criminal justice </w:t>
      </w:r>
      <w:r w:rsidR="00CA46A1" w:rsidDel="00C8396A">
        <w:rPr>
          <w:rStyle w:val="normaltextrun1"/>
          <w:rFonts w:ascii="Calibri" w:eastAsia="Times New Roman" w:hAnsi="Calibri" w:cs="Calibri"/>
          <w:sz w:val="22"/>
          <w:szCs w:val="22"/>
          <w:lang w:eastAsia="en-NZ"/>
        </w:rPr>
        <w:t xml:space="preserve">system </w:t>
      </w:r>
      <w:r w:rsidR="00071375" w:rsidDel="00C8396A">
        <w:rPr>
          <w:rStyle w:val="normaltextrun1"/>
          <w:rFonts w:ascii="Calibri" w:eastAsia="Times New Roman" w:hAnsi="Calibri" w:cs="Calibri"/>
          <w:sz w:val="22"/>
          <w:szCs w:val="22"/>
          <w:lang w:eastAsia="en-NZ"/>
        </w:rPr>
        <w:t>fo</w:t>
      </w:r>
      <w:r w:rsidR="00BB22F3" w:rsidDel="00C8396A">
        <w:rPr>
          <w:rStyle w:val="normaltextrun1"/>
          <w:rFonts w:ascii="Calibri" w:eastAsia="Times New Roman" w:hAnsi="Calibri" w:cs="Calibri"/>
          <w:sz w:val="22"/>
          <w:szCs w:val="22"/>
          <w:lang w:eastAsia="en-NZ"/>
        </w:rPr>
        <w:t>r possession for personal use</w:t>
      </w:r>
      <w:r w:rsidR="00636E94">
        <w:rPr>
          <w:rStyle w:val="normaltextrun1"/>
          <w:rFonts w:ascii="Calibri" w:eastAsia="Times New Roman" w:hAnsi="Calibri" w:cs="Calibri"/>
          <w:sz w:val="22"/>
          <w:szCs w:val="22"/>
          <w:lang w:eastAsia="en-NZ"/>
        </w:rPr>
        <w:t>, where appropriate</w:t>
      </w:r>
      <w:r w:rsidR="075FD93F" w:rsidRPr="5E903C6E" w:rsidDel="00C8396A">
        <w:rPr>
          <w:rStyle w:val="normaltextrun1"/>
          <w:rFonts w:ascii="Calibri" w:eastAsia="Times New Roman" w:hAnsi="Calibri" w:cs="Calibri"/>
          <w:sz w:val="22"/>
          <w:szCs w:val="22"/>
          <w:lang w:eastAsia="en-NZ"/>
        </w:rPr>
        <w:t>.</w:t>
      </w:r>
      <w:r w:rsidR="00874BA6" w:rsidRPr="00874BA6" w:rsidDel="00C8396A">
        <w:rPr>
          <w:rStyle w:val="normaltextrun1"/>
          <w:rFonts w:ascii="Calibri" w:eastAsia="Times New Roman" w:hAnsi="Calibri" w:cs="Calibri"/>
          <w:sz w:val="22"/>
          <w:szCs w:val="22"/>
          <w:lang w:eastAsia="en-NZ"/>
        </w:rPr>
        <w:t xml:space="preserve"> </w:t>
      </w:r>
    </w:p>
    <w:p w14:paraId="223DF096" w14:textId="30383434" w:rsidR="00874BA6" w:rsidRPr="00E540E2" w:rsidRDefault="00874BA6" w:rsidP="00AD0CA4">
      <w:pPr>
        <w:pStyle w:val="CommentText"/>
        <w:textAlignment w:val="baseline"/>
        <w:rPr>
          <w:rStyle w:val="normaltextrun1"/>
          <w:sz w:val="22"/>
          <w:szCs w:val="22"/>
          <w:lang w:eastAsia="en-NZ"/>
        </w:rPr>
      </w:pPr>
      <w:r w:rsidRPr="00874BA6">
        <w:rPr>
          <w:rStyle w:val="normaltextrun1"/>
          <w:rFonts w:ascii="Calibri" w:eastAsia="Times New Roman" w:hAnsi="Calibri" w:cs="Calibri"/>
          <w:sz w:val="22"/>
          <w:szCs w:val="22"/>
          <w:lang w:eastAsia="en-NZ"/>
        </w:rPr>
        <w:t xml:space="preserve">The spirit of the amendments is consistent with the Government’s broader focus on equitable health and wellbeing outcomes for New Zealanders, their whānau and communities. </w:t>
      </w:r>
    </w:p>
    <w:p w14:paraId="34F8A0F7" w14:textId="394731F5" w:rsidR="009D10C1" w:rsidRPr="00A4017D" w:rsidRDefault="009D10C1" w:rsidP="00AD0CA4">
      <w:pPr>
        <w:pStyle w:val="Heading2"/>
      </w:pPr>
      <w:bookmarkStart w:id="46" w:name="_Toc74572640"/>
      <w:bookmarkStart w:id="47" w:name="_Toc75528217"/>
      <w:bookmarkStart w:id="48" w:name="_Toc75952881"/>
      <w:bookmarkStart w:id="49" w:name="_Toc78186445"/>
      <w:r w:rsidRPr="00A4017D">
        <w:t>Overview of the Misuse of Drugs Act 1975</w:t>
      </w:r>
      <w:bookmarkEnd w:id="46"/>
      <w:bookmarkEnd w:id="47"/>
      <w:bookmarkEnd w:id="48"/>
      <w:bookmarkEnd w:id="49"/>
    </w:p>
    <w:p w14:paraId="780EAB31" w14:textId="3A06CC64" w:rsidR="00200BD3" w:rsidRPr="009D10C1" w:rsidRDefault="00A63B1C" w:rsidP="00200BD3">
      <w:pPr>
        <w:pStyle w:val="CommentText"/>
        <w:textAlignment w:val="baseline"/>
        <w:rPr>
          <w:rStyle w:val="normaltextrun1"/>
          <w:sz w:val="22"/>
          <w:szCs w:val="22"/>
          <w:lang w:eastAsia="en-NZ"/>
        </w:rPr>
      </w:pPr>
      <w:r>
        <w:rPr>
          <w:rStyle w:val="normaltextrun1"/>
          <w:rFonts w:ascii="Calibri" w:eastAsia="Times New Roman" w:hAnsi="Calibri" w:cs="Calibri"/>
          <w:sz w:val="22"/>
          <w:szCs w:val="22"/>
          <w:lang w:eastAsia="en-NZ"/>
        </w:rPr>
        <w:t xml:space="preserve">Under </w:t>
      </w:r>
      <w:r w:rsidR="0004540E" w:rsidRPr="006B6CE4">
        <w:rPr>
          <w:rStyle w:val="normaltextrun1"/>
          <w:rFonts w:ascii="Calibri" w:eastAsia="Times New Roman" w:hAnsi="Calibri" w:cs="Calibri"/>
          <w:sz w:val="22"/>
          <w:szCs w:val="22"/>
          <w:lang w:eastAsia="en-NZ"/>
        </w:rPr>
        <w:t xml:space="preserve">MoDA </w:t>
      </w:r>
      <w:r>
        <w:rPr>
          <w:rStyle w:val="normaltextrun1"/>
          <w:rFonts w:ascii="Calibri" w:eastAsia="Times New Roman" w:hAnsi="Calibri" w:cs="Calibri"/>
          <w:sz w:val="22"/>
          <w:szCs w:val="22"/>
          <w:lang w:eastAsia="en-NZ"/>
        </w:rPr>
        <w:t>s</w:t>
      </w:r>
      <w:r w:rsidR="009D10C1" w:rsidRPr="009D10C1">
        <w:rPr>
          <w:rStyle w:val="normaltextrun1"/>
          <w:rFonts w:ascii="Calibri" w:eastAsia="Times New Roman" w:hAnsi="Calibri" w:cs="Calibri"/>
          <w:sz w:val="22"/>
          <w:szCs w:val="22"/>
          <w:lang w:eastAsia="en-NZ"/>
        </w:rPr>
        <w:t>ubstances are classified as controlled drugs in three schedules</w:t>
      </w:r>
      <w:r w:rsidR="00581266">
        <w:rPr>
          <w:rStyle w:val="normaltextrun1"/>
          <w:rFonts w:ascii="Calibri" w:eastAsia="Times New Roman" w:hAnsi="Calibri" w:cs="Calibri"/>
          <w:sz w:val="22"/>
          <w:szCs w:val="22"/>
          <w:lang w:eastAsia="en-NZ"/>
        </w:rPr>
        <w:t>,</w:t>
      </w:r>
      <w:r w:rsidR="009D10C1" w:rsidRPr="009D10C1">
        <w:rPr>
          <w:rStyle w:val="normaltextrun1"/>
          <w:rFonts w:ascii="Calibri" w:eastAsia="Times New Roman" w:hAnsi="Calibri" w:cs="Calibri"/>
          <w:sz w:val="22"/>
          <w:szCs w:val="22"/>
          <w:lang w:eastAsia="en-NZ"/>
        </w:rPr>
        <w:t xml:space="preserve"> according to the risk of harm</w:t>
      </w:r>
      <w:r>
        <w:rPr>
          <w:rStyle w:val="normaltextrun1"/>
          <w:rFonts w:ascii="Calibri" w:eastAsia="Times New Roman" w:hAnsi="Calibri" w:cs="Calibri"/>
          <w:sz w:val="22"/>
          <w:szCs w:val="22"/>
          <w:lang w:eastAsia="en-NZ"/>
        </w:rPr>
        <w:t xml:space="preserve"> </w:t>
      </w:r>
      <w:r w:rsidR="00812192">
        <w:rPr>
          <w:rStyle w:val="normaltextrun1"/>
          <w:rFonts w:ascii="Calibri" w:eastAsia="Times New Roman" w:hAnsi="Calibri" w:cs="Calibri"/>
          <w:sz w:val="22"/>
          <w:szCs w:val="22"/>
          <w:lang w:eastAsia="en-NZ"/>
        </w:rPr>
        <w:t xml:space="preserve">the drug poses </w:t>
      </w:r>
      <w:r>
        <w:rPr>
          <w:rStyle w:val="normaltextrun1"/>
          <w:rFonts w:ascii="Calibri" w:eastAsia="Times New Roman" w:hAnsi="Calibri" w:cs="Calibri"/>
          <w:sz w:val="22"/>
          <w:szCs w:val="22"/>
          <w:lang w:eastAsia="en-NZ"/>
        </w:rPr>
        <w:t xml:space="preserve">to </w:t>
      </w:r>
      <w:r w:rsidR="00C917A8">
        <w:rPr>
          <w:rStyle w:val="normaltextrun1"/>
          <w:rFonts w:ascii="Calibri" w:eastAsia="Times New Roman" w:hAnsi="Calibri" w:cs="Calibri"/>
          <w:sz w:val="22"/>
          <w:szCs w:val="22"/>
          <w:lang w:eastAsia="en-NZ"/>
        </w:rPr>
        <w:t>individuals</w:t>
      </w:r>
      <w:r w:rsidR="003F06BF">
        <w:rPr>
          <w:rStyle w:val="normaltextrun1"/>
          <w:rFonts w:ascii="Calibri" w:eastAsia="Times New Roman" w:hAnsi="Calibri" w:cs="Calibri"/>
          <w:sz w:val="22"/>
          <w:szCs w:val="22"/>
          <w:lang w:eastAsia="en-NZ"/>
        </w:rPr>
        <w:t xml:space="preserve"> or society</w:t>
      </w:r>
      <w:r w:rsidR="005876F5">
        <w:rPr>
          <w:rStyle w:val="normaltextrun1"/>
          <w:rFonts w:ascii="Calibri" w:eastAsia="Times New Roman" w:hAnsi="Calibri" w:cs="Calibri"/>
          <w:sz w:val="22"/>
          <w:szCs w:val="22"/>
          <w:lang w:eastAsia="en-NZ"/>
        </w:rPr>
        <w:t xml:space="preserve"> </w:t>
      </w:r>
      <w:r w:rsidR="00C917A8">
        <w:rPr>
          <w:rStyle w:val="normaltextrun1"/>
          <w:rFonts w:ascii="Calibri" w:eastAsia="Times New Roman" w:hAnsi="Calibri" w:cs="Calibri"/>
          <w:sz w:val="22"/>
          <w:szCs w:val="22"/>
          <w:lang w:eastAsia="en-NZ"/>
        </w:rPr>
        <w:t xml:space="preserve">by </w:t>
      </w:r>
      <w:r w:rsidR="00577EA2">
        <w:rPr>
          <w:rStyle w:val="normaltextrun1"/>
          <w:rFonts w:ascii="Calibri" w:eastAsia="Times New Roman" w:hAnsi="Calibri" w:cs="Calibri"/>
          <w:sz w:val="22"/>
          <w:szCs w:val="22"/>
          <w:lang w:eastAsia="en-NZ"/>
        </w:rPr>
        <w:t xml:space="preserve">its </w:t>
      </w:r>
      <w:r>
        <w:rPr>
          <w:rStyle w:val="normaltextrun1"/>
          <w:rFonts w:ascii="Calibri" w:eastAsia="Times New Roman" w:hAnsi="Calibri" w:cs="Calibri"/>
          <w:sz w:val="22"/>
          <w:szCs w:val="22"/>
          <w:lang w:eastAsia="en-NZ"/>
        </w:rPr>
        <w:t>misu</w:t>
      </w:r>
      <w:r w:rsidR="00E75E3D">
        <w:rPr>
          <w:rStyle w:val="normaltextrun1"/>
          <w:rFonts w:ascii="Calibri" w:eastAsia="Times New Roman" w:hAnsi="Calibri" w:cs="Calibri"/>
          <w:sz w:val="22"/>
          <w:szCs w:val="22"/>
          <w:lang w:eastAsia="en-NZ"/>
        </w:rPr>
        <w:t>se</w:t>
      </w:r>
      <w:r w:rsidR="00CB4163">
        <w:rPr>
          <w:rStyle w:val="normaltextrun1"/>
          <w:rFonts w:ascii="Calibri" w:eastAsia="Times New Roman" w:hAnsi="Calibri" w:cs="Calibri"/>
          <w:sz w:val="22"/>
          <w:szCs w:val="22"/>
          <w:lang w:eastAsia="en-NZ"/>
        </w:rPr>
        <w:t xml:space="preserve">. </w:t>
      </w:r>
      <w:r w:rsidR="00200BD3" w:rsidRPr="36F57F34">
        <w:rPr>
          <w:rStyle w:val="normaltextrun1"/>
          <w:rFonts w:ascii="Calibri" w:eastAsia="Times New Roman" w:hAnsi="Calibri" w:cs="Calibri"/>
          <w:sz w:val="22"/>
          <w:szCs w:val="22"/>
          <w:lang w:eastAsia="en-NZ"/>
        </w:rPr>
        <w:t xml:space="preserve">The classification of a </w:t>
      </w:r>
      <w:r w:rsidR="00CD7DBF">
        <w:rPr>
          <w:rStyle w:val="normaltextrun1"/>
          <w:rFonts w:ascii="Calibri" w:eastAsia="Times New Roman" w:hAnsi="Calibri" w:cs="Calibri"/>
          <w:sz w:val="22"/>
          <w:szCs w:val="22"/>
          <w:lang w:eastAsia="en-NZ"/>
        </w:rPr>
        <w:t xml:space="preserve">controlled </w:t>
      </w:r>
      <w:r w:rsidR="00200BD3" w:rsidRPr="36F57F34">
        <w:rPr>
          <w:rStyle w:val="normaltextrun1"/>
          <w:rFonts w:ascii="Calibri" w:eastAsia="Times New Roman" w:hAnsi="Calibri" w:cs="Calibri"/>
          <w:sz w:val="22"/>
          <w:szCs w:val="22"/>
          <w:lang w:eastAsia="en-NZ"/>
        </w:rPr>
        <w:t xml:space="preserve">drug </w:t>
      </w:r>
      <w:r w:rsidR="00CD7DBF">
        <w:rPr>
          <w:rStyle w:val="normaltextrun1"/>
          <w:rFonts w:ascii="Calibri" w:eastAsia="Times New Roman" w:hAnsi="Calibri" w:cs="Calibri"/>
          <w:sz w:val="22"/>
          <w:szCs w:val="22"/>
          <w:lang w:eastAsia="en-NZ"/>
        </w:rPr>
        <w:t xml:space="preserve">means that there are rules for </w:t>
      </w:r>
      <w:r w:rsidR="00200BD3" w:rsidRPr="36F57F34">
        <w:rPr>
          <w:rStyle w:val="normaltextrun1"/>
          <w:rFonts w:ascii="Calibri" w:eastAsia="Times New Roman" w:hAnsi="Calibri" w:cs="Calibri"/>
          <w:sz w:val="22"/>
          <w:szCs w:val="22"/>
          <w:lang w:eastAsia="en-NZ"/>
        </w:rPr>
        <w:t xml:space="preserve">people </w:t>
      </w:r>
      <w:r w:rsidR="00CD7DBF">
        <w:rPr>
          <w:rStyle w:val="normaltextrun1"/>
          <w:rFonts w:ascii="Calibri" w:eastAsia="Times New Roman" w:hAnsi="Calibri" w:cs="Calibri"/>
          <w:sz w:val="22"/>
          <w:szCs w:val="22"/>
          <w:lang w:eastAsia="en-NZ"/>
        </w:rPr>
        <w:t xml:space="preserve">producing, supplying, distributing, </w:t>
      </w:r>
      <w:r w:rsidR="00711614">
        <w:rPr>
          <w:rStyle w:val="normaltextrun1"/>
          <w:rFonts w:ascii="Calibri" w:eastAsia="Times New Roman" w:hAnsi="Calibri" w:cs="Calibri"/>
          <w:sz w:val="22"/>
          <w:szCs w:val="22"/>
          <w:lang w:eastAsia="en-NZ"/>
        </w:rPr>
        <w:t>possessing</w:t>
      </w:r>
      <w:r w:rsidR="00CD7DBF">
        <w:rPr>
          <w:rStyle w:val="normaltextrun1"/>
          <w:rFonts w:ascii="Calibri" w:eastAsia="Times New Roman" w:hAnsi="Calibri" w:cs="Calibri"/>
          <w:sz w:val="22"/>
          <w:szCs w:val="22"/>
          <w:lang w:eastAsia="en-NZ"/>
        </w:rPr>
        <w:t xml:space="preserve"> and using </w:t>
      </w:r>
      <w:r w:rsidR="00200BD3" w:rsidRPr="36F57F34">
        <w:rPr>
          <w:rStyle w:val="normaltextrun1"/>
          <w:rFonts w:ascii="Calibri" w:eastAsia="Times New Roman" w:hAnsi="Calibri" w:cs="Calibri"/>
          <w:sz w:val="22"/>
          <w:szCs w:val="22"/>
          <w:lang w:eastAsia="en-NZ"/>
        </w:rPr>
        <w:t>these</w:t>
      </w:r>
      <w:r w:rsidR="00CD7DBF">
        <w:rPr>
          <w:rStyle w:val="normaltextrun1"/>
          <w:rFonts w:ascii="Calibri" w:eastAsia="Times New Roman" w:hAnsi="Calibri" w:cs="Calibri"/>
          <w:sz w:val="22"/>
          <w:szCs w:val="22"/>
          <w:lang w:eastAsia="en-NZ"/>
        </w:rPr>
        <w:t xml:space="preserve"> substances. </w:t>
      </w:r>
      <w:r w:rsidR="00200BD3" w:rsidRPr="36F57F34">
        <w:rPr>
          <w:rStyle w:val="normaltextrun1"/>
          <w:rFonts w:ascii="Calibri" w:eastAsia="Times New Roman" w:hAnsi="Calibri" w:cs="Calibri"/>
          <w:sz w:val="22"/>
          <w:szCs w:val="22"/>
          <w:lang w:eastAsia="en-NZ"/>
        </w:rPr>
        <w:t>The</w:t>
      </w:r>
      <w:r w:rsidR="00636E94">
        <w:rPr>
          <w:rStyle w:val="normaltextrun1"/>
          <w:rFonts w:ascii="Calibri" w:eastAsia="Times New Roman" w:hAnsi="Calibri" w:cs="Calibri"/>
          <w:sz w:val="22"/>
          <w:szCs w:val="22"/>
          <w:lang w:eastAsia="en-NZ"/>
        </w:rPr>
        <w:t xml:space="preserve"> schedules</w:t>
      </w:r>
      <w:r w:rsidR="00200BD3" w:rsidRPr="36F57F34">
        <w:rPr>
          <w:rStyle w:val="normaltextrun1"/>
          <w:rFonts w:ascii="Calibri" w:eastAsia="Times New Roman" w:hAnsi="Calibri" w:cs="Calibri"/>
          <w:sz w:val="22"/>
          <w:szCs w:val="22"/>
          <w:lang w:eastAsia="en-NZ"/>
        </w:rPr>
        <w:t xml:space="preserve"> are:</w:t>
      </w:r>
    </w:p>
    <w:p w14:paraId="65CA7E45" w14:textId="0C2278EF" w:rsidR="00200BD3" w:rsidRPr="009D10C1" w:rsidRDefault="009D10C1" w:rsidP="00B603EC">
      <w:pPr>
        <w:pStyle w:val="CommentText"/>
        <w:numPr>
          <w:ilvl w:val="0"/>
          <w:numId w:val="7"/>
        </w:numPr>
        <w:ind w:hanging="720"/>
        <w:textAlignment w:val="baseline"/>
        <w:rPr>
          <w:rStyle w:val="normaltextrun1"/>
          <w:sz w:val="22"/>
          <w:szCs w:val="22"/>
          <w:lang w:eastAsia="en-NZ"/>
        </w:rPr>
      </w:pPr>
      <w:r w:rsidRPr="00C678AC">
        <w:rPr>
          <w:rStyle w:val="normaltextrun1"/>
          <w:rFonts w:ascii="Calibri" w:eastAsia="Times New Roman" w:hAnsi="Calibri" w:cs="Calibri"/>
          <w:b/>
          <w:sz w:val="22"/>
          <w:szCs w:val="22"/>
          <w:lang w:eastAsia="en-NZ"/>
        </w:rPr>
        <w:t xml:space="preserve">Schedule 1 (Class A) </w:t>
      </w:r>
      <w:r w:rsidRPr="009D10C1">
        <w:rPr>
          <w:rStyle w:val="normaltextrun1"/>
          <w:rFonts w:ascii="Calibri" w:eastAsia="Times New Roman" w:hAnsi="Calibri" w:cs="Calibri"/>
          <w:sz w:val="22"/>
          <w:szCs w:val="22"/>
          <w:lang w:eastAsia="en-NZ"/>
        </w:rPr>
        <w:t>are considered to pose a very high risk of harm</w:t>
      </w:r>
    </w:p>
    <w:p w14:paraId="245B067E" w14:textId="77777777" w:rsidR="00200BD3" w:rsidRPr="009D10C1" w:rsidRDefault="009D10C1" w:rsidP="00B603EC">
      <w:pPr>
        <w:pStyle w:val="CommentText"/>
        <w:numPr>
          <w:ilvl w:val="0"/>
          <w:numId w:val="7"/>
        </w:numPr>
        <w:ind w:hanging="720"/>
        <w:textAlignment w:val="baseline"/>
        <w:rPr>
          <w:rStyle w:val="normaltextrun1"/>
          <w:sz w:val="22"/>
          <w:szCs w:val="22"/>
          <w:lang w:eastAsia="en-NZ"/>
        </w:rPr>
      </w:pPr>
      <w:r w:rsidRPr="00C678AC">
        <w:rPr>
          <w:rStyle w:val="normaltextrun1"/>
          <w:rFonts w:ascii="Calibri" w:eastAsia="Times New Roman" w:hAnsi="Calibri" w:cs="Calibri"/>
          <w:b/>
          <w:sz w:val="22"/>
          <w:szCs w:val="22"/>
          <w:lang w:eastAsia="en-NZ"/>
        </w:rPr>
        <w:t>Schedule 2 (Class B)</w:t>
      </w:r>
      <w:r w:rsidRPr="009D10C1">
        <w:rPr>
          <w:rStyle w:val="normaltextrun1"/>
          <w:rFonts w:ascii="Calibri" w:eastAsia="Times New Roman" w:hAnsi="Calibri" w:cs="Calibri"/>
          <w:sz w:val="22"/>
          <w:szCs w:val="22"/>
          <w:lang w:eastAsia="en-NZ"/>
        </w:rPr>
        <w:t xml:space="preserve"> a high risk of harm, and </w:t>
      </w:r>
    </w:p>
    <w:p w14:paraId="5314D90D" w14:textId="21862418" w:rsidR="00200BD3" w:rsidRPr="009D10C1" w:rsidRDefault="009D10C1" w:rsidP="00B603EC">
      <w:pPr>
        <w:pStyle w:val="CommentText"/>
        <w:numPr>
          <w:ilvl w:val="0"/>
          <w:numId w:val="7"/>
        </w:numPr>
        <w:ind w:hanging="720"/>
        <w:textAlignment w:val="baseline"/>
        <w:rPr>
          <w:rStyle w:val="normaltextrun1"/>
          <w:sz w:val="22"/>
          <w:szCs w:val="22"/>
          <w:lang w:eastAsia="en-NZ"/>
        </w:rPr>
      </w:pPr>
      <w:r w:rsidRPr="00C678AC">
        <w:rPr>
          <w:rStyle w:val="normaltextrun1"/>
          <w:rFonts w:ascii="Calibri" w:eastAsia="Times New Roman" w:hAnsi="Calibri" w:cs="Calibri"/>
          <w:b/>
          <w:sz w:val="22"/>
          <w:szCs w:val="22"/>
          <w:lang w:eastAsia="en-NZ"/>
        </w:rPr>
        <w:t>Schedule 3 (Class C)</w:t>
      </w:r>
      <w:r w:rsidRPr="009D10C1">
        <w:rPr>
          <w:rStyle w:val="normaltextrun1"/>
          <w:rFonts w:ascii="Calibri" w:eastAsia="Times New Roman" w:hAnsi="Calibri" w:cs="Calibri"/>
          <w:sz w:val="22"/>
          <w:szCs w:val="22"/>
          <w:lang w:eastAsia="en-NZ"/>
        </w:rPr>
        <w:t xml:space="preserve"> a moderate risk of harm  </w:t>
      </w:r>
    </w:p>
    <w:p w14:paraId="61D7BA49" w14:textId="6370A74E" w:rsidR="00200BD3" w:rsidRPr="009D10C1" w:rsidRDefault="00200BD3" w:rsidP="00B603EC">
      <w:pPr>
        <w:pStyle w:val="CommentText"/>
        <w:numPr>
          <w:ilvl w:val="0"/>
          <w:numId w:val="7"/>
        </w:numPr>
        <w:ind w:hanging="720"/>
        <w:textAlignment w:val="baseline"/>
        <w:rPr>
          <w:rStyle w:val="normaltextrun1"/>
          <w:sz w:val="22"/>
          <w:szCs w:val="22"/>
          <w:lang w:eastAsia="en-NZ"/>
        </w:rPr>
      </w:pPr>
      <w:r w:rsidRPr="36F57F34">
        <w:rPr>
          <w:rStyle w:val="normaltextrun1"/>
          <w:rFonts w:ascii="Calibri" w:eastAsia="Times New Roman" w:hAnsi="Calibri" w:cs="Calibri"/>
          <w:sz w:val="22"/>
          <w:szCs w:val="22"/>
          <w:lang w:eastAsia="en-NZ"/>
        </w:rPr>
        <w:t xml:space="preserve">There is also </w:t>
      </w:r>
      <w:r w:rsidRPr="00C678AC">
        <w:rPr>
          <w:rStyle w:val="normaltextrun1"/>
          <w:rFonts w:ascii="Calibri" w:eastAsia="Times New Roman" w:hAnsi="Calibri" w:cs="Calibri"/>
          <w:b/>
          <w:bCs/>
          <w:sz w:val="22"/>
          <w:szCs w:val="22"/>
          <w:lang w:eastAsia="en-NZ"/>
        </w:rPr>
        <w:t>Schedule 4</w:t>
      </w:r>
      <w:r w:rsidRPr="36F57F34">
        <w:rPr>
          <w:rStyle w:val="normaltextrun1"/>
          <w:rFonts w:ascii="Calibri" w:eastAsia="Times New Roman" w:hAnsi="Calibri" w:cs="Calibri"/>
          <w:sz w:val="22"/>
          <w:szCs w:val="22"/>
          <w:lang w:eastAsia="en-NZ"/>
        </w:rPr>
        <w:t xml:space="preserve"> which includes precursor substances commonly used as ingredients in the manufacture of illegal substances.  </w:t>
      </w:r>
    </w:p>
    <w:p w14:paraId="2C12784F" w14:textId="7DDB5A57" w:rsidR="00200BD3" w:rsidRDefault="00200BD3" w:rsidP="00200BD3">
      <w:pPr>
        <w:pStyle w:val="CommentText"/>
        <w:textAlignment w:val="baseline"/>
        <w:rPr>
          <w:rStyle w:val="normaltextrun1"/>
          <w:rFonts w:ascii="Calibri" w:eastAsia="Times New Roman" w:hAnsi="Calibri" w:cs="Calibri"/>
          <w:sz w:val="22"/>
          <w:szCs w:val="22"/>
          <w:lang w:eastAsia="en-NZ"/>
        </w:rPr>
      </w:pPr>
      <w:r w:rsidRPr="36F57F34">
        <w:rPr>
          <w:rStyle w:val="normaltextrun1"/>
          <w:rFonts w:ascii="Calibri" w:eastAsia="Times New Roman" w:hAnsi="Calibri" w:cs="Calibri"/>
          <w:sz w:val="22"/>
          <w:szCs w:val="22"/>
          <w:lang w:eastAsia="en-NZ"/>
        </w:rPr>
        <w:t xml:space="preserve">Once drugs </w:t>
      </w:r>
      <w:r w:rsidR="00386A8B">
        <w:rPr>
          <w:rStyle w:val="normaltextrun1"/>
          <w:rFonts w:ascii="Calibri" w:eastAsia="Times New Roman" w:hAnsi="Calibri" w:cs="Calibri"/>
          <w:sz w:val="22"/>
          <w:szCs w:val="22"/>
          <w:lang w:eastAsia="en-NZ"/>
        </w:rPr>
        <w:t xml:space="preserve">are classified </w:t>
      </w:r>
      <w:r w:rsidRPr="36F57F34">
        <w:rPr>
          <w:rStyle w:val="normaltextrun1"/>
          <w:rFonts w:ascii="Calibri" w:eastAsia="Times New Roman" w:hAnsi="Calibri" w:cs="Calibri"/>
          <w:sz w:val="22"/>
          <w:szCs w:val="22"/>
          <w:lang w:eastAsia="en-NZ"/>
        </w:rPr>
        <w:t>under MoDA, people may be prosecuted for possessing, using, importing, manufacturing, supplying and administering the controlled drugs. There are more severe penalties for substances</w:t>
      </w:r>
      <w:r w:rsidR="00F814F5">
        <w:rPr>
          <w:rStyle w:val="normaltextrun1"/>
          <w:rFonts w:ascii="Calibri" w:eastAsia="Times New Roman" w:hAnsi="Calibri" w:cs="Calibri"/>
          <w:sz w:val="22"/>
          <w:szCs w:val="22"/>
          <w:lang w:eastAsia="en-NZ"/>
        </w:rPr>
        <w:t xml:space="preserve"> in the higher schedules</w:t>
      </w:r>
      <w:r w:rsidRPr="36F57F34">
        <w:rPr>
          <w:rStyle w:val="normaltextrun1"/>
          <w:rFonts w:ascii="Calibri" w:eastAsia="Times New Roman" w:hAnsi="Calibri" w:cs="Calibri"/>
          <w:sz w:val="22"/>
          <w:szCs w:val="22"/>
          <w:lang w:eastAsia="en-NZ"/>
        </w:rPr>
        <w:t xml:space="preserve">. Once a substance is classified as a controlled drug, Police and </w:t>
      </w:r>
      <w:r w:rsidR="003712B4">
        <w:rPr>
          <w:rStyle w:val="normaltextrun1"/>
          <w:rFonts w:ascii="Calibri" w:eastAsia="Times New Roman" w:hAnsi="Calibri" w:cs="Calibri"/>
          <w:sz w:val="22"/>
          <w:szCs w:val="22"/>
          <w:lang w:eastAsia="en-NZ"/>
        </w:rPr>
        <w:t xml:space="preserve">the New Zealand </w:t>
      </w:r>
      <w:r w:rsidRPr="36F57F34">
        <w:rPr>
          <w:rStyle w:val="normaltextrun1"/>
          <w:rFonts w:ascii="Calibri" w:eastAsia="Times New Roman" w:hAnsi="Calibri" w:cs="Calibri"/>
          <w:sz w:val="22"/>
          <w:szCs w:val="22"/>
          <w:lang w:eastAsia="en-NZ"/>
        </w:rPr>
        <w:t xml:space="preserve">Customs </w:t>
      </w:r>
      <w:r w:rsidR="003712B4">
        <w:rPr>
          <w:rStyle w:val="normaltextrun1"/>
          <w:rFonts w:ascii="Calibri" w:eastAsia="Times New Roman" w:hAnsi="Calibri" w:cs="Calibri"/>
          <w:sz w:val="22"/>
          <w:szCs w:val="22"/>
          <w:lang w:eastAsia="en-NZ"/>
        </w:rPr>
        <w:t xml:space="preserve">Service (Customs) </w:t>
      </w:r>
      <w:r w:rsidRPr="36F57F34">
        <w:rPr>
          <w:rStyle w:val="normaltextrun1"/>
          <w:rFonts w:ascii="Calibri" w:eastAsia="Times New Roman" w:hAnsi="Calibri" w:cs="Calibri"/>
          <w:sz w:val="22"/>
          <w:szCs w:val="22"/>
          <w:lang w:eastAsia="en-NZ"/>
        </w:rPr>
        <w:t xml:space="preserve">are also able to invoke search and seizure powers under the Search and Surveillance Act 2012 to disrupt supply and reduce the availability of the substances </w:t>
      </w:r>
      <w:r w:rsidRPr="36F57F34">
        <w:rPr>
          <w:rStyle w:val="normaltextrun1"/>
          <w:rFonts w:ascii="Calibri" w:eastAsia="Times New Roman" w:hAnsi="Calibri" w:cs="Calibri"/>
          <w:sz w:val="22"/>
          <w:szCs w:val="22"/>
          <w:lang w:eastAsia="en-NZ"/>
        </w:rPr>
        <w:lastRenderedPageBreak/>
        <w:t xml:space="preserve">to people who use or misuse them harmfully.  There are some exemptions under MoDA, for example to allow medical and other health practitioners to prescribe, manufacture, supply or administer controlled drugs which are also medicines. </w:t>
      </w:r>
    </w:p>
    <w:p w14:paraId="559A270D" w14:textId="77777777" w:rsidR="00003CCC" w:rsidRPr="007713AD" w:rsidRDefault="00003CCC" w:rsidP="003E2AEA">
      <w:pPr>
        <w:pStyle w:val="Heading3"/>
        <w:rPr>
          <w:rStyle w:val="normaltextrun1"/>
        </w:rPr>
      </w:pPr>
      <w:bookmarkStart w:id="50" w:name="_Toc74572641"/>
      <w:bookmarkStart w:id="51" w:name="_Toc75528218"/>
      <w:bookmarkStart w:id="52" w:name="_Toc75952882"/>
      <w:bookmarkStart w:id="53" w:name="_Toc78186446"/>
      <w:bookmarkStart w:id="54" w:name="_Toc74572643"/>
      <w:r w:rsidRPr="00064C58">
        <w:rPr>
          <w:rStyle w:val="normaltextrun1"/>
        </w:rPr>
        <w:t xml:space="preserve">Classification of </w:t>
      </w:r>
      <w:r w:rsidRPr="007713AD">
        <w:rPr>
          <w:rStyle w:val="normaltextrun1"/>
        </w:rPr>
        <w:t>substances</w:t>
      </w:r>
      <w:bookmarkEnd w:id="50"/>
      <w:bookmarkEnd w:id="51"/>
      <w:bookmarkEnd w:id="52"/>
      <w:bookmarkEnd w:id="53"/>
      <w:r w:rsidRPr="007713AD">
        <w:rPr>
          <w:rStyle w:val="normaltextrun1"/>
        </w:rPr>
        <w:t xml:space="preserve"> </w:t>
      </w:r>
    </w:p>
    <w:p w14:paraId="15D8FA43" w14:textId="688FDD54" w:rsidR="00003CCC" w:rsidRDefault="00003CCC" w:rsidP="00003CCC">
      <w:pPr>
        <w:pStyle w:val="CommentText"/>
        <w:textAlignment w:val="baseline"/>
        <w:rPr>
          <w:rStyle w:val="normaltextrun1"/>
          <w:sz w:val="22"/>
          <w:szCs w:val="22"/>
          <w:lang w:eastAsia="en-NZ"/>
        </w:rPr>
      </w:pPr>
      <w:r>
        <w:rPr>
          <w:rStyle w:val="normaltextrun1"/>
          <w:sz w:val="22"/>
          <w:szCs w:val="22"/>
          <w:lang w:eastAsia="en-NZ"/>
        </w:rPr>
        <w:t xml:space="preserve">In the early 2000s new kinds of recreational drugs began arriving in New Zealand. Psychoactive products known as party pills, herbal highs, energy pills and synthetic cannabinoids containing no illegal substances were being sold in dairies and bottle stores. These substances were unregulated and very accessible, sold mostly through retail outlets.  This resulted in many products being sold which had a wide variety of active chemicals and concentrations, some of which caused harmful side effects, with reports of serious side effects including aggression, psychosis, and seizures. </w:t>
      </w:r>
    </w:p>
    <w:p w14:paraId="40059C54" w14:textId="21FE6A06" w:rsidR="00003CCC" w:rsidRDefault="00003CCC" w:rsidP="00003CCC">
      <w:pPr>
        <w:pStyle w:val="CommentText"/>
        <w:textAlignment w:val="baseline"/>
        <w:rPr>
          <w:rStyle w:val="normaltextrun1"/>
          <w:sz w:val="22"/>
          <w:szCs w:val="22"/>
          <w:lang w:eastAsia="en-NZ"/>
        </w:rPr>
      </w:pPr>
      <w:r>
        <w:rPr>
          <w:rStyle w:val="normaltextrun1"/>
          <w:sz w:val="22"/>
          <w:szCs w:val="22"/>
          <w:lang w:eastAsia="en-NZ"/>
        </w:rPr>
        <w:t xml:space="preserve">At that time, the classification process under MoDA was onerous and unsuited to the rapid emergence of </w:t>
      </w:r>
      <w:r w:rsidR="00B90818">
        <w:rPr>
          <w:rStyle w:val="normaltextrun1"/>
          <w:sz w:val="22"/>
          <w:szCs w:val="22"/>
          <w:lang w:eastAsia="en-NZ"/>
        </w:rPr>
        <w:t xml:space="preserve">new </w:t>
      </w:r>
      <w:r>
        <w:rPr>
          <w:rStyle w:val="normaltextrun1"/>
          <w:sz w:val="22"/>
          <w:szCs w:val="22"/>
          <w:lang w:eastAsia="en-NZ"/>
        </w:rPr>
        <w:t>psychoactive substances. In response</w:t>
      </w:r>
      <w:r w:rsidR="00F814F5">
        <w:rPr>
          <w:rStyle w:val="normaltextrun1"/>
          <w:sz w:val="22"/>
          <w:szCs w:val="22"/>
          <w:lang w:eastAsia="en-NZ"/>
        </w:rPr>
        <w:t xml:space="preserve"> to the quickly evolving recreational drug scene and the potential harms associated with it</w:t>
      </w:r>
      <w:r>
        <w:rPr>
          <w:rStyle w:val="normaltextrun1"/>
          <w:sz w:val="22"/>
          <w:szCs w:val="22"/>
          <w:lang w:eastAsia="en-NZ"/>
        </w:rPr>
        <w:t>, the Ministry created a 2011 amendment to MoDA that allowed for temporary class drug notices to be issued. These notices prohibited import, manufacture, sale and supply of substances listed by notice in the Gazette. These notices were an interim measur</w:t>
      </w:r>
      <w:r w:rsidR="003F43D6">
        <w:rPr>
          <w:rStyle w:val="normaltextrun1"/>
          <w:sz w:val="22"/>
          <w:szCs w:val="22"/>
          <w:lang w:eastAsia="en-NZ"/>
        </w:rPr>
        <w:t xml:space="preserve">e </w:t>
      </w:r>
      <w:r w:rsidR="003834CB">
        <w:rPr>
          <w:rStyle w:val="normaltextrun1"/>
          <w:sz w:val="22"/>
          <w:szCs w:val="22"/>
          <w:lang w:eastAsia="en-NZ"/>
        </w:rPr>
        <w:t>while</w:t>
      </w:r>
      <w:r>
        <w:rPr>
          <w:rStyle w:val="normaltextrun1"/>
          <w:sz w:val="22"/>
          <w:szCs w:val="22"/>
          <w:lang w:eastAsia="en-NZ"/>
        </w:rPr>
        <w:t xml:space="preserve"> </w:t>
      </w:r>
      <w:r w:rsidR="00F814F5">
        <w:rPr>
          <w:rStyle w:val="normaltextrun1"/>
          <w:sz w:val="22"/>
          <w:szCs w:val="22"/>
          <w:lang w:eastAsia="en-NZ"/>
        </w:rPr>
        <w:t>the</w:t>
      </w:r>
      <w:r>
        <w:rPr>
          <w:rStyle w:val="normaltextrun1"/>
          <w:sz w:val="22"/>
          <w:szCs w:val="22"/>
          <w:lang w:eastAsia="en-NZ"/>
        </w:rPr>
        <w:t xml:space="preserve"> substances were assessed by an expert committee and decisions were being made about their appropriate ongoing scheduling. By July 2013, 22 compounds were the subject of notices. Newly introduced substances were frequently found to be more harmful than the products they replaced. </w:t>
      </w:r>
    </w:p>
    <w:p w14:paraId="65E18223" w14:textId="52DBA5E8" w:rsidR="00CC6750" w:rsidRDefault="00CC6750" w:rsidP="00CC6750">
      <w:pPr>
        <w:pStyle w:val="CommentText"/>
        <w:textAlignment w:val="baseline"/>
        <w:rPr>
          <w:rStyle w:val="normaltextrun1"/>
          <w:sz w:val="22"/>
          <w:szCs w:val="22"/>
        </w:rPr>
      </w:pPr>
      <w:r>
        <w:rPr>
          <w:rStyle w:val="normaltextrun1"/>
          <w:sz w:val="22"/>
          <w:szCs w:val="22"/>
          <w:lang w:eastAsia="en-NZ"/>
        </w:rPr>
        <w:t>While the intent of the temporary class drug notices was to provide emergency restrictions capable of mitigating suspected safety issues related to new substances, they did not alleviate the procedural issues involved with scheduling under MoDA. As a result, provisions relating to these notices were repealed by the Psychoactive Substances Act 2013 which takes a more proactive approach to psychoactive substances.</w:t>
      </w:r>
    </w:p>
    <w:p w14:paraId="6ADA1783" w14:textId="77777777" w:rsidR="00A5523F" w:rsidRDefault="00CC6750" w:rsidP="00CC6750">
      <w:pPr>
        <w:pStyle w:val="CommentText"/>
        <w:textAlignment w:val="baseline"/>
        <w:rPr>
          <w:rStyle w:val="normaltextrun1"/>
          <w:rFonts w:ascii="Calibri" w:hAnsi="Calibri" w:cs="Calibri"/>
          <w:sz w:val="22"/>
          <w:szCs w:val="22"/>
          <w:lang w:eastAsia="en-NZ"/>
        </w:rPr>
      </w:pPr>
      <w:r w:rsidRPr="36F57F34">
        <w:rPr>
          <w:rStyle w:val="normaltextrun1"/>
          <w:rFonts w:ascii="Calibri" w:eastAsia="Times New Roman" w:hAnsi="Calibri" w:cs="Calibri"/>
          <w:sz w:val="22"/>
          <w:szCs w:val="22"/>
          <w:lang w:eastAsia="en-NZ"/>
        </w:rPr>
        <w:t xml:space="preserve">The </w:t>
      </w:r>
      <w:r>
        <w:rPr>
          <w:rStyle w:val="normaltextrun1"/>
          <w:rFonts w:ascii="Calibri" w:eastAsia="Times New Roman" w:hAnsi="Calibri" w:cs="Calibri"/>
          <w:sz w:val="22"/>
          <w:szCs w:val="22"/>
          <w:lang w:eastAsia="en-NZ"/>
        </w:rPr>
        <w:t xml:space="preserve">purpose of the </w:t>
      </w:r>
      <w:r w:rsidRPr="36F57F34">
        <w:rPr>
          <w:rStyle w:val="normaltextrun1"/>
          <w:rFonts w:ascii="Calibri" w:eastAsia="Times New Roman" w:hAnsi="Calibri" w:cs="Calibri"/>
          <w:sz w:val="22"/>
          <w:szCs w:val="22"/>
          <w:lang w:eastAsia="en-NZ"/>
        </w:rPr>
        <w:t xml:space="preserve">Psychoactive Substances Act 2013 </w:t>
      </w:r>
      <w:r>
        <w:rPr>
          <w:rFonts w:ascii="Arial" w:hAnsi="Arial" w:cs="Arial"/>
          <w:color w:val="002639"/>
          <w:lang w:val="en"/>
        </w:rPr>
        <w:t xml:space="preserve">is </w:t>
      </w:r>
      <w:r w:rsidRPr="009B689B">
        <w:rPr>
          <w:rStyle w:val="normaltextrun1"/>
          <w:rFonts w:ascii="Calibri" w:eastAsia="Times New Roman" w:hAnsi="Calibri" w:cs="Calibri"/>
          <w:sz w:val="22"/>
          <w:szCs w:val="22"/>
          <w:lang w:eastAsia="en-NZ"/>
        </w:rPr>
        <w:t>to regulate the availability of psychoactive substances in New Zealand to protect the health of, and minimise harm to, individuals who use psychoactive substances.</w:t>
      </w:r>
      <w:r>
        <w:rPr>
          <w:rStyle w:val="normaltextrun1"/>
          <w:rFonts w:ascii="Calibri" w:eastAsia="Times New Roman" w:hAnsi="Calibri" w:cs="Calibri"/>
          <w:sz w:val="22"/>
          <w:szCs w:val="22"/>
          <w:lang w:eastAsia="en-NZ"/>
        </w:rPr>
        <w:t xml:space="preserve"> </w:t>
      </w:r>
      <w:r w:rsidRPr="0044309C">
        <w:rPr>
          <w:rStyle w:val="normaltextrun1"/>
          <w:rFonts w:ascii="Calibri" w:hAnsi="Calibri" w:cs="Calibri"/>
          <w:sz w:val="22"/>
          <w:szCs w:val="22"/>
          <w:lang w:eastAsia="en-NZ"/>
        </w:rPr>
        <w:t>This Act shifted the burden of proof</w:t>
      </w:r>
      <w:r>
        <w:rPr>
          <w:rStyle w:val="normaltextrun1"/>
          <w:rFonts w:ascii="Calibri" w:hAnsi="Calibri" w:cs="Calibri"/>
          <w:sz w:val="22"/>
          <w:szCs w:val="22"/>
          <w:lang w:eastAsia="en-NZ"/>
        </w:rPr>
        <w:t xml:space="preserve"> from the government needing to demonstrate the harms associated with a substance before it could be regulated, to the manufacturer needing to demonstrate the substance poses no more than a low risk of harm before it can be distributed for personal use. </w:t>
      </w:r>
    </w:p>
    <w:p w14:paraId="174A6A02" w14:textId="14ED336A" w:rsidR="00CC6750" w:rsidRDefault="00CC6750" w:rsidP="00CC6750">
      <w:pPr>
        <w:pStyle w:val="CommentText"/>
        <w:textAlignment w:val="baseline"/>
        <w:rPr>
          <w:rStyle w:val="normaltextrun1"/>
          <w:sz w:val="22"/>
          <w:szCs w:val="22"/>
        </w:rPr>
      </w:pPr>
      <w:r>
        <w:rPr>
          <w:rStyle w:val="normaltextrun1"/>
          <w:rFonts w:ascii="Calibri" w:hAnsi="Calibri" w:cs="Calibri"/>
          <w:sz w:val="22"/>
          <w:szCs w:val="22"/>
          <w:lang w:eastAsia="en-NZ"/>
        </w:rPr>
        <w:t>The Psychoactive Substances Act introduced transition arrangements that allowed products that had been on the market for at least three months prior to enactment to be granted</w:t>
      </w:r>
      <w:r w:rsidRPr="0044309C">
        <w:rPr>
          <w:rStyle w:val="normaltextrun1"/>
          <w:rFonts w:ascii="Calibri" w:hAnsi="Calibri" w:cs="Calibri"/>
          <w:sz w:val="22"/>
          <w:szCs w:val="22"/>
          <w:lang w:eastAsia="en-NZ"/>
        </w:rPr>
        <w:t xml:space="preserve"> an interim licence </w:t>
      </w:r>
      <w:r>
        <w:rPr>
          <w:rStyle w:val="normaltextrun1"/>
          <w:rFonts w:ascii="Calibri" w:hAnsi="Calibri" w:cs="Calibri"/>
          <w:sz w:val="22"/>
          <w:szCs w:val="22"/>
          <w:lang w:eastAsia="en-NZ"/>
        </w:rPr>
        <w:t>on application. The interim period was intended to continue until regulations could be made that allowed applications for full licences to be made and described the information and evidence required to support those applications.</w:t>
      </w:r>
      <w:r w:rsidRPr="0044309C">
        <w:rPr>
          <w:rStyle w:val="normaltextrun1"/>
          <w:rFonts w:ascii="Calibri" w:hAnsi="Calibri" w:cs="Calibri"/>
          <w:sz w:val="22"/>
          <w:szCs w:val="22"/>
          <w:lang w:eastAsia="en-NZ"/>
        </w:rPr>
        <w:t xml:space="preserve"> However, before the interim period of the Act ended, amendments to the Act removed all interim approvals </w:t>
      </w:r>
      <w:r>
        <w:rPr>
          <w:rStyle w:val="normaltextrun1"/>
          <w:rFonts w:ascii="Calibri" w:hAnsi="Calibri" w:cs="Calibri"/>
          <w:sz w:val="22"/>
          <w:szCs w:val="22"/>
          <w:lang w:eastAsia="en-NZ"/>
        </w:rPr>
        <w:t>in response to increased harms being associated with the products</w:t>
      </w:r>
      <w:r w:rsidRPr="0044309C">
        <w:rPr>
          <w:rStyle w:val="normaltextrun1"/>
          <w:rFonts w:ascii="Calibri" w:hAnsi="Calibri" w:cs="Calibri"/>
          <w:sz w:val="22"/>
          <w:szCs w:val="22"/>
          <w:lang w:eastAsia="en-NZ"/>
        </w:rPr>
        <w:t xml:space="preserve">. </w:t>
      </w:r>
      <w:r w:rsidRPr="007131D4">
        <w:rPr>
          <w:rStyle w:val="normaltextrun1"/>
          <w:rFonts w:ascii="Calibri" w:hAnsi="Calibri" w:cs="Calibri"/>
          <w:sz w:val="22"/>
          <w:szCs w:val="22"/>
          <w:lang w:eastAsia="en-NZ"/>
        </w:rPr>
        <w:t>The</w:t>
      </w:r>
      <w:r>
        <w:rPr>
          <w:rStyle w:val="normaltextrun1"/>
          <w:rFonts w:ascii="Calibri" w:hAnsi="Calibri" w:cs="Calibri"/>
          <w:sz w:val="22"/>
          <w:szCs w:val="22"/>
          <w:lang w:eastAsia="en-NZ"/>
        </w:rPr>
        <w:t xml:space="preserve"> same Psychoactive Substances Act</w:t>
      </w:r>
      <w:r w:rsidRPr="007131D4">
        <w:rPr>
          <w:rStyle w:val="normaltextrun1"/>
          <w:rFonts w:ascii="Calibri" w:hAnsi="Calibri" w:cs="Calibri"/>
          <w:sz w:val="22"/>
          <w:szCs w:val="22"/>
          <w:lang w:eastAsia="en-NZ"/>
        </w:rPr>
        <w:t xml:space="preserve"> amendment also provided that the Psychoactive Substances Expert Advisory Committee can only consider the evidence from animal testing to ban a product, not to approve it. Therefore,</w:t>
      </w:r>
      <w:r>
        <w:rPr>
          <w:rStyle w:val="normaltextrun1"/>
          <w:rFonts w:ascii="Calibri" w:hAnsi="Calibri" w:cs="Calibri"/>
          <w:sz w:val="22"/>
          <w:szCs w:val="22"/>
          <w:lang w:eastAsia="en-NZ"/>
        </w:rPr>
        <w:t xml:space="preserve"> without appropriate alternatives to animal testing, no products can be approved and licensed under</w:t>
      </w:r>
      <w:r w:rsidRPr="007131D4">
        <w:rPr>
          <w:rStyle w:val="normaltextrun1"/>
          <w:rFonts w:ascii="Calibri" w:hAnsi="Calibri" w:cs="Calibri"/>
          <w:sz w:val="22"/>
          <w:szCs w:val="22"/>
          <w:lang w:eastAsia="en-NZ"/>
        </w:rPr>
        <w:t xml:space="preserve"> the Act</w:t>
      </w:r>
      <w:r>
        <w:rPr>
          <w:rStyle w:val="normaltextrun1"/>
          <w:rFonts w:ascii="Calibri" w:hAnsi="Calibri" w:cs="Calibri"/>
          <w:sz w:val="22"/>
          <w:szCs w:val="22"/>
          <w:lang w:eastAsia="en-NZ"/>
        </w:rPr>
        <w:t>.</w:t>
      </w:r>
      <w:r w:rsidRPr="007131D4">
        <w:rPr>
          <w:rStyle w:val="normaltextrun1"/>
          <w:rFonts w:ascii="Calibri" w:hAnsi="Calibri" w:cs="Calibri"/>
          <w:sz w:val="22"/>
          <w:szCs w:val="22"/>
          <w:lang w:eastAsia="en-NZ"/>
        </w:rPr>
        <w:t xml:space="preserve"> </w:t>
      </w:r>
      <w:r>
        <w:rPr>
          <w:rStyle w:val="normaltextrun1"/>
          <w:rFonts w:ascii="Calibri" w:hAnsi="Calibri" w:cs="Calibri"/>
          <w:sz w:val="22"/>
          <w:szCs w:val="22"/>
          <w:lang w:eastAsia="en-NZ"/>
        </w:rPr>
        <w:t xml:space="preserve"> </w:t>
      </w:r>
      <w:r w:rsidRPr="00A72A8D">
        <w:rPr>
          <w:rStyle w:val="normaltextrun1"/>
          <w:rFonts w:ascii="Calibri" w:eastAsia="Times New Roman" w:hAnsi="Calibri" w:cs="Calibri"/>
          <w:sz w:val="22"/>
          <w:szCs w:val="22"/>
          <w:lang w:eastAsia="en-NZ"/>
        </w:rPr>
        <w:t xml:space="preserve">Currently, there </w:t>
      </w:r>
      <w:r w:rsidRPr="00A72A8D">
        <w:rPr>
          <w:rStyle w:val="normaltextrun1"/>
          <w:sz w:val="22"/>
          <w:szCs w:val="22"/>
        </w:rPr>
        <w:t xml:space="preserve">are no approved products and no applications for a product have been received. </w:t>
      </w:r>
    </w:p>
    <w:p w14:paraId="6AAFA48B" w14:textId="5CB99006" w:rsidR="003E2AEA" w:rsidRDefault="00003CCC" w:rsidP="00003CCC">
      <w:pPr>
        <w:pStyle w:val="CommentText"/>
        <w:textAlignment w:val="baseline"/>
        <w:rPr>
          <w:rStyle w:val="normaltextrun1"/>
          <w:sz w:val="22"/>
          <w:szCs w:val="22"/>
          <w:lang w:eastAsia="en-NZ"/>
        </w:rPr>
      </w:pPr>
      <w:r>
        <w:rPr>
          <w:rStyle w:val="normaltextrun1"/>
          <w:sz w:val="22"/>
          <w:szCs w:val="22"/>
        </w:rPr>
        <w:t>Further</w:t>
      </w:r>
      <w:r>
        <w:rPr>
          <w:rStyle w:val="normaltextrun1"/>
          <w:sz w:val="22"/>
          <w:szCs w:val="22"/>
          <w:lang w:eastAsia="en-NZ"/>
        </w:rPr>
        <w:t xml:space="preserve"> information on the Psychoactive Substances Act </w:t>
      </w:r>
      <w:r w:rsidRPr="00A712F9">
        <w:rPr>
          <w:rStyle w:val="normaltextrun1"/>
          <w:sz w:val="22"/>
          <w:szCs w:val="22"/>
          <w:lang w:eastAsia="en-NZ"/>
        </w:rPr>
        <w:t xml:space="preserve">is in </w:t>
      </w:r>
      <w:r w:rsidR="118A92BD" w:rsidRPr="5D019876">
        <w:rPr>
          <w:rStyle w:val="normaltextrun1"/>
          <w:sz w:val="22"/>
          <w:szCs w:val="22"/>
          <w:lang w:eastAsia="en-NZ"/>
        </w:rPr>
        <w:t>A</w:t>
      </w:r>
      <w:r w:rsidRPr="00A712F9">
        <w:rPr>
          <w:rStyle w:val="normaltextrun1"/>
          <w:sz w:val="22"/>
          <w:szCs w:val="22"/>
          <w:lang w:eastAsia="en-NZ"/>
        </w:rPr>
        <w:t xml:space="preserve">ppendix </w:t>
      </w:r>
      <w:r>
        <w:rPr>
          <w:rStyle w:val="normaltextrun1"/>
          <w:sz w:val="22"/>
          <w:szCs w:val="22"/>
          <w:lang w:eastAsia="en-NZ"/>
        </w:rPr>
        <w:t>1 (glossary).</w:t>
      </w:r>
    </w:p>
    <w:p w14:paraId="70A26D0E" w14:textId="77777777" w:rsidR="003E2AEA" w:rsidRDefault="003E2AEA">
      <w:pPr>
        <w:rPr>
          <w:rStyle w:val="normaltextrun1"/>
          <w:lang w:eastAsia="en-NZ"/>
        </w:rPr>
      </w:pPr>
      <w:r>
        <w:rPr>
          <w:rStyle w:val="normaltextrun1"/>
          <w:lang w:eastAsia="en-NZ"/>
        </w:rPr>
        <w:br w:type="page"/>
      </w:r>
    </w:p>
    <w:p w14:paraId="40F25470" w14:textId="77777777" w:rsidR="00A403F9" w:rsidRDefault="00A403F9" w:rsidP="00A403F9">
      <w:pPr>
        <w:pStyle w:val="Heading2"/>
      </w:pPr>
      <w:bookmarkStart w:id="55" w:name="_Toc74572647"/>
      <w:bookmarkStart w:id="56" w:name="_Toc75528219"/>
      <w:bookmarkStart w:id="57" w:name="_Toc75952883"/>
      <w:bookmarkStart w:id="58" w:name="_Toc78186447"/>
      <w:r>
        <w:lastRenderedPageBreak/>
        <w:t>Key drivers for the 2019 MoDA amendments</w:t>
      </w:r>
      <w:bookmarkEnd w:id="55"/>
      <w:bookmarkEnd w:id="56"/>
      <w:bookmarkEnd w:id="57"/>
      <w:bookmarkEnd w:id="58"/>
      <w:r>
        <w:t xml:space="preserve"> </w:t>
      </w:r>
    </w:p>
    <w:p w14:paraId="2B9E210F" w14:textId="77777777" w:rsidR="00A403F9" w:rsidRDefault="00A403F9" w:rsidP="00A403F9">
      <w:pPr>
        <w:pStyle w:val="CommentText"/>
        <w:textAlignment w:val="baseline"/>
        <w:rPr>
          <w:rStyle w:val="normaltextrun1"/>
          <w:sz w:val="22"/>
          <w:szCs w:val="22"/>
        </w:rPr>
      </w:pPr>
      <w:r>
        <w:rPr>
          <w:rStyle w:val="normaltextrun1"/>
          <w:sz w:val="22"/>
          <w:szCs w:val="22"/>
        </w:rPr>
        <w:t xml:space="preserve">The 2019 amendments were initiated in response to a </w:t>
      </w:r>
      <w:r w:rsidRPr="00B13EC0">
        <w:rPr>
          <w:rStyle w:val="normaltextrun1"/>
          <w:sz w:val="22"/>
          <w:szCs w:val="22"/>
        </w:rPr>
        <w:t>high degree of health-related harm being experienced by people who were using synthetic cannabinoids new to the New Zealand market.</w:t>
      </w:r>
    </w:p>
    <w:p w14:paraId="6C670427" w14:textId="55D72DFD" w:rsidR="00A403F9" w:rsidRPr="00B13EC0" w:rsidRDefault="00A403F9" w:rsidP="00A403F9">
      <w:pPr>
        <w:pStyle w:val="CommentText"/>
        <w:textAlignment w:val="baseline"/>
        <w:rPr>
          <w:rStyle w:val="normaltextrun1"/>
          <w:rFonts w:ascii="Calibri" w:hAnsi="Calibri" w:cs="Calibri"/>
          <w:sz w:val="22"/>
          <w:szCs w:val="22"/>
        </w:rPr>
      </w:pPr>
      <w:r>
        <w:rPr>
          <w:rStyle w:val="normaltextrun1"/>
          <w:sz w:val="22"/>
          <w:szCs w:val="22"/>
        </w:rPr>
        <w:t xml:space="preserve">At the time Government considered policy changes, there had been 42 deaths provisionally linked to synthetic drug use, 25 of </w:t>
      </w:r>
      <w:r w:rsidRPr="5D019876">
        <w:rPr>
          <w:rStyle w:val="normaltextrun1"/>
          <w:sz w:val="22"/>
          <w:szCs w:val="22"/>
        </w:rPr>
        <w:t>wh</w:t>
      </w:r>
      <w:r w:rsidR="1BA54000" w:rsidRPr="5D019876">
        <w:rPr>
          <w:rStyle w:val="normaltextrun1"/>
          <w:sz w:val="22"/>
          <w:szCs w:val="22"/>
        </w:rPr>
        <w:t>om</w:t>
      </w:r>
      <w:r>
        <w:rPr>
          <w:rStyle w:val="normaltextrun1"/>
          <w:sz w:val="22"/>
          <w:szCs w:val="22"/>
        </w:rPr>
        <w:t xml:space="preserve"> were Māori, in the period June 2017 to June 2018. At that time, these were active cases under consideration by the Coroner and no conclusions had been drawn about the cause of death. Immediately prior, there had been 13 confirmed deaths linked to synthetic drug use between July 2016 and May 2017. </w:t>
      </w:r>
    </w:p>
    <w:p w14:paraId="471745DA" w14:textId="64CB8677" w:rsidR="00A403F9" w:rsidRDefault="005333EF" w:rsidP="00A403F9">
      <w:pPr>
        <w:rPr>
          <w:rStyle w:val="normaltextrun1"/>
        </w:rPr>
      </w:pPr>
      <w:r w:rsidRPr="5E903C6E">
        <w:rPr>
          <w:rStyle w:val="normaltextrun1"/>
          <w:rFonts w:ascii="Calibri" w:hAnsi="Calibri" w:cs="Calibri"/>
        </w:rPr>
        <w:t>Two substances of concern</w:t>
      </w:r>
      <w:r>
        <w:rPr>
          <w:rStyle w:val="normaltextrun1"/>
          <w:rFonts w:ascii="Calibri" w:hAnsi="Calibri" w:cs="Calibri"/>
        </w:rPr>
        <w:t xml:space="preserve"> </w:t>
      </w:r>
      <w:r w:rsidRPr="5E903C6E">
        <w:rPr>
          <w:rStyle w:val="normaltextrun1"/>
          <w:rFonts w:ascii="Calibri" w:hAnsi="Calibri" w:cs="Calibri"/>
        </w:rPr>
        <w:t xml:space="preserve">were </w:t>
      </w:r>
      <w:r w:rsidR="00EE0FC4">
        <w:rPr>
          <w:rStyle w:val="normaltextrun1"/>
          <w:rFonts w:ascii="Calibri" w:hAnsi="Calibri" w:cs="Calibri"/>
        </w:rPr>
        <w:t>of particular concern</w:t>
      </w:r>
      <w:r w:rsidRPr="5E903C6E">
        <w:rPr>
          <w:rStyle w:val="normaltextrun1"/>
          <w:rFonts w:ascii="Calibri" w:hAnsi="Calibri" w:cs="Calibri"/>
        </w:rPr>
        <w:t xml:space="preserve">:  AMB-FUBINACA and 5F-ADB.  </w:t>
      </w:r>
      <w:r w:rsidR="00A403F9">
        <w:rPr>
          <w:rStyle w:val="normaltextrun1"/>
          <w:rFonts w:ascii="Calibri" w:hAnsi="Calibri" w:cs="Calibri"/>
        </w:rPr>
        <w:t>These drugs were readily available</w:t>
      </w:r>
      <w:r w:rsidR="007C5F0B">
        <w:rPr>
          <w:rStyle w:val="normaltextrun1"/>
          <w:rFonts w:ascii="Calibri" w:hAnsi="Calibri" w:cs="Calibri"/>
        </w:rPr>
        <w:t>,</w:t>
      </w:r>
      <w:r w:rsidR="00A403F9">
        <w:rPr>
          <w:rStyle w:val="normaltextrun1"/>
          <w:rFonts w:ascii="Calibri" w:hAnsi="Calibri" w:cs="Calibri"/>
        </w:rPr>
        <w:t xml:space="preserve"> relatively cheap to produce and buy, </w:t>
      </w:r>
      <w:r w:rsidR="00792CC0">
        <w:rPr>
          <w:rStyle w:val="normaltextrun1"/>
          <w:rFonts w:ascii="Calibri" w:hAnsi="Calibri" w:cs="Calibri"/>
        </w:rPr>
        <w:t>and</w:t>
      </w:r>
      <w:r w:rsidR="00A403F9">
        <w:rPr>
          <w:rStyle w:val="normaltextrun1"/>
          <w:rFonts w:ascii="Calibri" w:hAnsi="Calibri" w:cs="Calibri"/>
        </w:rPr>
        <w:t xml:space="preserve"> </w:t>
      </w:r>
      <w:r w:rsidR="00ED1996">
        <w:rPr>
          <w:rStyle w:val="normaltextrun1"/>
          <w:rFonts w:ascii="Calibri" w:hAnsi="Calibri" w:cs="Calibri"/>
        </w:rPr>
        <w:t>had a strong ‘come down’ which resulted in increased compulsion to use again</w:t>
      </w:r>
      <w:r w:rsidR="00792CC0">
        <w:rPr>
          <w:rStyle w:val="normaltextrun1"/>
          <w:rFonts w:ascii="Calibri" w:hAnsi="Calibri" w:cs="Calibri"/>
        </w:rPr>
        <w:t>.</w:t>
      </w:r>
      <w:r w:rsidR="00ED1996" w:rsidRPr="004C6E5C" w:rsidDel="00792CC0">
        <w:rPr>
          <w:rStyle w:val="normaltextrun1"/>
          <w:rFonts w:ascii="Calibri" w:hAnsi="Calibri" w:cs="Calibri"/>
        </w:rPr>
        <w:t xml:space="preserve"> </w:t>
      </w:r>
      <w:r w:rsidR="00792CC0">
        <w:rPr>
          <w:rStyle w:val="normaltextrun1"/>
          <w:rFonts w:ascii="Calibri" w:hAnsi="Calibri" w:cs="Calibri"/>
        </w:rPr>
        <w:t>A</w:t>
      </w:r>
      <w:r w:rsidR="00A403F9" w:rsidRPr="004C6E5C">
        <w:rPr>
          <w:rStyle w:val="normaltextrun1"/>
          <w:rFonts w:ascii="Calibri" w:hAnsi="Calibri" w:cs="Calibri"/>
        </w:rPr>
        <w:t xml:space="preserve">necdotal reports </w:t>
      </w:r>
      <w:r w:rsidR="00B241A6">
        <w:rPr>
          <w:rStyle w:val="normaltextrun1"/>
          <w:rFonts w:ascii="Calibri" w:hAnsi="Calibri" w:cs="Calibri"/>
        </w:rPr>
        <w:t>tell</w:t>
      </w:r>
      <w:r w:rsidR="00A403F9" w:rsidRPr="004C6E5C">
        <w:rPr>
          <w:rStyle w:val="normaltextrun1"/>
          <w:rFonts w:ascii="Calibri" w:hAnsi="Calibri" w:cs="Calibri"/>
        </w:rPr>
        <w:t xml:space="preserve"> us that people used synthetic cannabinoids to avoid </w:t>
      </w:r>
      <w:r w:rsidR="00792CC0">
        <w:rPr>
          <w:rStyle w:val="normaltextrun1"/>
          <w:rFonts w:ascii="Calibri" w:hAnsi="Calibri" w:cs="Calibri"/>
        </w:rPr>
        <w:t>returning a positive</w:t>
      </w:r>
      <w:r w:rsidR="00A403F9" w:rsidRPr="004C6E5C">
        <w:rPr>
          <w:rStyle w:val="normaltextrun1"/>
          <w:rFonts w:ascii="Calibri" w:hAnsi="Calibri" w:cs="Calibri"/>
        </w:rPr>
        <w:t xml:space="preserve"> workplace drug test</w:t>
      </w:r>
      <w:r w:rsidR="00A403F9">
        <w:rPr>
          <w:rStyle w:val="normaltextrun1"/>
          <w:rFonts w:ascii="Calibri" w:hAnsi="Calibri" w:cs="Calibri"/>
        </w:rPr>
        <w:t xml:space="preserve">. </w:t>
      </w:r>
    </w:p>
    <w:p w14:paraId="62DF956F" w14:textId="17FF3A3D" w:rsidR="00A403F9" w:rsidRPr="00874550" w:rsidRDefault="00A403F9" w:rsidP="00A403F9">
      <w:pPr>
        <w:rPr>
          <w:rStyle w:val="normaltextrun1"/>
        </w:rPr>
      </w:pPr>
      <w:r w:rsidRPr="00B13EC0">
        <w:rPr>
          <w:rStyle w:val="normaltextrun1"/>
        </w:rPr>
        <w:t>The 2019 amendments to MoDA reclassified AMB-FUBINACA and 5F-ADB</w:t>
      </w:r>
      <w:r>
        <w:rPr>
          <w:rStyle w:val="normaltextrun1"/>
        </w:rPr>
        <w:t xml:space="preserve"> from unapproved psychoactive substances to</w:t>
      </w:r>
      <w:r w:rsidRPr="00B13EC0" w:rsidDel="00181E20">
        <w:rPr>
          <w:rStyle w:val="normaltextrun1"/>
        </w:rPr>
        <w:t xml:space="preserve"> </w:t>
      </w:r>
      <w:r w:rsidRPr="00B13EC0">
        <w:rPr>
          <w:rStyle w:val="normaltextrun1"/>
        </w:rPr>
        <w:t xml:space="preserve">Class A </w:t>
      </w:r>
      <w:r>
        <w:rPr>
          <w:rStyle w:val="normaltextrun1"/>
        </w:rPr>
        <w:t>controlled drugs. This was done to</w:t>
      </w:r>
      <w:r w:rsidRPr="00B13EC0">
        <w:rPr>
          <w:rStyle w:val="normaltextrun1"/>
        </w:rPr>
        <w:t xml:space="preserve"> indicat</w:t>
      </w:r>
      <w:r>
        <w:rPr>
          <w:rStyle w:val="normaltextrun1"/>
        </w:rPr>
        <w:t>e</w:t>
      </w:r>
      <w:r w:rsidRPr="00B13EC0">
        <w:rPr>
          <w:rStyle w:val="normaltextrun1"/>
        </w:rPr>
        <w:t xml:space="preserve"> to the public their potential level of harm</w:t>
      </w:r>
      <w:r>
        <w:rPr>
          <w:rStyle w:val="normaltextrun1"/>
        </w:rPr>
        <w:t>.</w:t>
      </w:r>
      <w:r w:rsidRPr="00B13EC0">
        <w:rPr>
          <w:rStyle w:val="normaltextrun1"/>
        </w:rPr>
        <w:t xml:space="preserve"> </w:t>
      </w:r>
      <w:r>
        <w:rPr>
          <w:rStyle w:val="normaltextrun1"/>
        </w:rPr>
        <w:t xml:space="preserve">The change </w:t>
      </w:r>
      <w:r w:rsidRPr="00B13EC0">
        <w:rPr>
          <w:rStyle w:val="normaltextrun1"/>
        </w:rPr>
        <w:t xml:space="preserve">increased </w:t>
      </w:r>
      <w:r w:rsidR="00792CC0">
        <w:rPr>
          <w:rStyle w:val="normaltextrun1"/>
        </w:rPr>
        <w:t>Customs</w:t>
      </w:r>
      <w:r w:rsidR="00792CC0" w:rsidRPr="00B13EC0">
        <w:rPr>
          <w:rStyle w:val="normaltextrun1"/>
        </w:rPr>
        <w:t xml:space="preserve"> </w:t>
      </w:r>
      <w:r w:rsidRPr="00B13EC0">
        <w:rPr>
          <w:rStyle w:val="normaltextrun1"/>
        </w:rPr>
        <w:t xml:space="preserve">and Police staff powers to search for and seize these substances, </w:t>
      </w:r>
      <w:r>
        <w:rPr>
          <w:rStyle w:val="normaltextrun1"/>
        </w:rPr>
        <w:t>with the intention of</w:t>
      </w:r>
      <w:r w:rsidRPr="00B13EC0">
        <w:rPr>
          <w:rStyle w:val="normaltextrun1"/>
        </w:rPr>
        <w:t xml:space="preserve"> interrupting the supply chain.</w:t>
      </w:r>
      <w:r w:rsidR="006531C1">
        <w:rPr>
          <w:rStyle w:val="normaltextrun1"/>
        </w:rPr>
        <w:t xml:space="preserve"> MoDA also contains analogue provisions which mean that many other synthetic cannabinoids, although not specifically schedule in MoDA, are captured as class C controlled drugs on the basis of their structural similarity to AMB-FUBINACA or 5F-ADB.</w:t>
      </w:r>
    </w:p>
    <w:p w14:paraId="3674A9FA" w14:textId="6ED13982" w:rsidR="00A403F9" w:rsidRDefault="00A403F9" w:rsidP="00A403F9">
      <w:pPr>
        <w:rPr>
          <w:rStyle w:val="normaltextrun1"/>
        </w:rPr>
      </w:pPr>
      <w:r>
        <w:rPr>
          <w:rStyle w:val="normaltextrun1"/>
        </w:rPr>
        <w:t>The amendment</w:t>
      </w:r>
      <w:r w:rsidRPr="00B13EC0">
        <w:rPr>
          <w:rStyle w:val="normaltextrun1"/>
        </w:rPr>
        <w:t xml:space="preserve"> </w:t>
      </w:r>
      <w:r>
        <w:rPr>
          <w:rStyle w:val="normaltextrun1"/>
        </w:rPr>
        <w:t>also allowed</w:t>
      </w:r>
      <w:r w:rsidRPr="00B13EC0">
        <w:rPr>
          <w:rStyle w:val="normaltextrun1"/>
        </w:rPr>
        <w:t xml:space="preserve"> for </w:t>
      </w:r>
      <w:r w:rsidR="00792CC0">
        <w:rPr>
          <w:rStyle w:val="normaltextrun1"/>
        </w:rPr>
        <w:t>temporary class drug orders to be issued in relation to</w:t>
      </w:r>
      <w:r w:rsidR="00D82E45">
        <w:rPr>
          <w:rStyle w:val="normaltextrun1"/>
        </w:rPr>
        <w:t xml:space="preserve"> </w:t>
      </w:r>
      <w:r w:rsidRPr="00B13EC0">
        <w:rPr>
          <w:rStyle w:val="normaltextrun1"/>
        </w:rPr>
        <w:t>substances</w:t>
      </w:r>
      <w:r w:rsidR="00D82E45">
        <w:rPr>
          <w:rStyle w:val="normaltextrun1"/>
        </w:rPr>
        <w:t xml:space="preserve"> that </w:t>
      </w:r>
      <w:r w:rsidR="00F46CC4">
        <w:rPr>
          <w:rStyle w:val="normaltextrun1"/>
        </w:rPr>
        <w:t xml:space="preserve">poses or </w:t>
      </w:r>
      <w:r w:rsidR="00D82E45">
        <w:rPr>
          <w:rStyle w:val="normaltextrun1"/>
        </w:rPr>
        <w:t xml:space="preserve">may </w:t>
      </w:r>
      <w:r w:rsidR="00F46CC4">
        <w:rPr>
          <w:rStyle w:val="normaltextrun1"/>
        </w:rPr>
        <w:t>pose a risk of harm</w:t>
      </w:r>
      <w:r w:rsidRPr="00B13EC0">
        <w:rPr>
          <w:rStyle w:val="normaltextrun1"/>
        </w:rPr>
        <w:t>. T</w:t>
      </w:r>
      <w:r w:rsidR="00792CC0">
        <w:rPr>
          <w:rStyle w:val="normaltextrun1"/>
        </w:rPr>
        <w:t>emporary class drug orders</w:t>
      </w:r>
      <w:r w:rsidRPr="00B13EC0">
        <w:rPr>
          <w:rStyle w:val="normaltextrun1"/>
        </w:rPr>
        <w:t xml:space="preserve"> </w:t>
      </w:r>
      <w:r>
        <w:rPr>
          <w:rStyle w:val="normaltextrun1"/>
        </w:rPr>
        <w:t>make a</w:t>
      </w:r>
      <w:r w:rsidRPr="00B13EC0">
        <w:rPr>
          <w:rStyle w:val="normaltextrun1"/>
        </w:rPr>
        <w:t xml:space="preserve"> new substance </w:t>
      </w:r>
      <w:r>
        <w:rPr>
          <w:rStyle w:val="normaltextrun1"/>
        </w:rPr>
        <w:t xml:space="preserve">a class C controlled drug </w:t>
      </w:r>
      <w:r w:rsidRPr="00B13EC0">
        <w:rPr>
          <w:rStyle w:val="normaltextrun1"/>
        </w:rPr>
        <w:t>for a period of up to 24 months</w:t>
      </w:r>
      <w:r>
        <w:rPr>
          <w:rStyle w:val="normaltextrun1"/>
        </w:rPr>
        <w:t xml:space="preserve">. This </w:t>
      </w:r>
      <w:r w:rsidR="00792CC0">
        <w:rPr>
          <w:rStyle w:val="normaltextrun1"/>
        </w:rPr>
        <w:t>provides protection for</w:t>
      </w:r>
      <w:r>
        <w:rPr>
          <w:rStyle w:val="normaltextrun1"/>
        </w:rPr>
        <w:t xml:space="preserve"> the public while</w:t>
      </w:r>
      <w:r w:rsidRPr="00B13EC0">
        <w:rPr>
          <w:rStyle w:val="normaltextrun1"/>
        </w:rPr>
        <w:t xml:space="preserve"> further work </w:t>
      </w:r>
      <w:r w:rsidR="00792CC0">
        <w:rPr>
          <w:rStyle w:val="normaltextrun1"/>
        </w:rPr>
        <w:t>i</w:t>
      </w:r>
      <w:r>
        <w:rPr>
          <w:rStyle w:val="normaltextrun1"/>
        </w:rPr>
        <w:t xml:space="preserve">s </w:t>
      </w:r>
      <w:r w:rsidRPr="00B13EC0">
        <w:rPr>
          <w:rStyle w:val="normaltextrun1"/>
        </w:rPr>
        <w:t xml:space="preserve">undertaken to assess </w:t>
      </w:r>
      <w:r w:rsidR="00792CC0">
        <w:rPr>
          <w:rStyle w:val="normaltextrun1"/>
        </w:rPr>
        <w:t>whether the substance should be permanently scheduled under MoDA and in which class.</w:t>
      </w:r>
      <w:r w:rsidRPr="00B13EC0">
        <w:rPr>
          <w:rStyle w:val="normaltextrun1"/>
        </w:rPr>
        <w:t xml:space="preserve"> </w:t>
      </w:r>
    </w:p>
    <w:p w14:paraId="34A9AFD1" w14:textId="3EF95B2E" w:rsidR="00A403F9" w:rsidRPr="00022C80" w:rsidRDefault="00A403F9" w:rsidP="00A403F9">
      <w:r w:rsidRPr="00B13EC0">
        <w:rPr>
          <w:rStyle w:val="normaltextrun1"/>
        </w:rPr>
        <w:t xml:space="preserve">The Government’s intention in making these changes was to minimise health-related harm, and to interrupt supply </w:t>
      </w:r>
      <w:r w:rsidR="000D45A4">
        <w:rPr>
          <w:rStyle w:val="normaltextrun1"/>
        </w:rPr>
        <w:t>chain</w:t>
      </w:r>
      <w:r>
        <w:rPr>
          <w:rStyle w:val="normaltextrun1"/>
        </w:rPr>
        <w:t>. It was</w:t>
      </w:r>
      <w:r w:rsidRPr="00B13EC0">
        <w:rPr>
          <w:rStyle w:val="normaltextrun1"/>
        </w:rPr>
        <w:t xml:space="preserve"> not to create additional harm to people who use drugs through entry into</w:t>
      </w:r>
      <w:r w:rsidR="008E7964">
        <w:rPr>
          <w:rStyle w:val="normaltextrun1"/>
        </w:rPr>
        <w:t xml:space="preserve"> or </w:t>
      </w:r>
      <w:r w:rsidRPr="00B13EC0">
        <w:rPr>
          <w:rStyle w:val="normaltextrun1"/>
        </w:rPr>
        <w:t xml:space="preserve">progression through the criminal justice </w:t>
      </w:r>
      <w:r>
        <w:rPr>
          <w:rStyle w:val="normaltextrun1"/>
        </w:rPr>
        <w:t>system</w:t>
      </w:r>
      <w:r w:rsidRPr="00B13EC0">
        <w:rPr>
          <w:rStyle w:val="normaltextrun1"/>
        </w:rPr>
        <w:t>.</w:t>
      </w:r>
      <w:r>
        <w:rPr>
          <w:rStyle w:val="normaltextrun1"/>
        </w:rPr>
        <w:t xml:space="preserve"> </w:t>
      </w:r>
      <w:r>
        <w:rPr>
          <w:rFonts w:eastAsia="Calibri"/>
          <w:color w:val="000000" w:themeColor="text1"/>
        </w:rPr>
        <w:t xml:space="preserve">The Minister of Health stated:  </w:t>
      </w:r>
    </w:p>
    <w:p w14:paraId="6CCAB027" w14:textId="025C8DA5" w:rsidR="00A403F9" w:rsidRPr="00937FD6" w:rsidRDefault="00A403F9" w:rsidP="00A403F9">
      <w:pPr>
        <w:ind w:left="993"/>
      </w:pPr>
      <w:r w:rsidRPr="2D62D9D0">
        <w:rPr>
          <w:i/>
        </w:rPr>
        <w:t xml:space="preserve">“We want to balance controlling supply, and thus ensuring public health and safety, with protecting those who use these dangerous synthetic drugs from criminalisation. In doing so we can shift people towards </w:t>
      </w:r>
      <w:r w:rsidRPr="2D62D9D0">
        <w:rPr>
          <w:b/>
          <w:i/>
        </w:rPr>
        <w:t>the health and social support services they need</w:t>
      </w:r>
      <w:r w:rsidRPr="2D62D9D0">
        <w:rPr>
          <w:i/>
        </w:rPr>
        <w:t xml:space="preserve">. This aligns with the Government’s intent to treat drug use as a health issue”. </w:t>
      </w:r>
      <w:r w:rsidRPr="2D62D9D0">
        <w:t>[Cab-18-MIN-0620 “Synthetic drugs response</w:t>
      </w:r>
      <w:r w:rsidR="5587320A" w:rsidRPr="2D62D9D0">
        <w:t>”</w:t>
      </w:r>
      <w:r w:rsidR="7A5968B9" w:rsidRPr="2D62D9D0">
        <w:t>,</w:t>
      </w:r>
      <w:r w:rsidRPr="2D62D9D0">
        <w:t xml:space="preserve"> emphasis added]</w:t>
      </w:r>
    </w:p>
    <w:p w14:paraId="31546CD3" w14:textId="7143C488" w:rsidR="00E47F2F" w:rsidRDefault="00A403F9" w:rsidP="00E47F2F">
      <w:pPr>
        <w:rPr>
          <w:i/>
          <w:iCs/>
        </w:rPr>
      </w:pPr>
      <w:r>
        <w:rPr>
          <w:rStyle w:val="normaltextrun1"/>
        </w:rPr>
        <w:t xml:space="preserve">It was identified </w:t>
      </w:r>
      <w:r w:rsidRPr="29E2D795">
        <w:rPr>
          <w:rStyle w:val="normaltextrun1"/>
        </w:rPr>
        <w:t xml:space="preserve">that </w:t>
      </w:r>
      <w:r>
        <w:rPr>
          <w:rStyle w:val="normaltextrun1"/>
        </w:rPr>
        <w:t xml:space="preserve">one potential problem with simply reclassifying these substances </w:t>
      </w:r>
      <w:r w:rsidRPr="6D3CF04B">
        <w:rPr>
          <w:rStyle w:val="normaltextrun1"/>
        </w:rPr>
        <w:t>was</w:t>
      </w:r>
      <w:r>
        <w:rPr>
          <w:rStyle w:val="normaltextrun1"/>
        </w:rPr>
        <w:t xml:space="preserve"> the potential to overly impact vulnerable people through further enforcement. </w:t>
      </w:r>
      <w:r w:rsidRPr="00B13EC0">
        <w:rPr>
          <w:rStyle w:val="normaltextrun1"/>
        </w:rPr>
        <w:t>In view of this,</w:t>
      </w:r>
      <w:r w:rsidR="005061AF">
        <w:rPr>
          <w:rStyle w:val="normaltextrun1"/>
        </w:rPr>
        <w:t xml:space="preserve"> MoDA was further amended to affirm </w:t>
      </w:r>
      <w:r w:rsidR="1470DE88" w:rsidRPr="2D62D9D0">
        <w:rPr>
          <w:rStyle w:val="normaltextrun1"/>
        </w:rPr>
        <w:t>P</w:t>
      </w:r>
      <w:r w:rsidR="005061AF">
        <w:rPr>
          <w:rStyle w:val="normaltextrun1"/>
        </w:rPr>
        <w:t>olice use of discretion with respect to personal possession and use of controlled drugs, as outlined above in the review scope section</w:t>
      </w:r>
      <w:r w:rsidR="005061AF" w:rsidRPr="009A61F2">
        <w:rPr>
          <w:rStyle w:val="normaltextrun1"/>
        </w:rPr>
        <w:t>.</w:t>
      </w:r>
      <w:r w:rsidR="00E47F2F" w:rsidRPr="009A61F2">
        <w:t xml:space="preserve"> However, Police continue to have the ability to prosecute for personal possession and use in appropriate cases</w:t>
      </w:r>
      <w:r w:rsidR="00AF5DC8">
        <w:t>.</w:t>
      </w:r>
    </w:p>
    <w:p w14:paraId="08145ED2" w14:textId="48E94247" w:rsidR="00DF3FD0" w:rsidRDefault="00253F56" w:rsidP="00003CCC">
      <w:pPr>
        <w:pStyle w:val="Heading3"/>
      </w:pPr>
      <w:bookmarkStart w:id="59" w:name="_Toc74572644"/>
      <w:bookmarkStart w:id="60" w:name="_Toc75528220"/>
      <w:bookmarkStart w:id="61" w:name="_Toc75952884"/>
      <w:bookmarkStart w:id="62" w:name="_Toc78186448"/>
      <w:bookmarkEnd w:id="54"/>
      <w:r>
        <w:t>Taking a health-based approach</w:t>
      </w:r>
      <w:bookmarkEnd w:id="59"/>
      <w:bookmarkEnd w:id="60"/>
      <w:bookmarkEnd w:id="61"/>
      <w:bookmarkEnd w:id="62"/>
      <w:r>
        <w:t xml:space="preserve"> </w:t>
      </w:r>
    </w:p>
    <w:p w14:paraId="54EE18AE" w14:textId="5D90D79C" w:rsidR="007032A7" w:rsidRPr="00F92E04" w:rsidRDefault="007032A7" w:rsidP="007032A7">
      <w:pPr>
        <w:rPr>
          <w:rFonts w:eastAsia="Calibri"/>
          <w:color w:val="000000" w:themeColor="text1"/>
        </w:rPr>
      </w:pPr>
      <w:r w:rsidRPr="36F57F34">
        <w:rPr>
          <w:rFonts w:eastAsia="Calibri"/>
          <w:color w:val="000000" w:themeColor="text1"/>
        </w:rPr>
        <w:t>Some people who take drugs experience mild to moderate drug-related harm, and a smaller proportion experience severe drug-related harms and will need intensive support.</w:t>
      </w:r>
    </w:p>
    <w:p w14:paraId="4D35AAD2" w14:textId="59B124AA" w:rsidR="007032A7" w:rsidRDefault="007032A7" w:rsidP="007032A7">
      <w:r w:rsidRPr="002B66D1">
        <w:t>New Zealand’s approach is consistent with many modern jurisdictions’ approaches to drug harm in that we balance a harm reduction approach to people who use drugs, while taking</w:t>
      </w:r>
      <w:r>
        <w:t xml:space="preserve"> a</w:t>
      </w:r>
      <w:r w:rsidRPr="002B66D1">
        <w:t xml:space="preserve"> strong approach to disrupt drug suppliers, </w:t>
      </w:r>
      <w:r>
        <w:t>manufacture</w:t>
      </w:r>
      <w:r w:rsidR="06194E02">
        <w:t>r</w:t>
      </w:r>
      <w:r>
        <w:t>s</w:t>
      </w:r>
      <w:r w:rsidRPr="002B66D1">
        <w:t xml:space="preserve"> and importers</w:t>
      </w:r>
      <w:r>
        <w:t xml:space="preserve">.  </w:t>
      </w:r>
    </w:p>
    <w:p w14:paraId="1EE70B70" w14:textId="18BC8144" w:rsidR="007032A7" w:rsidRDefault="007032A7" w:rsidP="007032A7">
      <w:pPr>
        <w:rPr>
          <w:rFonts w:cstheme="minorHAnsi"/>
        </w:rPr>
      </w:pPr>
      <w:r>
        <w:rPr>
          <w:rFonts w:eastAsia="Calibri"/>
          <w:color w:val="000000" w:themeColor="text1"/>
        </w:rPr>
        <w:lastRenderedPageBreak/>
        <w:t>H</w:t>
      </w:r>
      <w:r w:rsidRPr="00AB34F1">
        <w:rPr>
          <w:rFonts w:eastAsia="Calibri"/>
          <w:color w:val="000000" w:themeColor="text1"/>
        </w:rPr>
        <w:t>ealth-based approach</w:t>
      </w:r>
      <w:r>
        <w:rPr>
          <w:rFonts w:eastAsia="Calibri"/>
          <w:color w:val="000000" w:themeColor="text1"/>
        </w:rPr>
        <w:t>es</w:t>
      </w:r>
      <w:r w:rsidRPr="00AB34F1">
        <w:rPr>
          <w:rFonts w:eastAsia="Calibri"/>
          <w:color w:val="000000" w:themeColor="text1"/>
        </w:rPr>
        <w:t xml:space="preserve"> </w:t>
      </w:r>
      <w:r>
        <w:rPr>
          <w:rFonts w:eastAsia="Calibri"/>
          <w:color w:val="000000" w:themeColor="text1"/>
        </w:rPr>
        <w:t xml:space="preserve">apply </w:t>
      </w:r>
      <w:r w:rsidRPr="00AB34F1">
        <w:rPr>
          <w:rFonts w:eastAsia="Calibri"/>
          <w:color w:val="000000" w:themeColor="text1"/>
        </w:rPr>
        <w:t xml:space="preserve">to people using alcohol and other drugs, local communities and the general public. </w:t>
      </w:r>
      <w:r>
        <w:rPr>
          <w:rFonts w:cstheme="minorHAnsi"/>
        </w:rPr>
        <w:t xml:space="preserve">In broad terms, a health-based approach to drug use includes: </w:t>
      </w:r>
    </w:p>
    <w:p w14:paraId="20AE96AA" w14:textId="77777777" w:rsidR="007032A7" w:rsidRPr="00383A1F" w:rsidRDefault="007032A7"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6C61EF">
        <w:rPr>
          <w:rStyle w:val="normaltextrun1"/>
          <w:rFonts w:ascii="Calibri" w:eastAsia="Times New Roman" w:hAnsi="Calibri" w:cs="Calibri"/>
          <w:sz w:val="22"/>
          <w:szCs w:val="22"/>
          <w:lang w:eastAsia="en-NZ"/>
        </w:rPr>
        <w:t>providing harm reduction or treatment support</w:t>
      </w:r>
      <w:r w:rsidRPr="00383A1F">
        <w:rPr>
          <w:rStyle w:val="normaltextrun1"/>
          <w:rFonts w:ascii="Calibri" w:eastAsia="Times New Roman" w:hAnsi="Calibri" w:cs="Calibri"/>
          <w:sz w:val="22"/>
          <w:szCs w:val="22"/>
          <w:lang w:eastAsia="en-NZ"/>
        </w:rPr>
        <w:t>, as opposed to arrest or criminal justice/court processes</w:t>
      </w:r>
    </w:p>
    <w:p w14:paraId="64D6BC77" w14:textId="18AC6EC4" w:rsidR="007032A7" w:rsidRPr="00383A1F" w:rsidRDefault="007032A7"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6C61EF">
        <w:rPr>
          <w:rStyle w:val="normaltextrun1"/>
          <w:rFonts w:ascii="Calibri" w:eastAsia="Times New Roman" w:hAnsi="Calibri" w:cs="Calibri"/>
          <w:sz w:val="22"/>
          <w:szCs w:val="22"/>
          <w:lang w:eastAsia="en-NZ"/>
        </w:rPr>
        <w:t>non-judgemental approaches</w:t>
      </w:r>
      <w:r w:rsidRPr="00383A1F">
        <w:rPr>
          <w:rStyle w:val="normaltextrun1"/>
          <w:rFonts w:ascii="Calibri" w:eastAsia="Times New Roman" w:hAnsi="Calibri" w:cs="Calibri"/>
          <w:sz w:val="22"/>
          <w:szCs w:val="22"/>
          <w:lang w:eastAsia="en-NZ"/>
        </w:rPr>
        <w:t xml:space="preserve"> that destigmatise people that seek help</w:t>
      </w:r>
    </w:p>
    <w:p w14:paraId="1D0910BA" w14:textId="77777777" w:rsidR="007032A7" w:rsidRPr="00383A1F" w:rsidRDefault="007032A7"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6C61EF">
        <w:rPr>
          <w:rStyle w:val="normaltextrun1"/>
          <w:rFonts w:ascii="Calibri" w:eastAsia="Times New Roman" w:hAnsi="Calibri" w:cs="Calibri"/>
          <w:sz w:val="22"/>
          <w:szCs w:val="22"/>
          <w:lang w:eastAsia="en-NZ"/>
        </w:rPr>
        <w:t>approaches that prevent harm</w:t>
      </w:r>
      <w:r w:rsidRPr="00383A1F">
        <w:rPr>
          <w:rStyle w:val="normaltextrun1"/>
          <w:rFonts w:ascii="Calibri" w:eastAsia="Times New Roman" w:hAnsi="Calibri" w:cs="Calibri"/>
          <w:sz w:val="22"/>
          <w:szCs w:val="22"/>
          <w:lang w:eastAsia="en-NZ"/>
        </w:rPr>
        <w:t xml:space="preserve"> and intervene earlier in the development and/or experience of drug harm</w:t>
      </w:r>
    </w:p>
    <w:p w14:paraId="7FD36DD5" w14:textId="77777777" w:rsidR="007032A7" w:rsidRDefault="007032A7" w:rsidP="00B603EC">
      <w:pPr>
        <w:pStyle w:val="CommentText"/>
        <w:numPr>
          <w:ilvl w:val="0"/>
          <w:numId w:val="7"/>
        </w:numPr>
        <w:spacing w:after="0"/>
        <w:ind w:hanging="720"/>
        <w:textAlignment w:val="baseline"/>
      </w:pPr>
      <w:r w:rsidRPr="006C61EF">
        <w:rPr>
          <w:rStyle w:val="normaltextrun1"/>
          <w:rFonts w:ascii="Calibri" w:eastAsia="Times New Roman" w:hAnsi="Calibri" w:cs="Calibri"/>
          <w:sz w:val="22"/>
          <w:szCs w:val="22"/>
          <w:lang w:eastAsia="en-NZ"/>
        </w:rPr>
        <w:t>population-level health promotion</w:t>
      </w:r>
      <w:r w:rsidRPr="00383A1F">
        <w:rPr>
          <w:rStyle w:val="normaltextrun1"/>
          <w:rFonts w:ascii="Calibri" w:eastAsia="Times New Roman" w:hAnsi="Calibri" w:cs="Calibri"/>
          <w:sz w:val="22"/>
          <w:szCs w:val="22"/>
          <w:lang w:eastAsia="en-NZ"/>
        </w:rPr>
        <w:t xml:space="preserve"> that supports positive social and cultural norms around drug use and harm</w:t>
      </w:r>
      <w:r>
        <w:t>.</w:t>
      </w:r>
    </w:p>
    <w:p w14:paraId="711E1306" w14:textId="6681A830" w:rsidR="00EC38FC" w:rsidRPr="00AB34F1" w:rsidRDefault="004C5A80" w:rsidP="00EC38FC">
      <w:pPr>
        <w:rPr>
          <w:rFonts w:eastAsia="Calibri"/>
          <w:color w:val="000000" w:themeColor="text1"/>
        </w:rPr>
      </w:pPr>
      <w:r w:rsidRPr="00F92E04" w:rsidDel="004C5A80">
        <w:rPr>
          <w:rFonts w:eastAsia="Calibri"/>
          <w:color w:val="000000" w:themeColor="text1"/>
        </w:rPr>
        <w:t xml:space="preserve"> </w:t>
      </w:r>
      <w:r w:rsidR="00681A73">
        <w:rPr>
          <w:rFonts w:eastAsia="Calibri"/>
          <w:color w:val="000000" w:themeColor="text1"/>
        </w:rPr>
        <w:t xml:space="preserve">“Health” in this context is holistic, </w:t>
      </w:r>
      <w:r w:rsidR="0052398C">
        <w:rPr>
          <w:rFonts w:eastAsia="Calibri"/>
          <w:color w:val="000000" w:themeColor="text1"/>
        </w:rPr>
        <w:t>taking</w:t>
      </w:r>
      <w:r w:rsidR="00681A73">
        <w:rPr>
          <w:rFonts w:eastAsia="Calibri"/>
          <w:color w:val="000000" w:themeColor="text1"/>
        </w:rPr>
        <w:t xml:space="preserve"> into consideration not only the physical and mental state</w:t>
      </w:r>
      <w:r w:rsidR="000A7B6C">
        <w:rPr>
          <w:rFonts w:eastAsia="Calibri"/>
          <w:color w:val="000000" w:themeColor="text1"/>
        </w:rPr>
        <w:t xml:space="preserve"> of individuals, but their social, environmental and economic factors. </w:t>
      </w:r>
      <w:r w:rsidR="00FE2ED0">
        <w:rPr>
          <w:rFonts w:eastAsia="Calibri"/>
          <w:color w:val="000000" w:themeColor="text1"/>
        </w:rPr>
        <w:t xml:space="preserve">Health-based approaches are therefore not limited to health </w:t>
      </w:r>
      <w:r w:rsidR="00507E84">
        <w:rPr>
          <w:rFonts w:eastAsia="Calibri"/>
          <w:color w:val="000000" w:themeColor="text1"/>
        </w:rPr>
        <w:t>services but</w:t>
      </w:r>
      <w:r w:rsidR="00FE2ED0">
        <w:rPr>
          <w:rFonts w:eastAsia="Calibri"/>
          <w:color w:val="000000" w:themeColor="text1"/>
        </w:rPr>
        <w:t xml:space="preserve"> involve a wide range of actors across government and in communities. </w:t>
      </w:r>
      <w:r w:rsidR="00EC38FC" w:rsidRPr="00AB34F1">
        <w:rPr>
          <w:rFonts w:eastAsia="Calibri"/>
          <w:color w:val="000000" w:themeColor="text1"/>
        </w:rPr>
        <w:t>Policies and interventions will look different across the spectrum of use</w:t>
      </w:r>
      <w:r w:rsidR="00EC38FC">
        <w:rPr>
          <w:rFonts w:eastAsia="Calibri"/>
          <w:color w:val="000000" w:themeColor="text1"/>
        </w:rPr>
        <w:t xml:space="preserve"> or </w:t>
      </w:r>
      <w:r w:rsidR="00EC38FC" w:rsidRPr="00AB34F1">
        <w:rPr>
          <w:rFonts w:eastAsia="Calibri"/>
          <w:color w:val="000000" w:themeColor="text1"/>
        </w:rPr>
        <w:t xml:space="preserve">harm, and should be based on the setting, population, and the type of substance. </w:t>
      </w:r>
      <w:r w:rsidR="00517D0B">
        <w:rPr>
          <w:rFonts w:eastAsia="Calibri"/>
          <w:color w:val="000000" w:themeColor="text1"/>
        </w:rPr>
        <w:t xml:space="preserve"> </w:t>
      </w:r>
    </w:p>
    <w:p w14:paraId="3C5F3CAB" w14:textId="58A56420" w:rsidR="00A448A5" w:rsidRPr="00A448A5" w:rsidRDefault="00C82FEA" w:rsidP="00003CCC">
      <w:pPr>
        <w:pStyle w:val="Heading3"/>
      </w:pPr>
      <w:bookmarkStart w:id="63" w:name="_Toc74572646"/>
      <w:bookmarkStart w:id="64" w:name="_Toc75528221"/>
      <w:bookmarkStart w:id="65" w:name="_Toc75952885"/>
      <w:bookmarkStart w:id="66" w:name="_Toc78186449"/>
      <w:r>
        <w:t>Mental health and addiction system</w:t>
      </w:r>
      <w:bookmarkEnd w:id="63"/>
      <w:bookmarkEnd w:id="64"/>
      <w:bookmarkEnd w:id="65"/>
      <w:bookmarkEnd w:id="66"/>
    </w:p>
    <w:p w14:paraId="394746BA" w14:textId="7955F3BB" w:rsidR="000B3C3B" w:rsidRDefault="005270CE" w:rsidP="000B3C3B">
      <w:r>
        <w:t xml:space="preserve">There are long-standing </w:t>
      </w:r>
      <w:r w:rsidR="000B3C3B">
        <w:t>regional and local variations</w:t>
      </w:r>
      <w:r w:rsidR="003B24FC" w:rsidRPr="6A2BD812">
        <w:t xml:space="preserve"> in the </w:t>
      </w:r>
      <w:r w:rsidR="00C43A59">
        <w:t xml:space="preserve">funding and </w:t>
      </w:r>
      <w:r w:rsidR="003B24FC" w:rsidRPr="6A2BD812">
        <w:t xml:space="preserve">types of arrangements for addiction treatment services. </w:t>
      </w:r>
    </w:p>
    <w:p w14:paraId="7E7114AC" w14:textId="1F40C4CF" w:rsidR="000B3C3B" w:rsidRDefault="000B3C3B" w:rsidP="000B3C3B">
      <w:r>
        <w:t xml:space="preserve">Variations in </w:t>
      </w:r>
      <w:r w:rsidR="00C43A59">
        <w:t xml:space="preserve">funding and types of </w:t>
      </w:r>
      <w:r>
        <w:t xml:space="preserve">services can have positive or negative impacts. While some variations are necessary to effectively cater to the differing needs of the regions that they serve, others reduce the quality of the service for individuals. </w:t>
      </w:r>
      <w:r w:rsidR="003B24FC" w:rsidRPr="6A2BD812">
        <w:t xml:space="preserve">For example, some regions have </w:t>
      </w:r>
      <w:r>
        <w:t xml:space="preserve">highly </w:t>
      </w:r>
      <w:r w:rsidR="003B24FC" w:rsidRPr="6A2BD812">
        <w:t xml:space="preserve">developed models of care across the region, and others less so. </w:t>
      </w:r>
      <w:r w:rsidR="003B24FC">
        <w:t>Most district health b</w:t>
      </w:r>
      <w:r w:rsidR="003B24FC" w:rsidRPr="6A2BD812">
        <w:t xml:space="preserve">oards </w:t>
      </w:r>
      <w:r w:rsidR="002B372A">
        <w:t>(DHBs)</w:t>
      </w:r>
      <w:r w:rsidR="003B24FC" w:rsidRPr="6A2BD812">
        <w:t xml:space="preserve"> fund residential treatment within their region, </w:t>
      </w:r>
      <w:r>
        <w:t xml:space="preserve">while others </w:t>
      </w:r>
      <w:r w:rsidR="003B24FC" w:rsidRPr="6A2BD812">
        <w:t>fund services outside of the region meaning that people must travel away</w:t>
      </w:r>
      <w:r>
        <w:t xml:space="preserve"> from their regions to access these services. </w:t>
      </w:r>
      <w:r w:rsidR="000C0306">
        <w:t>For example</w:t>
      </w:r>
      <w:r w:rsidR="00442628">
        <w:t>,</w:t>
      </w:r>
      <w:r w:rsidR="000C0306">
        <w:t xml:space="preserve"> there is currently no </w:t>
      </w:r>
      <w:r w:rsidR="07B3BD29">
        <w:t>DHB</w:t>
      </w:r>
      <w:r w:rsidR="000C0306">
        <w:t xml:space="preserve"> alcohol and other drug provider in the Lakes and Wairarapa DHBs. </w:t>
      </w:r>
      <w:r>
        <w:t xml:space="preserve">Some </w:t>
      </w:r>
      <w:r w:rsidR="00A25DAF">
        <w:t xml:space="preserve">DHBs </w:t>
      </w:r>
      <w:r w:rsidR="000C0306">
        <w:t xml:space="preserve">also </w:t>
      </w:r>
      <w:r>
        <w:t xml:space="preserve">contract </w:t>
      </w:r>
      <w:r w:rsidR="002B372A">
        <w:t xml:space="preserve">non-governmental organisations </w:t>
      </w:r>
      <w:r>
        <w:t xml:space="preserve">to provide specialist services.  </w:t>
      </w:r>
    </w:p>
    <w:p w14:paraId="473D9934" w14:textId="22D09101" w:rsidR="005050C3" w:rsidRDefault="000B3C3B" w:rsidP="00D55E8B">
      <w:r>
        <w:t>There are also differences in the types of services available for priority populations. For example, young people may be assessed and receive services for alcohol and other drug issues via Child, Adolescent Mental Health Services</w:t>
      </w:r>
      <w:r w:rsidR="005061AF">
        <w:t>. O</w:t>
      </w:r>
      <w:r>
        <w:t>ther young people may be seen in specialist youth services such as Altered High in Auckland, Rubicon Rehabilitation services in Northland, Mirror Counselling in Dunedin, and Sorted in the Bay of Plenty</w:t>
      </w:r>
      <w:r w:rsidR="00786F73">
        <w:t>.</w:t>
      </w:r>
    </w:p>
    <w:p w14:paraId="50086B02" w14:textId="622F2945" w:rsidR="00583D1A" w:rsidRPr="0054291F" w:rsidRDefault="00583D1A" w:rsidP="007B765E">
      <w:pPr>
        <w:pStyle w:val="Heading4"/>
      </w:pPr>
      <w:r>
        <w:t xml:space="preserve">He Ara Oranga: Report of the </w:t>
      </w:r>
      <w:r w:rsidRPr="0054291F">
        <w:t>Government Inquiry into Mental Health and Addiction</w:t>
      </w:r>
    </w:p>
    <w:p w14:paraId="19190BD4" w14:textId="4D86D4F2" w:rsidR="00FE6AA6" w:rsidRDefault="00583D1A" w:rsidP="00FE6AA6">
      <w:r w:rsidRPr="6A2BD812">
        <w:t xml:space="preserve">In 2017, the incoming Government commissioned an </w:t>
      </w:r>
      <w:r w:rsidR="00FE6AA6">
        <w:t xml:space="preserve">independent </w:t>
      </w:r>
      <w:r w:rsidRPr="6A2BD812">
        <w:t xml:space="preserve">inquiry </w:t>
      </w:r>
      <w:r w:rsidR="00313DFB">
        <w:t xml:space="preserve">into </w:t>
      </w:r>
      <w:r w:rsidRPr="6A2BD812">
        <w:t xml:space="preserve">mental health and addiction in New Zealand. </w:t>
      </w:r>
      <w:r w:rsidR="00FE6AA6">
        <w:t>The inquiry was mandated to look at mental wellbeing from mental distress to enduring psychiatric illness, and to take account of the determinants of mental health, many of which lie outside the health system.</w:t>
      </w:r>
    </w:p>
    <w:p w14:paraId="404F81C8" w14:textId="0FA5FD61" w:rsidR="00F56059" w:rsidRDefault="00BB2FB3" w:rsidP="00FE6AA6">
      <w:r>
        <w:t>The final report</w:t>
      </w:r>
      <w:r w:rsidR="00BA1B40">
        <w:t xml:space="preserve">, </w:t>
      </w:r>
      <w:r w:rsidR="00BA1B40" w:rsidRPr="008164BE">
        <w:rPr>
          <w:i/>
          <w:iCs/>
        </w:rPr>
        <w:t>He Ara Oranga</w:t>
      </w:r>
      <w:r w:rsidR="008164BE">
        <w:t>,</w:t>
      </w:r>
      <w:r>
        <w:t xml:space="preserve"> was released in December 2018.  </w:t>
      </w:r>
      <w:r w:rsidR="00454B24">
        <w:t>Among other things, i</w:t>
      </w:r>
      <w:r w:rsidR="00FF2105">
        <w:t xml:space="preserve">t highlighted the need for an approach to mental health and wellbeing that </w:t>
      </w:r>
      <w:r w:rsidR="00177D12">
        <w:t xml:space="preserve">addresses the determinants of </w:t>
      </w:r>
      <w:r w:rsidR="004E5F13">
        <w:t>mental health and wellbeing</w:t>
      </w:r>
      <w:r w:rsidR="00454B24">
        <w:t xml:space="preserve">. </w:t>
      </w:r>
      <w:r w:rsidR="008164BE" w:rsidRPr="008164BE">
        <w:rPr>
          <w:iCs/>
        </w:rPr>
        <w:t>It</w:t>
      </w:r>
      <w:r w:rsidR="008164BE">
        <w:rPr>
          <w:i/>
        </w:rPr>
        <w:t xml:space="preserve"> </w:t>
      </w:r>
      <w:r w:rsidR="00D4236B" w:rsidRPr="6A2BD812">
        <w:t>noted that New Zealand did not have a complete continuum of care</w:t>
      </w:r>
      <w:r w:rsidR="00632A7E">
        <w:t>,</w:t>
      </w:r>
      <w:r w:rsidR="00D4236B" w:rsidRPr="6A2BD812">
        <w:t xml:space="preserve"> with components of the system missing for New Zealanders with mild to moderate mental health and addiction needs who do not meet the threshold for specialist services. </w:t>
      </w:r>
      <w:r w:rsidR="00D4236B">
        <w:t>Key recommendations were to support access and choice</w:t>
      </w:r>
      <w:r w:rsidR="005061AF">
        <w:t>,</w:t>
      </w:r>
      <w:r w:rsidR="00D4236B">
        <w:t xml:space="preserve"> build this ‘missing middle’, and to transform primary care so that people can get mental health support in their communities.</w:t>
      </w:r>
    </w:p>
    <w:p w14:paraId="70E78F8A" w14:textId="0B9F787D" w:rsidR="00FE6AA6" w:rsidRDefault="00991711" w:rsidP="00FE6AA6">
      <w:r>
        <w:t>A</w:t>
      </w:r>
      <w:r w:rsidR="00AE0A1C">
        <w:t xml:space="preserve"> number of recommendations relate to </w:t>
      </w:r>
      <w:r w:rsidR="005061AF">
        <w:t xml:space="preserve">alcohol and other drug </w:t>
      </w:r>
      <w:r w:rsidR="00AE0A1C">
        <w:t>services</w:t>
      </w:r>
      <w:r w:rsidR="00D43A43">
        <w:t xml:space="preserve"> (AOD)</w:t>
      </w:r>
      <w:r w:rsidR="00C76E57">
        <w:t>.  T</w:t>
      </w:r>
      <w:r w:rsidR="00AE0A1C">
        <w:t>he k</w:t>
      </w:r>
      <w:r w:rsidR="00FE6AA6">
        <w:t xml:space="preserve">ey recommendations specific to drug </w:t>
      </w:r>
      <w:r w:rsidR="00AE0A1C">
        <w:t>use</w:t>
      </w:r>
      <w:r w:rsidR="00FE6AA6">
        <w:t xml:space="preserve"> made within the report included: </w:t>
      </w:r>
    </w:p>
    <w:p w14:paraId="7E7AA4EE" w14:textId="0AF3A120" w:rsidR="00FE6AA6" w:rsidRPr="00E73789" w:rsidRDefault="00FE6AA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lastRenderedPageBreak/>
        <w:t>Recommendation 27: ‘Replace criminal sanctions for the possession for personal use of controlled drugs with civil responses (for example, a fine, a referral to a drug awareness session run by a public health body or a referral to a drug treatment programme</w:t>
      </w:r>
      <w:r w:rsidR="000731F7" w:rsidRPr="00E73789">
        <w:rPr>
          <w:rStyle w:val="normaltextrun1"/>
          <w:rFonts w:ascii="Calibri" w:eastAsia="Times New Roman" w:hAnsi="Calibri" w:cs="Calibri"/>
          <w:sz w:val="22"/>
          <w:szCs w:val="22"/>
          <w:lang w:eastAsia="en-NZ"/>
        </w:rPr>
        <w:t>)</w:t>
      </w:r>
    </w:p>
    <w:p w14:paraId="2556E848" w14:textId="055FDEF8" w:rsidR="00B77771" w:rsidRPr="00E73789" w:rsidRDefault="00FE6AA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Recommendation 28: ‘Support the replacement of criminal sanctions for the possession for personal use of controlled drugs with a full range of treatment and detox services</w:t>
      </w:r>
      <w:r w:rsidR="002E172F" w:rsidRPr="00E73789">
        <w:rPr>
          <w:rStyle w:val="normaltextrun1"/>
          <w:rFonts w:ascii="Calibri" w:eastAsia="Times New Roman" w:hAnsi="Calibri" w:cs="Calibri"/>
          <w:sz w:val="22"/>
          <w:szCs w:val="22"/>
          <w:lang w:eastAsia="en-NZ"/>
        </w:rPr>
        <w:t>.</w:t>
      </w:r>
      <w:r w:rsidRPr="00E73789">
        <w:rPr>
          <w:rStyle w:val="normaltextrun1"/>
          <w:rFonts w:ascii="Calibri" w:eastAsia="Times New Roman" w:hAnsi="Calibri" w:cs="Calibri"/>
          <w:sz w:val="22"/>
          <w:szCs w:val="22"/>
          <w:lang w:eastAsia="en-NZ"/>
        </w:rPr>
        <w:t xml:space="preserve">’ The 2019 MoDA amendments </w:t>
      </w:r>
      <w:r w:rsidR="005061AF" w:rsidRPr="00E73789">
        <w:rPr>
          <w:rStyle w:val="normaltextrun1"/>
          <w:rFonts w:ascii="Calibri" w:eastAsia="Times New Roman" w:hAnsi="Calibri" w:cs="Calibri"/>
          <w:sz w:val="22"/>
          <w:szCs w:val="22"/>
          <w:lang w:eastAsia="en-NZ"/>
        </w:rPr>
        <w:t xml:space="preserve">align with </w:t>
      </w:r>
      <w:r w:rsidRPr="00E73789">
        <w:rPr>
          <w:rStyle w:val="normaltextrun1"/>
          <w:rFonts w:ascii="Calibri" w:eastAsia="Times New Roman" w:hAnsi="Calibri" w:cs="Calibri"/>
          <w:sz w:val="22"/>
          <w:szCs w:val="22"/>
          <w:lang w:eastAsia="en-NZ"/>
        </w:rPr>
        <w:t>these recommendations and, through their focus on harm-minimisation and health-promotion</w:t>
      </w:r>
      <w:r w:rsidR="005061AF" w:rsidRPr="00E73789">
        <w:rPr>
          <w:rStyle w:val="normaltextrun1"/>
          <w:rFonts w:ascii="Calibri" w:eastAsia="Times New Roman" w:hAnsi="Calibri" w:cs="Calibri"/>
          <w:sz w:val="22"/>
          <w:szCs w:val="22"/>
          <w:lang w:eastAsia="en-NZ"/>
        </w:rPr>
        <w:t>,</w:t>
      </w:r>
      <w:r w:rsidRPr="00E73789">
        <w:rPr>
          <w:rStyle w:val="normaltextrun1"/>
          <w:rFonts w:ascii="Calibri" w:eastAsia="Times New Roman" w:hAnsi="Calibri" w:cs="Calibri"/>
          <w:sz w:val="22"/>
          <w:szCs w:val="22"/>
          <w:lang w:eastAsia="en-NZ"/>
        </w:rPr>
        <w:t xml:space="preserve"> contribute to ongoing progress</w:t>
      </w:r>
    </w:p>
    <w:p w14:paraId="42162BC8" w14:textId="49F982AC" w:rsidR="00FE6AA6" w:rsidRPr="00E73789" w:rsidRDefault="00B7777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Recommendation 29: ‘Establish clear cross-sector leadership and coordination within central government for policy in relation to alcohol and other drugs’</w:t>
      </w:r>
      <w:r w:rsidR="00FE6AA6" w:rsidRPr="00E73789">
        <w:rPr>
          <w:rStyle w:val="normaltextrun1"/>
          <w:rFonts w:ascii="Calibri" w:eastAsia="Times New Roman" w:hAnsi="Calibri" w:cs="Calibri"/>
          <w:sz w:val="22"/>
          <w:szCs w:val="22"/>
          <w:lang w:eastAsia="en-NZ"/>
        </w:rPr>
        <w:t xml:space="preserve">.  </w:t>
      </w:r>
      <w:r w:rsidR="007E2BBA" w:rsidRPr="00E73789">
        <w:rPr>
          <w:rStyle w:val="normaltextrun1"/>
          <w:rFonts w:ascii="Calibri" w:eastAsia="Times New Roman" w:hAnsi="Calibri" w:cs="Calibri"/>
          <w:sz w:val="22"/>
          <w:szCs w:val="22"/>
          <w:lang w:eastAsia="en-NZ"/>
        </w:rPr>
        <w:t>T</w:t>
      </w:r>
      <w:r w:rsidR="00DD15EA" w:rsidRPr="00E73789">
        <w:rPr>
          <w:rStyle w:val="normaltextrun1"/>
          <w:rFonts w:ascii="Calibri" w:eastAsia="Times New Roman" w:hAnsi="Calibri" w:cs="Calibri"/>
          <w:sz w:val="22"/>
          <w:szCs w:val="22"/>
          <w:lang w:eastAsia="en-NZ"/>
        </w:rPr>
        <w:t xml:space="preserve">here are a range of existing forums and arrangements for cross-sector </w:t>
      </w:r>
      <w:r w:rsidR="00D558CA" w:rsidRPr="00E73789">
        <w:rPr>
          <w:rStyle w:val="normaltextrun1"/>
          <w:rFonts w:ascii="Calibri" w:eastAsia="Times New Roman" w:hAnsi="Calibri" w:cs="Calibri"/>
          <w:sz w:val="22"/>
          <w:szCs w:val="22"/>
          <w:lang w:eastAsia="en-NZ"/>
        </w:rPr>
        <w:t>activity relat</w:t>
      </w:r>
      <w:r w:rsidR="003F5F57" w:rsidRPr="00E73789">
        <w:rPr>
          <w:rStyle w:val="normaltextrun1"/>
          <w:rFonts w:ascii="Calibri" w:eastAsia="Times New Roman" w:hAnsi="Calibri" w:cs="Calibri"/>
          <w:sz w:val="22"/>
          <w:szCs w:val="22"/>
          <w:lang w:eastAsia="en-NZ"/>
        </w:rPr>
        <w:t xml:space="preserve">ing to </w:t>
      </w:r>
      <w:r w:rsidR="000731F7" w:rsidRPr="00E73789">
        <w:rPr>
          <w:rStyle w:val="normaltextrun1"/>
          <w:rFonts w:ascii="Calibri" w:eastAsia="Times New Roman" w:hAnsi="Calibri" w:cs="Calibri"/>
          <w:sz w:val="22"/>
          <w:szCs w:val="22"/>
          <w:lang w:eastAsia="en-NZ"/>
        </w:rPr>
        <w:t>alcohol and other drugs.</w:t>
      </w:r>
    </w:p>
    <w:p w14:paraId="0328A632" w14:textId="125C29F9" w:rsidR="00D635F0" w:rsidRPr="007100D4" w:rsidRDefault="00FE6AA6" w:rsidP="00D635F0">
      <w:r>
        <w:t>Police ha</w:t>
      </w:r>
      <w:r w:rsidR="00E409B4">
        <w:t>s</w:t>
      </w:r>
      <w:r>
        <w:t xml:space="preserve"> implemented the intent of</w:t>
      </w:r>
      <w:r w:rsidDel="0001189A">
        <w:t xml:space="preserve"> </w:t>
      </w:r>
      <w:r>
        <w:t xml:space="preserve">recommendation </w:t>
      </w:r>
      <w:r w:rsidR="00E47F2F">
        <w:t xml:space="preserve">27 </w:t>
      </w:r>
      <w:r w:rsidR="005061AF">
        <w:t>to the exten</w:t>
      </w:r>
      <w:r w:rsidR="00BD74EE">
        <w:t>t</w:t>
      </w:r>
      <w:r w:rsidR="005061AF">
        <w:t xml:space="preserve"> that they can within the existing legal framework</w:t>
      </w:r>
      <w:r>
        <w:t xml:space="preserve"> </w:t>
      </w:r>
      <w:r w:rsidR="0001189A">
        <w:t>when</w:t>
      </w:r>
      <w:r w:rsidR="0001189A" w:rsidDel="3F3B84A7">
        <w:t xml:space="preserve"> </w:t>
      </w:r>
      <w:r>
        <w:t>using</w:t>
      </w:r>
      <w:r w:rsidR="00D635F0" w:rsidRPr="6A2BD812">
        <w:t xml:space="preserve"> their discretion not to prosecute for possession and personal use of controlled drug offences. </w:t>
      </w:r>
      <w:r w:rsidR="00863600">
        <w:t>Police avoid c</w:t>
      </w:r>
      <w:r w:rsidR="00863600" w:rsidRPr="6A2BD812">
        <w:t>riminal</w:t>
      </w:r>
      <w:r w:rsidR="00D635F0" w:rsidRPr="6A2BD812">
        <w:t xml:space="preserve"> sanctions </w:t>
      </w:r>
      <w:r w:rsidR="00863600">
        <w:t>where suitable</w:t>
      </w:r>
      <w:r w:rsidR="00D635F0" w:rsidRPr="6A2BD812">
        <w:t xml:space="preserve"> and </w:t>
      </w:r>
      <w:r w:rsidR="00567C52">
        <w:t xml:space="preserve">consider whether to </w:t>
      </w:r>
      <w:r w:rsidR="0001189A">
        <w:t xml:space="preserve">refer </w:t>
      </w:r>
      <w:r w:rsidR="00D635F0" w:rsidRPr="6A2BD812">
        <w:t>people to health-based services</w:t>
      </w:r>
      <w:r w:rsidR="001B74D9">
        <w:t xml:space="preserve"> </w:t>
      </w:r>
      <w:r w:rsidR="001B74D9" w:rsidRPr="009A61F2">
        <w:t xml:space="preserve">but also </w:t>
      </w:r>
      <w:r w:rsidR="007B2AE7" w:rsidRPr="009A61F2">
        <w:t>consider</w:t>
      </w:r>
      <w:r w:rsidR="001B74D9" w:rsidRPr="009A61F2">
        <w:t xml:space="preserve"> the public interest as provided for in legislation where this is necessary and appropriate</w:t>
      </w:r>
      <w:r w:rsidR="001B74D9">
        <w:t>.</w:t>
      </w:r>
      <w:r w:rsidR="00D635F0" w:rsidRPr="6A2BD812">
        <w:t xml:space="preserve"> In addition, substantial progress has been made to provide a broad, accessible and sustainable range of services for people who use illegal drugs harmfully.  </w:t>
      </w:r>
    </w:p>
    <w:p w14:paraId="6D267C24" w14:textId="56F6057E" w:rsidR="00600E4A" w:rsidRDefault="00C93EBC" w:rsidP="009E4FC2">
      <w:pPr>
        <w:autoSpaceDE w:val="0"/>
        <w:autoSpaceDN w:val="0"/>
        <w:adjustRightInd w:val="0"/>
        <w:spacing w:after="0" w:line="240" w:lineRule="auto"/>
        <w:rPr>
          <w:color w:val="000000" w:themeColor="text1"/>
        </w:rPr>
      </w:pPr>
      <w:r w:rsidRPr="2C038A1A">
        <w:rPr>
          <w:color w:val="000000" w:themeColor="text1"/>
        </w:rPr>
        <w:t xml:space="preserve">More recently, the Ministry of Health has been progressing Kia Manawanui: Long term pathway to mental wellbeing 2021. Kia Manawanui </w:t>
      </w:r>
      <w:r w:rsidR="00AC1C55">
        <w:rPr>
          <w:color w:val="000000" w:themeColor="text1"/>
        </w:rPr>
        <w:t xml:space="preserve">contains a series of actions to be implemented over a ten-year horizon and include commitments </w:t>
      </w:r>
      <w:r w:rsidR="00BC1DA0">
        <w:rPr>
          <w:color w:val="000000" w:themeColor="text1"/>
        </w:rPr>
        <w:t xml:space="preserve">in support of the </w:t>
      </w:r>
      <w:r w:rsidRPr="2C038A1A">
        <w:rPr>
          <w:color w:val="000000" w:themeColor="text1"/>
        </w:rPr>
        <w:t xml:space="preserve">intent of recommendations 27 and 28 of </w:t>
      </w:r>
      <w:proofErr w:type="spellStart"/>
      <w:r w:rsidRPr="2C038A1A">
        <w:rPr>
          <w:color w:val="000000" w:themeColor="text1"/>
        </w:rPr>
        <w:t>He</w:t>
      </w:r>
      <w:proofErr w:type="spellEnd"/>
      <w:r w:rsidRPr="2C038A1A">
        <w:rPr>
          <w:color w:val="000000" w:themeColor="text1"/>
        </w:rPr>
        <w:t xml:space="preserve"> Ara </w:t>
      </w:r>
      <w:proofErr w:type="spellStart"/>
      <w:r w:rsidRPr="2C038A1A">
        <w:rPr>
          <w:color w:val="000000" w:themeColor="text1"/>
        </w:rPr>
        <w:t>Oranga</w:t>
      </w:r>
      <w:proofErr w:type="spellEnd"/>
      <w:r w:rsidR="005A7648" w:rsidRPr="2C038A1A">
        <w:rPr>
          <w:color w:val="000000" w:themeColor="text1"/>
        </w:rPr>
        <w:t xml:space="preserve">.  </w:t>
      </w:r>
    </w:p>
    <w:p w14:paraId="23E9730C" w14:textId="77777777" w:rsidR="009E4FC2" w:rsidRPr="009E4FC2" w:rsidRDefault="009E4FC2" w:rsidP="009E4FC2">
      <w:pPr>
        <w:autoSpaceDE w:val="0"/>
        <w:autoSpaceDN w:val="0"/>
        <w:adjustRightInd w:val="0"/>
        <w:spacing w:after="0" w:line="240" w:lineRule="auto"/>
        <w:rPr>
          <w:color w:val="000000"/>
        </w:rPr>
      </w:pPr>
    </w:p>
    <w:p w14:paraId="3A509B19" w14:textId="43064ED1" w:rsidR="003870E4" w:rsidRDefault="00072B4F" w:rsidP="007B765E">
      <w:pPr>
        <w:pStyle w:val="Heading4"/>
        <w:rPr>
          <w:color w:val="000000"/>
        </w:rPr>
      </w:pPr>
      <w:r w:rsidRPr="2C038A1A">
        <w:t xml:space="preserve">Budget 2019 – </w:t>
      </w:r>
      <w:r w:rsidR="00EC3D9A">
        <w:t>sustaining</w:t>
      </w:r>
      <w:r w:rsidRPr="2C038A1A">
        <w:t xml:space="preserve"> existing services and establishing some new initiatives</w:t>
      </w:r>
      <w:r w:rsidR="003870E4" w:rsidRPr="2C038A1A">
        <w:t>.</w:t>
      </w:r>
      <w:r w:rsidR="008B373A">
        <w:t xml:space="preserve"> </w:t>
      </w:r>
    </w:p>
    <w:p w14:paraId="2218EE34" w14:textId="0FEAD3C8" w:rsidR="00072B4F" w:rsidRPr="00471B66" w:rsidRDefault="00A15DDD" w:rsidP="00072B4F">
      <w:pPr>
        <w:autoSpaceDE w:val="0"/>
        <w:autoSpaceDN w:val="0"/>
        <w:adjustRightInd w:val="0"/>
        <w:spacing w:after="0" w:line="240" w:lineRule="auto"/>
        <w:rPr>
          <w:color w:val="000000"/>
        </w:rPr>
      </w:pPr>
      <w:r w:rsidRPr="0A6690E8">
        <w:rPr>
          <w:color w:val="000000" w:themeColor="text1"/>
        </w:rPr>
        <w:t xml:space="preserve">Government’s response </w:t>
      </w:r>
      <w:r w:rsidR="00E73789" w:rsidRPr="0A6690E8">
        <w:rPr>
          <w:color w:val="000000" w:themeColor="text1"/>
        </w:rPr>
        <w:t xml:space="preserve">to </w:t>
      </w:r>
      <w:proofErr w:type="spellStart"/>
      <w:r w:rsidR="00E73789" w:rsidRPr="0A6690E8">
        <w:rPr>
          <w:i/>
          <w:color w:val="000000" w:themeColor="text1"/>
        </w:rPr>
        <w:t>He</w:t>
      </w:r>
      <w:proofErr w:type="spellEnd"/>
      <w:r w:rsidR="00E73789" w:rsidRPr="0A6690E8">
        <w:rPr>
          <w:i/>
          <w:color w:val="000000" w:themeColor="text1"/>
        </w:rPr>
        <w:t xml:space="preserve"> Ara </w:t>
      </w:r>
      <w:proofErr w:type="spellStart"/>
      <w:r w:rsidR="00E73789" w:rsidRPr="0A6690E8">
        <w:rPr>
          <w:i/>
          <w:color w:val="000000" w:themeColor="text1"/>
        </w:rPr>
        <w:t>Oranga</w:t>
      </w:r>
      <w:proofErr w:type="spellEnd"/>
      <w:r w:rsidR="00E73789" w:rsidRPr="0A6690E8">
        <w:rPr>
          <w:color w:val="000000" w:themeColor="text1"/>
        </w:rPr>
        <w:t xml:space="preserve"> to </w:t>
      </w:r>
      <w:r w:rsidRPr="0A6690E8">
        <w:rPr>
          <w:color w:val="000000" w:themeColor="text1"/>
        </w:rPr>
        <w:t xml:space="preserve">date </w:t>
      </w:r>
      <w:r w:rsidR="0016748A" w:rsidRPr="0A6690E8">
        <w:rPr>
          <w:color w:val="000000" w:themeColor="text1"/>
        </w:rPr>
        <w:t xml:space="preserve">includes </w:t>
      </w:r>
      <w:r w:rsidR="00072B4F" w:rsidRPr="0A6690E8">
        <w:rPr>
          <w:color w:val="000000" w:themeColor="text1"/>
        </w:rPr>
        <w:t>Budget 2019</w:t>
      </w:r>
      <w:r w:rsidR="000C739F" w:rsidRPr="0A6690E8">
        <w:rPr>
          <w:color w:val="000000" w:themeColor="text1"/>
        </w:rPr>
        <w:t xml:space="preserve"> </w:t>
      </w:r>
      <w:r w:rsidR="009B34F3" w:rsidRPr="0A6690E8">
        <w:rPr>
          <w:color w:val="000000" w:themeColor="text1"/>
        </w:rPr>
        <w:t xml:space="preserve">investment of </w:t>
      </w:r>
      <w:r w:rsidR="00072B4F" w:rsidRPr="0A6690E8">
        <w:rPr>
          <w:rFonts w:eastAsia="Times New Roman"/>
        </w:rPr>
        <w:t xml:space="preserve">$69 million over four years </w:t>
      </w:r>
      <w:r w:rsidR="00072B4F" w:rsidRPr="0A6690E8">
        <w:rPr>
          <w:color w:val="000000" w:themeColor="text1"/>
        </w:rPr>
        <w:t xml:space="preserve">in AOD </w:t>
      </w:r>
      <w:r w:rsidR="00C009AC" w:rsidRPr="0A6690E8">
        <w:rPr>
          <w:color w:val="000000" w:themeColor="text1"/>
        </w:rPr>
        <w:t xml:space="preserve">treatment </w:t>
      </w:r>
      <w:r w:rsidR="00072B4F" w:rsidRPr="0A6690E8">
        <w:rPr>
          <w:color w:val="000000" w:themeColor="text1"/>
        </w:rPr>
        <w:t>services</w:t>
      </w:r>
      <w:r w:rsidR="00FC11B8" w:rsidRPr="0A6690E8">
        <w:rPr>
          <w:color w:val="000000" w:themeColor="text1"/>
        </w:rPr>
        <w:t xml:space="preserve">. </w:t>
      </w:r>
      <w:r w:rsidR="00F83DD3" w:rsidRPr="0A6690E8">
        <w:rPr>
          <w:color w:val="000000" w:themeColor="text1"/>
        </w:rPr>
        <w:t xml:space="preserve">This is a mix of spending to update investment in established services, and to introduce new initiatives.  Investment </w:t>
      </w:r>
      <w:r w:rsidR="00FC11B8" w:rsidRPr="0A6690E8">
        <w:rPr>
          <w:color w:val="000000" w:themeColor="text1"/>
        </w:rPr>
        <w:t>include</w:t>
      </w:r>
      <w:r w:rsidR="00F83DD3" w:rsidRPr="0A6690E8">
        <w:rPr>
          <w:color w:val="000000" w:themeColor="text1"/>
        </w:rPr>
        <w:t>s</w:t>
      </w:r>
      <w:r w:rsidR="00072B4F" w:rsidRPr="0A6690E8">
        <w:rPr>
          <w:color w:val="000000" w:themeColor="text1"/>
        </w:rPr>
        <w:t>:</w:t>
      </w:r>
    </w:p>
    <w:p w14:paraId="3177102A" w14:textId="16EF26EC" w:rsidR="00072B4F" w:rsidRPr="00E73789" w:rsidRDefault="007922E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s</w:t>
      </w:r>
      <w:r w:rsidR="00072B4F" w:rsidRPr="00E73789">
        <w:rPr>
          <w:rStyle w:val="normaltextrun1"/>
          <w:rFonts w:ascii="Calibri" w:eastAsia="Times New Roman" w:hAnsi="Calibri" w:cs="Calibri"/>
          <w:sz w:val="22"/>
          <w:szCs w:val="22"/>
          <w:lang w:eastAsia="en-NZ"/>
        </w:rPr>
        <w:t>pecialist AOD services ($42m over four years for Vote Health, $2m for Vote Corrections)</w:t>
      </w:r>
    </w:p>
    <w:p w14:paraId="3FB3FBD7" w14:textId="45E36CA5" w:rsidR="00072B4F" w:rsidRPr="00E73789" w:rsidRDefault="007922E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p</w:t>
      </w:r>
      <w:r w:rsidR="00072B4F" w:rsidRPr="00E73789">
        <w:rPr>
          <w:rStyle w:val="normaltextrun1"/>
          <w:rFonts w:ascii="Calibri" w:eastAsia="Times New Roman" w:hAnsi="Calibri" w:cs="Calibri"/>
          <w:sz w:val="22"/>
          <w:szCs w:val="22"/>
          <w:lang w:eastAsia="en-NZ"/>
        </w:rPr>
        <w:t xml:space="preserve">rimary and </w:t>
      </w:r>
      <w:r w:rsidRPr="00E73789">
        <w:rPr>
          <w:rStyle w:val="normaltextrun1"/>
          <w:rFonts w:ascii="Calibri" w:eastAsia="Times New Roman" w:hAnsi="Calibri" w:cs="Calibri"/>
          <w:sz w:val="22"/>
          <w:szCs w:val="22"/>
          <w:lang w:eastAsia="en-NZ"/>
        </w:rPr>
        <w:t>c</w:t>
      </w:r>
      <w:r w:rsidR="00072B4F" w:rsidRPr="00E73789">
        <w:rPr>
          <w:rStyle w:val="normaltextrun1"/>
          <w:rFonts w:ascii="Calibri" w:eastAsia="Times New Roman" w:hAnsi="Calibri" w:cs="Calibri"/>
          <w:sz w:val="22"/>
          <w:szCs w:val="22"/>
          <w:lang w:eastAsia="en-NZ"/>
        </w:rPr>
        <w:t xml:space="preserve">ommunity </w:t>
      </w:r>
      <w:r w:rsidR="43381493" w:rsidRPr="7D3A91F2">
        <w:rPr>
          <w:rStyle w:val="normaltextrun1"/>
          <w:rFonts w:ascii="Calibri" w:eastAsia="Times New Roman" w:hAnsi="Calibri" w:cs="Calibri"/>
          <w:sz w:val="22"/>
          <w:szCs w:val="22"/>
          <w:lang w:eastAsia="en-NZ"/>
        </w:rPr>
        <w:t xml:space="preserve">alcohol and other drugs </w:t>
      </w:r>
      <w:r w:rsidR="00072B4F" w:rsidRPr="00E73789">
        <w:rPr>
          <w:rStyle w:val="normaltextrun1"/>
          <w:rFonts w:ascii="Calibri" w:eastAsia="Times New Roman" w:hAnsi="Calibri" w:cs="Calibri"/>
          <w:sz w:val="22"/>
          <w:szCs w:val="22"/>
          <w:lang w:eastAsia="en-NZ"/>
        </w:rPr>
        <w:t>AOD services ($14m over four years)</w:t>
      </w:r>
    </w:p>
    <w:p w14:paraId="76D1461D" w14:textId="3A5B3B8D" w:rsidR="00072B4F" w:rsidRPr="00E73789" w:rsidRDefault="007922E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t</w:t>
      </w:r>
      <w:r w:rsidR="00072B4F" w:rsidRPr="00E73789">
        <w:rPr>
          <w:rStyle w:val="normaltextrun1"/>
          <w:rFonts w:ascii="Calibri" w:eastAsia="Times New Roman" w:hAnsi="Calibri" w:cs="Calibri"/>
          <w:sz w:val="22"/>
          <w:szCs w:val="22"/>
          <w:lang w:eastAsia="en-NZ"/>
        </w:rPr>
        <w:t>he expansion of Pregnancy and Parenting Services to two new sites ($7m over four years)</w:t>
      </w:r>
    </w:p>
    <w:p w14:paraId="5B711580" w14:textId="123CA922" w:rsidR="00E2211D" w:rsidRPr="00E73789" w:rsidRDefault="007922E6"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E73789">
        <w:rPr>
          <w:rStyle w:val="normaltextrun1"/>
          <w:rFonts w:ascii="Calibri" w:eastAsia="Times New Roman" w:hAnsi="Calibri" w:cs="Calibri"/>
          <w:sz w:val="22"/>
          <w:szCs w:val="22"/>
          <w:lang w:eastAsia="en-NZ"/>
        </w:rPr>
        <w:t>s</w:t>
      </w:r>
      <w:r w:rsidR="00072B4F" w:rsidRPr="00E73789">
        <w:rPr>
          <w:rStyle w:val="normaltextrun1"/>
          <w:rFonts w:ascii="Calibri" w:eastAsia="Times New Roman" w:hAnsi="Calibri" w:cs="Calibri"/>
          <w:sz w:val="22"/>
          <w:szCs w:val="22"/>
          <w:lang w:eastAsia="en-NZ"/>
        </w:rPr>
        <w:t>ustainable funding for Te Ara Oranga, the Northland methamphetamine harm reduction pilot ($4m over four years).</w:t>
      </w:r>
      <w:r w:rsidR="005B1630" w:rsidRPr="00E73789">
        <w:rPr>
          <w:rStyle w:val="normaltextrun1"/>
          <w:rFonts w:ascii="Calibri" w:eastAsia="Times New Roman" w:hAnsi="Calibri" w:cs="Calibri"/>
          <w:sz w:val="22"/>
          <w:szCs w:val="22"/>
          <w:lang w:eastAsia="en-NZ"/>
        </w:rPr>
        <w:t xml:space="preserve"> </w:t>
      </w:r>
      <w:r w:rsidR="003E4F51" w:rsidRPr="00E73789">
        <w:rPr>
          <w:rStyle w:val="normaltextrun1"/>
          <w:rFonts w:ascii="Calibri" w:eastAsia="Times New Roman" w:hAnsi="Calibri" w:cs="Calibri"/>
          <w:sz w:val="22"/>
          <w:szCs w:val="22"/>
          <w:lang w:eastAsia="en-NZ"/>
        </w:rPr>
        <w:t xml:space="preserve"> </w:t>
      </w:r>
    </w:p>
    <w:p w14:paraId="50C7D711" w14:textId="42545A0B" w:rsidR="0071613E" w:rsidRPr="0076209A" w:rsidRDefault="00FD35F4" w:rsidP="0071613E">
      <w:pPr>
        <w:spacing w:line="240" w:lineRule="auto"/>
        <w:textAlignment w:val="baseline"/>
        <w:rPr>
          <w:lang w:eastAsia="en-NZ"/>
        </w:rPr>
      </w:pPr>
      <w:r w:rsidRPr="009E1547">
        <w:t xml:space="preserve">There has also been large-scale investment in mental health and addiction support for people experiencing mild to moderate </w:t>
      </w:r>
      <w:r w:rsidR="007D4119" w:rsidRPr="007D4119">
        <w:rPr>
          <w:lang w:eastAsia="en-NZ"/>
        </w:rPr>
        <w:t>mental health and/or alcohol and other drug concerns</w:t>
      </w:r>
      <w:r w:rsidRPr="009E1547">
        <w:t xml:space="preserve">. Budget 2019 provided $455 million over four years as a direct response to the concerns raised in </w:t>
      </w:r>
      <w:r w:rsidRPr="00583E2D">
        <w:rPr>
          <w:i/>
          <w:iCs/>
        </w:rPr>
        <w:t>He Ara Oranga</w:t>
      </w:r>
      <w:r w:rsidRPr="009E1547">
        <w:t xml:space="preserve"> about a ‘missing middle’ of people who experience mental health and addiction issues but whose needs do not currently require specialist support</w:t>
      </w:r>
      <w:r w:rsidRPr="0076209A">
        <w:t xml:space="preserve">. </w:t>
      </w:r>
      <w:r w:rsidR="0071613E" w:rsidRPr="0076209A">
        <w:rPr>
          <w:lang w:eastAsia="en-NZ"/>
        </w:rPr>
        <w:t xml:space="preserve">As part of this funding, new integrated primary mental health and addiction (IPMHA) services through general practice are being rolled out over a </w:t>
      </w:r>
      <w:r w:rsidR="006B0074" w:rsidRPr="0076209A">
        <w:rPr>
          <w:lang w:eastAsia="en-NZ"/>
        </w:rPr>
        <w:t>five-year</w:t>
      </w:r>
      <w:r w:rsidR="0071613E" w:rsidRPr="0076209A">
        <w:rPr>
          <w:lang w:eastAsia="en-NZ"/>
        </w:rPr>
        <w:t xml:space="preserve"> period.</w:t>
      </w:r>
    </w:p>
    <w:p w14:paraId="03BC9573" w14:textId="77777777" w:rsidR="00C67132" w:rsidRPr="005E5AFA" w:rsidRDefault="00C67132" w:rsidP="00C67132">
      <w:pPr>
        <w:spacing w:line="240" w:lineRule="auto"/>
        <w:textAlignment w:val="baseline"/>
        <w:rPr>
          <w:rFonts w:ascii="Calibri" w:eastAsia="Times New Roman" w:hAnsi="Calibri" w:cs="Calibri"/>
          <w:lang w:eastAsia="en-NZ"/>
        </w:rPr>
      </w:pPr>
      <w:r w:rsidRPr="0076209A">
        <w:rPr>
          <w:rFonts w:ascii="Calibri" w:eastAsia="Times New Roman" w:hAnsi="Calibri" w:cs="Calibri"/>
          <w:lang w:eastAsia="en-NZ"/>
        </w:rPr>
        <w:t>As at 30 April 2021, IPMHA services are being offered in 197 general practice locations in 16 DHB areas, 15 contracted youth services, 9 Pacific services and six kaupapa Māori services. These numbers will continue to grow as more services are established throughout the roll out. To date these services combined have provided over 130,000 sessions overall to people, and now deliver approximately 10,000 sessions each month</w:t>
      </w:r>
      <w:r w:rsidRPr="0076209A">
        <w:rPr>
          <w:rFonts w:ascii="Calibri" w:eastAsia="Times New Roman" w:hAnsi="Calibri" w:cs="Calibri"/>
          <w:i/>
          <w:iCs/>
          <w:lang w:eastAsia="en-NZ"/>
        </w:rPr>
        <w:t>.</w:t>
      </w:r>
    </w:p>
    <w:p w14:paraId="227D7695" w14:textId="083A53EC" w:rsidR="00110C0F" w:rsidRDefault="00110C0F" w:rsidP="00072B4F">
      <w:r>
        <w:t xml:space="preserve">Further detail of </w:t>
      </w:r>
      <w:r w:rsidR="00602312" w:rsidRPr="00583E2D">
        <w:rPr>
          <w:i/>
          <w:iCs/>
        </w:rPr>
        <w:t>He Ara Oranga</w:t>
      </w:r>
      <w:r w:rsidR="00017E75">
        <w:t xml:space="preserve">, </w:t>
      </w:r>
      <w:r>
        <w:t xml:space="preserve">recent Government investment in the mental health and addiction system </w:t>
      </w:r>
      <w:r w:rsidR="00017E75">
        <w:t xml:space="preserve">and Kia Manawanui </w:t>
      </w:r>
      <w:r>
        <w:t xml:space="preserve">is included in </w:t>
      </w:r>
      <w:r w:rsidR="1A298C6F">
        <w:t>A</w:t>
      </w:r>
      <w:r w:rsidRPr="007C5000">
        <w:t xml:space="preserve">ppendix </w:t>
      </w:r>
      <w:r w:rsidR="00424FE1">
        <w:t>3</w:t>
      </w:r>
      <w:r>
        <w:t xml:space="preserve">.  </w:t>
      </w:r>
    </w:p>
    <w:p w14:paraId="708ED8E0" w14:textId="1FD9D4A3" w:rsidR="000E6AB2" w:rsidRPr="00D76FFF" w:rsidRDefault="000E6AB2" w:rsidP="000E6AB2">
      <w:pPr>
        <w:pStyle w:val="Heading3"/>
      </w:pPr>
      <w:bookmarkStart w:id="67" w:name="_Toc74572645"/>
      <w:bookmarkStart w:id="68" w:name="_Toc75528222"/>
      <w:bookmarkStart w:id="69" w:name="_Toc75952886"/>
      <w:bookmarkStart w:id="70" w:name="_Toc78186450"/>
      <w:bookmarkStart w:id="71" w:name="_Toc74572648"/>
      <w:r>
        <w:lastRenderedPageBreak/>
        <w:t>Policing policy and operations</w:t>
      </w:r>
      <w:bookmarkEnd w:id="67"/>
      <w:bookmarkEnd w:id="68"/>
      <w:bookmarkEnd w:id="69"/>
      <w:bookmarkEnd w:id="70"/>
      <w:r>
        <w:t xml:space="preserve">  </w:t>
      </w:r>
    </w:p>
    <w:p w14:paraId="1E8DB4A8" w14:textId="4F41F12A" w:rsidR="00394149" w:rsidRDefault="000E6AB2" w:rsidP="00394149">
      <w:pPr>
        <w:pStyle w:val="CommentText"/>
        <w:textAlignment w:val="baseline"/>
        <w:rPr>
          <w:rStyle w:val="normaltextrun1"/>
          <w:rFonts w:ascii="Calibri" w:eastAsia="Times New Roman" w:hAnsi="Calibri" w:cs="Calibri"/>
          <w:sz w:val="22"/>
          <w:szCs w:val="22"/>
          <w:lang w:eastAsia="en-NZ"/>
        </w:rPr>
      </w:pPr>
      <w:r w:rsidRPr="36F57F34">
        <w:rPr>
          <w:rStyle w:val="normaltextrun1"/>
          <w:rFonts w:ascii="Calibri" w:eastAsia="Times New Roman" w:hAnsi="Calibri" w:cs="Calibri"/>
          <w:sz w:val="22"/>
          <w:szCs w:val="22"/>
          <w:lang w:eastAsia="en-NZ"/>
        </w:rPr>
        <w:t xml:space="preserve">Police has been changing its operating model for the last decade or more, with a greater focus on prevention and victims of crime. </w:t>
      </w:r>
      <w:r w:rsidR="00394149" w:rsidRPr="009A61F2">
        <w:rPr>
          <w:rStyle w:val="normaltextrun1"/>
          <w:rFonts w:ascii="Calibri" w:eastAsia="Times New Roman" w:hAnsi="Calibri" w:cs="Calibri"/>
          <w:sz w:val="22"/>
          <w:szCs w:val="22"/>
          <w:lang w:eastAsia="en-NZ"/>
        </w:rPr>
        <w:t>In relation to personal possession</w:t>
      </w:r>
      <w:r w:rsidR="007B2AE7" w:rsidRPr="009A61F2">
        <w:rPr>
          <w:rStyle w:val="normaltextrun1"/>
          <w:rFonts w:ascii="Calibri" w:eastAsia="Times New Roman" w:hAnsi="Calibri" w:cs="Calibri"/>
          <w:sz w:val="22"/>
          <w:szCs w:val="22"/>
          <w:lang w:eastAsia="en-NZ"/>
        </w:rPr>
        <w:t xml:space="preserve"> and </w:t>
      </w:r>
      <w:r w:rsidR="00394149" w:rsidRPr="009A61F2">
        <w:rPr>
          <w:rStyle w:val="normaltextrun1"/>
          <w:rFonts w:ascii="Calibri" w:eastAsia="Times New Roman" w:hAnsi="Calibri" w:cs="Calibri"/>
          <w:sz w:val="22"/>
          <w:szCs w:val="22"/>
          <w:lang w:eastAsia="en-NZ"/>
        </w:rPr>
        <w:t>use of drugs, this has been evidence</w:t>
      </w:r>
      <w:r w:rsidR="007B2AE7" w:rsidRPr="009A61F2">
        <w:rPr>
          <w:rStyle w:val="normaltextrun1"/>
          <w:rFonts w:ascii="Calibri" w:eastAsia="Times New Roman" w:hAnsi="Calibri" w:cs="Calibri"/>
          <w:sz w:val="22"/>
          <w:szCs w:val="22"/>
          <w:lang w:eastAsia="en-NZ"/>
        </w:rPr>
        <w:t>d</w:t>
      </w:r>
      <w:r w:rsidR="00394149" w:rsidRPr="009A61F2">
        <w:rPr>
          <w:rStyle w:val="normaltextrun1"/>
          <w:rFonts w:ascii="Calibri" w:eastAsia="Times New Roman" w:hAnsi="Calibri" w:cs="Calibri"/>
          <w:sz w:val="22"/>
          <w:szCs w:val="22"/>
          <w:lang w:eastAsia="en-NZ"/>
        </w:rPr>
        <w:t xml:space="preserve"> in a steady decline of cannabis related prosecutions, well in advance of the 2019 amendments.</w:t>
      </w:r>
      <w:r w:rsidR="00394149">
        <w:rPr>
          <w:rStyle w:val="normaltextrun1"/>
          <w:rFonts w:ascii="Calibri" w:eastAsia="Times New Roman" w:hAnsi="Calibri" w:cs="Calibri"/>
          <w:sz w:val="22"/>
          <w:szCs w:val="22"/>
          <w:lang w:eastAsia="en-NZ"/>
        </w:rPr>
        <w:t xml:space="preserve"> </w:t>
      </w:r>
    </w:p>
    <w:p w14:paraId="5F02E93D" w14:textId="44FAFBF1" w:rsidR="000E6AB2" w:rsidRDefault="000677D6" w:rsidP="00C20A50">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The following initiatives by NZ Police were i</w:t>
      </w:r>
      <w:r w:rsidR="00C20A50">
        <w:rPr>
          <w:rStyle w:val="normaltextrun1"/>
          <w:rFonts w:ascii="Calibri" w:eastAsia="Times New Roman" w:hAnsi="Calibri" w:cs="Calibri"/>
          <w:sz w:val="22"/>
          <w:szCs w:val="22"/>
          <w:lang w:eastAsia="en-NZ"/>
        </w:rPr>
        <w:t>n</w:t>
      </w:r>
      <w:r w:rsidR="009E4FC2">
        <w:rPr>
          <w:rStyle w:val="normaltextrun1"/>
          <w:rFonts w:ascii="Calibri" w:eastAsia="Times New Roman" w:hAnsi="Calibri" w:cs="Calibri"/>
          <w:sz w:val="22"/>
          <w:szCs w:val="22"/>
          <w:lang w:eastAsia="en-NZ"/>
        </w:rPr>
        <w:t xml:space="preserve"> </w:t>
      </w:r>
      <w:r w:rsidR="00C20A50">
        <w:rPr>
          <w:rStyle w:val="normaltextrun1"/>
          <w:rFonts w:ascii="Calibri" w:eastAsia="Times New Roman" w:hAnsi="Calibri" w:cs="Calibri"/>
          <w:sz w:val="22"/>
          <w:szCs w:val="22"/>
          <w:lang w:eastAsia="en-NZ"/>
        </w:rPr>
        <w:t>place</w:t>
      </w:r>
      <w:r w:rsidR="000E6AB2" w:rsidRPr="36F57F34">
        <w:rPr>
          <w:rStyle w:val="normaltextrun1"/>
          <w:rFonts w:ascii="Calibri" w:eastAsia="Times New Roman" w:hAnsi="Calibri" w:cs="Calibri"/>
          <w:sz w:val="22"/>
          <w:szCs w:val="22"/>
          <w:lang w:eastAsia="en-NZ"/>
        </w:rPr>
        <w:t xml:space="preserve"> in the lead-up to </w:t>
      </w:r>
      <w:r w:rsidR="000E6AB2">
        <w:rPr>
          <w:rStyle w:val="normaltextrun1"/>
          <w:rFonts w:ascii="Calibri" w:eastAsia="Times New Roman" w:hAnsi="Calibri" w:cs="Calibri"/>
          <w:sz w:val="22"/>
          <w:szCs w:val="22"/>
          <w:lang w:eastAsia="en-NZ"/>
        </w:rPr>
        <w:t xml:space="preserve">the </w:t>
      </w:r>
      <w:r w:rsidR="000E6AB2" w:rsidRPr="36F57F34">
        <w:rPr>
          <w:rStyle w:val="normaltextrun1"/>
          <w:rFonts w:ascii="Calibri" w:eastAsia="Times New Roman" w:hAnsi="Calibri" w:cs="Calibri"/>
          <w:sz w:val="22"/>
          <w:szCs w:val="22"/>
          <w:lang w:eastAsia="en-NZ"/>
        </w:rPr>
        <w:t>2019 amendments to MoDA:</w:t>
      </w:r>
    </w:p>
    <w:p w14:paraId="0DBABD01" w14:textId="773BBB09" w:rsidR="000E6AB2" w:rsidRPr="003325F4" w:rsidRDefault="000E6AB2" w:rsidP="00B603EC">
      <w:pPr>
        <w:pStyle w:val="CommentText"/>
        <w:numPr>
          <w:ilvl w:val="0"/>
          <w:numId w:val="7"/>
        </w:numPr>
        <w:spacing w:after="0"/>
        <w:ind w:hanging="720"/>
        <w:textAlignment w:val="baseline"/>
        <w:rPr>
          <w:rStyle w:val="normaltextrun1"/>
        </w:rPr>
      </w:pPr>
      <w:r w:rsidRPr="00E70504">
        <w:rPr>
          <w:rStyle w:val="normaltextrun1"/>
          <w:rFonts w:ascii="Calibri" w:eastAsia="Times New Roman" w:hAnsi="Calibri" w:cs="Calibri"/>
          <w:sz w:val="22"/>
          <w:szCs w:val="22"/>
          <w:lang w:eastAsia="en-NZ"/>
        </w:rPr>
        <w:t>Prevention First operating model - a</w:t>
      </w:r>
      <w:r w:rsidR="00C43A59" w:rsidRPr="00E70504">
        <w:rPr>
          <w:rStyle w:val="normaltextrun1"/>
          <w:rFonts w:ascii="Calibri" w:eastAsia="Times New Roman" w:hAnsi="Calibri" w:cs="Calibri"/>
          <w:sz w:val="22"/>
          <w:szCs w:val="22"/>
          <w:lang w:eastAsia="en-NZ"/>
        </w:rPr>
        <w:t>n</w:t>
      </w:r>
      <w:r w:rsidRPr="00E70504">
        <w:rPr>
          <w:rStyle w:val="normaltextrun1"/>
          <w:rFonts w:ascii="Calibri" w:eastAsia="Times New Roman" w:hAnsi="Calibri" w:cs="Calibri"/>
          <w:sz w:val="22"/>
          <w:szCs w:val="22"/>
          <w:lang w:eastAsia="en-NZ"/>
        </w:rPr>
        <w:t xml:space="preserve"> operating model that encourages prevention of harm and reduction of risk of reoffending</w:t>
      </w:r>
    </w:p>
    <w:p w14:paraId="4FF17BCC" w14:textId="79E1D6ED" w:rsidR="000E6AB2" w:rsidRPr="00E70504" w:rsidRDefault="000E6AB2"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proofErr w:type="spellStart"/>
      <w:r w:rsidRPr="00E70504">
        <w:rPr>
          <w:rStyle w:val="normaltextrun1"/>
          <w:rFonts w:ascii="Calibri" w:eastAsia="Times New Roman" w:hAnsi="Calibri" w:cs="Calibri"/>
          <w:sz w:val="22"/>
          <w:szCs w:val="22"/>
          <w:lang w:eastAsia="en-NZ"/>
        </w:rPr>
        <w:t>Te</w:t>
      </w:r>
      <w:proofErr w:type="spellEnd"/>
      <w:r w:rsidRPr="00E70504">
        <w:rPr>
          <w:rStyle w:val="normaltextrun1"/>
          <w:rFonts w:ascii="Calibri" w:eastAsia="Times New Roman" w:hAnsi="Calibri" w:cs="Calibri"/>
          <w:sz w:val="22"/>
          <w:szCs w:val="22"/>
          <w:lang w:eastAsia="en-NZ"/>
        </w:rPr>
        <w:t xml:space="preserve"> </w:t>
      </w:r>
      <w:proofErr w:type="spellStart"/>
      <w:r w:rsidRPr="00E70504">
        <w:rPr>
          <w:rStyle w:val="normaltextrun1"/>
          <w:rFonts w:ascii="Calibri" w:eastAsia="Times New Roman" w:hAnsi="Calibri" w:cs="Calibri"/>
          <w:sz w:val="22"/>
          <w:szCs w:val="22"/>
          <w:lang w:eastAsia="en-NZ"/>
        </w:rPr>
        <w:t>Huringa</w:t>
      </w:r>
      <w:proofErr w:type="spellEnd"/>
      <w:r w:rsidRPr="00E70504">
        <w:rPr>
          <w:rStyle w:val="normaltextrun1"/>
          <w:rFonts w:ascii="Calibri" w:eastAsia="Times New Roman" w:hAnsi="Calibri" w:cs="Calibri"/>
          <w:sz w:val="22"/>
          <w:szCs w:val="22"/>
          <w:lang w:eastAsia="en-NZ"/>
        </w:rPr>
        <w:t xml:space="preserve"> o </w:t>
      </w:r>
      <w:proofErr w:type="spellStart"/>
      <w:r w:rsidRPr="00E70504">
        <w:rPr>
          <w:rStyle w:val="normaltextrun1"/>
          <w:rFonts w:ascii="Calibri" w:eastAsia="Times New Roman" w:hAnsi="Calibri" w:cs="Calibri"/>
          <w:sz w:val="22"/>
          <w:szCs w:val="22"/>
          <w:lang w:eastAsia="en-NZ"/>
        </w:rPr>
        <w:t>Te</w:t>
      </w:r>
      <w:proofErr w:type="spellEnd"/>
      <w:r w:rsidRPr="00E70504">
        <w:rPr>
          <w:rStyle w:val="normaltextrun1"/>
          <w:rFonts w:ascii="Calibri" w:eastAsia="Times New Roman" w:hAnsi="Calibri" w:cs="Calibri"/>
          <w:sz w:val="22"/>
          <w:szCs w:val="22"/>
          <w:lang w:eastAsia="en-NZ"/>
        </w:rPr>
        <w:t xml:space="preserve"> Tai</w:t>
      </w:r>
      <w:r w:rsidR="00406F35" w:rsidRPr="00E70504">
        <w:rPr>
          <w:rStyle w:val="normaltextrun1"/>
          <w:rFonts w:ascii="Calibri" w:eastAsia="Times New Roman" w:hAnsi="Calibri" w:cs="Calibri"/>
          <w:sz w:val="22"/>
          <w:szCs w:val="22"/>
          <w:lang w:eastAsia="en-NZ"/>
        </w:rPr>
        <w:t xml:space="preserve"> </w:t>
      </w:r>
      <w:r w:rsidRPr="00E70504">
        <w:rPr>
          <w:rStyle w:val="normaltextrun1"/>
          <w:rFonts w:ascii="Calibri" w:eastAsia="Times New Roman" w:hAnsi="Calibri" w:cs="Calibri"/>
          <w:sz w:val="22"/>
          <w:szCs w:val="22"/>
          <w:lang w:eastAsia="en-NZ"/>
        </w:rPr>
        <w:t>- A whānau ora crime and crash prevention strategy </w:t>
      </w:r>
      <w:r w:rsidR="00406F35" w:rsidRPr="00E70504">
        <w:rPr>
          <w:rStyle w:val="normaltextrun1"/>
          <w:rFonts w:ascii="Calibri" w:eastAsia="Times New Roman" w:hAnsi="Calibri" w:cs="Calibri"/>
          <w:sz w:val="22"/>
          <w:szCs w:val="22"/>
          <w:lang w:eastAsia="en-NZ"/>
        </w:rPr>
        <w:t>which</w:t>
      </w:r>
      <w:r w:rsidRPr="00E70504">
        <w:rPr>
          <w:rStyle w:val="normaltextrun1"/>
          <w:rFonts w:ascii="Calibri" w:eastAsia="Times New Roman" w:hAnsi="Calibri" w:cs="Calibri"/>
          <w:sz w:val="22"/>
          <w:szCs w:val="22"/>
          <w:lang w:eastAsia="en-NZ"/>
        </w:rPr>
        <w:t xml:space="preserve"> focuses on keeping Māori from entering the criminal justice system and addressing the underlying causes of offending</w:t>
      </w:r>
    </w:p>
    <w:p w14:paraId="7E270FEE" w14:textId="798218BC" w:rsidR="000E6AB2" w:rsidRPr="00E70504" w:rsidRDefault="000E6AB2"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E70504">
        <w:rPr>
          <w:rStyle w:val="normaltextrun1"/>
          <w:rFonts w:ascii="Calibri" w:eastAsia="Times New Roman" w:hAnsi="Calibri" w:cs="Calibri"/>
          <w:sz w:val="22"/>
          <w:szCs w:val="22"/>
          <w:lang w:eastAsia="en-NZ"/>
        </w:rPr>
        <w:t>Te Pae Oranga iwi community panels – an iwi/Māori-led, restorative principled approach as an alternative to Court that holds people to account and enables them to put right the harm caused by their offending</w:t>
      </w:r>
      <w:r w:rsidR="00C43A59" w:rsidRPr="00E70504">
        <w:rPr>
          <w:rStyle w:val="normaltextrun1"/>
          <w:rFonts w:ascii="Calibri" w:eastAsia="Times New Roman" w:hAnsi="Calibri" w:cs="Calibri"/>
          <w:sz w:val="22"/>
          <w:szCs w:val="22"/>
          <w:lang w:eastAsia="en-NZ"/>
        </w:rPr>
        <w:t>. Te Pae Oranga is not yet available in every District.</w:t>
      </w:r>
      <w:r w:rsidRPr="00E70504">
        <w:rPr>
          <w:rStyle w:val="normaltextrun1"/>
          <w:rFonts w:ascii="Calibri" w:eastAsia="Times New Roman" w:hAnsi="Calibri" w:cs="Calibri"/>
          <w:sz w:val="22"/>
          <w:szCs w:val="22"/>
          <w:lang w:eastAsia="en-NZ"/>
        </w:rPr>
        <w:t xml:space="preserve"> </w:t>
      </w:r>
    </w:p>
    <w:p w14:paraId="3B9B20F6" w14:textId="11C20AE8" w:rsidR="000E6AB2" w:rsidRPr="00E70504" w:rsidRDefault="000E6AB2"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E70504">
        <w:rPr>
          <w:rStyle w:val="normaltextrun1"/>
          <w:rFonts w:ascii="Calibri" w:eastAsia="Times New Roman" w:hAnsi="Calibri" w:cs="Calibri"/>
          <w:sz w:val="22"/>
          <w:szCs w:val="22"/>
          <w:lang w:eastAsia="en-NZ"/>
        </w:rPr>
        <w:t>AWHI – a tool to allow Police Officers to refer people in need of support directly to agencies who can help.</w:t>
      </w:r>
    </w:p>
    <w:p w14:paraId="494C4ED0" w14:textId="5C2926B8" w:rsidR="000E6AB2" w:rsidRPr="00A95B0D" w:rsidRDefault="000E6AB2" w:rsidP="000E6AB2">
      <w:pPr>
        <w:textAlignment w:val="baseline"/>
        <w:rPr>
          <w:rStyle w:val="normaltextrun1"/>
          <w:rFonts w:ascii="Calibri" w:eastAsia="Times New Roman" w:hAnsi="Calibri" w:cs="Calibri"/>
          <w:lang w:eastAsia="en-NZ"/>
        </w:rPr>
      </w:pPr>
      <w:r>
        <w:rPr>
          <w:rStyle w:val="normaltextrun1"/>
          <w:rFonts w:ascii="Calibri" w:eastAsia="Times New Roman" w:hAnsi="Calibri" w:cs="Calibri"/>
          <w:lang w:eastAsia="en-NZ"/>
        </w:rPr>
        <w:t>T</w:t>
      </w:r>
      <w:r w:rsidRPr="36F57F34">
        <w:rPr>
          <w:rStyle w:val="normaltextrun1"/>
          <w:rFonts w:ascii="Calibri" w:eastAsia="Times New Roman" w:hAnsi="Calibri" w:cs="Calibri"/>
          <w:lang w:eastAsia="en-NZ"/>
        </w:rPr>
        <w:t xml:space="preserve">hese initiatives are set out in more detail </w:t>
      </w:r>
      <w:r w:rsidRPr="005038FC">
        <w:rPr>
          <w:rStyle w:val="normaltextrun1"/>
          <w:rFonts w:ascii="Calibri" w:eastAsia="Times New Roman" w:hAnsi="Calibri" w:cs="Calibri"/>
          <w:lang w:eastAsia="en-NZ"/>
        </w:rPr>
        <w:t xml:space="preserve">in </w:t>
      </w:r>
      <w:r w:rsidR="70F65838" w:rsidRPr="7D3A91F2">
        <w:rPr>
          <w:rStyle w:val="normaltextrun1"/>
          <w:rFonts w:ascii="Calibri" w:eastAsia="Times New Roman" w:hAnsi="Calibri" w:cs="Calibri"/>
          <w:lang w:eastAsia="en-NZ"/>
        </w:rPr>
        <w:t>A</w:t>
      </w:r>
      <w:r w:rsidRPr="005038FC">
        <w:rPr>
          <w:rStyle w:val="normaltextrun1"/>
          <w:rFonts w:ascii="Calibri" w:eastAsia="Times New Roman" w:hAnsi="Calibri" w:cs="Calibri"/>
          <w:lang w:eastAsia="en-NZ"/>
        </w:rPr>
        <w:t xml:space="preserve">ppendix </w:t>
      </w:r>
      <w:r w:rsidR="00424FE1">
        <w:rPr>
          <w:rStyle w:val="normaltextrun1"/>
          <w:rFonts w:ascii="Calibri" w:eastAsia="Times New Roman" w:hAnsi="Calibri" w:cs="Calibri"/>
          <w:lang w:eastAsia="en-NZ"/>
        </w:rPr>
        <w:t>4</w:t>
      </w:r>
      <w:r w:rsidRPr="36F57F34">
        <w:rPr>
          <w:rStyle w:val="normaltextrun1"/>
          <w:rFonts w:ascii="Calibri" w:eastAsia="Times New Roman" w:hAnsi="Calibri" w:cs="Calibri"/>
          <w:lang w:eastAsia="en-NZ"/>
        </w:rPr>
        <w:t>.</w:t>
      </w:r>
    </w:p>
    <w:p w14:paraId="2B6EA778" w14:textId="77777777" w:rsidR="0069353C" w:rsidRDefault="0069353C">
      <w:pPr>
        <w:rPr>
          <w:rStyle w:val="normaltextrun1"/>
          <w:rFonts w:asciiTheme="majorHAnsi" w:eastAsiaTheme="majorEastAsia" w:hAnsiTheme="majorHAnsi" w:cstheme="majorBidi"/>
          <w:color w:val="2F5496" w:themeColor="accent1" w:themeShade="BF"/>
          <w:sz w:val="32"/>
          <w:szCs w:val="32"/>
        </w:rPr>
      </w:pPr>
      <w:r>
        <w:rPr>
          <w:rStyle w:val="normaltextrun1"/>
        </w:rPr>
        <w:br w:type="page"/>
      </w:r>
    </w:p>
    <w:p w14:paraId="13DE9756" w14:textId="77777777" w:rsidR="00AA5DBA" w:rsidRPr="00416808" w:rsidRDefault="00AA5DBA" w:rsidP="00AA5DBA">
      <w:pPr>
        <w:pStyle w:val="Heading2"/>
      </w:pPr>
      <w:bookmarkStart w:id="72" w:name="_Toc78186451"/>
      <w:bookmarkStart w:id="73" w:name="_Toc74572634"/>
      <w:bookmarkStart w:id="74" w:name="_Toc75528216"/>
      <w:bookmarkStart w:id="75" w:name="_Toc75952880"/>
      <w:bookmarkStart w:id="76" w:name="_Toc75528223"/>
      <w:bookmarkStart w:id="77" w:name="_Toc75952887"/>
      <w:r w:rsidRPr="004A41BB">
        <w:lastRenderedPageBreak/>
        <w:t>PART ONE- HEALTH-BASED APPROACHES FOR THE EXERCISE OF POLICE DISCRETION</w:t>
      </w:r>
      <w:bookmarkEnd w:id="72"/>
    </w:p>
    <w:p w14:paraId="5D606D5F" w14:textId="77777777" w:rsidR="00AA5DBA" w:rsidRPr="00382B32" w:rsidRDefault="00AA5DBA" w:rsidP="00AA5DBA">
      <w:pPr>
        <w:pStyle w:val="Heading3"/>
      </w:pPr>
      <w:bookmarkStart w:id="78" w:name="_Toc78186452"/>
      <w:r>
        <w:t>R</w:t>
      </w:r>
      <w:r w:rsidRPr="00382B32">
        <w:t xml:space="preserve">eview </w:t>
      </w:r>
      <w:r>
        <w:t>s</w:t>
      </w:r>
      <w:r w:rsidRPr="00382B32">
        <w:t xml:space="preserve">cope and </w:t>
      </w:r>
      <w:bookmarkEnd w:id="73"/>
      <w:r>
        <w:t>o</w:t>
      </w:r>
      <w:r w:rsidRPr="00382B32">
        <w:t>bjectives</w:t>
      </w:r>
      <w:bookmarkEnd w:id="74"/>
      <w:bookmarkEnd w:id="75"/>
      <w:bookmarkEnd w:id="78"/>
    </w:p>
    <w:p w14:paraId="5750B904" w14:textId="77777777" w:rsidR="00AA5DBA" w:rsidRPr="00D13A26" w:rsidRDefault="00AA5DBA" w:rsidP="00AA5DBA">
      <w:pPr>
        <w:pStyle w:val="Heading4"/>
      </w:pPr>
      <w:bookmarkStart w:id="79" w:name="_Toc74572635"/>
      <w:r w:rsidRPr="00D13A26">
        <w:t xml:space="preserve">Review </w:t>
      </w:r>
      <w:bookmarkEnd w:id="79"/>
      <w:r>
        <w:t>scope</w:t>
      </w:r>
    </w:p>
    <w:p w14:paraId="4ED6B0AF" w14:textId="77777777" w:rsidR="00AA5DBA" w:rsidRDefault="00AA5DBA" w:rsidP="00AA5DBA">
      <w:r>
        <w:t xml:space="preserve">This report is specific to the section 7 amendments to MoDA (the “health-based approach amendment”) and considers the implementation and impact of the exercise of Police discretion </w:t>
      </w:r>
      <w:r w:rsidRPr="009A61F2">
        <w:t>and accompanying Health response.</w:t>
      </w:r>
      <w:r>
        <w:t xml:space="preserve">  </w:t>
      </w:r>
    </w:p>
    <w:p w14:paraId="1D450870" w14:textId="77777777" w:rsidR="00AA5DBA" w:rsidRDefault="00AA5DBA" w:rsidP="00AA5DBA">
      <w:r>
        <w:t>As amended, the relevant subsections of section 7 are:</w:t>
      </w:r>
    </w:p>
    <w:p w14:paraId="7C616283" w14:textId="77777777" w:rsidR="00AA5DBA" w:rsidRPr="00D13A26" w:rsidRDefault="00AA5DBA" w:rsidP="00AA5DBA">
      <w:pPr>
        <w:pStyle w:val="subprov1"/>
        <w:shd w:val="clear" w:color="auto" w:fill="FFFFFF"/>
        <w:ind w:left="709" w:right="379"/>
        <w:rPr>
          <w:rFonts w:asciiTheme="minorHAnsi" w:hAnsiTheme="minorHAnsi" w:cstheme="minorHAnsi"/>
          <w:i/>
          <w:iCs/>
          <w:color w:val="333333"/>
          <w:sz w:val="22"/>
          <w:szCs w:val="22"/>
        </w:rPr>
      </w:pPr>
      <w:r w:rsidRPr="00D13A26">
        <w:rPr>
          <w:rStyle w:val="label2"/>
          <w:rFonts w:asciiTheme="minorHAnsi" w:hAnsiTheme="minorHAnsi" w:cstheme="minorHAnsi"/>
          <w:i/>
          <w:iCs/>
          <w:color w:val="333333"/>
          <w:sz w:val="22"/>
          <w:szCs w:val="22"/>
        </w:rPr>
        <w:t>(5)</w:t>
      </w:r>
      <w:r w:rsidRPr="00D13A26">
        <w:rPr>
          <w:rFonts w:asciiTheme="minorHAnsi" w:hAnsiTheme="minorHAnsi" w:cstheme="minorHAnsi"/>
          <w:i/>
          <w:iCs/>
          <w:color w:val="333333"/>
          <w:sz w:val="22"/>
          <w:szCs w:val="22"/>
        </w:rPr>
        <w:t xml:space="preserve"> To avoid doubt, it is affirmed that there is a discretion to prosecute for an offence against subsection (1)﻿(a), and a prosecution should not be brought unless it is required in the public interest.</w:t>
      </w:r>
    </w:p>
    <w:p w14:paraId="3F0D33C6" w14:textId="77777777" w:rsidR="00AA5DBA" w:rsidRPr="00D13A26" w:rsidRDefault="00AA5DBA" w:rsidP="00AA5DBA">
      <w:pPr>
        <w:pStyle w:val="subprov1"/>
        <w:shd w:val="clear" w:color="auto" w:fill="FFFFFF"/>
        <w:ind w:left="709" w:right="379"/>
        <w:rPr>
          <w:rFonts w:asciiTheme="minorHAnsi" w:hAnsiTheme="minorHAnsi" w:cstheme="minorHAnsi"/>
          <w:i/>
          <w:iCs/>
          <w:color w:val="333333"/>
          <w:sz w:val="22"/>
          <w:szCs w:val="22"/>
        </w:rPr>
      </w:pPr>
      <w:r w:rsidRPr="00D13A26">
        <w:rPr>
          <w:rStyle w:val="label2"/>
          <w:rFonts w:asciiTheme="minorHAnsi" w:hAnsiTheme="minorHAnsi" w:cstheme="minorHAnsi"/>
          <w:i/>
          <w:iCs/>
          <w:color w:val="333333"/>
          <w:sz w:val="22"/>
          <w:szCs w:val="22"/>
        </w:rPr>
        <w:t>(6)</w:t>
      </w:r>
      <w:r w:rsidRPr="00D13A26">
        <w:rPr>
          <w:rFonts w:asciiTheme="minorHAnsi" w:hAnsiTheme="minorHAnsi" w:cstheme="minorHAnsi"/>
          <w:i/>
          <w:iCs/>
          <w:color w:val="333333"/>
          <w:sz w:val="22"/>
          <w:szCs w:val="22"/>
        </w:rPr>
        <w:t xml:space="preserve"> When considering whether a prosecution is required in the public interest, in addition to any other relevant matters, consideration should be given to whether a health-centred or therapeutic approach would be more beneficial to the public interest</w:t>
      </w:r>
    </w:p>
    <w:p w14:paraId="78881A41" w14:textId="77777777" w:rsidR="00AA5DBA" w:rsidRDefault="00AA5DBA" w:rsidP="00AA5DBA">
      <w:r>
        <w:t xml:space="preserve">The review does not investigate broader policy or operational issues, such as the decriminalisation of drugs for personal use. It also does not provide a performance audit of individual agencies or service providers.  </w:t>
      </w:r>
    </w:p>
    <w:p w14:paraId="18641BF6" w14:textId="77777777" w:rsidR="00AA5DBA" w:rsidRPr="009A7940" w:rsidRDefault="00AA5DBA" w:rsidP="00AA5DBA">
      <w:pPr>
        <w:pStyle w:val="Heading4"/>
      </w:pPr>
      <w:r>
        <w:t xml:space="preserve">Review objectives </w:t>
      </w:r>
    </w:p>
    <w:p w14:paraId="53917905" w14:textId="77777777" w:rsidR="00AA5DBA" w:rsidRDefault="00AA5DBA" w:rsidP="00AA5DBA">
      <w:r>
        <w:t xml:space="preserve">The overarching objective of the review is to understand the </w:t>
      </w:r>
      <w:r w:rsidDel="00995D84">
        <w:t>a</w:t>
      </w:r>
      <w:r>
        <w:t>mendment’s impact on supporting a health-based approach to drug-harm reduction and whether the intent of minimising harm associated with entry into or progression through the criminal justice system is being realised. The review team has therefore sought to understand how the amendments have been implemented, including systems and processes to support the intent of the amendment. In this review we seek to:</w:t>
      </w:r>
    </w:p>
    <w:p w14:paraId="0EDC87B1" w14:textId="77777777" w:rsidR="00AA5DBA" w:rsidRPr="008E434E" w:rsidRDefault="00AA5DBA" w:rsidP="00AA5DBA">
      <w:pPr>
        <w:pStyle w:val="ListParagraph"/>
        <w:numPr>
          <w:ilvl w:val="0"/>
          <w:numId w:val="3"/>
        </w:numPr>
        <w:ind w:left="709" w:hanging="709"/>
      </w:pPr>
      <w:r w:rsidRPr="008E434E">
        <w:t>understand the impact of the health-based approach amendment on relevant groups:  Police; mental health and addiction service providers; the court system and Judiciary; and people and communities who are affected by illegal drug use</w:t>
      </w:r>
    </w:p>
    <w:p w14:paraId="3D4E40BB" w14:textId="77777777" w:rsidR="00AA5DBA" w:rsidRPr="008E434E" w:rsidRDefault="00AA5DBA" w:rsidP="00AA5DBA">
      <w:pPr>
        <w:pStyle w:val="ListParagraph"/>
        <w:numPr>
          <w:ilvl w:val="0"/>
          <w:numId w:val="3"/>
        </w:numPr>
        <w:ind w:left="709" w:hanging="709"/>
      </w:pPr>
      <w:r w:rsidRPr="008E434E">
        <w:t>identify the relationships between referrals to health services from Police and the implementation of the amendment</w:t>
      </w:r>
    </w:p>
    <w:p w14:paraId="7E161EF2" w14:textId="77777777" w:rsidR="00AA5DBA" w:rsidRPr="008E434E" w:rsidRDefault="00AA5DBA" w:rsidP="00AA5DBA">
      <w:pPr>
        <w:pStyle w:val="ListParagraph"/>
        <w:numPr>
          <w:ilvl w:val="0"/>
          <w:numId w:val="3"/>
        </w:numPr>
        <w:ind w:left="709" w:hanging="709"/>
      </w:pPr>
      <w:r w:rsidRPr="008E434E">
        <w:t>capture any geographic or demographic differences in how the amendment is being implemented</w:t>
      </w:r>
    </w:p>
    <w:p w14:paraId="31AE2206" w14:textId="77777777" w:rsidR="00AA5DBA" w:rsidRPr="008E434E" w:rsidRDefault="00AA5DBA" w:rsidP="00AA5DBA">
      <w:pPr>
        <w:pStyle w:val="ListParagraph"/>
        <w:numPr>
          <w:ilvl w:val="0"/>
          <w:numId w:val="3"/>
        </w:numPr>
        <w:ind w:left="709" w:hanging="709"/>
      </w:pPr>
      <w:r w:rsidRPr="008E434E">
        <w:t xml:space="preserve">identify any implementation barriers, their causes and opportunities for improvement. Further information on the scope, objectives, approach, methodology and limitations of the review are included in appendix 2.  </w:t>
      </w:r>
    </w:p>
    <w:p w14:paraId="005C209E" w14:textId="77777777" w:rsidR="00AA5DBA" w:rsidRDefault="00AA5DBA" w:rsidP="00AA5DBA">
      <w:r>
        <w:t xml:space="preserve">To do this we have looked at both quantitative and qualitative data, systems and processes to understand outcomes. </w:t>
      </w:r>
    </w:p>
    <w:p w14:paraId="695BF81B" w14:textId="77777777" w:rsidR="00AA5DBA" w:rsidRDefault="00AA5DBA" w:rsidP="00AA5DBA">
      <w:r>
        <w:br w:type="page"/>
      </w:r>
    </w:p>
    <w:p w14:paraId="1E9B6E63" w14:textId="7AA404D3" w:rsidR="007173A2" w:rsidRPr="00B06F3D" w:rsidRDefault="00A879E2" w:rsidP="00B06F3D">
      <w:pPr>
        <w:pStyle w:val="Heading2"/>
        <w:rPr>
          <w:rStyle w:val="normaltextrun1"/>
        </w:rPr>
      </w:pPr>
      <w:bookmarkStart w:id="80" w:name="_Toc78186453"/>
      <w:r w:rsidRPr="004A41BB">
        <w:lastRenderedPageBreak/>
        <w:t>P</w:t>
      </w:r>
      <w:r w:rsidR="00B06F3D" w:rsidRPr="004A41BB">
        <w:t>ART</w:t>
      </w:r>
      <w:r w:rsidRPr="004A41BB">
        <w:t xml:space="preserve"> </w:t>
      </w:r>
      <w:r w:rsidR="00B06F3D" w:rsidRPr="004A41BB">
        <w:t>O</w:t>
      </w:r>
      <w:r w:rsidR="002C51BD" w:rsidRPr="004A41BB">
        <w:t>NE</w:t>
      </w:r>
      <w:r w:rsidR="00B06F3D" w:rsidRPr="00B06F3D">
        <w:rPr>
          <w:rStyle w:val="normaltextrun1"/>
        </w:rPr>
        <w:t xml:space="preserve"> </w:t>
      </w:r>
      <w:r w:rsidR="007668F7" w:rsidRPr="00B06F3D">
        <w:rPr>
          <w:rStyle w:val="normaltextrun1"/>
        </w:rPr>
        <w:t>REVIEW FINDINGS</w:t>
      </w:r>
      <w:bookmarkEnd w:id="76"/>
      <w:bookmarkEnd w:id="77"/>
      <w:bookmarkEnd w:id="80"/>
    </w:p>
    <w:p w14:paraId="415ADD46" w14:textId="42900102" w:rsidR="57CF6A25" w:rsidRPr="00012067" w:rsidRDefault="00FE6EDF" w:rsidP="00903F20">
      <w:pPr>
        <w:pStyle w:val="Heading3"/>
        <w:rPr>
          <w:rStyle w:val="normaltextrun1"/>
        </w:rPr>
      </w:pPr>
      <w:bookmarkStart w:id="81" w:name="_Toc75528224"/>
      <w:bookmarkStart w:id="82" w:name="_Toc75952888"/>
      <w:bookmarkStart w:id="83" w:name="_Toc78186454"/>
      <w:r w:rsidRPr="00903F20">
        <w:rPr>
          <w:rStyle w:val="normaltextrun1"/>
        </w:rPr>
        <w:t>I</w:t>
      </w:r>
      <w:r w:rsidR="007668F7" w:rsidRPr="00903F20">
        <w:rPr>
          <w:rStyle w:val="normaltextrun1"/>
        </w:rPr>
        <w:t>mplementation</w:t>
      </w:r>
      <w:bookmarkEnd w:id="81"/>
      <w:bookmarkEnd w:id="82"/>
      <w:bookmarkEnd w:id="83"/>
      <w:r w:rsidR="007668F7" w:rsidRPr="00012067">
        <w:rPr>
          <w:rStyle w:val="normaltextrun1"/>
        </w:rPr>
        <w:t xml:space="preserve"> </w:t>
      </w:r>
      <w:r w:rsidRPr="00012067">
        <w:rPr>
          <w:rStyle w:val="normaltextrun1"/>
        </w:rPr>
        <w:t xml:space="preserve"> </w:t>
      </w:r>
      <w:bookmarkEnd w:id="71"/>
    </w:p>
    <w:p w14:paraId="5A4DBA86" w14:textId="5B8F4F7C" w:rsidR="54739CB7" w:rsidRPr="006819E3" w:rsidRDefault="00A95197" w:rsidP="00C0547A">
      <w:pPr>
        <w:pStyle w:val="CommentText"/>
        <w:textAlignment w:val="baseline"/>
        <w:rPr>
          <w:rStyle w:val="normaltextrun1"/>
          <w:sz w:val="22"/>
          <w:szCs w:val="22"/>
        </w:rPr>
      </w:pPr>
      <w:r>
        <w:rPr>
          <w:rStyle w:val="normaltextrun1"/>
          <w:sz w:val="22"/>
          <w:szCs w:val="22"/>
        </w:rPr>
        <w:t xml:space="preserve">The following outlines what was established in the initial months of </w:t>
      </w:r>
      <w:r w:rsidR="005A2ED6">
        <w:rPr>
          <w:rStyle w:val="normaltextrun1"/>
          <w:sz w:val="22"/>
          <w:szCs w:val="22"/>
        </w:rPr>
        <w:t>implementation.</w:t>
      </w:r>
    </w:p>
    <w:p w14:paraId="190E9B8F" w14:textId="77777777" w:rsidR="00245C69" w:rsidRDefault="00245C69" w:rsidP="00245C69">
      <w:pPr>
        <w:pStyle w:val="Heading4"/>
      </w:pPr>
      <w:bookmarkStart w:id="84" w:name="_Toc74572649"/>
      <w:r>
        <w:t xml:space="preserve">A new system for health-based referrals </w:t>
      </w:r>
    </w:p>
    <w:p w14:paraId="02120F09" w14:textId="526DE725" w:rsidR="00963D98" w:rsidRDefault="00245C69" w:rsidP="00245C69">
      <w:pPr>
        <w:ind w:right="-164"/>
      </w:pPr>
      <w:r>
        <w:t xml:space="preserve">A new referral pathway was established by the Ministry of Health and Police to support implementation of the health-based approach amendment. This is a nationally consistent referral mechanism to the Alcohol Drug Helpline provided by the existing national telehealth service provider, </w:t>
      </w:r>
      <w:proofErr w:type="spellStart"/>
      <w:r>
        <w:t>Whakarongorau</w:t>
      </w:r>
      <w:proofErr w:type="spellEnd"/>
      <w:r>
        <w:t xml:space="preserve"> Aotearoa (then known as Homecare Medical).  </w:t>
      </w:r>
    </w:p>
    <w:p w14:paraId="746FA569" w14:textId="2C2C6915" w:rsidR="00245C69" w:rsidRDefault="00963D98" w:rsidP="00245C69">
      <w:pPr>
        <w:ind w:right="-164"/>
      </w:pPr>
      <w:r>
        <w:t xml:space="preserve">The referral pathway is referred to in this report as the MoDA Referral Pathway and discussed </w:t>
      </w:r>
      <w:r w:rsidR="00245C69">
        <w:t>in the Referrals to Health Services section of this report</w:t>
      </w:r>
      <w:r w:rsidR="00410A79">
        <w:t>.</w:t>
      </w:r>
    </w:p>
    <w:p w14:paraId="696BD60D" w14:textId="296D3C38" w:rsidR="00BA7FDC" w:rsidRPr="00151E97" w:rsidRDefault="00BA7FDC" w:rsidP="00903F20">
      <w:pPr>
        <w:pStyle w:val="Heading4"/>
      </w:pPr>
      <w:r w:rsidRPr="00151E97">
        <w:rPr>
          <w:rStyle w:val="normaltextrun1"/>
        </w:rPr>
        <w:t xml:space="preserve">Police </w:t>
      </w:r>
      <w:r w:rsidR="0008556A" w:rsidRPr="00903F20">
        <w:rPr>
          <w:rStyle w:val="normaltextrun1"/>
        </w:rPr>
        <w:t>g</w:t>
      </w:r>
      <w:r w:rsidRPr="00903F20">
        <w:rPr>
          <w:rStyle w:val="normaltextrun1"/>
        </w:rPr>
        <w:t>uidance</w:t>
      </w:r>
      <w:r w:rsidRPr="00151E97">
        <w:rPr>
          <w:rStyle w:val="normaltextrun1"/>
        </w:rPr>
        <w:t xml:space="preserve"> and training</w:t>
      </w:r>
      <w:bookmarkEnd w:id="84"/>
      <w:r w:rsidRPr="00151E97">
        <w:rPr>
          <w:rStyle w:val="eop"/>
        </w:rPr>
        <w:t> </w:t>
      </w:r>
    </w:p>
    <w:p w14:paraId="0D55F38E" w14:textId="64331110" w:rsidR="00BA7FDC" w:rsidRPr="00D07B15" w:rsidRDefault="00AA015F" w:rsidP="005018AD">
      <w:pPr>
        <w:pStyle w:val="paragraph"/>
        <w:textAlignment w:val="baseline"/>
        <w:rPr>
          <w:rFonts w:asciiTheme="minorHAnsi" w:eastAsiaTheme="minorEastAsia" w:hAnsiTheme="minorHAnsi" w:cstheme="minorHAnsi"/>
          <w:sz w:val="22"/>
          <w:szCs w:val="22"/>
        </w:rPr>
      </w:pPr>
      <w:r>
        <w:rPr>
          <w:rStyle w:val="normaltextrun1"/>
          <w:rFonts w:ascii="Calibri" w:hAnsi="Calibri" w:cs="Calibri"/>
          <w:sz w:val="22"/>
          <w:szCs w:val="22"/>
        </w:rPr>
        <w:t>O</w:t>
      </w:r>
      <w:r w:rsidR="3D207E6A" w:rsidRPr="5E903C6E">
        <w:rPr>
          <w:rStyle w:val="normaltextrun1"/>
          <w:rFonts w:ascii="Calibri" w:hAnsi="Calibri" w:cs="Calibri"/>
          <w:sz w:val="22"/>
          <w:szCs w:val="22"/>
        </w:rPr>
        <w:t>n</w:t>
      </w:r>
      <w:r w:rsidR="00BA7FDC">
        <w:rPr>
          <w:rStyle w:val="normaltextrun1"/>
          <w:rFonts w:ascii="Calibri" w:hAnsi="Calibri" w:cs="Calibri"/>
          <w:sz w:val="22"/>
          <w:szCs w:val="22"/>
        </w:rPr>
        <w:t xml:space="preserve"> 13 August 2019</w:t>
      </w:r>
      <w:r w:rsidR="00167094">
        <w:rPr>
          <w:rStyle w:val="normaltextrun1"/>
          <w:rFonts w:ascii="Calibri" w:hAnsi="Calibri" w:cs="Calibri"/>
          <w:sz w:val="22"/>
          <w:szCs w:val="22"/>
        </w:rPr>
        <w:t xml:space="preserve">, </w:t>
      </w:r>
      <w:r w:rsidR="00BA7FDC">
        <w:rPr>
          <w:rStyle w:val="normaltextrun1"/>
          <w:rFonts w:ascii="Calibri" w:hAnsi="Calibri" w:cs="Calibri"/>
          <w:sz w:val="22"/>
          <w:szCs w:val="22"/>
        </w:rPr>
        <w:t xml:space="preserve">Police </w:t>
      </w:r>
      <w:r w:rsidR="00356F7C">
        <w:rPr>
          <w:rStyle w:val="normaltextrun1"/>
          <w:rFonts w:ascii="Calibri" w:hAnsi="Calibri" w:cs="Calibri"/>
          <w:sz w:val="22"/>
          <w:szCs w:val="22"/>
        </w:rPr>
        <w:t xml:space="preserve">advised </w:t>
      </w:r>
      <w:r w:rsidR="00A846D4">
        <w:rPr>
          <w:rStyle w:val="normaltextrun1"/>
          <w:rFonts w:ascii="Calibri" w:hAnsi="Calibri" w:cs="Calibri"/>
          <w:sz w:val="22"/>
          <w:szCs w:val="22"/>
        </w:rPr>
        <w:t xml:space="preserve">its </w:t>
      </w:r>
      <w:r w:rsidR="00356F7C">
        <w:rPr>
          <w:rStyle w:val="normaltextrun1"/>
          <w:rFonts w:ascii="Calibri" w:hAnsi="Calibri" w:cs="Calibri"/>
          <w:sz w:val="22"/>
          <w:szCs w:val="22"/>
        </w:rPr>
        <w:t xml:space="preserve">staff </w:t>
      </w:r>
      <w:r w:rsidR="00BA7FDC">
        <w:rPr>
          <w:rStyle w:val="normaltextrun1"/>
          <w:rFonts w:ascii="Calibri" w:hAnsi="Calibri" w:cs="Calibri"/>
          <w:sz w:val="22"/>
          <w:szCs w:val="22"/>
        </w:rPr>
        <w:t>that the Amendment Act had come into effect</w:t>
      </w:r>
      <w:r w:rsidR="00D07B15" w:rsidRPr="00D07B15">
        <w:rPr>
          <w:rFonts w:ascii="Calibri" w:eastAsiaTheme="majorEastAsia" w:hAnsi="Calibri" w:cs="Calibri"/>
        </w:rPr>
        <w:t xml:space="preserve"> </w:t>
      </w:r>
      <w:r w:rsidR="00D07B15" w:rsidRPr="009A61F2">
        <w:rPr>
          <w:rFonts w:asciiTheme="minorHAnsi" w:eastAsiaTheme="majorEastAsia" w:hAnsiTheme="minorHAnsi" w:cstheme="minorHAnsi"/>
          <w:sz w:val="22"/>
          <w:szCs w:val="22"/>
        </w:rPr>
        <w:t>and updated its operational guidance</w:t>
      </w:r>
      <w:r w:rsidR="00BA7FDC" w:rsidRPr="00D07B15">
        <w:rPr>
          <w:rFonts w:asciiTheme="minorHAnsi" w:hAnsiTheme="minorHAnsi" w:cstheme="minorHAnsi"/>
          <w:sz w:val="22"/>
          <w:szCs w:val="22"/>
        </w:rPr>
        <w:t xml:space="preserve">. </w:t>
      </w:r>
      <w:r w:rsidR="3D207E6A" w:rsidRPr="00D07B15">
        <w:rPr>
          <w:rFonts w:asciiTheme="minorHAnsi" w:hAnsiTheme="minorHAnsi" w:cstheme="minorHAnsi"/>
          <w:sz w:val="22"/>
          <w:szCs w:val="22"/>
        </w:rPr>
        <w:t>Th</w:t>
      </w:r>
      <w:r w:rsidR="41D18622" w:rsidRPr="00D07B15">
        <w:rPr>
          <w:rFonts w:asciiTheme="minorHAnsi" w:hAnsiTheme="minorHAnsi" w:cstheme="minorHAnsi"/>
          <w:sz w:val="22"/>
          <w:szCs w:val="22"/>
        </w:rPr>
        <w:t>e</w:t>
      </w:r>
      <w:r w:rsidR="00F925D3" w:rsidRPr="00D07B15">
        <w:rPr>
          <w:rFonts w:asciiTheme="minorHAnsi" w:hAnsiTheme="minorHAnsi" w:cstheme="minorHAnsi"/>
          <w:sz w:val="22"/>
          <w:szCs w:val="22"/>
        </w:rPr>
        <w:t xml:space="preserve"> </w:t>
      </w:r>
      <w:r w:rsidR="41D18622" w:rsidRPr="00D07B15">
        <w:rPr>
          <w:rFonts w:asciiTheme="minorHAnsi" w:hAnsiTheme="minorHAnsi" w:cstheme="minorHAnsi"/>
          <w:sz w:val="22"/>
          <w:szCs w:val="22"/>
        </w:rPr>
        <w:t>advice</w:t>
      </w:r>
      <w:r w:rsidR="00F925D3" w:rsidRPr="00D07B15">
        <w:rPr>
          <w:rFonts w:asciiTheme="minorHAnsi" w:hAnsiTheme="minorHAnsi" w:cstheme="minorHAnsi"/>
          <w:sz w:val="22"/>
          <w:szCs w:val="22"/>
        </w:rPr>
        <w:t xml:space="preserve"> </w:t>
      </w:r>
      <w:r w:rsidR="41168DF4" w:rsidRPr="00D07B15">
        <w:rPr>
          <w:rFonts w:asciiTheme="minorHAnsi" w:hAnsiTheme="minorHAnsi" w:cstheme="minorHAnsi"/>
          <w:sz w:val="22"/>
          <w:szCs w:val="22"/>
        </w:rPr>
        <w:t>included</w:t>
      </w:r>
      <w:r w:rsidR="3D207E6A" w:rsidRPr="00D07B15">
        <w:rPr>
          <w:rFonts w:asciiTheme="minorHAnsi" w:hAnsiTheme="minorHAnsi" w:cstheme="minorHAnsi"/>
          <w:sz w:val="22"/>
          <w:szCs w:val="22"/>
        </w:rPr>
        <w:t>: </w:t>
      </w:r>
    </w:p>
    <w:p w14:paraId="42C32E88" w14:textId="56ED8B3B" w:rsidR="00BA7FDC" w:rsidRPr="007E552D" w:rsidRDefault="01A0F3D7" w:rsidP="00B603EC">
      <w:pPr>
        <w:pStyle w:val="CommentText"/>
        <w:numPr>
          <w:ilvl w:val="0"/>
          <w:numId w:val="7"/>
        </w:numPr>
        <w:spacing w:after="0"/>
        <w:ind w:hanging="720"/>
        <w:textAlignment w:val="baseline"/>
        <w:rPr>
          <w:sz w:val="22"/>
          <w:szCs w:val="22"/>
        </w:rPr>
      </w:pPr>
      <w:r w:rsidRPr="00695AC6">
        <w:rPr>
          <w:rStyle w:val="normaltextrun1"/>
          <w:rFonts w:ascii="Calibri" w:eastAsia="Times New Roman" w:hAnsi="Calibri" w:cs="Calibri"/>
          <w:sz w:val="22"/>
          <w:szCs w:val="22"/>
          <w:lang w:eastAsia="en-NZ"/>
        </w:rPr>
        <w:t xml:space="preserve">the </w:t>
      </w:r>
      <w:r w:rsidRPr="008E576D">
        <w:rPr>
          <w:sz w:val="22"/>
          <w:szCs w:val="22"/>
        </w:rPr>
        <w:t xml:space="preserve">amendments to </w:t>
      </w:r>
      <w:r w:rsidR="340808B3" w:rsidRPr="28793BE0">
        <w:rPr>
          <w:sz w:val="22"/>
          <w:szCs w:val="22"/>
        </w:rPr>
        <w:t>MoDA;</w:t>
      </w:r>
    </w:p>
    <w:p w14:paraId="03D8143D" w14:textId="6CAF1732" w:rsidR="00BA7FDC" w:rsidRPr="007E552D" w:rsidRDefault="01A0F3D7" w:rsidP="00B603EC">
      <w:pPr>
        <w:pStyle w:val="CommentText"/>
        <w:numPr>
          <w:ilvl w:val="0"/>
          <w:numId w:val="7"/>
        </w:numPr>
        <w:spacing w:after="0"/>
        <w:ind w:hanging="720"/>
        <w:textAlignment w:val="baseline"/>
        <w:rPr>
          <w:sz w:val="22"/>
          <w:szCs w:val="22"/>
        </w:rPr>
      </w:pPr>
      <w:r w:rsidRPr="00695AC6">
        <w:rPr>
          <w:rStyle w:val="normaltextrun1"/>
          <w:rFonts w:ascii="Calibri" w:eastAsia="Times New Roman" w:hAnsi="Calibri" w:cs="Calibri"/>
          <w:sz w:val="22"/>
          <w:szCs w:val="22"/>
          <w:lang w:eastAsia="en-NZ"/>
        </w:rPr>
        <w:t xml:space="preserve">the introduction of the </w:t>
      </w:r>
      <w:r w:rsidR="00406F35">
        <w:rPr>
          <w:sz w:val="22"/>
          <w:szCs w:val="22"/>
        </w:rPr>
        <w:t>MoDA Referral Pathway</w:t>
      </w:r>
      <w:r w:rsidR="5F978456" w:rsidRPr="007E552D">
        <w:rPr>
          <w:sz w:val="22"/>
          <w:szCs w:val="22"/>
        </w:rPr>
        <w:t>;</w:t>
      </w:r>
    </w:p>
    <w:p w14:paraId="45951926" w14:textId="256A0B4E" w:rsidR="00BA7FDC" w:rsidRPr="007E552D" w:rsidRDefault="01A0F3D7" w:rsidP="00B603EC">
      <w:pPr>
        <w:pStyle w:val="CommentText"/>
        <w:numPr>
          <w:ilvl w:val="0"/>
          <w:numId w:val="7"/>
        </w:numPr>
        <w:spacing w:after="0"/>
        <w:ind w:hanging="720"/>
        <w:textAlignment w:val="baseline"/>
        <w:rPr>
          <w:sz w:val="22"/>
          <w:szCs w:val="22"/>
        </w:rPr>
      </w:pPr>
      <w:r w:rsidRPr="00695AC6">
        <w:rPr>
          <w:rStyle w:val="normaltextrun1"/>
          <w:rFonts w:ascii="Calibri" w:eastAsia="Times New Roman" w:hAnsi="Calibri" w:cs="Calibri"/>
          <w:sz w:val="22"/>
          <w:szCs w:val="22"/>
          <w:lang w:eastAsia="en-NZ"/>
        </w:rPr>
        <w:t>that there</w:t>
      </w:r>
      <w:r w:rsidRPr="007E552D">
        <w:rPr>
          <w:sz w:val="22"/>
          <w:szCs w:val="22"/>
        </w:rPr>
        <w:t xml:space="preserve"> was </w:t>
      </w:r>
      <w:r w:rsidRPr="00F925D3">
        <w:rPr>
          <w:sz w:val="22"/>
          <w:szCs w:val="22"/>
        </w:rPr>
        <w:t xml:space="preserve">guidance in the Police </w:t>
      </w:r>
      <w:proofErr w:type="spellStart"/>
      <w:r w:rsidRPr="00F925D3">
        <w:rPr>
          <w:sz w:val="22"/>
          <w:szCs w:val="22"/>
        </w:rPr>
        <w:t>CheckPoint</w:t>
      </w:r>
      <w:proofErr w:type="spellEnd"/>
      <w:r w:rsidRPr="00F925D3">
        <w:rPr>
          <w:sz w:val="22"/>
          <w:szCs w:val="22"/>
        </w:rPr>
        <w:t xml:space="preserve"> App</w:t>
      </w:r>
      <w:r w:rsidRPr="007E552D">
        <w:rPr>
          <w:sz w:val="22"/>
          <w:szCs w:val="22"/>
        </w:rPr>
        <w:t xml:space="preserve"> on making a health referral, and an online referral form</w:t>
      </w:r>
      <w:r w:rsidR="1995F840" w:rsidRPr="28793BE0">
        <w:rPr>
          <w:sz w:val="22"/>
          <w:szCs w:val="22"/>
        </w:rPr>
        <w:t>;</w:t>
      </w:r>
    </w:p>
    <w:p w14:paraId="39A4FB5E" w14:textId="4A0C1068" w:rsidR="00BA7FDC" w:rsidRPr="000D4137" w:rsidRDefault="00546004" w:rsidP="00B603EC">
      <w:pPr>
        <w:pStyle w:val="CommentText"/>
        <w:numPr>
          <w:ilvl w:val="0"/>
          <w:numId w:val="7"/>
        </w:numPr>
        <w:spacing w:after="0"/>
        <w:ind w:hanging="720"/>
        <w:textAlignment w:val="baseline"/>
        <w:rPr>
          <w:sz w:val="22"/>
          <w:szCs w:val="22"/>
        </w:rPr>
      </w:pPr>
      <w:r w:rsidRPr="00695AC6">
        <w:rPr>
          <w:rStyle w:val="normaltextrun1"/>
          <w:rFonts w:ascii="Calibri" w:eastAsia="Times New Roman" w:hAnsi="Calibri" w:cs="Calibri"/>
          <w:sz w:val="22"/>
          <w:szCs w:val="22"/>
          <w:lang w:eastAsia="en-NZ"/>
        </w:rPr>
        <w:t>amending Police instructions</w:t>
      </w:r>
      <w:r>
        <w:rPr>
          <w:sz w:val="22"/>
          <w:szCs w:val="22"/>
        </w:rPr>
        <w:t xml:space="preserve"> </w:t>
      </w:r>
      <w:r w:rsidRPr="000D4137">
        <w:rPr>
          <w:sz w:val="22"/>
          <w:szCs w:val="22"/>
        </w:rPr>
        <w:t xml:space="preserve">to </w:t>
      </w:r>
      <w:r w:rsidR="00E300AE" w:rsidRPr="000D4137">
        <w:rPr>
          <w:sz w:val="22"/>
          <w:szCs w:val="22"/>
        </w:rPr>
        <w:t xml:space="preserve">allow </w:t>
      </w:r>
      <w:r w:rsidR="01A0F3D7" w:rsidRPr="000D4137">
        <w:rPr>
          <w:sz w:val="22"/>
          <w:szCs w:val="22"/>
        </w:rPr>
        <w:t>low-level methamphetamine offences to receive a pre-charge warning (now</w:t>
      </w:r>
      <w:r w:rsidR="00AD32ED">
        <w:rPr>
          <w:sz w:val="22"/>
          <w:szCs w:val="22"/>
        </w:rPr>
        <w:t xml:space="preserve"> replaced by </w:t>
      </w:r>
      <w:r w:rsidR="01A0F3D7" w:rsidRPr="000D4137">
        <w:rPr>
          <w:sz w:val="22"/>
          <w:szCs w:val="22"/>
        </w:rPr>
        <w:t>a formal warning</w:t>
      </w:r>
      <w:r w:rsidR="01A0F3D7" w:rsidRPr="28793BE0">
        <w:rPr>
          <w:sz w:val="22"/>
          <w:szCs w:val="22"/>
        </w:rPr>
        <w:t>)</w:t>
      </w:r>
      <w:r w:rsidR="666FCF65" w:rsidRPr="28793BE0">
        <w:rPr>
          <w:sz w:val="22"/>
          <w:szCs w:val="22"/>
        </w:rPr>
        <w:t>; and</w:t>
      </w:r>
    </w:p>
    <w:p w14:paraId="753DD54C" w14:textId="180D4D6F" w:rsidR="00DB3C6F" w:rsidRPr="00695AC6" w:rsidRDefault="00C749AB" w:rsidP="00B603EC">
      <w:pPr>
        <w:pStyle w:val="CommentText"/>
        <w:numPr>
          <w:ilvl w:val="0"/>
          <w:numId w:val="7"/>
        </w:numPr>
        <w:ind w:hanging="720"/>
        <w:textAlignment w:val="baseline"/>
        <w:rPr>
          <w:rStyle w:val="normaltextrun1"/>
          <w:rFonts w:ascii="Calibri" w:eastAsia="Times New Roman" w:hAnsi="Calibri" w:cs="Calibri"/>
          <w:lang w:eastAsia="en-NZ"/>
        </w:rPr>
      </w:pPr>
      <w:r w:rsidRPr="00695AC6">
        <w:rPr>
          <w:rStyle w:val="normaltextrun1"/>
          <w:rFonts w:ascii="Calibri" w:eastAsia="Times New Roman" w:hAnsi="Calibri" w:cs="Calibri"/>
          <w:sz w:val="22"/>
          <w:szCs w:val="22"/>
          <w:lang w:eastAsia="en-NZ"/>
        </w:rPr>
        <w:t>a</w:t>
      </w:r>
      <w:r w:rsidR="00EB0200" w:rsidRPr="00695AC6">
        <w:rPr>
          <w:rStyle w:val="normaltextrun1"/>
          <w:rFonts w:ascii="Calibri" w:eastAsia="Times New Roman" w:hAnsi="Calibri" w:cs="Calibri"/>
          <w:sz w:val="22"/>
          <w:szCs w:val="22"/>
          <w:lang w:eastAsia="en-NZ"/>
        </w:rPr>
        <w:t xml:space="preserve">nswers to </w:t>
      </w:r>
      <w:r w:rsidR="00B3694E" w:rsidRPr="00695AC6">
        <w:rPr>
          <w:rStyle w:val="normaltextrun1"/>
          <w:rFonts w:ascii="Calibri" w:eastAsia="Times New Roman" w:hAnsi="Calibri" w:cs="Calibri"/>
          <w:sz w:val="22"/>
          <w:szCs w:val="22"/>
          <w:lang w:eastAsia="en-NZ"/>
        </w:rPr>
        <w:t>frequently asked</w:t>
      </w:r>
      <w:r w:rsidR="4F496B68" w:rsidRPr="00695AC6">
        <w:rPr>
          <w:rStyle w:val="normaltextrun1"/>
          <w:rFonts w:ascii="Calibri" w:eastAsia="Times New Roman" w:hAnsi="Calibri" w:cs="Calibri"/>
          <w:sz w:val="22"/>
          <w:szCs w:val="22"/>
          <w:lang w:eastAsia="en-NZ"/>
        </w:rPr>
        <w:t xml:space="preserve"> questions about the changes</w:t>
      </w:r>
      <w:r w:rsidR="4F496B68" w:rsidRPr="00695AC6">
        <w:rPr>
          <w:rStyle w:val="normaltextrun1"/>
          <w:rFonts w:ascii="Calibri" w:eastAsia="Times New Roman" w:hAnsi="Calibri" w:cs="Calibri"/>
          <w:lang w:eastAsia="en-NZ"/>
        </w:rPr>
        <w:t>. </w:t>
      </w:r>
    </w:p>
    <w:p w14:paraId="6BEE3E05" w14:textId="146B009A" w:rsidR="00BA7FDC" w:rsidRPr="00151E97" w:rsidRDefault="00BA7FDC" w:rsidP="000E02AC">
      <w:pPr>
        <w:rPr>
          <w:rStyle w:val="normaltextrun1"/>
        </w:rPr>
      </w:pPr>
      <w:r>
        <w:rPr>
          <w:rStyle w:val="normaltextrun1"/>
          <w:rFonts w:ascii="Calibri" w:hAnsi="Calibri" w:cs="Calibri"/>
        </w:rPr>
        <w:t>These updates alerted</w:t>
      </w:r>
      <w:r w:rsidR="000D4137">
        <w:rPr>
          <w:rStyle w:val="normaltextrun1"/>
          <w:rFonts w:ascii="Calibri" w:hAnsi="Calibri" w:cs="Calibri"/>
        </w:rPr>
        <w:t xml:space="preserve"> </w:t>
      </w:r>
      <w:r>
        <w:rPr>
          <w:rStyle w:val="normaltextrun1"/>
          <w:rFonts w:ascii="Calibri" w:hAnsi="Calibri" w:cs="Calibri"/>
        </w:rPr>
        <w:t>officers to the changes and provided guidance on the health-based approach to decision making and how to make a health referral.</w:t>
      </w:r>
      <w:r w:rsidRPr="00151E97">
        <w:rPr>
          <w:rStyle w:val="normaltextrun1"/>
        </w:rPr>
        <w:t> </w:t>
      </w:r>
    </w:p>
    <w:p w14:paraId="6FED82E8" w14:textId="6886F131" w:rsidR="002211ED" w:rsidRPr="00F30BE7" w:rsidRDefault="002211ED" w:rsidP="000E02AC">
      <w:pPr>
        <w:rPr>
          <w:rStyle w:val="normaltextrun1"/>
          <w:rFonts w:ascii="Calibri" w:eastAsia="Times New Roman" w:hAnsi="Calibri" w:cs="Calibri"/>
          <w:lang w:eastAsia="en-NZ"/>
        </w:rPr>
      </w:pPr>
      <w:r w:rsidRPr="000E02AC">
        <w:t>The Solicitor-General’s Prosecution Guidelines provide the framework for the public interest test for all offences. Police are experienced in weighing up different criteria to determine whether the public interest test is met across a range of offences, including personal possession</w:t>
      </w:r>
      <w:r w:rsidR="003A6D88">
        <w:t xml:space="preserve"> and </w:t>
      </w:r>
      <w:r w:rsidRPr="000E02AC">
        <w:t xml:space="preserve">use of drugs. Specific guidance for </w:t>
      </w:r>
      <w:r w:rsidR="00351DF4">
        <w:t>p</w:t>
      </w:r>
      <w:r w:rsidRPr="000E02AC">
        <w:t>olice officers on use of the public interest test for personal drug possession</w:t>
      </w:r>
      <w:r w:rsidR="003A6D88">
        <w:t xml:space="preserve"> and </w:t>
      </w:r>
      <w:r w:rsidRPr="000E02AC">
        <w:t>use was developed by Police</w:t>
      </w:r>
      <w:r w:rsidRPr="00DC6B82">
        <w:rPr>
          <w:rStyle w:val="normaltextrun1"/>
          <w:rFonts w:ascii="Calibri" w:eastAsia="Times New Roman" w:hAnsi="Calibri" w:cs="Calibri"/>
          <w:lang w:eastAsia="en-NZ"/>
        </w:rPr>
        <w:t xml:space="preserve"> </w:t>
      </w:r>
      <w:r w:rsidRPr="000E02AC">
        <w:t>and was accessible to staff across different channels.</w:t>
      </w:r>
      <w:r>
        <w:rPr>
          <w:rStyle w:val="normaltextrun1"/>
          <w:rFonts w:ascii="Calibri" w:hAnsi="Calibri" w:cs="Calibri"/>
        </w:rPr>
        <w:t xml:space="preserve"> </w:t>
      </w:r>
    </w:p>
    <w:p w14:paraId="25FB20DE" w14:textId="7B5CD7F5" w:rsidR="000E4988" w:rsidRDefault="00141E9C" w:rsidP="000E02AC">
      <w:pPr>
        <w:pStyle w:val="paragraph"/>
        <w:textAlignment w:val="baseline"/>
        <w:rPr>
          <w:rFonts w:asciiTheme="majorHAnsi" w:eastAsiaTheme="majorEastAsia" w:hAnsiTheme="majorHAnsi" w:cstheme="majorBidi"/>
          <w:color w:val="2F5496" w:themeColor="accent1" w:themeShade="BF"/>
          <w:sz w:val="32"/>
          <w:szCs w:val="32"/>
        </w:rPr>
      </w:pPr>
      <w:r>
        <w:rPr>
          <w:rStyle w:val="normaltextrun1"/>
          <w:rFonts w:ascii="Calibri" w:hAnsi="Calibri" w:cs="Calibri"/>
          <w:sz w:val="22"/>
          <w:szCs w:val="22"/>
        </w:rPr>
        <w:t>Police Māori Responsive Managers and their teams in Supported Resolutions also have a role in helping frontline to use and understand the supported resolutions pathways.</w:t>
      </w:r>
      <w:r w:rsidRPr="00151E97">
        <w:rPr>
          <w:rStyle w:val="normaltextrun1"/>
        </w:rPr>
        <w:t> </w:t>
      </w:r>
      <w:r w:rsidR="00A260E6">
        <w:rPr>
          <w:noProof/>
        </w:rPr>
        <mc:AlternateContent>
          <mc:Choice Requires="wps">
            <w:drawing>
              <wp:anchor distT="45720" distB="45720" distL="114300" distR="114300" simplePos="0" relativeHeight="251658240" behindDoc="0" locked="0" layoutInCell="1" allowOverlap="1" wp14:anchorId="6B9283EC" wp14:editId="7FD5A63F">
                <wp:simplePos x="0" y="0"/>
                <wp:positionH relativeFrom="column">
                  <wp:posOffset>-34290</wp:posOffset>
                </wp:positionH>
                <wp:positionV relativeFrom="paragraph">
                  <wp:posOffset>650875</wp:posOffset>
                </wp:positionV>
                <wp:extent cx="6503035" cy="140462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1404620"/>
                        </a:xfrm>
                        <a:prstGeom prst="rect">
                          <a:avLst/>
                        </a:prstGeom>
                        <a:solidFill>
                          <a:srgbClr val="FFFFFF"/>
                        </a:solidFill>
                        <a:ln w="9525">
                          <a:solidFill>
                            <a:srgbClr val="000000"/>
                          </a:solidFill>
                          <a:miter lim="800000"/>
                          <a:headEnd/>
                          <a:tailEnd/>
                        </a:ln>
                      </wps:spPr>
                      <wps:txbx>
                        <w:txbxContent>
                          <w:p w14:paraId="76C79993" w14:textId="4CFF92CE" w:rsidR="00F14026" w:rsidRPr="00A260E6" w:rsidRDefault="00F14026">
                            <w:pPr>
                              <w:rPr>
                                <w:b/>
                                <w:bCs/>
                              </w:rPr>
                            </w:pPr>
                            <w:r w:rsidRPr="00A260E6">
                              <w:rPr>
                                <w:b/>
                                <w:bCs/>
                              </w:rPr>
                              <w:t>Key finding</w:t>
                            </w:r>
                            <w:r>
                              <w:rPr>
                                <w:b/>
                                <w:bCs/>
                              </w:rPr>
                              <w:t>(</w:t>
                            </w:r>
                            <w:r w:rsidRPr="00A260E6">
                              <w:rPr>
                                <w:b/>
                                <w:bCs/>
                              </w:rPr>
                              <w:t>s</w:t>
                            </w:r>
                            <w:r>
                              <w:rPr>
                                <w:b/>
                                <w:bCs/>
                              </w:rPr>
                              <w:t>)</w:t>
                            </w:r>
                            <w:r w:rsidRPr="00A260E6">
                              <w:rPr>
                                <w:b/>
                                <w:bCs/>
                              </w:rPr>
                              <w:t xml:space="preserve">: </w:t>
                            </w:r>
                          </w:p>
                          <w:p w14:paraId="3789C4D4" w14:textId="03F5291E" w:rsidR="00F14026" w:rsidRPr="00A260E6" w:rsidRDefault="00F14026">
                            <w:pPr>
                              <w:rPr>
                                <w:b/>
                                <w:bCs/>
                              </w:rPr>
                            </w:pPr>
                            <w:r>
                              <w:rPr>
                                <w:b/>
                                <w:bCs/>
                              </w:rPr>
                              <w:t>Immediately following the introduction of the amendments:</w:t>
                            </w:r>
                          </w:p>
                          <w:p w14:paraId="7E7A6410" w14:textId="33D5D0DC" w:rsidR="00F14026" w:rsidRPr="0023637B"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23637B">
                              <w:rPr>
                                <w:rStyle w:val="normaltextrun1"/>
                                <w:rFonts w:ascii="Calibri" w:eastAsia="Times New Roman" w:hAnsi="Calibri" w:cs="Calibri"/>
                                <w:sz w:val="22"/>
                                <w:szCs w:val="22"/>
                                <w:lang w:eastAsia="en-NZ"/>
                              </w:rPr>
                              <w:t>A new nationally consistent system for health-based referrals was established, and Police advised its staff of the amendments and implications for operations</w:t>
                            </w:r>
                          </w:p>
                          <w:p w14:paraId="56979710" w14:textId="165A9649" w:rsidR="00F14026" w:rsidRPr="0023637B"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23637B">
                              <w:rPr>
                                <w:rStyle w:val="normaltextrun1"/>
                                <w:rFonts w:ascii="Calibri" w:eastAsia="Times New Roman" w:hAnsi="Calibri" w:cs="Calibri"/>
                                <w:sz w:val="22"/>
                                <w:szCs w:val="22"/>
                                <w:lang w:eastAsia="en-NZ"/>
                              </w:rPr>
                              <w:t>Changes were made to Policing instructions to allow a health-based approach for methamphetamine offences.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9283EC" id="_x0000_t202" coordsize="21600,21600" o:spt="202" path="m,l,21600r21600,l21600,xe">
                <v:stroke joinstyle="miter"/>
                <v:path gradientshapeok="t" o:connecttype="rect"/>
              </v:shapetype>
              <v:shape id="Text Box 2" o:spid="_x0000_s1026" type="#_x0000_t202" style="position:absolute;margin-left:-2.7pt;margin-top:51.25pt;width:512.0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">
                <v:textbox style="mso-fit-shape-to-text:t">
                  <w:txbxContent>
                    <w:p w14:paraId="76C79993" w14:textId="4CFF92CE" w:rsidR="00F14026" w:rsidRPr="00A260E6" w:rsidRDefault="00F14026">
                      <w:pPr>
                        <w:rPr>
                          <w:b/>
                          <w:bCs/>
                        </w:rPr>
                      </w:pPr>
                      <w:r w:rsidRPr="00A260E6">
                        <w:rPr>
                          <w:b/>
                          <w:bCs/>
                        </w:rPr>
                        <w:t>Key finding</w:t>
                      </w:r>
                      <w:r>
                        <w:rPr>
                          <w:b/>
                          <w:bCs/>
                        </w:rPr>
                        <w:t>(</w:t>
                      </w:r>
                      <w:r w:rsidRPr="00A260E6">
                        <w:rPr>
                          <w:b/>
                          <w:bCs/>
                        </w:rPr>
                        <w:t>s</w:t>
                      </w:r>
                      <w:r>
                        <w:rPr>
                          <w:b/>
                          <w:bCs/>
                        </w:rPr>
                        <w:t>)</w:t>
                      </w:r>
                      <w:r w:rsidRPr="00A260E6">
                        <w:rPr>
                          <w:b/>
                          <w:bCs/>
                        </w:rPr>
                        <w:t xml:space="preserve">: </w:t>
                      </w:r>
                    </w:p>
                    <w:p w14:paraId="3789C4D4" w14:textId="03F5291E" w:rsidR="00F14026" w:rsidRPr="00A260E6" w:rsidRDefault="00F14026">
                      <w:pPr>
                        <w:rPr>
                          <w:b/>
                          <w:bCs/>
                        </w:rPr>
                      </w:pPr>
                      <w:r>
                        <w:rPr>
                          <w:b/>
                          <w:bCs/>
                        </w:rPr>
                        <w:t>Immediately following the introduction of the amendments:</w:t>
                      </w:r>
                    </w:p>
                    <w:p w14:paraId="7E7A6410" w14:textId="33D5D0DC" w:rsidR="00F14026" w:rsidRPr="0023637B"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23637B">
                        <w:rPr>
                          <w:rStyle w:val="normaltextrun1"/>
                          <w:rFonts w:ascii="Calibri" w:eastAsia="Times New Roman" w:hAnsi="Calibri" w:cs="Calibri"/>
                          <w:sz w:val="22"/>
                          <w:szCs w:val="22"/>
                          <w:lang w:eastAsia="en-NZ"/>
                        </w:rPr>
                        <w:t>A new nationally consistent system for health-based referrals was established, and Police advised its staff of the amendments and implications for operations</w:t>
                      </w:r>
                    </w:p>
                    <w:p w14:paraId="56979710" w14:textId="165A9649" w:rsidR="00F14026" w:rsidRPr="0023637B"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23637B">
                        <w:rPr>
                          <w:rStyle w:val="normaltextrun1"/>
                          <w:rFonts w:ascii="Calibri" w:eastAsia="Times New Roman" w:hAnsi="Calibri" w:cs="Calibri"/>
                          <w:sz w:val="22"/>
                          <w:szCs w:val="22"/>
                          <w:lang w:eastAsia="en-NZ"/>
                        </w:rPr>
                        <w:t>Changes were made to Policing instructions to allow a health-based approach for methamphetamine offences.</w:t>
                      </w:r>
                    </w:p>
                  </w:txbxContent>
                </v:textbox>
                <w10:wrap type="square"/>
              </v:shape>
            </w:pict>
          </mc:Fallback>
        </mc:AlternateContent>
      </w:r>
      <w:r w:rsidR="00F42B5E">
        <w:t xml:space="preserve">  </w:t>
      </w:r>
    </w:p>
    <w:p w14:paraId="1FFE132B" w14:textId="77777777" w:rsidR="00292D92" w:rsidRDefault="00292D92">
      <w:pPr>
        <w:rPr>
          <w:rFonts w:asciiTheme="majorHAnsi" w:eastAsiaTheme="majorEastAsia" w:hAnsiTheme="majorHAnsi" w:cstheme="majorBidi"/>
          <w:color w:val="2F5496" w:themeColor="accent1" w:themeShade="BF"/>
          <w:sz w:val="32"/>
          <w:szCs w:val="32"/>
        </w:rPr>
      </w:pPr>
      <w:bookmarkStart w:id="85" w:name="_Toc74572652"/>
      <w:r>
        <w:br w:type="page"/>
      </w:r>
    </w:p>
    <w:p w14:paraId="62FC719E" w14:textId="1C9BCC6C" w:rsidR="00212897" w:rsidRDefault="00212897" w:rsidP="00CF5A9E">
      <w:pPr>
        <w:pStyle w:val="Heading2"/>
      </w:pPr>
      <w:bookmarkStart w:id="86" w:name="_Toc75952889"/>
      <w:bookmarkStart w:id="87" w:name="_Toc78186455"/>
      <w:r>
        <w:lastRenderedPageBreak/>
        <w:t>Drug prevalence</w:t>
      </w:r>
      <w:bookmarkEnd w:id="85"/>
      <w:r w:rsidR="005B0D56">
        <w:t xml:space="preserve"> in New Zealand</w:t>
      </w:r>
      <w:bookmarkEnd w:id="86"/>
      <w:bookmarkEnd w:id="87"/>
    </w:p>
    <w:p w14:paraId="4A45A248" w14:textId="13E59458" w:rsidR="00A43AB4" w:rsidRDefault="00A43AB4" w:rsidP="00A74FBF">
      <w:bookmarkStart w:id="88" w:name="_Toc74572653"/>
      <w:r>
        <w:t xml:space="preserve">Overall </w:t>
      </w:r>
      <w:r w:rsidR="001155D9">
        <w:t>illegal</w:t>
      </w:r>
      <w:r>
        <w:t xml:space="preserve"> drug supply in New Zealand has remained steady over the last five years</w:t>
      </w:r>
      <w:r w:rsidR="00406F35">
        <w:t>,</w:t>
      </w:r>
      <w:r>
        <w:t xml:space="preserve"> </w:t>
      </w:r>
      <w:bookmarkStart w:id="89" w:name="_Hlk75359709"/>
      <w:r>
        <w:t>excluding 2019 which was an outlier</w:t>
      </w:r>
      <w:r w:rsidR="00406F35">
        <w:t xml:space="preserve"> that was</w:t>
      </w:r>
      <w:r>
        <w:t xml:space="preserve"> skewed by several high-volume seizures of methamphetamine. Cannabis, methamphetamine and MDMA are the most prevalent commodities in the New Zealand </w:t>
      </w:r>
      <w:r w:rsidR="001155D9">
        <w:t>illegal</w:t>
      </w:r>
      <w:r>
        <w:t xml:space="preserve"> drug landscape</w:t>
      </w:r>
      <w:bookmarkEnd w:id="89"/>
      <w:r>
        <w:t xml:space="preserve">. While COVID-19 caused some disruptions to the </w:t>
      </w:r>
      <w:r w:rsidR="001155D9">
        <w:t>illegal</w:t>
      </w:r>
      <w:r>
        <w:t xml:space="preserve"> drug market during 2020, the effects appear to have been temporary for most commodities.</w:t>
      </w:r>
    </w:p>
    <w:p w14:paraId="00604B91" w14:textId="383FBB2B" w:rsidR="007D716C" w:rsidRPr="00887B83" w:rsidRDefault="00406F35" w:rsidP="00A74FBF">
      <w:r>
        <w:t>In line with overall drug trends, m</w:t>
      </w:r>
      <w:r w:rsidR="007D716C" w:rsidRPr="00887B83">
        <w:t>ethamphetamine seizure volumes have remained steady over the last five years</w:t>
      </w:r>
      <w:r>
        <w:t>,</w:t>
      </w:r>
      <w:r w:rsidR="007D716C" w:rsidRPr="00887B83">
        <w:t xml:space="preserve"> excluding 2019 which was an outlier</w:t>
      </w:r>
      <w:r>
        <w:t xml:space="preserve"> that was</w:t>
      </w:r>
      <w:r w:rsidR="007D716C" w:rsidRPr="00887B83">
        <w:t xml:space="preserve"> skewed by high volume seizures. While there were temporary disruptions in supply due to COVID-19, wastewater consumption levels remain stable indicating methamphetamine is available throughout New Zealand. Enduring demand for methamphetamine will almost certainly continue to drive supply</w:t>
      </w:r>
      <w:r w:rsidR="000058B9" w:rsidRPr="000058B9">
        <w:t xml:space="preserve"> </w:t>
      </w:r>
      <w:r w:rsidR="000058B9" w:rsidRPr="009A61F2">
        <w:t>and a market for organised crime</w:t>
      </w:r>
      <w:r w:rsidR="007D716C" w:rsidRPr="009A61F2">
        <w:t>.</w:t>
      </w:r>
    </w:p>
    <w:p w14:paraId="2E4D8A44" w14:textId="705CC426" w:rsidR="00D87932" w:rsidRDefault="00D87932" w:rsidP="00A74FBF">
      <w:r>
        <w:t xml:space="preserve">Cannabis remains the most seized </w:t>
      </w:r>
      <w:r w:rsidR="001155D9">
        <w:t>illegal</w:t>
      </w:r>
      <w:r>
        <w:t xml:space="preserve"> drug in New Zealand. The cannabis market remained largely unaffected by COVID-19 as cannabis is mainly grown and supplied domestically. While an increase in the quantity seized was observed in 2020, cannabis seizure </w:t>
      </w:r>
      <w:r w:rsidR="00343F83">
        <w:t xml:space="preserve">quantities </w:t>
      </w:r>
      <w:r>
        <w:t>have been relatively stable over the last five years.</w:t>
      </w:r>
    </w:p>
    <w:p w14:paraId="6B5B3D68" w14:textId="0486E888" w:rsidR="007D716C" w:rsidRDefault="007D716C" w:rsidP="00A74FBF">
      <w:r>
        <w:t xml:space="preserve">Synthetic cannabinoid seizures continue to decline overall, however these substances </w:t>
      </w:r>
      <w:r w:rsidRPr="000F053F">
        <w:t>are likely to remain available across the New Zealand market, due to high accessibility and a low price point.</w:t>
      </w:r>
      <w:r>
        <w:t xml:space="preserve"> The synthetic cannabinoid market is continuously shifting as offshore manufacturers </w:t>
      </w:r>
      <w:r w:rsidRPr="0095499E">
        <w:t>develop new products to circumvent legislation in jurisdictions with comprehensive analogue laws</w:t>
      </w:r>
      <w:r>
        <w:t>, such as New Zealand. This is evidenced by a steady increase in the diversity of synthetic cannabinoids seized, and the detection of new synthetic cannabinoids throughout 2020.</w:t>
      </w:r>
    </w:p>
    <w:p w14:paraId="264FB948" w14:textId="11718F48" w:rsidR="00957B75" w:rsidRPr="00957B75" w:rsidRDefault="007D716C" w:rsidP="00A74FBF">
      <w:r>
        <w:t xml:space="preserve">MDMA seizure volumes steadily increased between 2017 and 2020, then dropped significantly in 2021, likely due to disruptions in MDMA supply into New Zealand. This trend is reflected in </w:t>
      </w:r>
      <w:r w:rsidR="76DD29F0">
        <w:t xml:space="preserve">levels of MDMA detected in </w:t>
      </w:r>
      <w:r>
        <w:t>wastewater. The reduction in MDMA supply coincided with</w:t>
      </w:r>
      <w:r w:rsidR="006531C1">
        <w:t>,</w:t>
      </w:r>
      <w:r>
        <w:t xml:space="preserve"> and likely led to</w:t>
      </w:r>
      <w:r w:rsidR="006531C1">
        <w:t>, an</w:t>
      </w:r>
      <w:r>
        <w:t xml:space="preserve"> increase in synthetic cathinones being sold as MDMA to meet demand. This highlights the unpredictability of the drug market and the degree to which prevalence is affected by supply and availability. </w:t>
      </w:r>
    </w:p>
    <w:p w14:paraId="62D942C1" w14:textId="4C927F78" w:rsidR="00047D76" w:rsidRDefault="00047D76" w:rsidP="00406F35">
      <w:pPr>
        <w:spacing w:after="120" w:line="240" w:lineRule="auto"/>
      </w:pPr>
      <w:r>
        <w:t xml:space="preserve">Details of Police and Customs seizures of these substances is included in </w:t>
      </w:r>
      <w:r w:rsidR="0CB3C53F">
        <w:t>A</w:t>
      </w:r>
      <w:r>
        <w:t xml:space="preserve">ppendix </w:t>
      </w:r>
      <w:r w:rsidR="00AB1139">
        <w:t>5.</w:t>
      </w:r>
      <w:r>
        <w:t xml:space="preserve">  </w:t>
      </w:r>
    </w:p>
    <w:bookmarkEnd w:id="88"/>
    <w:p w14:paraId="4258E0EA" w14:textId="62C2DCCC" w:rsidR="00B35616" w:rsidRDefault="00A260E6" w:rsidP="006B0074">
      <w:pPr>
        <w:ind w:left="720"/>
      </w:pPr>
      <w:r>
        <w:rPr>
          <w:noProof/>
        </w:rPr>
        <mc:AlternateContent>
          <mc:Choice Requires="wps">
            <w:drawing>
              <wp:anchor distT="45720" distB="45720" distL="114300" distR="114300" simplePos="0" relativeHeight="251658241" behindDoc="0" locked="0" layoutInCell="1" allowOverlap="1" wp14:anchorId="4197D1A4" wp14:editId="7852510C">
                <wp:simplePos x="0" y="0"/>
                <wp:positionH relativeFrom="column">
                  <wp:posOffset>0</wp:posOffset>
                </wp:positionH>
                <wp:positionV relativeFrom="paragraph">
                  <wp:posOffset>332105</wp:posOffset>
                </wp:positionV>
                <wp:extent cx="6503035" cy="1404620"/>
                <wp:effectExtent l="0" t="0" r="12065" b="203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1404620"/>
                        </a:xfrm>
                        <a:prstGeom prst="rect">
                          <a:avLst/>
                        </a:prstGeom>
                        <a:solidFill>
                          <a:srgbClr val="FFFFFF"/>
                        </a:solidFill>
                        <a:ln w="9525">
                          <a:solidFill>
                            <a:srgbClr val="000000"/>
                          </a:solidFill>
                          <a:miter lim="800000"/>
                          <a:headEnd/>
                          <a:tailEnd/>
                        </a:ln>
                      </wps:spPr>
                      <wps:txbx>
                        <w:txbxContent>
                          <w:p w14:paraId="297901ED" w14:textId="77777777" w:rsidR="00F14026" w:rsidRPr="00A260E6" w:rsidRDefault="00F14026" w:rsidP="00A260E6">
                            <w:pPr>
                              <w:rPr>
                                <w:b/>
                                <w:bCs/>
                              </w:rPr>
                            </w:pPr>
                            <w:r w:rsidRPr="00A260E6">
                              <w:rPr>
                                <w:b/>
                                <w:bCs/>
                              </w:rPr>
                              <w:t>Key finding</w:t>
                            </w:r>
                            <w:r>
                              <w:rPr>
                                <w:b/>
                                <w:bCs/>
                              </w:rPr>
                              <w:t>(</w:t>
                            </w:r>
                            <w:r w:rsidRPr="00A260E6">
                              <w:rPr>
                                <w:b/>
                                <w:bCs/>
                              </w:rPr>
                              <w:t>s</w:t>
                            </w:r>
                            <w:r>
                              <w:rPr>
                                <w:b/>
                                <w:bCs/>
                              </w:rPr>
                              <w:t>)</w:t>
                            </w:r>
                            <w:r w:rsidRPr="00A260E6">
                              <w:rPr>
                                <w:b/>
                                <w:bCs/>
                              </w:rPr>
                              <w:t xml:space="preserve">: </w:t>
                            </w:r>
                          </w:p>
                          <w:p w14:paraId="55A72966" w14:textId="27CA3075" w:rsidR="00F14026" w:rsidRDefault="00F14026" w:rsidP="00486705">
                            <w:r>
                              <w:t xml:space="preserve">Police and Customs drug seizure data and wastewater testing indicate that: </w:t>
                            </w:r>
                          </w:p>
                          <w:p w14:paraId="224BB4A5" w14:textId="1D356732" w:rsidR="00F14026" w:rsidRPr="009B1C6E"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9B1C6E">
                              <w:rPr>
                                <w:rStyle w:val="normaltextrun1"/>
                                <w:rFonts w:ascii="Calibri" w:eastAsia="Times New Roman" w:hAnsi="Calibri" w:cs="Calibri"/>
                                <w:sz w:val="22"/>
                                <w:szCs w:val="22"/>
                                <w:lang w:eastAsia="en-NZ"/>
                              </w:rPr>
                              <w:t>overall illegal drug supply in New Zealand has remained steady over the last five years</w:t>
                            </w:r>
                          </w:p>
                          <w:p w14:paraId="4D5DE5B9" w14:textId="0B5BB70E" w:rsidR="00F14026" w:rsidRDefault="00F14026" w:rsidP="00B603EC">
                            <w:pPr>
                              <w:pStyle w:val="CommentText"/>
                              <w:numPr>
                                <w:ilvl w:val="0"/>
                                <w:numId w:val="7"/>
                              </w:numPr>
                              <w:textAlignment w:val="baseline"/>
                            </w:pPr>
                            <w:r>
                              <w:rPr>
                                <w:rStyle w:val="normaltextrun1"/>
                                <w:rFonts w:ascii="Calibri" w:eastAsia="Times New Roman" w:hAnsi="Calibri" w:cs="Calibri"/>
                                <w:sz w:val="22"/>
                                <w:szCs w:val="22"/>
                                <w:lang w:eastAsia="en-NZ"/>
                              </w:rPr>
                              <w:t>c</w:t>
                            </w:r>
                            <w:r w:rsidRPr="007A5EEF">
                              <w:rPr>
                                <w:rStyle w:val="normaltextrun1"/>
                                <w:rFonts w:ascii="Calibri" w:eastAsia="Times New Roman" w:hAnsi="Calibri" w:cs="Calibri"/>
                                <w:sz w:val="22"/>
                                <w:szCs w:val="22"/>
                                <w:lang w:eastAsia="en-NZ"/>
                              </w:rPr>
                              <w:t>annabis</w:t>
                            </w:r>
                            <w:r w:rsidRPr="009B1C6E">
                              <w:rPr>
                                <w:rStyle w:val="normaltextrun1"/>
                                <w:rFonts w:ascii="Calibri" w:eastAsia="Times New Roman" w:hAnsi="Calibri" w:cs="Calibri"/>
                                <w:sz w:val="22"/>
                                <w:szCs w:val="22"/>
                                <w:lang w:eastAsia="en-NZ"/>
                              </w:rPr>
                              <w:t>, methamphetamine and MDMA are the most prevalent commodities in the New Zealand illegal drug landscape</w:t>
                            </w:r>
                            <w:r>
                              <w:rPr>
                                <w:rStyle w:val="normaltextrun1"/>
                                <w:rFonts w:ascii="Calibri" w:eastAsia="Times New Roman" w:hAnsi="Calibri" w:cs="Calibri"/>
                                <w:sz w:val="22"/>
                                <w:szCs w:val="22"/>
                                <w:lang w:eastAsia="en-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7D1A4" id="_x0000_s1027" type="#_x0000_t202" style="position:absolute;left:0;text-align:left;margin-left:0;margin-top:26.15pt;width:512.0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">
                <v:textbox style="mso-fit-shape-to-text:t">
                  <w:txbxContent>
                    <w:p w14:paraId="297901ED" w14:textId="77777777" w:rsidR="00F14026" w:rsidRPr="00A260E6" w:rsidRDefault="00F14026" w:rsidP="00A260E6">
                      <w:pPr>
                        <w:rPr>
                          <w:b/>
                          <w:bCs/>
                        </w:rPr>
                      </w:pPr>
                      <w:r w:rsidRPr="00A260E6">
                        <w:rPr>
                          <w:b/>
                          <w:bCs/>
                        </w:rPr>
                        <w:t>Key finding</w:t>
                      </w:r>
                      <w:r>
                        <w:rPr>
                          <w:b/>
                          <w:bCs/>
                        </w:rPr>
                        <w:t>(</w:t>
                      </w:r>
                      <w:r w:rsidRPr="00A260E6">
                        <w:rPr>
                          <w:b/>
                          <w:bCs/>
                        </w:rPr>
                        <w:t>s</w:t>
                      </w:r>
                      <w:r>
                        <w:rPr>
                          <w:b/>
                          <w:bCs/>
                        </w:rPr>
                        <w:t>)</w:t>
                      </w:r>
                      <w:r w:rsidRPr="00A260E6">
                        <w:rPr>
                          <w:b/>
                          <w:bCs/>
                        </w:rPr>
                        <w:t xml:space="preserve">: </w:t>
                      </w:r>
                    </w:p>
                    <w:p w14:paraId="55A72966" w14:textId="27CA3075" w:rsidR="00F14026" w:rsidRDefault="00F14026" w:rsidP="00486705">
                      <w:r>
                        <w:t xml:space="preserve">Police and Customs drug seizure data and wastewater testing indicate that: </w:t>
                      </w:r>
                    </w:p>
                    <w:p w14:paraId="224BB4A5" w14:textId="1D356732" w:rsidR="00F14026" w:rsidRPr="009B1C6E"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9B1C6E">
                        <w:rPr>
                          <w:rStyle w:val="normaltextrun1"/>
                          <w:rFonts w:ascii="Calibri" w:eastAsia="Times New Roman" w:hAnsi="Calibri" w:cs="Calibri"/>
                          <w:sz w:val="22"/>
                          <w:szCs w:val="22"/>
                          <w:lang w:eastAsia="en-NZ"/>
                        </w:rPr>
                        <w:t>overall illegal drug supply in New Zealand has remained steady over the last five years</w:t>
                      </w:r>
                    </w:p>
                    <w:p w14:paraId="4D5DE5B9" w14:textId="0B5BB70E" w:rsidR="00F14026" w:rsidRDefault="00F14026" w:rsidP="00B603EC">
                      <w:pPr>
                        <w:pStyle w:val="CommentText"/>
                        <w:numPr>
                          <w:ilvl w:val="0"/>
                          <w:numId w:val="7"/>
                        </w:numPr>
                        <w:textAlignment w:val="baseline"/>
                      </w:pPr>
                      <w:r>
                        <w:rPr>
                          <w:rStyle w:val="normaltextrun1"/>
                          <w:rFonts w:ascii="Calibri" w:eastAsia="Times New Roman" w:hAnsi="Calibri" w:cs="Calibri"/>
                          <w:sz w:val="22"/>
                          <w:szCs w:val="22"/>
                          <w:lang w:eastAsia="en-NZ"/>
                        </w:rPr>
                        <w:t>c</w:t>
                      </w:r>
                      <w:r w:rsidRPr="007A5EEF">
                        <w:rPr>
                          <w:rStyle w:val="normaltextrun1"/>
                          <w:rFonts w:ascii="Calibri" w:eastAsia="Times New Roman" w:hAnsi="Calibri" w:cs="Calibri"/>
                          <w:sz w:val="22"/>
                          <w:szCs w:val="22"/>
                          <w:lang w:eastAsia="en-NZ"/>
                        </w:rPr>
                        <w:t>annabis</w:t>
                      </w:r>
                      <w:r w:rsidRPr="009B1C6E">
                        <w:rPr>
                          <w:rStyle w:val="normaltextrun1"/>
                          <w:rFonts w:ascii="Calibri" w:eastAsia="Times New Roman" w:hAnsi="Calibri" w:cs="Calibri"/>
                          <w:sz w:val="22"/>
                          <w:szCs w:val="22"/>
                          <w:lang w:eastAsia="en-NZ"/>
                        </w:rPr>
                        <w:t>, methamphetamine and MDMA are the most prevalent commodities in the New Zealand illegal drug landscape</w:t>
                      </w:r>
                      <w:r>
                        <w:rPr>
                          <w:rStyle w:val="normaltextrun1"/>
                          <w:rFonts w:ascii="Calibri" w:eastAsia="Times New Roman" w:hAnsi="Calibri" w:cs="Calibri"/>
                          <w:sz w:val="22"/>
                          <w:szCs w:val="22"/>
                          <w:lang w:eastAsia="en-NZ"/>
                        </w:rPr>
                        <w:t>.</w:t>
                      </w:r>
                    </w:p>
                  </w:txbxContent>
                </v:textbox>
                <w10:wrap type="square"/>
              </v:shape>
            </w:pict>
          </mc:Fallback>
        </mc:AlternateContent>
      </w:r>
    </w:p>
    <w:p w14:paraId="3BCDB40C" w14:textId="286B95A7" w:rsidR="00A260E6" w:rsidRDefault="00A260E6" w:rsidP="00212897">
      <w:pPr>
        <w:ind w:left="492" w:firstLine="294"/>
        <w:jc w:val="center"/>
        <w:sectPr w:rsidR="00A260E6" w:rsidSect="00826EB9">
          <w:footerReference w:type="default" r:id="rId12"/>
          <w:pgSz w:w="11906" w:h="16838"/>
          <w:pgMar w:top="1440" w:right="1416" w:bottom="1440" w:left="1440" w:header="708" w:footer="708" w:gutter="0"/>
          <w:cols w:space="708"/>
          <w:docGrid w:linePitch="360"/>
        </w:sectPr>
      </w:pPr>
    </w:p>
    <w:p w14:paraId="0BEA33B6" w14:textId="5B0358D3" w:rsidR="00230205" w:rsidRDefault="003E0F2D" w:rsidP="00B635F5">
      <w:pPr>
        <w:pStyle w:val="Heading2"/>
      </w:pPr>
      <w:bookmarkStart w:id="90" w:name="_Toc74572654"/>
      <w:bookmarkStart w:id="91" w:name="_Toc75781177"/>
      <w:bookmarkStart w:id="92" w:name="_Toc75952890"/>
      <w:bookmarkStart w:id="93" w:name="_Toc78186456"/>
      <w:r>
        <w:lastRenderedPageBreak/>
        <w:t>Resolution</w:t>
      </w:r>
      <w:r w:rsidR="00230205">
        <w:t xml:space="preserve"> </w:t>
      </w:r>
      <w:r w:rsidR="00F11A2B">
        <w:t>proceedings</w:t>
      </w:r>
      <w:bookmarkEnd w:id="90"/>
      <w:bookmarkEnd w:id="91"/>
      <w:bookmarkEnd w:id="92"/>
      <w:bookmarkEnd w:id="93"/>
      <w:r w:rsidR="00230205">
        <w:t xml:space="preserve"> </w:t>
      </w:r>
    </w:p>
    <w:p w14:paraId="54886A5D" w14:textId="5CF476E8" w:rsidR="003E0F2D" w:rsidRPr="00545ED9" w:rsidRDefault="003E0F2D" w:rsidP="00DF680C">
      <w:pPr>
        <w:rPr>
          <w:lang w:val="en-US"/>
        </w:rPr>
      </w:pPr>
      <w:r w:rsidRPr="003E0F2D">
        <w:rPr>
          <w:lang w:val="en-US"/>
        </w:rPr>
        <w:t xml:space="preserve">The following diagram illustrates the potential outcomes for an individual suspected or confirmed to have been in possession or have used illegal drugs. This diagram includes the investigative and decision-making stages and options for </w:t>
      </w:r>
      <w:r w:rsidR="00B32678">
        <w:rPr>
          <w:lang w:val="en-US"/>
        </w:rPr>
        <w:t>P</w:t>
      </w:r>
      <w:r w:rsidRPr="003E0F2D">
        <w:rPr>
          <w:lang w:val="en-US"/>
        </w:rPr>
        <w:t xml:space="preserve">olice and multiple prosecution outcomes. </w:t>
      </w:r>
      <w:r w:rsidR="00EE00A6">
        <w:rPr>
          <w:lang w:val="en-US"/>
        </w:rPr>
        <w:t>Alcohol and other drug,</w:t>
      </w:r>
      <w:r w:rsidRPr="003E0F2D">
        <w:rPr>
          <w:lang w:val="en-US"/>
        </w:rPr>
        <w:t xml:space="preserve"> and mental health support referrals may occur at any stage. </w:t>
      </w:r>
    </w:p>
    <w:p w14:paraId="6FE66BB9" w14:textId="37F0C9E3" w:rsidR="00230205" w:rsidRPr="00230205" w:rsidRDefault="00DF7558" w:rsidP="00DF7558">
      <w:pPr>
        <w:pStyle w:val="Caption"/>
      </w:pPr>
      <w:bookmarkStart w:id="94" w:name="_Toc75943057"/>
      <w:bookmarkStart w:id="95" w:name="_Toc77775984"/>
      <w:r>
        <w:t xml:space="preserve">Figure </w:t>
      </w:r>
      <w:fldSimple w:instr=" SEQ Figure \* ARABIC ">
        <w:r w:rsidR="00AA3031">
          <w:rPr>
            <w:noProof/>
          </w:rPr>
          <w:t>1</w:t>
        </w:r>
      </w:fldSimple>
      <w:r w:rsidR="00AA1BE5">
        <w:t xml:space="preserve"> Resolution Outcomes</w:t>
      </w:r>
      <w:bookmarkEnd w:id="94"/>
      <w:bookmarkEnd w:id="95"/>
      <w:r w:rsidR="00AA1BE5" w:rsidRPr="0226AD4D">
        <w:t xml:space="preserve"> </w:t>
      </w:r>
    </w:p>
    <w:p w14:paraId="066E1146" w14:textId="45DCAF99" w:rsidR="00230205" w:rsidRDefault="00B57924" w:rsidP="00EE00A6">
      <w:pPr>
        <w:pStyle w:val="paragraph"/>
        <w:jc w:val="center"/>
        <w:textAlignment w:val="baseline"/>
        <w:rPr>
          <w:rStyle w:val="normaltextrun1"/>
        </w:rPr>
        <w:sectPr w:rsidR="00230205" w:rsidSect="00230205">
          <w:footerReference w:type="default" r:id="rId13"/>
          <w:pgSz w:w="16838" w:h="11906" w:orient="landscape"/>
          <w:pgMar w:top="1440" w:right="1440" w:bottom="1440" w:left="1440" w:header="708" w:footer="708" w:gutter="0"/>
          <w:cols w:space="708"/>
          <w:docGrid w:linePitch="360"/>
        </w:sectPr>
      </w:pPr>
      <w:r>
        <w:rPr>
          <w:noProof/>
        </w:rPr>
        <w:drawing>
          <wp:inline distT="0" distB="0" distL="0" distR="0" wp14:anchorId="1AEF20A8" wp14:editId="7CE594A5">
            <wp:extent cx="7902958" cy="4277802"/>
            <wp:effectExtent l="0" t="0" r="317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02958" cy="4277802"/>
                    </a:xfrm>
                    <a:prstGeom prst="rect">
                      <a:avLst/>
                    </a:prstGeom>
                  </pic:spPr>
                </pic:pic>
              </a:graphicData>
            </a:graphic>
          </wp:inline>
        </w:drawing>
      </w:r>
    </w:p>
    <w:p w14:paraId="194B05C0" w14:textId="52B4FED1" w:rsidR="006716AD" w:rsidRDefault="006716AD" w:rsidP="006716AD">
      <w:pPr>
        <w:pStyle w:val="Heading2"/>
      </w:pPr>
      <w:bookmarkStart w:id="96" w:name="_Toc75781178"/>
      <w:bookmarkStart w:id="97" w:name="_Toc75952891"/>
      <w:bookmarkStart w:id="98" w:name="_Toc78186457"/>
      <w:r>
        <w:lastRenderedPageBreak/>
        <w:t>Police proceedings</w:t>
      </w:r>
      <w:bookmarkEnd w:id="96"/>
      <w:bookmarkEnd w:id="97"/>
      <w:bookmarkEnd w:id="98"/>
      <w:r>
        <w:t xml:space="preserve"> </w:t>
      </w:r>
    </w:p>
    <w:p w14:paraId="6D3E77EB" w14:textId="435AE639" w:rsidR="00250826" w:rsidRDefault="0092168B" w:rsidP="00250826">
      <w:pPr>
        <w:pStyle w:val="paragraph"/>
        <w:textAlignment w:val="baseline"/>
        <w:rPr>
          <w:rStyle w:val="normaltextrun1"/>
          <w:rFonts w:ascii="Calibri" w:eastAsiaTheme="majorEastAsia" w:hAnsi="Calibri" w:cs="Calibri"/>
          <w:sz w:val="22"/>
          <w:szCs w:val="22"/>
        </w:rPr>
      </w:pPr>
      <w:r>
        <w:rPr>
          <w:rStyle w:val="normaltextrun1"/>
          <w:rFonts w:ascii="Calibri" w:eastAsiaTheme="majorEastAsia" w:hAnsi="Calibri" w:cs="Calibri"/>
          <w:sz w:val="22"/>
          <w:szCs w:val="22"/>
        </w:rPr>
        <w:t>I</w:t>
      </w:r>
      <w:r w:rsidR="00CF3EEF">
        <w:rPr>
          <w:rStyle w:val="normaltextrun1"/>
          <w:rFonts w:ascii="Calibri" w:eastAsiaTheme="majorEastAsia" w:hAnsi="Calibri" w:cs="Calibri"/>
          <w:sz w:val="22"/>
          <w:szCs w:val="22"/>
        </w:rPr>
        <w:t>ndividual p</w:t>
      </w:r>
      <w:r w:rsidR="00CF3EEF" w:rsidRPr="003D340E">
        <w:rPr>
          <w:rStyle w:val="normaltextrun1"/>
          <w:rFonts w:ascii="Calibri" w:eastAsiaTheme="majorEastAsia" w:hAnsi="Calibri" w:cs="Calibri"/>
          <w:sz w:val="22"/>
          <w:szCs w:val="22"/>
        </w:rPr>
        <w:t xml:space="preserve">olice </w:t>
      </w:r>
      <w:r w:rsidR="00250826" w:rsidRPr="003D340E">
        <w:rPr>
          <w:rStyle w:val="normaltextrun1"/>
          <w:rFonts w:ascii="Calibri" w:eastAsiaTheme="majorEastAsia" w:hAnsi="Calibri" w:cs="Calibri"/>
          <w:sz w:val="22"/>
          <w:szCs w:val="22"/>
        </w:rPr>
        <w:t xml:space="preserve">officers apply discretion in dealing with a range of matters, </w:t>
      </w:r>
      <w:r w:rsidR="00475384">
        <w:rPr>
          <w:rStyle w:val="normaltextrun1"/>
          <w:rFonts w:ascii="Calibri" w:eastAsiaTheme="majorEastAsia" w:hAnsi="Calibri" w:cs="Calibri"/>
          <w:sz w:val="22"/>
          <w:szCs w:val="22"/>
        </w:rPr>
        <w:t>which include</w:t>
      </w:r>
      <w:r w:rsidR="00475384" w:rsidRPr="003D340E">
        <w:rPr>
          <w:rStyle w:val="normaltextrun1"/>
          <w:rFonts w:ascii="Calibri" w:eastAsiaTheme="majorEastAsia" w:hAnsi="Calibri" w:cs="Calibri"/>
          <w:sz w:val="22"/>
          <w:szCs w:val="22"/>
        </w:rPr>
        <w:t xml:space="preserve"> </w:t>
      </w:r>
      <w:r w:rsidR="00250826" w:rsidRPr="003D340E">
        <w:rPr>
          <w:rStyle w:val="normaltextrun1"/>
          <w:rFonts w:ascii="Calibri" w:eastAsiaTheme="majorEastAsia" w:hAnsi="Calibri" w:cs="Calibri"/>
          <w:sz w:val="22"/>
          <w:szCs w:val="22"/>
        </w:rPr>
        <w:t>personal possession and use of drugs</w:t>
      </w:r>
      <w:r w:rsidR="00374E1F">
        <w:rPr>
          <w:rStyle w:val="normaltextrun1"/>
          <w:rFonts w:ascii="Calibri" w:eastAsiaTheme="majorEastAsia" w:hAnsi="Calibri" w:cs="Calibri"/>
          <w:sz w:val="22"/>
          <w:szCs w:val="22"/>
        </w:rPr>
        <w:t>. They are g</w:t>
      </w:r>
      <w:r w:rsidR="00374E1F" w:rsidRPr="003D340E">
        <w:rPr>
          <w:rStyle w:val="normaltextrun1"/>
          <w:rFonts w:ascii="Calibri" w:eastAsiaTheme="majorEastAsia" w:hAnsi="Calibri" w:cs="Calibri"/>
          <w:sz w:val="22"/>
          <w:szCs w:val="22"/>
        </w:rPr>
        <w:t>uided by the Policing Act 2008, the Solicitor-General’s Prosecution Guidelines and Prevention First</w:t>
      </w:r>
      <w:r w:rsidR="00250826" w:rsidRPr="003D340E">
        <w:rPr>
          <w:rStyle w:val="normaltextrun1"/>
          <w:rFonts w:ascii="Calibri" w:eastAsiaTheme="majorEastAsia" w:hAnsi="Calibri" w:cs="Calibri"/>
          <w:sz w:val="22"/>
          <w:szCs w:val="22"/>
        </w:rPr>
        <w:t xml:space="preserve">. </w:t>
      </w:r>
      <w:r w:rsidR="00ED5FED">
        <w:rPr>
          <w:rStyle w:val="normaltextrun1"/>
          <w:rFonts w:ascii="Calibri" w:eastAsiaTheme="majorEastAsia" w:hAnsi="Calibri" w:cs="Calibri"/>
          <w:sz w:val="22"/>
          <w:szCs w:val="22"/>
        </w:rPr>
        <w:t>When</w:t>
      </w:r>
      <w:r w:rsidR="003D379B">
        <w:rPr>
          <w:rStyle w:val="normaltextrun1"/>
          <w:rFonts w:ascii="Calibri" w:eastAsiaTheme="majorEastAsia" w:hAnsi="Calibri" w:cs="Calibri"/>
          <w:sz w:val="22"/>
          <w:szCs w:val="22"/>
        </w:rPr>
        <w:t xml:space="preserve"> </w:t>
      </w:r>
      <w:r w:rsidR="00E55919">
        <w:rPr>
          <w:rStyle w:val="normaltextrun1"/>
          <w:rFonts w:ascii="Calibri" w:eastAsiaTheme="majorEastAsia" w:hAnsi="Calibri" w:cs="Calibri"/>
          <w:sz w:val="22"/>
          <w:szCs w:val="22"/>
        </w:rPr>
        <w:t>police officers</w:t>
      </w:r>
      <w:r w:rsidR="003D379B">
        <w:rPr>
          <w:rStyle w:val="normaltextrun1"/>
          <w:rFonts w:ascii="Calibri" w:eastAsiaTheme="majorEastAsia" w:hAnsi="Calibri" w:cs="Calibri"/>
          <w:sz w:val="22"/>
          <w:szCs w:val="22"/>
        </w:rPr>
        <w:t xml:space="preserve"> </w:t>
      </w:r>
      <w:r w:rsidR="00E55919">
        <w:rPr>
          <w:rStyle w:val="normaltextrun1"/>
          <w:rFonts w:ascii="Calibri" w:eastAsiaTheme="majorEastAsia" w:hAnsi="Calibri" w:cs="Calibri"/>
          <w:sz w:val="22"/>
          <w:szCs w:val="22"/>
        </w:rPr>
        <w:t xml:space="preserve">exercise </w:t>
      </w:r>
      <w:r w:rsidR="00E019ED">
        <w:rPr>
          <w:rStyle w:val="normaltextrun1"/>
          <w:rFonts w:ascii="Calibri" w:eastAsiaTheme="majorEastAsia" w:hAnsi="Calibri" w:cs="Calibri"/>
          <w:sz w:val="22"/>
          <w:szCs w:val="22"/>
        </w:rPr>
        <w:t xml:space="preserve">the </w:t>
      </w:r>
      <w:r w:rsidR="00E55919">
        <w:rPr>
          <w:rStyle w:val="normaltextrun1"/>
          <w:rFonts w:ascii="Calibri" w:eastAsiaTheme="majorEastAsia" w:hAnsi="Calibri" w:cs="Calibri"/>
          <w:sz w:val="22"/>
          <w:szCs w:val="22"/>
        </w:rPr>
        <w:t xml:space="preserve">use of </w:t>
      </w:r>
      <w:r w:rsidR="00E019ED">
        <w:rPr>
          <w:rStyle w:val="normaltextrun1"/>
          <w:rFonts w:ascii="Calibri" w:eastAsiaTheme="majorEastAsia" w:hAnsi="Calibri" w:cs="Calibri"/>
          <w:sz w:val="22"/>
          <w:szCs w:val="22"/>
        </w:rPr>
        <w:t>discretion</w:t>
      </w:r>
      <w:r w:rsidR="00AA12C3">
        <w:rPr>
          <w:rStyle w:val="normaltextrun1"/>
          <w:rFonts w:ascii="Calibri" w:eastAsiaTheme="majorEastAsia" w:hAnsi="Calibri" w:cs="Calibri"/>
          <w:sz w:val="22"/>
          <w:szCs w:val="22"/>
        </w:rPr>
        <w:t xml:space="preserve"> on whether to prosecute or not</w:t>
      </w:r>
      <w:r w:rsidR="00E55919">
        <w:rPr>
          <w:rStyle w:val="normaltextrun1"/>
          <w:rFonts w:ascii="Calibri" w:eastAsiaTheme="majorEastAsia" w:hAnsi="Calibri" w:cs="Calibri"/>
          <w:sz w:val="22"/>
          <w:szCs w:val="22"/>
        </w:rPr>
        <w:t>,</w:t>
      </w:r>
      <w:r w:rsidR="00E019ED">
        <w:rPr>
          <w:rStyle w:val="normaltextrun1"/>
          <w:rFonts w:ascii="Calibri" w:eastAsiaTheme="majorEastAsia" w:hAnsi="Calibri" w:cs="Calibri"/>
          <w:sz w:val="22"/>
          <w:szCs w:val="22"/>
        </w:rPr>
        <w:t xml:space="preserve"> </w:t>
      </w:r>
      <w:r w:rsidR="00AA12C3">
        <w:rPr>
          <w:rStyle w:val="normaltextrun1"/>
          <w:rFonts w:ascii="Calibri" w:eastAsiaTheme="majorEastAsia" w:hAnsi="Calibri" w:cs="Calibri"/>
          <w:sz w:val="22"/>
          <w:szCs w:val="22"/>
        </w:rPr>
        <w:t>they</w:t>
      </w:r>
      <w:r w:rsidR="00B3734E">
        <w:rPr>
          <w:rStyle w:val="normaltextrun1"/>
          <w:rFonts w:ascii="Calibri" w:eastAsiaTheme="majorEastAsia" w:hAnsi="Calibri" w:cs="Calibri"/>
          <w:sz w:val="22"/>
          <w:szCs w:val="22"/>
        </w:rPr>
        <w:t xml:space="preserve"> are</w:t>
      </w:r>
      <w:r w:rsidR="00250826" w:rsidRPr="003D340E">
        <w:rPr>
          <w:rStyle w:val="normaltextrun1"/>
          <w:rFonts w:ascii="Calibri" w:eastAsiaTheme="majorEastAsia" w:hAnsi="Calibri" w:cs="Calibri"/>
          <w:sz w:val="22"/>
          <w:szCs w:val="22"/>
        </w:rPr>
        <w:t xml:space="preserve"> increasingly us</w:t>
      </w:r>
      <w:r w:rsidR="00B3734E">
        <w:rPr>
          <w:rStyle w:val="normaltextrun1"/>
          <w:rFonts w:ascii="Calibri" w:eastAsiaTheme="majorEastAsia" w:hAnsi="Calibri" w:cs="Calibri"/>
          <w:sz w:val="22"/>
          <w:szCs w:val="22"/>
        </w:rPr>
        <w:t>ing</w:t>
      </w:r>
      <w:r w:rsidR="00250826" w:rsidRPr="003D340E">
        <w:rPr>
          <w:rStyle w:val="normaltextrun1"/>
          <w:rFonts w:ascii="Calibri" w:eastAsiaTheme="majorEastAsia" w:hAnsi="Calibri" w:cs="Calibri"/>
          <w:sz w:val="22"/>
          <w:szCs w:val="22"/>
        </w:rPr>
        <w:t xml:space="preserve"> </w:t>
      </w:r>
      <w:r w:rsidR="00FA7B01">
        <w:rPr>
          <w:rStyle w:val="normaltextrun1"/>
          <w:rFonts w:ascii="Calibri" w:eastAsiaTheme="majorEastAsia" w:hAnsi="Calibri" w:cs="Calibri"/>
          <w:sz w:val="22"/>
          <w:szCs w:val="22"/>
        </w:rPr>
        <w:t>supported</w:t>
      </w:r>
      <w:r w:rsidR="00250826" w:rsidRPr="003D340E">
        <w:rPr>
          <w:rStyle w:val="normaltextrun1"/>
          <w:rFonts w:ascii="Calibri" w:eastAsiaTheme="majorEastAsia" w:hAnsi="Calibri" w:cs="Calibri"/>
          <w:sz w:val="22"/>
          <w:szCs w:val="22"/>
        </w:rPr>
        <w:t xml:space="preserve"> resolution options</w:t>
      </w:r>
      <w:r w:rsidR="00BE44EB">
        <w:rPr>
          <w:rStyle w:val="normaltextrun1"/>
          <w:rFonts w:ascii="Calibri" w:eastAsiaTheme="majorEastAsia" w:hAnsi="Calibri" w:cs="Calibri"/>
          <w:sz w:val="22"/>
          <w:szCs w:val="22"/>
        </w:rPr>
        <w:t>. These</w:t>
      </w:r>
      <w:r w:rsidR="00250826" w:rsidRPr="003D340E">
        <w:rPr>
          <w:rStyle w:val="normaltextrun1"/>
          <w:rFonts w:ascii="Calibri" w:eastAsiaTheme="majorEastAsia" w:hAnsi="Calibri" w:cs="Calibri"/>
          <w:sz w:val="22"/>
          <w:szCs w:val="22"/>
        </w:rPr>
        <w:t xml:space="preserve"> </w:t>
      </w:r>
      <w:r w:rsidR="00BE44EB" w:rsidRPr="003D340E">
        <w:rPr>
          <w:rStyle w:val="normaltextrun1"/>
          <w:rFonts w:ascii="Calibri" w:eastAsiaTheme="majorEastAsia" w:hAnsi="Calibri" w:cs="Calibri"/>
          <w:sz w:val="22"/>
          <w:szCs w:val="22"/>
        </w:rPr>
        <w:t>includ</w:t>
      </w:r>
      <w:r w:rsidR="00BE44EB">
        <w:rPr>
          <w:rStyle w:val="normaltextrun1"/>
          <w:rFonts w:ascii="Calibri" w:eastAsiaTheme="majorEastAsia" w:hAnsi="Calibri" w:cs="Calibri"/>
          <w:sz w:val="22"/>
          <w:szCs w:val="22"/>
        </w:rPr>
        <w:t>e</w:t>
      </w:r>
      <w:r w:rsidR="00BE44EB" w:rsidRPr="003D340E">
        <w:rPr>
          <w:rStyle w:val="normaltextrun1"/>
          <w:rFonts w:ascii="Calibri" w:eastAsiaTheme="majorEastAsia" w:hAnsi="Calibri" w:cs="Calibri"/>
          <w:sz w:val="22"/>
          <w:szCs w:val="22"/>
        </w:rPr>
        <w:t xml:space="preserve"> </w:t>
      </w:r>
      <w:r w:rsidR="00250826" w:rsidRPr="003D340E">
        <w:rPr>
          <w:rStyle w:val="normaltextrun1"/>
          <w:rFonts w:ascii="Calibri" w:eastAsiaTheme="majorEastAsia" w:hAnsi="Calibri" w:cs="Calibri"/>
          <w:sz w:val="22"/>
          <w:szCs w:val="22"/>
        </w:rPr>
        <w:t xml:space="preserve">formal warnings, informal warnings and Te Pae Oranga (Iwi Community Panels). Referrals to health and other support services can be made as part of any of these interactions. </w:t>
      </w:r>
    </w:p>
    <w:p w14:paraId="209B22FB" w14:textId="77777777" w:rsidR="00101F98" w:rsidRDefault="00101F98" w:rsidP="00250826">
      <w:pPr>
        <w:pStyle w:val="paragraph"/>
        <w:textAlignment w:val="baseline"/>
        <w:rPr>
          <w:rStyle w:val="normaltextrun1"/>
          <w:rFonts w:ascii="Calibri" w:eastAsiaTheme="majorEastAsia" w:hAnsi="Calibri" w:cs="Calibri"/>
          <w:sz w:val="22"/>
          <w:szCs w:val="22"/>
        </w:rPr>
      </w:pPr>
    </w:p>
    <w:p w14:paraId="5B17A76E" w14:textId="271374B6" w:rsidR="007B69B2" w:rsidRPr="006E0F34" w:rsidRDefault="004953FC" w:rsidP="007B69B2">
      <w:r>
        <w:t xml:space="preserve">Actions </w:t>
      </w:r>
      <w:r w:rsidR="003067AD">
        <w:t>that</w:t>
      </w:r>
      <w:r>
        <w:t xml:space="preserve"> Police </w:t>
      </w:r>
      <w:r w:rsidR="003067AD">
        <w:t xml:space="preserve">officers </w:t>
      </w:r>
      <w:r>
        <w:t xml:space="preserve">may take </w:t>
      </w:r>
      <w:r w:rsidR="007B69B2">
        <w:t>include:</w:t>
      </w:r>
    </w:p>
    <w:p w14:paraId="357EFF4D" w14:textId="3716D498" w:rsidR="007B69B2" w:rsidRPr="00B122DC" w:rsidRDefault="007B69B2" w:rsidP="00B603EC">
      <w:pPr>
        <w:pStyle w:val="CommentText"/>
        <w:numPr>
          <w:ilvl w:val="0"/>
          <w:numId w:val="7"/>
        </w:numPr>
        <w:spacing w:after="0"/>
        <w:ind w:left="567" w:hanging="567"/>
        <w:textAlignment w:val="baseline"/>
        <w:rPr>
          <w:rStyle w:val="normaltextrun1"/>
          <w:rFonts w:ascii="Calibri" w:eastAsia="Times New Roman" w:hAnsi="Calibri" w:cs="Calibri"/>
          <w:sz w:val="22"/>
          <w:szCs w:val="22"/>
          <w:lang w:eastAsia="en-NZ"/>
        </w:rPr>
      </w:pPr>
      <w:r w:rsidRPr="002F37DB">
        <w:rPr>
          <w:rStyle w:val="normaltextrun1"/>
          <w:rFonts w:ascii="Calibri" w:eastAsia="Times New Roman" w:hAnsi="Calibri" w:cs="Calibri"/>
          <w:i/>
          <w:sz w:val="22"/>
          <w:szCs w:val="22"/>
          <w:lang w:eastAsia="en-NZ"/>
        </w:rPr>
        <w:t>Informal warning</w:t>
      </w:r>
      <w:r w:rsidR="003067AD" w:rsidRPr="002F37DB">
        <w:rPr>
          <w:rStyle w:val="normaltextrun1"/>
          <w:rFonts w:ascii="Calibri" w:eastAsia="Times New Roman" w:hAnsi="Calibri" w:cs="Calibri"/>
          <w:i/>
          <w:sz w:val="22"/>
          <w:szCs w:val="22"/>
          <w:lang w:eastAsia="en-NZ"/>
        </w:rPr>
        <w:t>s</w:t>
      </w:r>
      <w:r w:rsidRPr="00B122DC">
        <w:rPr>
          <w:rStyle w:val="normaltextrun1"/>
          <w:rFonts w:ascii="Calibri" w:eastAsia="Times New Roman" w:hAnsi="Calibri" w:cs="Calibri"/>
          <w:sz w:val="22"/>
          <w:szCs w:val="22"/>
          <w:lang w:eastAsia="en-NZ"/>
        </w:rPr>
        <w:t xml:space="preserve">: </w:t>
      </w:r>
      <w:r w:rsidR="002663CB" w:rsidRPr="00B122DC">
        <w:rPr>
          <w:rStyle w:val="normaltextrun1"/>
          <w:rFonts w:ascii="Calibri" w:eastAsia="Times New Roman" w:hAnsi="Calibri" w:cs="Calibri"/>
          <w:sz w:val="22"/>
          <w:szCs w:val="22"/>
          <w:lang w:eastAsia="en-NZ"/>
        </w:rPr>
        <w:t xml:space="preserve">This is the most informal of the Police warning thresholds and does </w:t>
      </w:r>
      <w:r w:rsidR="0099596B" w:rsidRPr="00B122DC">
        <w:rPr>
          <w:rStyle w:val="normaltextrun1"/>
          <w:rFonts w:ascii="Calibri" w:eastAsia="Times New Roman" w:hAnsi="Calibri" w:cs="Calibri"/>
          <w:sz w:val="22"/>
          <w:szCs w:val="22"/>
          <w:lang w:eastAsia="en-NZ"/>
        </w:rPr>
        <w:t>not</w:t>
      </w:r>
      <w:r w:rsidR="002663CB" w:rsidRPr="00B122DC">
        <w:rPr>
          <w:rStyle w:val="normaltextrun1"/>
          <w:rFonts w:ascii="Calibri" w:eastAsia="Times New Roman" w:hAnsi="Calibri" w:cs="Calibri"/>
          <w:sz w:val="22"/>
          <w:szCs w:val="22"/>
          <w:lang w:eastAsia="en-NZ"/>
        </w:rPr>
        <w:t xml:space="preserve"> involve any further action. Informal warnings</w:t>
      </w:r>
      <w:r w:rsidR="6373BEE9" w:rsidRPr="00632A7E">
        <w:rPr>
          <w:rStyle w:val="normaltextrun1"/>
          <w:rFonts w:ascii="Calibri" w:eastAsia="Times New Roman" w:hAnsi="Calibri" w:cs="Calibri"/>
          <w:sz w:val="22"/>
          <w:szCs w:val="22"/>
          <w:lang w:eastAsia="en-NZ"/>
        </w:rPr>
        <w:t>, often known as verbal warnings,</w:t>
      </w:r>
      <w:r w:rsidR="002663CB" w:rsidRPr="00B122DC">
        <w:rPr>
          <w:rStyle w:val="normaltextrun1"/>
          <w:rFonts w:ascii="Calibri" w:eastAsia="Times New Roman" w:hAnsi="Calibri" w:cs="Calibri"/>
          <w:sz w:val="22"/>
          <w:szCs w:val="22"/>
          <w:lang w:eastAsia="en-NZ"/>
        </w:rPr>
        <w:t xml:space="preserve"> are</w:t>
      </w:r>
      <w:r w:rsidR="005307BF" w:rsidRPr="00B122DC">
        <w:rPr>
          <w:rStyle w:val="normaltextrun1"/>
          <w:rFonts w:ascii="Calibri" w:eastAsia="Times New Roman" w:hAnsi="Calibri" w:cs="Calibri"/>
          <w:sz w:val="22"/>
          <w:szCs w:val="22"/>
          <w:lang w:eastAsia="en-NZ"/>
        </w:rPr>
        <w:t xml:space="preserve"> usually</w:t>
      </w:r>
      <w:r w:rsidR="002663CB" w:rsidRPr="00B122DC">
        <w:rPr>
          <w:rStyle w:val="normaltextrun1"/>
          <w:rFonts w:ascii="Calibri" w:eastAsia="Times New Roman" w:hAnsi="Calibri" w:cs="Calibri"/>
          <w:sz w:val="22"/>
          <w:szCs w:val="22"/>
          <w:lang w:eastAsia="en-NZ"/>
        </w:rPr>
        <w:t xml:space="preserve"> recorded in the N</w:t>
      </w:r>
      <w:r w:rsidR="00592FDF" w:rsidRPr="00B122DC">
        <w:rPr>
          <w:rStyle w:val="normaltextrun1"/>
          <w:rFonts w:ascii="Calibri" w:eastAsia="Times New Roman" w:hAnsi="Calibri" w:cs="Calibri"/>
          <w:sz w:val="22"/>
          <w:szCs w:val="22"/>
          <w:lang w:eastAsia="en-NZ"/>
        </w:rPr>
        <w:t xml:space="preserve">ational </w:t>
      </w:r>
      <w:r w:rsidR="002663CB" w:rsidRPr="00B122DC">
        <w:rPr>
          <w:rStyle w:val="normaltextrun1"/>
          <w:rFonts w:ascii="Calibri" w:eastAsia="Times New Roman" w:hAnsi="Calibri" w:cs="Calibri"/>
          <w:sz w:val="22"/>
          <w:szCs w:val="22"/>
          <w:lang w:eastAsia="en-NZ"/>
        </w:rPr>
        <w:t>I</w:t>
      </w:r>
      <w:r w:rsidR="00592FDF" w:rsidRPr="00B122DC">
        <w:rPr>
          <w:rStyle w:val="normaltextrun1"/>
          <w:rFonts w:ascii="Calibri" w:eastAsia="Times New Roman" w:hAnsi="Calibri" w:cs="Calibri"/>
          <w:sz w:val="22"/>
          <w:szCs w:val="22"/>
          <w:lang w:eastAsia="en-NZ"/>
        </w:rPr>
        <w:t xml:space="preserve">ntelligence </w:t>
      </w:r>
      <w:r w:rsidR="002663CB" w:rsidRPr="00B122DC">
        <w:rPr>
          <w:rStyle w:val="normaltextrun1"/>
          <w:rFonts w:ascii="Calibri" w:eastAsia="Times New Roman" w:hAnsi="Calibri" w:cs="Calibri"/>
          <w:sz w:val="22"/>
          <w:szCs w:val="22"/>
          <w:lang w:eastAsia="en-NZ"/>
        </w:rPr>
        <w:t>A</w:t>
      </w:r>
      <w:r w:rsidR="00592FDF" w:rsidRPr="00B122DC">
        <w:rPr>
          <w:rStyle w:val="normaltextrun1"/>
          <w:rFonts w:ascii="Calibri" w:eastAsia="Times New Roman" w:hAnsi="Calibri" w:cs="Calibri"/>
          <w:sz w:val="22"/>
          <w:szCs w:val="22"/>
          <w:lang w:eastAsia="en-NZ"/>
        </w:rPr>
        <w:t>pplication</w:t>
      </w:r>
      <w:r w:rsidR="002663CB" w:rsidRPr="00B122DC">
        <w:rPr>
          <w:rStyle w:val="normaltextrun1"/>
          <w:rFonts w:ascii="Calibri" w:eastAsia="Times New Roman" w:hAnsi="Calibri" w:cs="Calibri"/>
          <w:sz w:val="22"/>
          <w:szCs w:val="22"/>
          <w:lang w:eastAsia="en-NZ"/>
        </w:rPr>
        <w:t xml:space="preserve">. </w:t>
      </w:r>
    </w:p>
    <w:p w14:paraId="64150CBB" w14:textId="7986F3EA" w:rsidR="007B69B2" w:rsidRPr="00B122DC" w:rsidRDefault="00E16137" w:rsidP="00B603EC">
      <w:pPr>
        <w:pStyle w:val="CommentText"/>
        <w:numPr>
          <w:ilvl w:val="0"/>
          <w:numId w:val="7"/>
        </w:numPr>
        <w:spacing w:after="0"/>
        <w:ind w:left="567" w:hanging="567"/>
        <w:textAlignment w:val="baseline"/>
        <w:rPr>
          <w:rStyle w:val="normaltextrun1"/>
          <w:rFonts w:ascii="Calibri" w:eastAsia="Times New Roman" w:hAnsi="Calibri" w:cs="Calibri"/>
          <w:sz w:val="22"/>
          <w:szCs w:val="22"/>
          <w:lang w:eastAsia="en-NZ"/>
        </w:rPr>
      </w:pPr>
      <w:r w:rsidRPr="002F37DB">
        <w:rPr>
          <w:rStyle w:val="normaltextrun1"/>
          <w:rFonts w:ascii="Calibri" w:eastAsia="Times New Roman" w:hAnsi="Calibri" w:cs="Calibri"/>
          <w:i/>
          <w:sz w:val="22"/>
          <w:szCs w:val="22"/>
          <w:lang w:eastAsia="en-NZ"/>
        </w:rPr>
        <w:t>F</w:t>
      </w:r>
      <w:r w:rsidR="007B69B2" w:rsidRPr="002F37DB">
        <w:rPr>
          <w:rStyle w:val="normaltextrun1"/>
          <w:rFonts w:ascii="Calibri" w:eastAsia="Times New Roman" w:hAnsi="Calibri" w:cs="Calibri"/>
          <w:i/>
          <w:sz w:val="22"/>
          <w:szCs w:val="22"/>
          <w:lang w:eastAsia="en-NZ"/>
        </w:rPr>
        <w:t xml:space="preserve">ormal </w:t>
      </w:r>
      <w:r w:rsidR="00AE715D" w:rsidRPr="002F37DB">
        <w:rPr>
          <w:rStyle w:val="normaltextrun1"/>
          <w:rFonts w:ascii="Calibri" w:eastAsia="Times New Roman" w:hAnsi="Calibri" w:cs="Calibri"/>
          <w:i/>
          <w:sz w:val="22"/>
          <w:szCs w:val="22"/>
          <w:lang w:eastAsia="en-NZ"/>
        </w:rPr>
        <w:t>w</w:t>
      </w:r>
      <w:r w:rsidR="007B69B2" w:rsidRPr="002F37DB">
        <w:rPr>
          <w:rStyle w:val="normaltextrun1"/>
          <w:rFonts w:ascii="Calibri" w:eastAsia="Times New Roman" w:hAnsi="Calibri" w:cs="Calibri"/>
          <w:i/>
          <w:sz w:val="22"/>
          <w:szCs w:val="22"/>
          <w:lang w:eastAsia="en-NZ"/>
        </w:rPr>
        <w:t>arnings</w:t>
      </w:r>
      <w:r w:rsidR="007B69B2" w:rsidRPr="00B122DC">
        <w:rPr>
          <w:rStyle w:val="normaltextrun1"/>
          <w:rFonts w:ascii="Calibri" w:eastAsia="Times New Roman" w:hAnsi="Calibri" w:cs="Calibri"/>
          <w:sz w:val="22"/>
          <w:szCs w:val="22"/>
          <w:lang w:eastAsia="en-NZ"/>
        </w:rPr>
        <w:t xml:space="preserve">: </w:t>
      </w:r>
      <w:r w:rsidR="00AA12C3" w:rsidRPr="00B122DC">
        <w:rPr>
          <w:rStyle w:val="normaltextrun1"/>
          <w:rFonts w:ascii="Calibri" w:eastAsia="Times New Roman" w:hAnsi="Calibri" w:cs="Calibri"/>
          <w:sz w:val="22"/>
          <w:szCs w:val="22"/>
          <w:lang w:eastAsia="en-NZ"/>
        </w:rPr>
        <w:t>This</w:t>
      </w:r>
      <w:r w:rsidR="007B69B2" w:rsidRPr="00B122DC">
        <w:rPr>
          <w:rStyle w:val="normaltextrun1"/>
          <w:rFonts w:ascii="Calibri" w:eastAsia="Times New Roman" w:hAnsi="Calibri" w:cs="Calibri"/>
          <w:sz w:val="22"/>
          <w:szCs w:val="22"/>
          <w:lang w:eastAsia="en-NZ"/>
        </w:rPr>
        <w:t xml:space="preserve"> is a written warning </w:t>
      </w:r>
      <w:r w:rsidR="00092C00" w:rsidRPr="00B122DC">
        <w:rPr>
          <w:rStyle w:val="normaltextrun1"/>
          <w:rFonts w:ascii="Calibri" w:eastAsia="Times New Roman" w:hAnsi="Calibri" w:cs="Calibri"/>
          <w:sz w:val="22"/>
          <w:szCs w:val="22"/>
          <w:lang w:eastAsia="en-NZ"/>
        </w:rPr>
        <w:t xml:space="preserve">issued to an individual. The warning </w:t>
      </w:r>
      <w:r w:rsidR="007B69B2" w:rsidRPr="00B122DC">
        <w:rPr>
          <w:rStyle w:val="normaltextrun1"/>
          <w:rFonts w:ascii="Calibri" w:eastAsia="Times New Roman" w:hAnsi="Calibri" w:cs="Calibri"/>
          <w:sz w:val="22"/>
          <w:szCs w:val="22"/>
          <w:lang w:eastAsia="en-NZ"/>
        </w:rPr>
        <w:t xml:space="preserve">is recorded (and may be shared during </w:t>
      </w:r>
      <w:r w:rsidR="009963D1" w:rsidRPr="00B122DC">
        <w:rPr>
          <w:rStyle w:val="normaltextrun1"/>
          <w:rFonts w:ascii="Calibri" w:eastAsia="Times New Roman" w:hAnsi="Calibri" w:cs="Calibri"/>
          <w:sz w:val="22"/>
          <w:szCs w:val="22"/>
          <w:lang w:eastAsia="en-NZ"/>
        </w:rPr>
        <w:t>Police vetting if relevant</w:t>
      </w:r>
      <w:r w:rsidR="007B69B2" w:rsidRPr="00B122DC">
        <w:rPr>
          <w:rStyle w:val="normaltextrun1"/>
          <w:rFonts w:ascii="Calibri" w:eastAsia="Times New Roman" w:hAnsi="Calibri" w:cs="Calibri"/>
          <w:sz w:val="22"/>
          <w:szCs w:val="22"/>
          <w:lang w:eastAsia="en-NZ"/>
        </w:rPr>
        <w:t xml:space="preserve">) but is not </w:t>
      </w:r>
      <w:r w:rsidR="00940741" w:rsidRPr="00B122DC">
        <w:rPr>
          <w:rStyle w:val="normaltextrun1"/>
          <w:rFonts w:ascii="Calibri" w:eastAsia="Times New Roman" w:hAnsi="Calibri" w:cs="Calibri"/>
          <w:sz w:val="22"/>
          <w:szCs w:val="22"/>
          <w:lang w:eastAsia="en-NZ"/>
        </w:rPr>
        <w:t>a charge and subsequently does not result in prosecution. Individuals can dispute a warning</w:t>
      </w:r>
      <w:r w:rsidR="007B69B2" w:rsidRPr="00B122DC">
        <w:rPr>
          <w:rStyle w:val="normaltextrun1"/>
          <w:rFonts w:ascii="Calibri" w:eastAsia="Times New Roman" w:hAnsi="Calibri" w:cs="Calibri"/>
          <w:sz w:val="22"/>
          <w:szCs w:val="22"/>
          <w:lang w:eastAsia="en-NZ"/>
        </w:rPr>
        <w:t>. This warning is usually applied in instances where the offence is punishable by less than six months’ imprisonment</w:t>
      </w:r>
    </w:p>
    <w:p w14:paraId="16964105" w14:textId="11A85BD2" w:rsidR="007B69B2" w:rsidRPr="00B122DC" w:rsidRDefault="007B69B2" w:rsidP="00B603EC">
      <w:pPr>
        <w:pStyle w:val="CommentText"/>
        <w:numPr>
          <w:ilvl w:val="0"/>
          <w:numId w:val="7"/>
        </w:numPr>
        <w:spacing w:after="0"/>
        <w:ind w:left="567" w:hanging="567"/>
        <w:textAlignment w:val="baseline"/>
        <w:rPr>
          <w:rStyle w:val="normaltextrun1"/>
          <w:rFonts w:ascii="Calibri" w:eastAsia="Times New Roman" w:hAnsi="Calibri" w:cs="Calibri"/>
          <w:sz w:val="22"/>
          <w:szCs w:val="22"/>
          <w:lang w:eastAsia="en-NZ"/>
        </w:rPr>
      </w:pPr>
      <w:r w:rsidRPr="002F37DB">
        <w:rPr>
          <w:rStyle w:val="normaltextrun1"/>
          <w:rFonts w:ascii="Calibri" w:eastAsia="Times New Roman" w:hAnsi="Calibri" w:cs="Calibri"/>
          <w:i/>
          <w:sz w:val="22"/>
          <w:szCs w:val="22"/>
          <w:lang w:eastAsia="en-NZ"/>
        </w:rPr>
        <w:t>Referral to Te Pae Oranga</w:t>
      </w:r>
      <w:r w:rsidRPr="00B122DC">
        <w:rPr>
          <w:rStyle w:val="normaltextrun1"/>
          <w:rFonts w:ascii="Calibri" w:eastAsia="Times New Roman" w:hAnsi="Calibri" w:cs="Calibri"/>
          <w:sz w:val="22"/>
          <w:szCs w:val="22"/>
          <w:lang w:eastAsia="en-NZ"/>
        </w:rPr>
        <w:t xml:space="preserve">: an alternative justice model </w:t>
      </w:r>
      <w:r w:rsidR="00AA12C3" w:rsidRPr="00B122DC">
        <w:rPr>
          <w:rStyle w:val="normaltextrun1"/>
          <w:rFonts w:ascii="Calibri" w:eastAsia="Times New Roman" w:hAnsi="Calibri" w:cs="Calibri"/>
          <w:sz w:val="22"/>
          <w:szCs w:val="22"/>
          <w:lang w:eastAsia="en-NZ"/>
        </w:rPr>
        <w:t>informed by</w:t>
      </w:r>
      <w:r w:rsidRPr="00B122DC">
        <w:rPr>
          <w:rStyle w:val="normaltextrun1"/>
          <w:rFonts w:ascii="Calibri" w:eastAsia="Times New Roman" w:hAnsi="Calibri" w:cs="Calibri"/>
          <w:sz w:val="22"/>
          <w:szCs w:val="22"/>
          <w:lang w:eastAsia="en-NZ"/>
        </w:rPr>
        <w:t xml:space="preserve"> a te ao Māori framework</w:t>
      </w:r>
      <w:r w:rsidR="005F620C" w:rsidRPr="00B122DC">
        <w:rPr>
          <w:rStyle w:val="normaltextrun1"/>
          <w:rFonts w:ascii="Calibri" w:eastAsia="Times New Roman" w:hAnsi="Calibri" w:cs="Calibri"/>
          <w:sz w:val="22"/>
          <w:szCs w:val="22"/>
          <w:lang w:eastAsia="en-NZ"/>
        </w:rPr>
        <w:t>. It is not yet available in every Police District</w:t>
      </w:r>
    </w:p>
    <w:p w14:paraId="0B50E2CF" w14:textId="5FEE3B55" w:rsidR="006B44ED" w:rsidRPr="00B122DC" w:rsidRDefault="00F0034D" w:rsidP="00B603EC">
      <w:pPr>
        <w:pStyle w:val="CommentText"/>
        <w:numPr>
          <w:ilvl w:val="0"/>
          <w:numId w:val="7"/>
        </w:numPr>
        <w:spacing w:after="0"/>
        <w:ind w:left="567" w:hanging="567"/>
        <w:textAlignment w:val="baseline"/>
        <w:rPr>
          <w:rStyle w:val="normaltextrun1"/>
          <w:rFonts w:ascii="Calibri" w:eastAsia="Times New Roman" w:hAnsi="Calibri" w:cs="Calibri"/>
          <w:sz w:val="22"/>
          <w:szCs w:val="22"/>
          <w:lang w:eastAsia="en-NZ"/>
        </w:rPr>
      </w:pPr>
      <w:r w:rsidRPr="002F37DB">
        <w:rPr>
          <w:rStyle w:val="normaltextrun1"/>
          <w:rFonts w:ascii="Calibri" w:eastAsia="Times New Roman" w:hAnsi="Calibri" w:cs="Calibri"/>
          <w:i/>
          <w:sz w:val="22"/>
          <w:szCs w:val="22"/>
          <w:lang w:eastAsia="en-NZ"/>
        </w:rPr>
        <w:t xml:space="preserve">Youth </w:t>
      </w:r>
      <w:r w:rsidR="006B44ED" w:rsidRPr="002F37DB">
        <w:rPr>
          <w:rStyle w:val="normaltextrun1"/>
          <w:rFonts w:ascii="Calibri" w:eastAsia="Times New Roman" w:hAnsi="Calibri" w:cs="Calibri"/>
          <w:i/>
          <w:sz w:val="22"/>
          <w:szCs w:val="22"/>
          <w:lang w:eastAsia="en-NZ"/>
        </w:rPr>
        <w:t>Referral</w:t>
      </w:r>
      <w:r w:rsidRPr="00B122DC">
        <w:rPr>
          <w:rStyle w:val="normaltextrun1"/>
          <w:rFonts w:ascii="Calibri" w:eastAsia="Times New Roman" w:hAnsi="Calibri" w:cs="Calibri"/>
          <w:sz w:val="22"/>
          <w:szCs w:val="22"/>
          <w:lang w:eastAsia="en-NZ"/>
        </w:rPr>
        <w:t xml:space="preserve">: Can </w:t>
      </w:r>
      <w:r w:rsidR="005F6B5A" w:rsidRPr="00B122DC">
        <w:rPr>
          <w:rStyle w:val="normaltextrun1"/>
          <w:rFonts w:ascii="Calibri" w:eastAsia="Times New Roman" w:hAnsi="Calibri" w:cs="Calibri"/>
          <w:sz w:val="22"/>
          <w:szCs w:val="22"/>
          <w:lang w:eastAsia="en-NZ"/>
        </w:rPr>
        <w:t>include a y</w:t>
      </w:r>
      <w:r w:rsidR="00963F2F" w:rsidRPr="00B122DC">
        <w:rPr>
          <w:rStyle w:val="normaltextrun1"/>
          <w:rFonts w:ascii="Calibri" w:eastAsia="Times New Roman" w:hAnsi="Calibri" w:cs="Calibri"/>
          <w:sz w:val="22"/>
          <w:szCs w:val="22"/>
          <w:lang w:eastAsia="en-NZ"/>
        </w:rPr>
        <w:t>outh warning</w:t>
      </w:r>
      <w:r w:rsidR="00302024" w:rsidRPr="00B122DC">
        <w:rPr>
          <w:rStyle w:val="normaltextrun1"/>
          <w:rFonts w:ascii="Calibri" w:eastAsia="Times New Roman" w:hAnsi="Calibri" w:cs="Calibri"/>
          <w:sz w:val="22"/>
          <w:szCs w:val="22"/>
          <w:lang w:eastAsia="en-NZ"/>
        </w:rPr>
        <w:t xml:space="preserve">, </w:t>
      </w:r>
      <w:proofErr w:type="spellStart"/>
      <w:r w:rsidR="00302024" w:rsidRPr="00B122DC">
        <w:rPr>
          <w:rStyle w:val="normaltextrun1"/>
          <w:rFonts w:ascii="Calibri" w:eastAsia="Times New Roman" w:hAnsi="Calibri" w:cs="Calibri"/>
          <w:sz w:val="22"/>
          <w:szCs w:val="22"/>
          <w:lang w:eastAsia="en-NZ"/>
        </w:rPr>
        <w:t>Te</w:t>
      </w:r>
      <w:proofErr w:type="spellEnd"/>
      <w:r w:rsidR="00302024" w:rsidRPr="00B122DC">
        <w:rPr>
          <w:rStyle w:val="normaltextrun1"/>
          <w:rFonts w:ascii="Calibri" w:eastAsia="Times New Roman" w:hAnsi="Calibri" w:cs="Calibri"/>
          <w:sz w:val="22"/>
          <w:szCs w:val="22"/>
          <w:lang w:eastAsia="en-NZ"/>
        </w:rPr>
        <w:t xml:space="preserve"> </w:t>
      </w:r>
      <w:proofErr w:type="spellStart"/>
      <w:r w:rsidR="00302024" w:rsidRPr="00B122DC">
        <w:rPr>
          <w:rStyle w:val="normaltextrun1"/>
          <w:rFonts w:ascii="Calibri" w:eastAsia="Times New Roman" w:hAnsi="Calibri" w:cs="Calibri"/>
          <w:sz w:val="22"/>
          <w:szCs w:val="22"/>
          <w:lang w:eastAsia="en-NZ"/>
        </w:rPr>
        <w:t>Pae</w:t>
      </w:r>
      <w:proofErr w:type="spellEnd"/>
      <w:r w:rsidR="00302024" w:rsidRPr="00B122DC">
        <w:rPr>
          <w:rStyle w:val="normaltextrun1"/>
          <w:rFonts w:ascii="Calibri" w:eastAsia="Times New Roman" w:hAnsi="Calibri" w:cs="Calibri"/>
          <w:sz w:val="22"/>
          <w:szCs w:val="22"/>
          <w:lang w:eastAsia="en-NZ"/>
        </w:rPr>
        <w:t xml:space="preserve"> </w:t>
      </w:r>
      <w:proofErr w:type="spellStart"/>
      <w:r w:rsidR="00302024" w:rsidRPr="00B122DC">
        <w:rPr>
          <w:rStyle w:val="normaltextrun1"/>
          <w:rFonts w:ascii="Calibri" w:eastAsia="Times New Roman" w:hAnsi="Calibri" w:cs="Calibri"/>
          <w:sz w:val="22"/>
          <w:szCs w:val="22"/>
          <w:lang w:eastAsia="en-NZ"/>
        </w:rPr>
        <w:t>Oranga</w:t>
      </w:r>
      <w:r w:rsidR="004865C7" w:rsidRPr="00B122DC">
        <w:rPr>
          <w:rStyle w:val="normaltextrun1"/>
          <w:rFonts w:ascii="Calibri" w:eastAsia="Times New Roman" w:hAnsi="Calibri" w:cs="Calibri"/>
          <w:sz w:val="22"/>
          <w:szCs w:val="22"/>
          <w:lang w:eastAsia="en-NZ"/>
        </w:rPr>
        <w:t>,Youth</w:t>
      </w:r>
      <w:proofErr w:type="spellEnd"/>
      <w:r w:rsidR="004865C7" w:rsidRPr="00B122DC">
        <w:rPr>
          <w:rStyle w:val="normaltextrun1"/>
          <w:rFonts w:ascii="Calibri" w:eastAsia="Times New Roman" w:hAnsi="Calibri" w:cs="Calibri"/>
          <w:sz w:val="22"/>
          <w:szCs w:val="22"/>
          <w:lang w:eastAsia="en-NZ"/>
        </w:rPr>
        <w:t xml:space="preserve"> Court, Family Group </w:t>
      </w:r>
      <w:r w:rsidR="00387E2E" w:rsidRPr="00B122DC">
        <w:rPr>
          <w:rStyle w:val="normaltextrun1"/>
          <w:rFonts w:ascii="Calibri" w:eastAsia="Times New Roman" w:hAnsi="Calibri" w:cs="Calibri"/>
          <w:sz w:val="22"/>
          <w:szCs w:val="22"/>
          <w:lang w:eastAsia="en-NZ"/>
        </w:rPr>
        <w:t>Conference and other interventions</w:t>
      </w:r>
      <w:r w:rsidR="00302024" w:rsidRPr="00B122DC">
        <w:rPr>
          <w:rStyle w:val="normaltextrun1"/>
          <w:rFonts w:ascii="Calibri" w:eastAsia="Times New Roman" w:hAnsi="Calibri" w:cs="Calibri"/>
          <w:sz w:val="22"/>
          <w:szCs w:val="22"/>
          <w:lang w:eastAsia="en-NZ"/>
        </w:rPr>
        <w:t xml:space="preserve"> </w:t>
      </w:r>
    </w:p>
    <w:p w14:paraId="1D49238D" w14:textId="77777777" w:rsidR="007B69B2" w:rsidRPr="00B122DC" w:rsidRDefault="007B69B2" w:rsidP="00B603EC">
      <w:pPr>
        <w:pStyle w:val="CommentText"/>
        <w:numPr>
          <w:ilvl w:val="0"/>
          <w:numId w:val="7"/>
        </w:numPr>
        <w:ind w:left="567" w:hanging="567"/>
        <w:textAlignment w:val="baseline"/>
        <w:rPr>
          <w:rStyle w:val="normaltextrun1"/>
          <w:rFonts w:ascii="Calibri" w:eastAsia="Times New Roman" w:hAnsi="Calibri" w:cs="Calibri"/>
          <w:sz w:val="22"/>
          <w:szCs w:val="22"/>
          <w:lang w:eastAsia="en-NZ"/>
        </w:rPr>
      </w:pPr>
      <w:r w:rsidRPr="002F37DB">
        <w:rPr>
          <w:rStyle w:val="normaltextrun1"/>
          <w:rFonts w:ascii="Calibri" w:eastAsia="Times New Roman" w:hAnsi="Calibri" w:cs="Calibri"/>
          <w:i/>
          <w:sz w:val="22"/>
          <w:szCs w:val="22"/>
          <w:lang w:eastAsia="en-NZ"/>
        </w:rPr>
        <w:t>Court action (prosecution and diversion)</w:t>
      </w:r>
      <w:r w:rsidRPr="00B122DC">
        <w:rPr>
          <w:rStyle w:val="normaltextrun1"/>
          <w:rFonts w:ascii="Calibri" w:eastAsia="Times New Roman" w:hAnsi="Calibri" w:cs="Calibri"/>
          <w:sz w:val="22"/>
          <w:szCs w:val="22"/>
          <w:lang w:eastAsia="en-NZ"/>
        </w:rPr>
        <w:t>:  in-court proceedings precipitated by prosecution (diversion is accessed following the laying of charges for prosecution).</w:t>
      </w:r>
    </w:p>
    <w:p w14:paraId="153546C5" w14:textId="1B4A1561" w:rsidR="00F30BE7" w:rsidRDefault="007B69B2" w:rsidP="00F30BE7">
      <w:r>
        <w:t xml:space="preserve">The </w:t>
      </w:r>
      <w:r w:rsidR="00D75E6B">
        <w:t>term ‘proceedings’ is not limited to court action and is an umbrella term for all response option</w:t>
      </w:r>
      <w:r w:rsidR="004945AD">
        <w:t>s</w:t>
      </w:r>
      <w:r w:rsidR="00D75E6B">
        <w:t xml:space="preserve"> available to Police when addressing possession of drugs for personal use.  </w:t>
      </w:r>
      <w:r w:rsidR="00F30BE7" w:rsidRPr="001B61B1">
        <w:t xml:space="preserve">A proceeding counts each separate occasion when Police deal with </w:t>
      </w:r>
      <w:r w:rsidR="005828A3">
        <w:t>a</w:t>
      </w:r>
      <w:r w:rsidR="00D732B5">
        <w:t xml:space="preserve"> </w:t>
      </w:r>
      <w:r w:rsidR="00687E8E">
        <w:t>pe</w:t>
      </w:r>
      <w:r w:rsidR="00D732B5">
        <w:t>rson</w:t>
      </w:r>
      <w:r w:rsidR="00F30BE7" w:rsidRPr="001B61B1">
        <w:t xml:space="preserve"> for one or more offences. Proceedings for official statistics are classified according to the </w:t>
      </w:r>
      <w:r w:rsidR="00F30BE7">
        <w:t>“</w:t>
      </w:r>
      <w:r w:rsidR="00F30BE7" w:rsidRPr="001B61B1">
        <w:t>most serious offence</w:t>
      </w:r>
      <w:r w:rsidR="00F30BE7">
        <w:t>”</w:t>
      </w:r>
      <w:r w:rsidR="00F30BE7" w:rsidRPr="001B61B1">
        <w:t xml:space="preserve"> that the </w:t>
      </w:r>
      <w:r w:rsidR="00D644F3">
        <w:t>person</w:t>
      </w:r>
      <w:r w:rsidR="00D644F3" w:rsidRPr="001B61B1">
        <w:t xml:space="preserve"> </w:t>
      </w:r>
      <w:r w:rsidR="00F30BE7" w:rsidRPr="001B61B1">
        <w:t>is dealt with on that occasion.</w:t>
      </w:r>
    </w:p>
    <w:p w14:paraId="737E7C90" w14:textId="1A089EB3" w:rsidR="00952B73" w:rsidRDefault="00A83DA4" w:rsidP="00952B73">
      <w:pPr>
        <w:spacing w:line="256" w:lineRule="auto"/>
      </w:pPr>
      <w:r>
        <w:rPr>
          <w:rStyle w:val="normaltextrun1"/>
          <w:rFonts w:ascii="Calibri" w:hAnsi="Calibri" w:cs="Calibri"/>
        </w:rPr>
        <w:t xml:space="preserve">All </w:t>
      </w:r>
      <w:r w:rsidR="0041569B">
        <w:rPr>
          <w:rStyle w:val="normaltextrun1"/>
          <w:rFonts w:ascii="Calibri" w:hAnsi="Calibri" w:cs="Calibri"/>
        </w:rPr>
        <w:t xml:space="preserve">non-court proceedings </w:t>
      </w:r>
      <w:r w:rsidR="004765DD">
        <w:rPr>
          <w:rStyle w:val="normaltextrun1"/>
          <w:rFonts w:ascii="Calibri" w:hAnsi="Calibri" w:cs="Calibri"/>
        </w:rPr>
        <w:t>(verbal warnings, formal warnings</w:t>
      </w:r>
      <w:r w:rsidR="0041569B">
        <w:rPr>
          <w:rStyle w:val="normaltextrun1"/>
          <w:rFonts w:ascii="Calibri" w:hAnsi="Calibri" w:cs="Calibri"/>
        </w:rPr>
        <w:t xml:space="preserve"> </w:t>
      </w:r>
      <w:r w:rsidR="00405D55">
        <w:rPr>
          <w:rStyle w:val="normaltextrun1"/>
          <w:rFonts w:ascii="Calibri" w:hAnsi="Calibri" w:cs="Calibri"/>
        </w:rPr>
        <w:t xml:space="preserve">and </w:t>
      </w:r>
      <w:r w:rsidR="00E94E12">
        <w:rPr>
          <w:rStyle w:val="normaltextrun1"/>
          <w:rFonts w:ascii="Calibri" w:hAnsi="Calibri" w:cs="Calibri"/>
        </w:rPr>
        <w:t>referral to Te Pae Oran</w:t>
      </w:r>
      <w:r w:rsidR="00405D55">
        <w:rPr>
          <w:rStyle w:val="normaltextrun1"/>
          <w:rFonts w:ascii="Calibri" w:hAnsi="Calibri" w:cs="Calibri"/>
        </w:rPr>
        <w:t>ga)</w:t>
      </w:r>
      <w:r w:rsidR="0041569B">
        <w:rPr>
          <w:rStyle w:val="normaltextrun1"/>
          <w:rFonts w:ascii="Calibri" w:hAnsi="Calibri" w:cs="Calibri"/>
        </w:rPr>
        <w:t xml:space="preserve"> have been </w:t>
      </w:r>
      <w:r w:rsidR="00732422">
        <w:rPr>
          <w:rStyle w:val="normaltextrun1"/>
          <w:rFonts w:ascii="Calibri" w:hAnsi="Calibri" w:cs="Calibri"/>
        </w:rPr>
        <w:t>aggregated</w:t>
      </w:r>
      <w:r w:rsidR="005C3E38">
        <w:rPr>
          <w:rStyle w:val="normaltextrun1"/>
          <w:rFonts w:ascii="Calibri" w:hAnsi="Calibri" w:cs="Calibri"/>
        </w:rPr>
        <w:t xml:space="preserve"> in the following </w:t>
      </w:r>
      <w:r w:rsidR="0058798C">
        <w:rPr>
          <w:rStyle w:val="normaltextrun1"/>
          <w:rFonts w:ascii="Calibri" w:hAnsi="Calibri" w:cs="Calibri"/>
        </w:rPr>
        <w:t>tables</w:t>
      </w:r>
      <w:r w:rsidR="004712BB">
        <w:rPr>
          <w:rStyle w:val="normaltextrun1"/>
          <w:rFonts w:ascii="Calibri" w:hAnsi="Calibri" w:cs="Calibri"/>
        </w:rPr>
        <w:t>.</w:t>
      </w:r>
      <w:r w:rsidR="00CE7D97">
        <w:rPr>
          <w:rStyle w:val="normaltextrun1"/>
          <w:rFonts w:ascii="Calibri" w:hAnsi="Calibri" w:cs="Calibri"/>
        </w:rPr>
        <w:t xml:space="preserve"> </w:t>
      </w:r>
      <w:r w:rsidR="000C7719">
        <w:rPr>
          <w:rStyle w:val="normaltextrun1"/>
          <w:rFonts w:ascii="Calibri" w:hAnsi="Calibri" w:cs="Calibri"/>
        </w:rPr>
        <w:t>Everyone else will have</w:t>
      </w:r>
      <w:r w:rsidR="00405D55">
        <w:rPr>
          <w:rStyle w:val="normaltextrun1"/>
          <w:rFonts w:ascii="Calibri" w:hAnsi="Calibri" w:cs="Calibri"/>
        </w:rPr>
        <w:t xml:space="preserve"> </w:t>
      </w:r>
      <w:r w:rsidR="007D2DA1">
        <w:rPr>
          <w:rStyle w:val="normaltextrun1"/>
          <w:rFonts w:ascii="Calibri" w:hAnsi="Calibri" w:cs="Calibri"/>
        </w:rPr>
        <w:t xml:space="preserve">had court action taken. </w:t>
      </w:r>
      <w:r w:rsidR="00CE7D97">
        <w:rPr>
          <w:rStyle w:val="normaltextrun1"/>
          <w:rFonts w:ascii="Calibri" w:hAnsi="Calibri" w:cs="Calibri"/>
        </w:rPr>
        <w:t xml:space="preserve">We have analysed the data to show </w:t>
      </w:r>
      <w:r w:rsidR="00EB3401">
        <w:rPr>
          <w:rStyle w:val="normaltextrun1"/>
          <w:rFonts w:ascii="Calibri" w:hAnsi="Calibri" w:cs="Calibri"/>
        </w:rPr>
        <w:t xml:space="preserve">what change in the use of non-court proceedings has </w:t>
      </w:r>
      <w:r w:rsidR="00FB3072">
        <w:rPr>
          <w:rStyle w:val="normaltextrun1"/>
          <w:rFonts w:ascii="Calibri" w:hAnsi="Calibri" w:cs="Calibri"/>
        </w:rPr>
        <w:t>happened after the 2019 amendment.</w:t>
      </w:r>
      <w:r w:rsidR="00952B73" w:rsidRPr="00952B73">
        <w:t xml:space="preserve"> </w:t>
      </w:r>
      <w:r w:rsidR="007D2DA1">
        <w:t xml:space="preserve">The graphs </w:t>
      </w:r>
      <w:r w:rsidR="00E17F62">
        <w:t xml:space="preserve">in the following section </w:t>
      </w:r>
      <w:r w:rsidR="007D2DA1">
        <w:t>are drawn from Police proceedings data.</w:t>
      </w:r>
    </w:p>
    <w:p w14:paraId="74B44526" w14:textId="4390CBB2" w:rsidR="00570AB1" w:rsidRDefault="000403CA" w:rsidP="007B765E">
      <w:pPr>
        <w:pStyle w:val="Heading3"/>
      </w:pPr>
      <w:bookmarkStart w:id="99" w:name="_Toc75781179"/>
      <w:bookmarkStart w:id="100" w:name="_Toc75952892"/>
      <w:bookmarkStart w:id="101" w:name="_Toc78186458"/>
      <w:r>
        <w:t xml:space="preserve">Non-court </w:t>
      </w:r>
      <w:r w:rsidR="00922E31">
        <w:t>p</w:t>
      </w:r>
      <w:r w:rsidR="0062158C">
        <w:t xml:space="preserve">roceedings </w:t>
      </w:r>
      <w:r w:rsidR="005C25B9">
        <w:t xml:space="preserve">for </w:t>
      </w:r>
      <w:r w:rsidR="007A4C2D">
        <w:t xml:space="preserve">personal </w:t>
      </w:r>
      <w:r w:rsidR="00922E31">
        <w:t>p</w:t>
      </w:r>
      <w:r w:rsidR="005C25B9">
        <w:t xml:space="preserve">ossession and </w:t>
      </w:r>
      <w:r w:rsidR="00922E31">
        <w:t>u</w:t>
      </w:r>
      <w:r w:rsidR="005C25B9">
        <w:t>se charges</w:t>
      </w:r>
      <w:bookmarkEnd w:id="99"/>
      <w:bookmarkEnd w:id="100"/>
      <w:bookmarkEnd w:id="101"/>
    </w:p>
    <w:p w14:paraId="467A71AB" w14:textId="4C707BA6" w:rsidR="00446D40" w:rsidRDefault="00B3582C" w:rsidP="00446D40">
      <w:r>
        <w:t>Gr</w:t>
      </w:r>
      <w:r w:rsidR="00E81ECD">
        <w:t xml:space="preserve">aph </w:t>
      </w:r>
      <w:r w:rsidR="00C3068A">
        <w:t>2</w:t>
      </w:r>
      <w:r w:rsidR="00E81ECD">
        <w:t xml:space="preserve"> shows</w:t>
      </w:r>
      <w:r w:rsidR="00446D40">
        <w:t xml:space="preserve"> the percentage of </w:t>
      </w:r>
      <w:r w:rsidR="006B1506">
        <w:t xml:space="preserve">non-court </w:t>
      </w:r>
      <w:r w:rsidR="00446D40">
        <w:t xml:space="preserve">proceedings for </w:t>
      </w:r>
      <w:r w:rsidR="001F7F76">
        <w:t xml:space="preserve">personal </w:t>
      </w:r>
      <w:r w:rsidR="00446D40">
        <w:t xml:space="preserve">possession and or use, where that was the most serious charge. It includes all drugs and all ethnicities </w:t>
      </w:r>
    </w:p>
    <w:p w14:paraId="1A73CEBE" w14:textId="0F65CDC0" w:rsidR="006F2FF2" w:rsidRPr="009603F0" w:rsidRDefault="00446D40" w:rsidP="009603F0">
      <w:r>
        <w:t>This graph shows an increase in the use of non-court proceedings by Police since August 2019 to the first quarter 2021 (66</w:t>
      </w:r>
      <w:r w:rsidR="000149F9">
        <w:t xml:space="preserve"> percent</w:t>
      </w:r>
      <w:r>
        <w:t xml:space="preserve"> to 82</w:t>
      </w:r>
      <w:r w:rsidR="000149F9">
        <w:t xml:space="preserve"> percent</w:t>
      </w:r>
      <w:r>
        <w:t>)</w:t>
      </w:r>
      <w:r w:rsidR="007D2DA1">
        <w:t xml:space="preserve"> and therefore a decrease in the use of court proceedings (</w:t>
      </w:r>
      <w:r w:rsidR="008D06CD">
        <w:t>34</w:t>
      </w:r>
      <w:r w:rsidR="000149F9">
        <w:t xml:space="preserve"> percent</w:t>
      </w:r>
      <w:r w:rsidR="008D06CD">
        <w:t xml:space="preserve"> - </w:t>
      </w:r>
      <w:r w:rsidR="00767835">
        <w:t>18</w:t>
      </w:r>
      <w:r w:rsidR="000149F9">
        <w:t xml:space="preserve"> percent</w:t>
      </w:r>
      <w:r w:rsidR="00BC6CE0">
        <w:t>)</w:t>
      </w:r>
      <w:r>
        <w:t>. This is the continuation of a trend started before 2019 but it has increased since 2019.</w:t>
      </w:r>
    </w:p>
    <w:p w14:paraId="4F92EC9B" w14:textId="77777777" w:rsidR="004B0B42" w:rsidRPr="004B0B42" w:rsidRDefault="004B0B42" w:rsidP="004B0B42">
      <w:r>
        <w:br w:type="page"/>
      </w:r>
    </w:p>
    <w:p w14:paraId="0ECD1FB8" w14:textId="77777777" w:rsidR="009603F0" w:rsidRPr="009603F0" w:rsidRDefault="009603F0" w:rsidP="009603F0"/>
    <w:p w14:paraId="79AD1BFF" w14:textId="59AE1657" w:rsidR="00BA5A20" w:rsidRPr="00BA5A20" w:rsidRDefault="00755B4B" w:rsidP="00BA5A20">
      <w:pPr>
        <w:pStyle w:val="Caption"/>
      </w:pPr>
      <w:bookmarkStart w:id="102" w:name="_Toc75781229"/>
      <w:bookmarkStart w:id="103" w:name="_Toc77775985"/>
      <w:r>
        <w:t>Graph</w:t>
      </w:r>
      <w:r w:rsidR="00EF211A">
        <w:t xml:space="preserve"> </w:t>
      </w:r>
      <w:r>
        <w:fldChar w:fldCharType="begin"/>
      </w:r>
      <w:r>
        <w:instrText>SEQ Figure \* ARABIC</w:instrText>
      </w:r>
      <w:r>
        <w:fldChar w:fldCharType="separate"/>
      </w:r>
      <w:r w:rsidR="00AA3031">
        <w:rPr>
          <w:noProof/>
        </w:rPr>
        <w:t>2</w:t>
      </w:r>
      <w:r>
        <w:fldChar w:fldCharType="end"/>
      </w:r>
      <w:r w:rsidR="00EF211A">
        <w:t xml:space="preserve">. </w:t>
      </w:r>
      <w:r w:rsidR="51E5FA79">
        <w:t>Percent</w:t>
      </w:r>
      <w:r w:rsidR="3C4CF23B">
        <w:t>age</w:t>
      </w:r>
      <w:r w:rsidR="51E5FA79" w:rsidRPr="594A3AC2">
        <w:t xml:space="preserve"> </w:t>
      </w:r>
      <w:r w:rsidR="00C3207B">
        <w:t xml:space="preserve">of </w:t>
      </w:r>
      <w:r w:rsidR="360F86B0" w:rsidRPr="79F542E5">
        <w:t>n</w:t>
      </w:r>
      <w:r w:rsidR="51E5FA79" w:rsidRPr="79F542E5">
        <w:t>on</w:t>
      </w:r>
      <w:r w:rsidR="00AA1BE5">
        <w:t>-</w:t>
      </w:r>
      <w:r w:rsidR="4EA40C45" w:rsidRPr="79F542E5">
        <w:t>c</w:t>
      </w:r>
      <w:r w:rsidR="51E5FA79" w:rsidRPr="79F542E5">
        <w:t>ourt</w:t>
      </w:r>
      <w:r w:rsidR="51E5FA79" w:rsidRPr="594A3AC2">
        <w:t xml:space="preserve"> </w:t>
      </w:r>
      <w:r w:rsidR="2F3C3193" w:rsidRPr="55BD4693">
        <w:t>p</w:t>
      </w:r>
      <w:r w:rsidR="51E5FA79" w:rsidRPr="55BD4693">
        <w:t>roceedings</w:t>
      </w:r>
      <w:r w:rsidR="00C3207B">
        <w:t xml:space="preserve"> where </w:t>
      </w:r>
      <w:r w:rsidR="00353B49">
        <w:t xml:space="preserve">personal </w:t>
      </w:r>
      <w:r w:rsidR="00AA1BE5">
        <w:t>possession</w:t>
      </w:r>
      <w:r w:rsidR="005C78BA">
        <w:t xml:space="preserve"> and use </w:t>
      </w:r>
      <w:r w:rsidR="005C17E2">
        <w:t>is the</w:t>
      </w:r>
      <w:r w:rsidR="005C78BA">
        <w:t xml:space="preserve"> most serious </w:t>
      </w:r>
      <w:r w:rsidR="000865D5">
        <w:t>offence</w:t>
      </w:r>
      <w:bookmarkEnd w:id="102"/>
      <w:bookmarkEnd w:id="103"/>
    </w:p>
    <w:p w14:paraId="24262E49" w14:textId="591E5B63" w:rsidR="00F126F5" w:rsidRPr="00F126F5" w:rsidRDefault="009C6DF9" w:rsidP="0023546E">
      <w:pPr>
        <w:pStyle w:val="Caption"/>
      </w:pPr>
      <w:r>
        <w:rPr>
          <w:noProof/>
        </w:rPr>
        <w:drawing>
          <wp:inline distT="0" distB="0" distL="0" distR="0" wp14:anchorId="55DD335B" wp14:editId="261F4761">
            <wp:extent cx="4572000" cy="2820389"/>
            <wp:effectExtent l="0" t="0" r="0" b="18415"/>
            <wp:docPr id="1" name="Chart 1">
              <a:extLst xmlns:a="http://schemas.openxmlformats.org/drawingml/2006/main">
                <a:ext uri="{FF2B5EF4-FFF2-40B4-BE49-F238E27FC236}">
                  <a16:creationId xmlns:a16="http://schemas.microsoft.com/office/drawing/2014/main" id="{E53EEFE1-E5C2-40D4-A8E7-104185105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A4B254" w14:textId="645D4F4D" w:rsidR="00D1723C" w:rsidRDefault="00C770B0" w:rsidP="00FC498E">
      <w:r>
        <w:t xml:space="preserve">Graph </w:t>
      </w:r>
      <w:r w:rsidR="00C3068A">
        <w:t>3</w:t>
      </w:r>
      <w:r w:rsidR="00FC498E">
        <w:t xml:space="preserve"> shows the </w:t>
      </w:r>
      <w:r w:rsidR="00BA5A20">
        <w:t>breakdown</w:t>
      </w:r>
      <w:r w:rsidR="00FC498E">
        <w:t xml:space="preserve"> of the proceedings</w:t>
      </w:r>
      <w:r w:rsidR="007B553E">
        <w:t xml:space="preserve"> described in graph 2</w:t>
      </w:r>
      <w:r w:rsidR="00FC498E">
        <w:t>.  It shows a significant increase in the use of formal warnings (36</w:t>
      </w:r>
      <w:r w:rsidR="005C17E2">
        <w:t>–</w:t>
      </w:r>
      <w:r w:rsidR="00FC498E">
        <w:t>50</w:t>
      </w:r>
      <w:r w:rsidR="000149F9">
        <w:t xml:space="preserve"> percent</w:t>
      </w:r>
      <w:r w:rsidR="00FC498E">
        <w:t>) and a decrease in the use of informal warnings (36</w:t>
      </w:r>
      <w:r w:rsidR="005C17E2">
        <w:t>–</w:t>
      </w:r>
      <w:r w:rsidR="00FC498E">
        <w:t>24</w:t>
      </w:r>
      <w:r w:rsidR="000149F9">
        <w:t xml:space="preserve"> percent</w:t>
      </w:r>
      <w:r w:rsidR="00FC498E">
        <w:t xml:space="preserve">) since quarter 2 2020. This is when formal warnings became easier to make. </w:t>
      </w:r>
    </w:p>
    <w:p w14:paraId="08ECA990" w14:textId="01FCE4A3" w:rsidR="00FC498E" w:rsidRDefault="00E12E91" w:rsidP="00FC498E">
      <w:r>
        <w:t xml:space="preserve">This means that </w:t>
      </w:r>
      <w:r w:rsidR="00FB2E1C">
        <w:t xml:space="preserve">more </w:t>
      </w:r>
      <w:r w:rsidR="00BD7CE9">
        <w:t>people are</w:t>
      </w:r>
      <w:r w:rsidR="001528E7">
        <w:t xml:space="preserve"> now receiving a formal warning than previously</w:t>
      </w:r>
      <w:r w:rsidR="00DB0ADC">
        <w:t xml:space="preserve">.  This will be reflected in the information Police have </w:t>
      </w:r>
      <w:r w:rsidR="00A80E47">
        <w:t>for any further interactions.</w:t>
      </w:r>
      <w:r w:rsidR="00FC498E">
        <w:t xml:space="preserve"> </w:t>
      </w:r>
    </w:p>
    <w:p w14:paraId="198EEB95" w14:textId="3EEBC405" w:rsidR="000865D5" w:rsidRPr="00BA5A20" w:rsidRDefault="00C770B0" w:rsidP="000865D5">
      <w:pPr>
        <w:pStyle w:val="Caption"/>
      </w:pPr>
      <w:bookmarkStart w:id="104" w:name="_Toc75781230"/>
      <w:bookmarkStart w:id="105" w:name="_Toc77775986"/>
      <w:r>
        <w:t xml:space="preserve">Graph </w:t>
      </w:r>
      <w:r>
        <w:fldChar w:fldCharType="begin"/>
      </w:r>
      <w:r>
        <w:instrText>SEQ Figure \* ARABIC</w:instrText>
      </w:r>
      <w:r>
        <w:fldChar w:fldCharType="separate"/>
      </w:r>
      <w:r w:rsidR="00AA3031">
        <w:rPr>
          <w:noProof/>
        </w:rPr>
        <w:t>3</w:t>
      </w:r>
      <w:r>
        <w:fldChar w:fldCharType="end"/>
      </w:r>
      <w:r>
        <w:t xml:space="preserve"> </w:t>
      </w:r>
      <w:r w:rsidR="00702C77">
        <w:t>N</w:t>
      </w:r>
      <w:r w:rsidRPr="79F542E5">
        <w:t>on - court</w:t>
      </w:r>
      <w:r w:rsidRPr="594A3AC2">
        <w:t xml:space="preserve"> </w:t>
      </w:r>
      <w:r w:rsidRPr="55BD4693">
        <w:t>proceedings</w:t>
      </w:r>
      <w:r w:rsidR="00353B49">
        <w:t xml:space="preserve"> as a percentage of all proceedings</w:t>
      </w:r>
      <w:r w:rsidR="000865D5">
        <w:t xml:space="preserve"> where personal possession and use is the most serious offence</w:t>
      </w:r>
      <w:bookmarkEnd w:id="104"/>
      <w:bookmarkEnd w:id="105"/>
    </w:p>
    <w:p w14:paraId="256FED1F" w14:textId="77777777" w:rsidR="00C770B0" w:rsidRDefault="00C770B0" w:rsidP="00C770B0">
      <w:r>
        <w:rPr>
          <w:noProof/>
        </w:rPr>
        <w:drawing>
          <wp:inline distT="0" distB="0" distL="0" distR="0" wp14:anchorId="51E88D03" wp14:editId="3A54DE6B">
            <wp:extent cx="4686300" cy="3009900"/>
            <wp:effectExtent l="0" t="0" r="0" b="0"/>
            <wp:docPr id="3" name="Chart 3">
              <a:extLst xmlns:a="http://schemas.openxmlformats.org/drawingml/2006/main">
                <a:ext uri="{FF2B5EF4-FFF2-40B4-BE49-F238E27FC236}">
                  <a16:creationId xmlns:a16="http://schemas.microsoft.com/office/drawing/2014/main" id="{E93E6994-5C4A-41D9-882B-B348F8749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CC86EA" w14:textId="38BF3CA4" w:rsidR="00BA5A20" w:rsidRDefault="00755B4B" w:rsidP="0023546E">
      <w:r>
        <w:lastRenderedPageBreak/>
        <w:t>Graph</w:t>
      </w:r>
      <w:r w:rsidR="00EF211A">
        <w:t xml:space="preserve"> </w:t>
      </w:r>
      <w:r w:rsidR="00C3068A">
        <w:t>4</w:t>
      </w:r>
      <w:r w:rsidR="0023546E">
        <w:t xml:space="preserve"> shows the use of non-court proceedings where possession or use was </w:t>
      </w:r>
      <w:r w:rsidR="00D47F84">
        <w:t xml:space="preserve">one of multiple </w:t>
      </w:r>
      <w:r w:rsidR="00205FA8">
        <w:t>offences</w:t>
      </w:r>
      <w:r w:rsidR="0023546E">
        <w:t xml:space="preserve">. The use of non-court proceedings by Police has </w:t>
      </w:r>
      <w:r w:rsidR="007B553E">
        <w:t>also</w:t>
      </w:r>
      <w:r w:rsidR="0023546E">
        <w:t xml:space="preserve"> increased </w:t>
      </w:r>
      <w:r w:rsidR="00205FA8">
        <w:t xml:space="preserve">for these people </w:t>
      </w:r>
      <w:r w:rsidR="0023546E">
        <w:t>since August 2019 to the first quarter 2021 (42</w:t>
      </w:r>
      <w:r w:rsidR="000149F9">
        <w:t xml:space="preserve"> percent</w:t>
      </w:r>
      <w:r w:rsidR="0023546E">
        <w:t>-58</w:t>
      </w:r>
      <w:r w:rsidR="000149F9">
        <w:t xml:space="preserve"> percent</w:t>
      </w:r>
      <w:r w:rsidR="0023546E">
        <w:t>)</w:t>
      </w:r>
      <w:r w:rsidR="007B553E">
        <w:t>.</w:t>
      </w:r>
      <w:r w:rsidR="0023546E">
        <w:t xml:space="preserve"> </w:t>
      </w:r>
    </w:p>
    <w:p w14:paraId="0C63E1F0" w14:textId="1B5E2390" w:rsidR="002412D3" w:rsidRDefault="00755B4B" w:rsidP="00EF211A">
      <w:pPr>
        <w:pStyle w:val="Caption"/>
      </w:pPr>
      <w:bookmarkStart w:id="106" w:name="_Toc75781231"/>
      <w:bookmarkStart w:id="107" w:name="_Toc77775987"/>
      <w:r>
        <w:t>Graph</w:t>
      </w:r>
      <w:r w:rsidR="00EF211A">
        <w:t xml:space="preserve"> </w:t>
      </w:r>
      <w:r>
        <w:fldChar w:fldCharType="begin"/>
      </w:r>
      <w:r>
        <w:instrText>SEQ Figure \* ARABIC</w:instrText>
      </w:r>
      <w:r>
        <w:fldChar w:fldCharType="separate"/>
      </w:r>
      <w:r w:rsidR="00AA3031">
        <w:rPr>
          <w:noProof/>
        </w:rPr>
        <w:t>4</w:t>
      </w:r>
      <w:r>
        <w:fldChar w:fldCharType="end"/>
      </w:r>
      <w:r w:rsidR="00AA1BE5">
        <w:t>.</w:t>
      </w:r>
      <w:r w:rsidR="00EF211A">
        <w:t xml:space="preserve"> </w:t>
      </w:r>
      <w:r w:rsidR="005C78BA" w:rsidRPr="594A3AC2">
        <w:t xml:space="preserve">Percent </w:t>
      </w:r>
      <w:r w:rsidR="005C78BA" w:rsidRPr="79F542E5">
        <w:t>non - court</w:t>
      </w:r>
      <w:r w:rsidR="005C78BA" w:rsidRPr="594A3AC2">
        <w:t xml:space="preserve"> </w:t>
      </w:r>
      <w:r w:rsidR="005C78BA" w:rsidRPr="55BD4693">
        <w:t>proceedings</w:t>
      </w:r>
      <w:r w:rsidR="005C78BA">
        <w:t xml:space="preserve"> </w:t>
      </w:r>
      <w:r w:rsidR="00353B49">
        <w:t xml:space="preserve">where personal </w:t>
      </w:r>
      <w:r w:rsidR="00AA1BE5" w:rsidRPr="004A34C9">
        <w:t>possession</w:t>
      </w:r>
      <w:r w:rsidR="005C78BA">
        <w:t xml:space="preserve"> and use </w:t>
      </w:r>
      <w:r w:rsidR="00A972BA">
        <w:t xml:space="preserve">is </w:t>
      </w:r>
      <w:r w:rsidR="00040773">
        <w:t>one of multiple offences</w:t>
      </w:r>
      <w:bookmarkEnd w:id="106"/>
      <w:bookmarkEnd w:id="107"/>
    </w:p>
    <w:p w14:paraId="72052C90" w14:textId="4584A2BC" w:rsidR="00081349" w:rsidRDefault="00590CC5" w:rsidP="00AA1BE5">
      <w:pPr>
        <w:pStyle w:val="Caption"/>
      </w:pPr>
      <w:r>
        <w:rPr>
          <w:noProof/>
        </w:rPr>
        <w:drawing>
          <wp:inline distT="0" distB="0" distL="0" distR="0" wp14:anchorId="267FE973" wp14:editId="7E5ED697">
            <wp:extent cx="4632960" cy="2911450"/>
            <wp:effectExtent l="0" t="0" r="15240" b="3810"/>
            <wp:docPr id="5" name="Chart 5">
              <a:extLst xmlns:a="http://schemas.openxmlformats.org/drawingml/2006/main">
                <a:ext uri="{FF2B5EF4-FFF2-40B4-BE49-F238E27FC236}">
                  <a16:creationId xmlns:a16="http://schemas.microsoft.com/office/drawing/2014/main" id="{1C24CE0A-2E4E-43B6-A0E5-DFA2A3411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50F46C" w14:textId="56A4BA7A" w:rsidR="00355C92" w:rsidRPr="00355C92" w:rsidRDefault="00C3207B" w:rsidP="00355C92">
      <w:r>
        <w:t xml:space="preserve">The data shows that Police </w:t>
      </w:r>
      <w:r w:rsidR="009D40B8">
        <w:t xml:space="preserve">has increased use of </w:t>
      </w:r>
      <w:r>
        <w:t xml:space="preserve">non-court proceedings when dealing with </w:t>
      </w:r>
      <w:r w:rsidR="00C209C4">
        <w:t>person</w:t>
      </w:r>
      <w:r w:rsidR="00B104C8">
        <w:t xml:space="preserve">al </w:t>
      </w:r>
      <w:r>
        <w:t xml:space="preserve">possession and use </w:t>
      </w:r>
      <w:r w:rsidR="00290C1B">
        <w:t>of drugs offence</w:t>
      </w:r>
      <w:r w:rsidR="009F5828">
        <w:t>.</w:t>
      </w:r>
      <w:r w:rsidR="009D40B8">
        <w:t xml:space="preserve"> We do not know if this is a long-term trend or</w:t>
      </w:r>
      <w:r w:rsidR="007B553E">
        <w:t>, due to limitations in the data,</w:t>
      </w:r>
      <w:r w:rsidR="009D40B8">
        <w:t xml:space="preserve"> if it </w:t>
      </w:r>
      <w:r w:rsidR="007B553E">
        <w:t>correlates with an</w:t>
      </w:r>
      <w:r w:rsidR="009D40B8">
        <w:t xml:space="preserve"> increase</w:t>
      </w:r>
      <w:r w:rsidR="007B553E">
        <w:t xml:space="preserve"> in</w:t>
      </w:r>
      <w:r w:rsidR="009D40B8">
        <w:t xml:space="preserve"> health-referrals</w:t>
      </w:r>
      <w:r w:rsidR="007B553E">
        <w:t xml:space="preserve"> for these individuals</w:t>
      </w:r>
      <w:r w:rsidR="00A972BA">
        <w:t>.</w:t>
      </w:r>
      <w:r w:rsidR="009D40B8">
        <w:t xml:space="preserve">  </w:t>
      </w:r>
      <w:r w:rsidR="009F5828">
        <w:t xml:space="preserve">  </w:t>
      </w:r>
    </w:p>
    <w:p w14:paraId="7199B1E3" w14:textId="651675E5" w:rsidR="00137084" w:rsidRDefault="007E211A" w:rsidP="007B765E">
      <w:pPr>
        <w:pStyle w:val="Heading3"/>
      </w:pPr>
      <w:bookmarkStart w:id="108" w:name="_Toc75781180"/>
      <w:bookmarkStart w:id="109" w:name="_Toc75952893"/>
      <w:bookmarkStart w:id="110" w:name="_Toc78186459"/>
      <w:r>
        <w:t xml:space="preserve">Non-court proceedings </w:t>
      </w:r>
      <w:r w:rsidR="002C4F0C">
        <w:t xml:space="preserve">first </w:t>
      </w:r>
      <w:r w:rsidR="0056784D">
        <w:t xml:space="preserve">and repeat </w:t>
      </w:r>
      <w:r w:rsidR="00D644F3">
        <w:t>offences</w:t>
      </w:r>
      <w:bookmarkEnd w:id="108"/>
      <w:bookmarkEnd w:id="109"/>
      <w:bookmarkEnd w:id="110"/>
    </w:p>
    <w:p w14:paraId="0A99BDA5" w14:textId="07836F22" w:rsidR="00975AC8" w:rsidRDefault="00581A4F" w:rsidP="00975AC8">
      <w:r>
        <w:t xml:space="preserve">Graph </w:t>
      </w:r>
      <w:r w:rsidR="0031067C">
        <w:t>4</w:t>
      </w:r>
      <w:r w:rsidR="00975AC8">
        <w:t xml:space="preserve"> shows the percentage of </w:t>
      </w:r>
      <w:r w:rsidR="0015436F">
        <w:t xml:space="preserve">non-court </w:t>
      </w:r>
      <w:r w:rsidR="00975AC8">
        <w:t>proceedings for first and repeat</w:t>
      </w:r>
      <w:r w:rsidR="00975AC8" w:rsidDel="00D644F3">
        <w:t xml:space="preserve"> </w:t>
      </w:r>
      <w:r w:rsidR="00D644F3">
        <w:t>offences</w:t>
      </w:r>
      <w:r w:rsidR="00975AC8">
        <w:t xml:space="preserve"> for possession and us</w:t>
      </w:r>
      <w:r w:rsidR="00975AC8" w:rsidDel="002F2D6C">
        <w:t>e</w:t>
      </w:r>
      <w:r w:rsidR="00975AC8" w:rsidDel="00937F03">
        <w:t xml:space="preserve"> </w:t>
      </w:r>
      <w:r w:rsidR="000F3A9D">
        <w:t>of illegal drugs</w:t>
      </w:r>
      <w:r w:rsidR="00975AC8">
        <w:t>. It includes all drugs and ethnicities</w:t>
      </w:r>
      <w:r w:rsidR="00DE7435">
        <w:t>.</w:t>
      </w:r>
      <w:r w:rsidR="00975AC8">
        <w:t xml:space="preserve"> </w:t>
      </w:r>
    </w:p>
    <w:p w14:paraId="470D20D5" w14:textId="7DBB0786" w:rsidR="00B55370" w:rsidRPr="00B55370" w:rsidRDefault="00975AC8" w:rsidP="00B55370">
      <w:r>
        <w:t>Th</w:t>
      </w:r>
      <w:r w:rsidR="000774F5">
        <w:t>e data</w:t>
      </w:r>
      <w:r>
        <w:t xml:space="preserve"> shows that Police use of non-court proceedings </w:t>
      </w:r>
      <w:r w:rsidR="009A1F7D" w:rsidRPr="009A61F2">
        <w:t>is almost 100</w:t>
      </w:r>
      <w:r w:rsidR="00D3199D" w:rsidRPr="009A61F2">
        <w:t xml:space="preserve"> percent</w:t>
      </w:r>
      <w:r w:rsidR="009A1F7D" w:rsidRPr="009A61F2">
        <w:t xml:space="preserve"> for first time offenders and</w:t>
      </w:r>
      <w:r w:rsidR="009A1F7D">
        <w:t xml:space="preserve"> </w:t>
      </w:r>
      <w:r>
        <w:t xml:space="preserve">has increased for repeat </w:t>
      </w:r>
      <w:r w:rsidR="00D644F3">
        <w:t>offences</w:t>
      </w:r>
      <w:r>
        <w:t xml:space="preserve">. The increase in the use of these proceedings for repeat </w:t>
      </w:r>
      <w:r w:rsidR="008A42BC">
        <w:t xml:space="preserve">offences </w:t>
      </w:r>
      <w:r>
        <w:t>since August 2019 is significant (59</w:t>
      </w:r>
      <w:r w:rsidR="000149F9">
        <w:t xml:space="preserve"> percent</w:t>
      </w:r>
      <w:r>
        <w:t xml:space="preserve"> in August 2019 </w:t>
      </w:r>
      <w:r w:rsidR="005F4ACE">
        <w:t>to</w:t>
      </w:r>
      <w:r>
        <w:t xml:space="preserve"> 77</w:t>
      </w:r>
      <w:r w:rsidR="000149F9">
        <w:t xml:space="preserve"> percent</w:t>
      </w:r>
      <w:r w:rsidR="006C065B">
        <w:t xml:space="preserve"> </w:t>
      </w:r>
      <w:r>
        <w:t xml:space="preserve">in the first quarter of 2021). </w:t>
      </w:r>
    </w:p>
    <w:p w14:paraId="3A797FE0" w14:textId="50E68593" w:rsidR="000B0BDC" w:rsidRPr="00BA5A20" w:rsidRDefault="00CA5E37" w:rsidP="009D211C">
      <w:bookmarkStart w:id="111" w:name="_Toc75781232"/>
      <w:r>
        <w:br w:type="page"/>
      </w:r>
      <w:bookmarkStart w:id="112" w:name="_Toc77775988"/>
      <w:r w:rsidR="00034987">
        <w:lastRenderedPageBreak/>
        <w:t>Graph</w:t>
      </w:r>
      <w:r w:rsidR="00EF211A">
        <w:t xml:space="preserve"> </w:t>
      </w:r>
      <w:r w:rsidR="00034987">
        <w:fldChar w:fldCharType="begin"/>
      </w:r>
      <w:r w:rsidR="00034987">
        <w:instrText>SEQ Figure \* ARABIC</w:instrText>
      </w:r>
      <w:r w:rsidR="00034987">
        <w:fldChar w:fldCharType="separate"/>
      </w:r>
      <w:r w:rsidR="00AA3031">
        <w:rPr>
          <w:noProof/>
        </w:rPr>
        <w:t>5</w:t>
      </w:r>
      <w:r w:rsidR="00034987">
        <w:fldChar w:fldCharType="end"/>
      </w:r>
      <w:r w:rsidR="300425F4" w:rsidRPr="79F542E5">
        <w:t xml:space="preserve"> </w:t>
      </w:r>
      <w:r w:rsidR="300425F4">
        <w:t>Percent</w:t>
      </w:r>
      <w:r w:rsidR="0297098F">
        <w:t>age</w:t>
      </w:r>
      <w:r w:rsidR="300425F4" w:rsidRPr="79F542E5">
        <w:t xml:space="preserve"> non-Court by first time and repeat offences </w:t>
      </w:r>
      <w:r w:rsidR="0098171E">
        <w:t xml:space="preserve">where personal </w:t>
      </w:r>
      <w:r w:rsidR="0098171E" w:rsidRPr="004A34C9">
        <w:t>possession</w:t>
      </w:r>
      <w:r w:rsidR="0098171E">
        <w:t xml:space="preserve"> and use </w:t>
      </w:r>
      <w:r w:rsidR="000B0BDC">
        <w:t>is the most serious offence</w:t>
      </w:r>
      <w:bookmarkEnd w:id="111"/>
      <w:bookmarkEnd w:id="112"/>
    </w:p>
    <w:p w14:paraId="3113DE0C" w14:textId="0D0AEDC6" w:rsidR="00F23D79" w:rsidRDefault="00012C63" w:rsidP="000B0BDC">
      <w:pPr>
        <w:pStyle w:val="Caption"/>
      </w:pPr>
      <w:r>
        <w:rPr>
          <w:noProof/>
        </w:rPr>
        <w:drawing>
          <wp:inline distT="0" distB="0" distL="0" distR="0" wp14:anchorId="77506BF7" wp14:editId="65233F04">
            <wp:extent cx="4366895" cy="2298700"/>
            <wp:effectExtent l="0" t="0" r="14605" b="6350"/>
            <wp:docPr id="17" name="Chart 17">
              <a:extLst xmlns:a="http://schemas.openxmlformats.org/drawingml/2006/main">
                <a:ext uri="{FF2B5EF4-FFF2-40B4-BE49-F238E27FC236}">
                  <a16:creationId xmlns:a16="http://schemas.microsoft.com/office/drawing/2014/main" id="{D3C97224-96B1-4587-AEEC-EC46E6664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B55725" w14:textId="7089482D" w:rsidR="00F50EDD" w:rsidRDefault="00F50EDD" w:rsidP="007B765E">
      <w:pPr>
        <w:pStyle w:val="Heading3"/>
      </w:pPr>
      <w:bookmarkStart w:id="113" w:name="_Toc75781181"/>
      <w:bookmarkStart w:id="114" w:name="_Toc75952894"/>
      <w:bookmarkStart w:id="115" w:name="_Toc78186460"/>
      <w:r>
        <w:t xml:space="preserve">Non-court proceeding </w:t>
      </w:r>
      <w:r w:rsidR="00C33D36">
        <w:t>for youth and adults</w:t>
      </w:r>
      <w:bookmarkEnd w:id="113"/>
      <w:bookmarkEnd w:id="114"/>
      <w:bookmarkEnd w:id="115"/>
    </w:p>
    <w:p w14:paraId="6FBCBA28" w14:textId="4E57D92C" w:rsidR="003F4B49" w:rsidRDefault="007D6B9F" w:rsidP="003F4B49">
      <w:r>
        <w:t xml:space="preserve">Graph </w:t>
      </w:r>
      <w:r w:rsidR="00453C8E">
        <w:t>6</w:t>
      </w:r>
      <w:r>
        <w:t xml:space="preserve"> shows the percentage of non-court proceedings for those under and over 18</w:t>
      </w:r>
      <w:r w:rsidR="006959D5">
        <w:t xml:space="preserve"> </w:t>
      </w:r>
      <w:r w:rsidR="000774F5">
        <w:t>years of age</w:t>
      </w:r>
      <w:r w:rsidR="006959D5">
        <w:t xml:space="preserve"> </w:t>
      </w:r>
      <w:r w:rsidR="00ED201F">
        <w:t xml:space="preserve">where </w:t>
      </w:r>
      <w:r w:rsidR="00DC1FAD">
        <w:t xml:space="preserve">personal </w:t>
      </w:r>
      <w:r w:rsidR="00ED201F">
        <w:t xml:space="preserve">possession and use </w:t>
      </w:r>
      <w:r w:rsidR="000F3A9D">
        <w:t xml:space="preserve">of illegal drugs </w:t>
      </w:r>
      <w:r w:rsidR="00ED201F">
        <w:t>is the most serious charge</w:t>
      </w:r>
      <w:r>
        <w:t xml:space="preserve">. </w:t>
      </w:r>
      <w:r w:rsidR="003F4B49">
        <w:t>It includes all drugs and ethnicities.</w:t>
      </w:r>
    </w:p>
    <w:p w14:paraId="605EEC2B" w14:textId="556F9234" w:rsidR="2FFF5F9C" w:rsidRDefault="005701EE" w:rsidP="2FFF5F9C">
      <w:r>
        <w:t>The percentage of youth who do not have court-based proceedings was high before the amendment and has continued to increase</w:t>
      </w:r>
      <w:r w:rsidR="000B7B93">
        <w:t xml:space="preserve"> (</w:t>
      </w:r>
      <w:r w:rsidR="000470E5">
        <w:t>Q</w:t>
      </w:r>
      <w:r w:rsidR="001A2BC1">
        <w:t>4</w:t>
      </w:r>
      <w:r w:rsidR="000470E5">
        <w:t xml:space="preserve"> 2019</w:t>
      </w:r>
      <w:r w:rsidR="001A2BC1">
        <w:t xml:space="preserve"> </w:t>
      </w:r>
      <w:r w:rsidR="000B7B93">
        <w:t>92</w:t>
      </w:r>
      <w:r w:rsidR="000149F9">
        <w:t xml:space="preserve"> percent</w:t>
      </w:r>
      <w:r w:rsidR="001A2BC1">
        <w:t xml:space="preserve"> to Q1 2021 </w:t>
      </w:r>
      <w:r w:rsidR="000B7B93">
        <w:t>100</w:t>
      </w:r>
      <w:r w:rsidR="000149F9">
        <w:t xml:space="preserve"> percent</w:t>
      </w:r>
      <w:r w:rsidR="000B7B93">
        <w:t>)</w:t>
      </w:r>
      <w:r>
        <w:t xml:space="preserve">. </w:t>
      </w:r>
      <w:r w:rsidR="006334FD">
        <w:t>Almost all</w:t>
      </w:r>
      <w:r w:rsidR="00C5498D">
        <w:t xml:space="preserve"> </w:t>
      </w:r>
      <w:r>
        <w:t xml:space="preserve">youth </w:t>
      </w:r>
      <w:r w:rsidR="00C5498D">
        <w:t xml:space="preserve">go </w:t>
      </w:r>
      <w:r w:rsidR="00467CA5">
        <w:t xml:space="preserve">through the youth justice </w:t>
      </w:r>
      <w:r w:rsidR="00D8597C">
        <w:t xml:space="preserve">system.  </w:t>
      </w:r>
      <w:r w:rsidR="00253C09">
        <w:t>They are referred to Police Youth Aid</w:t>
      </w:r>
      <w:r w:rsidR="00AE1D20">
        <w:t xml:space="preserve"> and</w:t>
      </w:r>
      <w:r w:rsidR="000774F5">
        <w:t>,</w:t>
      </w:r>
      <w:r w:rsidR="00AE1D20">
        <w:t xml:space="preserve"> where action is warr</w:t>
      </w:r>
      <w:r w:rsidR="00AD7E71">
        <w:t>anted</w:t>
      </w:r>
      <w:r w:rsidR="000774F5">
        <w:t>,</w:t>
      </w:r>
      <w:r w:rsidR="00AD7E71">
        <w:t xml:space="preserve"> it is through the Oranga Tamariki</w:t>
      </w:r>
      <w:r w:rsidR="00AE1D20">
        <w:t xml:space="preserve"> </w:t>
      </w:r>
      <w:r w:rsidR="006334FD">
        <w:t>led Family Conference process</w:t>
      </w:r>
      <w:r w:rsidR="008B061C">
        <w:t xml:space="preserve">. </w:t>
      </w:r>
    </w:p>
    <w:p w14:paraId="6010C606" w14:textId="5A274B18" w:rsidR="006959D5" w:rsidRDefault="006959D5" w:rsidP="2FFF5F9C">
      <w:r>
        <w:t xml:space="preserve">For people over 18 </w:t>
      </w:r>
      <w:r w:rsidR="000774F5">
        <w:t>years of age</w:t>
      </w:r>
      <w:r>
        <w:t xml:space="preserve"> there </w:t>
      </w:r>
      <w:r w:rsidR="000774F5">
        <w:t>has been</w:t>
      </w:r>
      <w:r>
        <w:t xml:space="preserve"> an increase in the use of non-court proceedings</w:t>
      </w:r>
      <w:r w:rsidR="007C3200">
        <w:t xml:space="preserve"> </w:t>
      </w:r>
      <w:r w:rsidR="00764BDE">
        <w:t>(</w:t>
      </w:r>
      <w:r w:rsidR="00794C96">
        <w:t xml:space="preserve">Q </w:t>
      </w:r>
      <w:r w:rsidR="005E3839">
        <w:t xml:space="preserve">4 2019 </w:t>
      </w:r>
      <w:r w:rsidR="00764BDE">
        <w:t>63</w:t>
      </w:r>
      <w:r w:rsidR="000149F9">
        <w:t xml:space="preserve"> percent</w:t>
      </w:r>
      <w:r w:rsidR="005E3839">
        <w:t xml:space="preserve"> to </w:t>
      </w:r>
      <w:r w:rsidR="000470E5">
        <w:t xml:space="preserve">Q1 2021 </w:t>
      </w:r>
      <w:r w:rsidR="00764BDE">
        <w:t>81</w:t>
      </w:r>
      <w:r w:rsidR="000149F9">
        <w:t xml:space="preserve"> percent</w:t>
      </w:r>
      <w:r w:rsidR="00764BDE">
        <w:t>).</w:t>
      </w:r>
    </w:p>
    <w:p w14:paraId="43B44944" w14:textId="6B4373ED" w:rsidR="002412D3" w:rsidRDefault="00097D78" w:rsidP="00097D78">
      <w:pPr>
        <w:pStyle w:val="Caption"/>
      </w:pPr>
      <w:bookmarkStart w:id="116" w:name="_Toc75781233"/>
      <w:bookmarkStart w:id="117" w:name="_Toc77775989"/>
      <w:r>
        <w:t xml:space="preserve">Graph </w:t>
      </w:r>
      <w:r>
        <w:fldChar w:fldCharType="begin"/>
      </w:r>
      <w:r>
        <w:instrText>SEQ Figure \* ARABIC</w:instrText>
      </w:r>
      <w:r>
        <w:fldChar w:fldCharType="separate"/>
      </w:r>
      <w:r w:rsidR="00AA3031">
        <w:rPr>
          <w:noProof/>
        </w:rPr>
        <w:t>6</w:t>
      </w:r>
      <w:r>
        <w:fldChar w:fldCharType="end"/>
      </w:r>
      <w:r w:rsidR="00326DB2">
        <w:t>.</w:t>
      </w:r>
      <w:r w:rsidR="777C6A65" w:rsidRPr="2FFF5F9C">
        <w:t xml:space="preserve"> Percentage of non-Court </w:t>
      </w:r>
      <w:r w:rsidR="00FC310F">
        <w:t xml:space="preserve">Proceedings </w:t>
      </w:r>
      <w:r w:rsidR="00874847">
        <w:t xml:space="preserve">for personal use and possession </w:t>
      </w:r>
      <w:r w:rsidR="000B0BDC">
        <w:t>offences</w:t>
      </w:r>
      <w:r w:rsidR="00874847">
        <w:t xml:space="preserve"> </w:t>
      </w:r>
      <w:r w:rsidR="00F415D8">
        <w:t>for youth and adults</w:t>
      </w:r>
      <w:r w:rsidR="777C6A65" w:rsidRPr="2FFF5F9C">
        <w:t xml:space="preserve"> </w:t>
      </w:r>
      <w:r w:rsidR="000B0BDC">
        <w:t>where personal possession and use is the most serious offence</w:t>
      </w:r>
      <w:bookmarkEnd w:id="116"/>
      <w:bookmarkEnd w:id="117"/>
    </w:p>
    <w:p w14:paraId="798861BB" w14:textId="7D4AFB69" w:rsidR="00C45B16" w:rsidRDefault="00C45B16" w:rsidP="00326DB2">
      <w:pPr>
        <w:pStyle w:val="Caption"/>
      </w:pPr>
      <w:r>
        <w:rPr>
          <w:noProof/>
        </w:rPr>
        <w:drawing>
          <wp:inline distT="0" distB="0" distL="0" distR="0" wp14:anchorId="31229442" wp14:editId="52127C54">
            <wp:extent cx="5113020" cy="2560320"/>
            <wp:effectExtent l="0" t="0" r="11430" b="11430"/>
            <wp:docPr id="18" name="Chart 18">
              <a:extLst xmlns:a="http://schemas.openxmlformats.org/drawingml/2006/main">
                <a:ext uri="{FF2B5EF4-FFF2-40B4-BE49-F238E27FC236}">
                  <a16:creationId xmlns:a16="http://schemas.microsoft.com/office/drawing/2014/main" id="{D96C65A6-4C46-4E59-9E4A-D478D5A53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0AEDE" w14:textId="64126B3F" w:rsidR="00C33D36" w:rsidRDefault="00C33D36" w:rsidP="007B765E">
      <w:pPr>
        <w:pStyle w:val="Heading3"/>
      </w:pPr>
      <w:bookmarkStart w:id="118" w:name="_Toc75781182"/>
      <w:bookmarkStart w:id="119" w:name="_Toc75952895"/>
      <w:bookmarkStart w:id="120" w:name="_Toc78186461"/>
      <w:r w:rsidRPr="00E37673">
        <w:t xml:space="preserve">Proceedings by </w:t>
      </w:r>
      <w:r w:rsidR="002B5A04" w:rsidRPr="00E37673">
        <w:t>drug</w:t>
      </w:r>
      <w:r w:rsidR="00013B57" w:rsidRPr="00E37673">
        <w:t xml:space="preserve"> type</w:t>
      </w:r>
      <w:bookmarkEnd w:id="118"/>
      <w:bookmarkEnd w:id="119"/>
      <w:bookmarkEnd w:id="120"/>
    </w:p>
    <w:p w14:paraId="678EA89D" w14:textId="189E44EC" w:rsidR="00244E1F" w:rsidRDefault="00485247" w:rsidP="00244E1F">
      <w:r>
        <w:t>G</w:t>
      </w:r>
      <w:r w:rsidR="00244E1F">
        <w:t xml:space="preserve">raph </w:t>
      </w:r>
      <w:r w:rsidR="00453C8E">
        <w:t>7</w:t>
      </w:r>
      <w:r>
        <w:t xml:space="preserve"> </w:t>
      </w:r>
      <w:r w:rsidR="00244E1F">
        <w:t xml:space="preserve">shows the percentage of </w:t>
      </w:r>
      <w:r w:rsidR="0038104C" w:rsidRPr="00152E29">
        <w:t>non-court</w:t>
      </w:r>
      <w:r w:rsidR="0038104C">
        <w:t xml:space="preserve"> </w:t>
      </w:r>
      <w:r w:rsidR="00244E1F">
        <w:t>proceedings for</w:t>
      </w:r>
      <w:r w:rsidR="00DC1FAD">
        <w:t xml:space="preserve"> personal</w:t>
      </w:r>
      <w:r w:rsidR="00244E1F">
        <w:t xml:space="preserve"> possession and use charges that are non-court verses court by drug. It includes all ethnicities.</w:t>
      </w:r>
    </w:p>
    <w:p w14:paraId="66E76A25" w14:textId="534B8D7E" w:rsidR="00244E1F" w:rsidRDefault="00244E1F" w:rsidP="00244E1F">
      <w:pPr>
        <w:spacing w:line="256" w:lineRule="auto"/>
        <w:rPr>
          <w:rFonts w:ascii="Calibri" w:eastAsia="Times New Roman" w:hAnsi="Calibri" w:cs="Calibri"/>
          <w:color w:val="000000"/>
          <w:lang w:eastAsia="en-NZ"/>
        </w:rPr>
      </w:pPr>
      <w:r w:rsidRPr="575E049E">
        <w:rPr>
          <w:rFonts w:ascii="Calibri" w:eastAsia="Times New Roman" w:hAnsi="Calibri" w:cs="Calibri"/>
          <w:color w:val="000000" w:themeColor="text1"/>
          <w:lang w:eastAsia="en-NZ"/>
        </w:rPr>
        <w:lastRenderedPageBreak/>
        <w:t xml:space="preserve">This graph shows a significant increase in the use of non-court proceedings for </w:t>
      </w:r>
      <w:r w:rsidR="00DC1FAD" w:rsidRPr="575E049E">
        <w:rPr>
          <w:rFonts w:ascii="Calibri" w:eastAsia="Times New Roman" w:hAnsi="Calibri" w:cs="Calibri"/>
          <w:color w:val="000000" w:themeColor="text1"/>
          <w:lang w:eastAsia="en-NZ"/>
        </w:rPr>
        <w:t xml:space="preserve">personal </w:t>
      </w:r>
      <w:r w:rsidRPr="575E049E">
        <w:rPr>
          <w:rFonts w:ascii="Calibri" w:eastAsia="Times New Roman" w:hAnsi="Calibri" w:cs="Calibri"/>
          <w:color w:val="000000" w:themeColor="text1"/>
          <w:lang w:eastAsia="en-NZ"/>
        </w:rPr>
        <w:t>possession and use of methamphetamine (8</w:t>
      </w:r>
      <w:r w:rsidR="000149F9">
        <w:rPr>
          <w:rFonts w:ascii="Calibri" w:eastAsia="Times New Roman" w:hAnsi="Calibri" w:cs="Calibri"/>
          <w:color w:val="000000" w:themeColor="text1"/>
          <w:lang w:eastAsia="en-NZ"/>
        </w:rPr>
        <w:t xml:space="preserve"> percent</w:t>
      </w:r>
      <w:r w:rsidRPr="575E049E">
        <w:rPr>
          <w:rFonts w:ascii="Calibri" w:eastAsia="Times New Roman" w:hAnsi="Calibri" w:cs="Calibri"/>
          <w:color w:val="000000" w:themeColor="text1"/>
          <w:lang w:eastAsia="en-NZ"/>
        </w:rPr>
        <w:t xml:space="preserve"> quarter 2 2019 – 49</w:t>
      </w:r>
      <w:r w:rsidR="000149F9">
        <w:rPr>
          <w:rFonts w:ascii="Calibri" w:eastAsia="Times New Roman" w:hAnsi="Calibri" w:cs="Calibri"/>
          <w:color w:val="000000" w:themeColor="text1"/>
          <w:lang w:eastAsia="en-NZ"/>
        </w:rPr>
        <w:t xml:space="preserve"> percent</w:t>
      </w:r>
      <w:r w:rsidRPr="575E049E">
        <w:rPr>
          <w:rFonts w:ascii="Calibri" w:eastAsia="Times New Roman" w:hAnsi="Calibri" w:cs="Calibri"/>
          <w:color w:val="000000" w:themeColor="text1"/>
          <w:lang w:eastAsia="en-NZ"/>
        </w:rPr>
        <w:t xml:space="preserve"> quarter 1 2021). </w:t>
      </w:r>
      <w:r w:rsidR="00A0146D" w:rsidRPr="575E049E">
        <w:rPr>
          <w:rFonts w:ascii="Calibri" w:eastAsia="Times New Roman" w:hAnsi="Calibri" w:cs="Calibri"/>
          <w:color w:val="000000" w:themeColor="text1"/>
          <w:lang w:eastAsia="en-NZ"/>
        </w:rPr>
        <w:t xml:space="preserve">This change </w:t>
      </w:r>
      <w:r w:rsidR="00F00EE2" w:rsidRPr="575E049E">
        <w:rPr>
          <w:rFonts w:ascii="Calibri" w:eastAsia="Times New Roman" w:hAnsi="Calibri" w:cs="Calibri"/>
          <w:color w:val="000000" w:themeColor="text1"/>
          <w:lang w:eastAsia="en-NZ"/>
        </w:rPr>
        <w:t xml:space="preserve">appears to be </w:t>
      </w:r>
      <w:r w:rsidR="007D06B9" w:rsidRPr="575E049E">
        <w:rPr>
          <w:rFonts w:ascii="Calibri" w:eastAsia="Times New Roman" w:hAnsi="Calibri" w:cs="Calibri"/>
          <w:color w:val="000000" w:themeColor="text1"/>
          <w:lang w:eastAsia="en-NZ"/>
        </w:rPr>
        <w:t>t</w:t>
      </w:r>
      <w:r w:rsidR="00A0146D" w:rsidRPr="575E049E">
        <w:rPr>
          <w:rFonts w:ascii="Calibri" w:eastAsia="Times New Roman" w:hAnsi="Calibri" w:cs="Calibri"/>
          <w:color w:val="000000" w:themeColor="text1"/>
          <w:lang w:eastAsia="en-NZ"/>
        </w:rPr>
        <w:t xml:space="preserve">he result of the change in </w:t>
      </w:r>
      <w:r w:rsidR="00993431" w:rsidRPr="575E049E">
        <w:rPr>
          <w:rFonts w:ascii="Calibri" w:eastAsia="Times New Roman" w:hAnsi="Calibri" w:cs="Calibri"/>
          <w:color w:val="000000" w:themeColor="text1"/>
          <w:lang w:eastAsia="en-NZ"/>
        </w:rPr>
        <w:t xml:space="preserve">Police instructions </w:t>
      </w:r>
      <w:r w:rsidR="60752769" w:rsidRPr="575E049E">
        <w:rPr>
          <w:rFonts w:ascii="Calibri" w:eastAsia="Times New Roman" w:hAnsi="Calibri" w:cs="Calibri"/>
          <w:color w:val="000000" w:themeColor="text1"/>
          <w:lang w:eastAsia="en-NZ"/>
        </w:rPr>
        <w:t>following</w:t>
      </w:r>
      <w:r w:rsidR="00993431" w:rsidRPr="575E049E">
        <w:rPr>
          <w:rFonts w:ascii="Calibri" w:eastAsia="Times New Roman" w:hAnsi="Calibri" w:cs="Calibri"/>
          <w:color w:val="000000" w:themeColor="text1"/>
          <w:lang w:eastAsia="en-NZ"/>
        </w:rPr>
        <w:t xml:space="preserve"> the health-based amendment.</w:t>
      </w:r>
      <w:r w:rsidR="00641F4F" w:rsidRPr="00641F4F">
        <w:t xml:space="preserve"> </w:t>
      </w:r>
      <w:r w:rsidR="00641F4F" w:rsidRPr="00887B83">
        <w:t>Methamphetamine seizure volumes have remained steady over the last five years</w:t>
      </w:r>
      <w:r w:rsidR="00862CF2">
        <w:t xml:space="preserve"> and </w:t>
      </w:r>
      <w:r w:rsidR="00862CF2" w:rsidRPr="00887B83">
        <w:t xml:space="preserve">wastewater levels </w:t>
      </w:r>
      <w:r w:rsidR="3F01AB7A">
        <w:t xml:space="preserve">of methamphetamine </w:t>
      </w:r>
      <w:r w:rsidR="00862CF2" w:rsidRPr="00887B83">
        <w:t>remain stable indicating methamphetamine is readily available throughout New Zealand.</w:t>
      </w:r>
    </w:p>
    <w:p w14:paraId="6F6C5A6D" w14:textId="57181411" w:rsidR="00307051" w:rsidRPr="003F7651" w:rsidRDefault="00244E1F" w:rsidP="00307051">
      <w:pPr>
        <w:rPr>
          <w:rFonts w:ascii="Calibri" w:eastAsia="Times New Roman" w:hAnsi="Calibri" w:cs="Calibri"/>
          <w:color w:val="000000"/>
          <w:lang w:eastAsia="en-NZ"/>
        </w:rPr>
      </w:pPr>
      <w:r w:rsidRPr="5AC65701">
        <w:rPr>
          <w:rFonts w:ascii="Calibri" w:eastAsia="Times New Roman" w:hAnsi="Calibri" w:cs="Calibri"/>
          <w:color w:val="000000" w:themeColor="text1"/>
          <w:lang w:eastAsia="en-NZ"/>
        </w:rPr>
        <w:t>A high percentage of proceedings for</w:t>
      </w:r>
      <w:r w:rsidR="00DC1FAD">
        <w:rPr>
          <w:rFonts w:ascii="Calibri" w:eastAsia="Times New Roman" w:hAnsi="Calibri" w:cs="Calibri"/>
          <w:color w:val="000000" w:themeColor="text1"/>
          <w:lang w:eastAsia="en-NZ"/>
        </w:rPr>
        <w:t xml:space="preserve"> personal</w:t>
      </w:r>
      <w:r w:rsidRPr="5AC65701">
        <w:rPr>
          <w:rFonts w:ascii="Calibri" w:eastAsia="Times New Roman" w:hAnsi="Calibri" w:cs="Calibri"/>
          <w:color w:val="000000" w:themeColor="text1"/>
          <w:lang w:eastAsia="en-NZ"/>
        </w:rPr>
        <w:t xml:space="preserve"> possession and use of cannabis were already non-court. This has also increased since the amendment (77</w:t>
      </w:r>
      <w:r w:rsidR="000149F9">
        <w:rPr>
          <w:rFonts w:ascii="Calibri" w:eastAsia="Times New Roman" w:hAnsi="Calibri" w:cs="Calibri"/>
          <w:color w:val="000000" w:themeColor="text1"/>
          <w:lang w:eastAsia="en-NZ"/>
        </w:rPr>
        <w:t xml:space="preserve"> percent</w:t>
      </w:r>
      <w:r w:rsidRPr="5AC65701">
        <w:rPr>
          <w:rFonts w:ascii="Calibri" w:eastAsia="Times New Roman" w:hAnsi="Calibri" w:cs="Calibri"/>
          <w:color w:val="000000" w:themeColor="text1"/>
          <w:lang w:eastAsia="en-NZ"/>
        </w:rPr>
        <w:t xml:space="preserve"> quarter 2 2019 – 91</w:t>
      </w:r>
      <w:r w:rsidR="000149F9">
        <w:rPr>
          <w:rFonts w:ascii="Calibri" w:eastAsia="Times New Roman" w:hAnsi="Calibri" w:cs="Calibri"/>
          <w:color w:val="000000" w:themeColor="text1"/>
          <w:lang w:eastAsia="en-NZ"/>
        </w:rPr>
        <w:t xml:space="preserve"> percent</w:t>
      </w:r>
      <w:r w:rsidRPr="5AC65701">
        <w:rPr>
          <w:rFonts w:ascii="Calibri" w:eastAsia="Times New Roman" w:hAnsi="Calibri" w:cs="Calibri"/>
          <w:color w:val="000000" w:themeColor="text1"/>
          <w:lang w:eastAsia="en-NZ"/>
        </w:rPr>
        <w:t xml:space="preserve"> quarter 1 2021).</w:t>
      </w:r>
    </w:p>
    <w:p w14:paraId="7EA838D8" w14:textId="26683EAF" w:rsidR="00D001E3" w:rsidRPr="00BA5A20" w:rsidRDefault="00097D78" w:rsidP="00D001E3">
      <w:pPr>
        <w:pStyle w:val="Caption"/>
      </w:pPr>
      <w:bookmarkStart w:id="121" w:name="_Toc75781234"/>
      <w:bookmarkStart w:id="122" w:name="_Toc77775990"/>
      <w:r>
        <w:t xml:space="preserve">Graph </w:t>
      </w:r>
      <w:r>
        <w:fldChar w:fldCharType="begin"/>
      </w:r>
      <w:r>
        <w:instrText>SEQ Figure \* ARABIC</w:instrText>
      </w:r>
      <w:r>
        <w:fldChar w:fldCharType="separate"/>
      </w:r>
      <w:r w:rsidR="00AA3031">
        <w:rPr>
          <w:noProof/>
        </w:rPr>
        <w:t>7</w:t>
      </w:r>
      <w:r>
        <w:fldChar w:fldCharType="end"/>
      </w:r>
      <w:r w:rsidR="001F11B7">
        <w:t>.</w:t>
      </w:r>
      <w:r w:rsidR="6694896B" w:rsidRPr="7D69D3D5">
        <w:rPr>
          <w:lang w:eastAsia="en-NZ"/>
        </w:rPr>
        <w:t xml:space="preserve"> </w:t>
      </w:r>
      <w:r w:rsidR="000D43E6">
        <w:rPr>
          <w:lang w:eastAsia="en-NZ"/>
        </w:rPr>
        <w:t xml:space="preserve">Percentage of Non-court </w:t>
      </w:r>
      <w:r w:rsidR="6694896B" w:rsidRPr="7D69D3D5">
        <w:rPr>
          <w:lang w:eastAsia="en-NZ"/>
        </w:rPr>
        <w:t xml:space="preserve">Proceedings by drug type </w:t>
      </w:r>
      <w:r w:rsidR="00D001E3">
        <w:rPr>
          <w:lang w:eastAsia="en-NZ"/>
        </w:rPr>
        <w:t xml:space="preserve">where </w:t>
      </w:r>
      <w:r w:rsidR="00D001E3">
        <w:t>personal possession and use is the most serious offence</w:t>
      </w:r>
      <w:bookmarkEnd w:id="121"/>
      <w:bookmarkEnd w:id="122"/>
    </w:p>
    <w:p w14:paraId="3520CB7B" w14:textId="094C0EF0" w:rsidR="002E3F8B" w:rsidRDefault="00EC5CFB" w:rsidP="7DB93526">
      <w:r>
        <w:rPr>
          <w:noProof/>
        </w:rPr>
        <w:drawing>
          <wp:inline distT="0" distB="0" distL="0" distR="0" wp14:anchorId="5A85A6C5" wp14:editId="3BA5D794">
            <wp:extent cx="5065395" cy="2675882"/>
            <wp:effectExtent l="0" t="0" r="1905" b="10795"/>
            <wp:docPr id="16" name="Chart 16">
              <a:extLst xmlns:a="http://schemas.openxmlformats.org/drawingml/2006/main">
                <a:ext uri="{FF2B5EF4-FFF2-40B4-BE49-F238E27FC236}">
                  <a16:creationId xmlns:a16="http://schemas.microsoft.com/office/drawing/2014/main" id="{E6CA8362-DDB3-4E54-8CFA-5C26F4DAF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292090" w14:textId="2A8F8D02" w:rsidR="00F45CB6" w:rsidRDefault="00F45CB6" w:rsidP="007B765E">
      <w:pPr>
        <w:pStyle w:val="Heading3"/>
      </w:pPr>
      <w:bookmarkStart w:id="123" w:name="_Toc75781183"/>
      <w:bookmarkStart w:id="124" w:name="_Toc75952896"/>
      <w:bookmarkStart w:id="125" w:name="_Toc78186462"/>
      <w:bookmarkStart w:id="126" w:name="_Hlk75772211"/>
      <w:r w:rsidRPr="00E37673">
        <w:t xml:space="preserve">Proceedings by </w:t>
      </w:r>
      <w:r w:rsidR="00627DDE">
        <w:t>Police District</w:t>
      </w:r>
      <w:bookmarkEnd w:id="123"/>
      <w:bookmarkEnd w:id="124"/>
      <w:bookmarkEnd w:id="125"/>
    </w:p>
    <w:p w14:paraId="5F306EDA" w14:textId="09377B62" w:rsidR="000B39D6" w:rsidRDefault="00706F36" w:rsidP="00F30BE7">
      <w:pPr>
        <w:spacing w:line="256" w:lineRule="auto"/>
        <w:rPr>
          <w:rFonts w:ascii="Calibri" w:eastAsia="Times New Roman" w:hAnsi="Calibri" w:cs="Calibri"/>
          <w:color w:val="000000"/>
          <w:lang w:eastAsia="en-NZ"/>
        </w:rPr>
      </w:pPr>
      <w:r w:rsidRPr="575E049E">
        <w:rPr>
          <w:rFonts w:ascii="Calibri" w:eastAsia="Times New Roman" w:hAnsi="Calibri" w:cs="Calibri"/>
          <w:color w:val="000000" w:themeColor="text1"/>
          <w:lang w:eastAsia="en-NZ"/>
        </w:rPr>
        <w:t xml:space="preserve">Graph </w:t>
      </w:r>
      <w:r w:rsidR="00453C8E">
        <w:rPr>
          <w:rFonts w:ascii="Calibri" w:eastAsia="Times New Roman" w:hAnsi="Calibri" w:cs="Calibri"/>
          <w:color w:val="000000" w:themeColor="text1"/>
          <w:lang w:eastAsia="en-NZ"/>
        </w:rPr>
        <w:t>8</w:t>
      </w:r>
      <w:r w:rsidRPr="575E049E">
        <w:rPr>
          <w:rFonts w:ascii="Calibri" w:eastAsia="Times New Roman" w:hAnsi="Calibri" w:cs="Calibri"/>
          <w:color w:val="000000" w:themeColor="text1"/>
          <w:lang w:eastAsia="en-NZ"/>
        </w:rPr>
        <w:t xml:space="preserve"> shows the percentages of non-court actions for personal possession and use by Police district. The</w:t>
      </w:r>
      <w:r w:rsidR="008D0E44" w:rsidRPr="575E049E">
        <w:rPr>
          <w:rFonts w:ascii="Calibri" w:eastAsia="Times New Roman" w:hAnsi="Calibri" w:cs="Calibri"/>
          <w:color w:val="000000" w:themeColor="text1"/>
          <w:lang w:eastAsia="en-NZ"/>
        </w:rPr>
        <w:t xml:space="preserve"> </w:t>
      </w:r>
      <w:r w:rsidR="00BC2B0D" w:rsidRPr="575E049E">
        <w:rPr>
          <w:rFonts w:ascii="Calibri" w:eastAsia="Times New Roman" w:hAnsi="Calibri" w:cs="Calibri"/>
          <w:color w:val="000000" w:themeColor="text1"/>
          <w:lang w:eastAsia="en-NZ"/>
        </w:rPr>
        <w:t>data shows</w:t>
      </w:r>
      <w:r w:rsidR="00E619F4" w:rsidRPr="575E049E">
        <w:rPr>
          <w:rFonts w:ascii="Calibri" w:eastAsia="Times New Roman" w:hAnsi="Calibri" w:cs="Calibri"/>
          <w:color w:val="000000" w:themeColor="text1"/>
          <w:lang w:eastAsia="en-NZ"/>
        </w:rPr>
        <w:t xml:space="preserve"> that </w:t>
      </w:r>
      <w:r w:rsidR="00781936" w:rsidRPr="575E049E">
        <w:rPr>
          <w:rFonts w:ascii="Calibri" w:eastAsia="Times New Roman" w:hAnsi="Calibri" w:cs="Calibri"/>
          <w:color w:val="000000" w:themeColor="text1"/>
          <w:lang w:eastAsia="en-NZ"/>
        </w:rPr>
        <w:t xml:space="preserve">the use </w:t>
      </w:r>
      <w:r w:rsidR="00D46A63" w:rsidRPr="575E049E">
        <w:rPr>
          <w:rFonts w:ascii="Calibri" w:eastAsia="Times New Roman" w:hAnsi="Calibri" w:cs="Calibri"/>
          <w:color w:val="000000" w:themeColor="text1"/>
          <w:lang w:eastAsia="en-NZ"/>
        </w:rPr>
        <w:t xml:space="preserve">of Police discretion </w:t>
      </w:r>
      <w:r w:rsidR="002F3463" w:rsidRPr="575E049E">
        <w:rPr>
          <w:rFonts w:ascii="Calibri" w:eastAsia="Times New Roman" w:hAnsi="Calibri" w:cs="Calibri"/>
          <w:color w:val="000000" w:themeColor="text1"/>
          <w:lang w:eastAsia="en-NZ"/>
        </w:rPr>
        <w:t xml:space="preserve">between regions over time is largely </w:t>
      </w:r>
      <w:r w:rsidR="00C214E2" w:rsidRPr="575E049E">
        <w:rPr>
          <w:rFonts w:ascii="Calibri" w:eastAsia="Times New Roman" w:hAnsi="Calibri" w:cs="Calibri"/>
          <w:color w:val="000000" w:themeColor="text1"/>
          <w:lang w:eastAsia="en-NZ"/>
        </w:rPr>
        <w:t>similar</w:t>
      </w:r>
      <w:r w:rsidR="00BF3DED" w:rsidRPr="575E049E">
        <w:rPr>
          <w:rFonts w:ascii="Calibri" w:eastAsia="Times New Roman" w:hAnsi="Calibri" w:cs="Calibri"/>
          <w:color w:val="000000" w:themeColor="text1"/>
          <w:lang w:eastAsia="en-NZ"/>
        </w:rPr>
        <w:t xml:space="preserve"> with three possible </w:t>
      </w:r>
      <w:r w:rsidR="00B34996" w:rsidRPr="575E049E">
        <w:rPr>
          <w:rFonts w:ascii="Calibri" w:eastAsia="Times New Roman" w:hAnsi="Calibri" w:cs="Calibri"/>
          <w:color w:val="000000" w:themeColor="text1"/>
          <w:lang w:eastAsia="en-NZ"/>
        </w:rPr>
        <w:t>outliers. The regions differ in the use of Police discretion. For example</w:t>
      </w:r>
      <w:r w:rsidR="00B61C4A" w:rsidRPr="575E049E">
        <w:rPr>
          <w:rFonts w:ascii="Calibri" w:eastAsia="Times New Roman" w:hAnsi="Calibri" w:cs="Calibri"/>
          <w:color w:val="000000" w:themeColor="text1"/>
          <w:lang w:eastAsia="en-NZ"/>
        </w:rPr>
        <w:t>,</w:t>
      </w:r>
      <w:r w:rsidR="00B34996" w:rsidRPr="575E049E">
        <w:rPr>
          <w:rFonts w:ascii="Calibri" w:eastAsia="Times New Roman" w:hAnsi="Calibri" w:cs="Calibri"/>
          <w:color w:val="000000" w:themeColor="text1"/>
          <w:lang w:eastAsia="en-NZ"/>
        </w:rPr>
        <w:t xml:space="preserve"> Eastern Police </w:t>
      </w:r>
      <w:r w:rsidR="007B639F" w:rsidRPr="575E049E">
        <w:rPr>
          <w:rFonts w:ascii="Calibri" w:eastAsia="Times New Roman" w:hAnsi="Calibri" w:cs="Calibri"/>
          <w:color w:val="000000" w:themeColor="text1"/>
          <w:lang w:eastAsia="en-NZ"/>
        </w:rPr>
        <w:t xml:space="preserve">District </w:t>
      </w:r>
      <w:r w:rsidR="005A5480" w:rsidRPr="575E049E">
        <w:rPr>
          <w:rFonts w:ascii="Calibri" w:eastAsia="Times New Roman" w:hAnsi="Calibri" w:cs="Calibri"/>
          <w:color w:val="000000" w:themeColor="text1"/>
          <w:lang w:eastAsia="en-NZ"/>
        </w:rPr>
        <w:t>appears to use non-</w:t>
      </w:r>
      <w:r w:rsidR="1EC2E6BD" w:rsidRPr="575E049E">
        <w:rPr>
          <w:rFonts w:ascii="Calibri" w:eastAsia="Times New Roman" w:hAnsi="Calibri" w:cs="Calibri"/>
          <w:color w:val="000000" w:themeColor="text1"/>
          <w:lang w:eastAsia="en-NZ"/>
        </w:rPr>
        <w:t>c</w:t>
      </w:r>
      <w:r w:rsidR="005A5480" w:rsidRPr="575E049E">
        <w:rPr>
          <w:rFonts w:ascii="Calibri" w:eastAsia="Times New Roman" w:hAnsi="Calibri" w:cs="Calibri"/>
          <w:color w:val="000000" w:themeColor="text1"/>
          <w:lang w:eastAsia="en-NZ"/>
        </w:rPr>
        <w:t>ourt proceedings</w:t>
      </w:r>
      <w:r w:rsidR="00C36185" w:rsidRPr="575E049E">
        <w:rPr>
          <w:rFonts w:ascii="Calibri" w:eastAsia="Times New Roman" w:hAnsi="Calibri" w:cs="Calibri"/>
          <w:color w:val="000000" w:themeColor="text1"/>
          <w:lang w:eastAsia="en-NZ"/>
        </w:rPr>
        <w:t xml:space="preserve"> less than the regional average</w:t>
      </w:r>
      <w:r w:rsidR="00E87129" w:rsidRPr="575E049E">
        <w:rPr>
          <w:rFonts w:ascii="Calibri" w:eastAsia="Times New Roman" w:hAnsi="Calibri" w:cs="Calibri"/>
          <w:color w:val="000000" w:themeColor="text1"/>
          <w:lang w:eastAsia="en-NZ"/>
        </w:rPr>
        <w:t xml:space="preserve"> while Southland appear</w:t>
      </w:r>
      <w:r w:rsidR="00533E1E" w:rsidRPr="575E049E">
        <w:rPr>
          <w:rFonts w:ascii="Calibri" w:eastAsia="Times New Roman" w:hAnsi="Calibri" w:cs="Calibri"/>
          <w:color w:val="000000" w:themeColor="text1"/>
          <w:lang w:eastAsia="en-NZ"/>
        </w:rPr>
        <w:t>s</w:t>
      </w:r>
      <w:r w:rsidR="00E87129" w:rsidRPr="575E049E">
        <w:rPr>
          <w:rFonts w:ascii="Calibri" w:eastAsia="Times New Roman" w:hAnsi="Calibri" w:cs="Calibri"/>
          <w:color w:val="000000" w:themeColor="text1"/>
          <w:lang w:eastAsia="en-NZ"/>
        </w:rPr>
        <w:t xml:space="preserve"> to use </w:t>
      </w:r>
      <w:r w:rsidR="00AD5CE9" w:rsidRPr="575E049E">
        <w:rPr>
          <w:rFonts w:ascii="Calibri" w:eastAsia="Times New Roman" w:hAnsi="Calibri" w:cs="Calibri"/>
          <w:color w:val="000000" w:themeColor="text1"/>
          <w:lang w:eastAsia="en-NZ"/>
        </w:rPr>
        <w:t>non-court proceedings more than the regional average</w:t>
      </w:r>
      <w:r w:rsidR="00C96CE9" w:rsidRPr="0076209A">
        <w:rPr>
          <w:rFonts w:ascii="Calibri" w:eastAsia="Times New Roman" w:hAnsi="Calibri" w:cs="Calibri"/>
          <w:color w:val="000000" w:themeColor="text1"/>
          <w:lang w:eastAsia="en-NZ"/>
        </w:rPr>
        <w:t>.</w:t>
      </w:r>
      <w:r w:rsidR="006B0074" w:rsidRPr="0076209A">
        <w:rPr>
          <w:rFonts w:ascii="Calibri" w:eastAsia="Times New Roman" w:hAnsi="Calibri" w:cs="Calibri"/>
          <w:color w:val="000000" w:themeColor="text1"/>
          <w:lang w:eastAsia="en-NZ"/>
        </w:rPr>
        <w:t xml:space="preserve"> This could be due to the small numbers involved and the short length of time since the amendment.</w:t>
      </w:r>
    </w:p>
    <w:p w14:paraId="0F899B87" w14:textId="31C8D894" w:rsidR="00907A9D" w:rsidRDefault="000A0CFD" w:rsidP="00FD4076">
      <w:r>
        <w:t>The data does not show why there are differences in the use of non-court proceedings</w:t>
      </w:r>
      <w:r w:rsidR="004871B9">
        <w:t xml:space="preserve"> in different Police districts</w:t>
      </w:r>
      <w:r w:rsidR="00DC5110">
        <w:t>, which could be due to many factors</w:t>
      </w:r>
      <w:r w:rsidR="006B0074">
        <w:t xml:space="preserve">, </w:t>
      </w:r>
      <w:r w:rsidR="006B0074" w:rsidRPr="0076209A">
        <w:t>such as the number of repeat offences, age profile in the District, drug prevalence, etc.</w:t>
      </w:r>
      <w:r w:rsidR="00DC5110">
        <w:t xml:space="preserve"> National </w:t>
      </w:r>
      <w:r w:rsidR="007B5637">
        <w:t xml:space="preserve">consistency </w:t>
      </w:r>
      <w:r w:rsidR="00B447F9">
        <w:t xml:space="preserve">may not be </w:t>
      </w:r>
      <w:r w:rsidR="00574F23">
        <w:t>desirable</w:t>
      </w:r>
      <w:r w:rsidR="00545B73">
        <w:t>, but</w:t>
      </w:r>
      <w:r w:rsidR="004650A5">
        <w:t xml:space="preserve"> fairness and consistency in decision making </w:t>
      </w:r>
      <w:r w:rsidR="00FC0175">
        <w:t>would</w:t>
      </w:r>
      <w:r w:rsidR="00B447F9">
        <w:t xml:space="preserve"> be</w:t>
      </w:r>
      <w:r w:rsidR="00FC0175">
        <w:t xml:space="preserve">.  Without understanding what drives these differences </w:t>
      </w:r>
      <w:r w:rsidR="0086026E">
        <w:t>we cannot be sure whether this is being achieved.</w:t>
      </w:r>
      <w:r w:rsidR="00FC0175">
        <w:t xml:space="preserve"> </w:t>
      </w:r>
      <w:r w:rsidR="00B447F9">
        <w:t xml:space="preserve"> </w:t>
      </w:r>
      <w:r w:rsidR="007D299E">
        <w:t xml:space="preserve">This </w:t>
      </w:r>
      <w:r w:rsidR="000A5B3C">
        <w:t>issue should be considered more fully in the final review in 2024.</w:t>
      </w:r>
    </w:p>
    <w:p w14:paraId="38B8BCC8" w14:textId="4F61BB24" w:rsidR="00554F83" w:rsidRDefault="00554F83" w:rsidP="00554F83">
      <w:r>
        <w:t>Police have determined that until this review commenced</w:t>
      </w:r>
      <w:r w:rsidR="6F347E83">
        <w:t>,</w:t>
      </w:r>
      <w:r>
        <w:t xml:space="preserve"> Districts have not been receiving data that would support them to consider how effectively they have implemented the health-based approach to personal possession or use.  Police will give consideration to how this can be remedied.</w:t>
      </w:r>
    </w:p>
    <w:bookmarkEnd w:id="126"/>
    <w:p w14:paraId="69C58665" w14:textId="77777777" w:rsidR="007D3903" w:rsidRDefault="007D3903" w:rsidP="00554F83">
      <w:pPr>
        <w:sectPr w:rsidR="007D3903" w:rsidSect="0023546E">
          <w:pgSz w:w="11906" w:h="16838"/>
          <w:pgMar w:top="1440" w:right="1440" w:bottom="1440" w:left="1440" w:header="708" w:footer="708" w:gutter="0"/>
          <w:cols w:space="708"/>
          <w:docGrid w:linePitch="360"/>
        </w:sectPr>
      </w:pPr>
    </w:p>
    <w:p w14:paraId="1A0E67F0" w14:textId="44F7996B" w:rsidR="007D3903" w:rsidRDefault="007D3903" w:rsidP="00C13565">
      <w:pPr>
        <w:pStyle w:val="Caption"/>
      </w:pPr>
    </w:p>
    <w:p w14:paraId="1FAE4EDD" w14:textId="1633529B" w:rsidR="00C13565" w:rsidRDefault="00C13565" w:rsidP="00C13565">
      <w:pPr>
        <w:pStyle w:val="Caption"/>
      </w:pPr>
      <w:bookmarkStart w:id="127" w:name="_Toc75781235"/>
      <w:bookmarkStart w:id="128" w:name="_Toc77775991"/>
      <w:r>
        <w:t xml:space="preserve">Graph </w:t>
      </w:r>
      <w:r>
        <w:fldChar w:fldCharType="begin"/>
      </w:r>
      <w:r>
        <w:instrText>SEQ Figure \* ARABIC</w:instrText>
      </w:r>
      <w:r>
        <w:fldChar w:fldCharType="separate"/>
      </w:r>
      <w:r w:rsidR="00AA3031">
        <w:rPr>
          <w:noProof/>
        </w:rPr>
        <w:t>8</w:t>
      </w:r>
      <w:r>
        <w:fldChar w:fldCharType="end"/>
      </w:r>
      <w:r>
        <w:t>. Percentage of non-court action where</w:t>
      </w:r>
      <w:r w:rsidR="00E75873">
        <w:t xml:space="preserve"> personal </w:t>
      </w:r>
      <w:r>
        <w:t>possession and use is the most serious offence by Police district</w:t>
      </w:r>
      <w:bookmarkEnd w:id="127"/>
      <w:bookmarkEnd w:id="128"/>
    </w:p>
    <w:p w14:paraId="7D143F23" w14:textId="523FE285" w:rsidR="00DC12C9" w:rsidRPr="000E2856" w:rsidRDefault="00442628" w:rsidP="003D7AE3">
      <w:pPr>
        <w:sectPr w:rsidR="00DC12C9" w:rsidRPr="000E2856" w:rsidSect="007D3903">
          <w:pgSz w:w="16838" w:h="11906" w:orient="landscape"/>
          <w:pgMar w:top="1440" w:right="1440" w:bottom="1440" w:left="1440" w:header="708" w:footer="708" w:gutter="0"/>
          <w:cols w:space="708"/>
          <w:docGrid w:linePitch="360"/>
        </w:sectPr>
      </w:pPr>
      <w:r>
        <w:rPr>
          <w:noProof/>
        </w:rPr>
        <w:drawing>
          <wp:inline distT="0" distB="0" distL="0" distR="0" wp14:anchorId="7F323019" wp14:editId="2E22F70A">
            <wp:extent cx="8863330" cy="50546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8863330" cy="5054602"/>
                    </a:xfrm>
                    <a:prstGeom prst="rect">
                      <a:avLst/>
                    </a:prstGeom>
                  </pic:spPr>
                </pic:pic>
              </a:graphicData>
            </a:graphic>
          </wp:inline>
        </w:drawing>
      </w:r>
      <w:r>
        <w:rPr>
          <w:noProof/>
        </w:rPr>
        <w:t xml:space="preserve"> </w:t>
      </w:r>
    </w:p>
    <w:p w14:paraId="6D995366" w14:textId="76F3968D" w:rsidR="003D7AE3" w:rsidRDefault="003D7AE3" w:rsidP="003D7AE3">
      <w:pPr>
        <w:rPr>
          <w:rFonts w:ascii="Calibri" w:eastAsia="Times New Roman" w:hAnsi="Calibri" w:cs="Calibri"/>
          <w:color w:val="000000"/>
          <w:lang w:eastAsia="en-NZ"/>
        </w:rPr>
      </w:pPr>
      <w:r>
        <w:rPr>
          <w:rFonts w:ascii="Calibri" w:eastAsia="Times New Roman" w:hAnsi="Calibri" w:cs="Calibri"/>
          <w:color w:val="000000"/>
          <w:lang w:eastAsia="en-NZ"/>
        </w:rPr>
        <w:lastRenderedPageBreak/>
        <w:t xml:space="preserve">Figure </w:t>
      </w:r>
      <w:r w:rsidR="00F03DD4">
        <w:rPr>
          <w:rFonts w:ascii="Calibri" w:eastAsia="Times New Roman" w:hAnsi="Calibri" w:cs="Calibri"/>
          <w:color w:val="000000"/>
          <w:lang w:eastAsia="en-NZ"/>
        </w:rPr>
        <w:t>9</w:t>
      </w:r>
      <w:r>
        <w:rPr>
          <w:rFonts w:ascii="Calibri" w:eastAsia="Times New Roman" w:hAnsi="Calibri" w:cs="Calibri"/>
          <w:color w:val="000000"/>
          <w:lang w:eastAsia="en-NZ"/>
        </w:rPr>
        <w:t xml:space="preserve"> is a map of the Police districts that shows the </w:t>
      </w:r>
      <w:r w:rsidR="005C240F">
        <w:rPr>
          <w:rFonts w:ascii="Calibri" w:eastAsia="Times New Roman" w:hAnsi="Calibri" w:cs="Calibri"/>
          <w:color w:val="000000"/>
          <w:lang w:eastAsia="en-NZ"/>
        </w:rPr>
        <w:t>difference</w:t>
      </w:r>
      <w:r w:rsidR="00D54E82">
        <w:rPr>
          <w:rFonts w:ascii="Calibri" w:eastAsia="Times New Roman" w:hAnsi="Calibri" w:cs="Calibri"/>
          <w:color w:val="000000"/>
          <w:lang w:eastAsia="en-NZ"/>
        </w:rPr>
        <w:t xml:space="preserve"> </w:t>
      </w:r>
      <w:r w:rsidR="00D955EA">
        <w:rPr>
          <w:rFonts w:ascii="Calibri" w:eastAsia="Times New Roman" w:hAnsi="Calibri" w:cs="Calibri"/>
          <w:color w:val="000000"/>
          <w:lang w:eastAsia="en-NZ"/>
        </w:rPr>
        <w:t xml:space="preserve">in </w:t>
      </w:r>
      <w:r w:rsidR="00D54E82">
        <w:rPr>
          <w:rFonts w:ascii="Calibri" w:eastAsia="Times New Roman" w:hAnsi="Calibri" w:cs="Calibri"/>
          <w:color w:val="000000"/>
          <w:lang w:eastAsia="en-NZ"/>
        </w:rPr>
        <w:t xml:space="preserve">each </w:t>
      </w:r>
      <w:r w:rsidR="00B3683F">
        <w:rPr>
          <w:rFonts w:ascii="Calibri" w:eastAsia="Times New Roman" w:hAnsi="Calibri" w:cs="Calibri"/>
          <w:color w:val="000000"/>
          <w:lang w:eastAsia="en-NZ"/>
        </w:rPr>
        <w:t>district in</w:t>
      </w:r>
      <w:r>
        <w:rPr>
          <w:rFonts w:ascii="Calibri" w:eastAsia="Times New Roman" w:hAnsi="Calibri" w:cs="Calibri"/>
          <w:color w:val="000000"/>
          <w:lang w:eastAsia="en-NZ"/>
        </w:rPr>
        <w:t xml:space="preserve"> </w:t>
      </w:r>
      <w:r w:rsidR="00202025">
        <w:rPr>
          <w:rFonts w:ascii="Calibri" w:eastAsia="Times New Roman" w:hAnsi="Calibri" w:cs="Calibri"/>
          <w:color w:val="000000"/>
          <w:lang w:eastAsia="en-NZ"/>
        </w:rPr>
        <w:t>the average</w:t>
      </w:r>
      <w:r w:rsidR="00B3683F">
        <w:rPr>
          <w:rFonts w:ascii="Calibri" w:eastAsia="Times New Roman" w:hAnsi="Calibri" w:cs="Calibri"/>
          <w:color w:val="000000"/>
          <w:lang w:eastAsia="en-NZ"/>
        </w:rPr>
        <w:t xml:space="preserve"> </w:t>
      </w:r>
      <w:r>
        <w:rPr>
          <w:rFonts w:ascii="Calibri" w:eastAsia="Times New Roman" w:hAnsi="Calibri" w:cs="Calibri"/>
          <w:color w:val="000000"/>
          <w:lang w:eastAsia="en-NZ"/>
        </w:rPr>
        <w:t>u</w:t>
      </w:r>
      <w:r>
        <w:t xml:space="preserve">se of non-court proceedings </w:t>
      </w:r>
      <w:r w:rsidR="00003625">
        <w:t>(</w:t>
      </w:r>
      <w:r>
        <w:t xml:space="preserve">where </w:t>
      </w:r>
      <w:r w:rsidR="009A6408">
        <w:t>drug</w:t>
      </w:r>
      <w:r w:rsidR="00686A7E">
        <w:t xml:space="preserve"> </w:t>
      </w:r>
      <w:r>
        <w:t>possession and or use is the most serious charge</w:t>
      </w:r>
      <w:r w:rsidR="00003625">
        <w:t>) in</w:t>
      </w:r>
      <w:r>
        <w:t xml:space="preserve"> </w:t>
      </w:r>
      <w:r w:rsidR="00D955EA">
        <w:t>the year before</w:t>
      </w:r>
      <w:r>
        <w:t xml:space="preserve"> </w:t>
      </w:r>
      <w:r w:rsidR="00D350D6">
        <w:t>the change</w:t>
      </w:r>
      <w:r>
        <w:t xml:space="preserve"> and after</w:t>
      </w:r>
      <w:r w:rsidR="00D350D6">
        <w:t>.</w:t>
      </w:r>
      <w:r>
        <w:t xml:space="preserve"> </w:t>
      </w:r>
      <w:r w:rsidRPr="004922C5">
        <w:rPr>
          <w:rFonts w:ascii="Calibri" w:eastAsia="Times New Roman" w:hAnsi="Calibri" w:cs="Calibri"/>
          <w:color w:val="000000"/>
          <w:lang w:eastAsia="en-NZ"/>
        </w:rPr>
        <w:t>The Eastern Police District has only increased the average use of non-court proceedings by 2.3</w:t>
      </w:r>
      <w:r w:rsidR="000149F9">
        <w:rPr>
          <w:rFonts w:ascii="Calibri" w:eastAsia="Times New Roman" w:hAnsi="Calibri" w:cs="Calibri"/>
          <w:color w:val="000000"/>
          <w:lang w:eastAsia="en-NZ"/>
        </w:rPr>
        <w:t xml:space="preserve"> percent</w:t>
      </w:r>
      <w:r w:rsidRPr="004922C5">
        <w:rPr>
          <w:rFonts w:ascii="Calibri" w:eastAsia="Times New Roman" w:hAnsi="Calibri" w:cs="Calibri"/>
          <w:color w:val="000000"/>
          <w:lang w:eastAsia="en-NZ"/>
        </w:rPr>
        <w:t>.</w:t>
      </w:r>
    </w:p>
    <w:p w14:paraId="21ABCE24" w14:textId="688F6325" w:rsidR="00904AD2" w:rsidRDefault="00F03DD4" w:rsidP="00F03DD4">
      <w:pPr>
        <w:pStyle w:val="Caption"/>
      </w:pPr>
      <w:bookmarkStart w:id="129" w:name="_Toc75781236"/>
      <w:bookmarkStart w:id="130" w:name="_Toc77775992"/>
      <w:r>
        <w:t xml:space="preserve">Figure </w:t>
      </w:r>
      <w:fldSimple w:instr=" SEQ Figure \* ARABIC ">
        <w:r w:rsidR="00AA3031">
          <w:rPr>
            <w:noProof/>
          </w:rPr>
          <w:t>9</w:t>
        </w:r>
      </w:fldSimple>
      <w:r>
        <w:t xml:space="preserve">. </w:t>
      </w:r>
      <w:r w:rsidR="00F86C05">
        <w:t xml:space="preserve">Use of non-court proceedings where </w:t>
      </w:r>
      <w:r w:rsidR="00E75873">
        <w:t xml:space="preserve">Personal </w:t>
      </w:r>
      <w:r w:rsidR="00F86C05">
        <w:t xml:space="preserve">possession and or use is the most serious </w:t>
      </w:r>
      <w:r w:rsidR="001B1269">
        <w:t>charge</w:t>
      </w:r>
      <w:r w:rsidR="00387036">
        <w:t xml:space="preserve"> differences </w:t>
      </w:r>
      <w:r w:rsidR="005E2B75">
        <w:t xml:space="preserve">by Police district </w:t>
      </w:r>
      <w:r w:rsidR="009560A5">
        <w:t>a</w:t>
      </w:r>
      <w:r w:rsidR="00387036">
        <w:t>nnual average</w:t>
      </w:r>
      <w:r w:rsidR="005E2B75">
        <w:t xml:space="preserve"> calendar year before amen</w:t>
      </w:r>
      <w:r w:rsidR="00C13565">
        <w:t>d</w:t>
      </w:r>
      <w:r w:rsidR="005E2B75">
        <w:t>ment and after amendment</w:t>
      </w:r>
      <w:bookmarkEnd w:id="129"/>
      <w:bookmarkEnd w:id="130"/>
    </w:p>
    <w:p w14:paraId="70148E43" w14:textId="77777777" w:rsidR="00904AD2" w:rsidRDefault="00EC1B65" w:rsidP="00FD4076">
      <w:pPr>
        <w:sectPr w:rsidR="00904AD2" w:rsidSect="00907A9D">
          <w:pgSz w:w="11906" w:h="16838" w:code="9"/>
          <w:pgMar w:top="1440" w:right="1440" w:bottom="1440" w:left="1440" w:header="709" w:footer="709" w:gutter="0"/>
          <w:cols w:space="708"/>
          <w:docGrid w:linePitch="360"/>
        </w:sectPr>
      </w:pPr>
      <w:r>
        <w:rPr>
          <w:noProof/>
        </w:rPr>
        <w:drawing>
          <wp:inline distT="0" distB="0" distL="0" distR="0" wp14:anchorId="6DD35E70" wp14:editId="153BD944">
            <wp:extent cx="5025542" cy="6297619"/>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5025542" cy="6297619"/>
                    </a:xfrm>
                    <a:prstGeom prst="rect">
                      <a:avLst/>
                    </a:prstGeom>
                  </pic:spPr>
                </pic:pic>
              </a:graphicData>
            </a:graphic>
          </wp:inline>
        </w:drawing>
      </w:r>
    </w:p>
    <w:p w14:paraId="0092494E" w14:textId="4A0C2990" w:rsidR="009C407C" w:rsidRDefault="00A260E6">
      <w:pPr>
        <w:pStyle w:val="Caption"/>
      </w:pPr>
      <w:bookmarkStart w:id="131" w:name="_Toc74572664"/>
      <w:r>
        <w:rPr>
          <w:noProof/>
        </w:rPr>
        <w:lastRenderedPageBreak/>
        <mc:AlternateContent>
          <mc:Choice Requires="wps">
            <w:drawing>
              <wp:anchor distT="45720" distB="45720" distL="114300" distR="114300" simplePos="0" relativeHeight="251658242" behindDoc="0" locked="0" layoutInCell="1" allowOverlap="1" wp14:anchorId="1357C55A" wp14:editId="5E9F981B">
                <wp:simplePos x="0" y="0"/>
                <wp:positionH relativeFrom="margin">
                  <wp:posOffset>166370</wp:posOffset>
                </wp:positionH>
                <wp:positionV relativeFrom="paragraph">
                  <wp:posOffset>318770</wp:posOffset>
                </wp:positionV>
                <wp:extent cx="6024245" cy="1404620"/>
                <wp:effectExtent l="0" t="0" r="14605" b="247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04620"/>
                        </a:xfrm>
                        <a:prstGeom prst="rect">
                          <a:avLst/>
                        </a:prstGeom>
                        <a:solidFill>
                          <a:srgbClr val="FFFFFF"/>
                        </a:solidFill>
                        <a:ln w="9525">
                          <a:solidFill>
                            <a:srgbClr val="000000"/>
                          </a:solidFill>
                          <a:miter lim="800000"/>
                          <a:headEnd/>
                          <a:tailEnd/>
                        </a:ln>
                      </wps:spPr>
                      <wps:txbx>
                        <w:txbxContent>
                          <w:p w14:paraId="745D4E36" w14:textId="77777777" w:rsidR="00F14026" w:rsidRPr="00A260E6" w:rsidRDefault="00F14026" w:rsidP="00A260E6">
                            <w:pPr>
                              <w:rPr>
                                <w:b/>
                                <w:bCs/>
                              </w:rPr>
                            </w:pPr>
                            <w:bookmarkStart w:id="132" w:name="_Hlk75772235"/>
                            <w:r w:rsidRPr="00A260E6">
                              <w:rPr>
                                <w:b/>
                                <w:bCs/>
                              </w:rPr>
                              <w:t>Key finding</w:t>
                            </w:r>
                            <w:r>
                              <w:rPr>
                                <w:b/>
                                <w:bCs/>
                              </w:rPr>
                              <w:t>(</w:t>
                            </w:r>
                            <w:r w:rsidRPr="00A260E6">
                              <w:rPr>
                                <w:b/>
                                <w:bCs/>
                              </w:rPr>
                              <w:t>s</w:t>
                            </w:r>
                            <w:r>
                              <w:rPr>
                                <w:b/>
                                <w:bCs/>
                              </w:rPr>
                              <w:t>)</w:t>
                            </w:r>
                            <w:r w:rsidRPr="00A260E6">
                              <w:rPr>
                                <w:b/>
                                <w:bCs/>
                              </w:rPr>
                              <w:t xml:space="preserve">: </w:t>
                            </w:r>
                          </w:p>
                          <w:p w14:paraId="11BBF017" w14:textId="4D950A22" w:rsidR="00F14026" w:rsidRPr="003479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347926">
                              <w:rPr>
                                <w:rStyle w:val="normaltextrun1"/>
                                <w:rFonts w:ascii="Calibri" w:eastAsia="Times New Roman" w:hAnsi="Calibri" w:cs="Calibri"/>
                                <w:sz w:val="22"/>
                                <w:szCs w:val="22"/>
                                <w:lang w:eastAsia="en-NZ"/>
                              </w:rPr>
                              <w:t xml:space="preserve">There has been a general downward trend in proceedings for the personal possession and use of drugs, and especially in relation to cannabis </w:t>
                            </w:r>
                          </w:p>
                          <w:p w14:paraId="1D7AB269" w14:textId="2A90D805"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Since 2019 Police has increased the use of non-court proceedings compared to court proceedings when dealing with all personal possession and use of drugs offences.</w:t>
                            </w:r>
                          </w:p>
                          <w:p w14:paraId="31A1B663" w14:textId="5D1A7ECC"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Since 2019 there has been a sharp increase in the use of non-court proceedings for personal possession and use of methamphetamine. </w:t>
                            </w:r>
                          </w:p>
                          <w:p w14:paraId="0AEDAD5D" w14:textId="2D446AE6"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The data shows that all Police districts have increased their use of non-court proceedings compared to court proceedings in situations where personal possession and use is the most serious offence, and the rate of increase varies across the districts.   </w:t>
                            </w:r>
                          </w:p>
                          <w:bookmarkEnd w:id="132"/>
                          <w:p w14:paraId="0517E30A" w14:textId="77777777" w:rsidR="00F14026" w:rsidRDefault="00F14026" w:rsidP="00A260E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7C55A" id="_x0000_s1028" type="#_x0000_t202" style="position:absolute;margin-left:13.1pt;margin-top:25.1pt;width:474.3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">
                <v:textbox style="mso-fit-shape-to-text:t">
                  <w:txbxContent>
                    <w:p w14:paraId="745D4E36" w14:textId="77777777" w:rsidR="00F14026" w:rsidRPr="00A260E6" w:rsidRDefault="00F14026" w:rsidP="00A260E6">
                      <w:pPr>
                        <w:rPr>
                          <w:b/>
                          <w:bCs/>
                        </w:rPr>
                      </w:pPr>
                      <w:bookmarkStart w:id="133" w:name="_Hlk75772235"/>
                      <w:r w:rsidRPr="00A260E6">
                        <w:rPr>
                          <w:b/>
                          <w:bCs/>
                        </w:rPr>
                        <w:t>Key finding</w:t>
                      </w:r>
                      <w:r>
                        <w:rPr>
                          <w:b/>
                          <w:bCs/>
                        </w:rPr>
                        <w:t>(</w:t>
                      </w:r>
                      <w:r w:rsidRPr="00A260E6">
                        <w:rPr>
                          <w:b/>
                          <w:bCs/>
                        </w:rPr>
                        <w:t>s</w:t>
                      </w:r>
                      <w:r>
                        <w:rPr>
                          <w:b/>
                          <w:bCs/>
                        </w:rPr>
                        <w:t>)</w:t>
                      </w:r>
                      <w:r w:rsidRPr="00A260E6">
                        <w:rPr>
                          <w:b/>
                          <w:bCs/>
                        </w:rPr>
                        <w:t xml:space="preserve">: </w:t>
                      </w:r>
                    </w:p>
                    <w:p w14:paraId="11BBF017" w14:textId="4D950A22" w:rsidR="00F14026" w:rsidRPr="003479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347926">
                        <w:rPr>
                          <w:rStyle w:val="normaltextrun1"/>
                          <w:rFonts w:ascii="Calibri" w:eastAsia="Times New Roman" w:hAnsi="Calibri" w:cs="Calibri"/>
                          <w:sz w:val="22"/>
                          <w:szCs w:val="22"/>
                          <w:lang w:eastAsia="en-NZ"/>
                        </w:rPr>
                        <w:t xml:space="preserve">There has been a general downward trend in proceedings for the personal possession and use of drugs, and especially in relation to cannabis </w:t>
                      </w:r>
                    </w:p>
                    <w:p w14:paraId="1D7AB269" w14:textId="2A90D805"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Since 2019 Police has increased the use of non-court proceedings compared to court proceedings when dealing with all personal possession and use of drugs offences.</w:t>
                      </w:r>
                    </w:p>
                    <w:p w14:paraId="31A1B663" w14:textId="5D1A7ECC"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Since 2019 there has been a sharp increase in the use of non-court proceedings for personal possession and use of methamphetamine. </w:t>
                      </w:r>
                    </w:p>
                    <w:p w14:paraId="0AEDAD5D" w14:textId="2D446AE6"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The data shows that all Police districts have increased their use of non-court proceedings compared to court proceedings in situations where personal possession and use is the most serious offence, and the rate of increase varies across the districts.   </w:t>
                      </w:r>
                    </w:p>
                    <w:bookmarkEnd w:id="133"/>
                    <w:p w14:paraId="0517E30A" w14:textId="77777777" w:rsidR="00F14026" w:rsidRDefault="00F14026" w:rsidP="00A260E6"/>
                  </w:txbxContent>
                </v:textbox>
                <w10:wrap type="square" anchorx="margin"/>
              </v:shape>
            </w:pict>
          </mc:Fallback>
        </mc:AlternateContent>
      </w:r>
    </w:p>
    <w:p w14:paraId="360A28A9" w14:textId="77777777" w:rsidR="009C407C" w:rsidRDefault="009C407C">
      <w:pPr>
        <w:pStyle w:val="Caption"/>
      </w:pPr>
    </w:p>
    <w:p w14:paraId="67D5F3F5" w14:textId="77777777" w:rsidR="009C407C" w:rsidRDefault="009C407C">
      <w:pPr>
        <w:pStyle w:val="Caption"/>
      </w:pPr>
    </w:p>
    <w:p w14:paraId="250D304D" w14:textId="77777777" w:rsidR="009C407C" w:rsidRDefault="009C407C">
      <w:pPr>
        <w:pStyle w:val="Caption"/>
      </w:pPr>
    </w:p>
    <w:p w14:paraId="79148323" w14:textId="77777777" w:rsidR="0062095C" w:rsidRDefault="0062095C">
      <w:pPr>
        <w:pStyle w:val="Caption"/>
        <w:sectPr w:rsidR="0062095C" w:rsidSect="008142DB">
          <w:pgSz w:w="11906" w:h="16838"/>
          <w:pgMar w:top="1440" w:right="1440" w:bottom="1440" w:left="1440" w:header="708" w:footer="708" w:gutter="0"/>
          <w:cols w:space="708"/>
          <w:docGrid w:linePitch="360"/>
        </w:sectPr>
      </w:pPr>
    </w:p>
    <w:p w14:paraId="5A745C5D" w14:textId="12323C30" w:rsidR="00AB2129" w:rsidRPr="001C0150" w:rsidRDefault="00A7291C" w:rsidP="00AB2129">
      <w:pPr>
        <w:pStyle w:val="Heading2"/>
      </w:pPr>
      <w:bookmarkStart w:id="134" w:name="_Toc75781184"/>
      <w:bookmarkStart w:id="135" w:name="_Toc75952897"/>
      <w:bookmarkStart w:id="136" w:name="_Toc78186463"/>
      <w:bookmarkStart w:id="137" w:name="_Hlk75526241"/>
      <w:r w:rsidRPr="001C0150">
        <w:lastRenderedPageBreak/>
        <w:t>Court actions</w:t>
      </w:r>
      <w:bookmarkEnd w:id="131"/>
      <w:bookmarkEnd w:id="134"/>
      <w:bookmarkEnd w:id="135"/>
      <w:bookmarkEnd w:id="136"/>
    </w:p>
    <w:p w14:paraId="1337EE63" w14:textId="1180A186" w:rsidR="00AA3372" w:rsidRDefault="00AA3372" w:rsidP="00495240">
      <w:r>
        <w:t xml:space="preserve">As </w:t>
      </w:r>
      <w:r w:rsidR="00BB3C3B">
        <w:t xml:space="preserve">the intent of the amendment was to divert people away from the criminal justice system, </w:t>
      </w:r>
      <w:r w:rsidR="006521B0">
        <w:t xml:space="preserve">as appropriate, </w:t>
      </w:r>
      <w:r w:rsidR="0096610B">
        <w:t xml:space="preserve">the review has considered </w:t>
      </w:r>
      <w:r w:rsidR="2E2D0535">
        <w:t>C</w:t>
      </w:r>
      <w:r w:rsidR="00246AC8">
        <w:t>ourt</w:t>
      </w:r>
      <w:r w:rsidR="00027ACA">
        <w:t>-based as well as alternative resolution pathways</w:t>
      </w:r>
      <w:r w:rsidR="00794E5E">
        <w:t xml:space="preserve">.  </w:t>
      </w:r>
    </w:p>
    <w:p w14:paraId="27B9BB03" w14:textId="0EC15724" w:rsidR="003B0BCF" w:rsidRDefault="00495240" w:rsidP="00495240">
      <w:r>
        <w:t xml:space="preserve">Courts have a range of options at their disposal for cases involving </w:t>
      </w:r>
      <w:r w:rsidR="006F718C">
        <w:t xml:space="preserve">illegal </w:t>
      </w:r>
      <w:r>
        <w:t>drugs for personal possession</w:t>
      </w:r>
      <w:r w:rsidR="006F718C">
        <w:t xml:space="preserve"> and use</w:t>
      </w:r>
      <w:r>
        <w:t xml:space="preserve">. </w:t>
      </w:r>
      <w:r w:rsidR="00FA6B10">
        <w:t xml:space="preserve">While </w:t>
      </w:r>
      <w:r w:rsidR="00C462DF">
        <w:t xml:space="preserve">cases </w:t>
      </w:r>
      <w:r w:rsidR="001506C9">
        <w:t xml:space="preserve">in front of </w:t>
      </w:r>
      <w:r w:rsidR="2B389790">
        <w:t>C</w:t>
      </w:r>
      <w:r w:rsidR="001506C9">
        <w:t xml:space="preserve">ourt all involve charges and </w:t>
      </w:r>
      <w:r w:rsidR="00C462DF">
        <w:t>will be considered for prosecution, there are still alte</w:t>
      </w:r>
      <w:r w:rsidR="001506C9">
        <w:t>rnatives to prosecution through the adult diversion pathway.</w:t>
      </w:r>
    </w:p>
    <w:p w14:paraId="0538CB8F" w14:textId="2A38C22B" w:rsidR="00141D19" w:rsidRDefault="003B0BCF" w:rsidP="00495240">
      <w:r>
        <w:t xml:space="preserve">Health-based approaches that address health and social needs apply to the </w:t>
      </w:r>
      <w:r w:rsidR="3C589D76">
        <w:t>C</w:t>
      </w:r>
      <w:r>
        <w:t xml:space="preserve">ourt system as well as frontline policing.  </w:t>
      </w:r>
      <w:r w:rsidR="001506C9">
        <w:t xml:space="preserve">  </w:t>
      </w:r>
    </w:p>
    <w:p w14:paraId="2FEBAD53" w14:textId="527FA891" w:rsidR="00141D19" w:rsidRPr="00F83613" w:rsidRDefault="00141D19" w:rsidP="00141D19">
      <w:pPr>
        <w:pStyle w:val="Heading3"/>
      </w:pPr>
      <w:bookmarkStart w:id="138" w:name="_Toc75781185"/>
      <w:bookmarkStart w:id="139" w:name="_Toc75952898"/>
      <w:bookmarkStart w:id="140" w:name="_Toc78186464"/>
      <w:r>
        <w:t>Adult diversion</w:t>
      </w:r>
      <w:bookmarkEnd w:id="138"/>
      <w:bookmarkEnd w:id="139"/>
      <w:bookmarkEnd w:id="140"/>
    </w:p>
    <w:p w14:paraId="7F651D5E" w14:textId="5E7DA70A" w:rsidR="00141D19" w:rsidRDefault="00141D19" w:rsidP="00141D19">
      <w:r>
        <w:t xml:space="preserve">Adult </w:t>
      </w:r>
      <w:r w:rsidR="1E52B88F">
        <w:t>d</w:t>
      </w:r>
      <w:r>
        <w:t xml:space="preserve">iversion </w:t>
      </w:r>
      <w:r w:rsidR="00F7373D">
        <w:t>i</w:t>
      </w:r>
      <w:r>
        <w:t xml:space="preserve">s a Police-managed, post-charge resolution pathway. It enables certain offences to be dealt with in an alternative manner to prosecution. Conditions may be attached to diversion, and will vary from case to case, but may include: </w:t>
      </w:r>
    </w:p>
    <w:p w14:paraId="6524A5A5" w14:textId="468EEC8F" w:rsidR="00141D19" w:rsidRPr="00F7373D" w:rsidRDefault="00141D1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making an apology to the victim</w:t>
      </w:r>
      <w:r w:rsidR="005907AA">
        <w:rPr>
          <w:rStyle w:val="normaltextrun1"/>
          <w:rFonts w:ascii="Calibri" w:eastAsia="Times New Roman" w:hAnsi="Calibri" w:cs="Calibri"/>
          <w:sz w:val="22"/>
          <w:szCs w:val="22"/>
          <w:lang w:eastAsia="en-NZ"/>
        </w:rPr>
        <w:t xml:space="preserve"> or victim</w:t>
      </w:r>
      <w:r w:rsidRPr="00F7373D">
        <w:rPr>
          <w:rStyle w:val="normaltextrun1"/>
          <w:rFonts w:ascii="Calibri" w:eastAsia="Times New Roman" w:hAnsi="Calibri" w:cs="Calibri"/>
          <w:sz w:val="22"/>
          <w:szCs w:val="22"/>
          <w:lang w:eastAsia="en-NZ"/>
        </w:rPr>
        <w:t>s</w:t>
      </w:r>
    </w:p>
    <w:p w14:paraId="49F38694" w14:textId="77777777" w:rsidR="00141D19" w:rsidRPr="00F7373D" w:rsidRDefault="00141D1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reparation of expenses incurred by the victim as a result of the offending</w:t>
      </w:r>
    </w:p>
    <w:p w14:paraId="1E7EBB3A" w14:textId="77777777" w:rsidR="00141D19" w:rsidRPr="00F7373D" w:rsidRDefault="00141D1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restoration of harm caused through work in the community</w:t>
      </w:r>
    </w:p>
    <w:p w14:paraId="7EE16347" w14:textId="77777777" w:rsidR="00141D19" w:rsidRPr="00F7373D" w:rsidRDefault="00141D1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a Restorative Justice conference (often) involving the victim</w:t>
      </w:r>
    </w:p>
    <w:p w14:paraId="27AA9860" w14:textId="72B92A2F" w:rsidR="00141D19" w:rsidRPr="00F7373D" w:rsidRDefault="00141D19"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referral to support services </w:t>
      </w:r>
      <w:r w:rsidR="009D2868" w:rsidRPr="00F7373D">
        <w:rPr>
          <w:rStyle w:val="normaltextrun1"/>
          <w:rFonts w:ascii="Calibri" w:eastAsia="Times New Roman" w:hAnsi="Calibri" w:cs="Calibri"/>
          <w:sz w:val="22"/>
          <w:szCs w:val="22"/>
          <w:lang w:eastAsia="en-NZ"/>
        </w:rPr>
        <w:t>(eg,</w:t>
      </w:r>
      <w:r w:rsidRPr="00F7373D">
        <w:rPr>
          <w:rStyle w:val="normaltextrun1"/>
          <w:rFonts w:ascii="Calibri" w:eastAsia="Times New Roman" w:hAnsi="Calibri" w:cs="Calibri"/>
          <w:sz w:val="22"/>
          <w:szCs w:val="22"/>
          <w:lang w:eastAsia="en-NZ"/>
        </w:rPr>
        <w:t xml:space="preserve"> educational programmes, counselling</w:t>
      </w:r>
      <w:r w:rsidR="009D2868" w:rsidRPr="00F7373D">
        <w:rPr>
          <w:rStyle w:val="normaltextrun1"/>
          <w:rFonts w:ascii="Calibri" w:eastAsia="Times New Roman" w:hAnsi="Calibri" w:cs="Calibri"/>
          <w:sz w:val="22"/>
          <w:szCs w:val="22"/>
          <w:lang w:eastAsia="en-NZ"/>
        </w:rPr>
        <w:t xml:space="preserve"> and</w:t>
      </w:r>
      <w:r w:rsidRPr="00F7373D">
        <w:rPr>
          <w:rStyle w:val="normaltextrun1"/>
          <w:rFonts w:ascii="Calibri" w:eastAsia="Times New Roman" w:hAnsi="Calibri" w:cs="Calibri"/>
          <w:sz w:val="22"/>
          <w:szCs w:val="22"/>
          <w:lang w:eastAsia="en-NZ"/>
        </w:rPr>
        <w:t xml:space="preserve"> addiction treatment</w:t>
      </w:r>
      <w:r w:rsidR="009D2868" w:rsidRPr="00F7373D">
        <w:rPr>
          <w:rStyle w:val="normaltextrun1"/>
          <w:rFonts w:ascii="Calibri" w:eastAsia="Times New Roman" w:hAnsi="Calibri" w:cs="Calibri"/>
          <w:sz w:val="22"/>
          <w:szCs w:val="22"/>
          <w:lang w:eastAsia="en-NZ"/>
        </w:rPr>
        <w:t>)</w:t>
      </w:r>
      <w:r w:rsidRPr="00F7373D">
        <w:rPr>
          <w:rStyle w:val="normaltextrun1"/>
          <w:rFonts w:ascii="Calibri" w:eastAsia="Times New Roman" w:hAnsi="Calibri" w:cs="Calibri"/>
          <w:sz w:val="22"/>
          <w:szCs w:val="22"/>
          <w:lang w:eastAsia="en-NZ"/>
        </w:rPr>
        <w:t>.</w:t>
      </w:r>
    </w:p>
    <w:p w14:paraId="56A45ED5" w14:textId="77777777" w:rsidR="00141D19" w:rsidRDefault="00141D19" w:rsidP="00141D19">
      <w:r>
        <w:t>A Prosecutor will make a request to the court to dismiss the charges in situations where diversion conditions are successfully completed.</w:t>
      </w:r>
    </w:p>
    <w:p w14:paraId="7AD707EA" w14:textId="6F8AEB18" w:rsidR="00141D19" w:rsidRDefault="00141D19" w:rsidP="00141D19">
      <w:r w:rsidRPr="008F2F5B">
        <w:t xml:space="preserve">Appendix </w:t>
      </w:r>
      <w:r w:rsidR="00251B33">
        <w:t xml:space="preserve">4 </w:t>
      </w:r>
      <w:r>
        <w:t xml:space="preserve">contains a description of the purpose, criteria and considerations for adult diversion, and information on the Diversion Scheme managed by the Police Prosecution Service.  </w:t>
      </w:r>
    </w:p>
    <w:p w14:paraId="2657837C" w14:textId="5884ED3B" w:rsidR="00141D19" w:rsidRDefault="00141D19" w:rsidP="00141D19">
      <w:r>
        <w:t xml:space="preserve">The following graphs show the use of adult diversion for cases involving personal use and possession of illegal drugs, by drug type and by first time offenders. </w:t>
      </w:r>
      <w:r w:rsidR="003B6C46">
        <w:t xml:space="preserve">The data </w:t>
      </w:r>
      <w:r w:rsidR="00C23F94">
        <w:t xml:space="preserve">used in these graphs </w:t>
      </w:r>
      <w:r w:rsidR="003B6C46">
        <w:t xml:space="preserve">has been provided by the Ministry of Justice.  </w:t>
      </w:r>
    </w:p>
    <w:p w14:paraId="065C000C" w14:textId="4A8977B2" w:rsidR="00141D19" w:rsidRDefault="00141D19" w:rsidP="00141D19">
      <w:r>
        <w:t xml:space="preserve">Note adult diversion data differs to other non-Court action data. Other non-Court actions are measured at the time the offence occurs, whereas adult diversion can be weeks or months later, at the point the Court agrees to the use of adult diversion. If the conditions are not met, adult diversion may be subject to prosecution. The different </w:t>
      </w:r>
      <w:r w:rsidR="00246AC8">
        <w:t>timestamps</w:t>
      </w:r>
      <w:r>
        <w:t xml:space="preserve"> and potential for double counting mean that we are unable to show adult diversion as a proportion of all non-Court action or in comparison to Court actions. </w:t>
      </w:r>
    </w:p>
    <w:p w14:paraId="127A713A" w14:textId="3DA5F6CF" w:rsidR="005D6092" w:rsidRDefault="00141D19" w:rsidP="00141D19">
      <w:r>
        <w:t xml:space="preserve">Graph </w:t>
      </w:r>
      <w:r w:rsidR="00F03DD4">
        <w:t xml:space="preserve">10 </w:t>
      </w:r>
      <w:r>
        <w:t xml:space="preserve">shows instances of adult diversion for </w:t>
      </w:r>
      <w:r w:rsidR="00170AEE">
        <w:t xml:space="preserve">personal </w:t>
      </w:r>
      <w:r>
        <w:t>possession and use by drug type. It shows that since 2010 adult diversion has largely been used for</w:t>
      </w:r>
      <w:r w:rsidR="00EF0F06">
        <w:t xml:space="preserve"> personal</w:t>
      </w:r>
      <w:r>
        <w:t xml:space="preserve"> cannabis possession and use, though this has declined significantly over the decade to a point where it is almost on par with adult diversion for other drug types. </w:t>
      </w:r>
      <w:r w:rsidR="00AF080B">
        <w:t xml:space="preserve">This corresponds with a decrease in the number of prosecutions being taken for personal possession or use of cannabis and may be indicative of fewer overall proceedings being taken for personal possession or use of cannabis. </w:t>
      </w:r>
      <w:r>
        <w:t xml:space="preserve"> </w:t>
      </w:r>
    </w:p>
    <w:p w14:paraId="2797ECAF" w14:textId="77777777" w:rsidR="00590E92" w:rsidRDefault="00590E92">
      <w:pPr>
        <w:rPr>
          <w:b/>
          <w:bCs/>
          <w:smallCaps/>
          <w:color w:val="44546A" w:themeColor="text2"/>
        </w:rPr>
      </w:pPr>
      <w:r>
        <w:br w:type="page"/>
      </w:r>
    </w:p>
    <w:p w14:paraId="7E567FA1" w14:textId="13C49437" w:rsidR="00141D19" w:rsidRDefault="00F03DD4" w:rsidP="00F03DD4">
      <w:pPr>
        <w:pStyle w:val="Caption"/>
      </w:pPr>
      <w:bookmarkStart w:id="141" w:name="_Toc75781237"/>
      <w:bookmarkStart w:id="142" w:name="_Toc77775993"/>
      <w:r>
        <w:lastRenderedPageBreak/>
        <w:t xml:space="preserve">Graph </w:t>
      </w:r>
      <w:fldSimple w:instr=" SEQ Figure \* ARABIC ">
        <w:r w:rsidR="00AA3031">
          <w:rPr>
            <w:noProof/>
          </w:rPr>
          <w:t>10</w:t>
        </w:r>
      </w:fldSimple>
      <w:r>
        <w:t>.</w:t>
      </w:r>
      <w:r w:rsidR="00C70006">
        <w:t xml:space="preserve"> Adult diversion for possession and use of personal drugs, by drug type</w:t>
      </w:r>
      <w:bookmarkEnd w:id="141"/>
      <w:bookmarkEnd w:id="142"/>
      <w:r w:rsidR="00141D19">
        <w:t xml:space="preserve"> </w:t>
      </w:r>
    </w:p>
    <w:p w14:paraId="576B4138" w14:textId="5FB4285E" w:rsidR="00141D19" w:rsidRDefault="000950B5" w:rsidP="00141D19">
      <w:r>
        <w:rPr>
          <w:noProof/>
        </w:rPr>
        <w:drawing>
          <wp:inline distT="0" distB="0" distL="0" distR="0" wp14:anchorId="72A39D22" wp14:editId="0ECD6286">
            <wp:extent cx="5334000" cy="3110865"/>
            <wp:effectExtent l="0" t="0" r="0" b="13335"/>
            <wp:docPr id="43" name="Chart 43">
              <a:extLst xmlns:a="http://schemas.openxmlformats.org/drawingml/2006/main">
                <a:ext uri="{FF2B5EF4-FFF2-40B4-BE49-F238E27FC236}">
                  <a16:creationId xmlns:a16="http://schemas.microsoft.com/office/drawing/2014/main" id="{594C6839-5CFB-4319-BD34-7BB7A81F1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B1D364" w14:textId="2BFF4741" w:rsidR="00141D19" w:rsidRDefault="00141D19" w:rsidP="00141D19">
      <w:pPr>
        <w:rPr>
          <w:b/>
          <w:bCs/>
          <w:smallCaps/>
          <w:color w:val="44546A" w:themeColor="text2"/>
        </w:rPr>
      </w:pPr>
      <w:r>
        <w:t xml:space="preserve">Graph </w:t>
      </w:r>
      <w:r w:rsidR="00F03DD4">
        <w:t>11</w:t>
      </w:r>
      <w:r>
        <w:t xml:space="preserve"> shows that, between January 2010 and December 2020, there </w:t>
      </w:r>
      <w:r w:rsidR="00C07E01">
        <w:t xml:space="preserve">has been a general downward trend of </w:t>
      </w:r>
      <w:r>
        <w:t xml:space="preserve">cases of </w:t>
      </w:r>
      <w:r w:rsidR="00C07E01">
        <w:t xml:space="preserve">adult diversion for </w:t>
      </w:r>
      <w:r>
        <w:t>possession and use of all drugs</w:t>
      </w:r>
      <w:r w:rsidR="00C07E01">
        <w:t xml:space="preserve"> where </w:t>
      </w:r>
      <w:r w:rsidR="00E26CC3">
        <w:t>this was their first offence</w:t>
      </w:r>
      <w:r>
        <w:t xml:space="preserve">. </w:t>
      </w:r>
    </w:p>
    <w:p w14:paraId="69077932" w14:textId="70CA6683" w:rsidR="00141D19" w:rsidRDefault="00F03DD4" w:rsidP="00F03DD4">
      <w:pPr>
        <w:pStyle w:val="Caption"/>
      </w:pPr>
      <w:bookmarkStart w:id="143" w:name="_Toc75781238"/>
      <w:bookmarkStart w:id="144" w:name="_Toc77775994"/>
      <w:r w:rsidRPr="00EB3589">
        <w:t>Graph</w:t>
      </w:r>
      <w:r>
        <w:t xml:space="preserve"> </w:t>
      </w:r>
      <w:fldSimple w:instr=" SEQ Figure \* ARABIC ">
        <w:r w:rsidR="00AA3031">
          <w:rPr>
            <w:noProof/>
          </w:rPr>
          <w:t>11</w:t>
        </w:r>
      </w:fldSimple>
      <w:r w:rsidR="00C70006" w:rsidRPr="00EB3589">
        <w:t xml:space="preserve">. </w:t>
      </w:r>
      <w:r w:rsidR="00E9338D" w:rsidRPr="00EB3589">
        <w:t>Adult diversion for personal possession and use of drugs, where this is the first offence</w:t>
      </w:r>
      <w:bookmarkEnd w:id="143"/>
      <w:bookmarkEnd w:id="144"/>
      <w:r w:rsidR="00E9338D" w:rsidRPr="00EB3589">
        <w:t xml:space="preserve"> </w:t>
      </w:r>
    </w:p>
    <w:p w14:paraId="5EC15325" w14:textId="0593822F" w:rsidR="00141D19" w:rsidRDefault="008322D8" w:rsidP="00141D19">
      <w:r>
        <w:rPr>
          <w:noProof/>
        </w:rPr>
        <w:drawing>
          <wp:inline distT="0" distB="0" distL="0" distR="0" wp14:anchorId="669D8C43" wp14:editId="3708949D">
            <wp:extent cx="4938713" cy="2705735"/>
            <wp:effectExtent l="0" t="0" r="14605" b="18415"/>
            <wp:docPr id="41" name="Chart 41">
              <a:extLst xmlns:a="http://schemas.openxmlformats.org/drawingml/2006/main">
                <a:ext uri="{FF2B5EF4-FFF2-40B4-BE49-F238E27FC236}">
                  <a16:creationId xmlns:a16="http://schemas.microsoft.com/office/drawing/2014/main" id="{76E94E4D-6512-439A-8C00-CCDA8ECB6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7B49D6" w14:textId="3B146627" w:rsidR="00C70006" w:rsidRDefault="00141D19" w:rsidP="00601FAB">
      <w:r>
        <w:t>Graph</w:t>
      </w:r>
      <w:r w:rsidR="00F03DD4">
        <w:t xml:space="preserve"> 12</w:t>
      </w:r>
      <w:r w:rsidR="00C70006">
        <w:t xml:space="preserve"> compares</w:t>
      </w:r>
      <w:r>
        <w:t xml:space="preserve"> cases where </w:t>
      </w:r>
      <w:r w:rsidR="00EF0F06">
        <w:t xml:space="preserve">personal </w:t>
      </w:r>
      <w:r>
        <w:t xml:space="preserve">possession and use of drugs is the only offence with cases where it is one of a number of offences. Between January 2010 and December 2020, there have been consistently fewer cases of adult diversion being used for multiple offences compared with where possession and use of drugs is the only offence. Both show a decrease in the early part of the decade but are relatively similar and flat for the second half of the decade. </w:t>
      </w:r>
    </w:p>
    <w:p w14:paraId="56615887" w14:textId="77777777" w:rsidR="00B920F3" w:rsidRDefault="00B920F3">
      <w:pPr>
        <w:rPr>
          <w:b/>
          <w:bCs/>
          <w:smallCaps/>
          <w:color w:val="44546A" w:themeColor="text2"/>
        </w:rPr>
      </w:pPr>
      <w:r>
        <w:br w:type="page"/>
      </w:r>
    </w:p>
    <w:p w14:paraId="4661353F" w14:textId="04CC15C9" w:rsidR="00141D19" w:rsidRDefault="00F03DD4" w:rsidP="00F03DD4">
      <w:pPr>
        <w:pStyle w:val="Caption"/>
      </w:pPr>
      <w:bookmarkStart w:id="145" w:name="_Toc75781239"/>
      <w:bookmarkStart w:id="146" w:name="_Toc77775995"/>
      <w:r>
        <w:lastRenderedPageBreak/>
        <w:t xml:space="preserve">Graph </w:t>
      </w:r>
      <w:fldSimple w:instr=" SEQ Figure \* ARABIC ">
        <w:r w:rsidR="00AA3031">
          <w:rPr>
            <w:noProof/>
          </w:rPr>
          <w:t>12</w:t>
        </w:r>
      </w:fldSimple>
      <w:r w:rsidR="00C70006">
        <w:t>. Adult diversion for personal possession and use of illegal drugs by number of charges</w:t>
      </w:r>
      <w:bookmarkEnd w:id="145"/>
      <w:bookmarkEnd w:id="146"/>
    </w:p>
    <w:p w14:paraId="11DAF6C0" w14:textId="1EC41A0A" w:rsidR="00141D19" w:rsidRDefault="003B7138" w:rsidP="00141D19">
      <w:r>
        <w:rPr>
          <w:noProof/>
        </w:rPr>
        <w:drawing>
          <wp:inline distT="0" distB="0" distL="0" distR="0" wp14:anchorId="18E0186B" wp14:editId="639E3ED2">
            <wp:extent cx="4829175" cy="29425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4829175" cy="2942590"/>
                    </a:xfrm>
                    <a:prstGeom prst="rect">
                      <a:avLst/>
                    </a:prstGeom>
                  </pic:spPr>
                </pic:pic>
              </a:graphicData>
            </a:graphic>
          </wp:inline>
        </w:drawing>
      </w:r>
    </w:p>
    <w:p w14:paraId="7B14312E" w14:textId="4A6EA5C9" w:rsidR="00141D19" w:rsidRDefault="00BB3C0B" w:rsidP="00141D19">
      <w:r w:rsidRPr="00F8002B">
        <w:t xml:space="preserve">Adult diversion data </w:t>
      </w:r>
      <w:r w:rsidR="00141D19" w:rsidRPr="00F8002B">
        <w:t>provide</w:t>
      </w:r>
      <w:r w:rsidRPr="00F8002B">
        <w:t>s</w:t>
      </w:r>
      <w:r w:rsidR="00141D19" w:rsidRPr="00F8002B">
        <w:t xml:space="preserve"> no indication </w:t>
      </w:r>
      <w:r w:rsidR="007D4F8A" w:rsidRPr="00F8002B">
        <w:t>of</w:t>
      </w:r>
      <w:r w:rsidR="00141D19" w:rsidRPr="00F8002B">
        <w:t xml:space="preserve"> the health-based approach to Police discretion amendment having affected the rate of prosecutions resulting in diversion, as these numbers were already trending downwards.</w:t>
      </w:r>
    </w:p>
    <w:p w14:paraId="4A85E676" w14:textId="77777777" w:rsidR="001943B2" w:rsidRDefault="00141D19" w:rsidP="00141D19">
      <w:r>
        <w:t xml:space="preserve">Total drug-related diversion numbers </w:t>
      </w:r>
      <w:r w:rsidR="007F69BD">
        <w:t>have declined over the last decade</w:t>
      </w:r>
      <w:r w:rsidR="00942A94">
        <w:t>, from 841 in 2010, to 87 in 2016, and</w:t>
      </w:r>
      <w:r w:rsidR="0047421B">
        <w:t xml:space="preserve"> 128 in 2020.  Adult diversions </w:t>
      </w:r>
      <w:r w:rsidR="001943B2">
        <w:t xml:space="preserve">slightly increased in 2017.  </w:t>
      </w:r>
    </w:p>
    <w:p w14:paraId="7D6C0538" w14:textId="73B8295C" w:rsidR="00141D19" w:rsidRDefault="001943B2" w:rsidP="00141D19">
      <w:r>
        <w:t>T</w:t>
      </w:r>
      <w:r w:rsidR="00141D19">
        <w:t xml:space="preserve">he majority of all drug-related diversions are cannabis-related personal possession and consumption charges. </w:t>
      </w:r>
    </w:p>
    <w:p w14:paraId="3411359F" w14:textId="1EBAC4EA" w:rsidR="00141D19" w:rsidRDefault="00141D19" w:rsidP="00141D19">
      <w:r>
        <w:t xml:space="preserve">Referrals to health services through </w:t>
      </w:r>
      <w:r w:rsidR="19B3C252">
        <w:t>a</w:t>
      </w:r>
      <w:r>
        <w:t xml:space="preserve">dult </w:t>
      </w:r>
      <w:r w:rsidR="2DCCF35E">
        <w:t>d</w:t>
      </w:r>
      <w:r>
        <w:t xml:space="preserve">iversion are discussed in the Referrals to Health Services section. </w:t>
      </w:r>
    </w:p>
    <w:p w14:paraId="7A6E3188" w14:textId="1747E3F9" w:rsidR="00141D19" w:rsidRDefault="00141D19" w:rsidP="00141D19">
      <w:pPr>
        <w:pStyle w:val="Heading3"/>
      </w:pPr>
      <w:bookmarkStart w:id="147" w:name="_Toc75781186"/>
      <w:bookmarkStart w:id="148" w:name="_Toc75952899"/>
      <w:bookmarkStart w:id="149" w:name="_Toc78186465"/>
      <w:r>
        <w:t>Prosecutions</w:t>
      </w:r>
      <w:bookmarkEnd w:id="147"/>
      <w:bookmarkEnd w:id="148"/>
      <w:bookmarkEnd w:id="149"/>
      <w:r>
        <w:t xml:space="preserve"> </w:t>
      </w:r>
    </w:p>
    <w:p w14:paraId="02B73897" w14:textId="016274BA" w:rsidR="008C7861" w:rsidRDefault="008C7861" w:rsidP="008C7861">
      <w:r>
        <w:t>Once Police have prosecuted a person there are a range of case outcomes that may result. If the prosecution is proved, outcomes include</w:t>
      </w:r>
      <w:r w:rsidR="62E7A968">
        <w:t>:</w:t>
      </w:r>
      <w:r>
        <w:t xml:space="preserve"> a conviction where a person is found to be, or pleads guilty, a youth court referral and conviction, a discharge without conviction, an adult diversion or a youth court discharge. If the prosecution is not proved, outcomes include a person being found not guilty or charges are withdrawn or dismissed. If a person is convicted, the </w:t>
      </w:r>
      <w:r w:rsidR="2E7D786E">
        <w:t>C</w:t>
      </w:r>
      <w:r>
        <w:t xml:space="preserve">ourt will proceed to sentencing which can include imprisonment, community sentences, monetary sentences, or deferment. </w:t>
      </w:r>
    </w:p>
    <w:p w14:paraId="04A5115B" w14:textId="67A2C79C" w:rsidR="002D299B" w:rsidRDefault="00B3097C" w:rsidP="005F3E0F">
      <w:r>
        <w:t xml:space="preserve">The review team </w:t>
      </w:r>
      <w:r w:rsidR="00A666B1">
        <w:t xml:space="preserve">analysed </w:t>
      </w:r>
      <w:r w:rsidR="00AB7709">
        <w:t>Ministry of Justice</w:t>
      </w:r>
      <w:r w:rsidR="00BC224F">
        <w:t xml:space="preserve"> </w:t>
      </w:r>
      <w:r w:rsidR="00F7373D">
        <w:t xml:space="preserve">data on </w:t>
      </w:r>
      <w:r w:rsidR="00BC224F">
        <w:t>prosecution outcome</w:t>
      </w:r>
      <w:r w:rsidR="008668F2">
        <w:t xml:space="preserve">, </w:t>
      </w:r>
      <w:r w:rsidR="00BC224F">
        <w:t xml:space="preserve">court volume </w:t>
      </w:r>
      <w:r w:rsidR="008668F2">
        <w:t xml:space="preserve">and health referral data.  </w:t>
      </w:r>
      <w:r w:rsidR="008119D9">
        <w:t>This data</w:t>
      </w:r>
      <w:r w:rsidR="00AB7709">
        <w:t xml:space="preserve"> showed</w:t>
      </w:r>
      <w:r w:rsidR="00F0387D">
        <w:t xml:space="preserve"> that most</w:t>
      </w:r>
      <w:r w:rsidR="00EC6853">
        <w:t xml:space="preserve"> drug prosecutions and convictions relate to cannabis and methamphetamine</w:t>
      </w:r>
      <w:r w:rsidR="00F35A7D">
        <w:t xml:space="preserve">.  </w:t>
      </w:r>
    </w:p>
    <w:p w14:paraId="1B33D541" w14:textId="09BCC33C" w:rsidR="00545ED9" w:rsidRDefault="00545ED9" w:rsidP="00545ED9">
      <w:r w:rsidRPr="0076209A">
        <w:t xml:space="preserve">There has been a clear downward trend in Police prosecution for personal possession and use of all substances over the past decade. The trend was most noticeable between 2010 and 2012 and had flattened in the </w:t>
      </w:r>
      <w:r w:rsidR="0036607B" w:rsidRPr="0076209A">
        <w:t>three</w:t>
      </w:r>
      <w:r w:rsidRPr="0076209A">
        <w:t xml:space="preserve"> years leading to the 2019 amendment. We can see another noticeable decrease in Police prosecutions in 2019. This is a strong indicator there has been an operational shift in that time.</w:t>
      </w:r>
      <w:r>
        <w:t xml:space="preserve"> </w:t>
      </w:r>
    </w:p>
    <w:p w14:paraId="69346C83" w14:textId="77777777" w:rsidR="00545ED9" w:rsidRDefault="00545ED9" w:rsidP="005F3E0F"/>
    <w:p w14:paraId="331F7AC3" w14:textId="6E463D7F" w:rsidR="00D72D1E" w:rsidRDefault="005F3E0F" w:rsidP="005F3E0F">
      <w:r>
        <w:lastRenderedPageBreak/>
        <w:t xml:space="preserve">Prosecution for methamphetamine was trending upward until </w:t>
      </w:r>
      <w:r w:rsidR="001C72BD">
        <w:t>2019</w:t>
      </w:r>
      <w:r w:rsidR="00DB723F" w:rsidRPr="0076209A">
        <w:t>,</w:t>
      </w:r>
      <w:r w:rsidRPr="0076209A">
        <w:t xml:space="preserve"> when it took </w:t>
      </w:r>
      <w:r w:rsidR="00545A11" w:rsidRPr="0076209A">
        <w:t xml:space="preserve">a </w:t>
      </w:r>
      <w:r w:rsidRPr="0076209A">
        <w:t>sharp decline</w:t>
      </w:r>
      <w:r w:rsidR="00545ED9" w:rsidRPr="0076209A">
        <w:t xml:space="preserve"> (895</w:t>
      </w:r>
      <w:r w:rsidR="003813BA" w:rsidRPr="0076209A">
        <w:t xml:space="preserve"> prosecutions for possession and use of methamphetamine</w:t>
      </w:r>
      <w:r w:rsidR="00EC501B" w:rsidRPr="0076209A">
        <w:t xml:space="preserve"> in 2010</w:t>
      </w:r>
      <w:r w:rsidR="00545ED9" w:rsidRPr="0076209A">
        <w:t>, 1,</w:t>
      </w:r>
      <w:r w:rsidR="003813BA" w:rsidRPr="0076209A">
        <w:t>204</w:t>
      </w:r>
      <w:r w:rsidR="00545ED9" w:rsidRPr="0076209A">
        <w:t xml:space="preserve"> </w:t>
      </w:r>
      <w:r w:rsidR="00EC501B" w:rsidRPr="0076209A">
        <w:t>in 2019,</w:t>
      </w:r>
      <w:r w:rsidR="00545ED9" w:rsidRPr="0076209A">
        <w:t xml:space="preserve"> and </w:t>
      </w:r>
      <w:r w:rsidR="00EC501B" w:rsidRPr="0076209A">
        <w:t>in 2020).</w:t>
      </w:r>
      <w:r w:rsidR="007A75CC">
        <w:t xml:space="preserve"> </w:t>
      </w:r>
      <w:r w:rsidR="00295B8E">
        <w:t xml:space="preserve">This is </w:t>
      </w:r>
      <w:r w:rsidR="00F7373D">
        <w:t xml:space="preserve">likely </w:t>
      </w:r>
      <w:r w:rsidR="007C1102">
        <w:t xml:space="preserve">due to changes in Police </w:t>
      </w:r>
      <w:r w:rsidR="00E10BC6">
        <w:t xml:space="preserve">prosecution decisions </w:t>
      </w:r>
      <w:r w:rsidR="00F7373D">
        <w:t xml:space="preserve">rather than changes </w:t>
      </w:r>
      <w:r w:rsidR="00E10BC6">
        <w:t xml:space="preserve">in the use of </w:t>
      </w:r>
      <w:r w:rsidR="00F7373D">
        <w:t>m</w:t>
      </w:r>
      <w:r w:rsidR="001A6819" w:rsidRPr="00887B83">
        <w:t>ethamphetamine</w:t>
      </w:r>
      <w:r w:rsidR="00E54327">
        <w:t xml:space="preserve">. </w:t>
      </w:r>
      <w:r w:rsidR="00D72D1E" w:rsidRPr="00887B83">
        <w:t>Methamphetamine</w:t>
      </w:r>
      <w:r w:rsidR="001A6819" w:rsidRPr="00887B83">
        <w:t xml:space="preserve"> seizure volumes have remained steady over the last five years</w:t>
      </w:r>
      <w:r w:rsidR="001A6819">
        <w:t xml:space="preserve"> </w:t>
      </w:r>
      <w:r w:rsidR="00C8240C">
        <w:t>and</w:t>
      </w:r>
      <w:r w:rsidR="00C8240C" w:rsidRPr="00C8240C">
        <w:t xml:space="preserve"> </w:t>
      </w:r>
      <w:r w:rsidR="00C8240C" w:rsidRPr="00887B83">
        <w:t>wastewater levels remain stable indicating methamphetamine is readily available throughout New Zealand.</w:t>
      </w:r>
      <w:r w:rsidR="001A6819" w:rsidRPr="00887B83">
        <w:t xml:space="preserve"> </w:t>
      </w:r>
    </w:p>
    <w:p w14:paraId="560E6B83" w14:textId="6460C6DB" w:rsidR="007454EB" w:rsidRDefault="00DF7558" w:rsidP="005F3E0F">
      <w:r>
        <w:t>Prosecution for cannabis, on the other hand, has been trending downward for the past decade and the amendment appears to have had little if any impact on this trend (2010 3887 prosecutions for possession and use of cannabis, 2019 649</w:t>
      </w:r>
      <w:r w:rsidRPr="003813BA">
        <w:t xml:space="preserve"> </w:t>
      </w:r>
      <w:r>
        <w:t>prosecutions for possession and use of cannabis, 2020 530 prosecutions for possession and use of cannabis</w:t>
      </w:r>
      <w:r w:rsidR="00162D16">
        <w:t xml:space="preserve">. </w:t>
      </w:r>
    </w:p>
    <w:p w14:paraId="023F5E1B" w14:textId="620E9AF7" w:rsidR="000C1733" w:rsidRDefault="000C1733" w:rsidP="000C1733">
      <w:r>
        <w:t xml:space="preserve">The </w:t>
      </w:r>
      <w:r w:rsidR="1622EE0B">
        <w:t>C</w:t>
      </w:r>
      <w:r>
        <w:t xml:space="preserve">ourt volumes </w:t>
      </w:r>
      <w:r w:rsidR="515042E2">
        <w:t>of cases</w:t>
      </w:r>
      <w:r>
        <w:t xml:space="preserve"> for </w:t>
      </w:r>
      <w:r w:rsidR="0091144E">
        <w:t xml:space="preserve">personal </w:t>
      </w:r>
      <w:r>
        <w:t>possession and use of all substances has decreased between 2018 and 2020 by 24</w:t>
      </w:r>
      <w:r w:rsidR="000149F9">
        <w:t xml:space="preserve"> percent</w:t>
      </w:r>
      <w:r w:rsidR="001043D0">
        <w:t xml:space="preserve"> </w:t>
      </w:r>
      <w:r>
        <w:t xml:space="preserve">compared with a </w:t>
      </w:r>
      <w:r w:rsidR="002959A4">
        <w:t>three</w:t>
      </w:r>
      <w:r w:rsidR="000149F9">
        <w:t xml:space="preserve"> percent</w:t>
      </w:r>
      <w:r>
        <w:t xml:space="preserve"> increase between 2016 and 2018 indicating an operational shift in </w:t>
      </w:r>
      <w:r w:rsidR="00BE4036">
        <w:t>P</w:t>
      </w:r>
      <w:r>
        <w:t xml:space="preserve">olice prosecution behaviour prior to the amendment. </w:t>
      </w:r>
    </w:p>
    <w:p w14:paraId="5409D94B" w14:textId="53DA99BC" w:rsidR="000C1733" w:rsidRDefault="000C1733" w:rsidP="000C1733">
      <w:r>
        <w:t xml:space="preserve">Prosecution outcomes reflect this shift with conviction numbers also trending down. Conviction numbers for </w:t>
      </w:r>
      <w:r w:rsidR="006268C6">
        <w:t xml:space="preserve">personal </w:t>
      </w:r>
      <w:r>
        <w:t>use and possession of all drugs decreased between 2018 and 2020 by 30</w:t>
      </w:r>
      <w:r w:rsidR="000149F9">
        <w:t xml:space="preserve"> percent</w:t>
      </w:r>
      <w:r>
        <w:t xml:space="preserve"> indicating a sentencing shift by the courts. </w:t>
      </w:r>
    </w:p>
    <w:p w14:paraId="7FCE9FF8" w14:textId="5B307835" w:rsidR="006B0074" w:rsidRDefault="000C1733" w:rsidP="006B0074">
      <w:r w:rsidRPr="0076209A">
        <w:t xml:space="preserve">The decrease in prosecution for </w:t>
      </w:r>
      <w:r w:rsidR="00821CB9" w:rsidRPr="0076209A">
        <w:t xml:space="preserve">personal </w:t>
      </w:r>
      <w:r w:rsidRPr="0076209A">
        <w:t xml:space="preserve">use and possession for all drugs </w:t>
      </w:r>
      <w:r w:rsidR="00760C98" w:rsidRPr="0076209A">
        <w:t>h</w:t>
      </w:r>
      <w:r w:rsidRPr="0076209A">
        <w:t>as not been applied e</w:t>
      </w:r>
      <w:r w:rsidR="00DB3D71" w:rsidRPr="0076209A">
        <w:t>venly</w:t>
      </w:r>
      <w:r w:rsidRPr="0076209A">
        <w:t xml:space="preserve"> with Māori seeing a decrease of 21</w:t>
      </w:r>
      <w:r w:rsidR="000149F9" w:rsidRPr="0076209A">
        <w:t xml:space="preserve"> percent</w:t>
      </w:r>
      <w:r w:rsidRPr="0076209A">
        <w:t xml:space="preserve"> compared with a decrease of 26</w:t>
      </w:r>
      <w:r w:rsidR="000149F9" w:rsidRPr="0076209A">
        <w:t xml:space="preserve"> percent</w:t>
      </w:r>
      <w:r w:rsidRPr="0076209A">
        <w:t xml:space="preserve"> for non-Māori.</w:t>
      </w:r>
      <w:r>
        <w:t xml:space="preserve"> </w:t>
      </w:r>
      <w:r w:rsidR="00D96238">
        <w:br/>
      </w:r>
    </w:p>
    <w:p w14:paraId="2FE421D9" w14:textId="314B10AD" w:rsidR="00D96238" w:rsidRPr="0076209A" w:rsidRDefault="00F03DD4" w:rsidP="00F03DD4">
      <w:pPr>
        <w:pStyle w:val="Caption"/>
      </w:pPr>
      <w:bookmarkStart w:id="150" w:name="_Toc75943058"/>
      <w:bookmarkStart w:id="151" w:name="_Toc77776097"/>
      <w:r w:rsidRPr="0076209A">
        <w:t xml:space="preserve">Table </w:t>
      </w:r>
      <w:fldSimple w:instr=" SEQ Table \* ARABIC ">
        <w:r w:rsidR="00AA3031">
          <w:rPr>
            <w:noProof/>
          </w:rPr>
          <w:t>1</w:t>
        </w:r>
      </w:fldSimple>
      <w:r w:rsidR="006B0074" w:rsidRPr="0076209A">
        <w:t>.</w:t>
      </w:r>
      <w:r w:rsidR="00DF7558" w:rsidRPr="0076209A">
        <w:t>Prosecutions for methamphetamine and cannabis possession and use</w:t>
      </w:r>
      <w:bookmarkEnd w:id="150"/>
      <w:bookmarkEnd w:id="151"/>
    </w:p>
    <w:tbl>
      <w:tblPr>
        <w:tblW w:w="9993" w:type="dxa"/>
        <w:tblLook w:val="04A0" w:firstRow="1" w:lastRow="0" w:firstColumn="1" w:lastColumn="0" w:noHBand="0" w:noVBand="1"/>
      </w:tblPr>
      <w:tblGrid>
        <w:gridCol w:w="2046"/>
        <w:gridCol w:w="717"/>
        <w:gridCol w:w="717"/>
        <w:gridCol w:w="717"/>
        <w:gridCol w:w="717"/>
        <w:gridCol w:w="717"/>
        <w:gridCol w:w="676"/>
        <w:gridCol w:w="676"/>
        <w:gridCol w:w="717"/>
        <w:gridCol w:w="717"/>
        <w:gridCol w:w="894"/>
        <w:gridCol w:w="676"/>
        <w:gridCol w:w="6"/>
      </w:tblGrid>
      <w:tr w:rsidR="00D96238" w:rsidRPr="0076209A" w14:paraId="508F675B" w14:textId="77777777" w:rsidTr="00D96238">
        <w:trPr>
          <w:gridAfter w:val="1"/>
          <w:wAfter w:w="6" w:type="dxa"/>
          <w:trHeight w:val="151"/>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BEE1" w14:textId="77777777" w:rsidR="00D96238" w:rsidRPr="0076209A" w:rsidRDefault="00D96238" w:rsidP="00D96238">
            <w:pPr>
              <w:spacing w:after="0" w:line="240" w:lineRule="auto"/>
              <w:jc w:val="center"/>
              <w:rPr>
                <w:rFonts w:ascii="Calibri" w:eastAsia="Times New Roman" w:hAnsi="Calibri" w:cs="Calibri"/>
                <w:color w:val="000000"/>
                <w:lang w:eastAsia="en-NZ"/>
              </w:rPr>
            </w:pPr>
            <w:r w:rsidRPr="0076209A">
              <w:rPr>
                <w:rFonts w:ascii="Calibri" w:eastAsia="Times New Roman" w:hAnsi="Calibri" w:cs="Calibri"/>
                <w:color w:val="000000"/>
                <w:lang w:eastAsia="en-NZ"/>
              </w:rPr>
              <w:t> </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7410"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857BD"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AC3E8"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A516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0D5A0"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2014</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0175E"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D4C7C"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C1B00"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47C54"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29E99"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2019</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B25A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2020</w:t>
            </w:r>
          </w:p>
        </w:tc>
      </w:tr>
      <w:tr w:rsidR="00D96238" w:rsidRPr="0076209A" w14:paraId="59E1CADF" w14:textId="77777777" w:rsidTr="00963007">
        <w:trPr>
          <w:gridAfter w:val="1"/>
          <w:wAfter w:w="6" w:type="dxa"/>
          <w:trHeight w:val="151"/>
        </w:trPr>
        <w:tc>
          <w:tcPr>
            <w:tcW w:w="9987"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8C5691" w14:textId="234F0880" w:rsidR="00D96238" w:rsidRPr="0076209A" w:rsidRDefault="00D96238" w:rsidP="00D96238">
            <w:pPr>
              <w:spacing w:after="0" w:line="240" w:lineRule="auto"/>
              <w:rPr>
                <w:rFonts w:ascii="Calibri" w:eastAsia="Times New Roman" w:hAnsi="Calibri" w:cs="Calibri"/>
                <w:color w:val="000000"/>
                <w:lang w:eastAsia="en-NZ"/>
              </w:rPr>
            </w:pPr>
            <w:r w:rsidRPr="0076209A">
              <w:rPr>
                <w:rFonts w:ascii="Calibri" w:eastAsia="Times New Roman" w:hAnsi="Calibri" w:cs="Calibri"/>
                <w:color w:val="000000"/>
                <w:lang w:eastAsia="en-NZ"/>
              </w:rPr>
              <w:t>Total Prosecutions</w:t>
            </w:r>
          </w:p>
        </w:tc>
      </w:tr>
      <w:tr w:rsidR="00D96238" w:rsidRPr="0076209A" w14:paraId="11AF6404" w14:textId="77777777" w:rsidTr="00D96238">
        <w:trPr>
          <w:gridAfter w:val="1"/>
          <w:wAfter w:w="6" w:type="dxa"/>
          <w:trHeight w:val="151"/>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B0D1" w14:textId="77777777" w:rsidR="00D96238" w:rsidRPr="0076209A" w:rsidRDefault="00D96238" w:rsidP="00D96238">
            <w:pPr>
              <w:spacing w:after="0" w:line="240" w:lineRule="auto"/>
              <w:jc w:val="center"/>
              <w:rPr>
                <w:rFonts w:ascii="Calibri" w:eastAsia="Times New Roman" w:hAnsi="Calibri" w:cs="Calibri"/>
                <w:color w:val="000000"/>
                <w:lang w:eastAsia="en-NZ"/>
              </w:rPr>
            </w:pPr>
            <w:r w:rsidRPr="0076209A">
              <w:rPr>
                <w:rFonts w:ascii="Calibri" w:eastAsia="Times New Roman" w:hAnsi="Calibri" w:cs="Calibri"/>
                <w:color w:val="000000"/>
                <w:lang w:eastAsia="en-NZ"/>
              </w:rPr>
              <w:t>Methamphetamine</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4FC19AA"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895</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6671837E"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732</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BCE78D4"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799</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AFE20C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696</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723B476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735</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672E4813"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835</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758FFA3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996</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F7EC66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1,098</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D8D4C49"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1,154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20B44637"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1,204</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3EF68093"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990</w:t>
            </w:r>
          </w:p>
        </w:tc>
      </w:tr>
      <w:tr w:rsidR="00D96238" w:rsidRPr="0076209A" w14:paraId="62B8E1FE" w14:textId="77777777" w:rsidTr="00D96238">
        <w:trPr>
          <w:gridAfter w:val="1"/>
          <w:wAfter w:w="6" w:type="dxa"/>
          <w:trHeight w:val="151"/>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CB46A" w14:textId="77777777" w:rsidR="00D96238" w:rsidRPr="0076209A" w:rsidRDefault="00D96238" w:rsidP="00D96238">
            <w:pPr>
              <w:spacing w:after="0" w:line="240" w:lineRule="auto"/>
              <w:rPr>
                <w:rFonts w:ascii="Calibri" w:eastAsia="Times New Roman" w:hAnsi="Calibri" w:cs="Calibri"/>
                <w:color w:val="000000"/>
                <w:lang w:eastAsia="en-NZ"/>
              </w:rPr>
            </w:pPr>
            <w:r w:rsidRPr="0076209A">
              <w:rPr>
                <w:rFonts w:ascii="Calibri" w:eastAsia="Times New Roman" w:hAnsi="Calibri" w:cs="Calibri"/>
                <w:color w:val="000000"/>
                <w:lang w:eastAsia="en-NZ"/>
              </w:rPr>
              <w:t>Cannabis</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66C1FA82"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3887</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3AB42950"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2698</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CA1C4F8"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2137</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50E2EF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1509</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1C2BAD0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1224</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529947A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1000</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5D5E72EF"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875</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0B6C2D8B"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872</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01BE47E"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762</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59199C0D"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649</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684763D"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530</w:t>
            </w:r>
          </w:p>
        </w:tc>
      </w:tr>
      <w:tr w:rsidR="00D96238" w:rsidRPr="0076209A" w14:paraId="6D666020" w14:textId="77777777" w:rsidTr="00D96238">
        <w:trPr>
          <w:trHeight w:val="151"/>
        </w:trPr>
        <w:tc>
          <w:tcPr>
            <w:tcW w:w="9993"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2B353" w14:textId="77777777" w:rsidR="00D96238" w:rsidRPr="0076209A" w:rsidRDefault="00D96238" w:rsidP="00D96238">
            <w:pPr>
              <w:spacing w:after="0" w:line="240" w:lineRule="auto"/>
              <w:rPr>
                <w:rFonts w:ascii="Calibri" w:eastAsia="Times New Roman" w:hAnsi="Calibri" w:cs="Calibri"/>
                <w:color w:val="000000"/>
                <w:lang w:eastAsia="en-NZ"/>
              </w:rPr>
            </w:pPr>
            <w:r w:rsidRPr="0076209A">
              <w:rPr>
                <w:rFonts w:ascii="Calibri" w:eastAsia="Times New Roman" w:hAnsi="Calibri" w:cs="Calibri"/>
                <w:color w:val="000000"/>
                <w:lang w:eastAsia="en-NZ"/>
              </w:rPr>
              <w:t>First court appearance</w:t>
            </w:r>
          </w:p>
        </w:tc>
      </w:tr>
      <w:tr w:rsidR="00D96238" w:rsidRPr="0076209A" w14:paraId="242D5F1A" w14:textId="77777777" w:rsidTr="00D96238">
        <w:trPr>
          <w:gridAfter w:val="1"/>
          <w:wAfter w:w="6" w:type="dxa"/>
          <w:trHeight w:val="151"/>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97D3" w14:textId="77777777" w:rsidR="00D96238" w:rsidRPr="0076209A" w:rsidRDefault="00D96238" w:rsidP="00D96238">
            <w:pPr>
              <w:spacing w:after="0" w:line="240" w:lineRule="auto"/>
              <w:jc w:val="center"/>
              <w:rPr>
                <w:rFonts w:ascii="Calibri" w:eastAsia="Times New Roman" w:hAnsi="Calibri" w:cs="Calibri"/>
                <w:color w:val="000000"/>
                <w:lang w:eastAsia="en-NZ"/>
              </w:rPr>
            </w:pPr>
            <w:r w:rsidRPr="0076209A">
              <w:rPr>
                <w:rFonts w:ascii="Calibri" w:eastAsia="Times New Roman" w:hAnsi="Calibri" w:cs="Calibri"/>
                <w:color w:val="000000"/>
                <w:lang w:eastAsia="en-NZ"/>
              </w:rPr>
              <w:t>Methamphetamine</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C073838"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784</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2C04898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649</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451C909A"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712</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73E44340"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625</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16F4F04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650</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DB1A6C8"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691</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33583733"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800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A4A729F"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921</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751C287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990</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54490385"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998</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1018D844"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808</w:t>
            </w:r>
          </w:p>
        </w:tc>
      </w:tr>
      <w:tr w:rsidR="00D96238" w:rsidRPr="00D96238" w14:paraId="4CFC7E26" w14:textId="77777777" w:rsidTr="00D96238">
        <w:trPr>
          <w:gridAfter w:val="1"/>
          <w:wAfter w:w="6" w:type="dxa"/>
          <w:trHeight w:val="151"/>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3D56" w14:textId="77777777" w:rsidR="00D96238" w:rsidRPr="0076209A" w:rsidRDefault="00D96238" w:rsidP="00D96238">
            <w:pPr>
              <w:spacing w:after="0" w:line="240" w:lineRule="auto"/>
              <w:rPr>
                <w:rFonts w:ascii="Calibri" w:eastAsia="Times New Roman" w:hAnsi="Calibri" w:cs="Calibri"/>
                <w:color w:val="000000"/>
                <w:lang w:eastAsia="en-NZ"/>
              </w:rPr>
            </w:pPr>
            <w:r w:rsidRPr="0076209A">
              <w:rPr>
                <w:rFonts w:ascii="Calibri" w:eastAsia="Times New Roman" w:hAnsi="Calibri" w:cs="Calibri"/>
                <w:color w:val="000000"/>
                <w:lang w:eastAsia="en-NZ"/>
              </w:rPr>
              <w:t>Cannabis</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338C04BA"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3,382</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1D9E3069"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2,313</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8B3E1A4"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1,865</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07E444F2"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1,321</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B35AEC3"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1,032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357E472E"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879</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87D8F78"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784</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13F5CDAE"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750</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57E052F1"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665</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53DAD35F" w14:textId="77777777" w:rsidR="00D96238" w:rsidRPr="0076209A"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567</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0CEBCBF7" w14:textId="77777777" w:rsidR="00D96238" w:rsidRPr="00D96238" w:rsidRDefault="00D96238" w:rsidP="00D96238">
            <w:pPr>
              <w:spacing w:after="0" w:line="240" w:lineRule="auto"/>
              <w:jc w:val="right"/>
              <w:rPr>
                <w:rFonts w:ascii="Calibri" w:eastAsia="Times New Roman" w:hAnsi="Calibri" w:cs="Calibri"/>
                <w:color w:val="000000"/>
                <w:lang w:eastAsia="en-NZ"/>
              </w:rPr>
            </w:pPr>
            <w:r w:rsidRPr="0076209A">
              <w:rPr>
                <w:rFonts w:ascii="Calibri" w:eastAsia="Times New Roman" w:hAnsi="Calibri" w:cs="Calibri"/>
                <w:color w:val="000000"/>
                <w:lang w:eastAsia="en-NZ"/>
              </w:rPr>
              <w:t>467</w:t>
            </w:r>
          </w:p>
        </w:tc>
      </w:tr>
    </w:tbl>
    <w:p w14:paraId="55FDF292" w14:textId="12CA9D94" w:rsidR="000C259A" w:rsidRDefault="007950EB">
      <w:pPr>
        <w:rPr>
          <w:rFonts w:asciiTheme="majorHAnsi" w:eastAsiaTheme="majorEastAsia" w:hAnsiTheme="majorHAnsi" w:cstheme="majorBidi"/>
          <w:color w:val="2F5496" w:themeColor="accent1" w:themeShade="BF"/>
          <w:sz w:val="32"/>
          <w:szCs w:val="32"/>
        </w:rPr>
      </w:pPr>
      <w:bookmarkStart w:id="152" w:name="_Toc73717630"/>
      <w:bookmarkEnd w:id="137"/>
      <w:r>
        <w:rPr>
          <w:noProof/>
        </w:rPr>
        <w:lastRenderedPageBreak/>
        <mc:AlternateContent>
          <mc:Choice Requires="wps">
            <w:drawing>
              <wp:anchor distT="45720" distB="45720" distL="114300" distR="114300" simplePos="0" relativeHeight="251658245" behindDoc="0" locked="0" layoutInCell="1" allowOverlap="1" wp14:anchorId="160AF3FB" wp14:editId="3D3EA226">
                <wp:simplePos x="0" y="0"/>
                <wp:positionH relativeFrom="margin">
                  <wp:posOffset>0</wp:posOffset>
                </wp:positionH>
                <wp:positionV relativeFrom="paragraph">
                  <wp:posOffset>417195</wp:posOffset>
                </wp:positionV>
                <wp:extent cx="5957887" cy="3156903"/>
                <wp:effectExtent l="0" t="0" r="2413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887" cy="3156903"/>
                        </a:xfrm>
                        <a:prstGeom prst="rect">
                          <a:avLst/>
                        </a:prstGeom>
                        <a:solidFill>
                          <a:srgbClr val="FFFFFF"/>
                        </a:solidFill>
                        <a:ln w="9525">
                          <a:solidFill>
                            <a:srgbClr val="000000"/>
                          </a:solidFill>
                          <a:miter lim="800000"/>
                          <a:headEnd/>
                          <a:tailEnd/>
                        </a:ln>
                      </wps:spPr>
                      <wps:txbx>
                        <w:txbxContent>
                          <w:p w14:paraId="26795321" w14:textId="77777777" w:rsidR="00F14026" w:rsidRPr="00A260E6" w:rsidRDefault="00F14026" w:rsidP="007950EB">
                            <w:pPr>
                              <w:rPr>
                                <w:b/>
                                <w:bCs/>
                              </w:rPr>
                            </w:pPr>
                            <w:r w:rsidRPr="00A260E6">
                              <w:rPr>
                                <w:b/>
                                <w:bCs/>
                              </w:rPr>
                              <w:t>Key finding</w:t>
                            </w:r>
                            <w:r>
                              <w:rPr>
                                <w:b/>
                                <w:bCs/>
                              </w:rPr>
                              <w:t>(</w:t>
                            </w:r>
                            <w:r w:rsidRPr="00A260E6">
                              <w:rPr>
                                <w:b/>
                                <w:bCs/>
                              </w:rPr>
                              <w:t>s</w:t>
                            </w:r>
                            <w:r>
                              <w:rPr>
                                <w:b/>
                                <w:bCs/>
                              </w:rPr>
                              <w:t>)</w:t>
                            </w:r>
                            <w:r w:rsidRPr="00A260E6">
                              <w:rPr>
                                <w:b/>
                                <w:bCs/>
                              </w:rPr>
                              <w:t xml:space="preserve">: </w:t>
                            </w:r>
                          </w:p>
                          <w:p w14:paraId="1776ED6F" w14:textId="77777777" w:rsidR="00F140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For all drugs, </w:t>
                            </w:r>
                            <w:r>
                              <w:rPr>
                                <w:rStyle w:val="normaltextrun1"/>
                                <w:rFonts w:ascii="Calibri" w:eastAsia="Times New Roman" w:hAnsi="Calibri" w:cs="Calibri"/>
                                <w:sz w:val="22"/>
                                <w:szCs w:val="22"/>
                                <w:lang w:eastAsia="en-NZ"/>
                              </w:rPr>
                              <w:t>adult diversion prosecutions show a continued downward trend that began prior to the 2019 amendment.</w:t>
                            </w:r>
                          </w:p>
                          <w:p w14:paraId="487F8A00" w14:textId="77777777" w:rsidR="00F140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875D2D">
                              <w:rPr>
                                <w:rStyle w:val="normaltextrun1"/>
                                <w:rFonts w:ascii="Calibri" w:eastAsia="Times New Roman" w:hAnsi="Calibri" w:cs="Calibri"/>
                                <w:sz w:val="22"/>
                                <w:szCs w:val="22"/>
                                <w:lang w:eastAsia="en-NZ"/>
                              </w:rPr>
                              <w:t xml:space="preserve">The majority of drug-related adult diversions are cannabis-related personal possession and consumption charges.  An investigation into individual cases might identify there is still some progress to be made in helping people using other substances to access the scheme. </w:t>
                            </w:r>
                            <w:r>
                              <w:rPr>
                                <w:rStyle w:val="normaltextrun1"/>
                                <w:rFonts w:ascii="Calibri" w:eastAsia="Times New Roman" w:hAnsi="Calibri" w:cs="Calibri"/>
                                <w:sz w:val="22"/>
                                <w:szCs w:val="22"/>
                                <w:lang w:eastAsia="en-NZ"/>
                              </w:rPr>
                              <w:t xml:space="preserve"> </w:t>
                            </w:r>
                          </w:p>
                          <w:p w14:paraId="5FDDF133" w14:textId="77777777"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w:t>
                            </w:r>
                            <w:r w:rsidRPr="00F7373D">
                              <w:rPr>
                                <w:rStyle w:val="normaltextrun1"/>
                                <w:rFonts w:ascii="Calibri" w:eastAsia="Times New Roman" w:hAnsi="Calibri" w:cs="Calibri"/>
                                <w:sz w:val="22"/>
                                <w:szCs w:val="22"/>
                                <w:lang w:eastAsia="en-NZ"/>
                              </w:rPr>
                              <w:t xml:space="preserve">here has been a significant drop from 2010 to 2020 in the percentage of cases subject to adult diversion where personal possession and use was their first offence.  </w:t>
                            </w:r>
                            <w:r>
                              <w:rPr>
                                <w:rStyle w:val="normaltextrun1"/>
                                <w:rFonts w:ascii="Calibri" w:eastAsia="Times New Roman" w:hAnsi="Calibri" w:cs="Calibri"/>
                                <w:sz w:val="22"/>
                                <w:szCs w:val="22"/>
                                <w:lang w:eastAsia="en-NZ"/>
                              </w:rPr>
                              <w:t xml:space="preserve"> </w:t>
                            </w:r>
                          </w:p>
                          <w:p w14:paraId="607B0B24" w14:textId="77777777"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There has been a steady and significant decrease in Police prosecutions for first time offences for personal possession and use of cannabis since 2010 to 2020.</w:t>
                            </w:r>
                          </w:p>
                          <w:p w14:paraId="6B674735" w14:textId="77777777" w:rsidR="00F14026" w:rsidRDefault="00F14026" w:rsidP="00B603EC">
                            <w:pPr>
                              <w:pStyle w:val="CommentText"/>
                              <w:numPr>
                                <w:ilvl w:val="0"/>
                                <w:numId w:val="7"/>
                              </w:numPr>
                              <w:textAlignment w:val="baseline"/>
                            </w:pPr>
                            <w:r w:rsidRPr="00F7373D">
                              <w:rPr>
                                <w:rStyle w:val="normaltextrun1"/>
                                <w:rFonts w:ascii="Calibri" w:eastAsia="Times New Roman" w:hAnsi="Calibri" w:cs="Calibri"/>
                                <w:sz w:val="22"/>
                                <w:szCs w:val="22"/>
                                <w:lang w:eastAsia="en-NZ"/>
                              </w:rPr>
                              <w:t xml:space="preserve">Prosecutions for first time offences for personal possession and use of methamphetamine rose slightly between 2010 and 2019 but has been decreasing steadily since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AF3FB" id="_x0000_s1029" type="#_x0000_t202" style="position:absolute;margin-left:0;margin-top:32.85pt;width:469.1pt;height:248.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">
                <v:textbox>
                  <w:txbxContent>
                    <w:p w14:paraId="26795321" w14:textId="77777777" w:rsidR="00F14026" w:rsidRPr="00A260E6" w:rsidRDefault="00F14026" w:rsidP="007950EB">
                      <w:pPr>
                        <w:rPr>
                          <w:b/>
                          <w:bCs/>
                        </w:rPr>
                      </w:pPr>
                      <w:r w:rsidRPr="00A260E6">
                        <w:rPr>
                          <w:b/>
                          <w:bCs/>
                        </w:rPr>
                        <w:t>Key finding</w:t>
                      </w:r>
                      <w:r>
                        <w:rPr>
                          <w:b/>
                          <w:bCs/>
                        </w:rPr>
                        <w:t>(</w:t>
                      </w:r>
                      <w:r w:rsidRPr="00A260E6">
                        <w:rPr>
                          <w:b/>
                          <w:bCs/>
                        </w:rPr>
                        <w:t>s</w:t>
                      </w:r>
                      <w:r>
                        <w:rPr>
                          <w:b/>
                          <w:bCs/>
                        </w:rPr>
                        <w:t>)</w:t>
                      </w:r>
                      <w:r w:rsidRPr="00A260E6">
                        <w:rPr>
                          <w:b/>
                          <w:bCs/>
                        </w:rPr>
                        <w:t xml:space="preserve">: </w:t>
                      </w:r>
                    </w:p>
                    <w:p w14:paraId="1776ED6F" w14:textId="77777777" w:rsidR="00F140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 xml:space="preserve">For all drugs, </w:t>
                      </w:r>
                      <w:r>
                        <w:rPr>
                          <w:rStyle w:val="normaltextrun1"/>
                          <w:rFonts w:ascii="Calibri" w:eastAsia="Times New Roman" w:hAnsi="Calibri" w:cs="Calibri"/>
                          <w:sz w:val="22"/>
                          <w:szCs w:val="22"/>
                          <w:lang w:eastAsia="en-NZ"/>
                        </w:rPr>
                        <w:t>adult diversion prosecutions show a continued downward trend that began prior to the 2019 amendment.</w:t>
                      </w:r>
                    </w:p>
                    <w:p w14:paraId="487F8A00" w14:textId="77777777" w:rsidR="00F14026"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875D2D">
                        <w:rPr>
                          <w:rStyle w:val="normaltextrun1"/>
                          <w:rFonts w:ascii="Calibri" w:eastAsia="Times New Roman" w:hAnsi="Calibri" w:cs="Calibri"/>
                          <w:sz w:val="22"/>
                          <w:szCs w:val="22"/>
                          <w:lang w:eastAsia="en-NZ"/>
                        </w:rPr>
                        <w:t xml:space="preserve">The majority of drug-related adult diversions are cannabis-related personal possession and consumption charges.  An investigation into individual cases might identify there is still some progress to be made in helping people using other substances to access the scheme. </w:t>
                      </w:r>
                      <w:r>
                        <w:rPr>
                          <w:rStyle w:val="normaltextrun1"/>
                          <w:rFonts w:ascii="Calibri" w:eastAsia="Times New Roman" w:hAnsi="Calibri" w:cs="Calibri"/>
                          <w:sz w:val="22"/>
                          <w:szCs w:val="22"/>
                          <w:lang w:eastAsia="en-NZ"/>
                        </w:rPr>
                        <w:t xml:space="preserve"> </w:t>
                      </w:r>
                    </w:p>
                    <w:p w14:paraId="5FDDF133" w14:textId="77777777"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T</w:t>
                      </w:r>
                      <w:r w:rsidRPr="00F7373D">
                        <w:rPr>
                          <w:rStyle w:val="normaltextrun1"/>
                          <w:rFonts w:ascii="Calibri" w:eastAsia="Times New Roman" w:hAnsi="Calibri" w:cs="Calibri"/>
                          <w:sz w:val="22"/>
                          <w:szCs w:val="22"/>
                          <w:lang w:eastAsia="en-NZ"/>
                        </w:rPr>
                        <w:t xml:space="preserve">here has been a significant drop from 2010 to 2020 in the percentage of cases subject to adult diversion where personal possession and use was their first offence.  </w:t>
                      </w:r>
                      <w:r>
                        <w:rPr>
                          <w:rStyle w:val="normaltextrun1"/>
                          <w:rFonts w:ascii="Calibri" w:eastAsia="Times New Roman" w:hAnsi="Calibri" w:cs="Calibri"/>
                          <w:sz w:val="22"/>
                          <w:szCs w:val="22"/>
                          <w:lang w:eastAsia="en-NZ"/>
                        </w:rPr>
                        <w:t xml:space="preserve"> </w:t>
                      </w:r>
                    </w:p>
                    <w:p w14:paraId="607B0B24" w14:textId="77777777" w:rsidR="00F14026" w:rsidRPr="00F7373D" w:rsidRDefault="00F14026"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7373D">
                        <w:rPr>
                          <w:rStyle w:val="normaltextrun1"/>
                          <w:rFonts w:ascii="Calibri" w:eastAsia="Times New Roman" w:hAnsi="Calibri" w:cs="Calibri"/>
                          <w:sz w:val="22"/>
                          <w:szCs w:val="22"/>
                          <w:lang w:eastAsia="en-NZ"/>
                        </w:rPr>
                        <w:t>There has been a steady and significant decrease in Police prosecutions for first time offences for personal possession and use of cannabis since 2010 to 2020.</w:t>
                      </w:r>
                    </w:p>
                    <w:p w14:paraId="6B674735" w14:textId="77777777" w:rsidR="00F14026" w:rsidRDefault="00F14026" w:rsidP="00B603EC">
                      <w:pPr>
                        <w:pStyle w:val="CommentText"/>
                        <w:numPr>
                          <w:ilvl w:val="0"/>
                          <w:numId w:val="7"/>
                        </w:numPr>
                        <w:textAlignment w:val="baseline"/>
                      </w:pPr>
                      <w:r w:rsidRPr="00F7373D">
                        <w:rPr>
                          <w:rStyle w:val="normaltextrun1"/>
                          <w:rFonts w:ascii="Calibri" w:eastAsia="Times New Roman" w:hAnsi="Calibri" w:cs="Calibri"/>
                          <w:sz w:val="22"/>
                          <w:szCs w:val="22"/>
                          <w:lang w:eastAsia="en-NZ"/>
                        </w:rPr>
                        <w:t xml:space="preserve">Prosecutions for first time offences for personal possession and use of methamphetamine rose slightly between 2010 and 2019 but has been decreasing steadily since 2019. </w:t>
                      </w:r>
                    </w:p>
                  </w:txbxContent>
                </v:textbox>
                <w10:wrap type="square" anchorx="margin"/>
              </v:shape>
            </w:pict>
          </mc:Fallback>
        </mc:AlternateContent>
      </w:r>
      <w:bookmarkStart w:id="153" w:name="_Toc75781187"/>
      <w:bookmarkStart w:id="154" w:name="_Hlk75772273"/>
    </w:p>
    <w:p w14:paraId="48650BC5" w14:textId="70646184" w:rsidR="00E870A8" w:rsidRDefault="000E1338" w:rsidP="00142829">
      <w:pPr>
        <w:pStyle w:val="Heading2"/>
      </w:pPr>
      <w:bookmarkStart w:id="155" w:name="_Toc75952900"/>
      <w:bookmarkStart w:id="156" w:name="_Toc78186466"/>
      <w:r>
        <w:t>Equity: p</w:t>
      </w:r>
      <w:r w:rsidR="00403CF6">
        <w:t>roceedings and prosecutions by ethnicity</w:t>
      </w:r>
      <w:bookmarkEnd w:id="153"/>
      <w:bookmarkEnd w:id="155"/>
      <w:bookmarkEnd w:id="156"/>
      <w:r w:rsidR="00403CF6">
        <w:t xml:space="preserve"> </w:t>
      </w:r>
    </w:p>
    <w:p w14:paraId="4CE14B90" w14:textId="45B12DF2" w:rsidR="00172E76" w:rsidRDefault="005659BA" w:rsidP="004844FE">
      <w:r>
        <w:t>We consider that t</w:t>
      </w:r>
      <w:r w:rsidR="001F5C8F">
        <w:t>he amendment would be delivering equitable</w:t>
      </w:r>
      <w:r w:rsidR="006355C8">
        <w:t xml:space="preserve"> </w:t>
      </w:r>
      <w:r w:rsidR="001F5C8F">
        <w:t>outcome</w:t>
      </w:r>
      <w:r w:rsidR="0084668B">
        <w:t>s</w:t>
      </w:r>
      <w:r w:rsidR="00877445">
        <w:t xml:space="preserve"> if </w:t>
      </w:r>
      <w:r w:rsidR="00581331">
        <w:t>people are being treated fairly, and</w:t>
      </w:r>
      <w:r w:rsidR="00877445">
        <w:t xml:space="preserve"> </w:t>
      </w:r>
      <w:r w:rsidR="006355C8">
        <w:t>all groups of people get the same access to heal</w:t>
      </w:r>
      <w:r w:rsidR="00675D0A">
        <w:t xml:space="preserve">th services they </w:t>
      </w:r>
      <w:r w:rsidR="00201EDE">
        <w:t>need,</w:t>
      </w:r>
      <w:r w:rsidR="00675D0A">
        <w:t xml:space="preserve"> and </w:t>
      </w:r>
      <w:r w:rsidR="00733195">
        <w:t xml:space="preserve">all </w:t>
      </w:r>
      <w:r w:rsidR="00675D0A">
        <w:t>avoid the harm from the entering the justice system</w:t>
      </w:r>
      <w:r w:rsidR="00B05887">
        <w:t xml:space="preserve"> at the same </w:t>
      </w:r>
      <w:r w:rsidR="00855472">
        <w:t>levels.</w:t>
      </w:r>
      <w:r w:rsidR="00597E8C">
        <w:t xml:space="preserve"> It would also mean that </w:t>
      </w:r>
      <w:r w:rsidR="00417B24">
        <w:t>there are options for non-</w:t>
      </w:r>
      <w:r w:rsidR="01386D8D">
        <w:t>C</w:t>
      </w:r>
      <w:r w:rsidR="00417B24">
        <w:t xml:space="preserve">ourt action that best suit the </w:t>
      </w:r>
      <w:r w:rsidR="00237128">
        <w:t xml:space="preserve">needs </w:t>
      </w:r>
      <w:r w:rsidR="002F1B3B">
        <w:t xml:space="preserve">of </w:t>
      </w:r>
      <w:r w:rsidR="006F00EF">
        <w:t>the individual</w:t>
      </w:r>
      <w:r w:rsidR="00D056E0">
        <w:t xml:space="preserve"> and are culturally appropriate</w:t>
      </w:r>
      <w:r w:rsidR="00D221FD">
        <w:t>.</w:t>
      </w:r>
      <w:r w:rsidR="00021530">
        <w:t xml:space="preserve"> </w:t>
      </w:r>
    </w:p>
    <w:p w14:paraId="0F751A0E" w14:textId="40D84746" w:rsidR="005E2DB2" w:rsidRDefault="005E2DB2" w:rsidP="005E2DB2">
      <w:r>
        <w:rPr>
          <w:rFonts w:cs="Arial"/>
          <w:szCs w:val="24"/>
        </w:rPr>
        <w:t>P</w:t>
      </w:r>
      <w:r w:rsidRPr="00E71C25">
        <w:rPr>
          <w:rFonts w:cs="Arial"/>
          <w:szCs w:val="24"/>
        </w:rPr>
        <w:t xml:space="preserve">olice officers apply discretion in dealing with a wide range of matters, including </w:t>
      </w:r>
      <w:r>
        <w:rPr>
          <w:rFonts w:cs="Arial"/>
          <w:szCs w:val="24"/>
        </w:rPr>
        <w:t xml:space="preserve">whether to prosecute for personal </w:t>
      </w:r>
      <w:r w:rsidRPr="00E71C25">
        <w:rPr>
          <w:rFonts w:cs="Arial"/>
          <w:szCs w:val="24"/>
        </w:rPr>
        <w:t xml:space="preserve">possession </w:t>
      </w:r>
      <w:r>
        <w:rPr>
          <w:rFonts w:cs="Arial"/>
          <w:szCs w:val="24"/>
        </w:rPr>
        <w:t>and</w:t>
      </w:r>
      <w:r w:rsidRPr="00E71C25">
        <w:rPr>
          <w:rFonts w:cs="Arial"/>
          <w:szCs w:val="24"/>
        </w:rPr>
        <w:t xml:space="preserve"> use of drugs.</w:t>
      </w:r>
      <w:r>
        <w:rPr>
          <w:rFonts w:cs="Arial"/>
          <w:szCs w:val="24"/>
        </w:rPr>
        <w:t xml:space="preserve"> </w:t>
      </w:r>
      <w:r w:rsidRPr="00A55318">
        <w:rPr>
          <w:rFonts w:cs="Arial"/>
          <w:szCs w:val="24"/>
        </w:rPr>
        <w:t xml:space="preserve">The use of discretion is central to promoting just outcomes as it allows an officer </w:t>
      </w:r>
      <w:r>
        <w:rPr>
          <w:rFonts w:cs="Arial"/>
          <w:szCs w:val="24"/>
        </w:rPr>
        <w:t xml:space="preserve">flexibility </w:t>
      </w:r>
      <w:r w:rsidRPr="00A55318">
        <w:rPr>
          <w:rFonts w:cs="Arial"/>
          <w:szCs w:val="24"/>
        </w:rPr>
        <w:t xml:space="preserve">to consider </w:t>
      </w:r>
      <w:r>
        <w:rPr>
          <w:rFonts w:cs="Arial"/>
          <w:szCs w:val="24"/>
        </w:rPr>
        <w:t xml:space="preserve">the circumstances of the person they are in contact with, including </w:t>
      </w:r>
      <w:r w:rsidRPr="00A55318">
        <w:rPr>
          <w:rFonts w:cs="Arial"/>
          <w:szCs w:val="24"/>
        </w:rPr>
        <w:t>aggravating and mitigating factors</w:t>
      </w:r>
      <w:r>
        <w:rPr>
          <w:rFonts w:cs="Arial"/>
          <w:szCs w:val="24"/>
        </w:rPr>
        <w:t>,</w:t>
      </w:r>
      <w:r w:rsidRPr="00A55318">
        <w:rPr>
          <w:rFonts w:cs="Arial"/>
          <w:szCs w:val="24"/>
        </w:rPr>
        <w:t xml:space="preserve"> when deciding whether to use non-court action</w:t>
      </w:r>
      <w:r>
        <w:rPr>
          <w:rFonts w:cs="Arial"/>
          <w:szCs w:val="24"/>
        </w:rPr>
        <w:t xml:space="preserve"> or to prosecute</w:t>
      </w:r>
      <w:r w:rsidRPr="00A55318">
        <w:rPr>
          <w:rFonts w:cs="Arial"/>
          <w:szCs w:val="24"/>
        </w:rPr>
        <w:t>.</w:t>
      </w:r>
      <w:r>
        <w:t xml:space="preserve"> Discretion is supported by </w:t>
      </w:r>
      <w:r w:rsidR="00227E65">
        <w:t>P</w:t>
      </w:r>
      <w:r>
        <w:t xml:space="preserve">olice instructions and guidelines.  </w:t>
      </w:r>
    </w:p>
    <w:p w14:paraId="2A3AE64D" w14:textId="60786445" w:rsidR="009B19D2" w:rsidRDefault="00D70045" w:rsidP="004844FE">
      <w:r>
        <w:t xml:space="preserve">Police have been investing </w:t>
      </w:r>
      <w:r w:rsidR="00C22188">
        <w:t xml:space="preserve">in </w:t>
      </w:r>
      <w:r w:rsidR="008A4A95">
        <w:t xml:space="preserve">new approaches to policing for some time. </w:t>
      </w:r>
      <w:r w:rsidR="00B23684">
        <w:t xml:space="preserve">The </w:t>
      </w:r>
      <w:r w:rsidR="00B23684" w:rsidRPr="009E0464">
        <w:t xml:space="preserve">Prevention First </w:t>
      </w:r>
      <w:r w:rsidR="00B23684">
        <w:t xml:space="preserve">approach </w:t>
      </w:r>
      <w:r w:rsidR="00B23684" w:rsidRPr="009E0464">
        <w:t xml:space="preserve">and Reframe work programme </w:t>
      </w:r>
      <w:r w:rsidR="00B23684">
        <w:t>are</w:t>
      </w:r>
      <w:r w:rsidR="00B23684" w:rsidRPr="009E0464">
        <w:t xml:space="preserve"> expected to improve outcomes for Māori and Pacific communities through the focus on harm prevention and </w:t>
      </w:r>
      <w:r w:rsidR="00B23684">
        <w:t xml:space="preserve">the </w:t>
      </w:r>
      <w:r w:rsidR="00B23684" w:rsidRPr="009E0464">
        <w:t>use of supported resolutions</w:t>
      </w:r>
      <w:r w:rsidR="00C71821">
        <w:t>.</w:t>
      </w:r>
    </w:p>
    <w:p w14:paraId="259036A4" w14:textId="63B223C8" w:rsidR="008D2C54" w:rsidRDefault="008D2C54" w:rsidP="004844FE">
      <w:r>
        <w:t>The</w:t>
      </w:r>
      <w:r w:rsidR="00F16036">
        <w:t xml:space="preserve"> data only picks up recorded interactions with Police</w:t>
      </w:r>
      <w:r w:rsidR="00436F59">
        <w:t xml:space="preserve">, and we understand that most individuals are not asked for their ethnicity when </w:t>
      </w:r>
      <w:r w:rsidR="00895B9D">
        <w:t>records are made</w:t>
      </w:r>
      <w:r w:rsidR="00F16036">
        <w:t xml:space="preserve">.  </w:t>
      </w:r>
    </w:p>
    <w:p w14:paraId="653A41F7" w14:textId="2F4F6880" w:rsidR="009A5BAA" w:rsidRDefault="009A5BAA" w:rsidP="000C259A">
      <w:bookmarkStart w:id="157" w:name="_Hlk75772311"/>
      <w:r w:rsidRPr="000C259A">
        <w:t xml:space="preserve">The data shows </w:t>
      </w:r>
      <w:bookmarkEnd w:id="154"/>
      <w:r w:rsidRPr="000C259A">
        <w:t>that</w:t>
      </w:r>
      <w:r w:rsidR="009233ED" w:rsidRPr="000C259A">
        <w:t>,</w:t>
      </w:r>
      <w:r w:rsidRPr="000C259A">
        <w:t xml:space="preserve"> once identified by Police</w:t>
      </w:r>
      <w:r w:rsidR="009233ED" w:rsidRPr="000C259A">
        <w:t>,</w:t>
      </w:r>
      <w:r w:rsidRPr="000C259A">
        <w:t xml:space="preserve"> the outcomes for M</w:t>
      </w:r>
      <w:r w:rsidR="000C20C8" w:rsidRPr="000C259A">
        <w:t>ā</w:t>
      </w:r>
      <w:r w:rsidRPr="000C259A">
        <w:t>ori and non-M</w:t>
      </w:r>
      <w:r w:rsidR="000C20C8" w:rsidRPr="000C259A">
        <w:t>ā</w:t>
      </w:r>
      <w:r w:rsidRPr="000C259A">
        <w:t>ori are closely aligned</w:t>
      </w:r>
      <w:r>
        <w:t>.</w:t>
      </w:r>
    </w:p>
    <w:p w14:paraId="1533980E" w14:textId="77777777" w:rsidR="009603F0" w:rsidRDefault="009603F0" w:rsidP="000C259A"/>
    <w:p w14:paraId="5616DF2B" w14:textId="77777777" w:rsidR="009603F0" w:rsidRDefault="009603F0" w:rsidP="000C259A"/>
    <w:p w14:paraId="2FD1ED7E" w14:textId="77777777" w:rsidR="009603F0" w:rsidRDefault="009603F0" w:rsidP="000C259A"/>
    <w:p w14:paraId="64BCDD3F" w14:textId="77777777" w:rsidR="009603F0" w:rsidRDefault="009603F0" w:rsidP="000C259A"/>
    <w:p w14:paraId="3C36C283" w14:textId="77777777" w:rsidR="009603F0" w:rsidRDefault="009603F0" w:rsidP="000C259A"/>
    <w:p w14:paraId="028D1E6C" w14:textId="6F24124A" w:rsidR="00EF69DA" w:rsidRDefault="00F03DD4" w:rsidP="00F03DD4">
      <w:pPr>
        <w:pStyle w:val="Caption"/>
      </w:pPr>
      <w:bookmarkStart w:id="158" w:name="_Toc75943059"/>
      <w:bookmarkStart w:id="159" w:name="_Toc77776098"/>
      <w:r>
        <w:lastRenderedPageBreak/>
        <w:t xml:space="preserve">Table </w:t>
      </w:r>
      <w:fldSimple w:instr=" SEQ Table \* ARABIC ">
        <w:r w:rsidR="00AA3031">
          <w:rPr>
            <w:noProof/>
          </w:rPr>
          <w:t>2</w:t>
        </w:r>
      </w:fldSimple>
      <w:r w:rsidR="00BE53AB">
        <w:t xml:space="preserve"> </w:t>
      </w:r>
      <w:r w:rsidR="00361DAA">
        <w:t xml:space="preserve">Court action </w:t>
      </w:r>
      <w:r w:rsidR="00740211">
        <w:t>Māori</w:t>
      </w:r>
      <w:r w:rsidR="004A3135">
        <w:t xml:space="preserve"> and Non-Māori</w:t>
      </w:r>
      <w:r w:rsidR="00E6334A">
        <w:t xml:space="preserve"> before and after the Amendment</w:t>
      </w:r>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4730F3" w14:paraId="4086CB60" w14:textId="77777777" w:rsidTr="00222DD2">
        <w:trPr>
          <w:trHeight w:val="550"/>
        </w:trPr>
        <w:tc>
          <w:tcPr>
            <w:tcW w:w="4591" w:type="dxa"/>
            <w:shd w:val="clear" w:color="auto" w:fill="B4C6E7" w:themeFill="accent1" w:themeFillTint="66"/>
          </w:tcPr>
          <w:p w14:paraId="625D6848" w14:textId="6E17ED15" w:rsidR="004730F3" w:rsidRPr="00222DD2" w:rsidRDefault="004730F3" w:rsidP="00A05D15">
            <w:r w:rsidRPr="00605812">
              <w:rPr>
                <w:b/>
              </w:rPr>
              <w:t xml:space="preserve">Pre-amendment </w:t>
            </w:r>
            <w:r w:rsidRPr="00605812">
              <w:t>(Q1 2016 to Q2 2019)</w:t>
            </w:r>
          </w:p>
        </w:tc>
        <w:tc>
          <w:tcPr>
            <w:tcW w:w="4591" w:type="dxa"/>
            <w:shd w:val="clear" w:color="auto" w:fill="B4C6E7" w:themeFill="accent1" w:themeFillTint="66"/>
          </w:tcPr>
          <w:p w14:paraId="34767C2E" w14:textId="0CFDE2F6" w:rsidR="004730F3" w:rsidRPr="004730F3" w:rsidRDefault="004730F3" w:rsidP="00A05D15">
            <w:r w:rsidRPr="00605812">
              <w:rPr>
                <w:b/>
              </w:rPr>
              <w:t xml:space="preserve">Post-amendment </w:t>
            </w:r>
            <w:r w:rsidRPr="00605812">
              <w:t>(Q3 2019 to Q1 2021</w:t>
            </w:r>
            <w:r w:rsidR="00222DD2">
              <w:t>)</w:t>
            </w:r>
          </w:p>
        </w:tc>
      </w:tr>
      <w:tr w:rsidR="009A5BAA" w14:paraId="03ED4569" w14:textId="77777777" w:rsidTr="004730F3">
        <w:tc>
          <w:tcPr>
            <w:tcW w:w="4591" w:type="dxa"/>
          </w:tcPr>
          <w:p w14:paraId="2FAFFC1F" w14:textId="77777777" w:rsidR="009A5BAA" w:rsidRPr="00605812" w:rsidRDefault="009A5BAA" w:rsidP="00A05D15">
            <w:r w:rsidRPr="00605812">
              <w:t>Māori first time offence - 16% court action</w:t>
            </w:r>
          </w:p>
          <w:p w14:paraId="67658552" w14:textId="2B431B24" w:rsidR="009A5BAA" w:rsidRPr="00605812" w:rsidRDefault="009A5BAA" w:rsidP="00A05D15">
            <w:r w:rsidRPr="00605812">
              <w:t>Māori repeat offence - 44% court action</w:t>
            </w:r>
          </w:p>
        </w:tc>
        <w:tc>
          <w:tcPr>
            <w:tcW w:w="4591" w:type="dxa"/>
          </w:tcPr>
          <w:p w14:paraId="5BA9C33D" w14:textId="77777777" w:rsidR="009A5BAA" w:rsidRPr="00605812" w:rsidRDefault="009A5BAA" w:rsidP="00A05D15">
            <w:r w:rsidRPr="00605812">
              <w:t>Māori first time offence - 9% court action</w:t>
            </w:r>
          </w:p>
          <w:p w14:paraId="1AB3EF3A" w14:textId="77777777" w:rsidR="009A5BAA" w:rsidRPr="00605812" w:rsidRDefault="009A5BAA" w:rsidP="00A05D15">
            <w:pPr>
              <w:rPr>
                <w:b/>
              </w:rPr>
            </w:pPr>
            <w:r w:rsidRPr="00605812">
              <w:t>Māori repeat offence - 30% court action</w:t>
            </w:r>
          </w:p>
        </w:tc>
      </w:tr>
      <w:tr w:rsidR="009A5BAA" w14:paraId="75D40BA3" w14:textId="77777777" w:rsidTr="00222DD2">
        <w:trPr>
          <w:trHeight w:val="760"/>
        </w:trPr>
        <w:tc>
          <w:tcPr>
            <w:tcW w:w="4591" w:type="dxa"/>
          </w:tcPr>
          <w:p w14:paraId="6B6E0B91" w14:textId="77777777" w:rsidR="009A5BAA" w:rsidRPr="00605812" w:rsidRDefault="009A5BAA" w:rsidP="00A05D15">
            <w:r w:rsidRPr="00605812">
              <w:t>Non-Māori first time offence - 17% court action</w:t>
            </w:r>
          </w:p>
          <w:p w14:paraId="68139F55" w14:textId="67D30945" w:rsidR="009A5BAA" w:rsidRPr="00605812" w:rsidRDefault="009A5BAA" w:rsidP="00A05D15">
            <w:r w:rsidRPr="00605812">
              <w:t>Non- Māori repeat offence - 44% court action</w:t>
            </w:r>
          </w:p>
        </w:tc>
        <w:tc>
          <w:tcPr>
            <w:tcW w:w="4591" w:type="dxa"/>
          </w:tcPr>
          <w:p w14:paraId="17235B42" w14:textId="77777777" w:rsidR="009A5BAA" w:rsidRPr="00605812" w:rsidRDefault="009A5BAA" w:rsidP="00A05D15">
            <w:r w:rsidRPr="00605812">
              <w:t>Non-Māori first time offence - 11% court action</w:t>
            </w:r>
          </w:p>
          <w:p w14:paraId="4270A0C2" w14:textId="77777777" w:rsidR="009A5BAA" w:rsidRPr="00605812" w:rsidRDefault="009A5BAA" w:rsidP="00A05D15">
            <w:r w:rsidRPr="00605812">
              <w:t>Non-Māori repeat offence - 29% court action</w:t>
            </w:r>
          </w:p>
        </w:tc>
      </w:tr>
    </w:tbl>
    <w:p w14:paraId="40920589" w14:textId="77777777" w:rsidR="0065718F" w:rsidRDefault="0065718F" w:rsidP="00C950B2">
      <w:pPr>
        <w:pStyle w:val="Heading3"/>
      </w:pPr>
      <w:bookmarkStart w:id="160" w:name="_Toc75781188"/>
      <w:bookmarkStart w:id="161" w:name="_Toc75952901"/>
      <w:bookmarkEnd w:id="157"/>
    </w:p>
    <w:p w14:paraId="7294FA62" w14:textId="5C40E4AF" w:rsidR="006E4FD8" w:rsidRDefault="006E4FD8" w:rsidP="00C950B2">
      <w:pPr>
        <w:pStyle w:val="Heading3"/>
      </w:pPr>
      <w:bookmarkStart w:id="162" w:name="_Toc78186467"/>
      <w:r>
        <w:t>Non-</w:t>
      </w:r>
      <w:r w:rsidR="23618010">
        <w:t>C</w:t>
      </w:r>
      <w:r>
        <w:t xml:space="preserve">ourt </w:t>
      </w:r>
      <w:r w:rsidR="00762668">
        <w:t>p</w:t>
      </w:r>
      <w:r>
        <w:t xml:space="preserve">roceedings by </w:t>
      </w:r>
      <w:r w:rsidR="00762668">
        <w:t>e</w:t>
      </w:r>
      <w:r>
        <w:t>thnicity</w:t>
      </w:r>
      <w:bookmarkEnd w:id="160"/>
      <w:bookmarkEnd w:id="161"/>
      <w:bookmarkEnd w:id="162"/>
    </w:p>
    <w:p w14:paraId="58566CAC" w14:textId="309CD0D1" w:rsidR="006E4FD8" w:rsidRDefault="0042052D" w:rsidP="006E4FD8">
      <w:r>
        <w:t>G</w:t>
      </w:r>
      <w:r w:rsidR="006E4FD8">
        <w:t>raph</w:t>
      </w:r>
      <w:r>
        <w:t xml:space="preserve"> </w:t>
      </w:r>
      <w:r w:rsidR="00F03DD4">
        <w:t xml:space="preserve">13 </w:t>
      </w:r>
      <w:r w:rsidR="006E4FD8">
        <w:t>shows the percentage of proceedings for</w:t>
      </w:r>
      <w:r w:rsidR="00BC3194">
        <w:t xml:space="preserve"> personal</w:t>
      </w:r>
      <w:r w:rsidR="006E4FD8">
        <w:t xml:space="preserve"> possession and use charges that are non-</w:t>
      </w:r>
      <w:r w:rsidR="03C3240C">
        <w:t>C</w:t>
      </w:r>
      <w:r w:rsidR="006E4FD8">
        <w:t xml:space="preserve">ourt versus </w:t>
      </w:r>
      <w:r w:rsidR="66EA766A">
        <w:t>C</w:t>
      </w:r>
      <w:r w:rsidR="006E4FD8">
        <w:t xml:space="preserve">ourt </w:t>
      </w:r>
      <w:r w:rsidR="00707733">
        <w:t xml:space="preserve">where </w:t>
      </w:r>
      <w:r w:rsidR="00167C17">
        <w:t xml:space="preserve">they are the most serious charge </w:t>
      </w:r>
      <w:r w:rsidR="006E4FD8">
        <w:t>for different ethnic groups. It includes all drugs and is drawn from Police proceedings data.</w:t>
      </w:r>
    </w:p>
    <w:p w14:paraId="0693F20E" w14:textId="7B5F476C" w:rsidR="006E4FD8" w:rsidRPr="003170C4" w:rsidRDefault="006E4FD8" w:rsidP="006E4FD8">
      <w:r>
        <w:t>This graph shows an upward trend in the use of non-</w:t>
      </w:r>
      <w:r w:rsidR="7ACF6237">
        <w:t>C</w:t>
      </w:r>
      <w:r>
        <w:t>ourt proceedings as a response to these offences for Māori. There is a marked increase in the third quarter of 2019, consistent with the timing of the amendment’s introduction, and this increase has been maintained. The change</w:t>
      </w:r>
      <w:r w:rsidR="00BA000B">
        <w:t xml:space="preserve"> observed</w:t>
      </w:r>
      <w:r>
        <w:t xml:space="preserve"> for M</w:t>
      </w:r>
      <w:r w:rsidRPr="08C350FA">
        <w:t>ā</w:t>
      </w:r>
      <w:r>
        <w:t xml:space="preserve">ori </w:t>
      </w:r>
      <w:r w:rsidR="0048649D" w:rsidRPr="0076209A">
        <w:t>appears to be</w:t>
      </w:r>
      <w:r w:rsidR="00BA000B" w:rsidRPr="0076209A">
        <w:t xml:space="preserve"> </w:t>
      </w:r>
      <w:r w:rsidRPr="0076209A">
        <w:t xml:space="preserve">less than </w:t>
      </w:r>
      <w:r w:rsidR="00BA000B" w:rsidRPr="0076209A">
        <w:t>has</w:t>
      </w:r>
      <w:r w:rsidR="00BA000B">
        <w:t xml:space="preserve"> been observed</w:t>
      </w:r>
      <w:r>
        <w:t xml:space="preserve"> for Europeans but is following the same trend.  </w:t>
      </w:r>
    </w:p>
    <w:p w14:paraId="730BF863" w14:textId="7F8B770D" w:rsidR="00814577" w:rsidRDefault="006E4FD8" w:rsidP="00574634">
      <w:r>
        <w:t xml:space="preserve">The numbers of Pacific people in this dataset are too small to find </w:t>
      </w:r>
      <w:r w:rsidR="00574634">
        <w:t xml:space="preserve">a meaningful </w:t>
      </w:r>
      <w:r>
        <w:t>data</w:t>
      </w:r>
      <w:r w:rsidR="6234D709">
        <w:t xml:space="preserve"> </w:t>
      </w:r>
      <w:r>
        <w:t>trend.</w:t>
      </w:r>
      <w:r w:rsidR="00976E32">
        <w:t xml:space="preserve"> </w:t>
      </w:r>
    </w:p>
    <w:p w14:paraId="340D3C19" w14:textId="6077C703" w:rsidR="006E4FD8" w:rsidRPr="00CB79B1" w:rsidRDefault="00F03DD4" w:rsidP="00222DD2">
      <w:bookmarkStart w:id="163" w:name="_Toc75781242"/>
      <w:bookmarkStart w:id="164" w:name="_Toc77775996"/>
      <w:r>
        <w:t xml:space="preserve">Graph </w:t>
      </w:r>
      <w:fldSimple w:instr=" SEQ Figure \* ARABIC ">
        <w:r w:rsidR="00AA3031">
          <w:rPr>
            <w:noProof/>
          </w:rPr>
          <w:t>13</w:t>
        </w:r>
      </w:fldSimple>
      <w:r w:rsidR="006E4FD8">
        <w:t xml:space="preserve"> </w:t>
      </w:r>
      <w:r w:rsidR="006E4FD8" w:rsidRPr="6E5E6F51">
        <w:t xml:space="preserve"> Non – court proceedings </w:t>
      </w:r>
      <w:r w:rsidR="006E4FD8">
        <w:t xml:space="preserve">by ethnicity </w:t>
      </w:r>
      <w:r w:rsidR="00BC3194">
        <w:t xml:space="preserve">personal </w:t>
      </w:r>
      <w:r w:rsidR="006E4FD8">
        <w:t xml:space="preserve">possession and or </w:t>
      </w:r>
      <w:r w:rsidR="006E4FD8" w:rsidRPr="00071297">
        <w:t>use most serious</w:t>
      </w:r>
      <w:r w:rsidR="006E4FD8">
        <w:t xml:space="preserve"> charge</w:t>
      </w:r>
      <w:bookmarkEnd w:id="163"/>
      <w:bookmarkEnd w:id="164"/>
      <w:r w:rsidR="006E4FD8" w:rsidRPr="6E5E6F51">
        <w:t xml:space="preserve"> </w:t>
      </w:r>
    </w:p>
    <w:p w14:paraId="7AC76C56" w14:textId="77777777" w:rsidR="006E4FD8" w:rsidRDefault="006E4FD8" w:rsidP="006E4FD8">
      <w:r>
        <w:rPr>
          <w:noProof/>
        </w:rPr>
        <w:drawing>
          <wp:inline distT="0" distB="0" distL="0" distR="0" wp14:anchorId="7C23DB69" wp14:editId="06A53852">
            <wp:extent cx="5009515" cy="2664662"/>
            <wp:effectExtent l="0" t="0" r="635" b="2540"/>
            <wp:docPr id="13" name="Chart 13">
              <a:extLst xmlns:a="http://schemas.openxmlformats.org/drawingml/2006/main">
                <a:ext uri="{FF2B5EF4-FFF2-40B4-BE49-F238E27FC236}">
                  <a16:creationId xmlns:a16="http://schemas.microsoft.com/office/drawing/2014/main" id="{85283F6D-49A6-4277-A1B7-6AAE085CF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C06D67" w14:textId="05AFB15A" w:rsidR="00E12133" w:rsidRDefault="000F1F1E" w:rsidP="00583D80">
      <w:r>
        <w:t xml:space="preserve">Graph </w:t>
      </w:r>
      <w:r w:rsidR="00F03DD4">
        <w:t>14</w:t>
      </w:r>
      <w:r w:rsidR="004152DB">
        <w:t xml:space="preserve"> </w:t>
      </w:r>
      <w:r w:rsidR="005B6388">
        <w:t>shows the percentage of proceedings for personal possession and use charges that are non-court versus court for different</w:t>
      </w:r>
      <w:r w:rsidR="00E12133">
        <w:t xml:space="preserve"> for all charges by </w:t>
      </w:r>
      <w:r w:rsidR="005B6388">
        <w:t>ethnic groups. It includes all drugs and is drawn from Police proceedings data</w:t>
      </w:r>
      <w:r w:rsidR="00E12133">
        <w:t>.</w:t>
      </w:r>
      <w:r w:rsidR="000D572F">
        <w:t xml:space="preserve"> </w:t>
      </w:r>
      <w:r w:rsidR="00CA7A9D">
        <w:t>The</w:t>
      </w:r>
      <w:r w:rsidR="00E12133">
        <w:t xml:space="preserve"> </w:t>
      </w:r>
      <w:r w:rsidR="00B33607">
        <w:t>g</w:t>
      </w:r>
      <w:r w:rsidR="00E12133">
        <w:t>rap</w:t>
      </w:r>
      <w:r w:rsidR="005959E5">
        <w:t>h shows</w:t>
      </w:r>
      <w:r w:rsidR="00CA7240">
        <w:t xml:space="preserve"> that there has </w:t>
      </w:r>
      <w:r w:rsidR="003C7EBF">
        <w:t>been an increase in the use of non-court proceeding</w:t>
      </w:r>
      <w:r w:rsidR="001D5E26">
        <w:t>s at the same level for both M</w:t>
      </w:r>
      <w:r w:rsidR="001D5E26">
        <w:rPr>
          <w:rFonts w:cstheme="minorHAnsi"/>
        </w:rPr>
        <w:t>ā</w:t>
      </w:r>
      <w:r w:rsidR="001D5E26">
        <w:t>ori and Europeans</w:t>
      </w:r>
      <w:r w:rsidR="007C16A0">
        <w:t xml:space="preserve"> since the amendment</w:t>
      </w:r>
      <w:r w:rsidR="007C2989">
        <w:t xml:space="preserve"> </w:t>
      </w:r>
      <w:r w:rsidR="000A0DF9">
        <w:t>(</w:t>
      </w:r>
      <w:r w:rsidR="007C2989">
        <w:t>39</w:t>
      </w:r>
      <w:r w:rsidR="000149F9">
        <w:t xml:space="preserve"> percent</w:t>
      </w:r>
      <w:r w:rsidR="00154AFC">
        <w:t xml:space="preserve"> Q2 2019 </w:t>
      </w:r>
      <w:r w:rsidR="007B63ED">
        <w:t>–</w:t>
      </w:r>
      <w:r w:rsidR="007C2989">
        <w:t xml:space="preserve"> 56</w:t>
      </w:r>
      <w:r w:rsidR="000149F9">
        <w:t xml:space="preserve"> percent</w:t>
      </w:r>
      <w:r w:rsidR="00154AFC">
        <w:t xml:space="preserve"> Q1</w:t>
      </w:r>
      <w:r w:rsidR="000E4D1B">
        <w:t xml:space="preserve"> 2021)</w:t>
      </w:r>
      <w:r w:rsidR="000F0839">
        <w:t>.</w:t>
      </w:r>
    </w:p>
    <w:p w14:paraId="1383A514" w14:textId="77777777" w:rsidR="000F0839" w:rsidRDefault="000F0839" w:rsidP="00583D80"/>
    <w:p w14:paraId="6689F2BF" w14:textId="77777777" w:rsidR="000F0839" w:rsidRDefault="000F0839" w:rsidP="00583D80"/>
    <w:p w14:paraId="4F94169A" w14:textId="189D5242" w:rsidR="006E4FD8" w:rsidRPr="00CB79B1" w:rsidRDefault="00F03DD4" w:rsidP="00F03DD4">
      <w:pPr>
        <w:pStyle w:val="Caption"/>
      </w:pPr>
      <w:bookmarkStart w:id="165" w:name="_Toc75781243"/>
      <w:bookmarkStart w:id="166" w:name="_Toc77775997"/>
      <w:r>
        <w:lastRenderedPageBreak/>
        <w:t xml:space="preserve">Graph </w:t>
      </w:r>
      <w:fldSimple w:instr=" SEQ Figure \* ARABIC ">
        <w:r w:rsidR="00AA3031">
          <w:rPr>
            <w:noProof/>
          </w:rPr>
          <w:t>14</w:t>
        </w:r>
      </w:fldSimple>
      <w:r w:rsidR="006E4FD8">
        <w:t>.</w:t>
      </w:r>
      <w:r w:rsidR="006E4FD8" w:rsidRPr="6E5E6F51">
        <w:t xml:space="preserve"> </w:t>
      </w:r>
      <w:r w:rsidR="00F4239B">
        <w:t xml:space="preserve">All </w:t>
      </w:r>
      <w:r w:rsidR="006E4FD8" w:rsidRPr="6E5E6F51">
        <w:t xml:space="preserve">Non – court proceedings </w:t>
      </w:r>
      <w:r w:rsidR="006E4FD8">
        <w:t xml:space="preserve">by ethnicity </w:t>
      </w:r>
      <w:r w:rsidR="00BC3194">
        <w:t xml:space="preserve">personal </w:t>
      </w:r>
      <w:r w:rsidR="006E4FD8">
        <w:t xml:space="preserve">possession and or </w:t>
      </w:r>
      <w:r w:rsidR="006E4FD8" w:rsidRPr="0094353A">
        <w:t>use not most serious</w:t>
      </w:r>
      <w:r w:rsidR="006E4FD8">
        <w:t xml:space="preserve"> charge</w:t>
      </w:r>
      <w:bookmarkEnd w:id="165"/>
      <w:bookmarkEnd w:id="166"/>
      <w:r w:rsidR="006E4FD8" w:rsidRPr="6E5E6F51">
        <w:t xml:space="preserve"> </w:t>
      </w:r>
    </w:p>
    <w:p w14:paraId="7F33F96B" w14:textId="77777777" w:rsidR="006E4FD8" w:rsidRDefault="006E4FD8" w:rsidP="006E4FD8">
      <w:pPr>
        <w:rPr>
          <w:b/>
        </w:rPr>
      </w:pPr>
      <w:r>
        <w:rPr>
          <w:noProof/>
        </w:rPr>
        <w:drawing>
          <wp:inline distT="0" distB="0" distL="0" distR="0" wp14:anchorId="0B6E47EE" wp14:editId="17C7DB95">
            <wp:extent cx="4695825" cy="2957512"/>
            <wp:effectExtent l="0" t="0" r="9525" b="14605"/>
            <wp:docPr id="6" name="Chart 6">
              <a:extLst xmlns:a="http://schemas.openxmlformats.org/drawingml/2006/main">
                <a:ext uri="{FF2B5EF4-FFF2-40B4-BE49-F238E27FC236}">
                  <a16:creationId xmlns:a16="http://schemas.microsoft.com/office/drawing/2014/main" id="{06604350-F413-47B9-80E2-4B0AF33E9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5EAF1E" w14:textId="31D99944" w:rsidR="00EF5AC1" w:rsidRDefault="00AC2C9D" w:rsidP="00AF5F1F">
      <w:pPr>
        <w:pStyle w:val="Heading3"/>
      </w:pPr>
      <w:bookmarkStart w:id="167" w:name="_Toc75781189"/>
      <w:bookmarkStart w:id="168" w:name="_Toc75952902"/>
      <w:bookmarkStart w:id="169" w:name="_Toc78186468"/>
      <w:r>
        <w:t xml:space="preserve">Prosecution </w:t>
      </w:r>
      <w:r w:rsidR="006F5AB6">
        <w:t>of</w:t>
      </w:r>
      <w:r>
        <w:t xml:space="preserve"> M</w:t>
      </w:r>
      <w:r>
        <w:rPr>
          <w:rFonts w:cstheme="minorHAnsi"/>
        </w:rPr>
        <w:t>ā</w:t>
      </w:r>
      <w:r>
        <w:t>ori and non-M</w:t>
      </w:r>
      <w:r>
        <w:rPr>
          <w:rFonts w:cstheme="minorHAnsi"/>
        </w:rPr>
        <w:t>ā</w:t>
      </w:r>
      <w:r>
        <w:t>ori for all drugs</w:t>
      </w:r>
      <w:bookmarkEnd w:id="152"/>
      <w:bookmarkEnd w:id="167"/>
      <w:bookmarkEnd w:id="168"/>
      <w:bookmarkEnd w:id="169"/>
    </w:p>
    <w:p w14:paraId="7130B28A" w14:textId="68F90333" w:rsidR="00F03DD4" w:rsidRDefault="0010090D" w:rsidP="00F03DD4">
      <w:pPr>
        <w:pStyle w:val="ListParagraph"/>
        <w:ind w:left="0"/>
        <w:rPr>
          <w:lang w:eastAsia="zh-CN"/>
        </w:rPr>
      </w:pPr>
      <w:r w:rsidRPr="0076209A">
        <w:t xml:space="preserve">Based on the raw data, </w:t>
      </w:r>
      <w:r w:rsidR="0054604C" w:rsidRPr="0076209A">
        <w:t xml:space="preserve">the proportion of </w:t>
      </w:r>
      <w:r w:rsidRPr="0076209A">
        <w:t>M</w:t>
      </w:r>
      <w:r w:rsidR="00996BA5" w:rsidRPr="0076209A">
        <w:t>āori</w:t>
      </w:r>
      <w:r w:rsidR="003252D8" w:rsidRPr="0076209A">
        <w:t xml:space="preserve"> </w:t>
      </w:r>
      <w:r w:rsidR="004C3A60" w:rsidRPr="0076209A">
        <w:t>who have</w:t>
      </w:r>
      <w:r w:rsidR="007C1F07" w:rsidRPr="0076209A">
        <w:t xml:space="preserve"> had</w:t>
      </w:r>
      <w:r w:rsidR="004C3A60" w:rsidRPr="0076209A">
        <w:t xml:space="preserve"> </w:t>
      </w:r>
      <w:r w:rsidR="00996BA5" w:rsidRPr="0076209A">
        <w:t>proceedings</w:t>
      </w:r>
      <w:r w:rsidR="00EA7BE7" w:rsidRPr="0076209A">
        <w:t xml:space="preserve"> </w:t>
      </w:r>
      <w:r w:rsidR="004C3A60" w:rsidRPr="0076209A">
        <w:t>taken against them</w:t>
      </w:r>
      <w:r w:rsidR="00364ED6" w:rsidRPr="0076209A">
        <w:t xml:space="preserve"> </w:t>
      </w:r>
      <w:r w:rsidR="00C41BB0" w:rsidRPr="0076209A">
        <w:t>(35 percent)</w:t>
      </w:r>
      <w:r w:rsidR="00364ED6" w:rsidRPr="0076209A">
        <w:t xml:space="preserve"> is </w:t>
      </w:r>
      <w:r w:rsidR="002A51B5" w:rsidRPr="0076209A">
        <w:t xml:space="preserve">higher than the proportion of </w:t>
      </w:r>
      <w:r w:rsidR="00282F0D" w:rsidRPr="0076209A">
        <w:t>M</w:t>
      </w:r>
      <w:r w:rsidR="005E00E9" w:rsidRPr="0076209A">
        <w:t>ā</w:t>
      </w:r>
      <w:r w:rsidR="00282F0D" w:rsidRPr="0076209A">
        <w:t>ori</w:t>
      </w:r>
      <w:r w:rsidR="00885715" w:rsidRPr="0076209A">
        <w:t xml:space="preserve"> </w:t>
      </w:r>
      <w:r w:rsidR="00D5211F" w:rsidRPr="0076209A">
        <w:t>in the wider population</w:t>
      </w:r>
      <w:r w:rsidR="00C41BB0" w:rsidRPr="0076209A">
        <w:t xml:space="preserve"> (16 percent)</w:t>
      </w:r>
      <w:r w:rsidR="005E00E9" w:rsidRPr="0076209A">
        <w:t>.</w:t>
      </w:r>
      <w:r w:rsidR="005E00E9">
        <w:t xml:space="preserve"> </w:t>
      </w:r>
      <w:r w:rsidR="00F03DD4">
        <w:t>However, the data does not control for age, self-reported drug use rates or any other variable, which impacts on the proportion of M</w:t>
      </w:r>
      <w:r w:rsidR="00F03DD4" w:rsidRPr="575E049E">
        <w:t>ā</w:t>
      </w:r>
      <w:r w:rsidR="00F03DD4">
        <w:t>ori.</w:t>
      </w:r>
    </w:p>
    <w:p w14:paraId="3EE1C20A" w14:textId="77777777" w:rsidR="007950EB" w:rsidRDefault="00F03DD4" w:rsidP="007950EB">
      <w:pPr>
        <w:rPr>
          <w:lang w:eastAsia="zh-CN"/>
        </w:rPr>
      </w:pPr>
      <w:r>
        <w:rPr>
          <w:lang w:eastAsia="zh-CN"/>
        </w:rPr>
        <w:t xml:space="preserve">Police is working with the University of Waikato on a major piece of work looking at how Police can ensure it delivers policing that is fair and equitable for all our communities. “Understanding Policing Delivery” will be a long-term research programme focussed on examining where bias may exist within Police policies, processes, and practices. The findings will inform Police work programmes and help it deliver on our commitment to </w:t>
      </w:r>
      <w:r w:rsidRPr="575E049E">
        <w:rPr>
          <w:lang w:eastAsia="zh-CN"/>
        </w:rPr>
        <w:t>M</w:t>
      </w:r>
      <w:r w:rsidRPr="575E049E">
        <w:t>ā</w:t>
      </w:r>
      <w:r w:rsidRPr="575E049E">
        <w:rPr>
          <w:lang w:eastAsia="zh-CN"/>
        </w:rPr>
        <w:t>ori</w:t>
      </w:r>
      <w:r>
        <w:rPr>
          <w:lang w:eastAsia="zh-CN"/>
        </w:rPr>
        <w:t>, and the Treaty, by ensuring Police actions are fair, reasonable and proportionate for all New Zealanders.</w:t>
      </w:r>
    </w:p>
    <w:p w14:paraId="254E058D" w14:textId="0F90D1A0" w:rsidR="00F03DD4" w:rsidRDefault="006F5716" w:rsidP="004554FD">
      <w:r>
        <w:t xml:space="preserve">Prosecutions for both Māori and non- </w:t>
      </w:r>
      <w:r w:rsidR="0B5D6235">
        <w:t>Māori</w:t>
      </w:r>
      <w:r>
        <w:t xml:space="preserve"> have been </w:t>
      </w:r>
      <w:r w:rsidR="00A80481">
        <w:t>decreasing</w:t>
      </w:r>
      <w:r>
        <w:t xml:space="preserve"> since 2010 but </w:t>
      </w:r>
      <w:r w:rsidR="00EF5AC1">
        <w:t xml:space="preserve">the general </w:t>
      </w:r>
      <w:r w:rsidR="00EF5AC1" w:rsidRPr="0076209A">
        <w:t xml:space="preserve">downward trend </w:t>
      </w:r>
      <w:r w:rsidR="004554FD" w:rsidRPr="0076209A">
        <w:t xml:space="preserve">appears to </w:t>
      </w:r>
      <w:r w:rsidR="00EF5AC1" w:rsidRPr="0076209A">
        <w:t>ha</w:t>
      </w:r>
      <w:r w:rsidR="004554FD" w:rsidRPr="0076209A">
        <w:t xml:space="preserve">ve </w:t>
      </w:r>
      <w:r w:rsidR="00EF5AC1" w:rsidRPr="0076209A">
        <w:t>been less pronounced for Māori than non-Māori</w:t>
      </w:r>
      <w:r w:rsidR="00A80481" w:rsidRPr="0076209A">
        <w:t>.</w:t>
      </w:r>
      <w:r w:rsidR="008058D2" w:rsidRPr="0076209A">
        <w:t xml:space="preserve"> </w:t>
      </w:r>
      <w:r w:rsidR="004554FD" w:rsidRPr="0076209A">
        <w:t>Since 2019 the trend has continued but there is insufficient data to conclude it is the result of the health-based amendment.</w:t>
      </w:r>
    </w:p>
    <w:p w14:paraId="6C66C3EB" w14:textId="4D9F8D2F" w:rsidR="000C259B" w:rsidRDefault="00F03DD4" w:rsidP="00F03DD4">
      <w:pPr>
        <w:pStyle w:val="Caption"/>
      </w:pPr>
      <w:bookmarkStart w:id="170" w:name="_Toc75781244"/>
      <w:bookmarkStart w:id="171" w:name="_Toc77775998"/>
      <w:r>
        <w:t xml:space="preserve">Graph </w:t>
      </w:r>
      <w:fldSimple w:instr=" SEQ Figure \* ARABIC ">
        <w:r w:rsidR="00AA3031">
          <w:rPr>
            <w:noProof/>
          </w:rPr>
          <w:t>15</w:t>
        </w:r>
      </w:fldSimple>
      <w:r w:rsidR="000C259B">
        <w:t>.</w:t>
      </w:r>
      <w:r w:rsidR="004152DB">
        <w:t xml:space="preserve"> </w:t>
      </w:r>
      <w:r w:rsidR="000C259B">
        <w:t>Prosecution of Māori and non-Māori for personal possession and use of all drugs</w:t>
      </w:r>
      <w:bookmarkEnd w:id="170"/>
      <w:bookmarkEnd w:id="171"/>
    </w:p>
    <w:p w14:paraId="2CBCEFF7" w14:textId="54A38A4D" w:rsidR="007950EB" w:rsidRDefault="000C259B" w:rsidP="007950EB">
      <w:r>
        <w:rPr>
          <w:noProof/>
        </w:rPr>
        <w:drawing>
          <wp:inline distT="0" distB="0" distL="0" distR="0" wp14:anchorId="6AE6A5FC" wp14:editId="4AE2920C">
            <wp:extent cx="4885899" cy="1958454"/>
            <wp:effectExtent l="0" t="0" r="10160" b="3810"/>
            <wp:docPr id="312307076" name="Chart 312307076">
              <a:extLst xmlns:a="http://schemas.openxmlformats.org/drawingml/2006/main">
                <a:ext uri="{FF2B5EF4-FFF2-40B4-BE49-F238E27FC236}">
                  <a16:creationId xmlns:a16="http://schemas.microsoft.com/office/drawing/2014/main" id="{77DFDC41-D583-4438-9F4F-57C3E8E22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72" w:name="_Toc73717631"/>
      <w:bookmarkStart w:id="173" w:name="_Toc75781190"/>
    </w:p>
    <w:p w14:paraId="65F8A5BF" w14:textId="392A7450" w:rsidR="00AC2C9D" w:rsidRPr="00246AC8" w:rsidRDefault="00AC2C9D" w:rsidP="00AF5F1F">
      <w:pPr>
        <w:pStyle w:val="Heading3"/>
        <w:rPr>
          <w:b/>
          <w:smallCaps/>
          <w:color w:val="44546A" w:themeColor="text2"/>
        </w:rPr>
      </w:pPr>
      <w:bookmarkStart w:id="174" w:name="_Toc75952903"/>
      <w:bookmarkStart w:id="175" w:name="_Toc78186469"/>
      <w:r w:rsidRPr="00151E23">
        <w:lastRenderedPageBreak/>
        <w:t>Conviction rate of Māori and non-Māori for all drugs</w:t>
      </w:r>
      <w:bookmarkEnd w:id="172"/>
      <w:bookmarkEnd w:id="173"/>
      <w:bookmarkEnd w:id="174"/>
      <w:bookmarkEnd w:id="175"/>
      <w:r w:rsidRPr="00151E23">
        <w:t xml:space="preserve"> </w:t>
      </w:r>
    </w:p>
    <w:p w14:paraId="6EDA83E8" w14:textId="4EBA53D2" w:rsidR="00AC3094" w:rsidRDefault="00EF5AC1" w:rsidP="00AC3094">
      <w:pPr>
        <w:pStyle w:val="Caption"/>
        <w:rPr>
          <w:b w:val="0"/>
          <w:bCs w:val="0"/>
          <w:smallCaps w:val="0"/>
          <w:color w:val="auto"/>
        </w:rPr>
      </w:pPr>
      <w:r w:rsidRPr="0076209A">
        <w:rPr>
          <w:b w:val="0"/>
          <w:smallCaps w:val="0"/>
          <w:color w:val="auto"/>
        </w:rPr>
        <w:t xml:space="preserve">The trend in conviction numbers for </w:t>
      </w:r>
      <w:r w:rsidR="004A3CE7" w:rsidRPr="0076209A">
        <w:rPr>
          <w:b w:val="0"/>
          <w:smallCaps w:val="0"/>
          <w:color w:val="auto"/>
        </w:rPr>
        <w:t xml:space="preserve">personal </w:t>
      </w:r>
      <w:r w:rsidRPr="0076209A">
        <w:rPr>
          <w:b w:val="0"/>
          <w:smallCaps w:val="0"/>
          <w:color w:val="auto"/>
        </w:rPr>
        <w:t xml:space="preserve">possession and use of all drugs reflects a similar pattern to prosecution numbers. This </w:t>
      </w:r>
      <w:r w:rsidR="007950EB" w:rsidRPr="0076209A">
        <w:rPr>
          <w:b w:val="0"/>
          <w:smallCaps w:val="0"/>
          <w:color w:val="auto"/>
        </w:rPr>
        <w:t xml:space="preserve">may </w:t>
      </w:r>
      <w:r w:rsidRPr="0076209A">
        <w:rPr>
          <w:b w:val="0"/>
          <w:smallCaps w:val="0"/>
          <w:color w:val="auto"/>
        </w:rPr>
        <w:t xml:space="preserve">reflect </w:t>
      </w:r>
      <w:r w:rsidR="00856508" w:rsidRPr="0076209A">
        <w:rPr>
          <w:b w:val="0"/>
          <w:smallCaps w:val="0"/>
          <w:color w:val="auto"/>
        </w:rPr>
        <w:t xml:space="preserve">a </w:t>
      </w:r>
      <w:r w:rsidRPr="0076209A">
        <w:rPr>
          <w:b w:val="0"/>
          <w:smallCaps w:val="0"/>
          <w:color w:val="auto"/>
        </w:rPr>
        <w:t>similar shift</w:t>
      </w:r>
      <w:r w:rsidR="00856508" w:rsidRPr="0076209A">
        <w:rPr>
          <w:b w:val="0"/>
          <w:smallCaps w:val="0"/>
          <w:color w:val="auto"/>
        </w:rPr>
        <w:t>, which</w:t>
      </w:r>
      <w:r w:rsidRPr="0076209A">
        <w:rPr>
          <w:b w:val="0"/>
          <w:smallCaps w:val="0"/>
          <w:color w:val="auto"/>
        </w:rPr>
        <w:t xml:space="preserve"> has been occurring in sentencing practices. </w:t>
      </w:r>
      <w:r w:rsidR="003151B5" w:rsidRPr="0076209A">
        <w:rPr>
          <w:b w:val="0"/>
          <w:smallCaps w:val="0"/>
          <w:color w:val="auto"/>
        </w:rPr>
        <w:t>The numbers are</w:t>
      </w:r>
      <w:r w:rsidR="007950EB" w:rsidRPr="0076209A">
        <w:rPr>
          <w:b w:val="0"/>
          <w:smallCaps w:val="0"/>
          <w:color w:val="auto"/>
        </w:rPr>
        <w:t xml:space="preserve"> too</w:t>
      </w:r>
      <w:r w:rsidR="003151B5" w:rsidRPr="0076209A">
        <w:rPr>
          <w:b w:val="0"/>
          <w:smallCaps w:val="0"/>
          <w:color w:val="auto"/>
        </w:rPr>
        <w:t xml:space="preserve"> small</w:t>
      </w:r>
      <w:r w:rsidR="007950EB" w:rsidRPr="0076209A">
        <w:rPr>
          <w:b w:val="0"/>
          <w:smallCaps w:val="0"/>
          <w:color w:val="auto"/>
        </w:rPr>
        <w:t xml:space="preserve"> to determine significance at this stage</w:t>
      </w:r>
      <w:r w:rsidR="003151B5" w:rsidRPr="0076209A">
        <w:rPr>
          <w:b w:val="0"/>
          <w:smallCaps w:val="0"/>
          <w:color w:val="auto"/>
        </w:rPr>
        <w:t>.</w:t>
      </w:r>
      <w:r w:rsidRPr="001A782A">
        <w:rPr>
          <w:b w:val="0"/>
          <w:bCs w:val="0"/>
          <w:smallCaps w:val="0"/>
          <w:color w:val="auto"/>
        </w:rPr>
        <w:t xml:space="preserve">  </w:t>
      </w:r>
    </w:p>
    <w:p w14:paraId="2EDA267D" w14:textId="282C6D1A" w:rsidR="00306D0D" w:rsidRDefault="00F03DD4" w:rsidP="00F03DD4">
      <w:pPr>
        <w:pStyle w:val="Caption"/>
      </w:pPr>
      <w:bookmarkStart w:id="176" w:name="_Toc75781245"/>
      <w:bookmarkStart w:id="177" w:name="_Toc77775999"/>
      <w:r>
        <w:t xml:space="preserve">Graph </w:t>
      </w:r>
      <w:fldSimple w:instr=" SEQ Figure \* ARABIC ">
        <w:r w:rsidR="00AA3031">
          <w:rPr>
            <w:noProof/>
          </w:rPr>
          <w:t>16</w:t>
        </w:r>
      </w:fldSimple>
      <w:r w:rsidR="00F56122">
        <w:t>.</w:t>
      </w:r>
      <w:r w:rsidR="434A31F6" w:rsidRPr="4C128604">
        <w:t xml:space="preserve"> Conviction numbers of </w:t>
      </w:r>
      <w:r w:rsidR="00122DCD">
        <w:t>Māori</w:t>
      </w:r>
      <w:r w:rsidR="434A31F6" w:rsidRPr="4C128604">
        <w:t xml:space="preserve"> and non-</w:t>
      </w:r>
      <w:r w:rsidR="00122DCD">
        <w:t>Māori</w:t>
      </w:r>
      <w:r w:rsidR="434A31F6" w:rsidRPr="4C128604">
        <w:t xml:space="preserve"> for </w:t>
      </w:r>
      <w:r w:rsidR="004A3CE7">
        <w:t xml:space="preserve">personal </w:t>
      </w:r>
      <w:r w:rsidR="434A31F6" w:rsidRPr="4C128604">
        <w:t>possession and use of all drugs</w:t>
      </w:r>
      <w:bookmarkEnd w:id="176"/>
      <w:bookmarkEnd w:id="177"/>
      <w:r w:rsidR="434A31F6" w:rsidRPr="4C128604">
        <w:t xml:space="preserve"> </w:t>
      </w:r>
    </w:p>
    <w:p w14:paraId="0EFB6F53" w14:textId="18D950BC" w:rsidR="00AC2C9D" w:rsidRDefault="004255D3" w:rsidP="00F03DD4">
      <w:pPr>
        <w:pStyle w:val="Caption"/>
      </w:pPr>
      <w:r>
        <w:rPr>
          <w:noProof/>
        </w:rPr>
        <w:drawing>
          <wp:inline distT="0" distB="0" distL="0" distR="0" wp14:anchorId="62141541" wp14:editId="1BD4167D">
            <wp:extent cx="4695825" cy="1871663"/>
            <wp:effectExtent l="0" t="0" r="9525" b="14605"/>
            <wp:docPr id="45" name="Chart 45">
              <a:extLst xmlns:a="http://schemas.openxmlformats.org/drawingml/2006/main">
                <a:ext uri="{FF2B5EF4-FFF2-40B4-BE49-F238E27FC236}">
                  <a16:creationId xmlns:a16="http://schemas.microsoft.com/office/drawing/2014/main" id="{C73249C1-500C-48DB-8E96-A7F253B31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B888A3" w14:textId="77777777" w:rsidR="004554FD" w:rsidRDefault="004554FD" w:rsidP="004554FD">
      <w:r>
        <w:t xml:space="preserve">We cannot draw conclusions on the level of </w:t>
      </w:r>
      <w:r w:rsidRPr="00BE50DA">
        <w:t>any</w:t>
      </w:r>
      <w:r>
        <w:t xml:space="preserve"> inequity as the data we have only shows the ethnicity of the person not the other demographic information than contribute to understanding why decisions were made. We do not have case-level data to inform our understanding and have not interviewed Police officers to understand their decision-making framework.  We understand ethnicity is determined by the Police officer, rather than being self-reported.  </w:t>
      </w:r>
    </w:p>
    <w:p w14:paraId="77DB9383" w14:textId="22FB7A9F" w:rsidR="00A33F56" w:rsidRDefault="00A260E6">
      <w:pPr>
        <w:rPr>
          <w:rFonts w:asciiTheme="majorHAnsi" w:eastAsiaTheme="majorEastAsia" w:hAnsiTheme="majorHAnsi" w:cstheme="majorBidi"/>
          <w:color w:val="2F5496" w:themeColor="accent1" w:themeShade="BF"/>
          <w:sz w:val="32"/>
          <w:szCs w:val="32"/>
        </w:rPr>
      </w:pPr>
      <w:r>
        <w:rPr>
          <w:noProof/>
        </w:rPr>
        <mc:AlternateContent>
          <mc:Choice Requires="wps">
            <w:drawing>
              <wp:anchor distT="45720" distB="45720" distL="114300" distR="114300" simplePos="0" relativeHeight="251658243" behindDoc="0" locked="0" layoutInCell="1" allowOverlap="1" wp14:anchorId="336D49D8" wp14:editId="1ACAA40F">
                <wp:simplePos x="0" y="0"/>
                <wp:positionH relativeFrom="margin">
                  <wp:align>left</wp:align>
                </wp:positionH>
                <wp:positionV relativeFrom="paragraph">
                  <wp:posOffset>412750</wp:posOffset>
                </wp:positionV>
                <wp:extent cx="6124575" cy="1404620"/>
                <wp:effectExtent l="0" t="0" r="28575"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404620"/>
                        </a:xfrm>
                        <a:prstGeom prst="rect">
                          <a:avLst/>
                        </a:prstGeom>
                        <a:solidFill>
                          <a:srgbClr val="FFFFFF"/>
                        </a:solidFill>
                        <a:ln w="9525">
                          <a:solidFill>
                            <a:srgbClr val="000000"/>
                          </a:solidFill>
                          <a:miter lim="800000"/>
                          <a:headEnd/>
                          <a:tailEnd/>
                        </a:ln>
                      </wps:spPr>
                      <wps:txbx>
                        <w:txbxContent>
                          <w:p w14:paraId="6D4584C0" w14:textId="77777777" w:rsidR="00F14026" w:rsidRPr="00A260E6" w:rsidRDefault="00F14026" w:rsidP="00A260E6">
                            <w:pPr>
                              <w:rPr>
                                <w:b/>
                                <w:bCs/>
                              </w:rPr>
                            </w:pPr>
                            <w:bookmarkStart w:id="178" w:name="_Hlk75772327"/>
                            <w:bookmarkStart w:id="179" w:name="_Hlk75772328"/>
                            <w:r w:rsidRPr="00383976">
                              <w:rPr>
                                <w:b/>
                              </w:rPr>
                              <w:t>Key finding(s):</w:t>
                            </w:r>
                            <w:r w:rsidRPr="00A260E6">
                              <w:rPr>
                                <w:b/>
                                <w:bCs/>
                              </w:rPr>
                              <w:t xml:space="preserve"> </w:t>
                            </w:r>
                          </w:p>
                          <w:p w14:paraId="32587158" w14:textId="4AE981F3" w:rsidR="00F14026" w:rsidRPr="0076209A" w:rsidRDefault="00F14026" w:rsidP="00B603EC">
                            <w:pPr>
                              <w:pStyle w:val="ListParagraph"/>
                              <w:numPr>
                                <w:ilvl w:val="0"/>
                                <w:numId w:val="10"/>
                              </w:numPr>
                            </w:pPr>
                            <w:r w:rsidRPr="0076209A">
                              <w:t xml:space="preserve">The proportion of Māori identified by Police for personal possession and use of illicit drugs is larger than the proportion of Māori in the general population.  </w:t>
                            </w:r>
                          </w:p>
                          <w:p w14:paraId="7E4D7BD9" w14:textId="78C2714E" w:rsidR="00F14026" w:rsidRPr="0076209A" w:rsidRDefault="00F14026" w:rsidP="00B603EC">
                            <w:pPr>
                              <w:pStyle w:val="ListParagraph"/>
                              <w:numPr>
                                <w:ilvl w:val="0"/>
                                <w:numId w:val="10"/>
                              </w:numPr>
                            </w:pPr>
                            <w:r w:rsidRPr="0076209A">
                              <w:t>Māori and non-Māori cases are similarly distributed across non-Court and Court actions (suggesting that once people are in the Justice system, they are treated similarly).</w:t>
                            </w:r>
                          </w:p>
                          <w:p w14:paraId="46AA5721" w14:textId="5652AB54" w:rsidR="00F14026" w:rsidRPr="0076209A" w:rsidRDefault="00F14026" w:rsidP="00B603EC">
                            <w:pPr>
                              <w:pStyle w:val="ListParagraph"/>
                              <w:numPr>
                                <w:ilvl w:val="0"/>
                                <w:numId w:val="10"/>
                              </w:numPr>
                            </w:pPr>
                            <w:r w:rsidRPr="0076209A">
                              <w:t>Conviction rates are declining for both Māori and non-Māori, but the decline for non-Māori is steeper than for Māori.</w:t>
                            </w:r>
                            <w:bookmarkEnd w:id="178"/>
                            <w:bookmarkEnd w:id="17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D49D8" id="_x0000_s1030" type="#_x0000_t202" style="position:absolute;margin-left:0;margin-top:32.5pt;width:482.2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">
                <v:textbox style="mso-fit-shape-to-text:t">
                  <w:txbxContent>
                    <w:p w14:paraId="6D4584C0" w14:textId="77777777" w:rsidR="00F14026" w:rsidRPr="00A260E6" w:rsidRDefault="00F14026" w:rsidP="00A260E6">
                      <w:pPr>
                        <w:rPr>
                          <w:b/>
                          <w:bCs/>
                        </w:rPr>
                      </w:pPr>
                      <w:bookmarkStart w:id="180" w:name="_Hlk75772327"/>
                      <w:bookmarkStart w:id="181" w:name="_Hlk75772328"/>
                      <w:r w:rsidRPr="00383976">
                        <w:rPr>
                          <w:b/>
                        </w:rPr>
                        <w:t>Key finding(s):</w:t>
                      </w:r>
                      <w:r w:rsidRPr="00A260E6">
                        <w:rPr>
                          <w:b/>
                          <w:bCs/>
                        </w:rPr>
                        <w:t xml:space="preserve"> </w:t>
                      </w:r>
                    </w:p>
                    <w:p w14:paraId="32587158" w14:textId="4AE981F3" w:rsidR="00F14026" w:rsidRPr="0076209A" w:rsidRDefault="00F14026" w:rsidP="00B603EC">
                      <w:pPr>
                        <w:pStyle w:val="ListParagraph"/>
                        <w:numPr>
                          <w:ilvl w:val="0"/>
                          <w:numId w:val="10"/>
                        </w:numPr>
                      </w:pPr>
                      <w:r w:rsidRPr="0076209A">
                        <w:t xml:space="preserve">The proportion of Māori identified by Police for personal possession and use of illicit drugs is larger than the proportion of Māori in the general population.  </w:t>
                      </w:r>
                    </w:p>
                    <w:p w14:paraId="7E4D7BD9" w14:textId="78C2714E" w:rsidR="00F14026" w:rsidRPr="0076209A" w:rsidRDefault="00F14026" w:rsidP="00B603EC">
                      <w:pPr>
                        <w:pStyle w:val="ListParagraph"/>
                        <w:numPr>
                          <w:ilvl w:val="0"/>
                          <w:numId w:val="10"/>
                        </w:numPr>
                      </w:pPr>
                      <w:r w:rsidRPr="0076209A">
                        <w:t>Māori and non-Māori cases are similarly distributed across non-Court and Court actions (suggesting that once people are in the Justice system, they are treated similarly).</w:t>
                      </w:r>
                    </w:p>
                    <w:p w14:paraId="46AA5721" w14:textId="5652AB54" w:rsidR="00F14026" w:rsidRPr="0076209A" w:rsidRDefault="00F14026" w:rsidP="00B603EC">
                      <w:pPr>
                        <w:pStyle w:val="ListParagraph"/>
                        <w:numPr>
                          <w:ilvl w:val="0"/>
                          <w:numId w:val="10"/>
                        </w:numPr>
                      </w:pPr>
                      <w:r w:rsidRPr="0076209A">
                        <w:t>Conviction rates are declining for both Māori and non-Māori, but the decline for non-Māori is steeper than for Māori.</w:t>
                      </w:r>
                      <w:bookmarkEnd w:id="180"/>
                      <w:bookmarkEnd w:id="181"/>
                    </w:p>
                  </w:txbxContent>
                </v:textbox>
                <w10:wrap type="square" anchorx="margin"/>
              </v:shape>
            </w:pict>
          </mc:Fallback>
        </mc:AlternateContent>
      </w:r>
    </w:p>
    <w:p w14:paraId="2BF940B2" w14:textId="77777777" w:rsidR="009603F0" w:rsidRDefault="009603F0">
      <w:pPr>
        <w:rPr>
          <w:rFonts w:asciiTheme="majorHAnsi" w:eastAsiaTheme="majorEastAsia" w:hAnsiTheme="majorHAnsi" w:cstheme="majorBidi"/>
          <w:color w:val="2F5496" w:themeColor="accent1" w:themeShade="BF"/>
          <w:sz w:val="32"/>
          <w:szCs w:val="32"/>
        </w:rPr>
      </w:pPr>
      <w:bookmarkStart w:id="182" w:name="_Toc75781191"/>
      <w:r>
        <w:br w:type="page"/>
      </w:r>
    </w:p>
    <w:p w14:paraId="588AF27E" w14:textId="2823936D" w:rsidR="001161A7" w:rsidRPr="001161A7" w:rsidRDefault="00B43D4E" w:rsidP="001161A7">
      <w:pPr>
        <w:pStyle w:val="Heading2"/>
      </w:pPr>
      <w:bookmarkStart w:id="183" w:name="_Toc75952904"/>
      <w:bookmarkStart w:id="184" w:name="_Toc78186470"/>
      <w:r>
        <w:lastRenderedPageBreak/>
        <w:t>Referrals to health services</w:t>
      </w:r>
      <w:bookmarkEnd w:id="182"/>
      <w:bookmarkEnd w:id="183"/>
      <w:bookmarkEnd w:id="184"/>
      <w:r>
        <w:t xml:space="preserve"> </w:t>
      </w:r>
    </w:p>
    <w:p w14:paraId="4A9CD60E" w14:textId="13B8986C" w:rsidR="00FE21E9" w:rsidRDefault="00FE21E9" w:rsidP="00FE21E9">
      <w:bookmarkStart w:id="185" w:name="_Toc74572682"/>
      <w:r>
        <w:t xml:space="preserve">People use drugs for many reasons. Whilst harms are associated with </w:t>
      </w:r>
      <w:r w:rsidR="00D923EB">
        <w:t xml:space="preserve">illegal </w:t>
      </w:r>
      <w:r>
        <w:t>drug use, many people who use substances do not experience long-lasting negative effects</w:t>
      </w:r>
      <w:r w:rsidR="003A1D67">
        <w:t xml:space="preserve"> </w:t>
      </w:r>
      <w:r>
        <w:t xml:space="preserve">or develop </w:t>
      </w:r>
      <w:r w:rsidR="00E91292">
        <w:t>addiction.</w:t>
      </w:r>
      <w:r>
        <w:t xml:space="preserve"> However, some people do, and the harms experienced can be wide-ranging, from injury and disease, through to social, financial and legal problems. </w:t>
      </w:r>
    </w:p>
    <w:p w14:paraId="52BBF09C" w14:textId="77777777" w:rsidR="00143974" w:rsidRDefault="00FE21E9" w:rsidP="00FE21E9">
      <w:r>
        <w:t xml:space="preserve">Similarly, not everyone who uses drugs will need treatment, although education and early intervention is often a useful approach to minimise future risk of harm. Of those for whom treatment and support would be beneficial, access to this support is not always obvious or known to be necessary. </w:t>
      </w:r>
    </w:p>
    <w:p w14:paraId="32053640" w14:textId="3B089092" w:rsidR="00FE21E9" w:rsidRDefault="00FE21E9" w:rsidP="00FE21E9">
      <w:r>
        <w:t>A 2006 study</w:t>
      </w:r>
      <w:r w:rsidR="0098627D">
        <w:rPr>
          <w:rStyle w:val="FootnoteReference"/>
        </w:rPr>
        <w:footnoteReference w:id="2"/>
      </w:r>
      <w:r>
        <w:t xml:space="preserve"> of help-seeking behaviour found the key reasons that people don’t seek help early is that they don’t recognise they have a problem</w:t>
      </w:r>
      <w:r w:rsidR="5A3A30F2">
        <w:t>,</w:t>
      </w:r>
      <w:r>
        <w:t xml:space="preserve"> or they think they can deal with it themselves. Where someone is </w:t>
      </w:r>
      <w:r w:rsidR="005004D1">
        <w:t>‘</w:t>
      </w:r>
      <w:r>
        <w:t>at</w:t>
      </w:r>
      <w:r w:rsidR="005004D1">
        <w:t>’</w:t>
      </w:r>
      <w:r>
        <w:t>, in terms of the awareness of impacts of their use, associated harms and ‘stage of change’ matters to both the acceptance to seek or accept support and the kind of help that best practice evidence suggests could be received.  ‘Precontemplation’ is common and is characterised by a lack of awareness, as opposed to a lack of willingness. Encouraging someone to a stage of ‘contemplation’ and through ambivalence is an important feature of the recovery journey, prior to stages of ‘determination, action and maintenance’</w:t>
      </w:r>
      <w:r w:rsidR="2C234BBE">
        <w:t>.</w:t>
      </w:r>
      <w:r>
        <w:t xml:space="preserve"> Lapses in this cycle may occur at any time. Stigma is a significant barrier to help seeking and combined with the </w:t>
      </w:r>
      <w:r w:rsidR="00C33369">
        <w:t>often-illegal</w:t>
      </w:r>
      <w:r>
        <w:t xml:space="preserve"> nature of drug use, it can take time and encouragement from many sources before a person recognises they need help and have the motivation and resources to make contact. </w:t>
      </w:r>
    </w:p>
    <w:p w14:paraId="3088304E" w14:textId="3A333949" w:rsidR="00FE21E9" w:rsidRDefault="00FE21E9" w:rsidP="00FE21E9">
      <w:r>
        <w:t>The range of help and support people benefit from can take many forms.  Some will benefit from brief intervention</w:t>
      </w:r>
      <w:r w:rsidR="00D21F24">
        <w:t xml:space="preserve"> and </w:t>
      </w:r>
      <w:r>
        <w:t>harm minimisation education, and some will need more formal treatment services, including</w:t>
      </w:r>
      <w:r w:rsidR="000E461C">
        <w:t xml:space="preserve"> peer</w:t>
      </w:r>
      <w:r w:rsidR="00FB5AD4">
        <w:t xml:space="preserve"> </w:t>
      </w:r>
      <w:r w:rsidR="000E461C">
        <w:t>support</w:t>
      </w:r>
      <w:r w:rsidR="00FB5AD4">
        <w:t xml:space="preserve">, </w:t>
      </w:r>
      <w:r>
        <w:t xml:space="preserve">outpatient counselling, residential treatment, ongoing continuing care and outreach or other specialist services.  Measures such as drug checking and needle exchange programmes are also part of a broader harm reduction approach.  </w:t>
      </w:r>
    </w:p>
    <w:p w14:paraId="72D0E8BA" w14:textId="5A297431" w:rsidR="0080439D" w:rsidRDefault="00FE21E9" w:rsidP="00367D1B">
      <w:r>
        <w:t xml:space="preserve">Supports need to be available, accessible, appropriate and accommodating of individuals’ needs and circumstances.  While this review did not set </w:t>
      </w:r>
      <w:r w:rsidRPr="00576CCA">
        <w:t>out to assess the adequacy of mental health and addiction supports in general, the following does not</w:t>
      </w:r>
      <w:r w:rsidR="00576CCA" w:rsidRPr="00576CCA">
        <w:t>e</w:t>
      </w:r>
      <w:r w:rsidRPr="00576CCA">
        <w:t xml:space="preserve"> issues raised by</w:t>
      </w:r>
      <w:r>
        <w:t xml:space="preserve"> those we interviewed for consideration elsewhere.  </w:t>
      </w:r>
    </w:p>
    <w:p w14:paraId="423CFA78" w14:textId="392063AC" w:rsidR="00A91553" w:rsidRDefault="00E116CA" w:rsidP="00D674A2">
      <w:r>
        <w:t xml:space="preserve">Primary health care providers, social </w:t>
      </w:r>
      <w:r w:rsidR="00BD422B">
        <w:t xml:space="preserve">sector agencies, Oranga Tamariki, the Courts, </w:t>
      </w:r>
      <w:r w:rsidR="057F000A">
        <w:t xml:space="preserve">and </w:t>
      </w:r>
      <w:r w:rsidR="00BD422B">
        <w:t>Corrections</w:t>
      </w:r>
      <w:r w:rsidR="001613A9">
        <w:t xml:space="preserve"> all have the ability to offer referrals into alcohol and other drug services.  </w:t>
      </w:r>
      <w:r w:rsidR="003F3FD8">
        <w:t>Police ha</w:t>
      </w:r>
      <w:r w:rsidR="00B865E6">
        <w:t>s</w:t>
      </w:r>
      <w:r w:rsidR="003F3FD8">
        <w:t xml:space="preserve"> had the ability to refer into health and social services for some time, through various </w:t>
      </w:r>
      <w:r w:rsidR="00071BD1">
        <w:t xml:space="preserve">local </w:t>
      </w:r>
      <w:r w:rsidR="00877D07">
        <w:t xml:space="preserve">mechanisms.  </w:t>
      </w:r>
      <w:r w:rsidR="00BD3ADA">
        <w:t xml:space="preserve">The two studied in this review are the National MoDA Drug Referral pathway established </w:t>
      </w:r>
      <w:r w:rsidR="00026B88">
        <w:t xml:space="preserve">for the implementation of the 2019 amendments, and </w:t>
      </w:r>
      <w:r w:rsidR="00D52105">
        <w:t xml:space="preserve">AWHI, </w:t>
      </w:r>
      <w:r w:rsidR="00026B88">
        <w:t xml:space="preserve">a local referral pathway </w:t>
      </w:r>
      <w:r w:rsidR="008B0352">
        <w:rPr>
          <w:rStyle w:val="normaltextrun1"/>
          <w:rFonts w:ascii="Calibri" w:eastAsia="Times New Roman" w:hAnsi="Calibri" w:cs="Calibri"/>
          <w:lang w:eastAsia="en-NZ"/>
        </w:rPr>
        <w:t xml:space="preserve">set up in the Bay of Plenty Police District in 2018. </w:t>
      </w:r>
      <w:r w:rsidR="00E95000">
        <w:rPr>
          <w:rStyle w:val="normaltextrun1"/>
          <w:rFonts w:ascii="Calibri" w:eastAsia="Times New Roman" w:hAnsi="Calibri" w:cs="Calibri"/>
          <w:lang w:eastAsia="en-NZ"/>
        </w:rPr>
        <w:t xml:space="preserve"> </w:t>
      </w:r>
    </w:p>
    <w:p w14:paraId="1424ED3A" w14:textId="36AFDAB6" w:rsidR="00A91553" w:rsidRDefault="008F22B6" w:rsidP="00AF5F1F">
      <w:pPr>
        <w:pStyle w:val="Heading3"/>
      </w:pPr>
      <w:bookmarkStart w:id="186" w:name="_Toc75781192"/>
      <w:bookmarkStart w:id="187" w:name="_Toc75952905"/>
      <w:bookmarkStart w:id="188" w:name="_Toc78186471"/>
      <w:r>
        <w:t xml:space="preserve">Police referrals to the National MoDA Referral </w:t>
      </w:r>
      <w:r w:rsidR="004D081B">
        <w:t>Pathway</w:t>
      </w:r>
      <w:bookmarkEnd w:id="186"/>
      <w:bookmarkEnd w:id="187"/>
      <w:bookmarkEnd w:id="188"/>
    </w:p>
    <w:p w14:paraId="05C70EE8" w14:textId="44DAB242" w:rsidR="00EE2049" w:rsidRDefault="004D43A5" w:rsidP="00EE2049">
      <w:r>
        <w:t>A</w:t>
      </w:r>
      <w:r w:rsidR="00EE2049">
        <w:t xml:space="preserve"> new national referral mechanism for those found in possession of small quantities of </w:t>
      </w:r>
      <w:r w:rsidR="001155D9">
        <w:t>illegal</w:t>
      </w:r>
      <w:r w:rsidR="00EE2049">
        <w:t xml:space="preserve"> drugs was set </w:t>
      </w:r>
      <w:r w:rsidR="00EE2049" w:rsidRPr="003151B5">
        <w:t xml:space="preserve">up </w:t>
      </w:r>
      <w:r w:rsidRPr="003151B5">
        <w:t>to ensure a consistent approach to assessing health needs by a health professional</w:t>
      </w:r>
      <w:r w:rsidR="00EE2049">
        <w:t xml:space="preserve"> (referred to in this document as the ‘MoDA Referral Pathway’)</w:t>
      </w:r>
      <w:r w:rsidR="00274A27">
        <w:t>, recognising that f</w:t>
      </w:r>
      <w:r w:rsidR="00050EB4" w:rsidRPr="003151B5">
        <w:t>rontline Police are not health or social workers</w:t>
      </w:r>
      <w:r w:rsidR="00050EB4">
        <w:t xml:space="preserve">. </w:t>
      </w:r>
      <w:r w:rsidR="00EE2049">
        <w:t xml:space="preserve">This takes the form of an app on Police’s phones.   </w:t>
      </w:r>
    </w:p>
    <w:p w14:paraId="3852D22F" w14:textId="5BB670CC" w:rsidR="00644F83" w:rsidRDefault="00C8038D" w:rsidP="00B6642F">
      <w:r>
        <w:lastRenderedPageBreak/>
        <w:t xml:space="preserve">Should frontline Police determine that a person found with an </w:t>
      </w:r>
      <w:r w:rsidR="001155D9">
        <w:t>illegal</w:t>
      </w:r>
      <w:r>
        <w:t xml:space="preserve"> substance may benefit from </w:t>
      </w:r>
      <w:r w:rsidR="00050EB4" w:rsidRPr="00C50A2F">
        <w:t>assessment as to their need for</w:t>
      </w:r>
      <w:r w:rsidR="00050EB4">
        <w:t xml:space="preserve"> </w:t>
      </w:r>
      <w:r>
        <w:t xml:space="preserve">health support, they can offer to refer the individual to the Alcohol Drug Helpline. </w:t>
      </w:r>
      <w:r w:rsidR="00B6642F">
        <w:t>If the person agrees, personal information entered through a standalone app will initiate a series of text messages to the person’s mobile phone</w:t>
      </w:r>
      <w:r w:rsidR="0088092A">
        <w:t xml:space="preserve"> over a seven</w:t>
      </w:r>
      <w:r w:rsidR="00AF431B">
        <w:t>-</w:t>
      </w:r>
      <w:r w:rsidR="0088092A">
        <w:t>day period</w:t>
      </w:r>
      <w:r w:rsidR="00B6642F">
        <w:t>.  These messages</w:t>
      </w:r>
      <w:r w:rsidR="00644F83">
        <w:t xml:space="preserve"> will:</w:t>
      </w:r>
    </w:p>
    <w:p w14:paraId="54935101" w14:textId="2A9C8DBC" w:rsidR="00644F83" w:rsidRPr="000C259B" w:rsidRDefault="00B6642F"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congratulate them for taking the first steps towards making a change in their lives</w:t>
      </w:r>
    </w:p>
    <w:p w14:paraId="767EB2F9" w14:textId="09BD8CE6" w:rsidR="00644F83" w:rsidRPr="000C259B" w:rsidRDefault="00B6642F"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let them know that help is available </w:t>
      </w:r>
    </w:p>
    <w:p w14:paraId="544541BF" w14:textId="4862845D" w:rsidR="00644F83" w:rsidRPr="000C259B" w:rsidRDefault="00B6642F"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provide text and phone details for the </w:t>
      </w:r>
      <w:bookmarkStart w:id="189" w:name="_Hlk74843557"/>
      <w:r w:rsidR="00877AEB" w:rsidRPr="000C259B">
        <w:rPr>
          <w:rStyle w:val="normaltextrun1"/>
          <w:rFonts w:ascii="Calibri" w:eastAsia="Times New Roman" w:hAnsi="Calibri" w:cs="Calibri"/>
          <w:sz w:val="22"/>
          <w:szCs w:val="22"/>
          <w:lang w:eastAsia="en-NZ"/>
        </w:rPr>
        <w:t>Alcohol Drug</w:t>
      </w:r>
      <w:bookmarkEnd w:id="189"/>
      <w:r w:rsidRPr="000C259B">
        <w:rPr>
          <w:rStyle w:val="normaltextrun1"/>
          <w:rFonts w:ascii="Calibri" w:eastAsia="Times New Roman" w:hAnsi="Calibri" w:cs="Calibri"/>
          <w:sz w:val="22"/>
          <w:szCs w:val="22"/>
          <w:lang w:eastAsia="en-NZ"/>
        </w:rPr>
        <w:t xml:space="preserve"> Helpline.  </w:t>
      </w:r>
    </w:p>
    <w:p w14:paraId="1D92ACCD" w14:textId="7FF81579" w:rsidR="00B6642F" w:rsidRDefault="00B6642F" w:rsidP="00B6642F">
      <w:r>
        <w:t xml:space="preserve">These text messages cease when the person makes contact, opts out, or when a week since has passed since referral.  </w:t>
      </w:r>
    </w:p>
    <w:p w14:paraId="2D74EFD3" w14:textId="19AAB30C" w:rsidR="00B6642F" w:rsidRDefault="00B6642F" w:rsidP="00B6642F">
      <w:r>
        <w:t xml:space="preserve">Should the person make contact, their call goes through to the </w:t>
      </w:r>
      <w:r w:rsidR="00877AEB">
        <w:t xml:space="preserve">Alcohol Drug </w:t>
      </w:r>
      <w:r>
        <w:t xml:space="preserve">helpline.  Between 8am and 10pm on weekdays, staff on the </w:t>
      </w:r>
      <w:r w:rsidR="00877AEB">
        <w:t xml:space="preserve">Alcohol Drug </w:t>
      </w:r>
      <w:r>
        <w:t xml:space="preserve">helpline are ‘ringfenced’ – </w:t>
      </w:r>
      <w:r w:rsidR="004A3B6E">
        <w:t>i.e.</w:t>
      </w:r>
      <w:r>
        <w:t xml:space="preserve"> </w:t>
      </w:r>
      <w:r w:rsidR="003365CA">
        <w:t>staff</w:t>
      </w:r>
      <w:r>
        <w:t xml:space="preserve"> will not pick up any calls that come through </w:t>
      </w:r>
      <w:r w:rsidR="008C60E7">
        <w:t>1737, De</w:t>
      </w:r>
      <w:r>
        <w:t xml:space="preserve">pression, </w:t>
      </w:r>
      <w:r w:rsidR="008C60E7">
        <w:t>G</w:t>
      </w:r>
      <w:r>
        <w:t xml:space="preserve">ambling or any other helpline.  The call </w:t>
      </w:r>
      <w:r w:rsidR="00F73CA7">
        <w:t>is triaged</w:t>
      </w:r>
      <w:r>
        <w:t xml:space="preserve"> </w:t>
      </w:r>
      <w:r w:rsidR="00927CF3">
        <w:t xml:space="preserve">and taken </w:t>
      </w:r>
      <w:r>
        <w:t>by the person with the highest degree of experience and expertise in</w:t>
      </w:r>
      <w:r w:rsidR="005923A8">
        <w:t xml:space="preserve"> </w:t>
      </w:r>
      <w:r w:rsidR="00AF5D1C">
        <w:t xml:space="preserve">drug counselling.  </w:t>
      </w:r>
      <w:r w:rsidR="003D4713">
        <w:t>A</w:t>
      </w:r>
      <w:r>
        <w:t xml:space="preserve"> screening conversation takes place.  The conversation may </w:t>
      </w:r>
      <w:r w:rsidR="007278BC">
        <w:t>point people to useful information</w:t>
      </w:r>
      <w:r>
        <w:t>, strategies and resources to help reduce harm, and a referral to face to face services</w:t>
      </w:r>
      <w:r w:rsidR="005E5D02">
        <w:t xml:space="preserve"> </w:t>
      </w:r>
      <w:r w:rsidR="000D3DD5">
        <w:t>(occasionally occurring through a ‘warm’ (in-person) handover)</w:t>
      </w:r>
      <w:r>
        <w:t xml:space="preserve">.   </w:t>
      </w:r>
    </w:p>
    <w:p w14:paraId="2DB397D4" w14:textId="47815D24" w:rsidR="00C651C4" w:rsidRDefault="00C651C4" w:rsidP="008E623D">
      <w:r>
        <w:t xml:space="preserve">When considering Police referrals to health services, there are a few important factors to take into consideration: </w:t>
      </w:r>
    </w:p>
    <w:p w14:paraId="4B745BB0" w14:textId="47D30B87" w:rsidR="006E2FE4" w:rsidRPr="000C259B" w:rsidRDefault="006E2FE4"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there does not need to </w:t>
      </w:r>
      <w:r w:rsidR="003247DD" w:rsidRPr="000C259B">
        <w:rPr>
          <w:rStyle w:val="normaltextrun1"/>
          <w:rFonts w:ascii="Calibri" w:eastAsia="Times New Roman" w:hAnsi="Calibri" w:cs="Calibri"/>
          <w:sz w:val="22"/>
          <w:szCs w:val="22"/>
          <w:lang w:eastAsia="en-NZ"/>
        </w:rPr>
        <w:t xml:space="preserve">have been </w:t>
      </w:r>
      <w:r w:rsidRPr="000C259B">
        <w:rPr>
          <w:rStyle w:val="normaltextrun1"/>
          <w:rFonts w:ascii="Calibri" w:eastAsia="Times New Roman" w:hAnsi="Calibri" w:cs="Calibri"/>
          <w:sz w:val="22"/>
          <w:szCs w:val="22"/>
          <w:lang w:eastAsia="en-NZ"/>
        </w:rPr>
        <w:t xml:space="preserve">an offence </w:t>
      </w:r>
      <w:r w:rsidR="003247DD" w:rsidRPr="000C259B">
        <w:rPr>
          <w:rStyle w:val="normaltextrun1"/>
          <w:rFonts w:ascii="Calibri" w:eastAsia="Times New Roman" w:hAnsi="Calibri" w:cs="Calibri"/>
          <w:sz w:val="22"/>
          <w:szCs w:val="22"/>
          <w:lang w:eastAsia="en-NZ"/>
        </w:rPr>
        <w:t>for a referral to be made</w:t>
      </w:r>
      <w:r w:rsidR="00722E8F" w:rsidRPr="000C259B">
        <w:rPr>
          <w:rStyle w:val="normaltextrun1"/>
          <w:rFonts w:ascii="Calibri" w:eastAsia="Times New Roman" w:hAnsi="Calibri" w:cs="Calibri"/>
          <w:sz w:val="22"/>
          <w:szCs w:val="22"/>
          <w:lang w:eastAsia="en-NZ"/>
        </w:rPr>
        <w:t>, and referrals can be used as preventive measures</w:t>
      </w:r>
      <w:r w:rsidR="001B4C06" w:rsidRPr="000C259B">
        <w:rPr>
          <w:rStyle w:val="normaltextrun1"/>
          <w:rFonts w:ascii="Calibri" w:eastAsia="Times New Roman" w:hAnsi="Calibri" w:cs="Calibri"/>
          <w:sz w:val="22"/>
          <w:szCs w:val="22"/>
          <w:lang w:eastAsia="en-NZ"/>
        </w:rPr>
        <w:t xml:space="preserve">  </w:t>
      </w:r>
    </w:p>
    <w:p w14:paraId="290D9446" w14:textId="2F6AF4F0" w:rsidR="00E75375" w:rsidRPr="000C259B" w:rsidRDefault="00E75375"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there are a range of agencies and providers who can offer AOD referrals, these include </w:t>
      </w:r>
      <w:r w:rsidR="2988F6A1" w:rsidRPr="575E049E">
        <w:rPr>
          <w:rStyle w:val="normaltextrun1"/>
          <w:rFonts w:ascii="Calibri" w:eastAsia="Times New Roman" w:hAnsi="Calibri" w:cs="Calibri"/>
          <w:sz w:val="22"/>
          <w:szCs w:val="22"/>
          <w:lang w:eastAsia="en-NZ"/>
        </w:rPr>
        <w:t>general practitioner</w:t>
      </w:r>
      <w:r w:rsidRPr="000C259B">
        <w:rPr>
          <w:rStyle w:val="normaltextrun1"/>
          <w:rFonts w:ascii="Calibri" w:eastAsia="Times New Roman" w:hAnsi="Calibri" w:cs="Calibri"/>
          <w:sz w:val="22"/>
          <w:szCs w:val="22"/>
          <w:lang w:eastAsia="en-NZ"/>
        </w:rPr>
        <w:t>s, the Courts, social services and Police</w:t>
      </w:r>
    </w:p>
    <w:p w14:paraId="13994518" w14:textId="354357E1" w:rsidR="00CA7A3D" w:rsidRPr="000C259B" w:rsidRDefault="00CA7A3D"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frontline officers need to be confident in making health referrals, including that alcohol and other drug and mental health services have capacity to support, particularly from a kaupapa Māori perspective, to individuals who are referred</w:t>
      </w:r>
    </w:p>
    <w:p w14:paraId="4B77ECD6" w14:textId="089A29ED" w:rsidR="0011308A" w:rsidRPr="000C259B" w:rsidRDefault="0011308A"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Police are not trained in </w:t>
      </w:r>
      <w:r w:rsidR="00AE479C" w:rsidRPr="000C259B">
        <w:rPr>
          <w:rStyle w:val="normaltextrun1"/>
          <w:rFonts w:ascii="Calibri" w:eastAsia="Times New Roman" w:hAnsi="Calibri" w:cs="Calibri"/>
          <w:sz w:val="22"/>
          <w:szCs w:val="22"/>
          <w:lang w:eastAsia="en-NZ"/>
        </w:rPr>
        <w:t xml:space="preserve">needs assessments, triaging </w:t>
      </w:r>
      <w:r w:rsidR="00D3287B" w:rsidRPr="000C259B">
        <w:rPr>
          <w:rStyle w:val="normaltextrun1"/>
          <w:rFonts w:ascii="Calibri" w:eastAsia="Times New Roman" w:hAnsi="Calibri" w:cs="Calibri"/>
          <w:sz w:val="22"/>
          <w:szCs w:val="22"/>
          <w:lang w:eastAsia="en-NZ"/>
        </w:rPr>
        <w:t xml:space="preserve">or </w:t>
      </w:r>
      <w:r w:rsidR="00345E61" w:rsidRPr="000C259B">
        <w:rPr>
          <w:rStyle w:val="normaltextrun1"/>
          <w:rFonts w:ascii="Calibri" w:eastAsia="Times New Roman" w:hAnsi="Calibri" w:cs="Calibri"/>
          <w:sz w:val="22"/>
          <w:szCs w:val="22"/>
          <w:lang w:eastAsia="en-NZ"/>
        </w:rPr>
        <w:t xml:space="preserve">drug counselling, </w:t>
      </w:r>
      <w:r w:rsidR="00D3287B" w:rsidRPr="000C259B">
        <w:rPr>
          <w:rStyle w:val="normaltextrun1"/>
          <w:rFonts w:ascii="Calibri" w:eastAsia="Times New Roman" w:hAnsi="Calibri" w:cs="Calibri"/>
          <w:sz w:val="22"/>
          <w:szCs w:val="22"/>
          <w:lang w:eastAsia="en-NZ"/>
        </w:rPr>
        <w:t>but do have general training in</w:t>
      </w:r>
      <w:r w:rsidR="00345E61" w:rsidRPr="000C259B">
        <w:rPr>
          <w:rStyle w:val="normaltextrun1"/>
          <w:rFonts w:ascii="Calibri" w:eastAsia="Times New Roman" w:hAnsi="Calibri" w:cs="Calibri"/>
          <w:sz w:val="22"/>
          <w:szCs w:val="22"/>
          <w:lang w:eastAsia="en-NZ"/>
        </w:rPr>
        <w:t xml:space="preserve"> </w:t>
      </w:r>
      <w:r w:rsidR="002E62A8" w:rsidRPr="000C259B">
        <w:rPr>
          <w:rStyle w:val="normaltextrun1"/>
          <w:rFonts w:ascii="Calibri" w:eastAsia="Times New Roman" w:hAnsi="Calibri" w:cs="Calibri"/>
          <w:sz w:val="22"/>
          <w:szCs w:val="22"/>
          <w:lang w:eastAsia="en-NZ"/>
        </w:rPr>
        <w:t>conversations with people with high and complex needs</w:t>
      </w:r>
      <w:r w:rsidR="000F01E2" w:rsidRPr="000C259B">
        <w:rPr>
          <w:rStyle w:val="normaltextrun1"/>
          <w:rFonts w:ascii="Calibri" w:eastAsia="Times New Roman" w:hAnsi="Calibri" w:cs="Calibri"/>
          <w:sz w:val="22"/>
          <w:szCs w:val="22"/>
          <w:lang w:eastAsia="en-NZ"/>
        </w:rPr>
        <w:t>, behavioural issues</w:t>
      </w:r>
      <w:r w:rsidR="00383F9D" w:rsidRPr="000C259B">
        <w:rPr>
          <w:rStyle w:val="normaltextrun1"/>
          <w:rFonts w:ascii="Calibri" w:eastAsia="Times New Roman" w:hAnsi="Calibri" w:cs="Calibri"/>
          <w:sz w:val="22"/>
          <w:szCs w:val="22"/>
          <w:lang w:eastAsia="en-NZ"/>
        </w:rPr>
        <w:t xml:space="preserve">. These conversations need to be carefully managed </w:t>
      </w:r>
      <w:r w:rsidR="00084F6E" w:rsidRPr="000C259B">
        <w:rPr>
          <w:rStyle w:val="normaltextrun1"/>
          <w:rFonts w:ascii="Calibri" w:eastAsia="Times New Roman" w:hAnsi="Calibri" w:cs="Calibri"/>
          <w:sz w:val="22"/>
          <w:szCs w:val="22"/>
          <w:lang w:eastAsia="en-NZ"/>
        </w:rPr>
        <w:t>and</w:t>
      </w:r>
      <w:r w:rsidR="00383F9D" w:rsidRPr="000C259B">
        <w:rPr>
          <w:rStyle w:val="normaltextrun1"/>
          <w:rFonts w:ascii="Calibri" w:eastAsia="Times New Roman" w:hAnsi="Calibri" w:cs="Calibri"/>
          <w:sz w:val="22"/>
          <w:szCs w:val="22"/>
          <w:lang w:eastAsia="en-NZ"/>
        </w:rPr>
        <w:t xml:space="preserve"> are </w:t>
      </w:r>
      <w:r w:rsidR="00084F6E" w:rsidRPr="000C259B">
        <w:rPr>
          <w:rStyle w:val="normaltextrun1"/>
          <w:rFonts w:ascii="Calibri" w:eastAsia="Times New Roman" w:hAnsi="Calibri" w:cs="Calibri"/>
          <w:sz w:val="22"/>
          <w:szCs w:val="22"/>
          <w:lang w:eastAsia="en-NZ"/>
        </w:rPr>
        <w:t>often highly emotive</w:t>
      </w:r>
      <w:r w:rsidR="00F152C9" w:rsidRPr="000C259B">
        <w:rPr>
          <w:rStyle w:val="normaltextrun1"/>
          <w:rFonts w:ascii="Calibri" w:eastAsia="Times New Roman" w:hAnsi="Calibri" w:cs="Calibri"/>
          <w:sz w:val="22"/>
          <w:szCs w:val="22"/>
          <w:lang w:eastAsia="en-NZ"/>
        </w:rPr>
        <w:t xml:space="preserve">  </w:t>
      </w:r>
    </w:p>
    <w:p w14:paraId="4303ECBE" w14:textId="1F663C5D" w:rsidR="00722297" w:rsidRPr="000C259B" w:rsidRDefault="4874AEBB"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575E049E">
        <w:rPr>
          <w:rStyle w:val="normaltextrun1"/>
          <w:rFonts w:ascii="Calibri" w:eastAsia="Times New Roman" w:hAnsi="Calibri" w:cs="Calibri"/>
          <w:sz w:val="22"/>
          <w:szCs w:val="22"/>
          <w:lang w:eastAsia="en-NZ"/>
        </w:rPr>
        <w:t>a</w:t>
      </w:r>
      <w:r w:rsidR="001C3A65" w:rsidRPr="000C259B">
        <w:rPr>
          <w:rStyle w:val="normaltextrun1"/>
          <w:rFonts w:ascii="Calibri" w:eastAsia="Times New Roman" w:hAnsi="Calibri" w:cs="Calibri"/>
          <w:sz w:val="22"/>
          <w:szCs w:val="22"/>
          <w:lang w:eastAsia="en-NZ"/>
        </w:rPr>
        <w:t xml:space="preserve">s Police do not record all contacts, </w:t>
      </w:r>
      <w:r w:rsidR="004F36C5" w:rsidRPr="000C259B">
        <w:rPr>
          <w:rStyle w:val="normaltextrun1"/>
          <w:rFonts w:ascii="Calibri" w:eastAsia="Times New Roman" w:hAnsi="Calibri" w:cs="Calibri"/>
          <w:sz w:val="22"/>
          <w:szCs w:val="22"/>
          <w:lang w:eastAsia="en-NZ"/>
        </w:rPr>
        <w:t xml:space="preserve">and do not record offers of referrals that individuals do not consent to, </w:t>
      </w:r>
      <w:r w:rsidR="001C3A65" w:rsidRPr="000C259B">
        <w:rPr>
          <w:rStyle w:val="normaltextrun1"/>
          <w:rFonts w:ascii="Calibri" w:eastAsia="Times New Roman" w:hAnsi="Calibri" w:cs="Calibri"/>
          <w:sz w:val="22"/>
          <w:szCs w:val="22"/>
          <w:lang w:eastAsia="en-NZ"/>
        </w:rPr>
        <w:t xml:space="preserve">we do not have total numbers where Police consider a referral to health services </w:t>
      </w:r>
      <w:r w:rsidR="004D7EEC" w:rsidRPr="000C259B">
        <w:rPr>
          <w:rStyle w:val="normaltextrun1"/>
          <w:rFonts w:ascii="Calibri" w:eastAsia="Times New Roman" w:hAnsi="Calibri" w:cs="Calibri"/>
          <w:sz w:val="22"/>
          <w:szCs w:val="22"/>
          <w:lang w:eastAsia="en-NZ"/>
        </w:rPr>
        <w:t>would be beneficial</w:t>
      </w:r>
    </w:p>
    <w:p w14:paraId="3AEAECEC" w14:textId="759BCDE1" w:rsidR="00BF5E7A" w:rsidRPr="000C259B" w:rsidRDefault="00BF5E7A"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Police referrals to the MoDA referral pathway are only recorded when the individual consents to being referred. Data is not recorded on the number of referrals offered by Police which are declined</w:t>
      </w:r>
    </w:p>
    <w:p w14:paraId="770B8175" w14:textId="33241A82" w:rsidR="00AA2805" w:rsidRPr="000C259B" w:rsidRDefault="0006698B"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Police referrals are voluntary, and a person </w:t>
      </w:r>
      <w:r w:rsidR="00AD6E29" w:rsidRPr="000C259B">
        <w:rPr>
          <w:rStyle w:val="normaltextrun1"/>
          <w:rFonts w:ascii="Calibri" w:eastAsia="Times New Roman" w:hAnsi="Calibri" w:cs="Calibri"/>
          <w:sz w:val="22"/>
          <w:szCs w:val="22"/>
          <w:lang w:eastAsia="en-NZ"/>
        </w:rPr>
        <w:t xml:space="preserve">using drugs harmfully </w:t>
      </w:r>
      <w:r w:rsidRPr="000C259B">
        <w:rPr>
          <w:rStyle w:val="normaltextrun1"/>
          <w:rFonts w:ascii="Calibri" w:eastAsia="Times New Roman" w:hAnsi="Calibri" w:cs="Calibri"/>
          <w:sz w:val="22"/>
          <w:szCs w:val="22"/>
          <w:lang w:eastAsia="en-NZ"/>
        </w:rPr>
        <w:t xml:space="preserve">needs to be ready and able to </w:t>
      </w:r>
      <w:r w:rsidR="000556D3" w:rsidRPr="000C259B">
        <w:rPr>
          <w:rStyle w:val="normaltextrun1"/>
          <w:rFonts w:ascii="Calibri" w:eastAsia="Times New Roman" w:hAnsi="Calibri" w:cs="Calibri"/>
          <w:sz w:val="22"/>
          <w:szCs w:val="22"/>
          <w:lang w:eastAsia="en-NZ"/>
        </w:rPr>
        <w:t xml:space="preserve">access </w:t>
      </w:r>
      <w:r w:rsidR="003601C3" w:rsidRPr="000C259B">
        <w:rPr>
          <w:rStyle w:val="normaltextrun1"/>
          <w:rFonts w:ascii="Calibri" w:eastAsia="Times New Roman" w:hAnsi="Calibri" w:cs="Calibri"/>
          <w:sz w:val="22"/>
          <w:szCs w:val="22"/>
          <w:lang w:eastAsia="en-NZ"/>
        </w:rPr>
        <w:t xml:space="preserve">drug counselling </w:t>
      </w:r>
      <w:r w:rsidR="00345BF0" w:rsidRPr="000C259B">
        <w:rPr>
          <w:rStyle w:val="normaltextrun1"/>
          <w:rFonts w:ascii="Calibri" w:eastAsia="Times New Roman" w:hAnsi="Calibri" w:cs="Calibri"/>
          <w:sz w:val="22"/>
          <w:szCs w:val="22"/>
          <w:lang w:eastAsia="en-NZ"/>
        </w:rPr>
        <w:t>or</w:t>
      </w:r>
      <w:r w:rsidR="003601C3" w:rsidRPr="000C259B">
        <w:rPr>
          <w:rStyle w:val="normaltextrun1"/>
          <w:rFonts w:ascii="Calibri" w:eastAsia="Times New Roman" w:hAnsi="Calibri" w:cs="Calibri"/>
          <w:sz w:val="22"/>
          <w:szCs w:val="22"/>
          <w:lang w:eastAsia="en-NZ"/>
        </w:rPr>
        <w:t xml:space="preserve"> other supports</w:t>
      </w:r>
      <w:r w:rsidR="003A6676" w:rsidRPr="000C259B">
        <w:rPr>
          <w:rStyle w:val="normaltextrun1"/>
          <w:rFonts w:ascii="Calibri" w:eastAsia="Times New Roman" w:hAnsi="Calibri" w:cs="Calibri"/>
          <w:sz w:val="22"/>
          <w:szCs w:val="22"/>
          <w:lang w:eastAsia="en-NZ"/>
        </w:rPr>
        <w:t xml:space="preserve">, </w:t>
      </w:r>
      <w:r w:rsidR="003601C3" w:rsidRPr="000C259B">
        <w:rPr>
          <w:rStyle w:val="normaltextrun1"/>
          <w:rFonts w:ascii="Calibri" w:eastAsia="Times New Roman" w:hAnsi="Calibri" w:cs="Calibri"/>
          <w:sz w:val="22"/>
          <w:szCs w:val="22"/>
          <w:lang w:eastAsia="en-NZ"/>
        </w:rPr>
        <w:t xml:space="preserve">we do not expect every referral to materialise into </w:t>
      </w:r>
      <w:r w:rsidR="00217976" w:rsidRPr="000C259B">
        <w:rPr>
          <w:rStyle w:val="normaltextrun1"/>
          <w:rFonts w:ascii="Calibri" w:eastAsia="Times New Roman" w:hAnsi="Calibri" w:cs="Calibri"/>
          <w:sz w:val="22"/>
          <w:szCs w:val="22"/>
          <w:lang w:eastAsia="en-NZ"/>
        </w:rPr>
        <w:t>contact</w:t>
      </w:r>
    </w:p>
    <w:p w14:paraId="6F92D9C8" w14:textId="488D0E81" w:rsidR="00BF1074" w:rsidRPr="000C259B" w:rsidRDefault="0086088F"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 xml:space="preserve">the right kind of supports </w:t>
      </w:r>
      <w:r w:rsidR="008574DB" w:rsidRPr="000C259B">
        <w:rPr>
          <w:rStyle w:val="normaltextrun1"/>
          <w:rFonts w:ascii="Calibri" w:eastAsia="Times New Roman" w:hAnsi="Calibri" w:cs="Calibri"/>
          <w:sz w:val="22"/>
          <w:szCs w:val="22"/>
          <w:lang w:eastAsia="en-NZ"/>
        </w:rPr>
        <w:t>are not always available</w:t>
      </w:r>
      <w:r w:rsidR="00966CC1" w:rsidRPr="000C259B">
        <w:rPr>
          <w:rStyle w:val="normaltextrun1"/>
          <w:rFonts w:ascii="Calibri" w:eastAsia="Times New Roman" w:hAnsi="Calibri" w:cs="Calibri"/>
          <w:sz w:val="22"/>
          <w:szCs w:val="22"/>
          <w:lang w:eastAsia="en-NZ"/>
        </w:rPr>
        <w:t xml:space="preserve">. </w:t>
      </w:r>
      <w:r w:rsidR="000556D3" w:rsidRPr="000C259B">
        <w:rPr>
          <w:rStyle w:val="normaltextrun1"/>
          <w:rFonts w:ascii="Calibri" w:eastAsia="Times New Roman" w:hAnsi="Calibri" w:cs="Calibri"/>
          <w:sz w:val="22"/>
          <w:szCs w:val="22"/>
          <w:lang w:eastAsia="en-NZ"/>
        </w:rPr>
        <w:t xml:space="preserve"> </w:t>
      </w:r>
    </w:p>
    <w:p w14:paraId="3FE9F6BB" w14:textId="29129F0D" w:rsidR="00EA37A3" w:rsidRDefault="00DE31EE" w:rsidP="00EA37A3">
      <w:r>
        <w:t xml:space="preserve">The </w:t>
      </w:r>
      <w:r w:rsidR="00EA37A3">
        <w:t xml:space="preserve">table below shows the numbers of referrals made through to the </w:t>
      </w:r>
      <w:r w:rsidR="00B660F8">
        <w:t>Alcohol Drug</w:t>
      </w:r>
      <w:r w:rsidR="00EA37A3">
        <w:t xml:space="preserve"> helpline</w:t>
      </w:r>
      <w:r w:rsidR="004944F0">
        <w:t xml:space="preserve"> provided by </w:t>
      </w:r>
      <w:proofErr w:type="spellStart"/>
      <w:r w:rsidR="004944F0">
        <w:t>Whakarongorau</w:t>
      </w:r>
      <w:proofErr w:type="spellEnd"/>
      <w:r w:rsidR="00B660F8">
        <w:t xml:space="preserve"> Aotearoa</w:t>
      </w:r>
      <w:r w:rsidR="00162A85">
        <w:t xml:space="preserve">, all of whom will have received text messages through the service. It also shows total contacts </w:t>
      </w:r>
      <w:r w:rsidR="00EC3C5C">
        <w:t>representing calls through to</w:t>
      </w:r>
      <w:r w:rsidR="002C4D18">
        <w:t xml:space="preserve"> the </w:t>
      </w:r>
      <w:r w:rsidR="00B660F8">
        <w:t xml:space="preserve">Alcohol Drug </w:t>
      </w:r>
      <w:r w:rsidR="00EC3C5C">
        <w:t>helpline</w:t>
      </w:r>
      <w:r w:rsidR="00EE0C95">
        <w:t>, and the number of people who have been in contac</w:t>
      </w:r>
      <w:r w:rsidR="00EC3C5C">
        <w:t>t.</w:t>
      </w:r>
      <w:r w:rsidR="00EA37A3">
        <w:t xml:space="preserve"> </w:t>
      </w:r>
      <w:r w:rsidR="00395BA0">
        <w:t xml:space="preserve">This information is recorded by the </w:t>
      </w:r>
      <w:r w:rsidR="00677E01">
        <w:t xml:space="preserve">Alcohol Drug </w:t>
      </w:r>
      <w:r w:rsidR="00395BA0">
        <w:t xml:space="preserve">helpline service provider, </w:t>
      </w:r>
      <w:proofErr w:type="spellStart"/>
      <w:r w:rsidR="00395BA0">
        <w:t>Whakarongora</w:t>
      </w:r>
      <w:r w:rsidR="00B660F8">
        <w:t>u</w:t>
      </w:r>
      <w:proofErr w:type="spellEnd"/>
      <w:r w:rsidR="00B660F8">
        <w:t xml:space="preserve"> Aotearoa</w:t>
      </w:r>
      <w:r w:rsidR="00395BA0">
        <w:t>.</w:t>
      </w:r>
    </w:p>
    <w:p w14:paraId="3F250B87" w14:textId="74B1A104" w:rsidR="0080439D" w:rsidRDefault="0080439D" w:rsidP="0080439D">
      <w:r>
        <w:t xml:space="preserve">Since the Drug Referral Pathway’s launch in August 2019, </w:t>
      </w:r>
      <w:proofErr w:type="spellStart"/>
      <w:r>
        <w:t>Whakarongorau</w:t>
      </w:r>
      <w:proofErr w:type="spellEnd"/>
      <w:r w:rsidR="00B660F8">
        <w:t xml:space="preserve"> Aotearoa</w:t>
      </w:r>
      <w:r>
        <w:t xml:space="preserve">’s </w:t>
      </w:r>
      <w:r w:rsidR="00B660F8">
        <w:t xml:space="preserve">Alcohol Drug </w:t>
      </w:r>
      <w:r w:rsidR="00180DD3">
        <w:t>H</w:t>
      </w:r>
      <w:r>
        <w:t>elpline has:</w:t>
      </w:r>
    </w:p>
    <w:p w14:paraId="0B37FF81" w14:textId="77777777" w:rsidR="0080439D" w:rsidRPr="000C259B" w:rsidRDefault="0080439D"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lastRenderedPageBreak/>
        <w:t>received 959 total referrals, ranging from 28 to 65 a month, and an average of 43.6 per month</w:t>
      </w:r>
    </w:p>
    <w:p w14:paraId="7E51B9F2" w14:textId="671400F6" w:rsidR="0080439D" w:rsidRPr="000C259B" w:rsidRDefault="001209C5"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0C259B">
        <w:rPr>
          <w:rStyle w:val="normaltextrun1"/>
          <w:rFonts w:ascii="Calibri" w:eastAsia="Times New Roman" w:hAnsi="Calibri" w:cs="Calibri"/>
          <w:sz w:val="22"/>
          <w:szCs w:val="22"/>
          <w:lang w:eastAsia="en-NZ"/>
        </w:rPr>
        <w:t>received</w:t>
      </w:r>
      <w:r w:rsidR="0080439D" w:rsidRPr="000C259B">
        <w:rPr>
          <w:rStyle w:val="normaltextrun1"/>
          <w:rFonts w:ascii="Calibri" w:eastAsia="Times New Roman" w:hAnsi="Calibri" w:cs="Calibri"/>
          <w:sz w:val="22"/>
          <w:szCs w:val="22"/>
          <w:lang w:eastAsia="en-NZ"/>
        </w:rPr>
        <w:t xml:space="preserve"> 181 </w:t>
      </w:r>
      <w:r w:rsidRPr="000C259B">
        <w:rPr>
          <w:rStyle w:val="normaltextrun1"/>
          <w:rFonts w:ascii="Calibri" w:eastAsia="Times New Roman" w:hAnsi="Calibri" w:cs="Calibri"/>
          <w:sz w:val="22"/>
          <w:szCs w:val="22"/>
          <w:lang w:eastAsia="en-NZ"/>
        </w:rPr>
        <w:t>calls and texts from</w:t>
      </w:r>
      <w:r w:rsidR="0080439D" w:rsidRPr="000C259B">
        <w:rPr>
          <w:rStyle w:val="normaltextrun1"/>
          <w:rFonts w:ascii="Calibri" w:eastAsia="Times New Roman" w:hAnsi="Calibri" w:cs="Calibri"/>
          <w:sz w:val="22"/>
          <w:szCs w:val="22"/>
          <w:lang w:eastAsia="en-NZ"/>
        </w:rPr>
        <w:t xml:space="preserve"> 147 </w:t>
      </w:r>
      <w:r w:rsidRPr="000C259B">
        <w:rPr>
          <w:rStyle w:val="normaltextrun1"/>
          <w:rFonts w:ascii="Calibri" w:eastAsia="Times New Roman" w:hAnsi="Calibri" w:cs="Calibri"/>
          <w:sz w:val="22"/>
          <w:szCs w:val="22"/>
          <w:lang w:eastAsia="en-NZ"/>
        </w:rPr>
        <w:t xml:space="preserve">unique </w:t>
      </w:r>
      <w:r w:rsidR="0080439D" w:rsidRPr="000C259B">
        <w:rPr>
          <w:rStyle w:val="normaltextrun1"/>
          <w:rFonts w:ascii="Calibri" w:eastAsia="Times New Roman" w:hAnsi="Calibri" w:cs="Calibri"/>
          <w:sz w:val="22"/>
          <w:szCs w:val="22"/>
          <w:lang w:eastAsia="en-NZ"/>
        </w:rPr>
        <w:t>individuals.</w:t>
      </w:r>
    </w:p>
    <w:p w14:paraId="7A07A9C6" w14:textId="77777777" w:rsidR="0076209A" w:rsidRDefault="0080439D" w:rsidP="0080439D">
      <w:r>
        <w:t xml:space="preserve">As is illustrated by table </w:t>
      </w:r>
      <w:r w:rsidR="0076209A">
        <w:t>3</w:t>
      </w:r>
      <w:r w:rsidR="00415812">
        <w:t>,</w:t>
      </w:r>
      <w:r>
        <w:t xml:space="preserve"> referral and contact numbers do fluctuate, but are often </w:t>
      </w:r>
      <w:r w:rsidR="00B37B4B">
        <w:t>small in number</w:t>
      </w:r>
      <w:r>
        <w:t xml:space="preserve">. </w:t>
      </w:r>
    </w:p>
    <w:p w14:paraId="4F3677CB" w14:textId="2F751255" w:rsidR="0080439D" w:rsidRDefault="00FF3B58" w:rsidP="00FF3B58">
      <w:pPr>
        <w:pStyle w:val="Caption"/>
        <w:ind w:left="720" w:firstLine="720"/>
      </w:pPr>
      <w:bookmarkStart w:id="190" w:name="_Toc75943060"/>
      <w:bookmarkStart w:id="191" w:name="_Toc77776099"/>
      <w:r>
        <w:t xml:space="preserve">Table </w:t>
      </w:r>
      <w:r>
        <w:fldChar w:fldCharType="begin"/>
      </w:r>
      <w:r>
        <w:instrText>SEQ Table \* ARABIC</w:instrText>
      </w:r>
      <w:r>
        <w:fldChar w:fldCharType="separate"/>
      </w:r>
      <w:r w:rsidR="00AA3031">
        <w:rPr>
          <w:noProof/>
        </w:rPr>
        <w:t>3</w:t>
      </w:r>
      <w:r>
        <w:fldChar w:fldCharType="end"/>
      </w:r>
      <w:r w:rsidR="00C54497" w:rsidRPr="00C90765">
        <w:t>:</w:t>
      </w:r>
      <w:r w:rsidR="0080439D" w:rsidRPr="00423AB1">
        <w:t xml:space="preserve"> Police referrals to the </w:t>
      </w:r>
      <w:r w:rsidR="008C390F">
        <w:t>MoDA</w:t>
      </w:r>
      <w:r w:rsidR="0080439D" w:rsidRPr="00423AB1">
        <w:t xml:space="preserve"> referral </w:t>
      </w:r>
      <w:r w:rsidR="008C390F">
        <w:t>pathway</w:t>
      </w:r>
      <w:bookmarkEnd w:id="190"/>
      <w:bookmarkEnd w:id="191"/>
    </w:p>
    <w:tbl>
      <w:tblPr>
        <w:tblW w:w="6340" w:type="dxa"/>
        <w:jc w:val="center"/>
        <w:tblLook w:val="04A0" w:firstRow="1" w:lastRow="0" w:firstColumn="1" w:lastColumn="0" w:noHBand="0" w:noVBand="1"/>
      </w:tblPr>
      <w:tblGrid>
        <w:gridCol w:w="960"/>
        <w:gridCol w:w="1780"/>
        <w:gridCol w:w="1720"/>
        <w:gridCol w:w="1880"/>
      </w:tblGrid>
      <w:tr w:rsidR="0074306A" w:rsidRPr="0074306A" w14:paraId="47148F6F" w14:textId="77777777" w:rsidTr="00A12CFA">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E26A495"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Month</w:t>
            </w:r>
          </w:p>
        </w:tc>
        <w:tc>
          <w:tcPr>
            <w:tcW w:w="1780" w:type="dxa"/>
            <w:tcBorders>
              <w:top w:val="single" w:sz="4" w:space="0" w:color="auto"/>
              <w:left w:val="nil"/>
              <w:bottom w:val="single" w:sz="4" w:space="0" w:color="auto"/>
              <w:right w:val="single" w:sz="4" w:space="0" w:color="auto"/>
            </w:tcBorders>
            <w:shd w:val="clear" w:color="000000" w:fill="DDEBF7"/>
            <w:vAlign w:val="center"/>
            <w:hideMark/>
          </w:tcPr>
          <w:p w14:paraId="6B84BFCB"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Total Referrals</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14:paraId="5EBEBC84"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Total Contacts</w:t>
            </w:r>
          </w:p>
        </w:tc>
        <w:tc>
          <w:tcPr>
            <w:tcW w:w="1880" w:type="dxa"/>
            <w:tcBorders>
              <w:top w:val="single" w:sz="4" w:space="0" w:color="auto"/>
              <w:left w:val="nil"/>
              <w:bottom w:val="single" w:sz="4" w:space="0" w:color="auto"/>
              <w:right w:val="single" w:sz="4" w:space="0" w:color="auto"/>
            </w:tcBorders>
            <w:shd w:val="clear" w:color="000000" w:fill="DDEBF7"/>
            <w:vAlign w:val="center"/>
            <w:hideMark/>
          </w:tcPr>
          <w:p w14:paraId="5652F1D6"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Unique Service Users</w:t>
            </w:r>
          </w:p>
        </w:tc>
      </w:tr>
      <w:tr w:rsidR="0074306A" w:rsidRPr="0074306A" w14:paraId="1A962CF5"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2ACD1F"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Aug-19</w:t>
            </w:r>
          </w:p>
        </w:tc>
        <w:tc>
          <w:tcPr>
            <w:tcW w:w="1780" w:type="dxa"/>
            <w:tcBorders>
              <w:top w:val="nil"/>
              <w:left w:val="nil"/>
              <w:bottom w:val="single" w:sz="4" w:space="0" w:color="auto"/>
              <w:right w:val="single" w:sz="4" w:space="0" w:color="auto"/>
            </w:tcBorders>
            <w:shd w:val="clear" w:color="auto" w:fill="auto"/>
            <w:vAlign w:val="center"/>
            <w:hideMark/>
          </w:tcPr>
          <w:p w14:paraId="3E0BE3B8"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16</w:t>
            </w:r>
          </w:p>
        </w:tc>
        <w:tc>
          <w:tcPr>
            <w:tcW w:w="1720" w:type="dxa"/>
            <w:tcBorders>
              <w:top w:val="nil"/>
              <w:left w:val="nil"/>
              <w:bottom w:val="single" w:sz="4" w:space="0" w:color="auto"/>
              <w:right w:val="single" w:sz="4" w:space="0" w:color="auto"/>
            </w:tcBorders>
            <w:shd w:val="clear" w:color="auto" w:fill="auto"/>
            <w:vAlign w:val="center"/>
            <w:hideMark/>
          </w:tcPr>
          <w:p w14:paraId="692BF24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2</w:t>
            </w:r>
          </w:p>
        </w:tc>
        <w:tc>
          <w:tcPr>
            <w:tcW w:w="1880" w:type="dxa"/>
            <w:tcBorders>
              <w:top w:val="nil"/>
              <w:left w:val="nil"/>
              <w:bottom w:val="single" w:sz="4" w:space="0" w:color="auto"/>
              <w:right w:val="single" w:sz="4" w:space="0" w:color="auto"/>
            </w:tcBorders>
            <w:shd w:val="clear" w:color="auto" w:fill="auto"/>
            <w:vAlign w:val="center"/>
            <w:hideMark/>
          </w:tcPr>
          <w:p w14:paraId="55FB090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2</w:t>
            </w:r>
          </w:p>
        </w:tc>
      </w:tr>
      <w:tr w:rsidR="0074306A" w:rsidRPr="0074306A" w14:paraId="113D93C5"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0E477D90"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Sep-19</w:t>
            </w:r>
          </w:p>
        </w:tc>
        <w:tc>
          <w:tcPr>
            <w:tcW w:w="1780" w:type="dxa"/>
            <w:tcBorders>
              <w:top w:val="nil"/>
              <w:left w:val="nil"/>
              <w:bottom w:val="single" w:sz="4" w:space="0" w:color="auto"/>
              <w:right w:val="single" w:sz="4" w:space="0" w:color="auto"/>
            </w:tcBorders>
            <w:shd w:val="clear" w:color="000000" w:fill="D9D9D9"/>
            <w:vAlign w:val="center"/>
            <w:hideMark/>
          </w:tcPr>
          <w:p w14:paraId="67A8A685"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61</w:t>
            </w:r>
          </w:p>
        </w:tc>
        <w:tc>
          <w:tcPr>
            <w:tcW w:w="1720" w:type="dxa"/>
            <w:tcBorders>
              <w:top w:val="nil"/>
              <w:left w:val="nil"/>
              <w:bottom w:val="single" w:sz="4" w:space="0" w:color="auto"/>
              <w:right w:val="single" w:sz="4" w:space="0" w:color="auto"/>
            </w:tcBorders>
            <w:shd w:val="clear" w:color="000000" w:fill="D9D9D9"/>
            <w:vAlign w:val="center"/>
            <w:hideMark/>
          </w:tcPr>
          <w:p w14:paraId="4C0938C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8</w:t>
            </w:r>
          </w:p>
        </w:tc>
        <w:tc>
          <w:tcPr>
            <w:tcW w:w="1880" w:type="dxa"/>
            <w:tcBorders>
              <w:top w:val="nil"/>
              <w:left w:val="nil"/>
              <w:bottom w:val="single" w:sz="4" w:space="0" w:color="auto"/>
              <w:right w:val="single" w:sz="4" w:space="0" w:color="auto"/>
            </w:tcBorders>
            <w:shd w:val="clear" w:color="000000" w:fill="D9D9D9"/>
            <w:vAlign w:val="center"/>
            <w:hideMark/>
          </w:tcPr>
          <w:p w14:paraId="18D3D275"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8</w:t>
            </w:r>
          </w:p>
        </w:tc>
      </w:tr>
      <w:tr w:rsidR="0074306A" w:rsidRPr="0074306A" w14:paraId="5A44C154"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5AA810"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Oct-19</w:t>
            </w:r>
          </w:p>
        </w:tc>
        <w:tc>
          <w:tcPr>
            <w:tcW w:w="1780" w:type="dxa"/>
            <w:tcBorders>
              <w:top w:val="nil"/>
              <w:left w:val="nil"/>
              <w:bottom w:val="single" w:sz="4" w:space="0" w:color="auto"/>
              <w:right w:val="single" w:sz="4" w:space="0" w:color="auto"/>
            </w:tcBorders>
            <w:shd w:val="clear" w:color="auto" w:fill="auto"/>
            <w:vAlign w:val="center"/>
            <w:hideMark/>
          </w:tcPr>
          <w:p w14:paraId="6AEE29D4"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49</w:t>
            </w:r>
          </w:p>
        </w:tc>
        <w:tc>
          <w:tcPr>
            <w:tcW w:w="1720" w:type="dxa"/>
            <w:tcBorders>
              <w:top w:val="nil"/>
              <w:left w:val="nil"/>
              <w:bottom w:val="single" w:sz="4" w:space="0" w:color="auto"/>
              <w:right w:val="single" w:sz="4" w:space="0" w:color="auto"/>
            </w:tcBorders>
            <w:shd w:val="clear" w:color="auto" w:fill="auto"/>
            <w:vAlign w:val="center"/>
            <w:hideMark/>
          </w:tcPr>
          <w:p w14:paraId="4DC796D0"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15</w:t>
            </w:r>
          </w:p>
        </w:tc>
        <w:tc>
          <w:tcPr>
            <w:tcW w:w="1880" w:type="dxa"/>
            <w:tcBorders>
              <w:top w:val="nil"/>
              <w:left w:val="nil"/>
              <w:bottom w:val="single" w:sz="4" w:space="0" w:color="auto"/>
              <w:right w:val="single" w:sz="4" w:space="0" w:color="auto"/>
            </w:tcBorders>
            <w:shd w:val="clear" w:color="auto" w:fill="auto"/>
            <w:vAlign w:val="center"/>
            <w:hideMark/>
          </w:tcPr>
          <w:p w14:paraId="7CF1909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9</w:t>
            </w:r>
          </w:p>
        </w:tc>
      </w:tr>
      <w:tr w:rsidR="0074306A" w:rsidRPr="0074306A" w14:paraId="1E35573B"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B990A7"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Nov-19</w:t>
            </w:r>
          </w:p>
        </w:tc>
        <w:tc>
          <w:tcPr>
            <w:tcW w:w="1780" w:type="dxa"/>
            <w:tcBorders>
              <w:top w:val="nil"/>
              <w:left w:val="nil"/>
              <w:bottom w:val="single" w:sz="4" w:space="0" w:color="auto"/>
              <w:right w:val="single" w:sz="4" w:space="0" w:color="auto"/>
            </w:tcBorders>
            <w:shd w:val="clear" w:color="auto" w:fill="auto"/>
            <w:vAlign w:val="center"/>
            <w:hideMark/>
          </w:tcPr>
          <w:p w14:paraId="5BEF280A"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55</w:t>
            </w:r>
          </w:p>
        </w:tc>
        <w:tc>
          <w:tcPr>
            <w:tcW w:w="1720" w:type="dxa"/>
            <w:tcBorders>
              <w:top w:val="nil"/>
              <w:left w:val="nil"/>
              <w:bottom w:val="single" w:sz="4" w:space="0" w:color="auto"/>
              <w:right w:val="single" w:sz="4" w:space="0" w:color="auto"/>
            </w:tcBorders>
            <w:shd w:val="clear" w:color="auto" w:fill="auto"/>
            <w:vAlign w:val="center"/>
            <w:hideMark/>
          </w:tcPr>
          <w:p w14:paraId="00DFEB84"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w:t>
            </w:r>
          </w:p>
        </w:tc>
        <w:tc>
          <w:tcPr>
            <w:tcW w:w="1880" w:type="dxa"/>
            <w:tcBorders>
              <w:top w:val="nil"/>
              <w:left w:val="nil"/>
              <w:bottom w:val="single" w:sz="4" w:space="0" w:color="auto"/>
              <w:right w:val="single" w:sz="4" w:space="0" w:color="auto"/>
            </w:tcBorders>
            <w:shd w:val="clear" w:color="auto" w:fill="auto"/>
            <w:vAlign w:val="center"/>
            <w:hideMark/>
          </w:tcPr>
          <w:p w14:paraId="295ADF4D"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w:t>
            </w:r>
          </w:p>
        </w:tc>
      </w:tr>
      <w:tr w:rsidR="0074306A" w:rsidRPr="0074306A" w14:paraId="09714902"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7F6031A2"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Dec-19</w:t>
            </w:r>
          </w:p>
        </w:tc>
        <w:tc>
          <w:tcPr>
            <w:tcW w:w="1780" w:type="dxa"/>
            <w:tcBorders>
              <w:top w:val="nil"/>
              <w:left w:val="nil"/>
              <w:bottom w:val="single" w:sz="4" w:space="0" w:color="auto"/>
              <w:right w:val="single" w:sz="4" w:space="0" w:color="auto"/>
            </w:tcBorders>
            <w:shd w:val="clear" w:color="000000" w:fill="D9D9D9"/>
            <w:vAlign w:val="center"/>
            <w:hideMark/>
          </w:tcPr>
          <w:p w14:paraId="285D0914"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65</w:t>
            </w:r>
          </w:p>
        </w:tc>
        <w:tc>
          <w:tcPr>
            <w:tcW w:w="1720" w:type="dxa"/>
            <w:tcBorders>
              <w:top w:val="nil"/>
              <w:left w:val="nil"/>
              <w:bottom w:val="single" w:sz="4" w:space="0" w:color="auto"/>
              <w:right w:val="single" w:sz="4" w:space="0" w:color="auto"/>
            </w:tcBorders>
            <w:shd w:val="clear" w:color="000000" w:fill="D9D9D9"/>
            <w:vAlign w:val="center"/>
            <w:hideMark/>
          </w:tcPr>
          <w:p w14:paraId="143211D2"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7</w:t>
            </w:r>
          </w:p>
        </w:tc>
        <w:tc>
          <w:tcPr>
            <w:tcW w:w="1880" w:type="dxa"/>
            <w:tcBorders>
              <w:top w:val="nil"/>
              <w:left w:val="nil"/>
              <w:bottom w:val="single" w:sz="4" w:space="0" w:color="auto"/>
              <w:right w:val="single" w:sz="4" w:space="0" w:color="auto"/>
            </w:tcBorders>
            <w:shd w:val="clear" w:color="000000" w:fill="D9D9D9"/>
            <w:vAlign w:val="center"/>
            <w:hideMark/>
          </w:tcPr>
          <w:p w14:paraId="5FE258B0"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w:t>
            </w:r>
          </w:p>
        </w:tc>
      </w:tr>
      <w:tr w:rsidR="0074306A" w:rsidRPr="0074306A" w14:paraId="43CC333B"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0A88DF"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Jan-20</w:t>
            </w:r>
          </w:p>
        </w:tc>
        <w:tc>
          <w:tcPr>
            <w:tcW w:w="1780" w:type="dxa"/>
            <w:tcBorders>
              <w:top w:val="nil"/>
              <w:left w:val="nil"/>
              <w:bottom w:val="single" w:sz="4" w:space="0" w:color="auto"/>
              <w:right w:val="single" w:sz="4" w:space="0" w:color="auto"/>
            </w:tcBorders>
            <w:shd w:val="clear" w:color="auto" w:fill="auto"/>
            <w:vAlign w:val="center"/>
            <w:hideMark/>
          </w:tcPr>
          <w:p w14:paraId="6131C739"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61</w:t>
            </w:r>
          </w:p>
        </w:tc>
        <w:tc>
          <w:tcPr>
            <w:tcW w:w="1720" w:type="dxa"/>
            <w:tcBorders>
              <w:top w:val="nil"/>
              <w:left w:val="nil"/>
              <w:bottom w:val="single" w:sz="4" w:space="0" w:color="auto"/>
              <w:right w:val="single" w:sz="4" w:space="0" w:color="auto"/>
            </w:tcBorders>
            <w:shd w:val="clear" w:color="auto" w:fill="auto"/>
            <w:vAlign w:val="center"/>
            <w:hideMark/>
          </w:tcPr>
          <w:p w14:paraId="4DB4CB58"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12</w:t>
            </w:r>
          </w:p>
        </w:tc>
        <w:tc>
          <w:tcPr>
            <w:tcW w:w="1880" w:type="dxa"/>
            <w:tcBorders>
              <w:top w:val="nil"/>
              <w:left w:val="nil"/>
              <w:bottom w:val="single" w:sz="4" w:space="0" w:color="auto"/>
              <w:right w:val="single" w:sz="4" w:space="0" w:color="auto"/>
            </w:tcBorders>
            <w:shd w:val="clear" w:color="auto" w:fill="auto"/>
            <w:vAlign w:val="center"/>
            <w:hideMark/>
          </w:tcPr>
          <w:p w14:paraId="2BE9CF8E"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12</w:t>
            </w:r>
          </w:p>
        </w:tc>
      </w:tr>
      <w:tr w:rsidR="0074306A" w:rsidRPr="0074306A" w14:paraId="75A6625C"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D64490"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Feb-20</w:t>
            </w:r>
          </w:p>
        </w:tc>
        <w:tc>
          <w:tcPr>
            <w:tcW w:w="1780" w:type="dxa"/>
            <w:tcBorders>
              <w:top w:val="nil"/>
              <w:left w:val="nil"/>
              <w:bottom w:val="single" w:sz="4" w:space="0" w:color="auto"/>
              <w:right w:val="single" w:sz="4" w:space="0" w:color="auto"/>
            </w:tcBorders>
            <w:shd w:val="clear" w:color="auto" w:fill="auto"/>
            <w:vAlign w:val="center"/>
            <w:hideMark/>
          </w:tcPr>
          <w:p w14:paraId="361111E5"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39</w:t>
            </w:r>
          </w:p>
        </w:tc>
        <w:tc>
          <w:tcPr>
            <w:tcW w:w="1720" w:type="dxa"/>
            <w:tcBorders>
              <w:top w:val="nil"/>
              <w:left w:val="nil"/>
              <w:bottom w:val="single" w:sz="4" w:space="0" w:color="auto"/>
              <w:right w:val="single" w:sz="4" w:space="0" w:color="auto"/>
            </w:tcBorders>
            <w:shd w:val="clear" w:color="auto" w:fill="auto"/>
            <w:vAlign w:val="center"/>
            <w:hideMark/>
          </w:tcPr>
          <w:p w14:paraId="47E83FE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0</w:t>
            </w:r>
          </w:p>
        </w:tc>
        <w:tc>
          <w:tcPr>
            <w:tcW w:w="1880" w:type="dxa"/>
            <w:tcBorders>
              <w:top w:val="nil"/>
              <w:left w:val="nil"/>
              <w:bottom w:val="single" w:sz="4" w:space="0" w:color="auto"/>
              <w:right w:val="single" w:sz="4" w:space="0" w:color="auto"/>
            </w:tcBorders>
            <w:shd w:val="clear" w:color="auto" w:fill="auto"/>
            <w:vAlign w:val="center"/>
            <w:hideMark/>
          </w:tcPr>
          <w:p w14:paraId="33E86639"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0</w:t>
            </w:r>
          </w:p>
        </w:tc>
      </w:tr>
      <w:tr w:rsidR="0074306A" w:rsidRPr="0074306A" w14:paraId="5C0AFD3A"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0B185278"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Mar-20</w:t>
            </w:r>
          </w:p>
        </w:tc>
        <w:tc>
          <w:tcPr>
            <w:tcW w:w="1780" w:type="dxa"/>
            <w:tcBorders>
              <w:top w:val="nil"/>
              <w:left w:val="nil"/>
              <w:bottom w:val="single" w:sz="4" w:space="0" w:color="auto"/>
              <w:right w:val="single" w:sz="4" w:space="0" w:color="auto"/>
            </w:tcBorders>
            <w:shd w:val="clear" w:color="000000" w:fill="D9D9D9"/>
            <w:vAlign w:val="center"/>
            <w:hideMark/>
          </w:tcPr>
          <w:p w14:paraId="3F208090"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37</w:t>
            </w:r>
          </w:p>
        </w:tc>
        <w:tc>
          <w:tcPr>
            <w:tcW w:w="1720" w:type="dxa"/>
            <w:tcBorders>
              <w:top w:val="nil"/>
              <w:left w:val="nil"/>
              <w:bottom w:val="single" w:sz="4" w:space="0" w:color="auto"/>
              <w:right w:val="single" w:sz="4" w:space="0" w:color="auto"/>
            </w:tcBorders>
            <w:shd w:val="clear" w:color="000000" w:fill="D9D9D9"/>
            <w:vAlign w:val="center"/>
            <w:hideMark/>
          </w:tcPr>
          <w:p w14:paraId="5CF0EC4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w:t>
            </w:r>
          </w:p>
        </w:tc>
        <w:tc>
          <w:tcPr>
            <w:tcW w:w="1880" w:type="dxa"/>
            <w:tcBorders>
              <w:top w:val="nil"/>
              <w:left w:val="nil"/>
              <w:bottom w:val="single" w:sz="4" w:space="0" w:color="auto"/>
              <w:right w:val="single" w:sz="4" w:space="0" w:color="auto"/>
            </w:tcBorders>
            <w:shd w:val="clear" w:color="000000" w:fill="D9D9D9"/>
            <w:vAlign w:val="center"/>
            <w:hideMark/>
          </w:tcPr>
          <w:p w14:paraId="21A54313"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w:t>
            </w:r>
          </w:p>
        </w:tc>
      </w:tr>
      <w:tr w:rsidR="0074306A" w:rsidRPr="0074306A" w14:paraId="5129DC87"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A1854B"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Apr-20</w:t>
            </w:r>
          </w:p>
        </w:tc>
        <w:tc>
          <w:tcPr>
            <w:tcW w:w="1780" w:type="dxa"/>
            <w:tcBorders>
              <w:top w:val="nil"/>
              <w:left w:val="nil"/>
              <w:bottom w:val="single" w:sz="4" w:space="0" w:color="auto"/>
              <w:right w:val="single" w:sz="4" w:space="0" w:color="auto"/>
            </w:tcBorders>
            <w:shd w:val="clear" w:color="auto" w:fill="auto"/>
            <w:vAlign w:val="center"/>
            <w:hideMark/>
          </w:tcPr>
          <w:p w14:paraId="4B836550"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46</w:t>
            </w:r>
          </w:p>
        </w:tc>
        <w:tc>
          <w:tcPr>
            <w:tcW w:w="1720" w:type="dxa"/>
            <w:tcBorders>
              <w:top w:val="nil"/>
              <w:left w:val="nil"/>
              <w:bottom w:val="single" w:sz="4" w:space="0" w:color="auto"/>
              <w:right w:val="single" w:sz="4" w:space="0" w:color="auto"/>
            </w:tcBorders>
            <w:shd w:val="clear" w:color="auto" w:fill="auto"/>
            <w:vAlign w:val="center"/>
            <w:hideMark/>
          </w:tcPr>
          <w:p w14:paraId="0AD28A74"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8</w:t>
            </w:r>
          </w:p>
        </w:tc>
        <w:tc>
          <w:tcPr>
            <w:tcW w:w="1880" w:type="dxa"/>
            <w:tcBorders>
              <w:top w:val="nil"/>
              <w:left w:val="nil"/>
              <w:bottom w:val="single" w:sz="4" w:space="0" w:color="auto"/>
              <w:right w:val="single" w:sz="4" w:space="0" w:color="auto"/>
            </w:tcBorders>
            <w:shd w:val="clear" w:color="auto" w:fill="auto"/>
            <w:vAlign w:val="center"/>
            <w:hideMark/>
          </w:tcPr>
          <w:p w14:paraId="4A163631"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7</w:t>
            </w:r>
          </w:p>
        </w:tc>
      </w:tr>
      <w:tr w:rsidR="0074306A" w:rsidRPr="0074306A" w14:paraId="1FBA93BE"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FE0201"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May-20</w:t>
            </w:r>
          </w:p>
        </w:tc>
        <w:tc>
          <w:tcPr>
            <w:tcW w:w="1780" w:type="dxa"/>
            <w:tcBorders>
              <w:top w:val="nil"/>
              <w:left w:val="nil"/>
              <w:bottom w:val="single" w:sz="4" w:space="0" w:color="auto"/>
              <w:right w:val="single" w:sz="4" w:space="0" w:color="auto"/>
            </w:tcBorders>
            <w:shd w:val="clear" w:color="auto" w:fill="auto"/>
            <w:vAlign w:val="center"/>
            <w:hideMark/>
          </w:tcPr>
          <w:p w14:paraId="249FCDD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45</w:t>
            </w:r>
          </w:p>
        </w:tc>
        <w:tc>
          <w:tcPr>
            <w:tcW w:w="1720" w:type="dxa"/>
            <w:tcBorders>
              <w:top w:val="nil"/>
              <w:left w:val="nil"/>
              <w:bottom w:val="single" w:sz="4" w:space="0" w:color="auto"/>
              <w:right w:val="single" w:sz="4" w:space="0" w:color="auto"/>
            </w:tcBorders>
            <w:shd w:val="clear" w:color="auto" w:fill="auto"/>
            <w:vAlign w:val="center"/>
            <w:hideMark/>
          </w:tcPr>
          <w:p w14:paraId="21A84CAE"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w:t>
            </w:r>
          </w:p>
        </w:tc>
        <w:tc>
          <w:tcPr>
            <w:tcW w:w="1880" w:type="dxa"/>
            <w:tcBorders>
              <w:top w:val="nil"/>
              <w:left w:val="nil"/>
              <w:bottom w:val="single" w:sz="4" w:space="0" w:color="auto"/>
              <w:right w:val="single" w:sz="4" w:space="0" w:color="auto"/>
            </w:tcBorders>
            <w:shd w:val="clear" w:color="auto" w:fill="auto"/>
            <w:vAlign w:val="center"/>
            <w:hideMark/>
          </w:tcPr>
          <w:p w14:paraId="5092830E"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w:t>
            </w:r>
          </w:p>
        </w:tc>
      </w:tr>
      <w:tr w:rsidR="0074306A" w:rsidRPr="0074306A" w14:paraId="32C4CE08"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53C2A9D4"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Jun-20</w:t>
            </w:r>
          </w:p>
        </w:tc>
        <w:tc>
          <w:tcPr>
            <w:tcW w:w="1780" w:type="dxa"/>
            <w:tcBorders>
              <w:top w:val="nil"/>
              <w:left w:val="nil"/>
              <w:bottom w:val="single" w:sz="4" w:space="0" w:color="auto"/>
              <w:right w:val="single" w:sz="4" w:space="0" w:color="auto"/>
            </w:tcBorders>
            <w:shd w:val="clear" w:color="000000" w:fill="D9D9D9"/>
            <w:vAlign w:val="center"/>
            <w:hideMark/>
          </w:tcPr>
          <w:p w14:paraId="6DFA00A1"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44</w:t>
            </w:r>
          </w:p>
        </w:tc>
        <w:tc>
          <w:tcPr>
            <w:tcW w:w="1720" w:type="dxa"/>
            <w:tcBorders>
              <w:top w:val="nil"/>
              <w:left w:val="nil"/>
              <w:bottom w:val="single" w:sz="4" w:space="0" w:color="auto"/>
              <w:right w:val="single" w:sz="4" w:space="0" w:color="auto"/>
            </w:tcBorders>
            <w:shd w:val="clear" w:color="000000" w:fill="D9D9D9"/>
            <w:vAlign w:val="center"/>
            <w:hideMark/>
          </w:tcPr>
          <w:p w14:paraId="2AF71FC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16</w:t>
            </w:r>
          </w:p>
        </w:tc>
        <w:tc>
          <w:tcPr>
            <w:tcW w:w="1880" w:type="dxa"/>
            <w:tcBorders>
              <w:top w:val="nil"/>
              <w:left w:val="nil"/>
              <w:bottom w:val="single" w:sz="4" w:space="0" w:color="auto"/>
              <w:right w:val="single" w:sz="4" w:space="0" w:color="auto"/>
            </w:tcBorders>
            <w:shd w:val="clear" w:color="000000" w:fill="D9D9D9"/>
            <w:vAlign w:val="center"/>
            <w:hideMark/>
          </w:tcPr>
          <w:p w14:paraId="658B7999"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12</w:t>
            </w:r>
          </w:p>
        </w:tc>
      </w:tr>
      <w:tr w:rsidR="0074306A" w:rsidRPr="0074306A" w14:paraId="4B252027"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20CE84"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Jul-20</w:t>
            </w:r>
          </w:p>
        </w:tc>
        <w:tc>
          <w:tcPr>
            <w:tcW w:w="1780" w:type="dxa"/>
            <w:tcBorders>
              <w:top w:val="nil"/>
              <w:left w:val="nil"/>
              <w:bottom w:val="single" w:sz="4" w:space="0" w:color="auto"/>
              <w:right w:val="single" w:sz="4" w:space="0" w:color="auto"/>
            </w:tcBorders>
            <w:shd w:val="clear" w:color="auto" w:fill="auto"/>
            <w:vAlign w:val="center"/>
            <w:hideMark/>
          </w:tcPr>
          <w:p w14:paraId="5C9F6DFA"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44</w:t>
            </w:r>
          </w:p>
        </w:tc>
        <w:tc>
          <w:tcPr>
            <w:tcW w:w="1720" w:type="dxa"/>
            <w:tcBorders>
              <w:top w:val="nil"/>
              <w:left w:val="nil"/>
              <w:bottom w:val="single" w:sz="4" w:space="0" w:color="auto"/>
              <w:right w:val="single" w:sz="4" w:space="0" w:color="auto"/>
            </w:tcBorders>
            <w:shd w:val="clear" w:color="auto" w:fill="auto"/>
            <w:vAlign w:val="center"/>
            <w:hideMark/>
          </w:tcPr>
          <w:p w14:paraId="6B4AE95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6</w:t>
            </w:r>
          </w:p>
        </w:tc>
        <w:tc>
          <w:tcPr>
            <w:tcW w:w="1880" w:type="dxa"/>
            <w:tcBorders>
              <w:top w:val="nil"/>
              <w:left w:val="nil"/>
              <w:bottom w:val="single" w:sz="4" w:space="0" w:color="auto"/>
              <w:right w:val="single" w:sz="4" w:space="0" w:color="auto"/>
            </w:tcBorders>
            <w:shd w:val="clear" w:color="auto" w:fill="auto"/>
            <w:vAlign w:val="center"/>
            <w:hideMark/>
          </w:tcPr>
          <w:p w14:paraId="33E74A9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5</w:t>
            </w:r>
          </w:p>
        </w:tc>
      </w:tr>
      <w:tr w:rsidR="0074306A" w:rsidRPr="0074306A" w14:paraId="0F3E5FC7"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4F52D4"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Aug-20</w:t>
            </w:r>
          </w:p>
        </w:tc>
        <w:tc>
          <w:tcPr>
            <w:tcW w:w="1780" w:type="dxa"/>
            <w:tcBorders>
              <w:top w:val="nil"/>
              <w:left w:val="nil"/>
              <w:bottom w:val="single" w:sz="4" w:space="0" w:color="auto"/>
              <w:right w:val="single" w:sz="4" w:space="0" w:color="auto"/>
            </w:tcBorders>
            <w:shd w:val="clear" w:color="auto" w:fill="auto"/>
            <w:vAlign w:val="center"/>
            <w:hideMark/>
          </w:tcPr>
          <w:p w14:paraId="002986F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48</w:t>
            </w:r>
          </w:p>
        </w:tc>
        <w:tc>
          <w:tcPr>
            <w:tcW w:w="1720" w:type="dxa"/>
            <w:tcBorders>
              <w:top w:val="nil"/>
              <w:left w:val="nil"/>
              <w:bottom w:val="single" w:sz="4" w:space="0" w:color="auto"/>
              <w:right w:val="single" w:sz="4" w:space="0" w:color="auto"/>
            </w:tcBorders>
            <w:shd w:val="clear" w:color="auto" w:fill="auto"/>
            <w:vAlign w:val="center"/>
            <w:hideMark/>
          </w:tcPr>
          <w:p w14:paraId="542BF73E" w14:textId="77777777" w:rsidR="0074306A" w:rsidRPr="0074306A" w:rsidRDefault="0074306A" w:rsidP="0074306A">
            <w:pPr>
              <w:spacing w:after="0" w:line="240" w:lineRule="auto"/>
              <w:jc w:val="center"/>
              <w:rPr>
                <w:rFonts w:ascii="Calibri" w:eastAsia="Times New Roman" w:hAnsi="Calibri" w:cs="Calibri"/>
                <w:lang w:eastAsia="en-NZ"/>
              </w:rPr>
            </w:pPr>
            <w:r w:rsidRPr="0074306A">
              <w:rPr>
                <w:rFonts w:ascii="Calibri" w:eastAsia="Times New Roman" w:hAnsi="Calibri" w:cs="Calibri"/>
                <w:lang w:eastAsia="en-NZ"/>
              </w:rPr>
              <w:t>8</w:t>
            </w:r>
          </w:p>
        </w:tc>
        <w:tc>
          <w:tcPr>
            <w:tcW w:w="1880" w:type="dxa"/>
            <w:tcBorders>
              <w:top w:val="nil"/>
              <w:left w:val="nil"/>
              <w:bottom w:val="single" w:sz="4" w:space="0" w:color="auto"/>
              <w:right w:val="single" w:sz="4" w:space="0" w:color="auto"/>
            </w:tcBorders>
            <w:shd w:val="clear" w:color="auto" w:fill="auto"/>
            <w:vAlign w:val="center"/>
            <w:hideMark/>
          </w:tcPr>
          <w:p w14:paraId="35B8D7DF" w14:textId="77777777" w:rsidR="0074306A" w:rsidRPr="0074306A" w:rsidRDefault="0074306A" w:rsidP="0074306A">
            <w:pPr>
              <w:spacing w:after="0" w:line="240" w:lineRule="auto"/>
              <w:jc w:val="center"/>
              <w:rPr>
                <w:rFonts w:ascii="Calibri" w:eastAsia="Times New Roman" w:hAnsi="Calibri" w:cs="Calibri"/>
                <w:lang w:eastAsia="en-NZ"/>
              </w:rPr>
            </w:pPr>
            <w:r w:rsidRPr="0074306A">
              <w:rPr>
                <w:rFonts w:ascii="Calibri" w:eastAsia="Times New Roman" w:hAnsi="Calibri" w:cs="Calibri"/>
                <w:lang w:eastAsia="en-NZ"/>
              </w:rPr>
              <w:t>4</w:t>
            </w:r>
          </w:p>
        </w:tc>
      </w:tr>
      <w:tr w:rsidR="0074306A" w:rsidRPr="0074306A" w14:paraId="004486EC"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66ED1FFF"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Sep-20</w:t>
            </w:r>
          </w:p>
        </w:tc>
        <w:tc>
          <w:tcPr>
            <w:tcW w:w="1780" w:type="dxa"/>
            <w:tcBorders>
              <w:top w:val="nil"/>
              <w:left w:val="nil"/>
              <w:bottom w:val="single" w:sz="4" w:space="0" w:color="auto"/>
              <w:right w:val="single" w:sz="4" w:space="0" w:color="auto"/>
            </w:tcBorders>
            <w:shd w:val="clear" w:color="000000" w:fill="D9D9D9"/>
            <w:vAlign w:val="center"/>
            <w:hideMark/>
          </w:tcPr>
          <w:p w14:paraId="31F1572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36</w:t>
            </w:r>
          </w:p>
        </w:tc>
        <w:tc>
          <w:tcPr>
            <w:tcW w:w="1720" w:type="dxa"/>
            <w:tcBorders>
              <w:top w:val="nil"/>
              <w:left w:val="nil"/>
              <w:bottom w:val="single" w:sz="4" w:space="0" w:color="auto"/>
              <w:right w:val="single" w:sz="4" w:space="0" w:color="auto"/>
            </w:tcBorders>
            <w:shd w:val="clear" w:color="000000" w:fill="D9D9D9"/>
            <w:vAlign w:val="center"/>
            <w:hideMark/>
          </w:tcPr>
          <w:p w14:paraId="12A91AA9"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19</w:t>
            </w:r>
          </w:p>
        </w:tc>
        <w:tc>
          <w:tcPr>
            <w:tcW w:w="1880" w:type="dxa"/>
            <w:tcBorders>
              <w:top w:val="nil"/>
              <w:left w:val="nil"/>
              <w:bottom w:val="single" w:sz="4" w:space="0" w:color="auto"/>
              <w:right w:val="single" w:sz="4" w:space="0" w:color="auto"/>
            </w:tcBorders>
            <w:shd w:val="clear" w:color="000000" w:fill="D9D9D9"/>
            <w:vAlign w:val="center"/>
            <w:hideMark/>
          </w:tcPr>
          <w:p w14:paraId="7C706E4D"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14</w:t>
            </w:r>
          </w:p>
        </w:tc>
      </w:tr>
      <w:tr w:rsidR="0074306A" w:rsidRPr="0074306A" w14:paraId="25E1729F"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F8C474"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Oct-20</w:t>
            </w:r>
          </w:p>
        </w:tc>
        <w:tc>
          <w:tcPr>
            <w:tcW w:w="1780" w:type="dxa"/>
            <w:tcBorders>
              <w:top w:val="nil"/>
              <w:left w:val="nil"/>
              <w:bottom w:val="single" w:sz="4" w:space="0" w:color="auto"/>
              <w:right w:val="single" w:sz="4" w:space="0" w:color="auto"/>
            </w:tcBorders>
            <w:shd w:val="clear" w:color="auto" w:fill="auto"/>
            <w:vAlign w:val="center"/>
            <w:hideMark/>
          </w:tcPr>
          <w:p w14:paraId="6595833C"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44</w:t>
            </w:r>
          </w:p>
        </w:tc>
        <w:tc>
          <w:tcPr>
            <w:tcW w:w="1720" w:type="dxa"/>
            <w:tcBorders>
              <w:top w:val="nil"/>
              <w:left w:val="nil"/>
              <w:bottom w:val="single" w:sz="4" w:space="0" w:color="auto"/>
              <w:right w:val="single" w:sz="4" w:space="0" w:color="auto"/>
            </w:tcBorders>
            <w:shd w:val="clear" w:color="auto" w:fill="auto"/>
            <w:vAlign w:val="center"/>
            <w:hideMark/>
          </w:tcPr>
          <w:p w14:paraId="33D88F02"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12</w:t>
            </w:r>
          </w:p>
        </w:tc>
        <w:tc>
          <w:tcPr>
            <w:tcW w:w="1880" w:type="dxa"/>
            <w:tcBorders>
              <w:top w:val="nil"/>
              <w:left w:val="nil"/>
              <w:bottom w:val="single" w:sz="4" w:space="0" w:color="auto"/>
              <w:right w:val="single" w:sz="4" w:space="0" w:color="auto"/>
            </w:tcBorders>
            <w:shd w:val="clear" w:color="auto" w:fill="auto"/>
            <w:vAlign w:val="center"/>
            <w:hideMark/>
          </w:tcPr>
          <w:p w14:paraId="15F2FD05"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7</w:t>
            </w:r>
          </w:p>
        </w:tc>
      </w:tr>
      <w:tr w:rsidR="0074306A" w:rsidRPr="0074306A" w14:paraId="7BC95C8E"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F71461"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Nov-20</w:t>
            </w:r>
          </w:p>
        </w:tc>
        <w:tc>
          <w:tcPr>
            <w:tcW w:w="1780" w:type="dxa"/>
            <w:tcBorders>
              <w:top w:val="nil"/>
              <w:left w:val="nil"/>
              <w:bottom w:val="single" w:sz="4" w:space="0" w:color="auto"/>
              <w:right w:val="single" w:sz="4" w:space="0" w:color="auto"/>
            </w:tcBorders>
            <w:shd w:val="clear" w:color="auto" w:fill="auto"/>
            <w:vAlign w:val="center"/>
            <w:hideMark/>
          </w:tcPr>
          <w:p w14:paraId="25D5A62E"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35</w:t>
            </w:r>
          </w:p>
        </w:tc>
        <w:tc>
          <w:tcPr>
            <w:tcW w:w="1720" w:type="dxa"/>
            <w:tcBorders>
              <w:top w:val="nil"/>
              <w:left w:val="nil"/>
              <w:bottom w:val="single" w:sz="4" w:space="0" w:color="auto"/>
              <w:right w:val="single" w:sz="4" w:space="0" w:color="auto"/>
            </w:tcBorders>
            <w:shd w:val="clear" w:color="auto" w:fill="auto"/>
            <w:vAlign w:val="center"/>
            <w:hideMark/>
          </w:tcPr>
          <w:p w14:paraId="1054FD7E"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18</w:t>
            </w:r>
          </w:p>
        </w:tc>
        <w:tc>
          <w:tcPr>
            <w:tcW w:w="1880" w:type="dxa"/>
            <w:tcBorders>
              <w:top w:val="nil"/>
              <w:left w:val="nil"/>
              <w:bottom w:val="single" w:sz="4" w:space="0" w:color="auto"/>
              <w:right w:val="single" w:sz="4" w:space="0" w:color="auto"/>
            </w:tcBorders>
            <w:shd w:val="clear" w:color="auto" w:fill="auto"/>
            <w:vAlign w:val="center"/>
            <w:hideMark/>
          </w:tcPr>
          <w:p w14:paraId="278D88E4"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18</w:t>
            </w:r>
          </w:p>
        </w:tc>
      </w:tr>
      <w:tr w:rsidR="0074306A" w:rsidRPr="0074306A" w14:paraId="4D8DACAC"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76F0A998"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Dec-20</w:t>
            </w:r>
          </w:p>
        </w:tc>
        <w:tc>
          <w:tcPr>
            <w:tcW w:w="1780" w:type="dxa"/>
            <w:tcBorders>
              <w:top w:val="nil"/>
              <w:left w:val="nil"/>
              <w:bottom w:val="single" w:sz="4" w:space="0" w:color="auto"/>
              <w:right w:val="single" w:sz="4" w:space="0" w:color="auto"/>
            </w:tcBorders>
            <w:shd w:val="clear" w:color="000000" w:fill="D9D9D9"/>
            <w:vAlign w:val="center"/>
            <w:hideMark/>
          </w:tcPr>
          <w:p w14:paraId="09A72FB9"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41</w:t>
            </w:r>
          </w:p>
        </w:tc>
        <w:tc>
          <w:tcPr>
            <w:tcW w:w="1720" w:type="dxa"/>
            <w:tcBorders>
              <w:top w:val="nil"/>
              <w:left w:val="nil"/>
              <w:bottom w:val="single" w:sz="4" w:space="0" w:color="auto"/>
              <w:right w:val="single" w:sz="4" w:space="0" w:color="auto"/>
            </w:tcBorders>
            <w:shd w:val="clear" w:color="000000" w:fill="D9D9D9"/>
            <w:vAlign w:val="center"/>
            <w:hideMark/>
          </w:tcPr>
          <w:p w14:paraId="6DDE774A"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5</w:t>
            </w:r>
          </w:p>
        </w:tc>
        <w:tc>
          <w:tcPr>
            <w:tcW w:w="1880" w:type="dxa"/>
            <w:tcBorders>
              <w:top w:val="nil"/>
              <w:left w:val="nil"/>
              <w:bottom w:val="single" w:sz="4" w:space="0" w:color="auto"/>
              <w:right w:val="single" w:sz="4" w:space="0" w:color="auto"/>
            </w:tcBorders>
            <w:shd w:val="clear" w:color="000000" w:fill="D9D9D9"/>
            <w:vAlign w:val="center"/>
            <w:hideMark/>
          </w:tcPr>
          <w:p w14:paraId="0A933CBC"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5</w:t>
            </w:r>
          </w:p>
        </w:tc>
      </w:tr>
      <w:tr w:rsidR="0074306A" w:rsidRPr="0074306A" w14:paraId="1F088630"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261B0D"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Jan-21</w:t>
            </w:r>
          </w:p>
        </w:tc>
        <w:tc>
          <w:tcPr>
            <w:tcW w:w="1780" w:type="dxa"/>
            <w:tcBorders>
              <w:top w:val="nil"/>
              <w:left w:val="nil"/>
              <w:bottom w:val="single" w:sz="4" w:space="0" w:color="auto"/>
              <w:right w:val="single" w:sz="4" w:space="0" w:color="auto"/>
            </w:tcBorders>
            <w:shd w:val="clear" w:color="000000" w:fill="FFFFFF"/>
            <w:vAlign w:val="center"/>
            <w:hideMark/>
          </w:tcPr>
          <w:p w14:paraId="03E8900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28</w:t>
            </w:r>
          </w:p>
        </w:tc>
        <w:tc>
          <w:tcPr>
            <w:tcW w:w="1720" w:type="dxa"/>
            <w:tcBorders>
              <w:top w:val="nil"/>
              <w:left w:val="nil"/>
              <w:bottom w:val="single" w:sz="4" w:space="0" w:color="auto"/>
              <w:right w:val="single" w:sz="4" w:space="0" w:color="auto"/>
            </w:tcBorders>
            <w:shd w:val="clear" w:color="000000" w:fill="FFFFFF"/>
            <w:vAlign w:val="center"/>
            <w:hideMark/>
          </w:tcPr>
          <w:p w14:paraId="0BEA08E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w:t>
            </w:r>
          </w:p>
        </w:tc>
        <w:tc>
          <w:tcPr>
            <w:tcW w:w="1880" w:type="dxa"/>
            <w:tcBorders>
              <w:top w:val="nil"/>
              <w:left w:val="nil"/>
              <w:bottom w:val="single" w:sz="4" w:space="0" w:color="auto"/>
              <w:right w:val="single" w:sz="4" w:space="0" w:color="auto"/>
            </w:tcBorders>
            <w:shd w:val="clear" w:color="000000" w:fill="FFFFFF"/>
            <w:vAlign w:val="center"/>
            <w:hideMark/>
          </w:tcPr>
          <w:p w14:paraId="2C644DC7"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2</w:t>
            </w:r>
          </w:p>
        </w:tc>
      </w:tr>
      <w:tr w:rsidR="0074306A" w:rsidRPr="0074306A" w14:paraId="03C3DD20"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510B070"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Feb-21</w:t>
            </w:r>
          </w:p>
        </w:tc>
        <w:tc>
          <w:tcPr>
            <w:tcW w:w="1780" w:type="dxa"/>
            <w:tcBorders>
              <w:top w:val="nil"/>
              <w:left w:val="nil"/>
              <w:bottom w:val="single" w:sz="4" w:space="0" w:color="auto"/>
              <w:right w:val="single" w:sz="4" w:space="0" w:color="auto"/>
            </w:tcBorders>
            <w:shd w:val="clear" w:color="000000" w:fill="FFFFFF"/>
            <w:vAlign w:val="center"/>
            <w:hideMark/>
          </w:tcPr>
          <w:p w14:paraId="0C4D79B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31</w:t>
            </w:r>
          </w:p>
        </w:tc>
        <w:tc>
          <w:tcPr>
            <w:tcW w:w="1720" w:type="dxa"/>
            <w:tcBorders>
              <w:top w:val="nil"/>
              <w:left w:val="nil"/>
              <w:bottom w:val="single" w:sz="4" w:space="0" w:color="auto"/>
              <w:right w:val="single" w:sz="4" w:space="0" w:color="auto"/>
            </w:tcBorders>
            <w:shd w:val="clear" w:color="000000" w:fill="FFFFFF"/>
            <w:vAlign w:val="center"/>
            <w:hideMark/>
          </w:tcPr>
          <w:p w14:paraId="1343A18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w:t>
            </w:r>
          </w:p>
        </w:tc>
        <w:tc>
          <w:tcPr>
            <w:tcW w:w="1880" w:type="dxa"/>
            <w:tcBorders>
              <w:top w:val="nil"/>
              <w:left w:val="nil"/>
              <w:bottom w:val="single" w:sz="4" w:space="0" w:color="auto"/>
              <w:right w:val="single" w:sz="4" w:space="0" w:color="auto"/>
            </w:tcBorders>
            <w:shd w:val="clear" w:color="000000" w:fill="FFFFFF"/>
            <w:vAlign w:val="center"/>
            <w:hideMark/>
          </w:tcPr>
          <w:p w14:paraId="24985A10"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w:t>
            </w:r>
          </w:p>
        </w:tc>
      </w:tr>
      <w:tr w:rsidR="0074306A" w:rsidRPr="0074306A" w14:paraId="684D740F"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0C06C8C7"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Mar-21</w:t>
            </w:r>
          </w:p>
        </w:tc>
        <w:tc>
          <w:tcPr>
            <w:tcW w:w="1780" w:type="dxa"/>
            <w:tcBorders>
              <w:top w:val="nil"/>
              <w:left w:val="nil"/>
              <w:bottom w:val="single" w:sz="4" w:space="0" w:color="auto"/>
              <w:right w:val="single" w:sz="4" w:space="0" w:color="auto"/>
            </w:tcBorders>
            <w:shd w:val="clear" w:color="000000" w:fill="D9D9D9"/>
            <w:vAlign w:val="center"/>
            <w:hideMark/>
          </w:tcPr>
          <w:p w14:paraId="7B513DF3"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50</w:t>
            </w:r>
          </w:p>
        </w:tc>
        <w:tc>
          <w:tcPr>
            <w:tcW w:w="1720" w:type="dxa"/>
            <w:tcBorders>
              <w:top w:val="nil"/>
              <w:left w:val="nil"/>
              <w:bottom w:val="single" w:sz="4" w:space="0" w:color="auto"/>
              <w:right w:val="single" w:sz="4" w:space="0" w:color="auto"/>
            </w:tcBorders>
            <w:shd w:val="clear" w:color="000000" w:fill="D9D9D9"/>
            <w:vAlign w:val="center"/>
            <w:hideMark/>
          </w:tcPr>
          <w:p w14:paraId="76C2944D"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14</w:t>
            </w:r>
          </w:p>
        </w:tc>
        <w:tc>
          <w:tcPr>
            <w:tcW w:w="1880" w:type="dxa"/>
            <w:tcBorders>
              <w:top w:val="nil"/>
              <w:left w:val="nil"/>
              <w:bottom w:val="single" w:sz="4" w:space="0" w:color="auto"/>
              <w:right w:val="single" w:sz="4" w:space="0" w:color="auto"/>
            </w:tcBorders>
            <w:shd w:val="clear" w:color="000000" w:fill="D9D9D9"/>
            <w:vAlign w:val="center"/>
            <w:hideMark/>
          </w:tcPr>
          <w:p w14:paraId="21C04616"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10</w:t>
            </w:r>
          </w:p>
        </w:tc>
      </w:tr>
      <w:tr w:rsidR="0074306A" w:rsidRPr="0074306A" w14:paraId="7A6BD6C1"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E6A5AE2"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Apr-21</w:t>
            </w:r>
          </w:p>
        </w:tc>
        <w:tc>
          <w:tcPr>
            <w:tcW w:w="1780" w:type="dxa"/>
            <w:tcBorders>
              <w:top w:val="nil"/>
              <w:left w:val="nil"/>
              <w:bottom w:val="single" w:sz="4" w:space="0" w:color="auto"/>
              <w:right w:val="single" w:sz="4" w:space="0" w:color="auto"/>
            </w:tcBorders>
            <w:shd w:val="clear" w:color="000000" w:fill="FFFFFF"/>
            <w:vAlign w:val="center"/>
            <w:hideMark/>
          </w:tcPr>
          <w:p w14:paraId="512D7E78"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49</w:t>
            </w:r>
          </w:p>
        </w:tc>
        <w:tc>
          <w:tcPr>
            <w:tcW w:w="1720" w:type="dxa"/>
            <w:tcBorders>
              <w:top w:val="nil"/>
              <w:left w:val="nil"/>
              <w:bottom w:val="single" w:sz="4" w:space="0" w:color="auto"/>
              <w:right w:val="single" w:sz="4" w:space="0" w:color="auto"/>
            </w:tcBorders>
            <w:shd w:val="clear" w:color="000000" w:fill="FFFFFF"/>
            <w:vAlign w:val="center"/>
            <w:hideMark/>
          </w:tcPr>
          <w:p w14:paraId="5959B0DC"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8</w:t>
            </w:r>
          </w:p>
        </w:tc>
        <w:tc>
          <w:tcPr>
            <w:tcW w:w="1880" w:type="dxa"/>
            <w:tcBorders>
              <w:top w:val="nil"/>
              <w:left w:val="nil"/>
              <w:bottom w:val="single" w:sz="4" w:space="0" w:color="auto"/>
              <w:right w:val="single" w:sz="4" w:space="0" w:color="auto"/>
            </w:tcBorders>
            <w:shd w:val="clear" w:color="000000" w:fill="FFFFFF"/>
            <w:vAlign w:val="center"/>
            <w:hideMark/>
          </w:tcPr>
          <w:p w14:paraId="60E2DE02"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7</w:t>
            </w:r>
          </w:p>
        </w:tc>
      </w:tr>
      <w:tr w:rsidR="0074306A" w:rsidRPr="0074306A" w14:paraId="35DCFEED" w14:textId="77777777" w:rsidTr="00A12CFA">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61A96C3" w14:textId="77777777" w:rsidR="0074306A" w:rsidRPr="0074306A" w:rsidRDefault="0074306A" w:rsidP="0074306A">
            <w:pPr>
              <w:spacing w:after="0" w:line="240" w:lineRule="auto"/>
              <w:jc w:val="center"/>
              <w:rPr>
                <w:rFonts w:ascii="Calibri" w:eastAsia="Times New Roman" w:hAnsi="Calibri" w:cs="Calibri"/>
                <w:b/>
                <w:bCs/>
                <w:color w:val="000000"/>
                <w:lang w:eastAsia="en-NZ"/>
              </w:rPr>
            </w:pPr>
            <w:r w:rsidRPr="0074306A">
              <w:rPr>
                <w:rFonts w:ascii="Calibri" w:eastAsia="Times New Roman" w:hAnsi="Calibri" w:cs="Calibri"/>
                <w:b/>
                <w:bCs/>
                <w:color w:val="000000"/>
                <w:lang w:eastAsia="en-NZ"/>
              </w:rPr>
              <w:t>May-21</w:t>
            </w:r>
          </w:p>
        </w:tc>
        <w:tc>
          <w:tcPr>
            <w:tcW w:w="1780" w:type="dxa"/>
            <w:tcBorders>
              <w:top w:val="nil"/>
              <w:left w:val="nil"/>
              <w:bottom w:val="single" w:sz="4" w:space="0" w:color="auto"/>
              <w:right w:val="single" w:sz="4" w:space="0" w:color="auto"/>
            </w:tcBorders>
            <w:shd w:val="clear" w:color="000000" w:fill="FFFFFF"/>
            <w:vAlign w:val="center"/>
            <w:hideMark/>
          </w:tcPr>
          <w:p w14:paraId="15167901"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35</w:t>
            </w:r>
          </w:p>
        </w:tc>
        <w:tc>
          <w:tcPr>
            <w:tcW w:w="1720" w:type="dxa"/>
            <w:tcBorders>
              <w:top w:val="nil"/>
              <w:left w:val="nil"/>
              <w:bottom w:val="single" w:sz="4" w:space="0" w:color="auto"/>
              <w:right w:val="single" w:sz="4" w:space="0" w:color="auto"/>
            </w:tcBorders>
            <w:shd w:val="clear" w:color="000000" w:fill="FFFFFF"/>
            <w:vAlign w:val="center"/>
            <w:hideMark/>
          </w:tcPr>
          <w:p w14:paraId="1A2CDDC1"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3</w:t>
            </w:r>
          </w:p>
        </w:tc>
        <w:tc>
          <w:tcPr>
            <w:tcW w:w="1880" w:type="dxa"/>
            <w:tcBorders>
              <w:top w:val="nil"/>
              <w:left w:val="nil"/>
              <w:bottom w:val="single" w:sz="4" w:space="0" w:color="auto"/>
              <w:right w:val="single" w:sz="4" w:space="0" w:color="auto"/>
            </w:tcBorders>
            <w:shd w:val="clear" w:color="000000" w:fill="FFFFFF"/>
            <w:vAlign w:val="center"/>
            <w:hideMark/>
          </w:tcPr>
          <w:p w14:paraId="4643E60B" w14:textId="77777777" w:rsidR="0074306A" w:rsidRPr="0074306A" w:rsidRDefault="0074306A" w:rsidP="0074306A">
            <w:pPr>
              <w:spacing w:after="0" w:line="240" w:lineRule="auto"/>
              <w:jc w:val="center"/>
              <w:rPr>
                <w:rFonts w:ascii="Calibri" w:eastAsia="Times New Roman" w:hAnsi="Calibri" w:cs="Calibri"/>
                <w:color w:val="000000"/>
                <w:lang w:eastAsia="en-NZ"/>
              </w:rPr>
            </w:pPr>
            <w:r w:rsidRPr="0074306A">
              <w:rPr>
                <w:rFonts w:ascii="Calibri" w:eastAsia="Times New Roman" w:hAnsi="Calibri" w:cs="Calibri"/>
                <w:color w:val="000000"/>
                <w:lang w:eastAsia="en-NZ"/>
              </w:rPr>
              <w:t>2</w:t>
            </w:r>
          </w:p>
        </w:tc>
      </w:tr>
    </w:tbl>
    <w:p w14:paraId="606C30B0" w14:textId="77777777" w:rsidR="0074306A" w:rsidRDefault="0074306A" w:rsidP="0080439D">
      <w:pPr>
        <w:rPr>
          <w:b/>
          <w:bCs/>
        </w:rPr>
      </w:pPr>
    </w:p>
    <w:p w14:paraId="7611AFF1" w14:textId="66724287" w:rsidR="0080439D" w:rsidRDefault="0080439D" w:rsidP="0080439D">
      <w:r>
        <w:t xml:space="preserve">Note that referrals do not include those referred to health services via other </w:t>
      </w:r>
      <w:r w:rsidR="00FC1113">
        <w:t>supported</w:t>
      </w:r>
      <w:r>
        <w:t xml:space="preserve"> resolution pathways, such as Te Pae Oranga and AWHI</w:t>
      </w:r>
      <w:r w:rsidR="78954693">
        <w:t>.</w:t>
      </w:r>
      <w:r>
        <w:rPr>
          <w:rStyle w:val="FootnoteReference"/>
        </w:rPr>
        <w:footnoteReference w:id="3"/>
      </w:r>
      <w:r>
        <w:t xml:space="preserve">  </w:t>
      </w:r>
    </w:p>
    <w:p w14:paraId="422B735B" w14:textId="7714CBC1" w:rsidR="005A5689" w:rsidRDefault="00DA53E6" w:rsidP="0080439D">
      <w:r>
        <w:t>All Alcohol Drug Counsellors are D</w:t>
      </w:r>
      <w:r w:rsidR="005D3D46">
        <w:t>A</w:t>
      </w:r>
      <w:r>
        <w:t>APANZ registered</w:t>
      </w:r>
      <w:r w:rsidR="00A05DD0">
        <w:t xml:space="preserve"> and are among the most experienced staff employed by the telehealth service.  </w:t>
      </w:r>
    </w:p>
    <w:p w14:paraId="3C89CE41" w14:textId="1A7F02DB" w:rsidR="00980492" w:rsidRDefault="00A05DD0" w:rsidP="0080439D">
      <w:r>
        <w:t xml:space="preserve">Conversations </w:t>
      </w:r>
      <w:r w:rsidR="000F48D0">
        <w:t>take the form of motivational counselling</w:t>
      </w:r>
      <w:r w:rsidR="001E3456">
        <w:t xml:space="preserve">.  </w:t>
      </w:r>
      <w:r w:rsidR="000F0637">
        <w:t xml:space="preserve">Counsellors tailor calls to the individual’s state including where they are in the addiction cycle.  From time to time, counsellors will arrange a call back from the Alcohol Drug line.  </w:t>
      </w:r>
      <w:proofErr w:type="spellStart"/>
      <w:r w:rsidR="00B76874">
        <w:t>Whakarongarou</w:t>
      </w:r>
      <w:proofErr w:type="spellEnd"/>
      <w:r w:rsidR="00B76874">
        <w:t xml:space="preserve"> Aotearoa advises that calls last ten min</w:t>
      </w:r>
      <w:r w:rsidR="00D70800">
        <w:t xml:space="preserve">utes on average, and five minutes following for the counsellor to write up the notes.  </w:t>
      </w:r>
      <w:r w:rsidR="000F0637">
        <w:t xml:space="preserve"> </w:t>
      </w:r>
    </w:p>
    <w:p w14:paraId="3E670D28" w14:textId="6FC7371D" w:rsidR="009A2609" w:rsidRDefault="002520ED" w:rsidP="005F07F8">
      <w:r>
        <w:t>The review team was advised that</w:t>
      </w:r>
      <w:r w:rsidR="007C1334">
        <w:t>, on occasion,</w:t>
      </w:r>
      <w:r>
        <w:t xml:space="preserve"> conversations include a referral to face</w:t>
      </w:r>
      <w:r w:rsidR="00CD691C">
        <w:t>-</w:t>
      </w:r>
      <w:r>
        <w:t>to</w:t>
      </w:r>
      <w:r w:rsidR="00CD691C">
        <w:t>-</w:t>
      </w:r>
      <w:r>
        <w:t xml:space="preserve">face services, and in recent months, staff have been actively trying to refer people on to the most accessible services.  </w:t>
      </w:r>
      <w:r w:rsidR="00D8319A">
        <w:t xml:space="preserve">Staff will send people the numbers and addresses for services, and some </w:t>
      </w:r>
      <w:r w:rsidR="00D8319A">
        <w:lastRenderedPageBreak/>
        <w:t xml:space="preserve">referrals are done </w:t>
      </w:r>
      <w:r w:rsidR="005D3D46">
        <w:t>via a three-way conversation</w:t>
      </w:r>
      <w:r w:rsidR="00D8319A">
        <w:t xml:space="preserve"> (warm handovers) so that the phone counsellor can relay the person’s story. </w:t>
      </w:r>
      <w:r w:rsidR="005F07F8">
        <w:t xml:space="preserve"> </w:t>
      </w:r>
    </w:p>
    <w:p w14:paraId="32D25187" w14:textId="525C2B5C" w:rsidR="00F067DB" w:rsidRDefault="005F07F8" w:rsidP="005F07F8">
      <w:r>
        <w:t xml:space="preserve">Counsellors </w:t>
      </w:r>
      <w:r w:rsidR="002A7950">
        <w:t xml:space="preserve">always </w:t>
      </w:r>
      <w:r>
        <w:t xml:space="preserve">choose </w:t>
      </w:r>
      <w:r w:rsidR="002A7950">
        <w:t>DHB-funded services</w:t>
      </w:r>
      <w:r w:rsidR="000E13BA">
        <w:t>, whether they are attached to a DHB or are provided by an NGO</w:t>
      </w:r>
      <w:r w:rsidR="00594D81">
        <w:t xml:space="preserve">, </w:t>
      </w:r>
      <w:r>
        <w:t xml:space="preserve">on the expectation that these </w:t>
      </w:r>
      <w:r w:rsidR="00594D81">
        <w:t xml:space="preserve">services that </w:t>
      </w:r>
      <w:r w:rsidR="006E69E8">
        <w:t>would be</w:t>
      </w:r>
      <w:r w:rsidR="00594D81">
        <w:t xml:space="preserve"> maintained</w:t>
      </w:r>
      <w:r w:rsidR="000E13BA">
        <w:t xml:space="preserve">.  They </w:t>
      </w:r>
      <w:r w:rsidR="00CB7DC6">
        <w:t xml:space="preserve">use </w:t>
      </w:r>
      <w:proofErr w:type="spellStart"/>
      <w:r w:rsidR="00CB7DC6">
        <w:t>Healthpoint</w:t>
      </w:r>
      <w:proofErr w:type="spellEnd"/>
      <w:r w:rsidR="00CB7DC6">
        <w:t xml:space="preserve"> </w:t>
      </w:r>
      <w:r w:rsidR="005E05B7">
        <w:t>(</w:t>
      </w:r>
      <w:r w:rsidR="002E44B3">
        <w:t>New Zealand’s</w:t>
      </w:r>
      <w:r w:rsidR="005E05B7">
        <w:t xml:space="preserve"> national service directory) </w:t>
      </w:r>
      <w:r w:rsidR="00CB7DC6">
        <w:t xml:space="preserve">and </w:t>
      </w:r>
      <w:r w:rsidR="00B56388">
        <w:t>Family Services Database</w:t>
      </w:r>
      <w:r w:rsidR="000325F3">
        <w:t xml:space="preserve"> </w:t>
      </w:r>
      <w:r w:rsidR="00B56388">
        <w:t xml:space="preserve">(an internal directory) </w:t>
      </w:r>
      <w:r w:rsidR="00670E08">
        <w:t>for these referrals</w:t>
      </w:r>
      <w:r w:rsidR="00A66DBA">
        <w:t xml:space="preserve">.  </w:t>
      </w:r>
      <w:r w:rsidR="00C12874">
        <w:t xml:space="preserve">We </w:t>
      </w:r>
      <w:r w:rsidR="00DC2237">
        <w:t xml:space="preserve">were advised </w:t>
      </w:r>
      <w:r w:rsidR="00C12874">
        <w:t>that</w:t>
      </w:r>
      <w:r w:rsidR="00DC2237">
        <w:t>, as a default,</w:t>
      </w:r>
      <w:r w:rsidR="00C12874">
        <w:t xml:space="preserve"> a large volume are referred on to </w:t>
      </w:r>
      <w:r w:rsidR="284A4409">
        <w:t>DHB</w:t>
      </w:r>
      <w:r w:rsidR="007D2904">
        <w:t xml:space="preserve"> </w:t>
      </w:r>
      <w:r w:rsidR="00C12874">
        <w:t xml:space="preserve">Community Alcohol and other Drug Services, and </w:t>
      </w:r>
      <w:r w:rsidR="00DC2237">
        <w:t xml:space="preserve">would note </w:t>
      </w:r>
      <w:r w:rsidR="00327E7A">
        <w:t>there are regional differences in the eligibility criteria for those services</w:t>
      </w:r>
      <w:r w:rsidR="00911823">
        <w:t>, with some limiting</w:t>
      </w:r>
      <w:r w:rsidR="00327E7A">
        <w:t xml:space="preserve"> their client-base to moderate to severe issues.  </w:t>
      </w:r>
      <w:r w:rsidR="009D32BB">
        <w:t xml:space="preserve">We noted there are no guidelines for staff to support referrals on to other services, or </w:t>
      </w:r>
      <w:r w:rsidR="002B03C7">
        <w:t xml:space="preserve">information on </w:t>
      </w:r>
      <w:r w:rsidR="00E2490E">
        <w:t xml:space="preserve">eligibility criteria or the capacity of services to receive referrals.  </w:t>
      </w:r>
    </w:p>
    <w:p w14:paraId="46D43151" w14:textId="54E43433" w:rsidR="005F1A02" w:rsidRPr="005F1A02" w:rsidRDefault="00896804" w:rsidP="00AF5F1F">
      <w:pPr>
        <w:pStyle w:val="Heading3"/>
      </w:pPr>
      <w:bookmarkStart w:id="192" w:name="_Toc75781193"/>
      <w:bookmarkStart w:id="193" w:name="_Toc75952906"/>
      <w:bookmarkStart w:id="194" w:name="_Toc78186472"/>
      <w:r>
        <w:t xml:space="preserve">MoDA </w:t>
      </w:r>
      <w:r w:rsidR="00035298">
        <w:t>referral pathway</w:t>
      </w:r>
      <w:r w:rsidR="005F1A02">
        <w:t xml:space="preserve"> improvements</w:t>
      </w:r>
      <w:bookmarkEnd w:id="192"/>
      <w:bookmarkEnd w:id="193"/>
      <w:bookmarkEnd w:id="194"/>
    </w:p>
    <w:p w14:paraId="17BDE0AB" w14:textId="34A36B73" w:rsidR="00275331" w:rsidRPr="000D1D8C" w:rsidRDefault="0099024E" w:rsidP="00275331">
      <w:r>
        <w:t xml:space="preserve">Since </w:t>
      </w:r>
      <w:r w:rsidR="00F37EE3">
        <w:t>2019</w:t>
      </w:r>
      <w:r w:rsidR="005F1A02">
        <w:t xml:space="preserve"> </w:t>
      </w:r>
      <w:proofErr w:type="spellStart"/>
      <w:r w:rsidR="00275331">
        <w:t>Whakarongorau</w:t>
      </w:r>
      <w:proofErr w:type="spellEnd"/>
      <w:r w:rsidR="00275331">
        <w:t xml:space="preserve"> Aotearoa has implemented </w:t>
      </w:r>
      <w:r w:rsidR="00275331" w:rsidRPr="000D1D8C">
        <w:t>the following enhancements to maximise engagemen</w:t>
      </w:r>
      <w:r w:rsidR="00EB3534">
        <w:t>t</w:t>
      </w:r>
      <w:r w:rsidR="00275331" w:rsidRPr="000D1D8C">
        <w:t>:</w:t>
      </w:r>
    </w:p>
    <w:p w14:paraId="6A60C2F4" w14:textId="2BD77DD7" w:rsidR="00275331" w:rsidRPr="00FB4032" w:rsidRDefault="00275331"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a reminder text service to encourage initial engagement with the provider, with follow-up messages on days 3, 5 and 7</w:t>
      </w:r>
    </w:p>
    <w:p w14:paraId="1D240BBF" w14:textId="5EC73F7C" w:rsidR="00275331" w:rsidRPr="00FB4032" w:rsidRDefault="00275331"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re-wording of the initial text message to be more direct about inviting engagement with the service </w:t>
      </w:r>
    </w:p>
    <w:p w14:paraId="4D977F28" w14:textId="22ECCF31" w:rsidR="00275331" w:rsidRPr="00FB4032" w:rsidRDefault="0027533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ringfencing staff </w:t>
      </w:r>
      <w:r w:rsidR="00C05721" w:rsidRPr="00FB4032">
        <w:rPr>
          <w:rStyle w:val="normaltextrun1"/>
          <w:rFonts w:ascii="Calibri" w:eastAsia="Times New Roman" w:hAnsi="Calibri" w:cs="Calibri"/>
          <w:sz w:val="22"/>
          <w:szCs w:val="22"/>
          <w:lang w:eastAsia="en-NZ"/>
        </w:rPr>
        <w:t xml:space="preserve">8am to 10pm </w:t>
      </w:r>
      <w:r w:rsidR="004D2725" w:rsidRPr="00FB4032">
        <w:rPr>
          <w:rStyle w:val="normaltextrun1"/>
          <w:rFonts w:ascii="Calibri" w:eastAsia="Times New Roman" w:hAnsi="Calibri" w:cs="Calibri"/>
          <w:sz w:val="22"/>
          <w:szCs w:val="22"/>
          <w:lang w:eastAsia="en-NZ"/>
        </w:rPr>
        <w:t>and prioritising those</w:t>
      </w:r>
      <w:r w:rsidRPr="00FB4032">
        <w:rPr>
          <w:rStyle w:val="normaltextrun1"/>
          <w:rFonts w:ascii="Calibri" w:eastAsia="Times New Roman" w:hAnsi="Calibri" w:cs="Calibri"/>
          <w:sz w:val="22"/>
          <w:szCs w:val="22"/>
          <w:lang w:eastAsia="en-NZ"/>
        </w:rPr>
        <w:t xml:space="preserve"> with </w:t>
      </w:r>
      <w:r w:rsidR="004D2725" w:rsidRPr="00FB4032">
        <w:rPr>
          <w:rStyle w:val="normaltextrun1"/>
          <w:rFonts w:ascii="Calibri" w:eastAsia="Times New Roman" w:hAnsi="Calibri" w:cs="Calibri"/>
          <w:sz w:val="22"/>
          <w:szCs w:val="22"/>
          <w:lang w:eastAsia="en-NZ"/>
        </w:rPr>
        <w:t>higher</w:t>
      </w:r>
      <w:r w:rsidRPr="00FB4032">
        <w:rPr>
          <w:rStyle w:val="normaltextrun1"/>
          <w:rFonts w:ascii="Calibri" w:eastAsia="Times New Roman" w:hAnsi="Calibri" w:cs="Calibri"/>
          <w:sz w:val="22"/>
          <w:szCs w:val="22"/>
          <w:lang w:eastAsia="en-NZ"/>
        </w:rPr>
        <w:t xml:space="preserve"> qualifications.</w:t>
      </w:r>
    </w:p>
    <w:p w14:paraId="45CA6875" w14:textId="254D7343" w:rsidR="001366D0" w:rsidRDefault="00D3000D" w:rsidP="0080439D">
      <w:r>
        <w:t xml:space="preserve">Across all phone lines, </w:t>
      </w:r>
      <w:proofErr w:type="spellStart"/>
      <w:r>
        <w:t>Whakarongarou</w:t>
      </w:r>
      <w:proofErr w:type="spellEnd"/>
      <w:r>
        <w:t xml:space="preserve"> Aotearoa </w:t>
      </w:r>
      <w:r w:rsidR="00A67635">
        <w:t xml:space="preserve">carries out user feedback surveys, but </w:t>
      </w:r>
      <w:r w:rsidR="00D166DB">
        <w:t xml:space="preserve">this appears limited to people who have engaged.  </w:t>
      </w:r>
      <w:r w:rsidR="00A42BE5">
        <w:t xml:space="preserve">The service could benefit from </w:t>
      </w:r>
      <w:r w:rsidR="00D71502">
        <w:t xml:space="preserve">consumer design </w:t>
      </w:r>
      <w:r w:rsidR="00D32786">
        <w:t xml:space="preserve">workshops, for example, to test if the language used in their text messages </w:t>
      </w:r>
      <w:r w:rsidR="0089163D">
        <w:t>could be improved</w:t>
      </w:r>
      <w:r w:rsidR="00D32786">
        <w:t xml:space="preserve">. </w:t>
      </w:r>
    </w:p>
    <w:p w14:paraId="1C2BF29C" w14:textId="1182AE9E" w:rsidR="00D74476" w:rsidRDefault="00D74476" w:rsidP="0080439D">
      <w:proofErr w:type="spellStart"/>
      <w:r>
        <w:t>Whakarongarou</w:t>
      </w:r>
      <w:proofErr w:type="spellEnd"/>
      <w:r>
        <w:t xml:space="preserve"> </w:t>
      </w:r>
      <w:r w:rsidR="00664CCB">
        <w:t xml:space="preserve">Aotearoa noted </w:t>
      </w:r>
      <w:r w:rsidR="006D0FD7">
        <w:t xml:space="preserve">they were occasionally contacted by Police </w:t>
      </w:r>
      <w:r w:rsidR="004B7EE6">
        <w:t xml:space="preserve">staff who are not aware of the </w:t>
      </w:r>
      <w:r w:rsidR="004D081B">
        <w:t>MoDA</w:t>
      </w:r>
      <w:r w:rsidR="004B7EE6">
        <w:t xml:space="preserve"> Referral </w:t>
      </w:r>
      <w:r w:rsidR="004D081B">
        <w:t>Pathway</w:t>
      </w:r>
      <w:r w:rsidR="00A966C8">
        <w:t xml:space="preserve">, </w:t>
      </w:r>
      <w:r w:rsidR="00E42E48">
        <w:t>and that regional awareness of the service was still building</w:t>
      </w:r>
      <w:r w:rsidR="004B7EE6">
        <w:t>.</w:t>
      </w:r>
      <w:r w:rsidR="00E42E48">
        <w:t xml:space="preserve">  </w:t>
      </w:r>
      <w:r w:rsidR="00433DBF">
        <w:t xml:space="preserve">They were not aware of what communications had been provided to frontline staff on the service, but were interested in assisting </w:t>
      </w:r>
      <w:r w:rsidR="00A43002">
        <w:t>with efforts to build awareness of the service’s existence, processe</w:t>
      </w:r>
      <w:r w:rsidR="00B654C4">
        <w:t xml:space="preserve">s, capacity and expertise.  </w:t>
      </w:r>
      <w:r w:rsidR="004B7EE6">
        <w:t xml:space="preserve">  </w:t>
      </w:r>
    </w:p>
    <w:p w14:paraId="29360AA9" w14:textId="7F996C8D" w:rsidR="00275331" w:rsidRDefault="0050053F" w:rsidP="0080439D">
      <w:r>
        <w:t xml:space="preserve">While their most experienced staff </w:t>
      </w:r>
      <w:r w:rsidR="00DC3716">
        <w:t xml:space="preserve">are assigned to the Alcohol Drug </w:t>
      </w:r>
      <w:r w:rsidR="007D640D">
        <w:t>H</w:t>
      </w:r>
      <w:r w:rsidR="00DC3716">
        <w:t xml:space="preserve">elpline, </w:t>
      </w:r>
      <w:r w:rsidR="00031DB1">
        <w:t xml:space="preserve">and on the job training is provided, </w:t>
      </w:r>
      <w:proofErr w:type="spellStart"/>
      <w:r w:rsidR="00DC3716">
        <w:t>Whakarong</w:t>
      </w:r>
      <w:r w:rsidR="00204A37">
        <w:t>arou</w:t>
      </w:r>
      <w:proofErr w:type="spellEnd"/>
      <w:r w:rsidR="00204A37">
        <w:t xml:space="preserve"> Aotearoa noted </w:t>
      </w:r>
      <w:r w:rsidR="00E65D0A">
        <w:t xml:space="preserve">there is no </w:t>
      </w:r>
      <w:r>
        <w:t xml:space="preserve">national qualification for telehealth addiction counselling. </w:t>
      </w:r>
      <w:r w:rsidR="003055C9">
        <w:t xml:space="preserve"> </w:t>
      </w:r>
      <w:r w:rsidR="00855FCC">
        <w:t>Yet t</w:t>
      </w:r>
      <w:r w:rsidR="003055C9">
        <w:t xml:space="preserve">he job takes a special set of skills.  </w:t>
      </w:r>
      <w:r w:rsidR="00877A8E">
        <w:t>With more local services offering telehealth</w:t>
      </w:r>
      <w:r w:rsidR="7566A2FD">
        <w:t>,</w:t>
      </w:r>
      <w:r w:rsidR="00877A8E">
        <w:t xml:space="preserve"> particularly following COVID-19, there is an opportunity </w:t>
      </w:r>
      <w:r w:rsidR="00EE41CA">
        <w:t>for the national telehealth provider, DAPA</w:t>
      </w:r>
      <w:r w:rsidR="007D640D">
        <w:t>A</w:t>
      </w:r>
      <w:r w:rsidR="00EE41CA">
        <w:t>NZ and the Ministry of Health</w:t>
      </w:r>
      <w:r w:rsidR="003055C9">
        <w:t xml:space="preserve"> to collaborate on national </w:t>
      </w:r>
      <w:r w:rsidR="007D640D">
        <w:t>alcohol and other drug</w:t>
      </w:r>
      <w:r w:rsidR="003055C9">
        <w:t xml:space="preserve"> phone counselling qualifications.  </w:t>
      </w:r>
    </w:p>
    <w:p w14:paraId="1F979D0D" w14:textId="63E09085" w:rsidR="0080439D" w:rsidRDefault="0080439D" w:rsidP="00AF5F1F">
      <w:pPr>
        <w:pStyle w:val="Heading3"/>
      </w:pPr>
      <w:bookmarkStart w:id="195" w:name="_Toc74572657"/>
      <w:bookmarkStart w:id="196" w:name="_Toc75781194"/>
      <w:bookmarkStart w:id="197" w:name="_Toc75952907"/>
      <w:bookmarkStart w:id="198" w:name="_Toc78186473"/>
      <w:r>
        <w:t>Direct</w:t>
      </w:r>
      <w:r w:rsidR="00013057">
        <w:t>, local</w:t>
      </w:r>
      <w:r>
        <w:t xml:space="preserve"> referrals through </w:t>
      </w:r>
      <w:bookmarkEnd w:id="195"/>
      <w:r w:rsidR="00013057">
        <w:t>Alterative Pathways for Help Intervention (AWHI)</w:t>
      </w:r>
      <w:bookmarkEnd w:id="196"/>
      <w:bookmarkEnd w:id="197"/>
      <w:bookmarkEnd w:id="198"/>
    </w:p>
    <w:p w14:paraId="25A17482" w14:textId="6AED7CF5" w:rsidR="00AE1400" w:rsidRPr="007D57A7" w:rsidRDefault="00AE1400" w:rsidP="007D57A7">
      <w:r w:rsidRPr="007D57A7">
        <w:t xml:space="preserve">AWHI is an interactive pdf which allows Police </w:t>
      </w:r>
      <w:r w:rsidR="000D282F" w:rsidRPr="007D57A7">
        <w:t>o</w:t>
      </w:r>
      <w:r w:rsidRPr="007D57A7">
        <w:t xml:space="preserve">fficers to refer people in need of support directly to local agencies who can help them.   </w:t>
      </w:r>
    </w:p>
    <w:p w14:paraId="3DFF6549" w14:textId="6E92A6B0" w:rsidR="00AE1400" w:rsidRPr="007D57A7" w:rsidRDefault="00AE1400" w:rsidP="007D57A7">
      <w:r w:rsidRPr="007D57A7">
        <w:t xml:space="preserve">Developed at the request of the Western Bay of Plenty Local Area Commander in December 2018, AWHI quickly spread across the Bay of Plenty district, and is now in the Northland, </w:t>
      </w:r>
      <w:proofErr w:type="spellStart"/>
      <w:r w:rsidRPr="007D57A7">
        <w:t>Waitemat</w:t>
      </w:r>
      <w:r w:rsidR="000A02FE" w:rsidRPr="007D57A7">
        <w:t>ā</w:t>
      </w:r>
      <w:proofErr w:type="spellEnd"/>
      <w:r w:rsidRPr="007D57A7">
        <w:t xml:space="preserve">, Counties Manukau, Waikato, Bay of Plenty, Eastern, Central, Wellington, and Canterbury Police Districts.   Auckland City, West Coast, Nelson and Southern Districts have all indicated they wish to join.  </w:t>
      </w:r>
    </w:p>
    <w:p w14:paraId="09DD807F" w14:textId="477F1CBE" w:rsidR="00AE1400" w:rsidRDefault="00AE1400" w:rsidP="00AE1400">
      <w:pPr>
        <w:pStyle w:val="CommentText"/>
        <w:textAlignment w:val="baseline"/>
        <w:rPr>
          <w:rStyle w:val="normaltextrun1"/>
          <w:rFonts w:ascii="Calibri" w:hAnsi="Calibri" w:cs="Calibri"/>
          <w:sz w:val="22"/>
          <w:szCs w:val="22"/>
        </w:rPr>
      </w:pPr>
      <w:r w:rsidRPr="005860A9">
        <w:rPr>
          <w:rStyle w:val="normaltextrun1"/>
          <w:rFonts w:ascii="Calibri" w:hAnsi="Calibri" w:cs="Calibri"/>
          <w:sz w:val="22"/>
          <w:szCs w:val="22"/>
        </w:rPr>
        <w:t xml:space="preserve">The </w:t>
      </w:r>
      <w:r w:rsidR="00F073E3">
        <w:rPr>
          <w:rStyle w:val="normaltextrun1"/>
          <w:rFonts w:ascii="Calibri" w:hAnsi="Calibri" w:cs="Calibri"/>
          <w:sz w:val="22"/>
          <w:szCs w:val="22"/>
        </w:rPr>
        <w:t xml:space="preserve">te </w:t>
      </w:r>
      <w:proofErr w:type="spellStart"/>
      <w:r w:rsidR="00F073E3">
        <w:rPr>
          <w:rStyle w:val="normaltextrun1"/>
          <w:rFonts w:ascii="Calibri" w:hAnsi="Calibri" w:cs="Calibri"/>
          <w:sz w:val="22"/>
          <w:szCs w:val="22"/>
        </w:rPr>
        <w:t>reo</w:t>
      </w:r>
      <w:proofErr w:type="spellEnd"/>
      <w:r w:rsidR="00F073E3">
        <w:rPr>
          <w:rStyle w:val="normaltextrun1"/>
          <w:rFonts w:ascii="Calibri" w:hAnsi="Calibri" w:cs="Calibri"/>
          <w:sz w:val="22"/>
          <w:szCs w:val="22"/>
        </w:rPr>
        <w:t xml:space="preserve"> Māori </w:t>
      </w:r>
      <w:r w:rsidRPr="005860A9">
        <w:rPr>
          <w:rStyle w:val="normaltextrun1"/>
          <w:rFonts w:ascii="Calibri" w:hAnsi="Calibri" w:cs="Calibri"/>
          <w:sz w:val="22"/>
          <w:szCs w:val="22"/>
        </w:rPr>
        <w:t>word “</w:t>
      </w:r>
      <w:proofErr w:type="spellStart"/>
      <w:r w:rsidRPr="005860A9">
        <w:rPr>
          <w:rStyle w:val="normaltextrun1"/>
          <w:rFonts w:ascii="Calibri" w:hAnsi="Calibri" w:cs="Calibri"/>
          <w:sz w:val="22"/>
          <w:szCs w:val="22"/>
        </w:rPr>
        <w:t>awhi</w:t>
      </w:r>
      <w:proofErr w:type="spellEnd"/>
      <w:r w:rsidRPr="005860A9">
        <w:rPr>
          <w:rStyle w:val="normaltextrun1"/>
          <w:rFonts w:ascii="Calibri" w:hAnsi="Calibri" w:cs="Calibri"/>
          <w:sz w:val="22"/>
          <w:szCs w:val="22"/>
        </w:rPr>
        <w:t>”</w:t>
      </w:r>
      <w:r w:rsidR="000013F4">
        <w:rPr>
          <w:rStyle w:val="normaltextrun1"/>
          <w:rFonts w:ascii="Calibri" w:hAnsi="Calibri" w:cs="Calibri"/>
          <w:sz w:val="22"/>
          <w:szCs w:val="22"/>
        </w:rPr>
        <w:t>,</w:t>
      </w:r>
      <w:r w:rsidRPr="005860A9">
        <w:rPr>
          <w:rStyle w:val="normaltextrun1"/>
          <w:rFonts w:ascii="Calibri" w:hAnsi="Calibri" w:cs="Calibri"/>
          <w:sz w:val="22"/>
          <w:szCs w:val="22"/>
        </w:rPr>
        <w:t xml:space="preserve"> in </w:t>
      </w:r>
      <w:r w:rsidR="00B71A7F">
        <w:rPr>
          <w:rStyle w:val="normaltextrun1"/>
          <w:rFonts w:ascii="Calibri" w:hAnsi="Calibri" w:cs="Calibri"/>
          <w:sz w:val="22"/>
          <w:szCs w:val="22"/>
        </w:rPr>
        <w:t>this context</w:t>
      </w:r>
      <w:r w:rsidR="000013F4">
        <w:rPr>
          <w:rStyle w:val="normaltextrun1"/>
          <w:rFonts w:ascii="Calibri" w:hAnsi="Calibri" w:cs="Calibri"/>
          <w:sz w:val="22"/>
          <w:szCs w:val="22"/>
        </w:rPr>
        <w:t>,</w:t>
      </w:r>
      <w:r w:rsidR="00B71A7F">
        <w:rPr>
          <w:rStyle w:val="normaltextrun1"/>
          <w:rFonts w:ascii="Calibri" w:hAnsi="Calibri" w:cs="Calibri"/>
          <w:sz w:val="22"/>
          <w:szCs w:val="22"/>
        </w:rPr>
        <w:t xml:space="preserve"> </w:t>
      </w:r>
      <w:r w:rsidRPr="005860A9">
        <w:rPr>
          <w:rStyle w:val="normaltextrun1"/>
          <w:rFonts w:ascii="Calibri" w:hAnsi="Calibri" w:cs="Calibri"/>
          <w:sz w:val="22"/>
          <w:szCs w:val="22"/>
        </w:rPr>
        <w:t>means “help”.  As was relayed to us</w:t>
      </w:r>
      <w:r w:rsidR="00A15777" w:rsidRPr="00A275C6">
        <w:rPr>
          <w:rStyle w:val="normaltextrun1"/>
          <w:rFonts w:ascii="Calibri" w:hAnsi="Calibri" w:cs="Calibri"/>
          <w:sz w:val="22"/>
          <w:szCs w:val="22"/>
        </w:rPr>
        <w:t xml:space="preserve"> by </w:t>
      </w:r>
      <w:r w:rsidR="000B01AD" w:rsidRPr="00A275C6">
        <w:rPr>
          <w:rStyle w:val="normaltextrun1"/>
          <w:rFonts w:ascii="Calibri" w:hAnsi="Calibri" w:cs="Calibri"/>
          <w:sz w:val="22"/>
          <w:szCs w:val="22"/>
        </w:rPr>
        <w:t xml:space="preserve">one of its </w:t>
      </w:r>
      <w:r w:rsidR="00F55D1A" w:rsidRPr="00A275C6">
        <w:rPr>
          <w:rStyle w:val="normaltextrun1"/>
          <w:rFonts w:ascii="Calibri" w:hAnsi="Calibri" w:cs="Calibri"/>
          <w:sz w:val="22"/>
          <w:szCs w:val="22"/>
        </w:rPr>
        <w:t>originators</w:t>
      </w:r>
      <w:r w:rsidRPr="00A275C6">
        <w:rPr>
          <w:rStyle w:val="normaltextrun1"/>
          <w:rFonts w:ascii="Calibri" w:hAnsi="Calibri" w:cs="Calibri"/>
          <w:sz w:val="22"/>
          <w:szCs w:val="22"/>
        </w:rPr>
        <w:t xml:space="preserve">, </w:t>
      </w:r>
      <w:r w:rsidR="00F55D1A" w:rsidRPr="00A275C6">
        <w:rPr>
          <w:rStyle w:val="normaltextrun1"/>
          <w:rFonts w:ascii="Calibri" w:hAnsi="Calibri" w:cs="Calibri"/>
          <w:sz w:val="22"/>
          <w:szCs w:val="22"/>
        </w:rPr>
        <w:t xml:space="preserve">Police </w:t>
      </w:r>
      <w:r w:rsidRPr="00A275C6">
        <w:rPr>
          <w:rStyle w:val="normaltextrun1"/>
          <w:rFonts w:ascii="Calibri" w:hAnsi="Calibri" w:cs="Calibri"/>
          <w:sz w:val="22"/>
          <w:szCs w:val="22"/>
        </w:rPr>
        <w:t>“can’t arrest our way out of problems.”</w:t>
      </w:r>
      <w:r>
        <w:rPr>
          <w:rStyle w:val="normaltextrun1"/>
          <w:rFonts w:ascii="Calibri" w:hAnsi="Calibri" w:cs="Calibri"/>
          <w:sz w:val="22"/>
          <w:szCs w:val="22"/>
        </w:rPr>
        <w:t xml:space="preserve">  AWHI was established as a means of early intervention and wrap-around support for people in need and at risk of offending, reoffending or </w:t>
      </w:r>
      <w:r>
        <w:rPr>
          <w:rStyle w:val="normaltextrun1"/>
          <w:rFonts w:ascii="Calibri" w:hAnsi="Calibri" w:cs="Calibri"/>
          <w:sz w:val="22"/>
          <w:szCs w:val="22"/>
        </w:rPr>
        <w:lastRenderedPageBreak/>
        <w:t xml:space="preserve">victimisation.  AWHI is an offer of support, and </w:t>
      </w:r>
      <w:r w:rsidR="00722B65">
        <w:rPr>
          <w:rStyle w:val="normaltextrun1"/>
          <w:rFonts w:ascii="Calibri" w:hAnsi="Calibri" w:cs="Calibri"/>
          <w:sz w:val="22"/>
          <w:szCs w:val="22"/>
        </w:rPr>
        <w:t xml:space="preserve">can be used </w:t>
      </w:r>
      <w:r w:rsidR="00B161FD">
        <w:rPr>
          <w:rStyle w:val="normaltextrun1"/>
          <w:rFonts w:ascii="Calibri" w:hAnsi="Calibri" w:cs="Calibri"/>
          <w:sz w:val="22"/>
          <w:szCs w:val="22"/>
        </w:rPr>
        <w:t xml:space="preserve">both when </w:t>
      </w:r>
      <w:r w:rsidR="00D92411">
        <w:rPr>
          <w:rStyle w:val="normaltextrun1"/>
          <w:rFonts w:ascii="Calibri" w:hAnsi="Calibri" w:cs="Calibri"/>
          <w:sz w:val="22"/>
          <w:szCs w:val="22"/>
        </w:rPr>
        <w:t>no offending has occurred</w:t>
      </w:r>
      <w:r w:rsidR="008365DE">
        <w:rPr>
          <w:rStyle w:val="normaltextrun1"/>
          <w:rFonts w:ascii="Calibri" w:hAnsi="Calibri" w:cs="Calibri"/>
          <w:sz w:val="22"/>
          <w:szCs w:val="22"/>
        </w:rPr>
        <w:t xml:space="preserve"> as well as </w:t>
      </w:r>
      <w:r w:rsidR="00B161FD">
        <w:rPr>
          <w:rStyle w:val="normaltextrun1"/>
          <w:rFonts w:ascii="Calibri" w:hAnsi="Calibri" w:cs="Calibri"/>
          <w:sz w:val="22"/>
          <w:szCs w:val="22"/>
        </w:rPr>
        <w:t xml:space="preserve">where </w:t>
      </w:r>
      <w:r w:rsidR="00722B65">
        <w:rPr>
          <w:rStyle w:val="normaltextrun1"/>
          <w:rFonts w:ascii="Calibri" w:hAnsi="Calibri" w:cs="Calibri"/>
          <w:sz w:val="22"/>
          <w:szCs w:val="22"/>
        </w:rPr>
        <w:t xml:space="preserve">there </w:t>
      </w:r>
      <w:r w:rsidR="00B161FD">
        <w:rPr>
          <w:rStyle w:val="normaltextrun1"/>
          <w:rFonts w:ascii="Calibri" w:hAnsi="Calibri" w:cs="Calibri"/>
          <w:sz w:val="22"/>
          <w:szCs w:val="22"/>
        </w:rPr>
        <w:t>has been an offence.</w:t>
      </w:r>
    </w:p>
    <w:p w14:paraId="11973133" w14:textId="77777777" w:rsidR="00AE1400" w:rsidRDefault="00AE1400" w:rsidP="00AE1400">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 xml:space="preserve">Providers specialise in young people, addiction, mental health, family wellbeing (family harm prevention) and road policing and licensing.  They are selected by the local areas themselves, in a spirit of </w:t>
      </w:r>
      <w:proofErr w:type="spellStart"/>
      <w:r>
        <w:rPr>
          <w:rStyle w:val="normaltextrun1"/>
          <w:rFonts w:ascii="Calibri" w:hAnsi="Calibri" w:cs="Calibri"/>
          <w:sz w:val="22"/>
          <w:szCs w:val="22"/>
        </w:rPr>
        <w:t>kāwanatanga</w:t>
      </w:r>
      <w:proofErr w:type="spellEnd"/>
      <w:r>
        <w:rPr>
          <w:rStyle w:val="normaltextrun1"/>
          <w:rFonts w:ascii="Calibri" w:hAnsi="Calibri" w:cs="Calibri"/>
          <w:sz w:val="22"/>
          <w:szCs w:val="22"/>
        </w:rPr>
        <w:t xml:space="preserve"> and rangatiratanga, and based on community needs.   </w:t>
      </w:r>
    </w:p>
    <w:p w14:paraId="704739AE" w14:textId="77777777" w:rsidR="00AE1400" w:rsidRDefault="00AE1400" w:rsidP="00AE1400">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 xml:space="preserve">Police give the selected provider information on the individual’s circumstances and what they need help with.  The individual’s name, preferred method of contact, gender and date of birth are provided, and the referral includes a request for the person to be enrolled with the provider, and progress reports to an AWHI email address for that district.  </w:t>
      </w:r>
    </w:p>
    <w:p w14:paraId="777CC557" w14:textId="47C39AAE" w:rsidR="00AE1400" w:rsidRDefault="00201EF0" w:rsidP="00AE1400">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If providers</w:t>
      </w:r>
      <w:r w:rsidR="00AE1400">
        <w:rPr>
          <w:rStyle w:val="normaltextrun1"/>
          <w:rFonts w:ascii="Calibri" w:hAnsi="Calibri" w:cs="Calibri"/>
          <w:sz w:val="22"/>
          <w:szCs w:val="22"/>
        </w:rPr>
        <w:t xml:space="preserve"> do not have the capacity to respond to a referral within a 48</w:t>
      </w:r>
      <w:r w:rsidR="00D87803">
        <w:rPr>
          <w:rStyle w:val="normaltextrun1"/>
          <w:rFonts w:ascii="Calibri" w:hAnsi="Calibri" w:cs="Calibri"/>
          <w:sz w:val="22"/>
          <w:szCs w:val="22"/>
        </w:rPr>
        <w:t>-</w:t>
      </w:r>
      <w:r w:rsidR="00AE1400">
        <w:rPr>
          <w:rStyle w:val="normaltextrun1"/>
          <w:rFonts w:ascii="Calibri" w:hAnsi="Calibri" w:cs="Calibri"/>
          <w:sz w:val="22"/>
          <w:szCs w:val="22"/>
        </w:rPr>
        <w:t>hour period</w:t>
      </w:r>
      <w:r>
        <w:rPr>
          <w:rStyle w:val="normaltextrun1"/>
          <w:rFonts w:ascii="Calibri" w:hAnsi="Calibri" w:cs="Calibri"/>
          <w:sz w:val="22"/>
          <w:szCs w:val="22"/>
        </w:rPr>
        <w:t xml:space="preserve">, they are not available for selection by an </w:t>
      </w:r>
      <w:r w:rsidR="00B161FD">
        <w:rPr>
          <w:rStyle w:val="normaltextrun1"/>
          <w:rFonts w:ascii="Calibri" w:hAnsi="Calibri" w:cs="Calibri"/>
          <w:sz w:val="22"/>
          <w:szCs w:val="22"/>
        </w:rPr>
        <w:t>o</w:t>
      </w:r>
      <w:r>
        <w:rPr>
          <w:rStyle w:val="normaltextrun1"/>
          <w:rFonts w:ascii="Calibri" w:hAnsi="Calibri" w:cs="Calibri"/>
          <w:sz w:val="22"/>
          <w:szCs w:val="22"/>
        </w:rPr>
        <w:t>fficer.</w:t>
      </w:r>
      <w:r w:rsidR="0072250A">
        <w:rPr>
          <w:rStyle w:val="normaltextrun1"/>
          <w:rFonts w:ascii="Calibri" w:hAnsi="Calibri" w:cs="Calibri"/>
          <w:sz w:val="22"/>
          <w:szCs w:val="22"/>
        </w:rPr>
        <w:t xml:space="preserve">  </w:t>
      </w:r>
      <w:r w:rsidR="00D87803">
        <w:rPr>
          <w:rStyle w:val="normaltextrun1"/>
          <w:rFonts w:ascii="Calibri" w:hAnsi="Calibri" w:cs="Calibri"/>
          <w:sz w:val="22"/>
          <w:szCs w:val="22"/>
        </w:rPr>
        <w:t>The pdf is updated monthly, and any referrals to providers with full books can be reassigned</w:t>
      </w:r>
      <w:r w:rsidR="00D35235">
        <w:rPr>
          <w:rStyle w:val="normaltextrun1"/>
          <w:rFonts w:ascii="Calibri" w:hAnsi="Calibri" w:cs="Calibri"/>
          <w:sz w:val="22"/>
          <w:szCs w:val="22"/>
        </w:rPr>
        <w:t>, and</w:t>
      </w:r>
      <w:r w:rsidR="00D87803">
        <w:rPr>
          <w:rStyle w:val="normaltextrun1"/>
          <w:rFonts w:ascii="Calibri" w:hAnsi="Calibri" w:cs="Calibri"/>
          <w:sz w:val="22"/>
          <w:szCs w:val="22"/>
        </w:rPr>
        <w:t xml:space="preserve"> </w:t>
      </w:r>
      <w:r w:rsidR="00AD7F34">
        <w:rPr>
          <w:rStyle w:val="normaltextrun1"/>
          <w:rFonts w:ascii="Calibri" w:hAnsi="Calibri" w:cs="Calibri"/>
          <w:sz w:val="22"/>
          <w:szCs w:val="22"/>
        </w:rPr>
        <w:t xml:space="preserve">Police </w:t>
      </w:r>
      <w:r w:rsidR="006B2837">
        <w:rPr>
          <w:rStyle w:val="normaltextrun1"/>
          <w:rFonts w:ascii="Calibri" w:hAnsi="Calibri" w:cs="Calibri"/>
          <w:sz w:val="22"/>
          <w:szCs w:val="22"/>
        </w:rPr>
        <w:t xml:space="preserve">may look for more partners for that service. </w:t>
      </w:r>
      <w:r w:rsidR="00AD7F34">
        <w:rPr>
          <w:rStyle w:val="normaltextrun1"/>
          <w:rFonts w:ascii="Calibri" w:hAnsi="Calibri" w:cs="Calibri"/>
          <w:sz w:val="22"/>
          <w:szCs w:val="22"/>
        </w:rPr>
        <w:t xml:space="preserve"> </w:t>
      </w:r>
      <w:r w:rsidR="00D87803">
        <w:rPr>
          <w:rStyle w:val="normaltextrun1"/>
          <w:rFonts w:ascii="Calibri" w:hAnsi="Calibri" w:cs="Calibri"/>
          <w:sz w:val="22"/>
          <w:szCs w:val="22"/>
        </w:rPr>
        <w:t xml:space="preserve"> </w:t>
      </w:r>
      <w:r w:rsidR="0072250A">
        <w:rPr>
          <w:rStyle w:val="normaltextrun1"/>
          <w:rFonts w:ascii="Calibri" w:hAnsi="Calibri" w:cs="Calibri"/>
          <w:sz w:val="22"/>
          <w:szCs w:val="22"/>
        </w:rPr>
        <w:t xml:space="preserve"> </w:t>
      </w:r>
    </w:p>
    <w:p w14:paraId="2F73983A" w14:textId="586BC7B5" w:rsidR="00AE1400" w:rsidRDefault="00401F73" w:rsidP="002412D3">
      <w:pPr>
        <w:pStyle w:val="Caption"/>
        <w:rPr>
          <w:rStyle w:val="normaltextrun1"/>
          <w:rFonts w:ascii="Calibri" w:hAnsi="Calibri" w:cs="Calibri"/>
        </w:rPr>
      </w:pPr>
      <w:bookmarkStart w:id="199" w:name="_Toc75943061"/>
      <w:bookmarkStart w:id="200" w:name="_Toc77776100"/>
      <w:r>
        <w:t>Table</w:t>
      </w:r>
      <w:r w:rsidR="6778F506">
        <w:t xml:space="preserve"> </w:t>
      </w:r>
      <w:r>
        <w:fldChar w:fldCharType="begin"/>
      </w:r>
      <w:r>
        <w:instrText>SEQ Table \* ARABIC</w:instrText>
      </w:r>
      <w:r>
        <w:fldChar w:fldCharType="separate"/>
      </w:r>
      <w:r w:rsidR="00AA3031">
        <w:rPr>
          <w:noProof/>
        </w:rPr>
        <w:t>4</w:t>
      </w:r>
      <w:r>
        <w:fldChar w:fldCharType="end"/>
      </w:r>
      <w:r w:rsidR="002412D3" w:rsidRPr="00620BF2">
        <w:t>:</w:t>
      </w:r>
      <w:r w:rsidRPr="00620BF2">
        <w:t xml:space="preserve"> Referrals from Police to </w:t>
      </w:r>
      <w:r w:rsidR="00F22337">
        <w:t>a</w:t>
      </w:r>
      <w:r w:rsidRPr="00620BF2">
        <w:t xml:space="preserve">ddiction </w:t>
      </w:r>
      <w:r w:rsidR="00F22337">
        <w:t>s</w:t>
      </w:r>
      <w:r w:rsidRPr="00620BF2">
        <w:t>ervices through AWHI</w:t>
      </w:r>
      <w:bookmarkEnd w:id="199"/>
      <w:bookmarkEnd w:id="200"/>
    </w:p>
    <w:p w14:paraId="01AD6A4A" w14:textId="3FB3D702" w:rsidR="007A75CC" w:rsidRDefault="00401F73" w:rsidP="002412D3">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The table below shows that b</w:t>
      </w:r>
      <w:r w:rsidR="00AD0EE3">
        <w:rPr>
          <w:rStyle w:val="normaltextrun1"/>
          <w:rFonts w:ascii="Calibri" w:hAnsi="Calibri" w:cs="Calibri"/>
          <w:sz w:val="22"/>
          <w:szCs w:val="22"/>
        </w:rPr>
        <w:t xml:space="preserve">etween 5.1 and 7.4 percent of referrals </w:t>
      </w:r>
      <w:r w:rsidR="00FE4938">
        <w:rPr>
          <w:rStyle w:val="normaltextrun1"/>
          <w:rFonts w:ascii="Calibri" w:hAnsi="Calibri" w:cs="Calibri"/>
          <w:sz w:val="22"/>
          <w:szCs w:val="22"/>
        </w:rPr>
        <w:t xml:space="preserve">by </w:t>
      </w:r>
      <w:r w:rsidR="0080439D">
        <w:rPr>
          <w:rStyle w:val="normaltextrun1"/>
          <w:rFonts w:ascii="Calibri" w:hAnsi="Calibri" w:cs="Calibri"/>
          <w:sz w:val="22"/>
          <w:szCs w:val="22"/>
        </w:rPr>
        <w:t xml:space="preserve">Police </w:t>
      </w:r>
      <w:r w:rsidR="00FE4938">
        <w:rPr>
          <w:rStyle w:val="normaltextrun1"/>
          <w:rFonts w:ascii="Calibri" w:hAnsi="Calibri" w:cs="Calibri"/>
          <w:sz w:val="22"/>
          <w:szCs w:val="22"/>
        </w:rPr>
        <w:t xml:space="preserve">to health and social services are to addiction services, as recorded by AWHI.  It should be noted that the highest referral numbers are in </w:t>
      </w:r>
      <w:r w:rsidR="003D6ECC">
        <w:rPr>
          <w:rStyle w:val="normaltextrun1"/>
          <w:rFonts w:ascii="Calibri" w:hAnsi="Calibri" w:cs="Calibri"/>
          <w:sz w:val="22"/>
          <w:szCs w:val="22"/>
        </w:rPr>
        <w:t xml:space="preserve">the </w:t>
      </w:r>
      <w:r w:rsidR="00FE4938">
        <w:rPr>
          <w:rStyle w:val="normaltextrun1"/>
          <w:rFonts w:ascii="Calibri" w:hAnsi="Calibri" w:cs="Calibri"/>
          <w:sz w:val="22"/>
          <w:szCs w:val="22"/>
        </w:rPr>
        <w:t xml:space="preserve">Bay of Plenty, where AWHI has been in place longer than any other district, and that referrals to addiction services include referrals for alcohol and gambling services as well as illegal drugs.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557"/>
      </w:tblGrid>
      <w:tr w:rsidR="00D02A0F" w14:paraId="6C79FAED" w14:textId="77777777" w:rsidTr="008A2D33">
        <w:trPr>
          <w:jc w:val="center"/>
        </w:trPr>
        <w:tc>
          <w:tcPr>
            <w:tcW w:w="2122" w:type="dxa"/>
            <w:shd w:val="clear" w:color="auto" w:fill="B4C6E7" w:themeFill="accent1" w:themeFillTint="66"/>
          </w:tcPr>
          <w:p w14:paraId="6DA0DD61" w14:textId="456FE99F" w:rsidR="00D02A0F" w:rsidRDefault="00AD6CCC" w:rsidP="00D42133">
            <w:r>
              <w:t>Timeframe</w:t>
            </w:r>
            <w:r w:rsidR="004868F7">
              <w:t xml:space="preserve"> </w:t>
            </w:r>
          </w:p>
        </w:tc>
        <w:tc>
          <w:tcPr>
            <w:tcW w:w="2551" w:type="dxa"/>
            <w:shd w:val="clear" w:color="auto" w:fill="B4C6E7" w:themeFill="accent1" w:themeFillTint="66"/>
          </w:tcPr>
          <w:p w14:paraId="4F59C04F" w14:textId="0F43BDA2" w:rsidR="00D02A0F" w:rsidRDefault="00AD6CCC" w:rsidP="00D42133">
            <w:r>
              <w:t>Total referrals to a</w:t>
            </w:r>
            <w:r w:rsidR="00D02A0F">
              <w:t xml:space="preserve">ddiction </w:t>
            </w:r>
            <w:r>
              <w:t>s</w:t>
            </w:r>
            <w:r w:rsidR="00D02A0F">
              <w:t>ervices*</w:t>
            </w:r>
          </w:p>
        </w:tc>
        <w:tc>
          <w:tcPr>
            <w:tcW w:w="2557" w:type="dxa"/>
            <w:shd w:val="clear" w:color="auto" w:fill="B4C6E7" w:themeFill="accent1" w:themeFillTint="66"/>
          </w:tcPr>
          <w:p w14:paraId="41336A18" w14:textId="0F0C391C" w:rsidR="00D02A0F" w:rsidRDefault="00D02A0F" w:rsidP="00D42133">
            <w:r>
              <w:t xml:space="preserve">Total </w:t>
            </w:r>
            <w:r w:rsidR="00B72E22">
              <w:t>referrals to all health and social services</w:t>
            </w:r>
            <w:r w:rsidR="000F101B">
              <w:t xml:space="preserve"> </w:t>
            </w:r>
          </w:p>
        </w:tc>
      </w:tr>
      <w:tr w:rsidR="00D02A0F" w14:paraId="24586CB4" w14:textId="77777777" w:rsidTr="00154455">
        <w:trPr>
          <w:jc w:val="center"/>
        </w:trPr>
        <w:tc>
          <w:tcPr>
            <w:tcW w:w="2122" w:type="dxa"/>
          </w:tcPr>
          <w:p w14:paraId="1E9C38A1" w14:textId="726A9E6E" w:rsidR="00D02A0F" w:rsidRDefault="00D02A0F" w:rsidP="00D42133">
            <w:r>
              <w:t>2018</w:t>
            </w:r>
          </w:p>
        </w:tc>
        <w:tc>
          <w:tcPr>
            <w:tcW w:w="2551" w:type="dxa"/>
          </w:tcPr>
          <w:p w14:paraId="6A354CEE" w14:textId="77777777" w:rsidR="00D02A0F" w:rsidRDefault="00D02A0F" w:rsidP="000F101B">
            <w:pPr>
              <w:jc w:val="center"/>
            </w:pPr>
            <w:r>
              <w:t>221</w:t>
            </w:r>
          </w:p>
        </w:tc>
        <w:tc>
          <w:tcPr>
            <w:tcW w:w="2557" w:type="dxa"/>
          </w:tcPr>
          <w:p w14:paraId="19D53B80" w14:textId="77777777" w:rsidR="00D02A0F" w:rsidRDefault="00D02A0F" w:rsidP="000F101B">
            <w:pPr>
              <w:jc w:val="center"/>
            </w:pPr>
            <w:r>
              <w:t>2979</w:t>
            </w:r>
          </w:p>
        </w:tc>
      </w:tr>
      <w:tr w:rsidR="00D02A0F" w14:paraId="75BD2732" w14:textId="77777777" w:rsidTr="00154455">
        <w:trPr>
          <w:jc w:val="center"/>
        </w:trPr>
        <w:tc>
          <w:tcPr>
            <w:tcW w:w="2122" w:type="dxa"/>
          </w:tcPr>
          <w:p w14:paraId="6F4EE8A4" w14:textId="7F4CD3D9" w:rsidR="00D02A0F" w:rsidRDefault="00D02A0F" w:rsidP="00D42133">
            <w:r>
              <w:t>2019</w:t>
            </w:r>
          </w:p>
        </w:tc>
        <w:tc>
          <w:tcPr>
            <w:tcW w:w="2551" w:type="dxa"/>
          </w:tcPr>
          <w:p w14:paraId="413FBEB5" w14:textId="77777777" w:rsidR="00D02A0F" w:rsidRDefault="00D02A0F" w:rsidP="000F101B">
            <w:pPr>
              <w:jc w:val="center"/>
            </w:pPr>
            <w:r>
              <w:t>395</w:t>
            </w:r>
          </w:p>
        </w:tc>
        <w:tc>
          <w:tcPr>
            <w:tcW w:w="2557" w:type="dxa"/>
          </w:tcPr>
          <w:p w14:paraId="45840B95" w14:textId="77777777" w:rsidR="00D02A0F" w:rsidRDefault="00D02A0F" w:rsidP="000F101B">
            <w:pPr>
              <w:jc w:val="center"/>
            </w:pPr>
            <w:r>
              <w:t>7718</w:t>
            </w:r>
          </w:p>
        </w:tc>
      </w:tr>
      <w:tr w:rsidR="00D02A0F" w14:paraId="27C64F84" w14:textId="77777777" w:rsidTr="00154455">
        <w:trPr>
          <w:jc w:val="center"/>
        </w:trPr>
        <w:tc>
          <w:tcPr>
            <w:tcW w:w="2122" w:type="dxa"/>
          </w:tcPr>
          <w:p w14:paraId="7495A1B9" w14:textId="41682FA2" w:rsidR="00D02A0F" w:rsidRDefault="00D02A0F" w:rsidP="00D42133">
            <w:r>
              <w:t>2020</w:t>
            </w:r>
          </w:p>
        </w:tc>
        <w:tc>
          <w:tcPr>
            <w:tcW w:w="2551" w:type="dxa"/>
          </w:tcPr>
          <w:p w14:paraId="2B6A1A17" w14:textId="77777777" w:rsidR="00D02A0F" w:rsidRDefault="00D02A0F" w:rsidP="000F101B">
            <w:pPr>
              <w:jc w:val="center"/>
            </w:pPr>
            <w:r>
              <w:t>433</w:t>
            </w:r>
          </w:p>
        </w:tc>
        <w:tc>
          <w:tcPr>
            <w:tcW w:w="2557" w:type="dxa"/>
          </w:tcPr>
          <w:p w14:paraId="20779CC7" w14:textId="77777777" w:rsidR="00D02A0F" w:rsidRDefault="00D02A0F" w:rsidP="000F101B">
            <w:pPr>
              <w:jc w:val="center"/>
            </w:pPr>
            <w:r>
              <w:t>7609</w:t>
            </w:r>
          </w:p>
        </w:tc>
      </w:tr>
      <w:tr w:rsidR="00D02A0F" w14:paraId="31BCF0C4" w14:textId="77777777" w:rsidTr="00154455">
        <w:trPr>
          <w:jc w:val="center"/>
        </w:trPr>
        <w:tc>
          <w:tcPr>
            <w:tcW w:w="2122" w:type="dxa"/>
          </w:tcPr>
          <w:p w14:paraId="7DE550E4" w14:textId="33CCCBEE" w:rsidR="00D02A0F" w:rsidRDefault="004868F7" w:rsidP="00D42133">
            <w:r>
              <w:t xml:space="preserve">January – April </w:t>
            </w:r>
            <w:r w:rsidR="00D02A0F">
              <w:t>2021</w:t>
            </w:r>
          </w:p>
        </w:tc>
        <w:tc>
          <w:tcPr>
            <w:tcW w:w="2551" w:type="dxa"/>
          </w:tcPr>
          <w:p w14:paraId="615D4824" w14:textId="77777777" w:rsidR="00D02A0F" w:rsidRDefault="00D02A0F" w:rsidP="000F101B">
            <w:pPr>
              <w:jc w:val="center"/>
            </w:pPr>
            <w:r>
              <w:t>165</w:t>
            </w:r>
          </w:p>
        </w:tc>
        <w:tc>
          <w:tcPr>
            <w:tcW w:w="2557" w:type="dxa"/>
          </w:tcPr>
          <w:p w14:paraId="52A57D18" w14:textId="77777777" w:rsidR="00D02A0F" w:rsidRDefault="00D02A0F" w:rsidP="000F101B">
            <w:pPr>
              <w:jc w:val="center"/>
            </w:pPr>
            <w:r>
              <w:t>2856</w:t>
            </w:r>
          </w:p>
        </w:tc>
      </w:tr>
      <w:tr w:rsidR="00D02A0F" w14:paraId="2D082CDF" w14:textId="77777777" w:rsidTr="008A2D33">
        <w:trPr>
          <w:jc w:val="center"/>
        </w:trPr>
        <w:tc>
          <w:tcPr>
            <w:tcW w:w="2122" w:type="dxa"/>
            <w:shd w:val="clear" w:color="auto" w:fill="B4C6E7" w:themeFill="accent1" w:themeFillTint="66"/>
          </w:tcPr>
          <w:p w14:paraId="386D4A06" w14:textId="77777777" w:rsidR="00D02A0F" w:rsidRDefault="00D02A0F" w:rsidP="00D42133">
            <w:r>
              <w:t>TOTAL</w:t>
            </w:r>
          </w:p>
        </w:tc>
        <w:tc>
          <w:tcPr>
            <w:tcW w:w="2551" w:type="dxa"/>
            <w:shd w:val="clear" w:color="auto" w:fill="B4C6E7" w:themeFill="accent1" w:themeFillTint="66"/>
          </w:tcPr>
          <w:p w14:paraId="53BD9235" w14:textId="77B6AF08" w:rsidR="00D02A0F" w:rsidRDefault="00D02A0F" w:rsidP="000F101B">
            <w:pPr>
              <w:jc w:val="center"/>
            </w:pPr>
            <w:r>
              <w:t>12</w:t>
            </w:r>
            <w:r w:rsidR="00A61BDE">
              <w:t>1</w:t>
            </w:r>
            <w:r>
              <w:t>4</w:t>
            </w:r>
          </w:p>
        </w:tc>
        <w:tc>
          <w:tcPr>
            <w:tcW w:w="2557" w:type="dxa"/>
            <w:shd w:val="clear" w:color="auto" w:fill="B4C6E7" w:themeFill="accent1" w:themeFillTint="66"/>
          </w:tcPr>
          <w:p w14:paraId="2A9EE6C7" w14:textId="3C26AAA9" w:rsidR="00D02A0F" w:rsidRDefault="00AD0EE3" w:rsidP="000F101B">
            <w:pPr>
              <w:jc w:val="center"/>
            </w:pPr>
            <w:r>
              <w:t>2</w:t>
            </w:r>
            <w:r w:rsidR="00A073D3">
              <w:t>1</w:t>
            </w:r>
            <w:r>
              <w:t>,161</w:t>
            </w:r>
          </w:p>
        </w:tc>
      </w:tr>
    </w:tbl>
    <w:p w14:paraId="3302BD66" w14:textId="77777777" w:rsidR="00D02A0F" w:rsidRDefault="00D02A0F" w:rsidP="0080439D"/>
    <w:p w14:paraId="683E6B80" w14:textId="7937E2B3" w:rsidR="00F22337" w:rsidRPr="00F22337" w:rsidRDefault="00F22337" w:rsidP="00AF5F1F">
      <w:pPr>
        <w:pStyle w:val="Heading4"/>
        <w:rPr>
          <w:rStyle w:val="normaltextrun1"/>
          <w:rFonts w:ascii="Calibri" w:hAnsi="Calibri" w:cs="Calibri"/>
          <w:i/>
          <w:iCs/>
        </w:rPr>
      </w:pPr>
      <w:r w:rsidRPr="00F22337">
        <w:rPr>
          <w:rStyle w:val="normaltextrun1"/>
          <w:rFonts w:ascii="Calibri" w:hAnsi="Calibri" w:cs="Calibri"/>
          <w:i/>
          <w:iCs/>
        </w:rPr>
        <w:t xml:space="preserve">AWHI </w:t>
      </w:r>
      <w:r w:rsidR="00896804">
        <w:rPr>
          <w:rStyle w:val="normaltextrun1"/>
          <w:rFonts w:ascii="Calibri" w:hAnsi="Calibri" w:cs="Calibri"/>
          <w:i/>
          <w:iCs/>
        </w:rPr>
        <w:t>expansion</w:t>
      </w:r>
    </w:p>
    <w:p w14:paraId="779DA497" w14:textId="0914BDA4" w:rsidR="00F22337" w:rsidRDefault="00F22337" w:rsidP="00F22337">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For local referrals, NZ Police National Headquarters is now developing AWHI into an online platform.  Work is currently underway on a six-week proof of concept and evaluation</w:t>
      </w:r>
      <w:r w:rsidR="00F63BA7">
        <w:rPr>
          <w:rStyle w:val="normaltextrun1"/>
          <w:rFonts w:ascii="Calibri" w:hAnsi="Calibri" w:cs="Calibri"/>
          <w:sz w:val="22"/>
          <w:szCs w:val="22"/>
        </w:rPr>
        <w:t>.</w:t>
      </w:r>
      <w:r>
        <w:rPr>
          <w:rStyle w:val="normaltextrun1"/>
          <w:rFonts w:ascii="Calibri" w:hAnsi="Calibri" w:cs="Calibri"/>
          <w:sz w:val="22"/>
          <w:szCs w:val="22"/>
        </w:rPr>
        <w:t xml:space="preserve">  </w:t>
      </w:r>
    </w:p>
    <w:p w14:paraId="31255CD4" w14:textId="001A57FE" w:rsidR="000C03D7" w:rsidRDefault="000C03D7" w:rsidP="000D5E1B">
      <w:pPr>
        <w:pStyle w:val="Heading3"/>
      </w:pPr>
      <w:bookmarkStart w:id="201" w:name="_Toc75781195"/>
      <w:bookmarkStart w:id="202" w:name="_Toc75952908"/>
      <w:bookmarkStart w:id="203" w:name="_Toc78186474"/>
      <w:r>
        <w:t>Referrals to health services through Adult Diversion</w:t>
      </w:r>
      <w:bookmarkEnd w:id="201"/>
      <w:bookmarkEnd w:id="202"/>
      <w:bookmarkEnd w:id="203"/>
      <w:r>
        <w:t xml:space="preserve"> </w:t>
      </w:r>
    </w:p>
    <w:p w14:paraId="5CFAF70C" w14:textId="786B16C6" w:rsidR="000C03D7" w:rsidRDefault="00A6264C" w:rsidP="000C03D7">
      <w:r w:rsidRPr="000E2856">
        <w:t xml:space="preserve">As shown in </w:t>
      </w:r>
      <w:r w:rsidR="0076209A" w:rsidRPr="000E2856">
        <w:t>Figure</w:t>
      </w:r>
      <w:r w:rsidRPr="000E2856">
        <w:t xml:space="preserve"> </w:t>
      </w:r>
      <w:r w:rsidR="004152DB" w:rsidRPr="000E2856">
        <w:t xml:space="preserve">1 </w:t>
      </w:r>
      <w:r w:rsidRPr="000E2856">
        <w:t xml:space="preserve">Heath referrals can be made </w:t>
      </w:r>
      <w:r w:rsidR="004152DB" w:rsidRPr="000E2856">
        <w:t xml:space="preserve">at any time during the resolution process.  This review has not sought data on referrals through the </w:t>
      </w:r>
      <w:r w:rsidR="00545ED9" w:rsidRPr="000E2856">
        <w:t xml:space="preserve">Court or probation process.  We have provided </w:t>
      </w:r>
      <w:r w:rsidR="006B0074" w:rsidRPr="000E2856">
        <w:t>information</w:t>
      </w:r>
      <w:r w:rsidR="00545ED9" w:rsidRPr="000E2856">
        <w:t xml:space="preserve"> on the diversion process as it is a hybrid Police- Court process initiated by Police.</w:t>
      </w:r>
      <w:r w:rsidR="004152DB">
        <w:t xml:space="preserve"> </w:t>
      </w:r>
      <w:r>
        <w:t xml:space="preserve"> </w:t>
      </w:r>
      <w:r w:rsidR="000C259B">
        <w:t>Graph 1</w:t>
      </w:r>
      <w:r w:rsidR="004152DB">
        <w:t>6</w:t>
      </w:r>
      <w:r w:rsidR="000C259B">
        <w:t xml:space="preserve"> </w:t>
      </w:r>
      <w:r w:rsidR="000C52F2">
        <w:t xml:space="preserve">shows the percentage of adult diversion outcomes involving a referral to drug counselling.  </w:t>
      </w:r>
    </w:p>
    <w:p w14:paraId="6B4CE141" w14:textId="7D020AD7" w:rsidR="00253927" w:rsidRPr="003F513C" w:rsidRDefault="00253927" w:rsidP="00253927">
      <w:r>
        <w:t>In 2016, health-based referrals were made during 61</w:t>
      </w:r>
      <w:r w:rsidR="00B76522">
        <w:t xml:space="preserve"> percent</w:t>
      </w:r>
      <w:r>
        <w:t xml:space="preserve"> of all drug-related diversions.  Referral percentages reached a peak of 74</w:t>
      </w:r>
      <w:r w:rsidR="00B76522">
        <w:t xml:space="preserve"> percent</w:t>
      </w:r>
      <w:r>
        <w:t xml:space="preserve"> in 2019 (the year in which the amendment was enacted) but fell to 50</w:t>
      </w:r>
      <w:r w:rsidR="000149F9">
        <w:t xml:space="preserve"> percent</w:t>
      </w:r>
      <w:r>
        <w:t xml:space="preserve"> in 2020.  </w:t>
      </w:r>
      <w:r w:rsidRPr="005E59C1">
        <w:t>It is difficult to explain this decline without conducting further research.</w:t>
      </w:r>
    </w:p>
    <w:p w14:paraId="7F6A72F2" w14:textId="523DECD0" w:rsidR="00253927" w:rsidRDefault="00253927" w:rsidP="00253927">
      <w:r>
        <w:t>Out of a total of 793 drug-related diversions across the four years, 63</w:t>
      </w:r>
      <w:r w:rsidR="00B76522">
        <w:t xml:space="preserve"> percent</w:t>
      </w:r>
      <w:r>
        <w:t xml:space="preserve"> (499) have received a health referral within the diversion process.</w:t>
      </w:r>
    </w:p>
    <w:p w14:paraId="00993160" w14:textId="7EEF0344" w:rsidR="000C03D7" w:rsidRDefault="005B2227" w:rsidP="008A2D33">
      <w:bookmarkStart w:id="204" w:name="_Toc75781246"/>
      <w:bookmarkStart w:id="205" w:name="_Toc77776000"/>
      <w:r>
        <w:lastRenderedPageBreak/>
        <w:t xml:space="preserve">Graph </w:t>
      </w:r>
      <w:r>
        <w:fldChar w:fldCharType="begin"/>
      </w:r>
      <w:r>
        <w:instrText>SEQ Figure \* ARABIC</w:instrText>
      </w:r>
      <w:r>
        <w:fldChar w:fldCharType="separate"/>
      </w:r>
      <w:r w:rsidR="00AA3031">
        <w:rPr>
          <w:noProof/>
        </w:rPr>
        <w:t>17</w:t>
      </w:r>
      <w:r>
        <w:fldChar w:fldCharType="end"/>
      </w:r>
      <w:r w:rsidR="000C03D7">
        <w:t>.</w:t>
      </w:r>
      <w:r w:rsidR="000C03D7" w:rsidRPr="669AB23B">
        <w:t xml:space="preserve"> Percentage </w:t>
      </w:r>
      <w:r w:rsidR="000C03D7">
        <w:t>of diversions referred for counselling – cannabis and other drugs</w:t>
      </w:r>
      <w:bookmarkEnd w:id="204"/>
      <w:bookmarkEnd w:id="205"/>
      <w:r w:rsidR="000C03D7" w:rsidRPr="669AB23B">
        <w:t xml:space="preserve"> </w:t>
      </w:r>
    </w:p>
    <w:p w14:paraId="69B93DFC" w14:textId="1007D8CA" w:rsidR="000C03D7" w:rsidRDefault="000C03D7" w:rsidP="000C03D7">
      <w:pPr>
        <w:pStyle w:val="Heading4"/>
      </w:pPr>
      <w:r>
        <w:rPr>
          <w:noProof/>
        </w:rPr>
        <w:drawing>
          <wp:inline distT="0" distB="0" distL="0" distR="0" wp14:anchorId="1814779B" wp14:editId="2F9714C6">
            <wp:extent cx="4572000" cy="2781300"/>
            <wp:effectExtent l="0" t="0" r="0" b="0"/>
            <wp:docPr id="4" name="Chart 4">
              <a:extLst xmlns:a="http://schemas.openxmlformats.org/drawingml/2006/main">
                <a:ext uri="{FF2B5EF4-FFF2-40B4-BE49-F238E27FC236}">
                  <a16:creationId xmlns:a16="http://schemas.microsoft.com/office/drawing/2014/main" id="{9C66A7D2-3C5A-4A21-87E8-DEF566AE8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DE20B2" w14:textId="77777777" w:rsidR="00D02A0F" w:rsidRDefault="00D02A0F" w:rsidP="00FE2D6C">
      <w:pPr>
        <w:pStyle w:val="Heading4"/>
      </w:pPr>
    </w:p>
    <w:p w14:paraId="4DE7120B" w14:textId="03078EEF" w:rsidR="0080439D" w:rsidRDefault="0080439D" w:rsidP="00D758C6">
      <w:pPr>
        <w:pStyle w:val="Heading3"/>
      </w:pPr>
      <w:bookmarkStart w:id="206" w:name="_Toc75781196"/>
      <w:bookmarkStart w:id="207" w:name="_Toc75952909"/>
      <w:bookmarkStart w:id="208" w:name="_Toc78186475"/>
      <w:r>
        <w:t>Direct Police referrals to DHB Alcohol and Drug and Co-Existing Problems teams</w:t>
      </w:r>
      <w:bookmarkEnd w:id="206"/>
      <w:bookmarkEnd w:id="207"/>
      <w:bookmarkEnd w:id="208"/>
    </w:p>
    <w:p w14:paraId="037E173A" w14:textId="59B124AA" w:rsidR="00F603FD" w:rsidRDefault="0080439D" w:rsidP="0080439D">
      <w:r>
        <w:t xml:space="preserve">Referral rates through the </w:t>
      </w:r>
      <w:r w:rsidR="004D081B">
        <w:t>MoDA Referral Pathway</w:t>
      </w:r>
      <w:r>
        <w:t xml:space="preserve"> are low </w:t>
      </w:r>
      <w:r w:rsidR="00293F6D">
        <w:t xml:space="preserve">when we </w:t>
      </w:r>
      <w:r>
        <w:t>compare</w:t>
      </w:r>
      <w:r w:rsidR="00293F6D">
        <w:t xml:space="preserve"> these</w:t>
      </w:r>
      <w:r>
        <w:t xml:space="preserve"> with national referral numbers by Police to DHB Alcohol and Drug (AOD) and Co-existing Problems (CEP) teams (included both DHB provided services and services provided by non-governmental organisations). </w:t>
      </w:r>
      <w:r w:rsidR="009D2817">
        <w:t>I</w:t>
      </w:r>
      <w:r>
        <w:t>t needs to be noted</w:t>
      </w:r>
      <w:r w:rsidR="009D2817">
        <w:t>, however,</w:t>
      </w:r>
      <w:r>
        <w:t xml:space="preserve"> that these referrals include mental health, alcohol and gambling referrals.  Some of these will overlap with the referrals in AWHI and so are not </w:t>
      </w:r>
      <w:r w:rsidR="00465D0D">
        <w:t>comparable</w:t>
      </w:r>
      <w:r>
        <w:t xml:space="preserve">.  </w:t>
      </w:r>
      <w:r w:rsidR="00621E69" w:rsidRPr="003B0B0F">
        <w:t>While these datasets are not the same they provide another view on referrals.</w:t>
      </w:r>
      <w:r w:rsidR="00E67545">
        <w:t xml:space="preserve">  The data in the following two tables has been extracted from the Ministry of </w:t>
      </w:r>
      <w:r w:rsidR="000C07A8">
        <w:t>Health</w:t>
      </w:r>
      <w:r w:rsidR="003928B0">
        <w:t xml:space="preserve"> national mental health and addiction information collection (PRIMH</w:t>
      </w:r>
      <w:r w:rsidR="00465D0D">
        <w:t>D)</w:t>
      </w:r>
    </w:p>
    <w:p w14:paraId="45BA7728" w14:textId="6992F728" w:rsidR="0080439D" w:rsidRDefault="005B2227" w:rsidP="005B2227">
      <w:pPr>
        <w:pStyle w:val="Caption"/>
        <w:rPr>
          <w:b w:val="0"/>
        </w:rPr>
      </w:pPr>
      <w:bookmarkStart w:id="209" w:name="_Toc75781247"/>
      <w:bookmarkStart w:id="210" w:name="_Toc77776001"/>
      <w:r>
        <w:t>G</w:t>
      </w:r>
      <w:r w:rsidR="000E13DC">
        <w:t>r</w:t>
      </w:r>
      <w:r>
        <w:t xml:space="preserve">aph </w:t>
      </w:r>
      <w:r>
        <w:fldChar w:fldCharType="begin"/>
      </w:r>
      <w:r>
        <w:instrText>SEQ Figure \* ARABIC</w:instrText>
      </w:r>
      <w:r>
        <w:fldChar w:fldCharType="separate"/>
      </w:r>
      <w:r w:rsidR="00AA3031">
        <w:rPr>
          <w:noProof/>
        </w:rPr>
        <w:t>18</w:t>
      </w:r>
      <w:r>
        <w:fldChar w:fldCharType="end"/>
      </w:r>
      <w:r w:rsidR="002412D3">
        <w:t>.</w:t>
      </w:r>
      <w:r w:rsidR="00621E69">
        <w:t xml:space="preserve"> </w:t>
      </w:r>
      <w:r w:rsidR="118C3B33" w:rsidRPr="4C128604">
        <w:t>Number of referrals by Police to AOD and CEP Teams</w:t>
      </w:r>
      <w:bookmarkEnd w:id="209"/>
      <w:bookmarkEnd w:id="210"/>
    </w:p>
    <w:p w14:paraId="1D7A1C5D" w14:textId="77777777" w:rsidR="0080439D" w:rsidRDefault="0080439D" w:rsidP="0080439D">
      <w:r>
        <w:rPr>
          <w:noProof/>
        </w:rPr>
        <w:drawing>
          <wp:inline distT="0" distB="0" distL="0" distR="0" wp14:anchorId="75616E9D" wp14:editId="43DC03A7">
            <wp:extent cx="4762500" cy="2166937"/>
            <wp:effectExtent l="0" t="0" r="0" b="5080"/>
            <wp:docPr id="30" name="Chart 30">
              <a:extLst xmlns:a="http://schemas.openxmlformats.org/drawingml/2006/main">
                <a:ext uri="{FF2B5EF4-FFF2-40B4-BE49-F238E27FC236}">
                  <a16:creationId xmlns:a16="http://schemas.microsoft.com/office/drawing/2014/main" id="{7451957A-FCCF-4C24-A283-1DD166E88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9EE5A9" w14:textId="27E232B9" w:rsidR="0080439D" w:rsidRDefault="0080439D" w:rsidP="0080439D">
      <w:r>
        <w:t xml:space="preserve">Some people are referred to services more than once, meaning that the total sum of people referred to AOD and CEP teams is greater than the total number of clients.  </w:t>
      </w:r>
    </w:p>
    <w:p w14:paraId="5F377646" w14:textId="3BA25A5D" w:rsidR="009D0BA6" w:rsidRDefault="009D0BA6" w:rsidP="0080439D">
      <w:bookmarkStart w:id="211" w:name="_Toc74572685"/>
      <w:bookmarkEnd w:id="185"/>
      <w:r w:rsidRPr="000E2856">
        <w:t xml:space="preserve">Police has raised a concern </w:t>
      </w:r>
      <w:r w:rsidR="00AB0D18" w:rsidRPr="000E2856">
        <w:t xml:space="preserve">that mental health and addiction services do </w:t>
      </w:r>
      <w:r w:rsidR="000562C1" w:rsidRPr="000E2856">
        <w:t xml:space="preserve">not have sufficient capacity to </w:t>
      </w:r>
      <w:r w:rsidR="00A377A1" w:rsidRPr="000E2856">
        <w:t xml:space="preserve">accept </w:t>
      </w:r>
      <w:r w:rsidR="00C81551" w:rsidRPr="000E2856">
        <w:t xml:space="preserve">further referrals </w:t>
      </w:r>
      <w:r w:rsidR="00765674" w:rsidRPr="000E2856">
        <w:t>to alcohol and other drug services.</w:t>
      </w:r>
      <w:r w:rsidR="00765674">
        <w:t xml:space="preserve">  </w:t>
      </w:r>
    </w:p>
    <w:p w14:paraId="5C2D4CAB" w14:textId="5E71654B" w:rsidR="007D13C8" w:rsidRDefault="006E44CF" w:rsidP="0080439D">
      <w:r>
        <w:lastRenderedPageBreak/>
        <w:t xml:space="preserve">Police referrals form </w:t>
      </w:r>
      <w:r w:rsidR="16CE04AD">
        <w:t xml:space="preserve">a </w:t>
      </w:r>
      <w:r>
        <w:t xml:space="preserve">small proportion of overall referrals.  </w:t>
      </w:r>
      <w:r w:rsidR="00543178">
        <w:t xml:space="preserve">As illustrated by the </w:t>
      </w:r>
      <w:r w:rsidR="00545ED9">
        <w:t>graph 18</w:t>
      </w:r>
      <w:r w:rsidR="00543178">
        <w:t xml:space="preserve"> </w:t>
      </w:r>
      <w:r w:rsidR="005B46B3">
        <w:t xml:space="preserve">and noting this includes referrals for alcohol and gambling issues, </w:t>
      </w:r>
      <w:r w:rsidR="0031237B">
        <w:t xml:space="preserve">self-referrals </w:t>
      </w:r>
      <w:r w:rsidR="00E25191">
        <w:t xml:space="preserve">(including by whānau) </w:t>
      </w:r>
      <w:r w:rsidR="0031237B">
        <w:t>are the most common type</w:t>
      </w:r>
      <w:r w:rsidR="005B46B3">
        <w:t xml:space="preserve"> of referrals to </w:t>
      </w:r>
      <w:r w:rsidR="00875056">
        <w:t xml:space="preserve">alcohol and other drug </w:t>
      </w:r>
      <w:r w:rsidR="003A3FD3">
        <w:t xml:space="preserve">teams in both </w:t>
      </w:r>
      <w:r w:rsidR="21FAFA5A">
        <w:t>DHB</w:t>
      </w:r>
      <w:r w:rsidR="003A3FD3">
        <w:t xml:space="preserve"> and non-governmental organisations.  </w:t>
      </w:r>
      <w:r w:rsidR="00317C64">
        <w:t xml:space="preserve">This is followed by </w:t>
      </w:r>
      <w:r w:rsidR="009F3858">
        <w:t xml:space="preserve">referrals from </w:t>
      </w:r>
      <w:r w:rsidR="001060EA">
        <w:t>Courts</w:t>
      </w:r>
      <w:r w:rsidR="00AC2403">
        <w:t xml:space="preserve"> and </w:t>
      </w:r>
      <w:r w:rsidR="00875056">
        <w:t>referrals between alcohol and other drug services</w:t>
      </w:r>
      <w:r w:rsidR="001060EA">
        <w:t xml:space="preserve"> and then referrals </w:t>
      </w:r>
      <w:r w:rsidR="00981DB4">
        <w:t>from general practitioners</w:t>
      </w:r>
      <w:r w:rsidR="00875056">
        <w:t>.</w:t>
      </w:r>
      <w:r w:rsidR="00981DB4">
        <w:t xml:space="preserve">  </w:t>
      </w:r>
      <w:r w:rsidR="003A3FD3">
        <w:t xml:space="preserve">This data was extracted from the PRIMHD database by the Ministry of Health.  It does not include referrals to national telehealth lines.  </w:t>
      </w:r>
      <w:r w:rsidR="005B46B3">
        <w:t xml:space="preserve"> </w:t>
      </w:r>
    </w:p>
    <w:p w14:paraId="63419604" w14:textId="2C918789" w:rsidR="00B37CA6" w:rsidRDefault="00B37CA6"/>
    <w:p w14:paraId="4A0F92D7" w14:textId="77777777" w:rsidR="00970EB8" w:rsidRDefault="00970EB8"/>
    <w:p w14:paraId="5D7BFAEF" w14:textId="37B8DD53" w:rsidR="00B37CA6" w:rsidRDefault="00B37CA6">
      <w:pPr>
        <w:sectPr w:rsidR="00B37CA6" w:rsidSect="00921886">
          <w:pgSz w:w="11906" w:h="16838"/>
          <w:pgMar w:top="1440" w:right="1440" w:bottom="1276" w:left="1440" w:header="708" w:footer="708" w:gutter="0"/>
          <w:cols w:space="708"/>
          <w:docGrid w:linePitch="360"/>
        </w:sectPr>
      </w:pPr>
    </w:p>
    <w:p w14:paraId="52343F3C" w14:textId="08388207" w:rsidR="00F4570A" w:rsidRDefault="00F4570A" w:rsidP="00F4570A">
      <w:pPr>
        <w:pStyle w:val="Caption"/>
      </w:pPr>
      <w:bookmarkStart w:id="212" w:name="_Toc75781249"/>
      <w:bookmarkStart w:id="213" w:name="_Toc77776002"/>
      <w:r>
        <w:lastRenderedPageBreak/>
        <w:t xml:space="preserve">Graph </w:t>
      </w:r>
      <w:fldSimple w:instr=" SEQ Figure \* ARABIC ">
        <w:r w:rsidR="00AA3031">
          <w:rPr>
            <w:noProof/>
          </w:rPr>
          <w:t>19</w:t>
        </w:r>
      </w:fldSimple>
      <w:r>
        <w:t>. Police referrals to AOD and CEP teams as a proportion of all referrals</w:t>
      </w:r>
      <w:bookmarkEnd w:id="212"/>
      <w:bookmarkEnd w:id="213"/>
      <w:r>
        <w:t xml:space="preserve"> </w:t>
      </w:r>
    </w:p>
    <w:p w14:paraId="44BD6E8C" w14:textId="738FFB2A" w:rsidR="007D0115" w:rsidRDefault="00757D96" w:rsidP="009131DE">
      <w:pPr>
        <w:sectPr w:rsidR="007D0115" w:rsidSect="003436CD">
          <w:pgSz w:w="16838" w:h="11906" w:orient="landscape"/>
          <w:pgMar w:top="1440" w:right="1440" w:bottom="1440" w:left="1440" w:header="708" w:footer="708" w:gutter="0"/>
          <w:cols w:space="708"/>
          <w:docGrid w:linePitch="360"/>
        </w:sectPr>
      </w:pPr>
      <w:r>
        <w:rPr>
          <w:noProof/>
        </w:rPr>
        <w:drawing>
          <wp:inline distT="0" distB="0" distL="0" distR="0" wp14:anchorId="150831D1" wp14:editId="76DDDDA1">
            <wp:extent cx="9534525" cy="5295900"/>
            <wp:effectExtent l="0" t="0" r="9525" b="0"/>
            <wp:docPr id="50" name="Chart 50">
              <a:extLst xmlns:a="http://schemas.openxmlformats.org/drawingml/2006/main">
                <a:ext uri="{FF2B5EF4-FFF2-40B4-BE49-F238E27FC236}">
                  <a16:creationId xmlns:a16="http://schemas.microsoft.com/office/drawing/2014/main" id="{18688FE4-187B-4518-A1A3-918843C87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F899C8" w14:textId="4451ACE2" w:rsidR="00812ECD" w:rsidRDefault="00812ECD" w:rsidP="000D5E1B">
      <w:pPr>
        <w:pStyle w:val="Heading3"/>
      </w:pPr>
      <w:bookmarkStart w:id="214" w:name="_Toc75781197"/>
      <w:bookmarkStart w:id="215" w:name="_Toc75952910"/>
      <w:bookmarkStart w:id="216" w:name="_Toc78186476"/>
      <w:r>
        <w:lastRenderedPageBreak/>
        <w:t>Te Pae Oranga</w:t>
      </w:r>
      <w:bookmarkEnd w:id="211"/>
      <w:bookmarkEnd w:id="214"/>
      <w:bookmarkEnd w:id="215"/>
      <w:bookmarkEnd w:id="216"/>
    </w:p>
    <w:p w14:paraId="0A3B1EAE" w14:textId="7AABB5B3" w:rsidR="00A92F56" w:rsidRDefault="00A92F56" w:rsidP="007B1A2E">
      <w:bookmarkStart w:id="217" w:name="_Hlk74665758"/>
      <w:r>
        <w:t>The review team was not able to interview frontline police about their experiences implementing the health-based approach</w:t>
      </w:r>
      <w:r w:rsidR="000C259B" w:rsidRPr="000C259B">
        <w:t xml:space="preserve"> </w:t>
      </w:r>
      <w:r w:rsidR="000C259B">
        <w:t>for the interim review</w:t>
      </w:r>
      <w:r w:rsidR="00002BA1" w:rsidRPr="00002BA1">
        <w:t xml:space="preserve"> </w:t>
      </w:r>
      <w:r w:rsidR="00002BA1" w:rsidRPr="007669F3">
        <w:t>due to the short timeframes for the review. Police were able to provide useful insights via an existing qualitative work programme on Te Pae Oranga.</w:t>
      </w:r>
      <w:r>
        <w:t xml:space="preserve"> </w:t>
      </w:r>
      <w:r w:rsidR="00E00A53">
        <w:t xml:space="preserve">We have, however, </w:t>
      </w:r>
      <w:r w:rsidR="00232BAB">
        <w:t>been given</w:t>
      </w:r>
      <w:r w:rsidR="00F428DB">
        <w:t xml:space="preserve"> information from </w:t>
      </w:r>
      <w:r w:rsidR="00A82973">
        <w:t xml:space="preserve">a </w:t>
      </w:r>
      <w:r w:rsidR="000167BF">
        <w:t xml:space="preserve">2020 </w:t>
      </w:r>
      <w:r w:rsidR="00F428DB">
        <w:t>Police</w:t>
      </w:r>
      <w:r>
        <w:t xml:space="preserve"> </w:t>
      </w:r>
      <w:r w:rsidR="00DC7982">
        <w:t xml:space="preserve">study </w:t>
      </w:r>
      <w:r w:rsidR="00A3422F">
        <w:t xml:space="preserve">that interviewed </w:t>
      </w:r>
      <w:r>
        <w:t xml:space="preserve">frontline officers </w:t>
      </w:r>
      <w:r w:rsidR="002A5F88">
        <w:t xml:space="preserve">on </w:t>
      </w:r>
      <w:r w:rsidR="00A3422F">
        <w:t>their experience</w:t>
      </w:r>
      <w:r w:rsidR="000B47C2">
        <w:t xml:space="preserve"> </w:t>
      </w:r>
      <w:r>
        <w:t xml:space="preserve">and opinions of Te Pae Oranga panel referrals.  </w:t>
      </w:r>
    </w:p>
    <w:p w14:paraId="049FC1ED" w14:textId="72C84B1F" w:rsidR="00A92F56" w:rsidRDefault="000C259B" w:rsidP="007B1A2E">
      <w:r>
        <w:t>S</w:t>
      </w:r>
      <w:r w:rsidR="00315D2D">
        <w:t xml:space="preserve">ome of the </w:t>
      </w:r>
      <w:r w:rsidR="00BD5D91">
        <w:t xml:space="preserve">following </w:t>
      </w:r>
      <w:r w:rsidR="00A92F56">
        <w:t xml:space="preserve">key </w:t>
      </w:r>
      <w:r w:rsidR="00006E68">
        <w:t>findings</w:t>
      </w:r>
      <w:r w:rsidR="00A92F56">
        <w:t xml:space="preserve"> from the Te Pae Oranga </w:t>
      </w:r>
      <w:r w:rsidR="00315D2D">
        <w:t xml:space="preserve">review </w:t>
      </w:r>
      <w:r w:rsidR="00A92F56">
        <w:t>are</w:t>
      </w:r>
      <w:r w:rsidR="00315D2D">
        <w:t xml:space="preserve"> applicable </w:t>
      </w:r>
      <w:r w:rsidR="00A92F56">
        <w:t>to this review</w:t>
      </w:r>
      <w:r w:rsidR="00EF0F2E">
        <w:t>.</w:t>
      </w:r>
      <w:r w:rsidR="008321F1">
        <w:t xml:space="preserve">  </w:t>
      </w:r>
    </w:p>
    <w:p w14:paraId="3DB4EAAE" w14:textId="705E21FD" w:rsidR="00EF0F2E" w:rsidRDefault="00EF0F2E" w:rsidP="00EF0F2E">
      <w:pPr>
        <w:pStyle w:val="ListParagraph"/>
        <w:ind w:left="0"/>
      </w:pPr>
      <w:r>
        <w:t xml:space="preserve">Participants who attended </w:t>
      </w:r>
      <w:r w:rsidR="00443FE1">
        <w:t>Te Pae Oranga</w:t>
      </w:r>
      <w:r>
        <w:t xml:space="preserve"> had statistically significant better results on all four reconviction outcomes:</w:t>
      </w:r>
    </w:p>
    <w:p w14:paraId="609BE648" w14:textId="3DA36AD1" w:rsidR="00EF0F2E" w:rsidRPr="00FB4032" w:rsidRDefault="00EF0F2E"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fewer were reconvicted for a new offence</w:t>
      </w:r>
    </w:p>
    <w:p w14:paraId="57DE4686" w14:textId="4145B196" w:rsidR="00EF0F2E" w:rsidRPr="00FB4032" w:rsidRDefault="00EF0F2E"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they committed less harm to their communities</w:t>
      </w:r>
    </w:p>
    <w:p w14:paraId="054471E1" w14:textId="29BAA348" w:rsidR="00EF0F2E" w:rsidRPr="00FB4032" w:rsidRDefault="00EF0F2E"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they had fewer convictions overall</w:t>
      </w:r>
    </w:p>
    <w:p w14:paraId="2DD16722" w14:textId="77777777" w:rsidR="00EF0F2E" w:rsidRPr="000C259B" w:rsidRDefault="00EF0F2E" w:rsidP="00B603EC">
      <w:pPr>
        <w:pStyle w:val="CommentText"/>
        <w:numPr>
          <w:ilvl w:val="0"/>
          <w:numId w:val="7"/>
        </w:numPr>
        <w:ind w:hanging="720"/>
        <w:textAlignment w:val="baseline"/>
        <w:rPr>
          <w:bCs/>
        </w:rPr>
      </w:pPr>
      <w:r w:rsidRPr="00FB4032">
        <w:rPr>
          <w:rStyle w:val="normaltextrun1"/>
          <w:rFonts w:ascii="Calibri" w:eastAsia="Times New Roman" w:hAnsi="Calibri" w:cs="Calibri"/>
          <w:sz w:val="22"/>
          <w:szCs w:val="22"/>
          <w:lang w:eastAsia="en-NZ"/>
        </w:rPr>
        <w:t>they took longer to reoffend than their matched controls</w:t>
      </w:r>
      <w:r w:rsidRPr="000C259B">
        <w:rPr>
          <w:bCs/>
        </w:rPr>
        <w:t>.</w:t>
      </w:r>
    </w:p>
    <w:p w14:paraId="556E4523" w14:textId="77777777" w:rsidR="00EF0F2E" w:rsidRDefault="00EF0F2E" w:rsidP="00EF0F2E">
      <w:r>
        <w:t>Key insights from frontline officers include:</w:t>
      </w:r>
    </w:p>
    <w:p w14:paraId="025F3BFE" w14:textId="7816C82F" w:rsidR="00EF0F2E" w:rsidRPr="00FB4032" w:rsidRDefault="00443FE1"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144BA1">
        <w:rPr>
          <w:rStyle w:val="normaltextrun1"/>
          <w:rFonts w:ascii="Calibri" w:eastAsia="Times New Roman" w:hAnsi="Calibri" w:cs="Calibri"/>
          <w:sz w:val="22"/>
          <w:szCs w:val="22"/>
          <w:lang w:eastAsia="en-NZ"/>
        </w:rPr>
        <w:t>Te Pae Oranga</w:t>
      </w:r>
      <w:r w:rsidR="00EF0F2E" w:rsidRPr="00FB4032">
        <w:rPr>
          <w:rStyle w:val="normaltextrun1"/>
          <w:rFonts w:ascii="Calibri" w:eastAsia="Times New Roman" w:hAnsi="Calibri" w:cs="Calibri"/>
          <w:sz w:val="22"/>
          <w:szCs w:val="22"/>
          <w:lang w:eastAsia="en-NZ"/>
        </w:rPr>
        <w:t xml:space="preserve"> integrates community-based partnerships to address the root causes of crimes</w:t>
      </w:r>
    </w:p>
    <w:p w14:paraId="1A8D1E72" w14:textId="1D0ABAC6" w:rsidR="00EF0F2E" w:rsidRPr="00FB4032" w:rsidRDefault="0075494C"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144BA1">
        <w:rPr>
          <w:rStyle w:val="normaltextrun1"/>
          <w:rFonts w:ascii="Calibri" w:eastAsia="Times New Roman" w:hAnsi="Calibri" w:cs="Calibri"/>
          <w:sz w:val="22"/>
          <w:szCs w:val="22"/>
          <w:lang w:eastAsia="en-NZ"/>
        </w:rPr>
        <w:t>a</w:t>
      </w:r>
      <w:r w:rsidR="00EF0F2E" w:rsidRPr="00144BA1">
        <w:rPr>
          <w:rStyle w:val="normaltextrun1"/>
          <w:rFonts w:ascii="Calibri" w:eastAsia="Times New Roman" w:hAnsi="Calibri" w:cs="Calibri"/>
          <w:sz w:val="22"/>
          <w:szCs w:val="22"/>
          <w:lang w:eastAsia="en-NZ"/>
        </w:rPr>
        <w:t>n</w:t>
      </w:r>
      <w:r w:rsidR="00EF0F2E" w:rsidRPr="00FB4032">
        <w:rPr>
          <w:rStyle w:val="normaltextrun1"/>
          <w:rFonts w:ascii="Calibri" w:eastAsia="Times New Roman" w:hAnsi="Calibri" w:cs="Calibri"/>
          <w:sz w:val="22"/>
          <w:szCs w:val="22"/>
          <w:lang w:eastAsia="en-NZ"/>
        </w:rPr>
        <w:t xml:space="preserve"> officer’s decision making is influenced by the amount of time and paperwork involved</w:t>
      </w:r>
    </w:p>
    <w:p w14:paraId="32D5C479" w14:textId="5BAD3B58" w:rsidR="00EF0F2E" w:rsidRPr="00FB4032" w:rsidRDefault="0075494C"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144BA1">
        <w:rPr>
          <w:rStyle w:val="normaltextrun1"/>
          <w:rFonts w:ascii="Calibri" w:eastAsia="Times New Roman" w:hAnsi="Calibri" w:cs="Calibri"/>
          <w:sz w:val="22"/>
          <w:szCs w:val="22"/>
          <w:lang w:eastAsia="en-NZ"/>
        </w:rPr>
        <w:t>t</w:t>
      </w:r>
      <w:r w:rsidR="00EF0F2E" w:rsidRPr="00144BA1">
        <w:rPr>
          <w:rStyle w:val="normaltextrun1"/>
          <w:rFonts w:ascii="Calibri" w:eastAsia="Times New Roman" w:hAnsi="Calibri" w:cs="Calibri"/>
          <w:sz w:val="22"/>
          <w:szCs w:val="22"/>
          <w:lang w:eastAsia="en-NZ"/>
        </w:rPr>
        <w:t>he</w:t>
      </w:r>
      <w:r w:rsidR="00EF0F2E" w:rsidRPr="00FB4032">
        <w:rPr>
          <w:rStyle w:val="normaltextrun1"/>
          <w:rFonts w:ascii="Calibri" w:eastAsia="Times New Roman" w:hAnsi="Calibri" w:cs="Calibri"/>
          <w:sz w:val="22"/>
          <w:szCs w:val="22"/>
          <w:lang w:eastAsia="en-NZ"/>
        </w:rPr>
        <w:t xml:space="preserve"> perception of local, district and national priorities have an impact on referrals.</w:t>
      </w:r>
    </w:p>
    <w:p w14:paraId="6C1F403E" w14:textId="0B1F1226" w:rsidR="00087299" w:rsidRDefault="00AF790C" w:rsidP="000D5E1B">
      <w:pPr>
        <w:pStyle w:val="Heading2"/>
      </w:pPr>
      <w:bookmarkStart w:id="218" w:name="_Toc74572686"/>
      <w:bookmarkStart w:id="219" w:name="_Toc75781198"/>
      <w:bookmarkStart w:id="220" w:name="_Toc75952911"/>
      <w:bookmarkStart w:id="221" w:name="_Toc78186477"/>
      <w:bookmarkEnd w:id="217"/>
      <w:r>
        <w:t xml:space="preserve">Insights from mental health and addiction service </w:t>
      </w:r>
      <w:r w:rsidR="00087299">
        <w:t>providers</w:t>
      </w:r>
      <w:bookmarkEnd w:id="218"/>
      <w:bookmarkEnd w:id="219"/>
      <w:bookmarkEnd w:id="220"/>
      <w:bookmarkEnd w:id="221"/>
      <w:r w:rsidR="00087299">
        <w:t xml:space="preserve"> </w:t>
      </w:r>
    </w:p>
    <w:p w14:paraId="1F13530D" w14:textId="6ECAF2B5" w:rsidR="008218C4" w:rsidRPr="008218C4" w:rsidRDefault="008218C4" w:rsidP="000D5E1B">
      <w:pPr>
        <w:pStyle w:val="Heading3"/>
      </w:pPr>
      <w:bookmarkStart w:id="222" w:name="_Toc75781199"/>
      <w:bookmarkStart w:id="223" w:name="_Toc75952912"/>
      <w:bookmarkStart w:id="224" w:name="_Toc78186478"/>
      <w:r w:rsidRPr="008218C4">
        <w:t>Survey results</w:t>
      </w:r>
      <w:bookmarkEnd w:id="222"/>
      <w:bookmarkEnd w:id="223"/>
      <w:bookmarkEnd w:id="224"/>
    </w:p>
    <w:p w14:paraId="7351B934" w14:textId="09C883D0" w:rsidR="001A0ADC" w:rsidRDefault="001A0ADC" w:rsidP="00087299">
      <w:r>
        <w:t xml:space="preserve">The review team carried out a survey of mental health and addiction service providers, focused on alcohol and other drug services.  </w:t>
      </w:r>
      <w:r w:rsidR="00FB4032">
        <w:t>A</w:t>
      </w:r>
      <w:r w:rsidR="008449DE">
        <w:t xml:space="preserve"> survey </w:t>
      </w:r>
      <w:r w:rsidR="00FB4032">
        <w:t xml:space="preserve">was sent </w:t>
      </w:r>
      <w:r w:rsidR="008449DE">
        <w:t xml:space="preserve">to </w:t>
      </w:r>
      <w:r w:rsidR="005D74D1">
        <w:t>48</w:t>
      </w:r>
      <w:r w:rsidR="00254013">
        <w:t xml:space="preserve"> </w:t>
      </w:r>
      <w:r w:rsidR="003D2AAA">
        <w:t>providers</w:t>
      </w:r>
      <w:r w:rsidR="00360403">
        <w:t xml:space="preserve">.  </w:t>
      </w:r>
      <w:r w:rsidR="005819A0">
        <w:t>E</w:t>
      </w:r>
      <w:r w:rsidR="003006C4">
        <w:t xml:space="preserve">leven responses were received.  </w:t>
      </w:r>
    </w:p>
    <w:p w14:paraId="3549D2AE" w14:textId="79B7DDFB" w:rsidR="008218C4" w:rsidRDefault="00360403" w:rsidP="008218C4">
      <w:r>
        <w:t xml:space="preserve">The responses </w:t>
      </w:r>
      <w:r w:rsidR="006938A5">
        <w:t xml:space="preserve">represented a reasonable but not full geographic spread and included </w:t>
      </w:r>
      <w:r w:rsidR="001302F3">
        <w:t>DHB provider arm</w:t>
      </w:r>
      <w:r w:rsidR="00D812EC">
        <w:t>, NGO</w:t>
      </w:r>
      <w:r w:rsidR="006938A5">
        <w:t xml:space="preserve"> and kaupapa Māori providers.  </w:t>
      </w:r>
      <w:r w:rsidR="008218C4">
        <w:t>Most were contracted by a government agency for their services</w:t>
      </w:r>
      <w:r w:rsidR="004307A9">
        <w:t xml:space="preserve">, </w:t>
      </w:r>
      <w:r w:rsidR="00674B6B">
        <w:t xml:space="preserve">with </w:t>
      </w:r>
      <w:r w:rsidR="004307A9">
        <w:t xml:space="preserve">two </w:t>
      </w:r>
      <w:r w:rsidR="00674B6B">
        <w:t>being</w:t>
      </w:r>
      <w:r w:rsidR="004307A9">
        <w:t xml:space="preserve"> funded by charity and </w:t>
      </w:r>
      <w:r w:rsidR="008218C4">
        <w:t>fundraising.</w:t>
      </w:r>
      <w:r w:rsidR="00CA3B3F">
        <w:t xml:space="preserve"> </w:t>
      </w:r>
      <w:r w:rsidR="00BA4F46">
        <w:t>A</w:t>
      </w:r>
      <w:r w:rsidR="00CA3B3F">
        <w:t xml:space="preserve">lcohol </w:t>
      </w:r>
      <w:r w:rsidR="008218C4">
        <w:t>was the most common substance</w:t>
      </w:r>
      <w:r w:rsidR="00BA4F46">
        <w:t xml:space="preserve"> </w:t>
      </w:r>
      <w:r w:rsidR="000218E6">
        <w:t>reason for presentation by</w:t>
      </w:r>
      <w:r w:rsidR="00BA4F46">
        <w:t xml:space="preserve"> clients</w:t>
      </w:r>
      <w:r w:rsidR="008218C4">
        <w:t>, followed by cannabis and methamphetamine</w:t>
      </w:r>
      <w:r w:rsidR="00BA4F46">
        <w:t>, opio</w:t>
      </w:r>
      <w:r w:rsidR="00674B6B">
        <w:t>i</w:t>
      </w:r>
      <w:r w:rsidR="00BA4F46">
        <w:t>ds and then s</w:t>
      </w:r>
      <w:r w:rsidR="008218C4">
        <w:t>ynthetic cannabinoids</w:t>
      </w:r>
      <w:r w:rsidR="00BA4F46">
        <w:t xml:space="preserve">.  </w:t>
      </w:r>
    </w:p>
    <w:p w14:paraId="41C5D841" w14:textId="1DCBE93C" w:rsidR="00D74369" w:rsidRDefault="008218C4" w:rsidP="00D86C31">
      <w:r>
        <w:t xml:space="preserve">Seven of the eleven respondents </w:t>
      </w:r>
      <w:r w:rsidR="004132F0">
        <w:t xml:space="preserve">identified they </w:t>
      </w:r>
      <w:r>
        <w:t xml:space="preserve">received Police </w:t>
      </w:r>
      <w:r w:rsidR="004132F0">
        <w:t xml:space="preserve">specific </w:t>
      </w:r>
      <w:r>
        <w:t>referrals</w:t>
      </w:r>
      <w:r w:rsidR="001C0380">
        <w:t xml:space="preserve"> and noted an increase in those referrals since August 2019.  </w:t>
      </w:r>
      <w:r w:rsidR="00841DC7">
        <w:t xml:space="preserve">We expect this increase </w:t>
      </w:r>
      <w:r w:rsidR="00517F04">
        <w:t>to</w:t>
      </w:r>
      <w:r w:rsidR="00841DC7">
        <w:t xml:space="preserve"> include referrals for alcohol and gambling issues</w:t>
      </w:r>
      <w:r w:rsidR="00FE5ED1">
        <w:t xml:space="preserve">. </w:t>
      </w:r>
      <w:r w:rsidR="00B515A8">
        <w:t>We found that the</w:t>
      </w:r>
      <w:r w:rsidR="00FE5ED1">
        <w:t xml:space="preserve"> </w:t>
      </w:r>
      <w:r w:rsidR="004132F0">
        <w:t xml:space="preserve">identified </w:t>
      </w:r>
      <w:r w:rsidR="00FE5ED1">
        <w:t>referral numbers were generally low (</w:t>
      </w:r>
      <w:r w:rsidR="00C33369">
        <w:t>2- 50</w:t>
      </w:r>
      <w:r w:rsidR="00FE5ED1" w:rsidRPr="00C33369">
        <w:t>)</w:t>
      </w:r>
      <w:r w:rsidR="00FE5ED1">
        <w:t xml:space="preserve">, with the exception of Waitemata DHB, which </w:t>
      </w:r>
      <w:r w:rsidR="00D86C31">
        <w:t xml:space="preserve">reported </w:t>
      </w:r>
      <w:r w:rsidR="00C33369">
        <w:t xml:space="preserve">5260 </w:t>
      </w:r>
      <w:r w:rsidR="00D86C31">
        <w:t xml:space="preserve">referrals. </w:t>
      </w:r>
      <w:r w:rsidR="004F39F5">
        <w:t xml:space="preserve">Both </w:t>
      </w:r>
      <w:r w:rsidR="00914513">
        <w:t xml:space="preserve">Community </w:t>
      </w:r>
      <w:r w:rsidR="00CC3707">
        <w:t>Alcohol and Drug Services</w:t>
      </w:r>
      <w:r w:rsidR="00914513">
        <w:t xml:space="preserve"> </w:t>
      </w:r>
      <w:r w:rsidR="004F39F5">
        <w:t>indicated they had no capacity to take on new cases.</w:t>
      </w:r>
    </w:p>
    <w:p w14:paraId="5ADA2E10" w14:textId="50B93EE9" w:rsidR="00D86C31" w:rsidRDefault="00F804AC" w:rsidP="00D86C31">
      <w:r>
        <w:t xml:space="preserve">Responses </w:t>
      </w:r>
      <w:r w:rsidR="001C64C4">
        <w:t>from providers</w:t>
      </w:r>
      <w:r w:rsidR="00D74369">
        <w:t xml:space="preserve"> suggested referrals come from a variety of pathways, including arrest, </w:t>
      </w:r>
      <w:r w:rsidR="00AE6AD2">
        <w:t xml:space="preserve">but </w:t>
      </w:r>
      <w:r w:rsidR="009543F3">
        <w:t xml:space="preserve">that </w:t>
      </w:r>
      <w:r w:rsidR="00AE6AD2">
        <w:t>n</w:t>
      </w:r>
      <w:r w:rsidR="00D86C31">
        <w:t xml:space="preserve">o provider noted </w:t>
      </w:r>
      <w:r w:rsidR="0053558C">
        <w:t xml:space="preserve">receiving referrals from the </w:t>
      </w:r>
      <w:r w:rsidR="00CA1B9C">
        <w:t>N</w:t>
      </w:r>
      <w:r w:rsidR="0053558C">
        <w:t xml:space="preserve">ational </w:t>
      </w:r>
      <w:r w:rsidR="00CA1B9C">
        <w:t xml:space="preserve">MoDA Drug Referral Pathway provided by </w:t>
      </w:r>
      <w:proofErr w:type="spellStart"/>
      <w:r w:rsidR="00CA1B9C">
        <w:t>Whakarongorau</w:t>
      </w:r>
      <w:proofErr w:type="spellEnd"/>
      <w:r w:rsidR="001C64C4">
        <w:t xml:space="preserve"> specifically</w:t>
      </w:r>
      <w:r w:rsidR="00D74369">
        <w:t xml:space="preserve">. </w:t>
      </w:r>
      <w:r w:rsidR="00A765C3">
        <w:t>The answers we received</w:t>
      </w:r>
      <w:r w:rsidR="009F50EB">
        <w:t xml:space="preserve"> suggested that </w:t>
      </w:r>
      <w:r w:rsidR="004B6C62">
        <w:t xml:space="preserve">courts and lawyers </w:t>
      </w:r>
      <w:r w:rsidR="003E4ECA">
        <w:t xml:space="preserve">may </w:t>
      </w:r>
      <w:r w:rsidR="004B6C62">
        <w:t xml:space="preserve">make more referrals </w:t>
      </w:r>
      <w:r w:rsidR="00354CF4">
        <w:t xml:space="preserve">to their services </w:t>
      </w:r>
      <w:r w:rsidR="004B6C62">
        <w:t>than police</w:t>
      </w:r>
      <w:r w:rsidR="00470EEE">
        <w:t xml:space="preserve"> </w:t>
      </w:r>
      <w:r w:rsidR="00470EEE" w:rsidRPr="007669F3">
        <w:t>(noting that Police also make referrals via the Helpline).</w:t>
      </w:r>
      <w:r w:rsidR="004B6C62">
        <w:t xml:space="preserve"> </w:t>
      </w:r>
    </w:p>
    <w:p w14:paraId="0EE9CCBA" w14:textId="240F24A4" w:rsidR="008218C4" w:rsidRDefault="001C64C4" w:rsidP="008218C4">
      <w:r>
        <w:t xml:space="preserve">Respondents reported that </w:t>
      </w:r>
      <w:r w:rsidR="00561340">
        <w:t xml:space="preserve">the </w:t>
      </w:r>
      <w:r w:rsidR="00C7032F">
        <w:t xml:space="preserve">main barrier to engagement for </w:t>
      </w:r>
      <w:r w:rsidR="003B3C7C">
        <w:t>people who use drugs</w:t>
      </w:r>
      <w:r w:rsidR="00BF463A">
        <w:t xml:space="preserve">, </w:t>
      </w:r>
      <w:r w:rsidR="00DB53BE">
        <w:t xml:space="preserve">was due to </w:t>
      </w:r>
      <w:r w:rsidR="00BF463A">
        <w:t>unwillingness</w:t>
      </w:r>
      <w:r w:rsidR="00E93459">
        <w:t xml:space="preserve"> by the person to engage</w:t>
      </w:r>
      <w:r w:rsidR="00A830C0">
        <w:t xml:space="preserve">. </w:t>
      </w:r>
      <w:r w:rsidR="008010E8">
        <w:t xml:space="preserve">Providers </w:t>
      </w:r>
      <w:r w:rsidR="00616DFB">
        <w:t>said</w:t>
      </w:r>
      <w:r w:rsidR="008010E8">
        <w:t xml:space="preserve"> that </w:t>
      </w:r>
      <w:r w:rsidR="00251C59">
        <w:t>where</w:t>
      </w:r>
      <w:r w:rsidR="008010E8">
        <w:t xml:space="preserve"> </w:t>
      </w:r>
      <w:r w:rsidR="003A4440">
        <w:t>people were unwilling to engage, this was because</w:t>
      </w:r>
      <w:r w:rsidR="00E93459">
        <w:t xml:space="preserve"> they</w:t>
      </w:r>
      <w:r w:rsidR="00BF463A">
        <w:t xml:space="preserve"> d</w:t>
      </w:r>
      <w:r w:rsidR="000B46E5">
        <w:t>i</w:t>
      </w:r>
      <w:r w:rsidR="00BF463A">
        <w:t xml:space="preserve">d not think they had </w:t>
      </w:r>
      <w:r w:rsidR="008218C4">
        <w:t xml:space="preserve">a problem or were unwilling to reduce </w:t>
      </w:r>
      <w:r w:rsidR="00DD458B">
        <w:t xml:space="preserve">their current level of </w:t>
      </w:r>
      <w:r w:rsidR="008218C4">
        <w:t>drug use.</w:t>
      </w:r>
      <w:r w:rsidR="00BF463A">
        <w:t xml:space="preserve"> </w:t>
      </w:r>
      <w:r w:rsidR="00EE7436">
        <w:t>Providers</w:t>
      </w:r>
      <w:r w:rsidR="00BF463A">
        <w:t xml:space="preserve"> also suggested a low </w:t>
      </w:r>
      <w:r w:rsidR="004B02E6">
        <w:t xml:space="preserve">success rate in engagement </w:t>
      </w:r>
      <w:r w:rsidR="007B0027">
        <w:t xml:space="preserve">was due to the way in </w:t>
      </w:r>
      <w:r w:rsidR="007B0027">
        <w:lastRenderedPageBreak/>
        <w:t xml:space="preserve">which </w:t>
      </w:r>
      <w:r w:rsidR="004B02E6">
        <w:t>calls are passed on to providers</w:t>
      </w:r>
      <w:r w:rsidR="00040750">
        <w:t xml:space="preserve">, </w:t>
      </w:r>
      <w:r w:rsidR="00040750" w:rsidRPr="00FB4032">
        <w:t xml:space="preserve">and that </w:t>
      </w:r>
      <w:r w:rsidR="001C03C6">
        <w:t>individuals might f</w:t>
      </w:r>
      <w:r w:rsidR="00C044B5">
        <w:t>eel compelled, which</w:t>
      </w:r>
      <w:r w:rsidR="00040750">
        <w:t xml:space="preserve"> is not the best way to create ongoing engagement</w:t>
      </w:r>
      <w:r w:rsidR="004B02E6">
        <w:t xml:space="preserve">.  </w:t>
      </w:r>
    </w:p>
    <w:p w14:paraId="6BDDD474" w14:textId="78414FF0" w:rsidR="008218C4" w:rsidRPr="006C2E43" w:rsidRDefault="008A1315" w:rsidP="00E66509">
      <w:pPr>
        <w:rPr>
          <w:i/>
          <w:iCs/>
        </w:rPr>
      </w:pPr>
      <w:r>
        <w:t>P</w:t>
      </w:r>
      <w:r w:rsidR="00040750">
        <w:t>roviders to comment</w:t>
      </w:r>
      <w:r>
        <w:t>ed</w:t>
      </w:r>
      <w:r w:rsidR="00040750">
        <w:t xml:space="preserve"> on the</w:t>
      </w:r>
      <w:r w:rsidR="00B5320A">
        <w:t xml:space="preserve">ir perspectives on </w:t>
      </w:r>
      <w:r w:rsidR="00040750">
        <w:t xml:space="preserve">the most effective enablers </w:t>
      </w:r>
      <w:r w:rsidR="00B6432F">
        <w:t xml:space="preserve">of a health-based approach to personal drug use. </w:t>
      </w:r>
      <w:r w:rsidR="00FB4032">
        <w:t>While outside the scope of this review, several providers commented that f</w:t>
      </w:r>
      <w:r w:rsidR="00127B98">
        <w:t xml:space="preserve">urther </w:t>
      </w:r>
      <w:r w:rsidR="00B6432F">
        <w:t xml:space="preserve">amendment to MoDA </w:t>
      </w:r>
      <w:r w:rsidR="00FB4032">
        <w:t xml:space="preserve">to decriminalise the use of drugs </w:t>
      </w:r>
      <w:r w:rsidR="00B6432F">
        <w:t xml:space="preserve">was </w:t>
      </w:r>
      <w:r w:rsidR="008218C4">
        <w:t xml:space="preserve">seen as </w:t>
      </w:r>
      <w:r w:rsidR="00FB4032">
        <w:t>necessary</w:t>
      </w:r>
      <w:r w:rsidR="00127B98">
        <w:t xml:space="preserve"> to deliver a truly health-based approach</w:t>
      </w:r>
      <w:r w:rsidR="001B5965">
        <w:t>.  S</w:t>
      </w:r>
      <w:r w:rsidR="0033540A">
        <w:t xml:space="preserve">everal </w:t>
      </w:r>
      <w:r w:rsidR="001B5965">
        <w:t>providers</w:t>
      </w:r>
      <w:r w:rsidR="0033540A">
        <w:t xml:space="preserve"> </w:t>
      </w:r>
      <w:r w:rsidR="001B5965">
        <w:t xml:space="preserve">commented </w:t>
      </w:r>
      <w:r w:rsidR="00E06E3F">
        <w:t xml:space="preserve">that they supported </w:t>
      </w:r>
      <w:r w:rsidR="00736DA9">
        <w:t xml:space="preserve">the diversion of </w:t>
      </w:r>
      <w:r w:rsidR="008A64A7">
        <w:t>people from the justice system where appropriate.</w:t>
      </w:r>
    </w:p>
    <w:p w14:paraId="5B329627" w14:textId="240F24A4" w:rsidR="00492280" w:rsidRDefault="00576831" w:rsidP="008218C4">
      <w:r>
        <w:t>Providers also commented on</w:t>
      </w:r>
      <w:r w:rsidR="00492280">
        <w:t>:</w:t>
      </w:r>
    </w:p>
    <w:p w14:paraId="1435545A" w14:textId="4213F78F" w:rsidR="00492280" w:rsidRPr="00FB4032" w:rsidRDefault="00576831"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the need for holistic, </w:t>
      </w:r>
      <w:r w:rsidR="008218C4" w:rsidRPr="00FB4032">
        <w:rPr>
          <w:rStyle w:val="normaltextrun1"/>
          <w:rFonts w:ascii="Calibri" w:eastAsia="Times New Roman" w:hAnsi="Calibri" w:cs="Calibri"/>
          <w:sz w:val="22"/>
          <w:szCs w:val="22"/>
          <w:lang w:eastAsia="en-NZ"/>
        </w:rPr>
        <w:t>wrap</w:t>
      </w:r>
      <w:r w:rsidR="00F474E8" w:rsidRPr="00FB4032">
        <w:rPr>
          <w:rStyle w:val="normaltextrun1"/>
          <w:rFonts w:ascii="Calibri" w:eastAsia="Times New Roman" w:hAnsi="Calibri" w:cs="Calibri"/>
          <w:sz w:val="22"/>
          <w:szCs w:val="22"/>
          <w:lang w:eastAsia="en-NZ"/>
        </w:rPr>
        <w:t>-</w:t>
      </w:r>
      <w:r w:rsidR="008218C4" w:rsidRPr="00FB4032">
        <w:rPr>
          <w:rStyle w:val="normaltextrun1"/>
          <w:rFonts w:ascii="Calibri" w:eastAsia="Times New Roman" w:hAnsi="Calibri" w:cs="Calibri"/>
          <w:sz w:val="22"/>
          <w:szCs w:val="22"/>
          <w:lang w:eastAsia="en-NZ"/>
        </w:rPr>
        <w:t>around service</w:t>
      </w:r>
      <w:r w:rsidRPr="00FB4032">
        <w:rPr>
          <w:rStyle w:val="normaltextrun1"/>
          <w:rFonts w:ascii="Calibri" w:eastAsia="Times New Roman" w:hAnsi="Calibri" w:cs="Calibri"/>
          <w:sz w:val="22"/>
          <w:szCs w:val="22"/>
          <w:lang w:eastAsia="en-NZ"/>
        </w:rPr>
        <w:t>s</w:t>
      </w:r>
      <w:r w:rsidR="008A64A7" w:rsidRPr="00FB4032">
        <w:rPr>
          <w:rStyle w:val="normaltextrun1"/>
          <w:rFonts w:ascii="Calibri" w:eastAsia="Times New Roman" w:hAnsi="Calibri" w:cs="Calibri"/>
          <w:sz w:val="22"/>
          <w:szCs w:val="22"/>
          <w:lang w:eastAsia="en-NZ"/>
        </w:rPr>
        <w:t xml:space="preserve"> </w:t>
      </w:r>
      <w:r w:rsidR="00511021" w:rsidRPr="00FB4032">
        <w:rPr>
          <w:rStyle w:val="normaltextrun1"/>
          <w:rFonts w:ascii="Calibri" w:eastAsia="Times New Roman" w:hAnsi="Calibri" w:cs="Calibri"/>
          <w:sz w:val="22"/>
          <w:szCs w:val="22"/>
          <w:lang w:eastAsia="en-NZ"/>
        </w:rPr>
        <w:t xml:space="preserve">to </w:t>
      </w:r>
      <w:r w:rsidR="008A64A7" w:rsidRPr="00FB4032">
        <w:rPr>
          <w:rStyle w:val="normaltextrun1"/>
          <w:rFonts w:ascii="Calibri" w:eastAsia="Times New Roman" w:hAnsi="Calibri" w:cs="Calibri"/>
          <w:sz w:val="22"/>
          <w:szCs w:val="22"/>
          <w:lang w:eastAsia="en-NZ"/>
        </w:rPr>
        <w:t xml:space="preserve">target the underlying drivers of addiction </w:t>
      </w:r>
      <w:r w:rsidR="009D44E6" w:rsidRPr="00FB4032">
        <w:rPr>
          <w:rStyle w:val="normaltextrun1"/>
          <w:rFonts w:ascii="Calibri" w:eastAsia="Times New Roman" w:hAnsi="Calibri" w:cs="Calibri"/>
          <w:sz w:val="22"/>
          <w:szCs w:val="22"/>
          <w:lang w:eastAsia="en-NZ"/>
        </w:rPr>
        <w:t>(specifically poverty, inequities, racism</w:t>
      </w:r>
      <w:r w:rsidR="004D0040" w:rsidRPr="00FB4032">
        <w:rPr>
          <w:rStyle w:val="normaltextrun1"/>
          <w:rFonts w:ascii="Calibri" w:eastAsia="Times New Roman" w:hAnsi="Calibri" w:cs="Calibri"/>
          <w:sz w:val="22"/>
          <w:szCs w:val="22"/>
          <w:lang w:eastAsia="en-NZ"/>
        </w:rPr>
        <w:t>)</w:t>
      </w:r>
    </w:p>
    <w:p w14:paraId="3F325250" w14:textId="2B30119B" w:rsidR="00492280" w:rsidRPr="00FB4032" w:rsidRDefault="008A64A7"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using public health and wellbeing approaches</w:t>
      </w:r>
      <w:r w:rsidR="004D0040" w:rsidRPr="00FB4032">
        <w:rPr>
          <w:rStyle w:val="normaltextrun1"/>
          <w:rFonts w:ascii="Calibri" w:eastAsia="Times New Roman" w:hAnsi="Calibri" w:cs="Calibri"/>
          <w:sz w:val="22"/>
          <w:szCs w:val="22"/>
          <w:lang w:eastAsia="en-NZ"/>
        </w:rPr>
        <w:t xml:space="preserve"> </w:t>
      </w:r>
    </w:p>
    <w:p w14:paraId="53C0BAA6" w14:textId="7CA4A883" w:rsidR="00586A64" w:rsidRPr="00FB4032" w:rsidRDefault="00136843"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a need to address geographical inequities in access to services</w:t>
      </w:r>
      <w:r w:rsidR="00E95AD1" w:rsidRPr="00FB4032">
        <w:rPr>
          <w:rStyle w:val="normaltextrun1"/>
          <w:rFonts w:ascii="Calibri" w:eastAsia="Times New Roman" w:hAnsi="Calibri" w:cs="Calibri"/>
          <w:sz w:val="22"/>
          <w:szCs w:val="22"/>
          <w:lang w:eastAsia="en-NZ"/>
        </w:rPr>
        <w:t>, including</w:t>
      </w:r>
      <w:r w:rsidR="009D44E6" w:rsidRPr="00FB4032">
        <w:rPr>
          <w:rStyle w:val="normaltextrun1"/>
          <w:rFonts w:ascii="Calibri" w:eastAsia="Times New Roman" w:hAnsi="Calibri" w:cs="Calibri"/>
          <w:sz w:val="22"/>
          <w:szCs w:val="22"/>
          <w:lang w:eastAsia="en-NZ"/>
        </w:rPr>
        <w:t xml:space="preserve"> </w:t>
      </w:r>
      <w:r w:rsidR="008218C4" w:rsidRPr="00FB4032">
        <w:rPr>
          <w:rStyle w:val="normaltextrun1"/>
          <w:rFonts w:ascii="Calibri" w:eastAsia="Times New Roman" w:hAnsi="Calibri" w:cs="Calibri"/>
          <w:sz w:val="22"/>
          <w:szCs w:val="22"/>
          <w:lang w:eastAsia="en-NZ"/>
        </w:rPr>
        <w:t xml:space="preserve"> </w:t>
      </w:r>
      <w:r w:rsidR="00D625D6" w:rsidRPr="00FB4032">
        <w:rPr>
          <w:rStyle w:val="normaltextrun1"/>
          <w:rFonts w:ascii="Calibri" w:eastAsia="Times New Roman" w:hAnsi="Calibri" w:cs="Calibri"/>
          <w:sz w:val="22"/>
          <w:szCs w:val="22"/>
          <w:lang w:eastAsia="en-NZ"/>
        </w:rPr>
        <w:t xml:space="preserve">a need for increased resourcing to support </w:t>
      </w:r>
      <w:r w:rsidR="002013C3" w:rsidRPr="00FB4032">
        <w:rPr>
          <w:rStyle w:val="normaltextrun1"/>
          <w:rFonts w:ascii="Calibri" w:eastAsia="Times New Roman" w:hAnsi="Calibri" w:cs="Calibri"/>
          <w:sz w:val="22"/>
          <w:szCs w:val="22"/>
          <w:lang w:eastAsia="en-NZ"/>
        </w:rPr>
        <w:t xml:space="preserve">shorter wait times </w:t>
      </w:r>
    </w:p>
    <w:p w14:paraId="50BA7FAD" w14:textId="53E1B362" w:rsidR="002238E3" w:rsidRPr="00FB4032" w:rsidRDefault="00D625D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more treatment options</w:t>
      </w:r>
      <w:r w:rsidR="002F0302" w:rsidRPr="00FB4032">
        <w:rPr>
          <w:rStyle w:val="normaltextrun1"/>
          <w:rFonts w:ascii="Calibri" w:eastAsia="Times New Roman" w:hAnsi="Calibri" w:cs="Calibri"/>
          <w:sz w:val="22"/>
          <w:szCs w:val="22"/>
          <w:lang w:eastAsia="en-NZ"/>
        </w:rPr>
        <w:t xml:space="preserve"> including</w:t>
      </w:r>
      <w:r w:rsidR="00BB2306" w:rsidRPr="00FB4032">
        <w:rPr>
          <w:rStyle w:val="normaltextrun1"/>
          <w:rFonts w:ascii="Calibri" w:eastAsia="Times New Roman" w:hAnsi="Calibri" w:cs="Calibri"/>
          <w:sz w:val="22"/>
          <w:szCs w:val="22"/>
          <w:lang w:eastAsia="en-NZ"/>
        </w:rPr>
        <w:t xml:space="preserve"> addiction-specific </w:t>
      </w:r>
      <w:r w:rsidR="00B224EC" w:rsidRPr="00FB4032">
        <w:rPr>
          <w:rStyle w:val="normaltextrun1"/>
          <w:rFonts w:ascii="Calibri" w:eastAsia="Times New Roman" w:hAnsi="Calibri" w:cs="Calibri"/>
          <w:sz w:val="22"/>
          <w:szCs w:val="22"/>
          <w:lang w:eastAsia="en-NZ"/>
        </w:rPr>
        <w:t>services</w:t>
      </w:r>
      <w:r w:rsidR="00534F91" w:rsidRPr="00FB4032">
        <w:rPr>
          <w:rStyle w:val="normaltextrun1"/>
          <w:rFonts w:ascii="Calibri" w:eastAsia="Times New Roman" w:hAnsi="Calibri" w:cs="Calibri"/>
          <w:sz w:val="22"/>
          <w:szCs w:val="22"/>
          <w:lang w:eastAsia="en-NZ"/>
        </w:rPr>
        <w:t xml:space="preserve"> for the general community and those on probation (funded by Corrections</w:t>
      </w:r>
      <w:r w:rsidR="00534F91" w:rsidRPr="299097DE">
        <w:rPr>
          <w:rStyle w:val="normaltextrun1"/>
          <w:rFonts w:ascii="Calibri" w:eastAsia="Times New Roman" w:hAnsi="Calibri" w:cs="Calibri"/>
          <w:sz w:val="22"/>
          <w:szCs w:val="22"/>
          <w:lang w:eastAsia="en-NZ"/>
        </w:rPr>
        <w:t>)</w:t>
      </w:r>
    </w:p>
    <w:p w14:paraId="77391148" w14:textId="14AB91F1" w:rsidR="000B3180" w:rsidRPr="00FB4032" w:rsidRDefault="00B725B4"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a</w:t>
      </w:r>
      <w:r w:rsidR="000B3180" w:rsidRPr="00FB4032">
        <w:rPr>
          <w:rStyle w:val="normaltextrun1"/>
          <w:rFonts w:ascii="Calibri" w:eastAsia="Times New Roman" w:hAnsi="Calibri" w:cs="Calibri"/>
          <w:sz w:val="22"/>
          <w:szCs w:val="22"/>
          <w:lang w:eastAsia="en-NZ"/>
        </w:rPr>
        <w:t xml:space="preserve"> need for more funding </w:t>
      </w:r>
      <w:r w:rsidR="002013C3" w:rsidRPr="00FB4032">
        <w:rPr>
          <w:rStyle w:val="normaltextrun1"/>
          <w:rFonts w:ascii="Calibri" w:eastAsia="Times New Roman" w:hAnsi="Calibri" w:cs="Calibri"/>
          <w:sz w:val="22"/>
          <w:szCs w:val="22"/>
          <w:lang w:eastAsia="en-NZ"/>
        </w:rPr>
        <w:t xml:space="preserve">for </w:t>
      </w:r>
      <w:r w:rsidR="00D625D6" w:rsidRPr="00FB4032">
        <w:rPr>
          <w:rStyle w:val="normaltextrun1"/>
          <w:rFonts w:ascii="Calibri" w:eastAsia="Times New Roman" w:hAnsi="Calibri" w:cs="Calibri"/>
          <w:sz w:val="22"/>
          <w:szCs w:val="22"/>
          <w:lang w:eastAsia="en-NZ"/>
        </w:rPr>
        <w:t xml:space="preserve">more residential beds </w:t>
      </w:r>
    </w:p>
    <w:p w14:paraId="6AE33D09" w14:textId="150A8E24" w:rsidR="009F6284" w:rsidRPr="00FB4032" w:rsidRDefault="00B725B4"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a n</w:t>
      </w:r>
      <w:r w:rsidR="000B3180" w:rsidRPr="00FB4032">
        <w:rPr>
          <w:rStyle w:val="normaltextrun1"/>
          <w:rFonts w:ascii="Calibri" w:eastAsia="Times New Roman" w:hAnsi="Calibri" w:cs="Calibri"/>
          <w:sz w:val="22"/>
          <w:szCs w:val="22"/>
          <w:lang w:eastAsia="en-NZ"/>
        </w:rPr>
        <w:t>eed to</w:t>
      </w:r>
      <w:r w:rsidR="002F0302" w:rsidRPr="00FB4032">
        <w:rPr>
          <w:rStyle w:val="normaltextrun1"/>
          <w:rFonts w:ascii="Calibri" w:eastAsia="Times New Roman" w:hAnsi="Calibri" w:cs="Calibri"/>
          <w:sz w:val="22"/>
          <w:szCs w:val="22"/>
          <w:lang w:eastAsia="en-NZ"/>
        </w:rPr>
        <w:t xml:space="preserve"> relax of the </w:t>
      </w:r>
      <w:r w:rsidR="002013C3" w:rsidRPr="00FB4032">
        <w:rPr>
          <w:rStyle w:val="normaltextrun1"/>
          <w:rFonts w:ascii="Calibri" w:eastAsia="Times New Roman" w:hAnsi="Calibri" w:cs="Calibri"/>
          <w:sz w:val="22"/>
          <w:szCs w:val="22"/>
          <w:lang w:eastAsia="en-NZ"/>
        </w:rPr>
        <w:t>criteria for resid</w:t>
      </w:r>
      <w:r w:rsidR="004C6356" w:rsidRPr="00FB4032">
        <w:rPr>
          <w:rStyle w:val="normaltextrun1"/>
          <w:rFonts w:ascii="Calibri" w:eastAsia="Times New Roman" w:hAnsi="Calibri" w:cs="Calibri"/>
          <w:sz w:val="22"/>
          <w:szCs w:val="22"/>
          <w:lang w:eastAsia="en-NZ"/>
        </w:rPr>
        <w:t>ential rehabilitation</w:t>
      </w:r>
    </w:p>
    <w:p w14:paraId="51F89588" w14:textId="50FBA869" w:rsidR="008218C4" w:rsidRPr="00FB4032" w:rsidRDefault="00B725B4" w:rsidP="00B603EC">
      <w:pPr>
        <w:pStyle w:val="CommentText"/>
        <w:numPr>
          <w:ilvl w:val="0"/>
          <w:numId w:val="7"/>
        </w:numPr>
        <w:ind w:hanging="720"/>
        <w:textAlignment w:val="baseline"/>
        <w:rPr>
          <w:rStyle w:val="normaltextrun1"/>
          <w:sz w:val="22"/>
          <w:szCs w:val="22"/>
          <w:lang w:eastAsia="en-NZ"/>
        </w:rPr>
      </w:pPr>
      <w:r w:rsidRPr="00FB4032">
        <w:rPr>
          <w:rStyle w:val="normaltextrun1"/>
          <w:rFonts w:ascii="Calibri" w:eastAsia="Times New Roman" w:hAnsi="Calibri" w:cs="Calibri"/>
          <w:sz w:val="22"/>
          <w:szCs w:val="22"/>
          <w:lang w:eastAsia="en-NZ"/>
        </w:rPr>
        <w:t>a n</w:t>
      </w:r>
      <w:r w:rsidR="009F6284" w:rsidRPr="00FB4032">
        <w:rPr>
          <w:rStyle w:val="normaltextrun1"/>
          <w:rFonts w:ascii="Calibri" w:eastAsia="Times New Roman" w:hAnsi="Calibri" w:cs="Calibri"/>
          <w:sz w:val="22"/>
          <w:szCs w:val="22"/>
          <w:lang w:eastAsia="en-NZ"/>
        </w:rPr>
        <w:t xml:space="preserve">eed for more </w:t>
      </w:r>
      <w:r w:rsidR="00D75BA8" w:rsidRPr="00FB4032">
        <w:rPr>
          <w:rStyle w:val="normaltextrun1"/>
          <w:rFonts w:ascii="Calibri" w:eastAsia="Times New Roman" w:hAnsi="Calibri" w:cs="Calibri"/>
          <w:sz w:val="22"/>
          <w:szCs w:val="22"/>
          <w:lang w:eastAsia="en-NZ"/>
        </w:rPr>
        <w:t>kaupapa Māori</w:t>
      </w:r>
      <w:r w:rsidR="00B224EC" w:rsidRPr="00FB4032">
        <w:rPr>
          <w:rStyle w:val="normaltextrun1"/>
          <w:rFonts w:ascii="Calibri" w:eastAsia="Times New Roman" w:hAnsi="Calibri" w:cs="Calibri"/>
          <w:sz w:val="22"/>
          <w:szCs w:val="22"/>
          <w:lang w:eastAsia="en-NZ"/>
        </w:rPr>
        <w:t>, strength-based approaches, and approaches that emphasis whanau engagement and reconnection to iwi and hap</w:t>
      </w:r>
      <w:r w:rsidR="720F3248" w:rsidRPr="005C7282">
        <w:rPr>
          <w:rStyle w:val="normaltextrun1"/>
          <w:rFonts w:ascii="Calibri" w:eastAsia="Times New Roman" w:hAnsi="Calibri" w:cs="Calibri"/>
          <w:sz w:val="22"/>
          <w:szCs w:val="22"/>
          <w:lang w:eastAsia="en-NZ"/>
        </w:rPr>
        <w:t>ū</w:t>
      </w:r>
      <w:r w:rsidR="00B224EC" w:rsidRPr="00FB4032">
        <w:rPr>
          <w:rStyle w:val="normaltextrun1"/>
          <w:rFonts w:ascii="Calibri" w:eastAsia="Times New Roman" w:hAnsi="Calibri" w:cs="Calibri"/>
          <w:sz w:val="22"/>
          <w:szCs w:val="22"/>
          <w:lang w:eastAsia="en-NZ"/>
        </w:rPr>
        <w:t xml:space="preserve">.  </w:t>
      </w:r>
    </w:p>
    <w:p w14:paraId="55FD5046" w14:textId="2F37569F" w:rsidR="00AF790C" w:rsidRDefault="00FB44AD" w:rsidP="000D5E1B">
      <w:pPr>
        <w:pStyle w:val="Heading3"/>
      </w:pPr>
      <w:bookmarkStart w:id="225" w:name="_Toc75781200"/>
      <w:bookmarkStart w:id="226" w:name="_Toc75952913"/>
      <w:bookmarkStart w:id="227" w:name="_Toc78186479"/>
      <w:bookmarkStart w:id="228" w:name="_Hlk74914073"/>
      <w:r>
        <w:t>Interviews with</w:t>
      </w:r>
      <w:r w:rsidR="009E07BF">
        <w:t xml:space="preserve"> mental health and addiction service providers</w:t>
      </w:r>
      <w:bookmarkEnd w:id="225"/>
      <w:bookmarkEnd w:id="226"/>
      <w:bookmarkEnd w:id="227"/>
    </w:p>
    <w:p w14:paraId="35E141F6" w14:textId="695DB72B" w:rsidR="00534F91" w:rsidRDefault="00540EEA" w:rsidP="00BB06EF">
      <w:r w:rsidRPr="00540EEA">
        <w:t xml:space="preserve">The </w:t>
      </w:r>
      <w:r w:rsidR="00F5046C" w:rsidRPr="00540EEA">
        <w:t>revie</w:t>
      </w:r>
      <w:r w:rsidR="00F5046C">
        <w:t>w</w:t>
      </w:r>
      <w:r>
        <w:t xml:space="preserve"> team interviewed </w:t>
      </w:r>
      <w:r w:rsidR="0080199B">
        <w:t xml:space="preserve">five </w:t>
      </w:r>
      <w:r w:rsidR="009E07BF">
        <w:t xml:space="preserve">mental health and addiction service providers, including one kaupapa Māori service provider. </w:t>
      </w:r>
      <w:r w:rsidR="00A67B43">
        <w:t xml:space="preserve">The following provides a summary of key points from those interviews. </w:t>
      </w:r>
    </w:p>
    <w:p w14:paraId="67933B99" w14:textId="33A19F99" w:rsidR="009612B7" w:rsidRPr="00FF221F" w:rsidRDefault="009612B7" w:rsidP="009612B7">
      <w:pPr>
        <w:pStyle w:val="Heading4"/>
      </w:pPr>
      <w:r>
        <w:t>M</w:t>
      </w:r>
      <w:r>
        <w:rPr>
          <w:rFonts w:cstheme="majorHAnsi"/>
        </w:rPr>
        <w:t>ā</w:t>
      </w:r>
      <w:r>
        <w:t>ori service provider perspective</w:t>
      </w:r>
    </w:p>
    <w:p w14:paraId="500AF850" w14:textId="5EDB1064" w:rsidR="00C33369" w:rsidRPr="000E2856" w:rsidRDefault="00C33369" w:rsidP="000E2856">
      <w:r w:rsidRPr="000E2856">
        <w:t xml:space="preserve">The </w:t>
      </w:r>
      <w:r w:rsidR="00625678" w:rsidRPr="000E2856">
        <w:t xml:space="preserve">review team </w:t>
      </w:r>
      <w:r w:rsidR="00E934CE" w:rsidRPr="000E2856">
        <w:t xml:space="preserve">interviewed </w:t>
      </w:r>
      <w:r w:rsidR="003338D9" w:rsidRPr="000E2856">
        <w:t xml:space="preserve">staff from </w:t>
      </w:r>
      <w:proofErr w:type="spellStart"/>
      <w:r w:rsidR="003338D9" w:rsidRPr="000E2856">
        <w:t>H</w:t>
      </w:r>
      <w:r w:rsidR="00C769D6" w:rsidRPr="000E2856">
        <w:t>āpai</w:t>
      </w:r>
      <w:proofErr w:type="spellEnd"/>
      <w:r w:rsidR="00C769D6" w:rsidRPr="000E2856">
        <w:t xml:space="preserve"> </w:t>
      </w:r>
      <w:proofErr w:type="spellStart"/>
      <w:r w:rsidR="00C769D6" w:rsidRPr="000E2856">
        <w:t>te</w:t>
      </w:r>
      <w:proofErr w:type="spellEnd"/>
      <w:r w:rsidR="00C769D6" w:rsidRPr="000E2856">
        <w:t xml:space="preserve"> Hau</w:t>
      </w:r>
      <w:r w:rsidR="000B7134" w:rsidRPr="000E2856">
        <w:t xml:space="preserve">ora to get </w:t>
      </w:r>
      <w:r w:rsidR="00D36079" w:rsidRPr="000E2856">
        <w:t xml:space="preserve">the </w:t>
      </w:r>
      <w:r w:rsidR="000B7134" w:rsidRPr="000E2856">
        <w:t xml:space="preserve">Māori </w:t>
      </w:r>
      <w:r w:rsidR="00C0053C" w:rsidRPr="000E2856">
        <w:t>service provider perspective.</w:t>
      </w:r>
      <w:r w:rsidR="00386BD6" w:rsidRPr="000E2856">
        <w:t xml:space="preserve"> They noted t</w:t>
      </w:r>
      <w:r w:rsidRPr="000E2856">
        <w:t xml:space="preserve">he importance of relationships </w:t>
      </w:r>
      <w:r w:rsidR="00386BD6" w:rsidRPr="000E2856">
        <w:t xml:space="preserve">in delivering a successful health-based approach. </w:t>
      </w:r>
      <w:r w:rsidR="00E63004" w:rsidRPr="000E2856">
        <w:t xml:space="preserve">In their </w:t>
      </w:r>
      <w:r w:rsidR="00901B70" w:rsidRPr="000E2856">
        <w:t>view</w:t>
      </w:r>
      <w:r w:rsidR="00E63004" w:rsidRPr="000E2856">
        <w:t>, a</w:t>
      </w:r>
      <w:r w:rsidR="00386BD6" w:rsidRPr="000E2856">
        <w:t xml:space="preserve"> strong</w:t>
      </w:r>
      <w:r w:rsidRPr="000E2856">
        <w:t xml:space="preserve"> relationship between Police, Health,</w:t>
      </w:r>
      <w:r w:rsidR="00B9256B" w:rsidRPr="000E2856">
        <w:t xml:space="preserve"> Ministry of Social Development</w:t>
      </w:r>
      <w:r w:rsidR="0007690B" w:rsidRPr="000E2856">
        <w:t>,</w:t>
      </w:r>
      <w:r w:rsidRPr="000E2856">
        <w:t xml:space="preserve"> </w:t>
      </w:r>
      <w:r w:rsidR="00E63004" w:rsidRPr="000E2856">
        <w:t>and</w:t>
      </w:r>
      <w:r w:rsidRPr="000E2856">
        <w:t xml:space="preserve"> Oranga Tamariki </w:t>
      </w:r>
      <w:r w:rsidR="00386BD6" w:rsidRPr="000E2856">
        <w:t>is required</w:t>
      </w:r>
      <w:r w:rsidRPr="000E2856">
        <w:t xml:space="preserve"> when discretion is being exercised</w:t>
      </w:r>
      <w:r w:rsidR="004D741B" w:rsidRPr="000E2856">
        <w:t>. The</w:t>
      </w:r>
      <w:r w:rsidR="00E343E0" w:rsidRPr="000E2856">
        <w:t>y suggested that the</w:t>
      </w:r>
      <w:r w:rsidR="004D741B" w:rsidRPr="000E2856">
        <w:t>se agencies should be</w:t>
      </w:r>
      <w:r w:rsidRPr="000E2856">
        <w:t xml:space="preserve"> connected and supporting the frontline police officers at that initial point of contact</w:t>
      </w:r>
      <w:r w:rsidR="00E343E0" w:rsidRPr="000E2856">
        <w:t>.</w:t>
      </w:r>
      <w:r w:rsidRPr="000E2856">
        <w:t xml:space="preserve">  </w:t>
      </w:r>
    </w:p>
    <w:p w14:paraId="647212C7" w14:textId="2772D95A" w:rsidR="00C33369" w:rsidRPr="000E2856" w:rsidRDefault="004D741B" w:rsidP="000E2856">
      <w:r w:rsidRPr="000E2856">
        <w:t>They felt that</w:t>
      </w:r>
      <w:r w:rsidR="00C33369" w:rsidRPr="000E2856">
        <w:t xml:space="preserve"> the options and choices available for a health-based approach </w:t>
      </w:r>
      <w:r w:rsidR="000B4F75" w:rsidRPr="000E2856">
        <w:t xml:space="preserve">for Māori </w:t>
      </w:r>
      <w:r w:rsidR="00C33369" w:rsidRPr="000E2856">
        <w:t>do not go far enough</w:t>
      </w:r>
      <w:r w:rsidR="000B4F75" w:rsidRPr="000E2856">
        <w:t>. Funding goes to</w:t>
      </w:r>
      <w:r w:rsidR="00C33369" w:rsidRPr="000E2856">
        <w:t xml:space="preserve"> </w:t>
      </w:r>
      <w:r w:rsidR="008B1C4B" w:rsidRPr="000E2856">
        <w:t>P</w:t>
      </w:r>
      <w:r w:rsidR="008B3157" w:rsidRPr="000E2856">
        <w:t>rimary</w:t>
      </w:r>
      <w:r w:rsidR="008B1C4B" w:rsidRPr="000E2856">
        <w:t xml:space="preserve"> Health O</w:t>
      </w:r>
      <w:r w:rsidR="008B3157" w:rsidRPr="000E2856">
        <w:t>rganisations</w:t>
      </w:r>
      <w:r w:rsidR="00C33369" w:rsidRPr="000E2856">
        <w:t xml:space="preserve"> </w:t>
      </w:r>
      <w:r w:rsidR="000B4F75" w:rsidRPr="000E2856">
        <w:t>who</w:t>
      </w:r>
      <w:r w:rsidR="00555C3F" w:rsidRPr="000E2856">
        <w:t xml:space="preserve"> they see as</w:t>
      </w:r>
      <w:r w:rsidR="000B4F75" w:rsidRPr="000E2856">
        <w:t xml:space="preserve"> </w:t>
      </w:r>
      <w:r w:rsidR="00C33369" w:rsidRPr="000E2856">
        <w:t xml:space="preserve">not </w:t>
      </w:r>
      <w:r w:rsidR="00555C3F" w:rsidRPr="000E2856">
        <w:t>always well</w:t>
      </w:r>
      <w:r w:rsidR="00C33369" w:rsidRPr="000E2856">
        <w:t xml:space="preserve"> connected with communities</w:t>
      </w:r>
      <w:r w:rsidR="00740CDC" w:rsidRPr="000E2856">
        <w:t>. I</w:t>
      </w:r>
      <w:r w:rsidR="00C33369" w:rsidRPr="000E2856">
        <w:t>wi liaison officers</w:t>
      </w:r>
      <w:r w:rsidR="00740CDC" w:rsidRPr="000E2856">
        <w:t xml:space="preserve"> play an important</w:t>
      </w:r>
      <w:r w:rsidR="00F806D8" w:rsidRPr="000E2856">
        <w:t xml:space="preserve"> </w:t>
      </w:r>
      <w:r w:rsidR="0098715D" w:rsidRPr="000E2856">
        <w:t>role</w:t>
      </w:r>
      <w:r w:rsidR="004F57A4" w:rsidRPr="000E2856">
        <w:t xml:space="preserve"> in connecting individuals with the right services</w:t>
      </w:r>
      <w:r w:rsidR="00DC021E" w:rsidRPr="000E2856">
        <w:t xml:space="preserve">. </w:t>
      </w:r>
      <w:r w:rsidR="00AF02D7" w:rsidRPr="000E2856">
        <w:t>The</w:t>
      </w:r>
      <w:r w:rsidR="00131672" w:rsidRPr="000E2856">
        <w:t>y report</w:t>
      </w:r>
      <w:r w:rsidR="00C33369" w:rsidRPr="000E2856">
        <w:t xml:space="preserve"> immense stress on existing M</w:t>
      </w:r>
      <w:r w:rsidR="3608CA7C" w:rsidRPr="000E2856">
        <w:t>ā</w:t>
      </w:r>
      <w:r w:rsidR="00C33369" w:rsidRPr="000E2856">
        <w:t xml:space="preserve">ori providers, and </w:t>
      </w:r>
      <w:r w:rsidR="00131672" w:rsidRPr="000E2856">
        <w:t>a</w:t>
      </w:r>
      <w:r w:rsidR="00C33369" w:rsidRPr="000E2856">
        <w:t xml:space="preserve"> disconnect between mainstream services and M</w:t>
      </w:r>
      <w:r w:rsidR="443810D1" w:rsidRPr="000E2856">
        <w:t>ā</w:t>
      </w:r>
      <w:r w:rsidR="00C33369" w:rsidRPr="000E2856">
        <w:t>ori</w:t>
      </w:r>
      <w:r w:rsidR="00131672" w:rsidRPr="000E2856">
        <w:t xml:space="preserve">. For example, </w:t>
      </w:r>
      <w:r w:rsidR="00C33369" w:rsidRPr="000E2856">
        <w:t>if someone identifies as M</w:t>
      </w:r>
      <w:r w:rsidR="7EFC0499" w:rsidRPr="000E2856">
        <w:t>ā</w:t>
      </w:r>
      <w:r w:rsidR="00C33369" w:rsidRPr="000E2856">
        <w:t xml:space="preserve">ori then </w:t>
      </w:r>
      <w:r w:rsidR="009E6649" w:rsidRPr="000E2856">
        <w:t>these providers feel</w:t>
      </w:r>
      <w:r w:rsidR="00C33369" w:rsidRPr="000E2856">
        <w:t xml:space="preserve"> it is left to M</w:t>
      </w:r>
      <w:r w:rsidR="10E3C120" w:rsidRPr="000E2856">
        <w:t>ā</w:t>
      </w:r>
      <w:r w:rsidR="00C33369" w:rsidRPr="000E2856">
        <w:t xml:space="preserve">ori providers </w:t>
      </w:r>
      <w:r w:rsidR="00AA3435" w:rsidRPr="000E2856">
        <w:t>to provide them with support and they</w:t>
      </w:r>
      <w:r w:rsidR="00131672" w:rsidRPr="000E2856">
        <w:t xml:space="preserve"> </w:t>
      </w:r>
      <w:r w:rsidR="0037338E" w:rsidRPr="000E2856">
        <w:t>may feel they are</w:t>
      </w:r>
      <w:r w:rsidR="00C33369" w:rsidRPr="000E2856">
        <w:t xml:space="preserve"> under resourced and underfunded</w:t>
      </w:r>
      <w:r w:rsidR="00957544" w:rsidRPr="000E2856">
        <w:t>.</w:t>
      </w:r>
    </w:p>
    <w:p w14:paraId="2E739530" w14:textId="1AAC164F" w:rsidR="00FF221F" w:rsidRPr="00FF221F" w:rsidRDefault="00921A93" w:rsidP="000D5E1B">
      <w:pPr>
        <w:pStyle w:val="Heading4"/>
      </w:pPr>
      <w:r>
        <w:t xml:space="preserve">Drug taking among </w:t>
      </w:r>
      <w:r w:rsidR="00DF4A05">
        <w:t>providers’</w:t>
      </w:r>
      <w:r>
        <w:t xml:space="preserve"> client base </w:t>
      </w:r>
    </w:p>
    <w:p w14:paraId="2B96A067" w14:textId="07FC3D35" w:rsidR="00BA4BDE" w:rsidRDefault="00A67B43" w:rsidP="00414DB5">
      <w:r>
        <w:t xml:space="preserve">As with the survey </w:t>
      </w:r>
      <w:r w:rsidR="00715AF9">
        <w:t xml:space="preserve">results, </w:t>
      </w:r>
      <w:r w:rsidR="00BA4BDE">
        <w:t xml:space="preserve">alcohol </w:t>
      </w:r>
      <w:r w:rsidR="004C5E7D">
        <w:t xml:space="preserve">use </w:t>
      </w:r>
      <w:r w:rsidR="00BA4BDE">
        <w:t xml:space="preserve">was the main issue among clients, followed by methamphetamine. </w:t>
      </w:r>
      <w:r w:rsidR="00715AF9">
        <w:t xml:space="preserve">The providers </w:t>
      </w:r>
      <w:r w:rsidR="00BA4BDE">
        <w:t xml:space="preserve">see few </w:t>
      </w:r>
      <w:r w:rsidR="0011062B">
        <w:t>people using synthetic cannabinoids but noted that this group is a very marginalised group of people with complex issues</w:t>
      </w:r>
      <w:r w:rsidR="0057288E">
        <w:t xml:space="preserve">, who they did not expect would engage with a telehealth service. </w:t>
      </w:r>
      <w:r w:rsidR="008B6712">
        <w:t>There has been a significant increase in</w:t>
      </w:r>
      <w:r w:rsidR="00017863">
        <w:t xml:space="preserve"> gamma-hydroxybutyrate (G</w:t>
      </w:r>
      <w:r w:rsidR="005B450B">
        <w:t>BH)</w:t>
      </w:r>
      <w:r w:rsidR="007C6354">
        <w:t>/</w:t>
      </w:r>
      <w:r w:rsidR="004D2C58">
        <w:t>gamma bu</w:t>
      </w:r>
      <w:r w:rsidR="009B5697">
        <w:t>t</w:t>
      </w:r>
      <w:r w:rsidR="004D2C58">
        <w:t>y</w:t>
      </w:r>
      <w:r w:rsidR="009B5697">
        <w:t>r</w:t>
      </w:r>
      <w:r w:rsidR="004D2C58">
        <w:t>olactone (GBL)</w:t>
      </w:r>
      <w:r w:rsidR="008B6712">
        <w:t xml:space="preserve"> </w:t>
      </w:r>
      <w:r w:rsidR="000D2F2B">
        <w:t>use</w:t>
      </w:r>
      <w:r w:rsidR="008B6712">
        <w:t xml:space="preserve"> among clients.  </w:t>
      </w:r>
    </w:p>
    <w:p w14:paraId="5E0333CB" w14:textId="185D336B" w:rsidR="00FF221F" w:rsidRPr="00DB020D" w:rsidRDefault="00793173" w:rsidP="000D5E1B">
      <w:pPr>
        <w:pStyle w:val="Heading4"/>
      </w:pPr>
      <w:r>
        <w:lastRenderedPageBreak/>
        <w:t xml:space="preserve">Direct referrals from Police and referrals through the </w:t>
      </w:r>
      <w:r w:rsidR="004D081B">
        <w:t>MoDA</w:t>
      </w:r>
      <w:r w:rsidR="00DB020D" w:rsidRPr="00DB020D">
        <w:t xml:space="preserve"> Referral </w:t>
      </w:r>
      <w:r w:rsidR="004D081B">
        <w:t>Pathway</w:t>
      </w:r>
      <w:r w:rsidR="00DB020D" w:rsidRPr="00DB020D">
        <w:t xml:space="preserve"> </w:t>
      </w:r>
    </w:p>
    <w:p w14:paraId="230A53E9" w14:textId="3ACCE261" w:rsidR="00B725B4" w:rsidRDefault="00CD5D10" w:rsidP="00414DB5">
      <w:r>
        <w:t>A</w:t>
      </w:r>
      <w:r w:rsidR="00650E60">
        <w:t xml:space="preserve">t </w:t>
      </w:r>
      <w:r>
        <w:t xml:space="preserve">a </w:t>
      </w:r>
      <w:r w:rsidR="00650E60">
        <w:t xml:space="preserve">managerial level, </w:t>
      </w:r>
      <w:r w:rsidR="0080199B">
        <w:t xml:space="preserve">some </w:t>
      </w:r>
      <w:r w:rsidR="00684799">
        <w:t xml:space="preserve">were unaware of the </w:t>
      </w:r>
      <w:r w:rsidR="004D081B">
        <w:t>MoDA</w:t>
      </w:r>
      <w:r w:rsidR="00684799">
        <w:t xml:space="preserve"> Referral </w:t>
      </w:r>
      <w:r w:rsidR="004D081B">
        <w:t>Pathway</w:t>
      </w:r>
      <w:r w:rsidR="00684799">
        <w:t xml:space="preserve"> </w:t>
      </w:r>
      <w:r w:rsidR="00581066">
        <w:t>associated with the Alcohol Drug helpline</w:t>
      </w:r>
      <w:r w:rsidR="005D2A28">
        <w:t>, or of the Alcohol Drug helpline itself</w:t>
      </w:r>
      <w:r w:rsidR="00650E60">
        <w:t xml:space="preserve">. This does not necessarily mean </w:t>
      </w:r>
      <w:r w:rsidR="00581066">
        <w:t xml:space="preserve">the providers are not receiving referrals from the helpline, </w:t>
      </w:r>
      <w:r w:rsidR="0000313A">
        <w:t xml:space="preserve">as </w:t>
      </w:r>
      <w:r w:rsidR="00D7028B">
        <w:t>they</w:t>
      </w:r>
      <w:r w:rsidR="0000313A">
        <w:t xml:space="preserve"> received referrals for individuals who had been in contact with Police and others in the Justice system.</w:t>
      </w:r>
    </w:p>
    <w:p w14:paraId="14C06EA6" w14:textId="04242BD7" w:rsidR="00EB1384" w:rsidRDefault="00DF4A05" w:rsidP="006D2C85">
      <w:r>
        <w:t xml:space="preserve">One service </w:t>
      </w:r>
      <w:r w:rsidR="009D778F">
        <w:t xml:space="preserve">received </w:t>
      </w:r>
      <w:r w:rsidR="00FB4032">
        <w:t xml:space="preserve">a large number of </w:t>
      </w:r>
      <w:r w:rsidR="009D778F">
        <w:t xml:space="preserve">referrals from Police. A large proportion of these referrals comes from the </w:t>
      </w:r>
      <w:r w:rsidR="00C975E6">
        <w:t>family violence-focused round</w:t>
      </w:r>
      <w:r w:rsidR="00B16238">
        <w:t xml:space="preserve">tables. </w:t>
      </w:r>
      <w:r w:rsidR="00793173">
        <w:t xml:space="preserve">These are direct referrals from Police, </w:t>
      </w:r>
      <w:r w:rsidR="00F25712">
        <w:t xml:space="preserve">but involve </w:t>
      </w:r>
      <w:r w:rsidR="00AD266B">
        <w:t xml:space="preserve">the provider making </w:t>
      </w:r>
      <w:r w:rsidR="00F25712">
        <w:t>cold calls</w:t>
      </w:r>
      <w:r w:rsidR="00AD266B">
        <w:t>, where</w:t>
      </w:r>
      <w:r w:rsidR="00F25712">
        <w:t xml:space="preserve"> only 10 percent of people agree to service follow-up.  </w:t>
      </w:r>
      <w:r w:rsidR="00A21D40">
        <w:t>Providers</w:t>
      </w:r>
      <w:r w:rsidR="009D2B72">
        <w:t xml:space="preserve"> </w:t>
      </w:r>
      <w:r w:rsidR="00053975">
        <w:t xml:space="preserve">noted that evidence base </w:t>
      </w:r>
      <w:r w:rsidR="00E04584">
        <w:t>is in favour of warm handovers with peer support</w:t>
      </w:r>
      <w:r w:rsidR="00FD4EFD">
        <w:t xml:space="preserve"> and </w:t>
      </w:r>
      <w:r w:rsidR="00E5348B">
        <w:t xml:space="preserve">finds </w:t>
      </w:r>
      <w:r w:rsidR="00971484">
        <w:t>cold</w:t>
      </w:r>
      <w:r w:rsidR="003C7991">
        <w:t xml:space="preserve"> </w:t>
      </w:r>
      <w:r w:rsidR="00971484">
        <w:t xml:space="preserve">calling to be ineffective.  </w:t>
      </w:r>
    </w:p>
    <w:p w14:paraId="4FD2E3E4" w14:textId="4B56E5E0" w:rsidR="009D778F" w:rsidRDefault="00474C50" w:rsidP="00474C50">
      <w:r>
        <w:t>Providers</w:t>
      </w:r>
      <w:r w:rsidR="00F25712">
        <w:t xml:space="preserve"> observed </w:t>
      </w:r>
      <w:r w:rsidR="00B703AA">
        <w:t xml:space="preserve">that </w:t>
      </w:r>
      <w:r w:rsidR="00F25712">
        <w:t xml:space="preserve">people </w:t>
      </w:r>
      <w:r w:rsidR="00B703AA">
        <w:t>would</w:t>
      </w:r>
      <w:r w:rsidR="00F25712">
        <w:t xml:space="preserve"> often agree to get help when Police are asking </w:t>
      </w:r>
      <w:r w:rsidR="00046103">
        <w:t>them</w:t>
      </w:r>
      <w:r w:rsidR="00F25712">
        <w:t xml:space="preserve"> to, but then later decline help </w:t>
      </w:r>
      <w:r w:rsidR="00E462D4">
        <w:t xml:space="preserve">as they don’t remember the original conversation, or </w:t>
      </w:r>
      <w:r w:rsidR="00BF6290">
        <w:t>no longer feel compelled</w:t>
      </w:r>
      <w:r w:rsidR="00046103">
        <w:t xml:space="preserve">. </w:t>
      </w:r>
      <w:r w:rsidR="00B50BF9">
        <w:t>Providers</w:t>
      </w:r>
      <w:r w:rsidR="008F0A65">
        <w:t xml:space="preserve"> observed a much higher success rate when the </w:t>
      </w:r>
      <w:r w:rsidR="00783C73">
        <w:t xml:space="preserve">person’s partner or whānau was involved in the referral.  </w:t>
      </w:r>
    </w:p>
    <w:p w14:paraId="4AAFD830" w14:textId="507B6C88" w:rsidR="00803141" w:rsidRDefault="00D50DD3" w:rsidP="006832D6">
      <w:r>
        <w:t xml:space="preserve">One provider </w:t>
      </w:r>
      <w:r w:rsidR="0003285C">
        <w:t xml:space="preserve">questioned whether the system was designed well enough to maximise the chances of referrals turning into an ongoing connection and uptake of services. Early engagement is key to preventing severe </w:t>
      </w:r>
      <w:r w:rsidR="004C5E7D">
        <w:t>harm</w:t>
      </w:r>
      <w:r w:rsidR="00DB6710">
        <w:t>, and providers questioned</w:t>
      </w:r>
      <w:r>
        <w:t xml:space="preserve"> whether staff on the Alcohol Drug Helpline</w:t>
      </w:r>
      <w:r w:rsidR="006832D6">
        <w:t>, even if they are well qualified,</w:t>
      </w:r>
      <w:r>
        <w:t xml:space="preserve"> felt equipped to carry out the motivational interviewing</w:t>
      </w:r>
      <w:r w:rsidR="00D9746A">
        <w:t xml:space="preserve">.  </w:t>
      </w:r>
    </w:p>
    <w:p w14:paraId="2FE7E844" w14:textId="72D4007D" w:rsidR="002B7777" w:rsidRPr="002B7777" w:rsidRDefault="002B7777" w:rsidP="000D5E1B">
      <w:pPr>
        <w:pStyle w:val="Heading4"/>
      </w:pPr>
      <w:r w:rsidRPr="002B7777">
        <w:t xml:space="preserve">Effectiveness of referrals by Police </w:t>
      </w:r>
    </w:p>
    <w:p w14:paraId="5680E3E7" w14:textId="419C5CA3" w:rsidR="002B7777" w:rsidRDefault="009A1399" w:rsidP="009A1399">
      <w:r>
        <w:t>Providers</w:t>
      </w:r>
      <w:r w:rsidR="002B7777">
        <w:t xml:space="preserve"> commented on the sensitivity of conversations with people who use drugs, they need to be carefully held in order to motivate or not dispel any motivation a person might have to seek help and engage with services.  One provider suggested community outreach services staffed by people with motivational interviewing skills would be better able to reach vulnerable people. </w:t>
      </w:r>
    </w:p>
    <w:p w14:paraId="76627FCE" w14:textId="23807DAE" w:rsidR="002B7777" w:rsidRDefault="001D236F" w:rsidP="001D236F">
      <w:r>
        <w:t>They</w:t>
      </w:r>
      <w:r w:rsidR="002B7777">
        <w:t xml:space="preserve"> noted it would be unrealistic to expect every Police referral to turn into a successful engagement with services, and that a person might need to be told multiple times that a substance was causing harm, and that support was available to them, before seeking help. Conversations and interventions need to be well-timed.  </w:t>
      </w:r>
    </w:p>
    <w:p w14:paraId="61954A60" w14:textId="38391373" w:rsidR="0000313A" w:rsidRDefault="009E7710" w:rsidP="004900ED">
      <w:r>
        <w:t xml:space="preserve">One </w:t>
      </w:r>
      <w:r w:rsidR="006B77F4">
        <w:t>provider</w:t>
      </w:r>
      <w:r>
        <w:t xml:space="preserve"> </w:t>
      </w:r>
      <w:r w:rsidR="008C347B">
        <w:t xml:space="preserve">was concerned </w:t>
      </w:r>
      <w:r w:rsidR="00AC0FF1">
        <w:t>that the association of mental health and addiction providers with Police might be a disincentive for people who use drugs</w:t>
      </w:r>
      <w:r w:rsidR="00364ADB">
        <w:t xml:space="preserve"> to engage, they might be mistrustful of authority</w:t>
      </w:r>
      <w:r w:rsidR="00B93525">
        <w:t xml:space="preserve">.  </w:t>
      </w:r>
    </w:p>
    <w:p w14:paraId="1190887B" w14:textId="73A95E40" w:rsidR="00385DD9" w:rsidRDefault="000B725C" w:rsidP="005C5F12">
      <w:r>
        <w:t xml:space="preserve">Providers agreed that the best approach </w:t>
      </w:r>
      <w:r w:rsidR="00B15852">
        <w:t xml:space="preserve">for some people might not be referral to a brief intervention or drug treatment service, but </w:t>
      </w:r>
      <w:r w:rsidR="00A3259A">
        <w:t>that addressed other social issues, such as housing or domestic violence</w:t>
      </w:r>
      <w:r w:rsidR="0020403C">
        <w:t>.</w:t>
      </w:r>
      <w:r w:rsidR="0056741B">
        <w:t xml:space="preserve"> </w:t>
      </w:r>
    </w:p>
    <w:p w14:paraId="0B769380" w14:textId="4EB43126" w:rsidR="00090B46" w:rsidRPr="00090B46" w:rsidRDefault="00090B46" w:rsidP="000D5E1B">
      <w:pPr>
        <w:pStyle w:val="Heading4"/>
      </w:pPr>
      <w:r w:rsidRPr="00090B46">
        <w:t>Service availability</w:t>
      </w:r>
    </w:p>
    <w:p w14:paraId="20A01C4A" w14:textId="136240C6" w:rsidR="00E27278" w:rsidRDefault="00E27278" w:rsidP="005C5F12">
      <w:r>
        <w:t xml:space="preserve">Providers </w:t>
      </w:r>
      <w:r w:rsidR="00D406EB">
        <w:t>reported</w:t>
      </w:r>
      <w:r>
        <w:t xml:space="preserve"> long wait</w:t>
      </w:r>
      <w:r w:rsidR="00280BD8">
        <w:t xml:space="preserve"> times </w:t>
      </w:r>
      <w:r>
        <w:t>for their services</w:t>
      </w:r>
      <w:r w:rsidR="00280BD8">
        <w:t xml:space="preserve">. </w:t>
      </w:r>
      <w:r w:rsidR="00481672">
        <w:t xml:space="preserve">More simple cases can be dealt with quickly, but </w:t>
      </w:r>
      <w:r w:rsidR="002108EF">
        <w:t>individuals requiring a more holistic response</w:t>
      </w:r>
      <w:r w:rsidR="00F45B78">
        <w:t>,</w:t>
      </w:r>
      <w:r w:rsidR="002108EF">
        <w:t xml:space="preserve"> </w:t>
      </w:r>
      <w:r w:rsidR="00874A6E">
        <w:t xml:space="preserve">or a detoxification intervention </w:t>
      </w:r>
      <w:r w:rsidR="002108EF">
        <w:t>could be waiting several weeks</w:t>
      </w:r>
      <w:r w:rsidR="00ED50FF">
        <w:t xml:space="preserve">.  </w:t>
      </w:r>
    </w:p>
    <w:p w14:paraId="65DF0142" w14:textId="3B5BA720" w:rsidR="009E36F2" w:rsidRDefault="009E36F2" w:rsidP="005C5F12">
      <w:r>
        <w:t xml:space="preserve">Despite this, the providers we spoke to do try to address all level of need, and not turn people away if their drug use is </w:t>
      </w:r>
      <w:r w:rsidR="00D47C4C">
        <w:t xml:space="preserve">not serious enough. </w:t>
      </w:r>
      <w:r w:rsidR="000A763E">
        <w:t xml:space="preserve">One provider channelled </w:t>
      </w:r>
      <w:r w:rsidR="0044683B">
        <w:t xml:space="preserve">around 70 percent of their clients into group programmes until </w:t>
      </w:r>
      <w:r w:rsidR="00874A6E">
        <w:t>1:1 services were available</w:t>
      </w:r>
      <w:r w:rsidR="00ED50FF">
        <w:t xml:space="preserve">, and prioritised people with complex or acute needs for those services. </w:t>
      </w:r>
    </w:p>
    <w:p w14:paraId="5378E189" w14:textId="46273D22" w:rsidR="00B725B4" w:rsidRDefault="00203744" w:rsidP="005C5F12">
      <w:r>
        <w:lastRenderedPageBreak/>
        <w:t xml:space="preserve">Providers noted difficulties reaching people in rural areas, </w:t>
      </w:r>
      <w:r w:rsidR="00950590">
        <w:t xml:space="preserve">and people with access issues such as a lack of transport or juggling more than one job. </w:t>
      </w:r>
      <w:r w:rsidR="00876028">
        <w:t xml:space="preserve">After hours programmes and probation groups go some way, </w:t>
      </w:r>
      <w:r w:rsidR="00DA4CFE">
        <w:t xml:space="preserve">and there are community outreach teams in place. </w:t>
      </w:r>
    </w:p>
    <w:p w14:paraId="5A7C67CD" w14:textId="1A8F90DC" w:rsidR="00DA4CFE" w:rsidRDefault="00DA4CFE" w:rsidP="005C5F12">
      <w:r>
        <w:t xml:space="preserve">Māori and Pacific people engage less with </w:t>
      </w:r>
      <w:r w:rsidR="004C5E7D">
        <w:t xml:space="preserve">managed withdrawal </w:t>
      </w:r>
      <w:r>
        <w:t xml:space="preserve">programmes, and </w:t>
      </w:r>
      <w:r w:rsidR="002D6BCD">
        <w:t xml:space="preserve">there are likely better models, </w:t>
      </w:r>
      <w:r w:rsidR="001E481D">
        <w:t xml:space="preserve">potentially kaupapa Māori-run home detox services.  </w:t>
      </w:r>
    </w:p>
    <w:p w14:paraId="08CC1D03" w14:textId="050179F1" w:rsidR="009A3003" w:rsidRDefault="009A3003" w:rsidP="000D5E1B">
      <w:pPr>
        <w:pStyle w:val="Heading3"/>
      </w:pPr>
      <w:bookmarkStart w:id="229" w:name="_Toc75781201"/>
      <w:bookmarkStart w:id="230" w:name="_Toc75952914"/>
      <w:bookmarkStart w:id="231" w:name="_Toc78186480"/>
      <w:r>
        <w:t>NZ Drug Foundation</w:t>
      </w:r>
      <w:bookmarkEnd w:id="229"/>
      <w:bookmarkEnd w:id="230"/>
      <w:bookmarkEnd w:id="231"/>
    </w:p>
    <w:p w14:paraId="04362446" w14:textId="66E6E1CF" w:rsidR="009A3003" w:rsidRDefault="00D41AE1" w:rsidP="005C5F12">
      <w:r>
        <w:t>The review team interviewed the NZ Drug Foundation about health-based approaches to drug harm</w:t>
      </w:r>
      <w:r w:rsidR="00D53FD9">
        <w:t xml:space="preserve"> and received </w:t>
      </w:r>
      <w:r w:rsidR="000D5FD7">
        <w:t xml:space="preserve">a document subsequently that outlined the organisations views of an effective model for </w:t>
      </w:r>
      <w:r w:rsidR="00E14595">
        <w:t>health interventions by Police</w:t>
      </w:r>
      <w:r>
        <w:t xml:space="preserve">.  </w:t>
      </w:r>
    </w:p>
    <w:p w14:paraId="0DB7F173" w14:textId="6D4C19A6" w:rsidR="00664991" w:rsidRDefault="00260647" w:rsidP="005C5F12">
      <w:r>
        <w:t xml:space="preserve">The </w:t>
      </w:r>
      <w:r w:rsidR="00776D01">
        <w:t xml:space="preserve">NZ Drug Foundation considers </w:t>
      </w:r>
      <w:r w:rsidR="00C0590C">
        <w:t xml:space="preserve">an effective model </w:t>
      </w:r>
      <w:r w:rsidR="00111637">
        <w:t xml:space="preserve">should </w:t>
      </w:r>
      <w:r w:rsidR="00F523F9">
        <w:t xml:space="preserve">follow a </w:t>
      </w:r>
      <w:r w:rsidR="00E30720">
        <w:t>set of basic principles:</w:t>
      </w:r>
    </w:p>
    <w:p w14:paraId="3C297BA1" w14:textId="6F83E751" w:rsidR="00E30720" w:rsidRPr="00FB4032" w:rsidRDefault="006E60F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non-stigmatising and non-judgemental conversations</w:t>
      </w:r>
    </w:p>
    <w:p w14:paraId="2BBB1BCA" w14:textId="1C608806" w:rsidR="003E3836" w:rsidRPr="00FB4032" w:rsidRDefault="003E383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informative and helpful </w:t>
      </w:r>
    </w:p>
    <w:p w14:paraId="7A4121B5" w14:textId="0B04BF75" w:rsidR="003E3836" w:rsidRPr="00FB4032" w:rsidRDefault="003E3836"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non-punitive in nature (</w:t>
      </w:r>
      <w:r w:rsidR="004E57E1" w:rsidRPr="00FB4032">
        <w:rPr>
          <w:rStyle w:val="normaltextrun1"/>
          <w:rFonts w:ascii="Calibri" w:eastAsia="Times New Roman" w:hAnsi="Calibri" w:cs="Calibri"/>
          <w:sz w:val="22"/>
          <w:szCs w:val="22"/>
          <w:lang w:eastAsia="en-NZ"/>
        </w:rPr>
        <w:t>ie</w:t>
      </w:r>
      <w:r w:rsidR="00016A2C">
        <w:rPr>
          <w:rStyle w:val="normaltextrun1"/>
          <w:rFonts w:ascii="Calibri" w:eastAsia="Times New Roman" w:hAnsi="Calibri" w:cs="Calibri"/>
          <w:sz w:val="22"/>
          <w:szCs w:val="22"/>
          <w:lang w:eastAsia="en-NZ"/>
        </w:rPr>
        <w:t>,</w:t>
      </w:r>
      <w:r w:rsidR="004E57E1" w:rsidRPr="00FB4032">
        <w:rPr>
          <w:rStyle w:val="normaltextrun1"/>
          <w:rFonts w:ascii="Calibri" w:eastAsia="Times New Roman" w:hAnsi="Calibri" w:cs="Calibri"/>
          <w:sz w:val="22"/>
          <w:szCs w:val="22"/>
          <w:lang w:eastAsia="en-NZ"/>
        </w:rPr>
        <w:t xml:space="preserve"> not </w:t>
      </w:r>
      <w:r w:rsidR="000D7509" w:rsidRPr="00FB4032">
        <w:rPr>
          <w:rStyle w:val="normaltextrun1"/>
          <w:rFonts w:ascii="Calibri" w:eastAsia="Times New Roman" w:hAnsi="Calibri" w:cs="Calibri"/>
          <w:sz w:val="22"/>
          <w:szCs w:val="22"/>
          <w:lang w:eastAsia="en-NZ"/>
        </w:rPr>
        <w:t>accompanied by a threat of prosecution)</w:t>
      </w:r>
    </w:p>
    <w:p w14:paraId="492F8042" w14:textId="18C91F43" w:rsidR="000D7509" w:rsidRPr="00FB4032" w:rsidRDefault="000D7509"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pres</w:t>
      </w:r>
      <w:r w:rsidR="00B8770D" w:rsidRPr="00FB4032">
        <w:rPr>
          <w:rStyle w:val="normaltextrun1"/>
          <w:rFonts w:ascii="Calibri" w:eastAsia="Times New Roman" w:hAnsi="Calibri" w:cs="Calibri"/>
          <w:sz w:val="22"/>
          <w:szCs w:val="22"/>
          <w:lang w:eastAsia="en-NZ"/>
        </w:rPr>
        <w:t xml:space="preserve">enting treatment </w:t>
      </w:r>
      <w:r w:rsidR="004649EB" w:rsidRPr="00FB4032">
        <w:rPr>
          <w:rStyle w:val="normaltextrun1"/>
          <w:rFonts w:ascii="Calibri" w:eastAsia="Times New Roman" w:hAnsi="Calibri" w:cs="Calibri"/>
          <w:sz w:val="22"/>
          <w:szCs w:val="22"/>
          <w:lang w:eastAsia="en-NZ"/>
        </w:rPr>
        <w:t>or support as optional rather than obligatory</w:t>
      </w:r>
    </w:p>
    <w:p w14:paraId="29308BF6" w14:textId="77777777" w:rsidR="001A5451" w:rsidRPr="00FB4032" w:rsidRDefault="004649EB"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offering the right amount of information </w:t>
      </w:r>
      <w:r w:rsidR="00721B6C" w:rsidRPr="00FB4032">
        <w:rPr>
          <w:rStyle w:val="normaltextrun1"/>
          <w:rFonts w:ascii="Calibri" w:eastAsia="Times New Roman" w:hAnsi="Calibri" w:cs="Calibri"/>
          <w:sz w:val="22"/>
          <w:szCs w:val="22"/>
          <w:lang w:eastAsia="en-NZ"/>
        </w:rPr>
        <w:t>to the individual</w:t>
      </w:r>
      <w:r w:rsidR="00436637" w:rsidRPr="00FB4032">
        <w:rPr>
          <w:rStyle w:val="normaltextrun1"/>
          <w:rFonts w:ascii="Calibri" w:eastAsia="Times New Roman" w:hAnsi="Calibri" w:cs="Calibri"/>
          <w:sz w:val="22"/>
          <w:szCs w:val="22"/>
          <w:lang w:eastAsia="en-NZ"/>
        </w:rPr>
        <w:t xml:space="preserve">, </w:t>
      </w:r>
      <w:r w:rsidR="00EF1CF4" w:rsidRPr="00FB4032">
        <w:rPr>
          <w:rStyle w:val="normaltextrun1"/>
          <w:rFonts w:ascii="Calibri" w:eastAsia="Times New Roman" w:hAnsi="Calibri" w:cs="Calibri"/>
          <w:sz w:val="22"/>
          <w:szCs w:val="22"/>
          <w:lang w:eastAsia="en-NZ"/>
        </w:rPr>
        <w:t>and written information</w:t>
      </w:r>
    </w:p>
    <w:p w14:paraId="65D8DD21" w14:textId="2E1FB40E" w:rsidR="004649EB" w:rsidRPr="00FB4032" w:rsidRDefault="0081145F"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proactive follow</w:t>
      </w:r>
      <w:r w:rsidR="0015736C" w:rsidRPr="00FB4032">
        <w:rPr>
          <w:rStyle w:val="normaltextrun1"/>
          <w:rFonts w:ascii="Calibri" w:eastAsia="Times New Roman" w:hAnsi="Calibri" w:cs="Calibri"/>
          <w:sz w:val="22"/>
          <w:szCs w:val="22"/>
          <w:lang w:eastAsia="en-NZ"/>
        </w:rPr>
        <w:t>-</w:t>
      </w:r>
      <w:r w:rsidRPr="00FB4032">
        <w:rPr>
          <w:rStyle w:val="normaltextrun1"/>
          <w:rFonts w:ascii="Calibri" w:eastAsia="Times New Roman" w:hAnsi="Calibri" w:cs="Calibri"/>
          <w:sz w:val="22"/>
          <w:szCs w:val="22"/>
          <w:lang w:eastAsia="en-NZ"/>
        </w:rPr>
        <w:t>up</w:t>
      </w:r>
      <w:r w:rsidR="00721B6C" w:rsidRPr="00FB4032">
        <w:rPr>
          <w:rStyle w:val="normaltextrun1"/>
          <w:rFonts w:ascii="Calibri" w:eastAsia="Times New Roman" w:hAnsi="Calibri" w:cs="Calibri"/>
          <w:sz w:val="22"/>
          <w:szCs w:val="22"/>
          <w:lang w:eastAsia="en-NZ"/>
        </w:rPr>
        <w:t xml:space="preserve">.  </w:t>
      </w:r>
    </w:p>
    <w:p w14:paraId="4AF16DF2" w14:textId="0D17EAD6" w:rsidR="00664991" w:rsidRDefault="00CD5631" w:rsidP="005C5F12">
      <w:r>
        <w:t xml:space="preserve">On the last point, the NZ Drug Foundation noted that only a small proportion of those found in possession of drugs will need treatment or other support. </w:t>
      </w:r>
    </w:p>
    <w:p w14:paraId="75936833" w14:textId="3ADFFD00" w:rsidR="00CD5631" w:rsidRDefault="00CD5631" w:rsidP="00CD5631">
      <w:r>
        <w:t xml:space="preserve">They also </w:t>
      </w:r>
      <w:r w:rsidRPr="004475BA">
        <w:t xml:space="preserve">noted that a referral model such as this </w:t>
      </w:r>
      <w:r w:rsidR="004475BA">
        <w:t>“</w:t>
      </w:r>
      <w:r w:rsidRPr="004475BA">
        <w:t xml:space="preserve">stands or falls on the services and supports that are available to back it up. Referring someone to a service that doesn’t exist or that has a very long waiting list is pointless. It is important that a </w:t>
      </w:r>
      <w:r w:rsidR="13C892E6">
        <w:t>P</w:t>
      </w:r>
      <w:r w:rsidRPr="004475BA">
        <w:t>olice model be designed well, but it can only be as good as the services that sit behind it.</w:t>
      </w:r>
      <w:r w:rsidR="004475BA">
        <w:t>”</w:t>
      </w:r>
    </w:p>
    <w:p w14:paraId="11DF98F2" w14:textId="71E6353D" w:rsidR="007A7DE6" w:rsidRPr="000E2856" w:rsidRDefault="007A7DE6" w:rsidP="00CD5631">
      <w:r>
        <w:t xml:space="preserve">They also </w:t>
      </w:r>
      <w:r w:rsidR="000D1A9E">
        <w:t xml:space="preserve">considered </w:t>
      </w:r>
      <w:r w:rsidR="0077798B">
        <w:t xml:space="preserve">follow-up texts and calls by </w:t>
      </w:r>
      <w:r w:rsidR="000D1A9E">
        <w:t xml:space="preserve">the Alcohol Drug Helpline </w:t>
      </w:r>
      <w:r w:rsidR="0077798B">
        <w:t>should be factored in consistently for those who need it</w:t>
      </w:r>
      <w:r w:rsidR="003E3D07">
        <w:t>, and that the best time to talk about drug use is pro</w:t>
      </w:r>
      <w:r w:rsidR="00655815">
        <w:t xml:space="preserve">bably not when </w:t>
      </w:r>
      <w:r w:rsidR="008B4192">
        <w:t xml:space="preserve">face to face with </w:t>
      </w:r>
      <w:r w:rsidR="172223E6">
        <w:t>P</w:t>
      </w:r>
      <w:r w:rsidR="008B4192">
        <w:t>olice</w:t>
      </w:r>
      <w:r w:rsidR="00EA53CF">
        <w:t xml:space="preserve">, but when they are </w:t>
      </w:r>
      <w:r w:rsidR="00557578">
        <w:t xml:space="preserve">sober and in a less stressful situation.  </w:t>
      </w:r>
    </w:p>
    <w:p w14:paraId="7871DE9C" w14:textId="368B9E19" w:rsidR="00DD1175" w:rsidRDefault="00DD1175" w:rsidP="005C5F12">
      <w:r>
        <w:t xml:space="preserve">The organisation suggested this model should also be used for </w:t>
      </w:r>
      <w:r w:rsidR="00993915">
        <w:t>alcohol issues</w:t>
      </w:r>
      <w:r w:rsidR="00E4798C">
        <w:t xml:space="preserve"> which can equally harm individuals and communities.  </w:t>
      </w:r>
    </w:p>
    <w:p w14:paraId="73F41262" w14:textId="71A42E72" w:rsidR="003905CD" w:rsidRDefault="00E41A54">
      <w:r>
        <w:t xml:space="preserve">The NZ Drug Foundation also outlined their stance on decriminalisation of drugs for personal use, though as this is outside the scope of this review. </w:t>
      </w:r>
      <w:bookmarkEnd w:id="228"/>
    </w:p>
    <w:p w14:paraId="61BB07B7" w14:textId="55A390B1" w:rsidR="51F87473" w:rsidRPr="00477F71" w:rsidRDefault="51F87473" w:rsidP="004152E5">
      <w:pPr>
        <w:pStyle w:val="Heading2"/>
        <w:rPr>
          <w:rFonts w:ascii="Calibri Light" w:eastAsia="Yu Gothic Light" w:hAnsi="Calibri Light" w:cs="Times New Roman"/>
        </w:rPr>
      </w:pPr>
      <w:bookmarkStart w:id="232" w:name="_Toc74572689"/>
      <w:bookmarkStart w:id="233" w:name="_Toc75781202"/>
      <w:bookmarkStart w:id="234" w:name="_Toc75952915"/>
      <w:bookmarkStart w:id="235" w:name="_Toc78186481"/>
      <w:r w:rsidRPr="00477F71">
        <w:t>Judicial insights</w:t>
      </w:r>
      <w:bookmarkEnd w:id="232"/>
      <w:bookmarkEnd w:id="233"/>
      <w:bookmarkEnd w:id="234"/>
      <w:bookmarkEnd w:id="235"/>
    </w:p>
    <w:p w14:paraId="0F57F8CD" w14:textId="33F3BB4C" w:rsidR="4C167712" w:rsidRDefault="00B84CF3" w:rsidP="00281865">
      <w:r>
        <w:t>While</w:t>
      </w:r>
      <w:r w:rsidR="003E4E3F">
        <w:t xml:space="preserve"> the </w:t>
      </w:r>
      <w:r w:rsidR="0095287F">
        <w:t xml:space="preserve">focus of the health-based </w:t>
      </w:r>
      <w:r w:rsidR="003E4E3F">
        <w:t xml:space="preserve">amendment </w:t>
      </w:r>
      <w:r w:rsidR="0095287F">
        <w:t xml:space="preserve">was on Police decisions when considering whether to prosecute, Police also </w:t>
      </w:r>
      <w:r w:rsidR="005D074D">
        <w:t xml:space="preserve">recommend referrals to health services once in court, some of which we have covered in the Adult Diversion section.  </w:t>
      </w:r>
      <w:r w:rsidR="009B7606">
        <w:t xml:space="preserve">In recognition that Judges also make decisions to </w:t>
      </w:r>
      <w:r w:rsidR="004311B0">
        <w:t xml:space="preserve">refer people to health services, </w:t>
      </w:r>
      <w:r w:rsidR="00F22B6A">
        <w:t xml:space="preserve">the </w:t>
      </w:r>
      <w:r w:rsidR="003E4E3F">
        <w:t>review</w:t>
      </w:r>
      <w:r w:rsidR="00F22B6A">
        <w:t xml:space="preserve"> team</w:t>
      </w:r>
      <w:r w:rsidR="00E5634D">
        <w:t xml:space="preserve"> interviewed </w:t>
      </w:r>
      <w:r w:rsidR="00B22948">
        <w:t>a</w:t>
      </w:r>
      <w:r w:rsidR="4C167712">
        <w:t xml:space="preserve"> District Court </w:t>
      </w:r>
      <w:r w:rsidR="00B22948">
        <w:t xml:space="preserve">Judge </w:t>
      </w:r>
      <w:r w:rsidR="5F34D0C6">
        <w:t>and the Principal Youth Court Judge</w:t>
      </w:r>
      <w:r w:rsidR="009957A4">
        <w:t xml:space="preserve">. </w:t>
      </w:r>
    </w:p>
    <w:p w14:paraId="6EB11D83" w14:textId="416B5530" w:rsidR="008376C0" w:rsidRDefault="00734279" w:rsidP="008376C0">
      <w:r>
        <w:t>With respect</w:t>
      </w:r>
      <w:r w:rsidR="008376C0">
        <w:t xml:space="preserve"> to </w:t>
      </w:r>
      <w:r>
        <w:t>prosecutions, b</w:t>
      </w:r>
      <w:r w:rsidR="009A4F1D">
        <w:t>oth</w:t>
      </w:r>
      <w:r w:rsidR="008376C0">
        <w:t xml:space="preserve"> </w:t>
      </w:r>
      <w:r w:rsidR="00A33F9F">
        <w:t xml:space="preserve">judges </w:t>
      </w:r>
      <w:r w:rsidR="009A4F1D">
        <w:t>noted</w:t>
      </w:r>
      <w:r w:rsidR="008376C0">
        <w:t xml:space="preserve"> a decrease in the number of </w:t>
      </w:r>
      <w:r w:rsidR="008376C0">
        <w:rPr>
          <w:lang w:val="en-US"/>
        </w:rPr>
        <w:t>low-end offences (small scale cannabis related for example</w:t>
      </w:r>
      <w:r w:rsidR="008376C0" w:rsidRPr="008A0A44">
        <w:rPr>
          <w:lang w:val="en-US"/>
        </w:rPr>
        <w:t>) in Court.</w:t>
      </w:r>
      <w:r w:rsidR="008376C0">
        <w:rPr>
          <w:lang w:val="en-US"/>
        </w:rPr>
        <w:t xml:space="preserve"> </w:t>
      </w:r>
      <w:r w:rsidR="008376C0" w:rsidRPr="008A0A44">
        <w:rPr>
          <w:lang w:val="en-US"/>
        </w:rPr>
        <w:t xml:space="preserve">Cannabis charges are now more likely </w:t>
      </w:r>
      <w:r w:rsidR="008376C0" w:rsidRPr="008A0A44">
        <w:t xml:space="preserve">to be at the higher end, </w:t>
      </w:r>
      <w:r w:rsidR="008376C0">
        <w:t>for example</w:t>
      </w:r>
      <w:r w:rsidR="008376C0" w:rsidRPr="008A0A44">
        <w:t xml:space="preserve"> a major cannabis grow</w:t>
      </w:r>
      <w:r w:rsidR="008376C0">
        <w:t>ing</w:t>
      </w:r>
      <w:r w:rsidR="008376C0" w:rsidRPr="008A0A44">
        <w:t xml:space="preserve"> operation. Any </w:t>
      </w:r>
      <w:r w:rsidR="008376C0" w:rsidRPr="00DF0B51">
        <w:t>smaller scale offences are for the higher class of drugs (</w:t>
      </w:r>
      <w:r w:rsidR="004C37FA" w:rsidRPr="00DF0B51">
        <w:t>e</w:t>
      </w:r>
      <w:r w:rsidR="004C37FA">
        <w:t>.g.</w:t>
      </w:r>
      <w:r w:rsidR="008376C0">
        <w:t>,</w:t>
      </w:r>
      <w:r w:rsidR="008376C0" w:rsidRPr="00DF0B51">
        <w:t xml:space="preserve"> class A). </w:t>
      </w:r>
    </w:p>
    <w:p w14:paraId="09F7ECC5" w14:textId="1948453E" w:rsidR="00037206" w:rsidRDefault="00037206" w:rsidP="00037206">
      <w:r>
        <w:t xml:space="preserve">Both judges were </w:t>
      </w:r>
      <w:r w:rsidR="007163A1">
        <w:t>in favour of</w:t>
      </w:r>
      <w:r>
        <w:t xml:space="preserve">, and experienced with using, a health-based approach to the personal possession and use of drugs, including through Alcohol and Other Drug Courts.  </w:t>
      </w:r>
    </w:p>
    <w:p w14:paraId="4CD3FFD5" w14:textId="77777777" w:rsidR="00734279" w:rsidRDefault="00734279" w:rsidP="00734279">
      <w:r>
        <w:lastRenderedPageBreak/>
        <w:t xml:space="preserve">The Principal Youth Court Judge has had a longstanding approach to health-based intervention during prosecutions brought before both District and Youth Courts. He had introduced a model in which clinicians specialising in harmful drug use participated in the court process, identifying health needs, drivers of behaviour, and provided expert recommendations for treatment.  </w:t>
      </w:r>
    </w:p>
    <w:p w14:paraId="098DD529" w14:textId="7E8577EF" w:rsidR="009A4F1D" w:rsidRDefault="00351E4E" w:rsidP="008376C0">
      <w:pPr>
        <w:rPr>
          <w:lang w:val="en-US"/>
        </w:rPr>
      </w:pPr>
      <w:r>
        <w:t xml:space="preserve">Both </w:t>
      </w:r>
      <w:r w:rsidR="009A4F1D">
        <w:t xml:space="preserve">judges </w:t>
      </w:r>
      <w:r>
        <w:t xml:space="preserve">had experience with the </w:t>
      </w:r>
      <w:r w:rsidR="004C5E7D">
        <w:t>Alcohol and Other D</w:t>
      </w:r>
      <w:r w:rsidR="009A4F1D">
        <w:t xml:space="preserve">rug </w:t>
      </w:r>
      <w:r w:rsidR="58D6D2B0">
        <w:t xml:space="preserve">Treatment </w:t>
      </w:r>
      <w:r w:rsidR="004C5E7D">
        <w:t>C</w:t>
      </w:r>
      <w:r w:rsidR="009A4F1D">
        <w:t>ourt</w:t>
      </w:r>
      <w:r w:rsidR="00EF34BD">
        <w:t xml:space="preserve"> (AODTC)</w:t>
      </w:r>
      <w:r>
        <w:t xml:space="preserve">, and reflected on how the lessons from this could be </w:t>
      </w:r>
      <w:r w:rsidR="001428EC">
        <w:t xml:space="preserve">used across mainstream services.  </w:t>
      </w:r>
      <w:r w:rsidR="00D66D62">
        <w:t xml:space="preserve">The </w:t>
      </w:r>
      <w:r w:rsidR="00EF34BD">
        <w:t>AODTC</w:t>
      </w:r>
      <w:r w:rsidR="00D66D62">
        <w:t xml:space="preserve"> </w:t>
      </w:r>
      <w:r w:rsidR="009A4F1D">
        <w:t xml:space="preserve">uses a non-adversarial, </w:t>
      </w:r>
      <w:r w:rsidR="009A4F1D" w:rsidRPr="00DF0B51">
        <w:t>strengths</w:t>
      </w:r>
      <w:r w:rsidR="009A4F1D">
        <w:t>-</w:t>
      </w:r>
      <w:r w:rsidR="009A4F1D" w:rsidRPr="00DF0B51">
        <w:t>based approach,</w:t>
      </w:r>
      <w:r w:rsidR="009A4F1D">
        <w:t xml:space="preserve"> which looks at an individual’s</w:t>
      </w:r>
      <w:r w:rsidR="009A4F1D" w:rsidRPr="00DF0B51">
        <w:t xml:space="preserve"> capabilities rather than just deficits. The Courts can refer the person to a whole suite of programmes </w:t>
      </w:r>
      <w:r w:rsidR="009A4F1D">
        <w:t>designed to</w:t>
      </w:r>
      <w:r w:rsidR="009A4F1D" w:rsidRPr="00DF0B51">
        <w:t xml:space="preserve"> help the person see themselves as part of a community. </w:t>
      </w:r>
      <w:r w:rsidR="009A4F1D">
        <w:t xml:space="preserve">Whānau are central to the process. In </w:t>
      </w:r>
      <w:r w:rsidR="004979F5">
        <w:t>the District Court Judge</w:t>
      </w:r>
      <w:r w:rsidR="00214906">
        <w:t>’s</w:t>
      </w:r>
      <w:r w:rsidR="009A4F1D">
        <w:t xml:space="preserve"> experience, creating an overall impression of fairness, being positive and taking an interest in the person is important.</w:t>
      </w:r>
      <w:r w:rsidR="000F76C3">
        <w:t xml:space="preserve">  </w:t>
      </w:r>
    </w:p>
    <w:p w14:paraId="7B52FF76" w14:textId="77777777" w:rsidR="008376C0" w:rsidRDefault="003A2DA4" w:rsidP="008376C0">
      <w:pPr>
        <w:rPr>
          <w:lang w:val="en-US"/>
        </w:rPr>
      </w:pPr>
      <w:r>
        <w:rPr>
          <w:lang w:val="en-US"/>
        </w:rPr>
        <w:t>The District Court Judge</w:t>
      </w:r>
      <w:r w:rsidR="0079192D">
        <w:rPr>
          <w:lang w:val="en-US"/>
        </w:rPr>
        <w:t xml:space="preserve"> </w:t>
      </w:r>
      <w:r w:rsidR="008376C0">
        <w:rPr>
          <w:lang w:val="en-US"/>
        </w:rPr>
        <w:t xml:space="preserve">cautioned that there are some cases, for instance where a person is harming other people, and the community remains at risk, where a punitive approach </w:t>
      </w:r>
      <w:r w:rsidR="004B49BB">
        <w:rPr>
          <w:lang w:val="en-US"/>
        </w:rPr>
        <w:t xml:space="preserve">may need to </w:t>
      </w:r>
      <w:r w:rsidR="00CC1909">
        <w:rPr>
          <w:lang w:val="en-US"/>
        </w:rPr>
        <w:t>be taken</w:t>
      </w:r>
      <w:r w:rsidR="008376C0">
        <w:rPr>
          <w:lang w:val="en-US"/>
        </w:rPr>
        <w:t xml:space="preserve">. She has also found diversion screens and iwi panels to be effective. </w:t>
      </w:r>
    </w:p>
    <w:p w14:paraId="620C993D" w14:textId="0D85C333" w:rsidR="007F353B" w:rsidRDefault="007F353B" w:rsidP="007F353B">
      <w:pPr>
        <w:rPr>
          <w:lang w:val="en-US"/>
        </w:rPr>
      </w:pPr>
      <w:r>
        <w:rPr>
          <w:lang w:val="en-US"/>
        </w:rPr>
        <w:t>Both observed issues with the availability of services, including significant wait times for services.  However the District Court Judge thought that, while services are lacking in some situations</w:t>
      </w:r>
      <w:r w:rsidRPr="00A570A2">
        <w:rPr>
          <w:lang w:val="en-US"/>
        </w:rPr>
        <w:t>, there is more available than is sometimes given credit</w:t>
      </w:r>
      <w:r>
        <w:rPr>
          <w:lang w:val="en-US"/>
        </w:rPr>
        <w:t xml:space="preserve">, and a belief that </w:t>
      </w:r>
      <w:r w:rsidRPr="00A570A2">
        <w:t xml:space="preserve">‘there isn’t enough’ </w:t>
      </w:r>
      <w:r>
        <w:t>should not be a reason</w:t>
      </w:r>
      <w:r w:rsidRPr="00A570A2">
        <w:t xml:space="preserve"> for not trying to get help, </w:t>
      </w:r>
      <w:r>
        <w:t>or doing</w:t>
      </w:r>
      <w:r w:rsidRPr="00A570A2">
        <w:t xml:space="preserve"> nothing. </w:t>
      </w:r>
      <w:r>
        <w:t>Where detox and other services may not be available, judges need to be able to consider other available options and need</w:t>
      </w:r>
      <w:r w:rsidRPr="00A570A2">
        <w:t xml:space="preserve"> some </w:t>
      </w:r>
      <w:r>
        <w:t xml:space="preserve">form of education on </w:t>
      </w:r>
      <w:r>
        <w:rPr>
          <w:lang w:val="en-US"/>
        </w:rPr>
        <w:t>the wide range of treatment options available.</w:t>
      </w:r>
    </w:p>
    <w:p w14:paraId="455A0CB3" w14:textId="61B86F7E" w:rsidR="008376C0" w:rsidRDefault="00B17F4E" w:rsidP="008376C0">
      <w:r>
        <w:t>Both m</w:t>
      </w:r>
      <w:r w:rsidR="0079192D">
        <w:t xml:space="preserve">embers of the </w:t>
      </w:r>
      <w:r w:rsidR="00186F7C">
        <w:t>judiciary</w:t>
      </w:r>
      <w:r w:rsidR="008376C0">
        <w:t xml:space="preserve"> noted there </w:t>
      </w:r>
      <w:r>
        <w:t>are</w:t>
      </w:r>
      <w:r w:rsidR="008376C0">
        <w:t xml:space="preserve"> opportunit</w:t>
      </w:r>
      <w:r>
        <w:t>ies</w:t>
      </w:r>
      <w:r w:rsidR="008376C0">
        <w:t xml:space="preserve"> to:</w:t>
      </w:r>
    </w:p>
    <w:p w14:paraId="2AA61981" w14:textId="50BA6665" w:rsidR="008376C0" w:rsidRPr="00FB4032" w:rsidRDefault="008376C0"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b/>
          <w:bCs/>
          <w:sz w:val="22"/>
          <w:szCs w:val="22"/>
          <w:lang w:eastAsia="en-NZ"/>
        </w:rPr>
        <w:t>Better enable solutions-focused judging by improving the availability of clinical triage</w:t>
      </w:r>
      <w:r w:rsidR="001C5028">
        <w:rPr>
          <w:rStyle w:val="normaltextrun1"/>
          <w:rFonts w:ascii="Calibri" w:eastAsia="Times New Roman" w:hAnsi="Calibri" w:cs="Calibri"/>
          <w:b/>
          <w:bCs/>
          <w:sz w:val="22"/>
          <w:szCs w:val="22"/>
          <w:lang w:eastAsia="en-NZ"/>
        </w:rPr>
        <w:t xml:space="preserve"> or </w:t>
      </w:r>
      <w:r w:rsidRPr="00FB4032">
        <w:rPr>
          <w:rStyle w:val="normaltextrun1"/>
          <w:rFonts w:ascii="Calibri" w:eastAsia="Times New Roman" w:hAnsi="Calibri" w:cs="Calibri"/>
          <w:b/>
          <w:bCs/>
          <w:sz w:val="22"/>
          <w:szCs w:val="22"/>
          <w:lang w:eastAsia="en-NZ"/>
        </w:rPr>
        <w:t>assessment support</w:t>
      </w:r>
      <w:r w:rsidRPr="00FB4032">
        <w:rPr>
          <w:rStyle w:val="normaltextrun1"/>
          <w:rFonts w:ascii="Calibri" w:eastAsia="Times New Roman" w:hAnsi="Calibri" w:cs="Calibri"/>
          <w:sz w:val="22"/>
          <w:szCs w:val="22"/>
          <w:lang w:eastAsia="en-NZ"/>
        </w:rPr>
        <w:t xml:space="preserve"> to District Courts. At present, health-based outcomes for the same type of offences vary. Variations by region are not </w:t>
      </w:r>
      <w:r w:rsidR="006A58A4" w:rsidRPr="27B8EC09">
        <w:rPr>
          <w:rStyle w:val="normaltextrun1"/>
          <w:rFonts w:ascii="Calibri" w:eastAsia="Times New Roman" w:hAnsi="Calibri" w:cs="Calibri"/>
          <w:sz w:val="22"/>
          <w:szCs w:val="22"/>
          <w:lang w:eastAsia="en-NZ"/>
        </w:rPr>
        <w:t>sole</w:t>
      </w:r>
      <w:r w:rsidR="6709CBD8" w:rsidRPr="27B8EC09">
        <w:rPr>
          <w:rStyle w:val="normaltextrun1"/>
          <w:rFonts w:ascii="Calibri" w:eastAsia="Times New Roman" w:hAnsi="Calibri" w:cs="Calibri"/>
          <w:sz w:val="22"/>
          <w:szCs w:val="22"/>
          <w:lang w:eastAsia="en-NZ"/>
        </w:rPr>
        <w:t>l</w:t>
      </w:r>
      <w:r w:rsidR="006A58A4" w:rsidRPr="27B8EC09">
        <w:rPr>
          <w:rStyle w:val="normaltextrun1"/>
          <w:rFonts w:ascii="Calibri" w:eastAsia="Times New Roman" w:hAnsi="Calibri" w:cs="Calibri"/>
          <w:sz w:val="22"/>
          <w:szCs w:val="22"/>
          <w:lang w:eastAsia="en-NZ"/>
        </w:rPr>
        <w:t>y</w:t>
      </w:r>
      <w:r w:rsidR="006A58A4" w:rsidRPr="00FB4032">
        <w:rPr>
          <w:rStyle w:val="normaltextrun1"/>
          <w:rFonts w:ascii="Calibri" w:eastAsia="Times New Roman" w:hAnsi="Calibri" w:cs="Calibri"/>
          <w:sz w:val="22"/>
          <w:szCs w:val="22"/>
          <w:lang w:eastAsia="en-NZ"/>
        </w:rPr>
        <w:t xml:space="preserve"> </w:t>
      </w:r>
      <w:r w:rsidRPr="00FB4032">
        <w:rPr>
          <w:rStyle w:val="normaltextrun1"/>
          <w:rFonts w:ascii="Calibri" w:eastAsia="Times New Roman" w:hAnsi="Calibri" w:cs="Calibri"/>
          <w:sz w:val="22"/>
          <w:szCs w:val="22"/>
          <w:lang w:eastAsia="en-NZ"/>
        </w:rPr>
        <w:t>due to the inclination of the Court but in response to inconsistent clinical resources available and at time awareness of what resources are available and their efficacy and suitability for a particular person. The value of having a person expert in identifying and triaging substance</w:t>
      </w:r>
      <w:r w:rsidR="006A58A4" w:rsidRPr="00FB4032">
        <w:rPr>
          <w:rStyle w:val="normaltextrun1"/>
          <w:rFonts w:ascii="Calibri" w:eastAsia="Times New Roman" w:hAnsi="Calibri" w:cs="Calibri"/>
          <w:sz w:val="22"/>
          <w:szCs w:val="22"/>
          <w:lang w:eastAsia="en-NZ"/>
        </w:rPr>
        <w:t xml:space="preserve"> harm</w:t>
      </w:r>
      <w:r w:rsidRPr="00FB4032">
        <w:rPr>
          <w:rStyle w:val="normaltextrun1"/>
          <w:rFonts w:ascii="Calibri" w:eastAsia="Times New Roman" w:hAnsi="Calibri" w:cs="Calibri"/>
          <w:sz w:val="22"/>
          <w:szCs w:val="22"/>
          <w:lang w:eastAsia="en-NZ"/>
        </w:rPr>
        <w:t xml:space="preserve"> needs, readily available to (if not on-site at) a Court is high – it avoids health suppositions being made by lawyers and lay people and enables diversion schemes or sentencing outcomes to properly reflect a rehabilitative approach.  </w:t>
      </w:r>
    </w:p>
    <w:p w14:paraId="412D219C" w14:textId="2C581668" w:rsidR="008376C0" w:rsidRPr="00FB4032" w:rsidRDefault="008376C0"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b/>
          <w:bCs/>
          <w:sz w:val="22"/>
          <w:szCs w:val="22"/>
          <w:lang w:eastAsia="en-NZ"/>
        </w:rPr>
        <w:t>Reduce delay in access to mental health and addiction services once the need for referral to those services has been identified</w:t>
      </w:r>
      <w:r w:rsidRPr="00FB4032">
        <w:rPr>
          <w:rStyle w:val="normaltextrun1"/>
          <w:rFonts w:ascii="Calibri" w:eastAsia="Times New Roman" w:hAnsi="Calibri" w:cs="Calibri"/>
          <w:sz w:val="22"/>
          <w:szCs w:val="22"/>
          <w:lang w:eastAsia="en-NZ"/>
        </w:rPr>
        <w:t xml:space="preserve">.  Currently, Judges may impose a diversion or sentence condition for participation in a rehabilitative or therapeutic programme but then observe people waiting for up to five months before a provider has capacity to help.  The impact of these delays are not insignificant:  a person may continue to struggle with </w:t>
      </w:r>
      <w:r w:rsidR="006A58A4" w:rsidRPr="00FB4032">
        <w:rPr>
          <w:rStyle w:val="normaltextrun1"/>
          <w:rFonts w:ascii="Calibri" w:eastAsia="Times New Roman" w:hAnsi="Calibri" w:cs="Calibri"/>
          <w:sz w:val="22"/>
          <w:szCs w:val="22"/>
          <w:lang w:eastAsia="en-NZ"/>
        </w:rPr>
        <w:t xml:space="preserve">AOD harm </w:t>
      </w:r>
      <w:r w:rsidRPr="00FB4032">
        <w:rPr>
          <w:rStyle w:val="normaltextrun1"/>
          <w:rFonts w:ascii="Calibri" w:eastAsia="Times New Roman" w:hAnsi="Calibri" w:cs="Calibri"/>
          <w:sz w:val="22"/>
          <w:szCs w:val="22"/>
          <w:lang w:eastAsia="en-NZ"/>
        </w:rPr>
        <w:t>and any related offending in the interim, be brought before the Courts for additional charges, and remain caught in a cycle of unaddressed health needs and criminal justice outcomes.  Delays in access to services will be discussed in the final section of this report but their criminal justice impact is worth noting here.</w:t>
      </w:r>
    </w:p>
    <w:p w14:paraId="7B6F3CE7" w14:textId="7E71F90B" w:rsidR="008376C0" w:rsidRPr="00FB4032" w:rsidRDefault="008376C0"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b/>
          <w:bCs/>
          <w:sz w:val="22"/>
          <w:szCs w:val="22"/>
          <w:lang w:eastAsia="en-NZ"/>
        </w:rPr>
        <w:t>Strengthen system stewardship via more regular collaboration between participants.</w:t>
      </w:r>
      <w:r w:rsidRPr="00FB4032">
        <w:rPr>
          <w:rStyle w:val="normaltextrun1"/>
          <w:rFonts w:ascii="Calibri" w:eastAsia="Times New Roman" w:hAnsi="Calibri" w:cs="Calibri"/>
          <w:sz w:val="22"/>
          <w:szCs w:val="22"/>
          <w:lang w:eastAsia="en-NZ"/>
        </w:rPr>
        <w:t xml:space="preserve">  The intent of the amendment’s aspiration is consistent with the vision of Judicial leadership for the District Court and Judging practice. The appetite to engage in the building of relationships, strengthening of resources, and dissemination of guidance is strong.  District Court Judges would be keen to connect more regularly with the Ministry of Health to discuss system trends, and to develop for the Judicial Training Programme modules outlining the different types of clinical presentations and needs associated with various forms of </w:t>
      </w:r>
      <w:r w:rsidRPr="00FB4032">
        <w:rPr>
          <w:rStyle w:val="normaltextrun1"/>
          <w:rFonts w:ascii="Calibri" w:eastAsia="Times New Roman" w:hAnsi="Calibri" w:cs="Calibri"/>
          <w:sz w:val="22"/>
          <w:szCs w:val="22"/>
          <w:lang w:eastAsia="en-NZ"/>
        </w:rPr>
        <w:lastRenderedPageBreak/>
        <w:t xml:space="preserve">substance </w:t>
      </w:r>
      <w:r w:rsidR="001341BD" w:rsidRPr="00FB4032">
        <w:rPr>
          <w:rStyle w:val="normaltextrun1"/>
          <w:rFonts w:ascii="Calibri" w:eastAsia="Times New Roman" w:hAnsi="Calibri" w:cs="Calibri"/>
          <w:sz w:val="22"/>
          <w:szCs w:val="22"/>
          <w:lang w:eastAsia="en-NZ"/>
        </w:rPr>
        <w:t>harm</w:t>
      </w:r>
      <w:r w:rsidRPr="00FB4032">
        <w:rPr>
          <w:rStyle w:val="normaltextrun1"/>
          <w:rFonts w:ascii="Calibri" w:eastAsia="Times New Roman" w:hAnsi="Calibri" w:cs="Calibri"/>
          <w:sz w:val="22"/>
          <w:szCs w:val="22"/>
          <w:lang w:eastAsia="en-NZ"/>
        </w:rPr>
        <w:t xml:space="preserve">, how to incorporate a health-based approach within solutions-focused Judging practice, and how to connect a Court to clinicians and providers who can best-assist.  </w:t>
      </w:r>
    </w:p>
    <w:p w14:paraId="758064F3" w14:textId="675240F4" w:rsidR="008376C0" w:rsidRPr="00FB4032" w:rsidRDefault="008376C0"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b/>
          <w:bCs/>
          <w:sz w:val="22"/>
          <w:szCs w:val="22"/>
          <w:lang w:eastAsia="en-NZ"/>
        </w:rPr>
        <w:t>Support Counsel (prosecution and defence) to better-understand and respond to health-based needs via developing guidance</w:t>
      </w:r>
      <w:r w:rsidRPr="00FB4032">
        <w:rPr>
          <w:rStyle w:val="normaltextrun1"/>
          <w:rFonts w:ascii="Calibri" w:eastAsia="Times New Roman" w:hAnsi="Calibri" w:cs="Calibri"/>
          <w:sz w:val="22"/>
          <w:szCs w:val="22"/>
          <w:lang w:eastAsia="en-NZ"/>
        </w:rPr>
        <w:t xml:space="preserve"> outlining substance </w:t>
      </w:r>
      <w:r w:rsidR="001341BD" w:rsidRPr="00FB4032">
        <w:rPr>
          <w:rStyle w:val="normaltextrun1"/>
          <w:rFonts w:ascii="Calibri" w:eastAsia="Times New Roman" w:hAnsi="Calibri" w:cs="Calibri"/>
          <w:sz w:val="22"/>
          <w:szCs w:val="22"/>
          <w:lang w:eastAsia="en-NZ"/>
        </w:rPr>
        <w:t>harm</w:t>
      </w:r>
      <w:r w:rsidRPr="00FB4032">
        <w:rPr>
          <w:rStyle w:val="normaltextrun1"/>
          <w:rFonts w:ascii="Calibri" w:eastAsia="Times New Roman" w:hAnsi="Calibri" w:cs="Calibri"/>
          <w:sz w:val="22"/>
          <w:szCs w:val="22"/>
          <w:lang w:eastAsia="en-NZ"/>
        </w:rPr>
        <w:t xml:space="preserve">, its relationship to offending, and available levers </w:t>
      </w:r>
      <w:r w:rsidR="005027DC" w:rsidRPr="00FB4032">
        <w:rPr>
          <w:rStyle w:val="normaltextrun1"/>
          <w:rFonts w:ascii="Calibri" w:eastAsia="Times New Roman" w:hAnsi="Calibri" w:cs="Calibri"/>
          <w:sz w:val="22"/>
          <w:szCs w:val="22"/>
          <w:lang w:eastAsia="en-NZ"/>
        </w:rPr>
        <w:t xml:space="preserve">which are </w:t>
      </w:r>
      <w:r w:rsidRPr="00FB4032">
        <w:rPr>
          <w:rStyle w:val="normaltextrun1"/>
          <w:rFonts w:ascii="Calibri" w:eastAsia="Times New Roman" w:hAnsi="Calibri" w:cs="Calibri"/>
          <w:sz w:val="22"/>
          <w:szCs w:val="22"/>
          <w:lang w:eastAsia="en-NZ"/>
        </w:rPr>
        <w:t>alternative and complementary to prosecution.  Such guidance and training could be developed by the Ministries of Health and Justice and delivered through the Police Prosecution Service, Public Defence Service and New Zealand Law Society Continuing Legal Education programmes.</w:t>
      </w:r>
    </w:p>
    <w:p w14:paraId="4D3B38C7" w14:textId="32307598" w:rsidR="00CA1D6F" w:rsidRDefault="00E6334A">
      <w:pPr>
        <w:rPr>
          <w:rFonts w:asciiTheme="majorHAnsi" w:eastAsiaTheme="majorEastAsia" w:hAnsiTheme="majorHAnsi" w:cstheme="majorBidi"/>
          <w:color w:val="2F5496" w:themeColor="accent1" w:themeShade="BF"/>
          <w:sz w:val="32"/>
          <w:szCs w:val="32"/>
        </w:rPr>
      </w:pPr>
      <w:bookmarkStart w:id="236" w:name="_Toc74572690"/>
      <w:r>
        <w:rPr>
          <w:noProof/>
        </w:rPr>
        <mc:AlternateContent>
          <mc:Choice Requires="wps">
            <w:drawing>
              <wp:anchor distT="45720" distB="45720" distL="114300" distR="114300" simplePos="0" relativeHeight="251658244" behindDoc="0" locked="0" layoutInCell="1" allowOverlap="1" wp14:anchorId="7AD56CF8" wp14:editId="25C60481">
                <wp:simplePos x="0" y="0"/>
                <wp:positionH relativeFrom="margin">
                  <wp:posOffset>299720</wp:posOffset>
                </wp:positionH>
                <wp:positionV relativeFrom="paragraph">
                  <wp:posOffset>414020</wp:posOffset>
                </wp:positionV>
                <wp:extent cx="5800725" cy="1404620"/>
                <wp:effectExtent l="0" t="0" r="28575"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14:paraId="30D7A6D6" w14:textId="77777777" w:rsidR="00F14026" w:rsidRPr="00D051A4" w:rsidRDefault="00F14026" w:rsidP="00A260E6">
                            <w:pPr>
                              <w:rPr>
                                <w:b/>
                              </w:rPr>
                            </w:pPr>
                            <w:r w:rsidRPr="00D051A4">
                              <w:rPr>
                                <w:b/>
                              </w:rPr>
                              <w:t xml:space="preserve">Key finding(s): </w:t>
                            </w:r>
                          </w:p>
                          <w:p w14:paraId="5C283981" w14:textId="4393D853" w:rsidR="00F14026" w:rsidRPr="00354EBB" w:rsidRDefault="00F14026" w:rsidP="00B603EC">
                            <w:pPr>
                              <w:pStyle w:val="ListParagraph"/>
                              <w:numPr>
                                <w:ilvl w:val="0"/>
                                <w:numId w:val="8"/>
                              </w:numPr>
                              <w:ind w:left="567" w:hanging="567"/>
                            </w:pPr>
                            <w:r>
                              <w:t>There appears to be a low level of awareness of providers, or buy-in, to the MoDA Referral Pathway established to support the 2019 amendment, particularly when compared with the early signs of Police utilisation of the AWHI system.</w:t>
                            </w:r>
                          </w:p>
                          <w:p w14:paraId="3B98C785" w14:textId="19DEB99A" w:rsidR="00F14026" w:rsidRDefault="00F14026" w:rsidP="00B603EC">
                            <w:pPr>
                              <w:pStyle w:val="ListParagraph"/>
                              <w:numPr>
                                <w:ilvl w:val="0"/>
                                <w:numId w:val="8"/>
                              </w:numPr>
                              <w:ind w:left="567" w:hanging="567"/>
                            </w:pPr>
                            <w:r>
                              <w:t>The MoDA referral pathway and AWHI have different and complementary strengths.</w:t>
                            </w:r>
                          </w:p>
                          <w:p w14:paraId="5FF848F6" w14:textId="7B89F452" w:rsidR="00F14026" w:rsidRDefault="00F14026" w:rsidP="00B603EC">
                            <w:pPr>
                              <w:pStyle w:val="ListParagraph"/>
                              <w:numPr>
                                <w:ilvl w:val="0"/>
                                <w:numId w:val="8"/>
                              </w:numPr>
                              <w:ind w:left="567" w:hanging="567"/>
                            </w:pPr>
                            <w:r>
                              <w:t xml:space="preserve">Referral systems could benefit from guidelines for best practice referrals that ensure that people seeking and agreeing to offers of help are channelled to the most appropriate provider as soon and as smoothly as possible.  </w:t>
                            </w:r>
                          </w:p>
                          <w:p w14:paraId="766EEDB0" w14:textId="550BEA09" w:rsidR="00F14026" w:rsidRDefault="00F14026" w:rsidP="00B603EC">
                            <w:pPr>
                              <w:pStyle w:val="ListParagraph"/>
                              <w:numPr>
                                <w:ilvl w:val="0"/>
                                <w:numId w:val="8"/>
                              </w:numPr>
                              <w:ind w:left="567" w:hanging="567"/>
                            </w:pPr>
                            <w:r>
                              <w:t xml:space="preserve">There is interest among the judiciary for guidelines to support health-based approaches for drug harm reduction through the Courts. </w:t>
                            </w:r>
                          </w:p>
                          <w:p w14:paraId="0E32FAEF" w14:textId="7DC8AFCE" w:rsidR="00F14026" w:rsidRDefault="00F14026" w:rsidP="00B603EC">
                            <w:pPr>
                              <w:pStyle w:val="ListParagraph"/>
                              <w:numPr>
                                <w:ilvl w:val="0"/>
                                <w:numId w:val="8"/>
                              </w:numPr>
                              <w:ind w:left="567" w:hanging="567"/>
                            </w:pPr>
                            <w:r>
                              <w:t xml:space="preserve">There are concerns about the capacity of mental health and addiction services to accommodate any rapid growth in Police referrals.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56CF8" id="_x0000_s1031" type="#_x0000_t202" style="position:absolute;margin-left:23.6pt;margin-top:32.6pt;width:456.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">
                <v:textbox style="mso-fit-shape-to-text:t">
                  <w:txbxContent>
                    <w:p w14:paraId="30D7A6D6" w14:textId="77777777" w:rsidR="00F14026" w:rsidRPr="00D051A4" w:rsidRDefault="00F14026" w:rsidP="00A260E6">
                      <w:pPr>
                        <w:rPr>
                          <w:b/>
                        </w:rPr>
                      </w:pPr>
                      <w:r w:rsidRPr="00D051A4">
                        <w:rPr>
                          <w:b/>
                        </w:rPr>
                        <w:t xml:space="preserve">Key finding(s): </w:t>
                      </w:r>
                    </w:p>
                    <w:p w14:paraId="5C283981" w14:textId="4393D853" w:rsidR="00F14026" w:rsidRPr="00354EBB" w:rsidRDefault="00F14026" w:rsidP="00B603EC">
                      <w:pPr>
                        <w:pStyle w:val="ListParagraph"/>
                        <w:numPr>
                          <w:ilvl w:val="0"/>
                          <w:numId w:val="8"/>
                        </w:numPr>
                        <w:ind w:left="567" w:hanging="567"/>
                      </w:pPr>
                      <w:r>
                        <w:t>There appears to be a low level of awareness of providers, or buy-in, to the MoDA Referral Pathway established to support the 2019 amendment, particularly when compared with the early signs of Police utilisation of the AWHI system.</w:t>
                      </w:r>
                    </w:p>
                    <w:p w14:paraId="3B98C785" w14:textId="19DEB99A" w:rsidR="00F14026" w:rsidRDefault="00F14026" w:rsidP="00B603EC">
                      <w:pPr>
                        <w:pStyle w:val="ListParagraph"/>
                        <w:numPr>
                          <w:ilvl w:val="0"/>
                          <w:numId w:val="8"/>
                        </w:numPr>
                        <w:ind w:left="567" w:hanging="567"/>
                      </w:pPr>
                      <w:r>
                        <w:t>The MoDA referral pathway and AWHI have different and complementary strengths.</w:t>
                      </w:r>
                    </w:p>
                    <w:p w14:paraId="5FF848F6" w14:textId="7B89F452" w:rsidR="00F14026" w:rsidRDefault="00F14026" w:rsidP="00B603EC">
                      <w:pPr>
                        <w:pStyle w:val="ListParagraph"/>
                        <w:numPr>
                          <w:ilvl w:val="0"/>
                          <w:numId w:val="8"/>
                        </w:numPr>
                        <w:ind w:left="567" w:hanging="567"/>
                      </w:pPr>
                      <w:r>
                        <w:t xml:space="preserve">Referral systems could benefit from guidelines for best practice referrals that ensure that people seeking and agreeing to offers of help are channelled to the most appropriate provider as soon and as smoothly as possible.  </w:t>
                      </w:r>
                    </w:p>
                    <w:p w14:paraId="766EEDB0" w14:textId="550BEA09" w:rsidR="00F14026" w:rsidRDefault="00F14026" w:rsidP="00B603EC">
                      <w:pPr>
                        <w:pStyle w:val="ListParagraph"/>
                        <w:numPr>
                          <w:ilvl w:val="0"/>
                          <w:numId w:val="8"/>
                        </w:numPr>
                        <w:ind w:left="567" w:hanging="567"/>
                      </w:pPr>
                      <w:r>
                        <w:t xml:space="preserve">There is interest among the judiciary for guidelines to support health-based approaches for drug harm reduction through the Courts. </w:t>
                      </w:r>
                    </w:p>
                    <w:p w14:paraId="0E32FAEF" w14:textId="7DC8AFCE" w:rsidR="00F14026" w:rsidRDefault="00F14026" w:rsidP="00B603EC">
                      <w:pPr>
                        <w:pStyle w:val="ListParagraph"/>
                        <w:numPr>
                          <w:ilvl w:val="0"/>
                          <w:numId w:val="8"/>
                        </w:numPr>
                        <w:ind w:left="567" w:hanging="567"/>
                      </w:pPr>
                      <w:r>
                        <w:t xml:space="preserve">There are concerns about the capacity of mental health and addiction services to accommodate any rapid growth in Police referrals. </w:t>
                      </w:r>
                    </w:p>
                  </w:txbxContent>
                </v:textbox>
                <w10:wrap type="square" anchorx="margin"/>
              </v:shape>
            </w:pict>
          </mc:Fallback>
        </mc:AlternateContent>
      </w:r>
    </w:p>
    <w:p w14:paraId="3B19C233" w14:textId="77777777" w:rsidR="00432CDA" w:rsidRDefault="00432CDA">
      <w:pPr>
        <w:rPr>
          <w:rFonts w:asciiTheme="majorHAnsi" w:eastAsiaTheme="majorEastAsia" w:hAnsiTheme="majorHAnsi" w:cstheme="majorBidi"/>
          <w:color w:val="2F5496" w:themeColor="accent1" w:themeShade="BF"/>
          <w:sz w:val="32"/>
          <w:szCs w:val="32"/>
        </w:rPr>
      </w:pPr>
      <w:bookmarkStart w:id="237" w:name="_Toc75781203"/>
      <w:bookmarkStart w:id="238" w:name="_Toc75952916"/>
      <w:bookmarkStart w:id="239" w:name="_Hlk75772406"/>
      <w:r>
        <w:br w:type="page"/>
      </w:r>
    </w:p>
    <w:p w14:paraId="06E7A6C2" w14:textId="081C273B" w:rsidR="00805C48" w:rsidRDefault="00472A3C" w:rsidP="00E53A1D">
      <w:pPr>
        <w:pStyle w:val="Heading2"/>
      </w:pPr>
      <w:bookmarkStart w:id="240" w:name="_Toc78186482"/>
      <w:r>
        <w:lastRenderedPageBreak/>
        <w:t>DISCUSSION</w:t>
      </w:r>
      <w:bookmarkEnd w:id="236"/>
      <w:bookmarkEnd w:id="237"/>
      <w:bookmarkEnd w:id="238"/>
      <w:bookmarkEnd w:id="240"/>
      <w:r>
        <w:t xml:space="preserve"> </w:t>
      </w:r>
    </w:p>
    <w:p w14:paraId="5D998DFD" w14:textId="631F0019" w:rsidR="00EA7C3C" w:rsidRPr="00AD7531" w:rsidRDefault="00EA7C3C" w:rsidP="000D5E1B">
      <w:pPr>
        <w:pStyle w:val="Heading3"/>
      </w:pPr>
      <w:bookmarkStart w:id="241" w:name="_Toc75781204"/>
      <w:bookmarkStart w:id="242" w:name="_Toc75952917"/>
      <w:bookmarkStart w:id="243" w:name="_Toc78186483"/>
      <w:r w:rsidRPr="00AD7531">
        <w:t>Implementation</w:t>
      </w:r>
      <w:bookmarkEnd w:id="241"/>
      <w:bookmarkEnd w:id="242"/>
      <w:bookmarkEnd w:id="243"/>
      <w:r w:rsidRPr="00AD7531">
        <w:t xml:space="preserve"> </w:t>
      </w:r>
    </w:p>
    <w:p w14:paraId="05E641C5" w14:textId="5776363A" w:rsidR="00A2298E" w:rsidRDefault="00A2298E" w:rsidP="00A2298E">
      <w:pPr>
        <w:pStyle w:val="CommentText"/>
        <w:textAlignment w:val="baseline"/>
        <w:rPr>
          <w:rStyle w:val="normaltextrun1"/>
          <w:sz w:val="22"/>
          <w:szCs w:val="22"/>
        </w:rPr>
      </w:pPr>
      <w:r>
        <w:rPr>
          <w:rStyle w:val="normaltextrun1"/>
          <w:sz w:val="22"/>
          <w:szCs w:val="22"/>
        </w:rPr>
        <w:t>The implementation of the 2019 amendment involved two key aspects:</w:t>
      </w:r>
    </w:p>
    <w:p w14:paraId="6D75CB66" w14:textId="77777777" w:rsidR="00A2298E" w:rsidRPr="00FB4032" w:rsidRDefault="00A2298E"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Communications, updated guidance and instructions alerting officers to the changes and providing guidance on the health-based approach to decision-making, and how to make a referral</w:t>
      </w:r>
    </w:p>
    <w:p w14:paraId="5B090808" w14:textId="77777777" w:rsidR="00A2298E" w:rsidRPr="00FB4032" w:rsidRDefault="00A2298E"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FB4032">
        <w:rPr>
          <w:rStyle w:val="normaltextrun1"/>
          <w:rFonts w:ascii="Calibri" w:eastAsia="Times New Roman" w:hAnsi="Calibri" w:cs="Calibri"/>
          <w:sz w:val="22"/>
          <w:szCs w:val="22"/>
          <w:lang w:eastAsia="en-NZ"/>
        </w:rPr>
        <w:t xml:space="preserve">A new pathway for health-based referrals to the Alcohol Drug Helpline. </w:t>
      </w:r>
    </w:p>
    <w:p w14:paraId="0485FE0A" w14:textId="7E85D40C" w:rsidR="00A2298E" w:rsidRDefault="00A2298E" w:rsidP="00A2298E">
      <w:pPr>
        <w:pStyle w:val="CommentText"/>
        <w:textAlignment w:val="baseline"/>
        <w:rPr>
          <w:rStyle w:val="normaltextrun1"/>
          <w:sz w:val="22"/>
          <w:szCs w:val="22"/>
        </w:rPr>
      </w:pPr>
      <w:r>
        <w:rPr>
          <w:rStyle w:val="normaltextrun1"/>
          <w:sz w:val="22"/>
          <w:szCs w:val="22"/>
        </w:rPr>
        <w:t>It is clear from the data that there is awareness of the amendment and referral mechanisms.  Further research</w:t>
      </w:r>
      <w:r w:rsidR="00DE7721">
        <w:rPr>
          <w:rStyle w:val="normaltextrun1"/>
          <w:sz w:val="22"/>
          <w:szCs w:val="22"/>
        </w:rPr>
        <w:t xml:space="preserve"> </w:t>
      </w:r>
      <w:r w:rsidR="00FB4032">
        <w:rPr>
          <w:rStyle w:val="normaltextrun1"/>
          <w:sz w:val="22"/>
          <w:szCs w:val="22"/>
        </w:rPr>
        <w:t>for the final review</w:t>
      </w:r>
      <w:r>
        <w:rPr>
          <w:rStyle w:val="normaltextrun1"/>
          <w:sz w:val="22"/>
          <w:szCs w:val="22"/>
        </w:rPr>
        <w:t xml:space="preserve">, including interviews with frontline Police, </w:t>
      </w:r>
      <w:r w:rsidR="00FB4032">
        <w:rPr>
          <w:rStyle w:val="normaltextrun1"/>
          <w:sz w:val="22"/>
          <w:szCs w:val="22"/>
        </w:rPr>
        <w:t>is</w:t>
      </w:r>
      <w:r>
        <w:rPr>
          <w:rStyle w:val="normaltextrun1"/>
          <w:sz w:val="22"/>
          <w:szCs w:val="22"/>
        </w:rPr>
        <w:t xml:space="preserve"> required to illustrate the extent to which Police are aware of and comfortable using the MoDA referral pathway, and how this varies region to region. Police do have other alternatives for referral (including AWHI) that are complementary to this approach and where direct access to a provider might be preferred by the person in contact with the Police.</w:t>
      </w:r>
    </w:p>
    <w:p w14:paraId="49055E4F" w14:textId="77777777" w:rsidR="00054E87" w:rsidRPr="003E567E" w:rsidRDefault="00054E87" w:rsidP="00054E87">
      <w:pPr>
        <w:pStyle w:val="Heading3"/>
      </w:pPr>
      <w:bookmarkStart w:id="244" w:name="_Toc75781205"/>
      <w:bookmarkStart w:id="245" w:name="_Toc75952918"/>
      <w:bookmarkStart w:id="246" w:name="_Toc78186484"/>
      <w:r w:rsidRPr="003E567E">
        <w:t>Further work is needed to support the implementation of a health-based approach</w:t>
      </w:r>
      <w:bookmarkEnd w:id="244"/>
      <w:bookmarkEnd w:id="245"/>
      <w:bookmarkEnd w:id="246"/>
      <w:r w:rsidRPr="003E567E">
        <w:t xml:space="preserve"> </w:t>
      </w:r>
    </w:p>
    <w:p w14:paraId="6DFFCF6B" w14:textId="288757F1" w:rsidR="00054E87" w:rsidRDefault="00054E87" w:rsidP="00054E87">
      <w:r>
        <w:t>We note that there are differences among stakeholders consulted in this review of the conceptualisation, understanding and interpretation of “health-based approaches”.  A health-based approach is far broader than a referral to a health service and would extend to many of the other actions Police are taking to address the risk factors for and drivers of offending behaviour</w:t>
      </w:r>
      <w:r w:rsidR="008263E3" w:rsidRPr="00E6334A">
        <w:t>, as well as the social sector responses that impact drug use and offending</w:t>
      </w:r>
      <w:r>
        <w:t xml:space="preserve">.  </w:t>
      </w:r>
    </w:p>
    <w:p w14:paraId="09C52A18" w14:textId="532096D3" w:rsidR="00054E87" w:rsidRPr="006D6A53" w:rsidRDefault="00054E87" w:rsidP="00054E87">
      <w:r w:rsidRPr="006D6A53">
        <w:t xml:space="preserve">A shared understanding across the government sector on what a ‘health-based’ approach </w:t>
      </w:r>
      <w:r>
        <w:t xml:space="preserve">can and does include </w:t>
      </w:r>
      <w:r w:rsidRPr="006D6A53">
        <w:t xml:space="preserve">would certainly reduce uncertainty and improve consistency across the country. </w:t>
      </w:r>
      <w:r>
        <w:t xml:space="preserve">Variations in understanding and approach can be a barrier to innovation and may inhibit referrals to and benefits from health and other supports.  </w:t>
      </w:r>
      <w:r w:rsidRPr="006D6A53">
        <w:t xml:space="preserve">There is </w:t>
      </w:r>
      <w:r>
        <w:t>general</w:t>
      </w:r>
      <w:r w:rsidRPr="006D6A53">
        <w:t xml:space="preserve"> agreement across agencies that work is needed on shared definitions, and that there would be significant value in developing a strategic framework for the Government’s health-based approach to personal drug use. This would enable a consistent view across the justice and social sectors about what a health-based approach looks like.</w:t>
      </w:r>
      <w:r>
        <w:t xml:space="preserve">  </w:t>
      </w:r>
    </w:p>
    <w:p w14:paraId="6BEC95AF" w14:textId="3F1292BF" w:rsidR="00054E87" w:rsidRPr="006D6A53" w:rsidRDefault="00054E87" w:rsidP="00054E87">
      <w:r>
        <w:t xml:space="preserve">A cross-sector strategic framework for a health-based approach to personal drug use </w:t>
      </w:r>
      <w:r w:rsidRPr="006D6A53">
        <w:t xml:space="preserve">would also provide a basis for agencies, the sector and communities to align our approaches and resources in this space to achieve the best outcomes for our communities. </w:t>
      </w:r>
    </w:p>
    <w:p w14:paraId="6E3758E7" w14:textId="77777777" w:rsidR="00054E87" w:rsidRDefault="00054E87" w:rsidP="00054E87">
      <w:pPr>
        <w:autoSpaceDE w:val="0"/>
        <w:autoSpaceDN w:val="0"/>
        <w:adjustRightInd w:val="0"/>
        <w:spacing w:after="0" w:line="240" w:lineRule="auto"/>
        <w:rPr>
          <w:rFonts w:eastAsia="Calibri"/>
          <w:color w:val="000000" w:themeColor="text1"/>
        </w:rPr>
      </w:pPr>
      <w:r>
        <w:rPr>
          <w:rFonts w:eastAsia="Calibri"/>
          <w:color w:val="000000" w:themeColor="text1"/>
        </w:rPr>
        <w:t>We note t</w:t>
      </w:r>
      <w:r w:rsidRPr="004D7635">
        <w:rPr>
          <w:rFonts w:eastAsia="Calibri"/>
          <w:color w:val="000000" w:themeColor="text1"/>
        </w:rPr>
        <w:t xml:space="preserve">he Ministry </w:t>
      </w:r>
      <w:r>
        <w:rPr>
          <w:rFonts w:eastAsia="Calibri"/>
          <w:color w:val="000000" w:themeColor="text1"/>
        </w:rPr>
        <w:t>of Health</w:t>
      </w:r>
      <w:r w:rsidRPr="004D7635">
        <w:rPr>
          <w:rFonts w:eastAsia="Calibri"/>
          <w:color w:val="000000" w:themeColor="text1"/>
        </w:rPr>
        <w:t xml:space="preserve"> continues to scope opportunities within current legislative settings and work programmes to implement a holistic health approach to </w:t>
      </w:r>
      <w:r>
        <w:rPr>
          <w:rFonts w:eastAsia="Calibri"/>
          <w:color w:val="000000" w:themeColor="text1"/>
        </w:rPr>
        <w:t xml:space="preserve">reducing </w:t>
      </w:r>
      <w:r w:rsidRPr="004D7635">
        <w:rPr>
          <w:rFonts w:eastAsia="Calibri"/>
          <w:color w:val="000000" w:themeColor="text1"/>
        </w:rPr>
        <w:t xml:space="preserve">drug harm across government. </w:t>
      </w:r>
      <w:r>
        <w:rPr>
          <w:rFonts w:eastAsia="Calibri"/>
          <w:color w:val="000000" w:themeColor="text1"/>
        </w:rPr>
        <w:t xml:space="preserve"> </w:t>
      </w:r>
      <w:r w:rsidRPr="004D7635">
        <w:rPr>
          <w:rFonts w:eastAsia="Calibri"/>
          <w:color w:val="000000" w:themeColor="text1"/>
        </w:rPr>
        <w:t xml:space="preserve">While this work is </w:t>
      </w:r>
      <w:r>
        <w:rPr>
          <w:rFonts w:eastAsia="Calibri"/>
          <w:color w:val="000000" w:themeColor="text1"/>
        </w:rPr>
        <w:t xml:space="preserve">currently </w:t>
      </w:r>
      <w:r w:rsidRPr="004D7635">
        <w:rPr>
          <w:rFonts w:eastAsia="Calibri"/>
          <w:color w:val="000000" w:themeColor="text1"/>
        </w:rPr>
        <w:t>being conducted by the Ministry, it incorporates cross-agency work</w:t>
      </w:r>
      <w:r>
        <w:rPr>
          <w:rFonts w:eastAsia="Calibri"/>
          <w:color w:val="000000" w:themeColor="text1"/>
        </w:rPr>
        <w:t>. This includes</w:t>
      </w:r>
      <w:r w:rsidRPr="004D7635">
        <w:rPr>
          <w:rFonts w:eastAsia="Calibri"/>
          <w:color w:val="000000" w:themeColor="text1"/>
        </w:rPr>
        <w:t xml:space="preserve"> </w:t>
      </w:r>
      <w:r>
        <w:rPr>
          <w:rFonts w:eastAsia="Calibri"/>
          <w:color w:val="000000" w:themeColor="text1"/>
        </w:rPr>
        <w:t>the development of harm reduction services such as</w:t>
      </w:r>
      <w:r w:rsidRPr="004D7635">
        <w:rPr>
          <w:rFonts w:eastAsia="Calibri"/>
          <w:color w:val="000000" w:themeColor="text1"/>
        </w:rPr>
        <w:t xml:space="preserve"> a licensing regime for drug checking </w:t>
      </w:r>
      <w:r>
        <w:rPr>
          <w:rFonts w:eastAsia="Calibri"/>
          <w:color w:val="000000" w:themeColor="text1"/>
        </w:rPr>
        <w:t xml:space="preserve">services </w:t>
      </w:r>
      <w:r w:rsidRPr="004D7635">
        <w:rPr>
          <w:rFonts w:eastAsia="Calibri"/>
          <w:color w:val="000000" w:themeColor="text1"/>
        </w:rPr>
        <w:t xml:space="preserve">and </w:t>
      </w:r>
      <w:r>
        <w:rPr>
          <w:rFonts w:eastAsia="Calibri"/>
          <w:color w:val="000000" w:themeColor="text1"/>
        </w:rPr>
        <w:t>an early warning notification</w:t>
      </w:r>
      <w:r w:rsidRPr="004D7635">
        <w:rPr>
          <w:rFonts w:eastAsia="Calibri"/>
          <w:color w:val="000000" w:themeColor="text1"/>
        </w:rPr>
        <w:t xml:space="preserve"> website, High Alert.</w:t>
      </w:r>
      <w:r w:rsidRPr="005A13A8">
        <w:rPr>
          <w:rFonts w:eastAsia="Calibri"/>
          <w:color w:val="000000" w:themeColor="text1"/>
        </w:rPr>
        <w:t xml:space="preserve"> </w:t>
      </w:r>
    </w:p>
    <w:p w14:paraId="5C5A7959" w14:textId="77777777" w:rsidR="00054E87" w:rsidRDefault="00054E87" w:rsidP="00054E87">
      <w:pPr>
        <w:autoSpaceDE w:val="0"/>
        <w:autoSpaceDN w:val="0"/>
        <w:adjustRightInd w:val="0"/>
        <w:spacing w:after="0" w:line="240" w:lineRule="auto"/>
        <w:rPr>
          <w:rFonts w:eastAsia="Calibri"/>
          <w:color w:val="000000" w:themeColor="text1"/>
        </w:rPr>
      </w:pPr>
    </w:p>
    <w:p w14:paraId="15EE26AC" w14:textId="2A42DE89" w:rsidR="00054E87" w:rsidRDefault="00054E87" w:rsidP="00054E87">
      <w:pPr>
        <w:autoSpaceDE w:val="0"/>
        <w:autoSpaceDN w:val="0"/>
        <w:adjustRightInd w:val="0"/>
        <w:spacing w:after="0" w:line="240" w:lineRule="auto"/>
        <w:rPr>
          <w:color w:val="000000" w:themeColor="text1"/>
        </w:rPr>
      </w:pPr>
      <w:r>
        <w:rPr>
          <w:rFonts w:eastAsia="Calibri"/>
          <w:color w:val="000000" w:themeColor="text1"/>
        </w:rPr>
        <w:t xml:space="preserve">Several stakeholders commented on </w:t>
      </w:r>
      <w:r w:rsidR="3342F641" w:rsidRPr="788826BF">
        <w:rPr>
          <w:rFonts w:eastAsia="Calibri"/>
          <w:color w:val="000000" w:themeColor="text1"/>
        </w:rPr>
        <w:t>MoDA</w:t>
      </w:r>
      <w:r>
        <w:rPr>
          <w:rFonts w:eastAsia="Calibri"/>
          <w:color w:val="000000" w:themeColor="text1"/>
        </w:rPr>
        <w:t xml:space="preserve"> being out of date and not aligned with a health-based approach to personal drug use. The Ministry of Health took this into consideration in the development of </w:t>
      </w:r>
      <w:r w:rsidRPr="00B018F6">
        <w:rPr>
          <w:color w:val="000000" w:themeColor="text1"/>
        </w:rPr>
        <w:t>Kia Manawanui: the long</w:t>
      </w:r>
      <w:r w:rsidR="007E494C">
        <w:rPr>
          <w:color w:val="000000" w:themeColor="text1"/>
        </w:rPr>
        <w:t>-</w:t>
      </w:r>
      <w:r w:rsidRPr="00B018F6">
        <w:rPr>
          <w:color w:val="000000" w:themeColor="text1"/>
        </w:rPr>
        <w:t>term pathway to mental wellbeing 2021</w:t>
      </w:r>
      <w:r>
        <w:rPr>
          <w:color w:val="000000" w:themeColor="text1"/>
        </w:rPr>
        <w:t xml:space="preserve">.  </w:t>
      </w:r>
    </w:p>
    <w:p w14:paraId="4AF58BEA" w14:textId="77777777" w:rsidR="00054E87" w:rsidRDefault="00054E87" w:rsidP="009D4A9E">
      <w:pPr>
        <w:spacing w:after="0"/>
        <w:rPr>
          <w:rStyle w:val="normaltextrun1"/>
        </w:rPr>
      </w:pPr>
    </w:p>
    <w:p w14:paraId="0ED00550" w14:textId="648D21E5" w:rsidR="00357C86" w:rsidRDefault="009612B7" w:rsidP="009D4A9E">
      <w:pPr>
        <w:spacing w:after="0"/>
        <w:rPr>
          <w:rStyle w:val="normaltextrun1"/>
        </w:rPr>
      </w:pPr>
      <w:r>
        <w:rPr>
          <w:rStyle w:val="normaltextrun1"/>
        </w:rPr>
        <w:t>T</w:t>
      </w:r>
      <w:r w:rsidR="00C7558A">
        <w:rPr>
          <w:rStyle w:val="normaltextrun1"/>
        </w:rPr>
        <w:t>here would be benefit in developing a cross-agency framewor</w:t>
      </w:r>
      <w:r w:rsidR="00663E82">
        <w:rPr>
          <w:rStyle w:val="normaltextrun1"/>
        </w:rPr>
        <w:t>k to support implementation</w:t>
      </w:r>
      <w:r w:rsidR="000002F6">
        <w:rPr>
          <w:rStyle w:val="normaltextrun1"/>
        </w:rPr>
        <w:t xml:space="preserve"> or a health</w:t>
      </w:r>
      <w:r w:rsidR="007050EA">
        <w:rPr>
          <w:rStyle w:val="normaltextrun1"/>
        </w:rPr>
        <w:t>-based approach</w:t>
      </w:r>
      <w:r w:rsidR="008D408A">
        <w:rPr>
          <w:rStyle w:val="normaltextrun1"/>
        </w:rPr>
        <w:t xml:space="preserve">. </w:t>
      </w:r>
      <w:r w:rsidR="0089702F">
        <w:rPr>
          <w:rStyle w:val="normaltextrun1"/>
        </w:rPr>
        <w:t xml:space="preserve">This </w:t>
      </w:r>
      <w:r w:rsidR="00E12DFC">
        <w:rPr>
          <w:rStyle w:val="normaltextrun1"/>
        </w:rPr>
        <w:t xml:space="preserve">framework </w:t>
      </w:r>
      <w:r w:rsidR="007C1CE5">
        <w:rPr>
          <w:rStyle w:val="normaltextrun1"/>
        </w:rPr>
        <w:t>could consider</w:t>
      </w:r>
      <w:r w:rsidR="00357C86">
        <w:rPr>
          <w:rStyle w:val="normaltextrun1"/>
        </w:rPr>
        <w:t>:</w:t>
      </w:r>
    </w:p>
    <w:p w14:paraId="73C178F0" w14:textId="7A8D0399" w:rsidR="00217DAC" w:rsidRPr="00D675C4" w:rsidRDefault="00217DAC"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D675C4">
        <w:rPr>
          <w:rStyle w:val="normaltextrun1"/>
          <w:rFonts w:ascii="Calibri" w:eastAsia="Times New Roman" w:hAnsi="Calibri" w:cs="Calibri"/>
          <w:sz w:val="22"/>
          <w:szCs w:val="22"/>
          <w:lang w:eastAsia="en-NZ"/>
        </w:rPr>
        <w:lastRenderedPageBreak/>
        <w:t xml:space="preserve">strategic partnerships and holistic approaches that recognise the health, social, environmental and other factors connected with harmful drug use and can deliver improved equity </w:t>
      </w:r>
    </w:p>
    <w:p w14:paraId="6049723E" w14:textId="77777777" w:rsidR="00217DAC" w:rsidRPr="00D675C4" w:rsidRDefault="00217DAC"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D675C4">
        <w:rPr>
          <w:rStyle w:val="normaltextrun1"/>
          <w:rFonts w:ascii="Calibri" w:eastAsia="Times New Roman" w:hAnsi="Calibri" w:cs="Calibri"/>
          <w:sz w:val="22"/>
          <w:szCs w:val="22"/>
          <w:lang w:eastAsia="en-NZ"/>
        </w:rPr>
        <w:t>how best to implement the principles of Te Tiriti o Waitangi</w:t>
      </w:r>
    </w:p>
    <w:p w14:paraId="7CB09374" w14:textId="77777777" w:rsidR="00217DAC" w:rsidRPr="00D675C4" w:rsidRDefault="00217DAC"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D675C4">
        <w:rPr>
          <w:rStyle w:val="normaltextrun1"/>
          <w:rFonts w:ascii="Calibri" w:eastAsia="Times New Roman" w:hAnsi="Calibri" w:cs="Calibri"/>
          <w:sz w:val="22"/>
          <w:szCs w:val="22"/>
          <w:lang w:eastAsia="en-NZ"/>
        </w:rPr>
        <w:t>innovative, safe, effective and sustainable referrals and service provision</w:t>
      </w:r>
    </w:p>
    <w:p w14:paraId="02B8667C" w14:textId="7DA3760A" w:rsidR="00357C86" w:rsidRPr="00D675C4" w:rsidRDefault="00217DAC" w:rsidP="00B603EC">
      <w:pPr>
        <w:pStyle w:val="CommentText"/>
        <w:numPr>
          <w:ilvl w:val="0"/>
          <w:numId w:val="7"/>
        </w:numPr>
        <w:spacing w:after="0"/>
        <w:ind w:hanging="720"/>
        <w:textAlignment w:val="baseline"/>
        <w:rPr>
          <w:rStyle w:val="normaltextrun1"/>
          <w:rFonts w:ascii="Calibri" w:eastAsia="Times New Roman" w:hAnsi="Calibri" w:cs="Calibri"/>
          <w:sz w:val="22"/>
          <w:szCs w:val="22"/>
          <w:lang w:eastAsia="en-NZ"/>
        </w:rPr>
      </w:pPr>
      <w:r w:rsidRPr="00D675C4">
        <w:rPr>
          <w:rStyle w:val="normaltextrun1"/>
          <w:rFonts w:ascii="Calibri" w:eastAsia="Times New Roman" w:hAnsi="Calibri" w:cs="Calibri"/>
          <w:sz w:val="22"/>
          <w:szCs w:val="22"/>
          <w:lang w:eastAsia="en-NZ"/>
        </w:rPr>
        <w:t>the implementation of Kia Manawanui</w:t>
      </w:r>
      <w:r w:rsidR="001951E2">
        <w:rPr>
          <w:rStyle w:val="normaltextrun1"/>
          <w:rFonts w:ascii="Calibri" w:eastAsia="Times New Roman" w:hAnsi="Calibri" w:cs="Calibri"/>
          <w:sz w:val="22"/>
          <w:szCs w:val="22"/>
          <w:lang w:eastAsia="en-NZ"/>
        </w:rPr>
        <w:t xml:space="preserve"> and associated service improvement plans</w:t>
      </w:r>
    </w:p>
    <w:p w14:paraId="1F734AFF" w14:textId="67BAC22F" w:rsidR="008D408A" w:rsidRPr="00357C86" w:rsidRDefault="00217DAC" w:rsidP="00B603EC">
      <w:pPr>
        <w:pStyle w:val="CommentText"/>
        <w:numPr>
          <w:ilvl w:val="0"/>
          <w:numId w:val="7"/>
        </w:numPr>
        <w:ind w:hanging="720"/>
        <w:textAlignment w:val="baseline"/>
        <w:rPr>
          <w:rStyle w:val="normaltextrun1"/>
        </w:rPr>
      </w:pPr>
      <w:r w:rsidRPr="00D675C4">
        <w:rPr>
          <w:rStyle w:val="normaltextrun1"/>
          <w:rFonts w:ascii="Calibri" w:eastAsia="Times New Roman" w:hAnsi="Calibri" w:cs="Calibri"/>
          <w:sz w:val="22"/>
          <w:szCs w:val="22"/>
          <w:lang w:eastAsia="en-NZ"/>
        </w:rPr>
        <w:t>a monitoring and evaluation process across the whole system so that all involved can regularly assess, learn and improve on the health-based approach</w:t>
      </w:r>
      <w:r>
        <w:t>.</w:t>
      </w:r>
    </w:p>
    <w:p w14:paraId="5D61D6EE" w14:textId="2EAEE235" w:rsidR="00A31D3B" w:rsidRDefault="002D3E58" w:rsidP="002D3E58">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This framework would support </w:t>
      </w:r>
      <w:r w:rsidR="00A31D3B">
        <w:rPr>
          <w:rStyle w:val="normaltextrun1"/>
          <w:rFonts w:ascii="Calibri" w:eastAsia="Times New Roman" w:hAnsi="Calibri" w:cs="Calibri"/>
          <w:sz w:val="22"/>
          <w:szCs w:val="22"/>
          <w:lang w:eastAsia="en-NZ"/>
        </w:rPr>
        <w:t xml:space="preserve">Police </w:t>
      </w:r>
      <w:r w:rsidR="00A31D3B" w:rsidDel="002D3E58">
        <w:rPr>
          <w:rStyle w:val="normaltextrun1"/>
          <w:rFonts w:ascii="Calibri" w:eastAsia="Times New Roman" w:hAnsi="Calibri" w:cs="Calibri"/>
          <w:sz w:val="22"/>
          <w:szCs w:val="22"/>
          <w:lang w:eastAsia="en-NZ"/>
        </w:rPr>
        <w:t xml:space="preserve">to </w:t>
      </w:r>
      <w:r w:rsidR="00A31D3B">
        <w:rPr>
          <w:rStyle w:val="normaltextrun1"/>
          <w:rFonts w:ascii="Calibri" w:eastAsia="Times New Roman" w:hAnsi="Calibri" w:cs="Calibri"/>
          <w:sz w:val="22"/>
          <w:szCs w:val="22"/>
          <w:lang w:eastAsia="en-NZ"/>
        </w:rPr>
        <w:t>easily refer people to the mental health and addiction system which in turn needs to have capacity and processes in place to support the people who need help.</w:t>
      </w:r>
    </w:p>
    <w:p w14:paraId="45DCF727" w14:textId="1348EC03" w:rsidR="00446500" w:rsidRPr="006D0127" w:rsidRDefault="00DA1F22" w:rsidP="000D5E1B">
      <w:pPr>
        <w:pStyle w:val="Heading3"/>
      </w:pPr>
      <w:bookmarkStart w:id="247" w:name="_Toc75781206"/>
      <w:bookmarkStart w:id="248" w:name="_Toc75952919"/>
      <w:bookmarkStart w:id="249" w:name="_Toc78186485"/>
      <w:r w:rsidRPr="00A2298E">
        <w:t>Ongoing changes in the justice system’s treatment of drugs for personal</w:t>
      </w:r>
      <w:r w:rsidRPr="006D0127">
        <w:t xml:space="preserve"> use</w:t>
      </w:r>
      <w:bookmarkEnd w:id="247"/>
      <w:bookmarkEnd w:id="248"/>
      <w:bookmarkEnd w:id="249"/>
      <w:r w:rsidRPr="006D0127">
        <w:t xml:space="preserve"> </w:t>
      </w:r>
    </w:p>
    <w:p w14:paraId="6836CB4A" w14:textId="5249B839" w:rsidR="00563791" w:rsidRPr="006D0127" w:rsidRDefault="00563791" w:rsidP="000D5E1B">
      <w:pPr>
        <w:pStyle w:val="Heading4"/>
      </w:pPr>
      <w:r w:rsidRPr="006D0127">
        <w:t>Role and contribution of the Police</w:t>
      </w:r>
    </w:p>
    <w:p w14:paraId="093CDED8" w14:textId="7D9448FD" w:rsidR="005E1DD6" w:rsidRDefault="007B27B2" w:rsidP="007B27B2">
      <w:pPr>
        <w:rPr>
          <w:bCs/>
        </w:rPr>
      </w:pPr>
      <w:r>
        <w:t xml:space="preserve">The </w:t>
      </w:r>
      <w:r>
        <w:rPr>
          <w:bCs/>
        </w:rPr>
        <w:t>Police role has been evolving for some time to better support a health-based approach and a reduction in harm from entry into the justice system</w:t>
      </w:r>
      <w:r>
        <w:rPr>
          <w:b/>
          <w:bCs/>
        </w:rPr>
        <w:t>.</w:t>
      </w:r>
      <w:r>
        <w:t xml:space="preserve"> </w:t>
      </w:r>
      <w:r>
        <w:rPr>
          <w:bCs/>
        </w:rPr>
        <w:t>When an individual is identified with personal possession</w:t>
      </w:r>
      <w:r w:rsidR="001C5028">
        <w:rPr>
          <w:bCs/>
        </w:rPr>
        <w:t xml:space="preserve"> and </w:t>
      </w:r>
      <w:r>
        <w:rPr>
          <w:bCs/>
        </w:rPr>
        <w:t xml:space="preserve">use of drugs the Police decide whether it is in the public interest to prosecute or to use a non-Court resolution. The Police Prevention First operating model encourages an approach that focus on crime prevention and harm reduction. The Reframe work programme focusses on harm prevention and use of supported resolutions. </w:t>
      </w:r>
    </w:p>
    <w:p w14:paraId="4B00432A" w14:textId="4CEBD791" w:rsidR="00FB4460" w:rsidRDefault="007B27B2" w:rsidP="0020600A">
      <w:r>
        <w:rPr>
          <w:bCs/>
        </w:rPr>
        <w:t>Police are well grounded in use of non-court action for personal drug offending and this is reflected in the data which shows that the majority of individuals receive non-Court action and since the 2019 amendment has continued trend upwards.</w:t>
      </w:r>
      <w:r w:rsidR="005E1DD6">
        <w:rPr>
          <w:bCs/>
        </w:rPr>
        <w:t xml:space="preserve"> </w:t>
      </w:r>
      <w:r w:rsidR="00FB4460">
        <w:t xml:space="preserve">This change enables the Court to focus more on cases involving community harm and is viewed positively by members of the judiciary.  </w:t>
      </w:r>
    </w:p>
    <w:p w14:paraId="44C07860" w14:textId="3D33F514" w:rsidR="00497D6D" w:rsidRDefault="00BC47AD" w:rsidP="0020600A">
      <w:r>
        <w:rPr>
          <w:bCs/>
        </w:rPr>
        <w:t xml:space="preserve">The </w:t>
      </w:r>
      <w:r w:rsidR="00497D6D" w:rsidRPr="00BD4D8B">
        <w:rPr>
          <w:bCs/>
        </w:rPr>
        <w:t>Prevention First approach</w:t>
      </w:r>
      <w:r w:rsidR="009849A8" w:rsidRPr="00BD4D8B">
        <w:rPr>
          <w:bCs/>
        </w:rPr>
        <w:t xml:space="preserve"> could be considered a health-based approach</w:t>
      </w:r>
      <w:r w:rsidR="009849A8" w:rsidRPr="0020600A">
        <w:rPr>
          <w:b/>
        </w:rPr>
        <w:t xml:space="preserve">.  </w:t>
      </w:r>
      <w:r w:rsidR="007863BC">
        <w:t>This approach</w:t>
      </w:r>
      <w:r w:rsidR="00497D6D">
        <w:t xml:space="preserve"> involves dealing with the drivers, or “risk factors” for illegal behaviour </w:t>
      </w:r>
      <w:r w:rsidR="007863BC">
        <w:t>including</w:t>
      </w:r>
      <w:r w:rsidR="00497D6D">
        <w:t xml:space="preserve"> harmful drug use</w:t>
      </w:r>
      <w:r w:rsidR="007863BC">
        <w:t xml:space="preserve">. </w:t>
      </w:r>
      <w:r w:rsidR="00F449CB">
        <w:t>H</w:t>
      </w:r>
      <w:r w:rsidR="00497D6D">
        <w:t>ealth-based approach</w:t>
      </w:r>
      <w:r w:rsidR="00F449CB">
        <w:t xml:space="preserve">es </w:t>
      </w:r>
      <w:r w:rsidR="00B179F9">
        <w:t>include</w:t>
      </w:r>
      <w:r w:rsidR="00497D6D">
        <w:t xml:space="preserve"> more than </w:t>
      </w:r>
      <w:r w:rsidR="00B179F9">
        <w:t xml:space="preserve">only </w:t>
      </w:r>
      <w:r w:rsidR="00497D6D">
        <w:t>referral</w:t>
      </w:r>
      <w:r w:rsidR="00B179F9">
        <w:t>s</w:t>
      </w:r>
      <w:r w:rsidR="00497D6D">
        <w:t xml:space="preserve"> to drug counselling and treatment programmes.   </w:t>
      </w:r>
      <w:r w:rsidR="0020600A">
        <w:t>The AWHI initiative, which looks at all drivers for behaviour, is most aligned with a health-based approach</w:t>
      </w:r>
      <w:r w:rsidR="004D00FB">
        <w:t>.</w:t>
      </w:r>
    </w:p>
    <w:p w14:paraId="08F92BE0" w14:textId="384FCCA7" w:rsidR="008A7D0C" w:rsidRDefault="008A7D0C" w:rsidP="008A7D0C">
      <w:pPr>
        <w:rPr>
          <w:bCs/>
        </w:rPr>
      </w:pPr>
      <w:r w:rsidRPr="00E6334A">
        <w:t xml:space="preserve">However, Police use of supported resolutions won’t be </w:t>
      </w:r>
      <w:r w:rsidR="00CD6B68">
        <w:rPr>
          <w:bCs/>
        </w:rPr>
        <w:t xml:space="preserve">as </w:t>
      </w:r>
      <w:r w:rsidRPr="00E6334A">
        <w:t xml:space="preserve">effective </w:t>
      </w:r>
      <w:r w:rsidR="00CD6B68">
        <w:rPr>
          <w:bCs/>
        </w:rPr>
        <w:t xml:space="preserve">as it could be </w:t>
      </w:r>
      <w:r w:rsidRPr="00E6334A">
        <w:t>in addressing drug harm if there is not an adequate health response to refer people into.</w:t>
      </w:r>
      <w:r>
        <w:rPr>
          <w:bCs/>
        </w:rPr>
        <w:t xml:space="preserve"> </w:t>
      </w:r>
    </w:p>
    <w:p w14:paraId="1B40A9EC" w14:textId="72F9F7B6" w:rsidR="00AF2C33" w:rsidRDefault="00AF2C33" w:rsidP="004D00FB">
      <w:r>
        <w:t xml:space="preserve">We </w:t>
      </w:r>
      <w:r w:rsidR="00B13317">
        <w:t xml:space="preserve">have heard </w:t>
      </w:r>
      <w:r w:rsidR="00497D6D">
        <w:t xml:space="preserve">from multiple sources that there is a </w:t>
      </w:r>
      <w:r w:rsidR="000D03BB">
        <w:t xml:space="preserve">noticeable </w:t>
      </w:r>
      <w:r w:rsidR="000C7503" w:rsidRPr="00BD4D8B">
        <w:rPr>
          <w:bCs/>
        </w:rPr>
        <w:t xml:space="preserve">culture shift in </w:t>
      </w:r>
      <w:r w:rsidR="00E27D5B" w:rsidRPr="00BD4D8B">
        <w:rPr>
          <w:bCs/>
        </w:rPr>
        <w:t>frontline policing</w:t>
      </w:r>
      <w:r w:rsidR="00497D6D">
        <w:t>, and that s</w:t>
      </w:r>
      <w:r w:rsidR="00294349">
        <w:t>trong leadership is instrumental to these changes</w:t>
      </w:r>
      <w:r>
        <w:t>. Due to time constraints, we are unable to investigate the nature, pace or consistency</w:t>
      </w:r>
      <w:r w:rsidR="000C195F">
        <w:t xml:space="preserve">.  </w:t>
      </w:r>
      <w:r w:rsidR="000C195F" w:rsidRPr="004D00FB">
        <w:t xml:space="preserve">We are not able to tell how consistent this is across regions.  </w:t>
      </w:r>
    </w:p>
    <w:p w14:paraId="1FB36467" w14:textId="17B0757C" w:rsidR="00056CD4" w:rsidRDefault="00AF2C33" w:rsidP="00056CD4">
      <w:r>
        <w:t xml:space="preserve">The data does show inconsistencies across Police Districts in the use of non-court interventions for </w:t>
      </w:r>
      <w:r w:rsidR="00427C77">
        <w:t xml:space="preserve">personal </w:t>
      </w:r>
      <w:r>
        <w:t xml:space="preserve">possession and use </w:t>
      </w:r>
      <w:r w:rsidR="00FD1442">
        <w:t>of drugs. The reasons for this are unclear</w:t>
      </w:r>
      <w:r w:rsidR="00020C9B" w:rsidRPr="00E6334A">
        <w:t>, the timeframe since the amendments came into effect is short and the data is not statistically significant</w:t>
      </w:r>
      <w:r w:rsidR="00FD1442">
        <w:t xml:space="preserve">. </w:t>
      </w:r>
      <w:r w:rsidR="004D00FB">
        <w:t>This is an area that could be further investigated for the final review in 2024.</w:t>
      </w:r>
      <w:r w:rsidR="00056CD4">
        <w:t xml:space="preserve">  In addition, Police will consider how it can share with Districts ongoing data to support their decision</w:t>
      </w:r>
      <w:r w:rsidR="00993649">
        <w:t>-</w:t>
      </w:r>
      <w:r w:rsidR="00056CD4">
        <w:t>making.</w:t>
      </w:r>
    </w:p>
    <w:p w14:paraId="6C6B7E84" w14:textId="598C7555" w:rsidR="003A2461" w:rsidRPr="003A2461" w:rsidRDefault="003A2461" w:rsidP="000D5E1B">
      <w:pPr>
        <w:pStyle w:val="Heading4"/>
        <w:rPr>
          <w:rFonts w:ascii="Calibri" w:eastAsia="Times New Roman" w:hAnsi="Calibri" w:cs="Calibri"/>
          <w:i/>
          <w:color w:val="000000"/>
          <w:lang w:eastAsia="en-NZ"/>
        </w:rPr>
      </w:pPr>
      <w:bookmarkStart w:id="250" w:name="_Hlk75515992"/>
      <w:r w:rsidRPr="003A2461">
        <w:rPr>
          <w:lang w:eastAsia="en-NZ"/>
        </w:rPr>
        <w:t xml:space="preserve">Changes in non-court proceedings </w:t>
      </w:r>
    </w:p>
    <w:p w14:paraId="5E990840" w14:textId="7CA103E8" w:rsidR="004D00FB" w:rsidRDefault="004D00FB" w:rsidP="003A2461">
      <w:pPr>
        <w:spacing w:line="256" w:lineRule="auto"/>
      </w:pPr>
      <w:r>
        <w:t>Police prosecutions</w:t>
      </w:r>
      <w:r w:rsidR="004E06C6">
        <w:t xml:space="preserve"> are not expected</w:t>
      </w:r>
      <w:r>
        <w:t xml:space="preserve"> to fall to zero</w:t>
      </w:r>
      <w:r w:rsidR="004E06C6">
        <w:t xml:space="preserve"> </w:t>
      </w:r>
      <w:r w:rsidRPr="788826BF">
        <w:rPr>
          <w:rFonts w:ascii="Calibri" w:eastAsia="Times New Roman" w:hAnsi="Calibri" w:cs="Calibri"/>
          <w:color w:val="000000" w:themeColor="text1"/>
          <w:lang w:eastAsia="en-NZ"/>
        </w:rPr>
        <w:t>under the current MoDA</w:t>
      </w:r>
      <w:r w:rsidR="004E06C6">
        <w:rPr>
          <w:rFonts w:ascii="Calibri" w:eastAsia="Times New Roman" w:hAnsi="Calibri" w:cs="Calibri"/>
          <w:color w:val="000000" w:themeColor="text1"/>
          <w:lang w:eastAsia="en-NZ"/>
        </w:rPr>
        <w:t>,</w:t>
      </w:r>
      <w:r w:rsidRPr="788826BF">
        <w:rPr>
          <w:rFonts w:ascii="Calibri" w:eastAsia="Times New Roman" w:hAnsi="Calibri" w:cs="Calibri"/>
          <w:color w:val="000000" w:themeColor="text1"/>
          <w:lang w:eastAsia="en-NZ"/>
        </w:rPr>
        <w:t xml:space="preserve"> </w:t>
      </w:r>
      <w:r w:rsidR="7C5CC59A" w:rsidRPr="788826BF">
        <w:rPr>
          <w:rFonts w:ascii="Calibri" w:eastAsia="Times New Roman" w:hAnsi="Calibri" w:cs="Calibri"/>
          <w:color w:val="000000" w:themeColor="text1"/>
          <w:lang w:eastAsia="en-NZ"/>
        </w:rPr>
        <w:t xml:space="preserve">as </w:t>
      </w:r>
      <w:r w:rsidRPr="788826BF">
        <w:rPr>
          <w:rFonts w:ascii="Calibri" w:eastAsia="Times New Roman" w:hAnsi="Calibri" w:cs="Calibri"/>
          <w:color w:val="000000" w:themeColor="text1"/>
          <w:lang w:eastAsia="en-NZ"/>
        </w:rPr>
        <w:t xml:space="preserve">the </w:t>
      </w:r>
      <w:r w:rsidR="00094A90" w:rsidRPr="788826BF">
        <w:rPr>
          <w:rFonts w:ascii="Calibri" w:eastAsia="Times New Roman" w:hAnsi="Calibri" w:cs="Calibri"/>
          <w:color w:val="000000" w:themeColor="text1"/>
          <w:lang w:eastAsia="en-NZ"/>
        </w:rPr>
        <w:t xml:space="preserve">personal </w:t>
      </w:r>
      <w:r w:rsidRPr="788826BF">
        <w:rPr>
          <w:rFonts w:ascii="Calibri" w:eastAsia="Times New Roman" w:hAnsi="Calibri" w:cs="Calibri"/>
          <w:color w:val="000000" w:themeColor="text1"/>
          <w:lang w:eastAsia="en-NZ"/>
        </w:rPr>
        <w:t>possession and use of drugs remain illegal</w:t>
      </w:r>
      <w:r w:rsidR="004E06C6">
        <w:rPr>
          <w:rFonts w:ascii="Calibri" w:eastAsia="Times New Roman" w:hAnsi="Calibri" w:cs="Calibri"/>
          <w:color w:val="000000" w:themeColor="text1"/>
          <w:lang w:eastAsia="en-NZ"/>
        </w:rPr>
        <w:t xml:space="preserve"> and there may be some instances where Police</w:t>
      </w:r>
      <w:r w:rsidR="00F816AB">
        <w:rPr>
          <w:rFonts w:ascii="Calibri" w:eastAsia="Times New Roman" w:hAnsi="Calibri" w:cs="Calibri"/>
          <w:color w:val="000000" w:themeColor="text1"/>
          <w:lang w:eastAsia="en-NZ"/>
        </w:rPr>
        <w:t xml:space="preserve"> consider it </w:t>
      </w:r>
      <w:r w:rsidR="00F816AB">
        <w:rPr>
          <w:rFonts w:ascii="Calibri" w:eastAsia="Times New Roman" w:hAnsi="Calibri" w:cs="Calibri"/>
          <w:color w:val="000000" w:themeColor="text1"/>
          <w:lang w:eastAsia="en-NZ"/>
        </w:rPr>
        <w:lastRenderedPageBreak/>
        <w:t>appropriate to prosecute</w:t>
      </w:r>
      <w:r w:rsidRPr="788826BF">
        <w:rPr>
          <w:rFonts w:ascii="Calibri" w:eastAsia="Times New Roman" w:hAnsi="Calibri" w:cs="Calibri"/>
          <w:color w:val="000000" w:themeColor="text1"/>
          <w:lang w:eastAsia="en-NZ"/>
        </w:rPr>
        <w:t>. P</w:t>
      </w:r>
      <w:r>
        <w:t>olice ha</w:t>
      </w:r>
      <w:r w:rsidR="00FD1442">
        <w:t>s</w:t>
      </w:r>
      <w:r>
        <w:t xml:space="preserve"> powers and responsibility to prosecute where they assess it would be in the public interest to do so</w:t>
      </w:r>
      <w:r w:rsidR="001645CC">
        <w:t>.</w:t>
      </w:r>
    </w:p>
    <w:p w14:paraId="6029399B" w14:textId="1D73E198" w:rsidR="00456C5B" w:rsidRDefault="00456C5B" w:rsidP="003A2461">
      <w:pPr>
        <w:spacing w:line="256" w:lineRule="auto"/>
        <w:rPr>
          <w:rFonts w:ascii="Calibri" w:eastAsia="Times New Roman" w:hAnsi="Calibri" w:cs="Calibri"/>
          <w:color w:val="000000"/>
          <w:lang w:eastAsia="en-NZ"/>
        </w:rPr>
      </w:pPr>
      <w:r>
        <w:t>The amendment is also about reducing harm from entering the Justice system.  So, it is important to understand what changes there have been in the use of non-court proceedings as well as what health-based responses have been used.</w:t>
      </w:r>
      <w:r w:rsidR="00B37605">
        <w:t xml:space="preserve"> Post-amendment</w:t>
      </w:r>
      <w:r w:rsidR="004512BF">
        <w:t>,</w:t>
      </w:r>
      <w:r w:rsidR="00B37605">
        <w:t xml:space="preserve"> the use of court action for </w:t>
      </w:r>
      <w:r w:rsidR="00B37605">
        <w:rPr>
          <w:rFonts w:eastAsia="Times New Roman"/>
          <w:lang w:eastAsia="zh-CN"/>
        </w:rPr>
        <w:t>M</w:t>
      </w:r>
      <w:r w:rsidR="00B37605">
        <w:rPr>
          <w:rFonts w:eastAsia="Times New Roman" w:cstheme="minorHAnsi"/>
          <w:lang w:eastAsia="zh-CN"/>
        </w:rPr>
        <w:t>ā</w:t>
      </w:r>
      <w:r w:rsidR="00B37605">
        <w:rPr>
          <w:rFonts w:eastAsia="Times New Roman"/>
          <w:lang w:eastAsia="zh-CN"/>
        </w:rPr>
        <w:t>ori where possession</w:t>
      </w:r>
      <w:r w:rsidR="00BD45C7">
        <w:rPr>
          <w:rFonts w:eastAsia="Times New Roman"/>
          <w:lang w:eastAsia="zh-CN"/>
        </w:rPr>
        <w:t xml:space="preserve"> or </w:t>
      </w:r>
      <w:r w:rsidR="00B37605">
        <w:rPr>
          <w:rFonts w:eastAsia="Times New Roman"/>
          <w:lang w:eastAsia="zh-CN"/>
        </w:rPr>
        <w:t>use of drugs is the most serious offence and the individual has no previous offences is 9</w:t>
      </w:r>
      <w:r w:rsidR="000149F9">
        <w:rPr>
          <w:rFonts w:eastAsia="Times New Roman"/>
          <w:lang w:eastAsia="zh-CN"/>
        </w:rPr>
        <w:t xml:space="preserve"> percent</w:t>
      </w:r>
      <w:r w:rsidR="00B37605">
        <w:rPr>
          <w:rFonts w:eastAsia="Times New Roman"/>
          <w:lang w:eastAsia="zh-CN"/>
        </w:rPr>
        <w:t>, for European it is 11</w:t>
      </w:r>
      <w:r w:rsidR="000149F9">
        <w:rPr>
          <w:rFonts w:eastAsia="Times New Roman"/>
          <w:lang w:eastAsia="zh-CN"/>
        </w:rPr>
        <w:t xml:space="preserve"> percent</w:t>
      </w:r>
      <w:r w:rsidR="00B37605">
        <w:rPr>
          <w:rFonts w:eastAsia="Times New Roman"/>
          <w:lang w:eastAsia="zh-CN"/>
        </w:rPr>
        <w:t>.</w:t>
      </w:r>
    </w:p>
    <w:p w14:paraId="746F93AE" w14:textId="77777777" w:rsidR="001645CC" w:rsidRPr="001645CC" w:rsidRDefault="001645CC" w:rsidP="001645CC">
      <w:r w:rsidRPr="001645CC">
        <w:t xml:space="preserve">Prosecutions where personal possession and use of cannabis is the most serious offence has been declining for a decade. While there are fluctuations in the data, prosecutions have continued to trend downwards following the 2019 amendments. Use of supported resolutions such as warnings, continue to trend upwards. </w:t>
      </w:r>
    </w:p>
    <w:p w14:paraId="18EE7CF7" w14:textId="73204D5D" w:rsidR="002C1103" w:rsidRDefault="00302301" w:rsidP="003A2461">
      <w:pPr>
        <w:spacing w:line="256" w:lineRule="auto"/>
        <w:rPr>
          <w:rFonts w:ascii="Calibri" w:eastAsia="Times New Roman" w:hAnsi="Calibri" w:cs="Calibri"/>
          <w:color w:val="000000"/>
          <w:lang w:eastAsia="en-NZ"/>
        </w:rPr>
      </w:pPr>
      <w:r w:rsidRPr="788826BF">
        <w:rPr>
          <w:rFonts w:ascii="Calibri" w:eastAsia="Times New Roman" w:hAnsi="Calibri" w:cs="Calibri"/>
          <w:color w:val="000000" w:themeColor="text1"/>
          <w:lang w:eastAsia="en-NZ"/>
        </w:rPr>
        <w:t>The</w:t>
      </w:r>
      <w:r w:rsidR="001C09DC" w:rsidRPr="788826BF">
        <w:rPr>
          <w:rFonts w:ascii="Calibri" w:eastAsia="Times New Roman" w:hAnsi="Calibri" w:cs="Calibri"/>
          <w:color w:val="000000" w:themeColor="text1"/>
          <w:lang w:eastAsia="en-NZ"/>
        </w:rPr>
        <w:t xml:space="preserve"> use</w:t>
      </w:r>
      <w:r w:rsidR="00D10F85" w:rsidRPr="788826BF">
        <w:rPr>
          <w:rFonts w:ascii="Calibri" w:eastAsia="Times New Roman" w:hAnsi="Calibri" w:cs="Calibri"/>
          <w:color w:val="000000" w:themeColor="text1"/>
          <w:lang w:eastAsia="en-NZ"/>
        </w:rPr>
        <w:t xml:space="preserve"> of</w:t>
      </w:r>
      <w:r w:rsidR="001C09DC" w:rsidRPr="788826BF">
        <w:rPr>
          <w:rFonts w:ascii="Calibri" w:eastAsia="Times New Roman" w:hAnsi="Calibri" w:cs="Calibri"/>
          <w:color w:val="000000" w:themeColor="text1"/>
          <w:lang w:eastAsia="en-NZ"/>
        </w:rPr>
        <w:t xml:space="preserve"> non-</w:t>
      </w:r>
      <w:r w:rsidR="6B09906B" w:rsidRPr="788826BF">
        <w:rPr>
          <w:rFonts w:ascii="Calibri" w:eastAsia="Times New Roman" w:hAnsi="Calibri" w:cs="Calibri"/>
          <w:color w:val="000000" w:themeColor="text1"/>
          <w:lang w:eastAsia="en-NZ"/>
        </w:rPr>
        <w:t>C</w:t>
      </w:r>
      <w:r w:rsidR="001C09DC" w:rsidRPr="788826BF">
        <w:rPr>
          <w:rFonts w:ascii="Calibri" w:eastAsia="Times New Roman" w:hAnsi="Calibri" w:cs="Calibri"/>
          <w:color w:val="000000" w:themeColor="text1"/>
          <w:lang w:eastAsia="en-NZ"/>
        </w:rPr>
        <w:t xml:space="preserve">ourt proceedings for </w:t>
      </w:r>
      <w:r w:rsidR="00456C5B" w:rsidRPr="788826BF">
        <w:rPr>
          <w:rFonts w:ascii="Calibri" w:eastAsia="Times New Roman" w:hAnsi="Calibri" w:cs="Calibri"/>
          <w:color w:val="000000" w:themeColor="text1"/>
          <w:lang w:eastAsia="en-NZ"/>
        </w:rPr>
        <w:t>people</w:t>
      </w:r>
      <w:r w:rsidR="001C09DC" w:rsidRPr="788826BF">
        <w:rPr>
          <w:rFonts w:ascii="Calibri" w:eastAsia="Times New Roman" w:hAnsi="Calibri" w:cs="Calibri"/>
          <w:color w:val="000000" w:themeColor="text1"/>
          <w:lang w:eastAsia="en-NZ"/>
        </w:rPr>
        <w:t xml:space="preserve"> charged with </w:t>
      </w:r>
      <w:r w:rsidR="008C3188" w:rsidRPr="788826BF">
        <w:rPr>
          <w:rFonts w:ascii="Calibri" w:eastAsia="Times New Roman" w:hAnsi="Calibri" w:cs="Calibri"/>
          <w:color w:val="000000" w:themeColor="text1"/>
          <w:lang w:eastAsia="en-NZ"/>
        </w:rPr>
        <w:t xml:space="preserve">personal </w:t>
      </w:r>
      <w:r w:rsidR="001C09DC" w:rsidRPr="788826BF">
        <w:rPr>
          <w:rFonts w:ascii="Calibri" w:eastAsia="Times New Roman" w:hAnsi="Calibri" w:cs="Calibri"/>
          <w:color w:val="000000" w:themeColor="text1"/>
          <w:lang w:eastAsia="en-NZ"/>
        </w:rPr>
        <w:t xml:space="preserve">possession or use of </w:t>
      </w:r>
      <w:r w:rsidR="004408E5" w:rsidRPr="788826BF">
        <w:rPr>
          <w:rFonts w:ascii="Calibri" w:eastAsia="Times New Roman" w:hAnsi="Calibri" w:cs="Calibri"/>
          <w:color w:val="000000" w:themeColor="text1"/>
          <w:lang w:eastAsia="en-NZ"/>
        </w:rPr>
        <w:t xml:space="preserve">controlled drugs </w:t>
      </w:r>
      <w:r w:rsidR="009A27B9" w:rsidRPr="788826BF">
        <w:rPr>
          <w:rFonts w:ascii="Calibri" w:eastAsia="Times New Roman" w:hAnsi="Calibri" w:cs="Calibri"/>
          <w:color w:val="000000" w:themeColor="text1"/>
          <w:lang w:eastAsia="en-NZ"/>
        </w:rPr>
        <w:t>has been trending slowly upwards</w:t>
      </w:r>
      <w:r w:rsidR="00FB3BF3" w:rsidRPr="788826BF">
        <w:rPr>
          <w:rFonts w:ascii="Calibri" w:eastAsia="Times New Roman" w:hAnsi="Calibri" w:cs="Calibri"/>
          <w:color w:val="000000" w:themeColor="text1"/>
          <w:lang w:eastAsia="en-NZ"/>
        </w:rPr>
        <w:t>.</w:t>
      </w:r>
      <w:r w:rsidR="009A27B9" w:rsidRPr="788826BF">
        <w:rPr>
          <w:rFonts w:ascii="Calibri" w:eastAsia="Times New Roman" w:hAnsi="Calibri" w:cs="Calibri"/>
          <w:color w:val="000000" w:themeColor="text1"/>
          <w:lang w:eastAsia="en-NZ"/>
        </w:rPr>
        <w:t xml:space="preserve"> </w:t>
      </w:r>
    </w:p>
    <w:p w14:paraId="496EC25E" w14:textId="7EEB8665" w:rsidR="002C1103" w:rsidRDefault="002C1103" w:rsidP="002C1103">
      <w:r>
        <w:t xml:space="preserve">Prior to the 2019 amendment, </w:t>
      </w:r>
      <w:r w:rsidR="001645CC" w:rsidRPr="001645CC">
        <w:t xml:space="preserve">use of </w:t>
      </w:r>
      <w:r w:rsidR="69145E42">
        <w:t>C</w:t>
      </w:r>
      <w:r w:rsidR="001645CC" w:rsidRPr="001645CC">
        <w:t>ourt action for methamphetamine was around 90</w:t>
      </w:r>
      <w:r w:rsidR="000149F9">
        <w:t xml:space="preserve"> percent</w:t>
      </w:r>
      <w:r w:rsidR="001645CC" w:rsidRPr="001645CC">
        <w:t>,</w:t>
      </w:r>
      <w:r w:rsidR="001645CC">
        <w:t xml:space="preserve"> </w:t>
      </w:r>
      <w:r>
        <w:t>in alignment with related government policy such as the Methamphetamine Action Plan.</w:t>
      </w:r>
    </w:p>
    <w:p w14:paraId="39235AC7" w14:textId="439C7A15" w:rsidR="002C1103" w:rsidRDefault="002C1103" w:rsidP="002C1103">
      <w:r>
        <w:t xml:space="preserve">Since Q3 2019, there has been a significant downward trend in prosecution rates for methamphetamine. </w:t>
      </w:r>
      <w:r w:rsidR="00F63BA7">
        <w:t>This is</w:t>
      </w:r>
      <w:r>
        <w:t xml:space="preserve"> in response to Police changing their guidelines to make methamphetamine eligible for </w:t>
      </w:r>
      <w:r w:rsidR="00CD6CD0">
        <w:t>formal</w:t>
      </w:r>
      <w:r>
        <w:t xml:space="preserve"> warnings</w:t>
      </w:r>
      <w:r w:rsidR="00CD6CD0">
        <w:t xml:space="preserve"> and Te Pae Oranga</w:t>
      </w:r>
      <w:r>
        <w:t>.</w:t>
      </w:r>
      <w:r w:rsidR="001645CC" w:rsidRPr="001645CC">
        <w:t xml:space="preserve"> </w:t>
      </w:r>
      <w:r w:rsidR="001645CC">
        <w:t>This trend strongly aligns with the work of Reframe and the focus on use of alternative resolutions for low level offending.</w:t>
      </w:r>
    </w:p>
    <w:p w14:paraId="6ACF95B6" w14:textId="4BABF568" w:rsidR="002C1103" w:rsidRDefault="002C1103" w:rsidP="002C1103">
      <w:r>
        <w:t xml:space="preserve">Despite the significant drop, Police prosecution as a response to personal possession and use of methamphetamine remains higher than for other substances. It is too soon to tell if these rates will continue to drop. These higher prosecution rates may be due to several factors including a real or perceived difference in the level of harm associated with methamphetamine use and the </w:t>
      </w:r>
      <w:r w:rsidR="001645CC">
        <w:t>recen</w:t>
      </w:r>
      <w:r w:rsidR="00296058">
        <w:t>cy of the</w:t>
      </w:r>
      <w:r>
        <w:t xml:space="preserve"> change to Police guidelines taking time to firmly bed-in. We will reassess prosecution rates as part of the full review. </w:t>
      </w:r>
    </w:p>
    <w:p w14:paraId="3A77D96B" w14:textId="2C8FD996" w:rsidR="002C1103" w:rsidRDefault="002C1103" w:rsidP="002C1103">
      <w:r>
        <w:t>The use of non-</w:t>
      </w:r>
      <w:r w:rsidR="50A38AA1">
        <w:t>C</w:t>
      </w:r>
      <w:r>
        <w:t>ourt proceedings for cannabis has been high for some time (although it has increased since the amendment). This reflects the focus of Police on crime prevention and harm reduction through its Prevention First operating model.</w:t>
      </w:r>
    </w:p>
    <w:p w14:paraId="51818E53" w14:textId="77777777" w:rsidR="00174227" w:rsidRDefault="003E567E" w:rsidP="000D5E1B">
      <w:pPr>
        <w:pStyle w:val="Heading3"/>
      </w:pPr>
      <w:bookmarkStart w:id="251" w:name="_Toc75781207"/>
      <w:bookmarkStart w:id="252" w:name="_Toc75952920"/>
      <w:bookmarkStart w:id="253" w:name="_Toc78186486"/>
      <w:bookmarkEnd w:id="250"/>
      <w:r w:rsidRPr="009E0464">
        <w:t>Improving outcomes for Māori</w:t>
      </w:r>
      <w:bookmarkEnd w:id="251"/>
      <w:bookmarkEnd w:id="252"/>
      <w:bookmarkEnd w:id="253"/>
    </w:p>
    <w:p w14:paraId="250CE82B" w14:textId="3BC19768" w:rsidR="00AF2C33" w:rsidRDefault="00BE3E81" w:rsidP="00AF2C33">
      <w:pPr>
        <w:rPr>
          <w:lang w:eastAsia="zh-CN"/>
        </w:rPr>
      </w:pPr>
      <w:r>
        <w:t>Police do not record instances where they decide to take no action</w:t>
      </w:r>
      <w:r w:rsidR="00931757">
        <w:t xml:space="preserve">, </w:t>
      </w:r>
      <w:r w:rsidR="002F62D6" w:rsidRPr="00782199">
        <w:t xml:space="preserve">but </w:t>
      </w:r>
      <w:r w:rsidR="004C40D9" w:rsidRPr="00782199">
        <w:t>they expect</w:t>
      </w:r>
      <w:r w:rsidR="00174227" w:rsidRPr="00782199">
        <w:t xml:space="preserve"> these </w:t>
      </w:r>
      <w:r w:rsidR="00931757" w:rsidRPr="00782199">
        <w:t>numbers are likely to be low</w:t>
      </w:r>
      <w:r w:rsidR="00174227" w:rsidRPr="00782199">
        <w:t>.</w:t>
      </w:r>
      <w:r w:rsidR="00174227">
        <w:t xml:space="preserve"> </w:t>
      </w:r>
      <w:r w:rsidR="00AF2C33">
        <w:rPr>
          <w:lang w:eastAsia="zh-CN"/>
        </w:rPr>
        <w:t>Once individuals are identified, the probability of court action is</w:t>
      </w:r>
      <w:r w:rsidR="00164835">
        <w:rPr>
          <w:lang w:eastAsia="zh-CN"/>
        </w:rPr>
        <w:t xml:space="preserve"> similar, irrespective of </w:t>
      </w:r>
      <w:r w:rsidR="00FD1442">
        <w:rPr>
          <w:lang w:eastAsia="zh-CN"/>
        </w:rPr>
        <w:t>largely</w:t>
      </w:r>
      <w:r w:rsidR="00AF2C33">
        <w:rPr>
          <w:lang w:eastAsia="zh-CN"/>
        </w:rPr>
        <w:t xml:space="preserve"> </w:t>
      </w:r>
      <w:r w:rsidR="0064425F">
        <w:rPr>
          <w:lang w:eastAsia="zh-CN"/>
        </w:rPr>
        <w:t>similar</w:t>
      </w:r>
      <w:r w:rsidR="00AF2C33">
        <w:rPr>
          <w:lang w:eastAsia="zh-CN"/>
        </w:rPr>
        <w:t xml:space="preserve"> </w:t>
      </w:r>
      <w:r w:rsidR="00164835">
        <w:rPr>
          <w:lang w:eastAsia="zh-CN"/>
        </w:rPr>
        <w:t xml:space="preserve">whether the individual is </w:t>
      </w:r>
      <w:r w:rsidR="00AF2C33">
        <w:rPr>
          <w:lang w:eastAsia="zh-CN"/>
        </w:rPr>
        <w:t>M</w:t>
      </w:r>
      <w:r w:rsidR="00AF2C33" w:rsidRPr="11ACC6A2">
        <w:rPr>
          <w:lang w:eastAsia="zh-CN"/>
        </w:rPr>
        <w:t>ā</w:t>
      </w:r>
      <w:r w:rsidR="00AF2C33">
        <w:rPr>
          <w:lang w:eastAsia="zh-CN"/>
        </w:rPr>
        <w:t>ori or non-M</w:t>
      </w:r>
      <w:r w:rsidR="00AF2C33" w:rsidRPr="11ACC6A2">
        <w:rPr>
          <w:lang w:eastAsia="zh-CN"/>
        </w:rPr>
        <w:t>ā</w:t>
      </w:r>
      <w:r w:rsidR="00AF2C33">
        <w:rPr>
          <w:lang w:eastAsia="zh-CN"/>
        </w:rPr>
        <w:t xml:space="preserve">ori. The difference </w:t>
      </w:r>
      <w:r w:rsidR="0064425F">
        <w:rPr>
          <w:lang w:eastAsia="zh-CN"/>
        </w:rPr>
        <w:t xml:space="preserve">for </w:t>
      </w:r>
      <w:r w:rsidR="00AF2C33">
        <w:rPr>
          <w:lang w:eastAsia="zh-CN"/>
        </w:rPr>
        <w:t>M</w:t>
      </w:r>
      <w:r w:rsidR="00AF2C33" w:rsidRPr="11ACC6A2">
        <w:rPr>
          <w:lang w:eastAsia="zh-CN"/>
        </w:rPr>
        <w:t>ā</w:t>
      </w:r>
      <w:r w:rsidR="00AF2C33">
        <w:rPr>
          <w:lang w:eastAsia="zh-CN"/>
        </w:rPr>
        <w:t>ori is that M</w:t>
      </w:r>
      <w:r w:rsidR="00AF2C33" w:rsidRPr="11ACC6A2">
        <w:rPr>
          <w:lang w:eastAsia="zh-CN"/>
        </w:rPr>
        <w:t>ā</w:t>
      </w:r>
      <w:r w:rsidR="00AF2C33">
        <w:rPr>
          <w:lang w:eastAsia="zh-CN"/>
        </w:rPr>
        <w:t>ori are being identified with personal possession</w:t>
      </w:r>
      <w:r w:rsidR="00164835">
        <w:rPr>
          <w:lang w:eastAsia="zh-CN"/>
        </w:rPr>
        <w:t xml:space="preserve"> and </w:t>
      </w:r>
      <w:r w:rsidR="00AF2C33">
        <w:rPr>
          <w:lang w:eastAsia="zh-CN"/>
        </w:rPr>
        <w:t xml:space="preserve">use of illegal </w:t>
      </w:r>
      <w:r w:rsidR="00AF2C33" w:rsidRPr="11ACC6A2">
        <w:rPr>
          <w:lang w:eastAsia="zh-CN"/>
        </w:rPr>
        <w:t>drug</w:t>
      </w:r>
      <w:r w:rsidR="0FB95757" w:rsidRPr="11ACC6A2">
        <w:rPr>
          <w:lang w:eastAsia="zh-CN"/>
        </w:rPr>
        <w:t>s</w:t>
      </w:r>
      <w:r w:rsidR="00AF2C33">
        <w:rPr>
          <w:lang w:eastAsia="zh-CN"/>
        </w:rPr>
        <w:t xml:space="preserve"> at a higher rate </w:t>
      </w:r>
      <w:r w:rsidR="46D63990" w:rsidRPr="11ACC6A2">
        <w:rPr>
          <w:lang w:eastAsia="zh-CN"/>
        </w:rPr>
        <w:t>than expected given the size of the M</w:t>
      </w:r>
      <w:r w:rsidR="46D63990" w:rsidRPr="11ACC6A2">
        <w:rPr>
          <w:rStyle w:val="normaltextrun1"/>
          <w:rFonts w:ascii="Calibri" w:hAnsi="Calibri" w:cs="Calibri"/>
          <w:lang w:eastAsia="en-NZ"/>
        </w:rPr>
        <w:t>āori</w:t>
      </w:r>
      <w:r w:rsidR="00AF2C33" w:rsidRPr="11ACC6A2">
        <w:rPr>
          <w:lang w:eastAsia="zh-CN"/>
        </w:rPr>
        <w:t xml:space="preserve"> </w:t>
      </w:r>
      <w:r w:rsidR="00AF2C33">
        <w:rPr>
          <w:lang w:eastAsia="zh-CN"/>
        </w:rPr>
        <w:t>population. However, we need to acknowledge that the:</w:t>
      </w:r>
    </w:p>
    <w:p w14:paraId="7B337320" w14:textId="66AA106C" w:rsidR="00AF2C33" w:rsidRPr="00D675C4" w:rsidRDefault="00AF2C33" w:rsidP="00B603EC">
      <w:pPr>
        <w:pStyle w:val="CommentText"/>
        <w:numPr>
          <w:ilvl w:val="0"/>
          <w:numId w:val="7"/>
        </w:numPr>
        <w:spacing w:after="0"/>
        <w:ind w:hanging="720"/>
        <w:textAlignment w:val="baseline"/>
        <w:rPr>
          <w:rStyle w:val="normaltextrun1"/>
          <w:sz w:val="22"/>
          <w:szCs w:val="22"/>
          <w:lang w:eastAsia="en-NZ"/>
        </w:rPr>
      </w:pPr>
      <w:r w:rsidRPr="00D675C4">
        <w:rPr>
          <w:rStyle w:val="normaltextrun1"/>
          <w:rFonts w:ascii="Calibri" w:hAnsi="Calibri" w:cs="Calibri"/>
          <w:sz w:val="22"/>
          <w:szCs w:val="22"/>
          <w:lang w:eastAsia="en-NZ"/>
        </w:rPr>
        <w:t>average age of M</w:t>
      </w:r>
      <w:r w:rsidR="00FD1442" w:rsidRPr="00D675C4">
        <w:rPr>
          <w:rStyle w:val="normaltextrun1"/>
          <w:rFonts w:ascii="Calibri" w:hAnsi="Calibri" w:cs="Calibri"/>
          <w:sz w:val="22"/>
          <w:szCs w:val="22"/>
          <w:lang w:eastAsia="en-NZ"/>
        </w:rPr>
        <w:t>ā</w:t>
      </w:r>
      <w:r w:rsidRPr="00D675C4">
        <w:rPr>
          <w:rStyle w:val="normaltextrun1"/>
          <w:rFonts w:ascii="Calibri" w:hAnsi="Calibri" w:cs="Calibri"/>
          <w:sz w:val="22"/>
          <w:szCs w:val="22"/>
          <w:lang w:eastAsia="en-NZ"/>
        </w:rPr>
        <w:t xml:space="preserve">ori is younger than </w:t>
      </w:r>
      <w:r w:rsidR="00386282">
        <w:rPr>
          <w:rStyle w:val="normaltextrun1"/>
          <w:rFonts w:ascii="Calibri" w:hAnsi="Calibri" w:cs="Calibri"/>
          <w:sz w:val="22"/>
          <w:szCs w:val="22"/>
          <w:lang w:eastAsia="en-NZ"/>
        </w:rPr>
        <w:t>non-</w:t>
      </w:r>
      <w:r w:rsidR="00386282" w:rsidRPr="11ACC6A2">
        <w:rPr>
          <w:rStyle w:val="normaltextrun1"/>
          <w:rFonts w:ascii="Calibri" w:hAnsi="Calibri" w:cs="Calibri"/>
          <w:sz w:val="22"/>
          <w:szCs w:val="22"/>
          <w:lang w:eastAsia="en-NZ"/>
        </w:rPr>
        <w:t>M</w:t>
      </w:r>
      <w:r w:rsidR="72562175" w:rsidRPr="11ACC6A2">
        <w:rPr>
          <w:rStyle w:val="normaltextrun1"/>
          <w:rFonts w:ascii="Calibri" w:hAnsi="Calibri" w:cs="Calibri"/>
          <w:sz w:val="22"/>
          <w:szCs w:val="22"/>
          <w:lang w:eastAsia="en-NZ"/>
        </w:rPr>
        <w:t>ā</w:t>
      </w:r>
      <w:r w:rsidR="00386282" w:rsidRPr="11ACC6A2">
        <w:rPr>
          <w:rStyle w:val="normaltextrun1"/>
          <w:rFonts w:ascii="Calibri" w:hAnsi="Calibri" w:cs="Calibri"/>
          <w:sz w:val="22"/>
          <w:szCs w:val="22"/>
          <w:lang w:eastAsia="en-NZ"/>
        </w:rPr>
        <w:t>ori</w:t>
      </w:r>
      <w:r w:rsidRPr="00D675C4">
        <w:rPr>
          <w:rStyle w:val="normaltextrun1"/>
          <w:rFonts w:ascii="Calibri" w:hAnsi="Calibri" w:cs="Calibri"/>
          <w:sz w:val="22"/>
          <w:szCs w:val="22"/>
          <w:lang w:eastAsia="en-NZ"/>
        </w:rPr>
        <w:t xml:space="preserve"> (20s rather than 40s)</w:t>
      </w:r>
      <w:r w:rsidR="00FD1442" w:rsidRPr="00D675C4">
        <w:rPr>
          <w:rStyle w:val="normaltextrun1"/>
          <w:rFonts w:ascii="Calibri" w:hAnsi="Calibri" w:cs="Calibri"/>
          <w:sz w:val="22"/>
          <w:szCs w:val="22"/>
          <w:lang w:eastAsia="en-NZ"/>
        </w:rPr>
        <w:t>;</w:t>
      </w:r>
      <w:r w:rsidRPr="00D675C4">
        <w:rPr>
          <w:rStyle w:val="normaltextrun1"/>
          <w:rFonts w:ascii="Calibri" w:hAnsi="Calibri" w:cs="Calibri"/>
          <w:sz w:val="22"/>
          <w:szCs w:val="22"/>
          <w:lang w:eastAsia="en-NZ"/>
        </w:rPr>
        <w:t xml:space="preserve"> we know that identified drug use and self-reported drug use is highest in the 18-29 y</w:t>
      </w:r>
      <w:r w:rsidR="00FD1442" w:rsidRPr="00D675C4">
        <w:rPr>
          <w:rStyle w:val="normaltextrun1"/>
          <w:rFonts w:ascii="Calibri" w:hAnsi="Calibri" w:cs="Calibri"/>
          <w:sz w:val="22"/>
          <w:szCs w:val="22"/>
          <w:lang w:eastAsia="en-NZ"/>
        </w:rPr>
        <w:t>ea</w:t>
      </w:r>
      <w:r w:rsidRPr="00D675C4">
        <w:rPr>
          <w:rStyle w:val="normaltextrun1"/>
          <w:rFonts w:ascii="Calibri" w:hAnsi="Calibri" w:cs="Calibri"/>
          <w:sz w:val="22"/>
          <w:szCs w:val="22"/>
          <w:lang w:eastAsia="en-NZ"/>
        </w:rPr>
        <w:t xml:space="preserve">r age group and after that starts to drop off; and </w:t>
      </w:r>
    </w:p>
    <w:p w14:paraId="188BF6D1" w14:textId="0F5BB452" w:rsidR="00AF2C33" w:rsidRPr="00D675C4" w:rsidRDefault="00AF2C33" w:rsidP="00B603EC">
      <w:pPr>
        <w:pStyle w:val="CommentText"/>
        <w:numPr>
          <w:ilvl w:val="0"/>
          <w:numId w:val="7"/>
        </w:numPr>
        <w:ind w:hanging="720"/>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that there are higher self-reported rates of drug use among M</w:t>
      </w:r>
      <w:r w:rsidR="00FD1442" w:rsidRPr="00D675C4">
        <w:rPr>
          <w:rStyle w:val="normaltextrun1"/>
          <w:rFonts w:ascii="Calibri" w:hAnsi="Calibri" w:cs="Calibri"/>
          <w:sz w:val="22"/>
          <w:szCs w:val="22"/>
          <w:lang w:eastAsia="en-NZ"/>
        </w:rPr>
        <w:t>ā</w:t>
      </w:r>
      <w:r w:rsidRPr="00D675C4">
        <w:rPr>
          <w:rStyle w:val="normaltextrun1"/>
          <w:rFonts w:ascii="Calibri" w:hAnsi="Calibri" w:cs="Calibri"/>
          <w:sz w:val="22"/>
          <w:szCs w:val="22"/>
          <w:lang w:eastAsia="en-NZ"/>
        </w:rPr>
        <w:t>ori.</w:t>
      </w:r>
    </w:p>
    <w:p w14:paraId="4C886D4B" w14:textId="77777777" w:rsidR="00AF2C33" w:rsidRDefault="00AF2C33" w:rsidP="00D675C4">
      <w:pPr>
        <w:spacing w:line="256" w:lineRule="auto"/>
        <w:rPr>
          <w:lang w:eastAsia="zh-CN"/>
        </w:rPr>
      </w:pPr>
      <w:r>
        <w:rPr>
          <w:lang w:eastAsia="zh-CN"/>
        </w:rPr>
        <w:t>These variables have not been controlled for in the data.</w:t>
      </w:r>
    </w:p>
    <w:p w14:paraId="6E9D2757" w14:textId="51735E69" w:rsidR="00174227" w:rsidRDefault="00AF2C33" w:rsidP="00AF2C33">
      <w:pPr>
        <w:pStyle w:val="ListParagraph"/>
        <w:ind w:left="0"/>
        <w:rPr>
          <w:lang w:eastAsia="zh-CN"/>
        </w:rPr>
      </w:pPr>
      <w:r>
        <w:rPr>
          <w:lang w:eastAsia="zh-CN"/>
        </w:rPr>
        <w:t xml:space="preserve">There is also a question about how policing </w:t>
      </w:r>
      <w:r w:rsidR="00B91FE0">
        <w:rPr>
          <w:lang w:eastAsia="zh-CN"/>
        </w:rPr>
        <w:t xml:space="preserve">of </w:t>
      </w:r>
      <w:r>
        <w:rPr>
          <w:lang w:eastAsia="zh-CN"/>
        </w:rPr>
        <w:t>personal possession</w:t>
      </w:r>
      <w:r w:rsidR="009429EF">
        <w:rPr>
          <w:lang w:eastAsia="zh-CN"/>
        </w:rPr>
        <w:t xml:space="preserve"> and </w:t>
      </w:r>
      <w:r>
        <w:rPr>
          <w:lang w:eastAsia="zh-CN"/>
        </w:rPr>
        <w:t xml:space="preserve">use of </w:t>
      </w:r>
      <w:r w:rsidR="001155D9">
        <w:rPr>
          <w:lang w:eastAsia="zh-CN"/>
        </w:rPr>
        <w:t>illegal</w:t>
      </w:r>
      <w:r>
        <w:rPr>
          <w:lang w:eastAsia="zh-CN"/>
        </w:rPr>
        <w:t xml:space="preserve"> drugs</w:t>
      </w:r>
      <w:r w:rsidR="00B91FE0">
        <w:rPr>
          <w:lang w:eastAsia="zh-CN"/>
        </w:rPr>
        <w:t xml:space="preserve"> is being </w:t>
      </w:r>
      <w:r w:rsidR="000033D3">
        <w:rPr>
          <w:lang w:eastAsia="zh-CN"/>
        </w:rPr>
        <w:t>done</w:t>
      </w:r>
      <w:r>
        <w:rPr>
          <w:lang w:eastAsia="zh-CN"/>
        </w:rPr>
        <w:t xml:space="preserve"> and the impact of this on the number of M</w:t>
      </w:r>
      <w:r w:rsidR="00057FA8" w:rsidRPr="11ACC6A2">
        <w:rPr>
          <w:lang w:eastAsia="zh-CN"/>
        </w:rPr>
        <w:t>ā</w:t>
      </w:r>
      <w:r>
        <w:rPr>
          <w:lang w:eastAsia="zh-CN"/>
        </w:rPr>
        <w:t xml:space="preserve">ori identified. Police is working with the University of Waikato on a major piece of </w:t>
      </w:r>
      <w:r w:rsidR="000033D3">
        <w:rPr>
          <w:lang w:eastAsia="zh-CN"/>
        </w:rPr>
        <w:t>research</w:t>
      </w:r>
      <w:r>
        <w:rPr>
          <w:lang w:eastAsia="zh-CN"/>
        </w:rPr>
        <w:t xml:space="preserve"> looking at how Police can ensure it delivers policing that is </w:t>
      </w:r>
      <w:r>
        <w:rPr>
          <w:lang w:eastAsia="zh-CN"/>
        </w:rPr>
        <w:lastRenderedPageBreak/>
        <w:t>fair and equitable for all our communities. “Understanding Policing Delivery” will be a long-term research programme focussed on examining where bias may exist within Police policies, processes, and practices. The findings will inform Police work programmes and help it deliver on our commitment to M</w:t>
      </w:r>
      <w:r w:rsidR="00057FA8" w:rsidRPr="11ACC6A2">
        <w:rPr>
          <w:lang w:eastAsia="zh-CN"/>
        </w:rPr>
        <w:t>ā</w:t>
      </w:r>
      <w:r>
        <w:rPr>
          <w:lang w:eastAsia="zh-CN"/>
        </w:rPr>
        <w:t>ori, and the Treaty, by ensuring their</w:t>
      </w:r>
      <w:r w:rsidR="00057FA8">
        <w:rPr>
          <w:lang w:eastAsia="zh-CN"/>
        </w:rPr>
        <w:t xml:space="preserve"> </w:t>
      </w:r>
      <w:r>
        <w:rPr>
          <w:lang w:eastAsia="zh-CN"/>
        </w:rPr>
        <w:t xml:space="preserve">actions are fair, reasonable and proportionate for all New Zealanders. </w:t>
      </w:r>
      <w:r w:rsidR="00174227">
        <w:t>Findings from this study will be available for ne</w:t>
      </w:r>
      <w:r w:rsidR="0064425F">
        <w:t>x</w:t>
      </w:r>
      <w:r w:rsidR="00174227">
        <w:t>t review in 2024.</w:t>
      </w:r>
    </w:p>
    <w:p w14:paraId="4BFD6271" w14:textId="56F59B08" w:rsidR="003E567E" w:rsidRDefault="003E567E" w:rsidP="003E567E">
      <w:pPr>
        <w:spacing w:line="256" w:lineRule="auto"/>
      </w:pPr>
      <w:r>
        <w:t>A</w:t>
      </w:r>
      <w:r w:rsidRPr="009E0464">
        <w:t xml:space="preserve"> health-based approach to drug use,</w:t>
      </w:r>
      <w:r>
        <w:t xml:space="preserve"> </w:t>
      </w:r>
      <w:r w:rsidRPr="009E0464">
        <w:t xml:space="preserve">Prevention First </w:t>
      </w:r>
      <w:r w:rsidR="007163E3">
        <w:t xml:space="preserve">approach </w:t>
      </w:r>
      <w:r w:rsidRPr="009E0464">
        <w:t xml:space="preserve">and Reframe work programme </w:t>
      </w:r>
      <w:r>
        <w:t>are</w:t>
      </w:r>
      <w:r w:rsidRPr="009E0464">
        <w:t xml:space="preserve"> expected to improve outcomes for Māori and Pacific communities through the focus on harm prevention and </w:t>
      </w:r>
      <w:r w:rsidR="00E11A3D">
        <w:t xml:space="preserve">the </w:t>
      </w:r>
      <w:r w:rsidRPr="009E0464">
        <w:t xml:space="preserve">use of supported resolutions. </w:t>
      </w:r>
      <w:r w:rsidR="00925D1E">
        <w:t xml:space="preserve">A health-based approach cannot be delivered by </w:t>
      </w:r>
      <w:r w:rsidR="004D1B7E">
        <w:t xml:space="preserve">the </w:t>
      </w:r>
      <w:r w:rsidR="00925D1E">
        <w:t>Police alone.</w:t>
      </w:r>
      <w:r w:rsidR="00A87200">
        <w:t xml:space="preserve"> </w:t>
      </w:r>
      <w:r>
        <w:t>Through this review, we have identified areas where a health-based approach may be better supported.</w:t>
      </w:r>
    </w:p>
    <w:p w14:paraId="21F03808" w14:textId="1D91A6C0" w:rsidR="00C13DC1" w:rsidRPr="0004427F" w:rsidRDefault="00C13DC1" w:rsidP="000D5E1B">
      <w:pPr>
        <w:pStyle w:val="Heading4"/>
      </w:pPr>
      <w:r w:rsidRPr="0004427F">
        <w:t xml:space="preserve">Referral services </w:t>
      </w:r>
    </w:p>
    <w:p w14:paraId="2FF407B0" w14:textId="6504494C" w:rsidR="000A4EBC" w:rsidRDefault="00792A87" w:rsidP="006B1020">
      <w:r>
        <w:t xml:space="preserve">The review team </w:t>
      </w:r>
      <w:r w:rsidR="00A54937">
        <w:t xml:space="preserve">considered uptake of the </w:t>
      </w:r>
      <w:r w:rsidR="004D081B">
        <w:t>MoDA</w:t>
      </w:r>
      <w:r w:rsidR="00A54937">
        <w:t xml:space="preserve"> Referral </w:t>
      </w:r>
      <w:r w:rsidR="004D081B">
        <w:t>Pathway</w:t>
      </w:r>
      <w:r w:rsidR="00A54937">
        <w:t xml:space="preserve"> to be low, particularly when compared with AWHI referral numbers from the Bay of Plenty District to addiction services</w:t>
      </w:r>
      <w:r w:rsidR="00BD2E42">
        <w:t xml:space="preserve"> and Police referrals to AOD and CEP teams.</w:t>
      </w:r>
      <w:r w:rsidR="00A54937">
        <w:t xml:space="preserve">  </w:t>
      </w:r>
      <w:r w:rsidR="00053164">
        <w:t xml:space="preserve">The low </w:t>
      </w:r>
      <w:r w:rsidR="006B1020">
        <w:t xml:space="preserve">uptake requires further investigation and interviews with </w:t>
      </w:r>
      <w:r w:rsidR="000A4EBC">
        <w:t>frontline Police</w:t>
      </w:r>
      <w:r w:rsidR="00053164">
        <w:t xml:space="preserve"> to understand why</w:t>
      </w:r>
      <w:r>
        <w:t xml:space="preserve">.  Potentially </w:t>
      </w:r>
      <w:r w:rsidR="00533CA0">
        <w:t xml:space="preserve">this is a </w:t>
      </w:r>
      <w:r w:rsidR="000A4EBC">
        <w:t>combination of</w:t>
      </w:r>
      <w:r w:rsidR="00533CA0">
        <w:t xml:space="preserve"> decisions </w:t>
      </w:r>
      <w:r w:rsidR="000A4EBC">
        <w:t>to address other needs (</w:t>
      </w:r>
      <w:proofErr w:type="spellStart"/>
      <w:r w:rsidR="000A4EBC">
        <w:t>eg.</w:t>
      </w:r>
      <w:proofErr w:type="spellEnd"/>
      <w:r w:rsidR="000A4EBC">
        <w:t xml:space="preserve"> homelessness, family violence), a low level of awareness that the referral process exists and of what follows, </w:t>
      </w:r>
      <w:r w:rsidR="00A23F44">
        <w:t xml:space="preserve">and </w:t>
      </w:r>
      <w:r w:rsidR="005E0993">
        <w:t xml:space="preserve">potentially </w:t>
      </w:r>
      <w:r w:rsidR="000A4EBC">
        <w:t xml:space="preserve">a lack of trust in the process and a belief that mental health and addiction service providers do not have capacity to respond in a timely fashion. </w:t>
      </w:r>
      <w:r w:rsidR="005B2C48">
        <w:t xml:space="preserve"> </w:t>
      </w:r>
    </w:p>
    <w:p w14:paraId="7293A084" w14:textId="5442C667" w:rsidR="001430DE" w:rsidRDefault="001430DE" w:rsidP="001430DE">
      <w:r>
        <w:t>In contrast, we note the high degree of buy-in to AWHI</w:t>
      </w:r>
      <w:r w:rsidR="00032ACA">
        <w:t xml:space="preserve">, and </w:t>
      </w:r>
      <w:r>
        <w:t xml:space="preserve">consider that the grassroots, relationship-based nature of the AWHI initiative has contributed to its success. We also note that services like this have previously been attempted by </w:t>
      </w:r>
      <w:r w:rsidR="00622F28">
        <w:t>publicly funded</w:t>
      </w:r>
      <w:r>
        <w:t xml:space="preserve"> agencies. We find that it is likely that the local nature of the initiative has aided in buy-in by users of the service. We also note that there was rapid growth in uptake of the service in response to the COVID-19 restrictions</w:t>
      </w:r>
      <w:r w:rsidR="00032ACA">
        <w:t xml:space="preserve">, and that the </w:t>
      </w:r>
      <w:r>
        <w:t xml:space="preserve">remaining four districts </w:t>
      </w:r>
      <w:r w:rsidR="00AE01C2">
        <w:t xml:space="preserve">are </w:t>
      </w:r>
      <w:r>
        <w:t>keen to use this service</w:t>
      </w:r>
      <w:r w:rsidR="00AE01C2">
        <w:t>, as reportedly are the judiciary in its use in court</w:t>
      </w:r>
      <w:r w:rsidR="00032ACA">
        <w:t xml:space="preserve">. </w:t>
      </w:r>
      <w:r>
        <w:t xml:space="preserve"> </w:t>
      </w:r>
      <w:r w:rsidR="00341601">
        <w:t xml:space="preserve">The </w:t>
      </w:r>
      <w:r w:rsidR="0070454B">
        <w:t>review team was also very encouraged by the investment of Police National Headquarters in the development of AWHI</w:t>
      </w:r>
      <w:r w:rsidR="00963AA5">
        <w:t xml:space="preserve">, part of which is to create a national online platform. </w:t>
      </w:r>
    </w:p>
    <w:p w14:paraId="070717B4" w14:textId="276ACED0" w:rsidR="00C13DC1" w:rsidRDefault="006527D8" w:rsidP="003E58F2">
      <w:r>
        <w:t xml:space="preserve">Thought needs to be given to </w:t>
      </w:r>
      <w:r w:rsidR="003D083E">
        <w:t xml:space="preserve">how </w:t>
      </w:r>
      <w:r w:rsidR="00BD2E42">
        <w:t xml:space="preserve">different </w:t>
      </w:r>
      <w:r>
        <w:t xml:space="preserve">Referral </w:t>
      </w:r>
      <w:r w:rsidR="004D081B">
        <w:t>Pathway</w:t>
      </w:r>
      <w:r w:rsidR="00BD2E42">
        <w:t>s</w:t>
      </w:r>
      <w:r>
        <w:t xml:space="preserve"> </w:t>
      </w:r>
      <w:r w:rsidR="00D84D79">
        <w:t>w</w:t>
      </w:r>
      <w:r w:rsidR="003D083E">
        <w:t xml:space="preserve">ork together in future.  </w:t>
      </w:r>
      <w:r w:rsidR="00654391">
        <w:t>.</w:t>
      </w:r>
      <w:r w:rsidR="00053172">
        <w:t xml:space="preserve"> </w:t>
      </w:r>
      <w:r w:rsidR="5CDCE6A9">
        <w:t>The</w:t>
      </w:r>
      <w:r w:rsidR="00C868CC">
        <w:t xml:space="preserve"> </w:t>
      </w:r>
      <w:r w:rsidR="004D081B">
        <w:t>MoDA</w:t>
      </w:r>
      <w:r w:rsidR="00C868CC">
        <w:t xml:space="preserve"> Referral </w:t>
      </w:r>
      <w:r w:rsidR="004D081B">
        <w:t>Pathway</w:t>
      </w:r>
      <w:r w:rsidR="00C868CC">
        <w:t xml:space="preserve"> </w:t>
      </w:r>
      <w:r w:rsidR="644A188E">
        <w:t xml:space="preserve">and AWHI </w:t>
      </w:r>
      <w:r w:rsidR="00C868CC">
        <w:t>have different and quite complementary strengths</w:t>
      </w:r>
      <w:r w:rsidR="004F59CC">
        <w:t>.</w:t>
      </w:r>
      <w:r w:rsidR="00C868CC">
        <w:t xml:space="preserve"> </w:t>
      </w:r>
    </w:p>
    <w:p w14:paraId="068A6146" w14:textId="70F04A6F" w:rsidR="00C868CC" w:rsidRDefault="00A46983" w:rsidP="00A46983">
      <w:pPr>
        <w:pStyle w:val="Caption"/>
      </w:pPr>
      <w:bookmarkStart w:id="254" w:name="_Toc75943062"/>
      <w:bookmarkStart w:id="255" w:name="_Toc77776101"/>
      <w:bookmarkEnd w:id="239"/>
      <w:r>
        <w:t xml:space="preserve">Table </w:t>
      </w:r>
      <w:r>
        <w:fldChar w:fldCharType="begin"/>
      </w:r>
      <w:r>
        <w:instrText>SEQ Table \* ARABIC</w:instrText>
      </w:r>
      <w:r>
        <w:fldChar w:fldCharType="separate"/>
      </w:r>
      <w:r w:rsidR="00AA3031">
        <w:rPr>
          <w:noProof/>
        </w:rPr>
        <w:t>5</w:t>
      </w:r>
      <w:r>
        <w:fldChar w:fldCharType="end"/>
      </w:r>
      <w:r>
        <w:t>.</w:t>
      </w:r>
      <w:r w:rsidR="00D84D79">
        <w:t xml:space="preserve"> Strengths observed in the </w:t>
      </w:r>
      <w:r w:rsidR="004D081B">
        <w:t>MoDA</w:t>
      </w:r>
      <w:r w:rsidR="00D84D79">
        <w:t xml:space="preserve"> Referral </w:t>
      </w:r>
      <w:r w:rsidR="004D081B">
        <w:t>Pathway</w:t>
      </w:r>
      <w:r w:rsidR="00D84D79">
        <w:t xml:space="preserve"> and AWHI</w:t>
      </w:r>
      <w:bookmarkEnd w:id="254"/>
      <w:bookmarkEnd w:id="255"/>
      <w:r w:rsidR="00D84D7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13DC1" w14:paraId="691D0018" w14:textId="77777777" w:rsidTr="00A31DA9">
        <w:tc>
          <w:tcPr>
            <w:tcW w:w="4508" w:type="dxa"/>
            <w:shd w:val="clear" w:color="auto" w:fill="B4C6E7" w:themeFill="accent1" w:themeFillTint="66"/>
          </w:tcPr>
          <w:p w14:paraId="40B25E9A" w14:textId="45930140" w:rsidR="00C13DC1" w:rsidRDefault="004D081B" w:rsidP="009B068B">
            <w:r>
              <w:t>MoDA Referral Pathway</w:t>
            </w:r>
          </w:p>
        </w:tc>
        <w:tc>
          <w:tcPr>
            <w:tcW w:w="4508" w:type="dxa"/>
            <w:shd w:val="clear" w:color="auto" w:fill="B4C6E7" w:themeFill="accent1" w:themeFillTint="66"/>
          </w:tcPr>
          <w:p w14:paraId="15E40EEB" w14:textId="77777777" w:rsidR="00C13DC1" w:rsidRDefault="00C13DC1" w:rsidP="009B068B">
            <w:r>
              <w:t>AWHI</w:t>
            </w:r>
          </w:p>
        </w:tc>
      </w:tr>
      <w:tr w:rsidR="00C13DC1" w14:paraId="504599E1" w14:textId="77777777" w:rsidTr="00A31DA9">
        <w:tc>
          <w:tcPr>
            <w:tcW w:w="4508" w:type="dxa"/>
          </w:tcPr>
          <w:p w14:paraId="189997CD" w14:textId="19930583" w:rsidR="00C13DC1" w:rsidRPr="00D675C4" w:rsidRDefault="00C13DC1"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 xml:space="preserve">someone </w:t>
            </w:r>
            <w:r w:rsidR="00B246F5" w:rsidRPr="00B246F5">
              <w:rPr>
                <w:rStyle w:val="normaltextrun1"/>
                <w:rFonts w:ascii="Calibri" w:hAnsi="Calibri" w:cs="Calibri"/>
                <w:sz w:val="22"/>
                <w:szCs w:val="22"/>
                <w:lang w:eastAsia="en-NZ"/>
              </w:rPr>
              <w:t>is available</w:t>
            </w:r>
            <w:r w:rsidRPr="00D675C4">
              <w:rPr>
                <w:rStyle w:val="normaltextrun1"/>
                <w:rFonts w:ascii="Calibri" w:hAnsi="Calibri" w:cs="Calibri"/>
                <w:sz w:val="22"/>
                <w:szCs w:val="22"/>
                <w:lang w:eastAsia="en-NZ"/>
              </w:rPr>
              <w:t xml:space="preserve"> on the line </w:t>
            </w:r>
            <w:r w:rsidR="00B246F5">
              <w:rPr>
                <w:rStyle w:val="normaltextrun1"/>
                <w:rFonts w:ascii="Calibri" w:hAnsi="Calibri" w:cs="Calibri"/>
                <w:sz w:val="22"/>
                <w:szCs w:val="22"/>
                <w:lang w:eastAsia="en-NZ"/>
              </w:rPr>
              <w:t>around the clock</w:t>
            </w:r>
            <w:r w:rsidRPr="00D675C4">
              <w:rPr>
                <w:rStyle w:val="normaltextrun1"/>
                <w:rFonts w:ascii="Calibri" w:hAnsi="Calibri" w:cs="Calibri"/>
                <w:sz w:val="22"/>
                <w:szCs w:val="22"/>
                <w:lang w:eastAsia="en-NZ"/>
              </w:rPr>
              <w:t xml:space="preserve"> when a person is ready to talk </w:t>
            </w:r>
          </w:p>
          <w:p w14:paraId="4A47A5CF" w14:textId="77777777" w:rsidR="00C13DC1" w:rsidRPr="00D675C4" w:rsidRDefault="00C13DC1"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a qualified phone counsellor can make sure the person gets to the right service</w:t>
            </w:r>
          </w:p>
          <w:p w14:paraId="39B0E52B" w14:textId="5E012A65" w:rsidR="00C13DC1" w:rsidRPr="00D675C4" w:rsidRDefault="00A22869"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r</w:t>
            </w:r>
            <w:r w:rsidR="00C13DC1" w:rsidRPr="00D675C4">
              <w:rPr>
                <w:rStyle w:val="normaltextrun1"/>
                <w:rFonts w:ascii="Calibri" w:hAnsi="Calibri" w:cs="Calibri"/>
                <w:sz w:val="22"/>
                <w:szCs w:val="22"/>
                <w:lang w:eastAsia="en-NZ"/>
              </w:rPr>
              <w:t xml:space="preserve">eferrals to face to face services – referred to publicly-funded services, on the expectation these will be maintained </w:t>
            </w:r>
          </w:p>
          <w:p w14:paraId="52547CD5" w14:textId="77777777" w:rsidR="00C13DC1" w:rsidRDefault="00C13DC1" w:rsidP="009B068B"/>
        </w:tc>
        <w:tc>
          <w:tcPr>
            <w:tcW w:w="4508" w:type="dxa"/>
          </w:tcPr>
          <w:p w14:paraId="4FA20470" w14:textId="71D448A5" w:rsidR="005C2320" w:rsidRPr="00D675C4" w:rsidRDefault="00832D68"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can offer a broad range of health and social supports</w:t>
            </w:r>
          </w:p>
          <w:p w14:paraId="0E45EBE5" w14:textId="4302707B" w:rsidR="00C13DC1" w:rsidRPr="00D675C4" w:rsidRDefault="00C13DC1"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Monitors providers and individual referrals – a requirement that the provider can take the call within 48 hours, and if this does not happen, a person will be referred on</w:t>
            </w:r>
          </w:p>
          <w:p w14:paraId="2B7774FA" w14:textId="77777777" w:rsidR="00C13DC1" w:rsidRPr="00D675C4" w:rsidRDefault="00C13DC1" w:rsidP="00B603EC">
            <w:pPr>
              <w:pStyle w:val="CommentText"/>
              <w:numPr>
                <w:ilvl w:val="0"/>
                <w:numId w:val="7"/>
              </w:numPr>
              <w:textAlignment w:val="baseline"/>
              <w:rPr>
                <w:rStyle w:val="normaltextrun1"/>
                <w:rFonts w:ascii="Calibri" w:hAnsi="Calibri" w:cs="Calibri"/>
                <w:sz w:val="22"/>
                <w:szCs w:val="22"/>
                <w:lang w:eastAsia="en-NZ"/>
              </w:rPr>
            </w:pPr>
            <w:r w:rsidRPr="00D675C4">
              <w:rPr>
                <w:rStyle w:val="normaltextrun1"/>
                <w:rFonts w:ascii="Calibri" w:hAnsi="Calibri" w:cs="Calibri"/>
                <w:sz w:val="22"/>
                <w:szCs w:val="22"/>
                <w:lang w:eastAsia="en-NZ"/>
              </w:rPr>
              <w:t>based on strong relationships between Police and providers</w:t>
            </w:r>
          </w:p>
          <w:p w14:paraId="20CF6AEC" w14:textId="77777777" w:rsidR="00C13DC1" w:rsidRDefault="00C13DC1" w:rsidP="00B603EC">
            <w:pPr>
              <w:pStyle w:val="CommentText"/>
              <w:numPr>
                <w:ilvl w:val="0"/>
                <w:numId w:val="7"/>
              </w:numPr>
              <w:textAlignment w:val="baseline"/>
            </w:pPr>
            <w:r w:rsidRPr="00D675C4">
              <w:rPr>
                <w:rStyle w:val="normaltextrun1"/>
                <w:rFonts w:ascii="Calibri" w:hAnsi="Calibri" w:cs="Calibri"/>
                <w:sz w:val="22"/>
                <w:szCs w:val="22"/>
                <w:lang w:eastAsia="en-NZ"/>
              </w:rPr>
              <w:t>strong buy-in by Police</w:t>
            </w:r>
            <w:r>
              <w:t xml:space="preserve"> </w:t>
            </w:r>
          </w:p>
        </w:tc>
      </w:tr>
    </w:tbl>
    <w:p w14:paraId="7023F174" w14:textId="77777777" w:rsidR="00BD2E42" w:rsidRDefault="00BD2E42" w:rsidP="00BD2E42">
      <w:pPr>
        <w:pStyle w:val="CommentText"/>
        <w:spacing w:after="0"/>
        <w:textAlignment w:val="baseline"/>
        <w:rPr>
          <w:rStyle w:val="normaltextrun1"/>
          <w:rFonts w:ascii="Calibri" w:hAnsi="Calibri" w:cs="Calibri"/>
          <w:sz w:val="22"/>
          <w:szCs w:val="22"/>
        </w:rPr>
      </w:pPr>
    </w:p>
    <w:p w14:paraId="74B4179A" w14:textId="1E98762C" w:rsidR="00963AA5" w:rsidRDefault="00735796" w:rsidP="00963AA5">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lastRenderedPageBreak/>
        <w:t>Conversations</w:t>
      </w:r>
      <w:r w:rsidR="002A4A5C" w:rsidRPr="00963AA5">
        <w:rPr>
          <w:rStyle w:val="normaltextrun1"/>
          <w:rFonts w:ascii="Calibri" w:hAnsi="Calibri" w:cs="Calibri"/>
          <w:sz w:val="22"/>
          <w:szCs w:val="22"/>
        </w:rPr>
        <w:t xml:space="preserve"> are needed on how both systems </w:t>
      </w:r>
      <w:r w:rsidR="001B0430" w:rsidRPr="00963AA5">
        <w:rPr>
          <w:rStyle w:val="normaltextrun1"/>
          <w:rFonts w:ascii="Calibri" w:hAnsi="Calibri" w:cs="Calibri"/>
          <w:sz w:val="22"/>
          <w:szCs w:val="22"/>
        </w:rPr>
        <w:t>complement one another</w:t>
      </w:r>
      <w:r w:rsidR="00FE6CBD" w:rsidRPr="00963AA5">
        <w:rPr>
          <w:rStyle w:val="normaltextrun1"/>
          <w:rFonts w:ascii="Calibri" w:hAnsi="Calibri" w:cs="Calibri"/>
          <w:sz w:val="22"/>
          <w:szCs w:val="22"/>
        </w:rPr>
        <w:t xml:space="preserve"> and </w:t>
      </w:r>
      <w:r w:rsidR="009F5E2C">
        <w:rPr>
          <w:rStyle w:val="normaltextrun1"/>
          <w:rFonts w:ascii="Calibri" w:hAnsi="Calibri" w:cs="Calibri"/>
          <w:sz w:val="22"/>
          <w:szCs w:val="22"/>
        </w:rPr>
        <w:t>can better align</w:t>
      </w:r>
      <w:r>
        <w:rPr>
          <w:rStyle w:val="normaltextrun1"/>
          <w:rFonts w:ascii="Calibri" w:hAnsi="Calibri" w:cs="Calibri"/>
          <w:sz w:val="22"/>
          <w:szCs w:val="22"/>
        </w:rPr>
        <w:t xml:space="preserve"> in the future</w:t>
      </w:r>
      <w:r w:rsidR="00A64349">
        <w:rPr>
          <w:rStyle w:val="normaltextrun1"/>
          <w:rFonts w:ascii="Calibri" w:hAnsi="Calibri" w:cs="Calibri"/>
          <w:sz w:val="22"/>
          <w:szCs w:val="22"/>
        </w:rPr>
        <w:t xml:space="preserve">, </w:t>
      </w:r>
      <w:r w:rsidR="00FE6CBD" w:rsidRPr="00963AA5">
        <w:rPr>
          <w:rStyle w:val="normaltextrun1"/>
          <w:rFonts w:ascii="Calibri" w:hAnsi="Calibri" w:cs="Calibri"/>
          <w:sz w:val="22"/>
          <w:szCs w:val="22"/>
        </w:rPr>
        <w:t xml:space="preserve">to support </w:t>
      </w:r>
      <w:r w:rsidR="00A64349">
        <w:rPr>
          <w:rStyle w:val="normaltextrun1"/>
          <w:rFonts w:ascii="Calibri" w:hAnsi="Calibri" w:cs="Calibri"/>
          <w:sz w:val="22"/>
          <w:szCs w:val="22"/>
        </w:rPr>
        <w:t>easy access to services of an appropriate type</w:t>
      </w:r>
      <w:r w:rsidR="00FE6CBD" w:rsidRPr="00963AA5">
        <w:rPr>
          <w:rStyle w:val="normaltextrun1"/>
          <w:rFonts w:ascii="Calibri" w:hAnsi="Calibri" w:cs="Calibri"/>
          <w:sz w:val="22"/>
          <w:szCs w:val="22"/>
        </w:rPr>
        <w:t xml:space="preserve"> </w:t>
      </w:r>
      <w:r w:rsidR="00BE0C22" w:rsidRPr="00963AA5">
        <w:rPr>
          <w:rStyle w:val="normaltextrun1"/>
          <w:rFonts w:ascii="Calibri" w:hAnsi="Calibri" w:cs="Calibri"/>
          <w:sz w:val="22"/>
          <w:szCs w:val="22"/>
        </w:rPr>
        <w:t>and quality</w:t>
      </w:r>
      <w:r w:rsidR="009F5E2C">
        <w:rPr>
          <w:rStyle w:val="normaltextrun1"/>
          <w:rFonts w:ascii="Calibri" w:hAnsi="Calibri" w:cs="Calibri"/>
          <w:sz w:val="22"/>
          <w:szCs w:val="22"/>
        </w:rPr>
        <w:t>.</w:t>
      </w:r>
      <w:r w:rsidR="006005E5" w:rsidRPr="00963AA5">
        <w:rPr>
          <w:rStyle w:val="normaltextrun1"/>
          <w:rFonts w:ascii="Calibri" w:hAnsi="Calibri" w:cs="Calibri"/>
          <w:sz w:val="22"/>
          <w:szCs w:val="22"/>
        </w:rPr>
        <w:t xml:space="preserve"> </w:t>
      </w:r>
      <w:r w:rsidR="00963AA5">
        <w:rPr>
          <w:rStyle w:val="normaltextrun1"/>
          <w:rFonts w:ascii="Calibri" w:hAnsi="Calibri" w:cs="Calibri"/>
          <w:sz w:val="22"/>
          <w:szCs w:val="22"/>
        </w:rPr>
        <w:t>There is potential for funding agencies (eg</w:t>
      </w:r>
      <w:r w:rsidR="00622F28">
        <w:rPr>
          <w:rStyle w:val="normaltextrun1"/>
          <w:rFonts w:ascii="Calibri" w:hAnsi="Calibri" w:cs="Calibri"/>
          <w:sz w:val="22"/>
          <w:szCs w:val="22"/>
        </w:rPr>
        <w:t>,</w:t>
      </w:r>
      <w:r w:rsidR="00963AA5">
        <w:rPr>
          <w:rStyle w:val="normaltextrun1"/>
          <w:rFonts w:ascii="Calibri" w:hAnsi="Calibri" w:cs="Calibri"/>
          <w:sz w:val="22"/>
          <w:szCs w:val="22"/>
        </w:rPr>
        <w:t xml:space="preserve"> </w:t>
      </w:r>
      <w:r w:rsidR="504322B3" w:rsidRPr="11ACC6A2">
        <w:rPr>
          <w:rStyle w:val="normaltextrun1"/>
          <w:rFonts w:ascii="Calibri" w:hAnsi="Calibri" w:cs="Calibri"/>
          <w:sz w:val="22"/>
          <w:szCs w:val="22"/>
        </w:rPr>
        <w:t>DHBs</w:t>
      </w:r>
      <w:r w:rsidR="00963AA5">
        <w:rPr>
          <w:rStyle w:val="normaltextrun1"/>
          <w:rFonts w:ascii="Calibri" w:hAnsi="Calibri" w:cs="Calibri"/>
          <w:sz w:val="22"/>
          <w:szCs w:val="22"/>
        </w:rPr>
        <w:t>, the Ministry of Social Development) to provide specialist assistance for the selection of providers, to expand on the options available and support quality referrals (</w:t>
      </w:r>
      <w:proofErr w:type="spellStart"/>
      <w:r w:rsidR="00963AA5">
        <w:rPr>
          <w:rStyle w:val="normaltextrun1"/>
          <w:rFonts w:ascii="Calibri" w:hAnsi="Calibri" w:cs="Calibri"/>
          <w:sz w:val="22"/>
          <w:szCs w:val="22"/>
        </w:rPr>
        <w:t>eg.</w:t>
      </w:r>
      <w:proofErr w:type="spellEnd"/>
      <w:r w:rsidR="00963AA5">
        <w:rPr>
          <w:rStyle w:val="normaltextrun1"/>
          <w:rFonts w:ascii="Calibri" w:hAnsi="Calibri" w:cs="Calibri"/>
          <w:sz w:val="22"/>
          <w:szCs w:val="22"/>
        </w:rPr>
        <w:t xml:space="preserve"> mechanisms to address any quality concerns).  </w:t>
      </w:r>
    </w:p>
    <w:p w14:paraId="2F009791" w14:textId="1D1B05C9" w:rsidR="008D3D88" w:rsidRDefault="008D3D88" w:rsidP="00963AA5">
      <w:pPr>
        <w:pStyle w:val="CommentText"/>
        <w:textAlignment w:val="baseline"/>
        <w:rPr>
          <w:rStyle w:val="normaltextrun1"/>
          <w:rFonts w:ascii="Calibri" w:hAnsi="Calibri" w:cs="Calibri"/>
          <w:sz w:val="22"/>
          <w:szCs w:val="22"/>
        </w:rPr>
      </w:pPr>
      <w:r>
        <w:rPr>
          <w:rStyle w:val="normaltextrun1"/>
          <w:rFonts w:ascii="Calibri" w:hAnsi="Calibri" w:cs="Calibri"/>
          <w:sz w:val="22"/>
          <w:szCs w:val="22"/>
        </w:rPr>
        <w:t xml:space="preserve">We also </w:t>
      </w:r>
      <w:r w:rsidR="00683A20">
        <w:rPr>
          <w:rStyle w:val="normaltextrun1"/>
          <w:rFonts w:ascii="Calibri" w:hAnsi="Calibri" w:cs="Calibri"/>
          <w:sz w:val="22"/>
          <w:szCs w:val="22"/>
        </w:rPr>
        <w:t>consider</w:t>
      </w:r>
      <w:r>
        <w:rPr>
          <w:rStyle w:val="normaltextrun1"/>
          <w:rFonts w:ascii="Calibri" w:hAnsi="Calibri" w:cs="Calibri"/>
          <w:sz w:val="22"/>
          <w:szCs w:val="22"/>
        </w:rPr>
        <w:t xml:space="preserve"> the</w:t>
      </w:r>
      <w:r w:rsidR="002776A5">
        <w:rPr>
          <w:rStyle w:val="normaltextrun1"/>
          <w:rFonts w:ascii="Calibri" w:hAnsi="Calibri" w:cs="Calibri"/>
          <w:sz w:val="22"/>
          <w:szCs w:val="22"/>
        </w:rPr>
        <w:t xml:space="preserve">re is </w:t>
      </w:r>
      <w:r w:rsidR="00FC3DB3">
        <w:rPr>
          <w:rStyle w:val="normaltextrun1"/>
          <w:rFonts w:ascii="Calibri" w:hAnsi="Calibri" w:cs="Calibri"/>
          <w:sz w:val="22"/>
          <w:szCs w:val="22"/>
        </w:rPr>
        <w:t>potential</w:t>
      </w:r>
      <w:r w:rsidR="002776A5">
        <w:rPr>
          <w:rStyle w:val="normaltextrun1"/>
          <w:rFonts w:ascii="Calibri" w:hAnsi="Calibri" w:cs="Calibri"/>
          <w:sz w:val="22"/>
          <w:szCs w:val="22"/>
        </w:rPr>
        <w:t xml:space="preserve"> for both </w:t>
      </w:r>
      <w:r w:rsidR="003551DE">
        <w:rPr>
          <w:rStyle w:val="normaltextrun1"/>
          <w:rFonts w:ascii="Calibri" w:hAnsi="Calibri" w:cs="Calibri"/>
          <w:sz w:val="22"/>
          <w:szCs w:val="22"/>
        </w:rPr>
        <w:t>referral pathways</w:t>
      </w:r>
      <w:r w:rsidR="009E4E4E">
        <w:rPr>
          <w:rStyle w:val="normaltextrun1"/>
          <w:rFonts w:ascii="Calibri" w:hAnsi="Calibri" w:cs="Calibri"/>
          <w:sz w:val="22"/>
          <w:szCs w:val="22"/>
        </w:rPr>
        <w:t xml:space="preserve"> to be </w:t>
      </w:r>
      <w:r w:rsidR="00FC3DB3">
        <w:rPr>
          <w:rStyle w:val="normaltextrun1"/>
          <w:rFonts w:ascii="Calibri" w:hAnsi="Calibri" w:cs="Calibri"/>
          <w:sz w:val="22"/>
          <w:szCs w:val="22"/>
        </w:rPr>
        <w:t>improved</w:t>
      </w:r>
      <w:r w:rsidR="003551DE">
        <w:rPr>
          <w:rStyle w:val="normaltextrun1"/>
          <w:rFonts w:ascii="Calibri" w:hAnsi="Calibri" w:cs="Calibri"/>
          <w:sz w:val="22"/>
          <w:szCs w:val="22"/>
        </w:rPr>
        <w:t xml:space="preserve">, </w:t>
      </w:r>
      <w:r w:rsidR="00FC3DB3">
        <w:rPr>
          <w:rStyle w:val="normaltextrun1"/>
          <w:rFonts w:ascii="Calibri" w:hAnsi="Calibri" w:cs="Calibri"/>
          <w:sz w:val="22"/>
          <w:szCs w:val="22"/>
        </w:rPr>
        <w:t>and</w:t>
      </w:r>
      <w:r w:rsidR="003551DE">
        <w:rPr>
          <w:rStyle w:val="normaltextrun1"/>
          <w:rFonts w:ascii="Calibri" w:hAnsi="Calibri" w:cs="Calibri"/>
          <w:sz w:val="22"/>
          <w:szCs w:val="22"/>
        </w:rPr>
        <w:t xml:space="preserve"> ensure they are evidence-based, safe, and facilitate easy access to the most appropriate service or </w:t>
      </w:r>
      <w:r w:rsidR="00AE77C5">
        <w:rPr>
          <w:rStyle w:val="normaltextrun1"/>
          <w:rFonts w:ascii="Calibri" w:hAnsi="Calibri" w:cs="Calibri"/>
          <w:sz w:val="22"/>
          <w:szCs w:val="22"/>
        </w:rPr>
        <w:t>other</w:t>
      </w:r>
      <w:r w:rsidR="003551DE">
        <w:rPr>
          <w:rStyle w:val="normaltextrun1"/>
          <w:rFonts w:ascii="Calibri" w:hAnsi="Calibri" w:cs="Calibri"/>
          <w:sz w:val="22"/>
          <w:szCs w:val="22"/>
        </w:rPr>
        <w:t xml:space="preserve"> support.  </w:t>
      </w:r>
      <w:r w:rsidR="00DE6D3E">
        <w:rPr>
          <w:rStyle w:val="normaltextrun1"/>
          <w:rFonts w:ascii="Calibri" w:hAnsi="Calibri" w:cs="Calibri"/>
          <w:sz w:val="22"/>
          <w:szCs w:val="22"/>
        </w:rPr>
        <w:t xml:space="preserve">For example, at different stages both referral pathways are using cold calling, which is not supported by the evidence base. </w:t>
      </w:r>
      <w:r w:rsidR="007557F0">
        <w:rPr>
          <w:rStyle w:val="normaltextrun1"/>
          <w:rFonts w:ascii="Calibri" w:hAnsi="Calibri" w:cs="Calibri"/>
          <w:sz w:val="22"/>
          <w:szCs w:val="22"/>
        </w:rPr>
        <w:t xml:space="preserve"> </w:t>
      </w:r>
      <w:r w:rsidR="003F1CFB">
        <w:rPr>
          <w:rStyle w:val="normaltextrun1"/>
          <w:rFonts w:ascii="Calibri" w:hAnsi="Calibri" w:cs="Calibri"/>
          <w:sz w:val="22"/>
          <w:szCs w:val="22"/>
        </w:rPr>
        <w:t xml:space="preserve">We also consider </w:t>
      </w:r>
      <w:r w:rsidR="001E2F50">
        <w:rPr>
          <w:rStyle w:val="normaltextrun1"/>
          <w:rFonts w:ascii="Calibri" w:hAnsi="Calibri" w:cs="Calibri"/>
          <w:sz w:val="22"/>
          <w:szCs w:val="22"/>
        </w:rPr>
        <w:t xml:space="preserve">further research </w:t>
      </w:r>
      <w:r w:rsidR="00D76B32">
        <w:rPr>
          <w:rStyle w:val="normaltextrun1"/>
          <w:rFonts w:ascii="Calibri" w:hAnsi="Calibri" w:cs="Calibri"/>
          <w:sz w:val="22"/>
          <w:szCs w:val="22"/>
        </w:rPr>
        <w:t>could be warr</w:t>
      </w:r>
      <w:r w:rsidR="00542279">
        <w:rPr>
          <w:rStyle w:val="normaltextrun1"/>
          <w:rFonts w:ascii="Calibri" w:hAnsi="Calibri" w:cs="Calibri"/>
          <w:sz w:val="22"/>
          <w:szCs w:val="22"/>
        </w:rPr>
        <w:t>anted</w:t>
      </w:r>
      <w:r w:rsidR="001E2F50">
        <w:rPr>
          <w:rStyle w:val="normaltextrun1"/>
          <w:rFonts w:ascii="Calibri" w:hAnsi="Calibri" w:cs="Calibri"/>
          <w:sz w:val="22"/>
          <w:szCs w:val="22"/>
        </w:rPr>
        <w:t xml:space="preserve"> into the engagement following these referrals, to understand the proportion of referrals that end up in engagement</w:t>
      </w:r>
      <w:r w:rsidR="00DE2AA5">
        <w:rPr>
          <w:rStyle w:val="normaltextrun1"/>
          <w:rFonts w:ascii="Calibri" w:hAnsi="Calibri" w:cs="Calibri"/>
          <w:sz w:val="22"/>
          <w:szCs w:val="22"/>
        </w:rPr>
        <w:t xml:space="preserve"> and how that relates to need, </w:t>
      </w:r>
      <w:r w:rsidR="00606A37">
        <w:rPr>
          <w:rStyle w:val="normaltextrun1"/>
          <w:rFonts w:ascii="Calibri" w:hAnsi="Calibri" w:cs="Calibri"/>
          <w:sz w:val="22"/>
          <w:szCs w:val="22"/>
        </w:rPr>
        <w:t>whether people are being referred through to appropriate services</w:t>
      </w:r>
      <w:r w:rsidR="006447F4">
        <w:rPr>
          <w:rStyle w:val="normaltextrun1"/>
          <w:rFonts w:ascii="Calibri" w:hAnsi="Calibri" w:cs="Calibri"/>
          <w:sz w:val="22"/>
          <w:szCs w:val="22"/>
        </w:rPr>
        <w:t>, and what kinds of options and choice they are able to exercise</w:t>
      </w:r>
      <w:r w:rsidR="00606A37">
        <w:rPr>
          <w:rStyle w:val="normaltextrun1"/>
          <w:rFonts w:ascii="Calibri" w:hAnsi="Calibri" w:cs="Calibri"/>
          <w:sz w:val="22"/>
          <w:szCs w:val="22"/>
        </w:rPr>
        <w:t xml:space="preserve">.  </w:t>
      </w:r>
    </w:p>
    <w:p w14:paraId="3556DB16" w14:textId="4F934D3B" w:rsidR="009F28C3" w:rsidRDefault="009F28C3" w:rsidP="000D5E1B">
      <w:pPr>
        <w:pStyle w:val="Heading5"/>
      </w:pPr>
      <w:r>
        <w:t xml:space="preserve">Capacity of mental health and addiction services </w:t>
      </w:r>
    </w:p>
    <w:p w14:paraId="667CA2F2" w14:textId="3DE4D9C2" w:rsidR="006B0074" w:rsidRPr="000E2856" w:rsidRDefault="000C20C8" w:rsidP="006B0074">
      <w:r w:rsidRPr="000E2856">
        <w:t>T</w:t>
      </w:r>
      <w:r w:rsidR="006B0074" w:rsidRPr="000E2856">
        <w:t>he mental health and addiction system needs the capacity to respond to demands for services</w:t>
      </w:r>
      <w:r w:rsidRPr="000E2856">
        <w:t xml:space="preserve"> </w:t>
      </w:r>
      <w:r w:rsidR="00D96DDD" w:rsidRPr="000E2856">
        <w:t>t</w:t>
      </w:r>
      <w:r w:rsidRPr="000E2856">
        <w:t>o support a health-based approach</w:t>
      </w:r>
      <w:r w:rsidR="006B0074" w:rsidRPr="000E2856">
        <w:t>. The scope of the review has not allowed for a deep examination of the health response, but it is important to understand the complete picture to be able to measure success of the shift to a health-based approach.  This will be an important part of the 2024 review.</w:t>
      </w:r>
    </w:p>
    <w:p w14:paraId="5683FD4C" w14:textId="77777777" w:rsidR="006B0074" w:rsidRDefault="006B0074" w:rsidP="006B0074">
      <w:pPr>
        <w:spacing w:line="240" w:lineRule="auto"/>
        <w:textAlignment w:val="baseline"/>
        <w:rPr>
          <w:rFonts w:ascii="Calibri" w:eastAsia="Times New Roman" w:hAnsi="Calibri" w:cs="Calibri"/>
          <w:lang w:eastAsia="en-NZ"/>
        </w:rPr>
      </w:pPr>
      <w:r w:rsidRPr="000E2856">
        <w:t xml:space="preserve">We do know that currently there is not a consistent range of alcohol and other drug supports in place across the country with capacity to meet all of the demand that referrals from Police and other sources (primary health care, Oranga Tamariki, Courts, social services) generate. </w:t>
      </w:r>
      <w:r w:rsidRPr="000E2856">
        <w:rPr>
          <w:sz w:val="20"/>
          <w:szCs w:val="20"/>
        </w:rPr>
        <w:t>The</w:t>
      </w:r>
      <w:r w:rsidRPr="000E2856">
        <w:rPr>
          <w:rFonts w:ascii="Calibri" w:eastAsia="Times New Roman" w:hAnsi="Calibri" w:cs="Calibri"/>
          <w:lang w:eastAsia="en-NZ"/>
        </w:rPr>
        <w:t xml:space="preserve"> investment in Budget 2019 in mental health and addiction services is intended to bolster existing services and establish new initiatives.</w:t>
      </w:r>
    </w:p>
    <w:p w14:paraId="51FC4EEE" w14:textId="5F0AA7AB" w:rsidR="008204E5" w:rsidRDefault="006B0074" w:rsidP="00424153">
      <w:pPr>
        <w:spacing w:line="256" w:lineRule="auto"/>
      </w:pPr>
      <w:r w:rsidRPr="000E2856">
        <w:t>T</w:t>
      </w:r>
      <w:r w:rsidR="00BB2DE5" w:rsidRPr="000E2856">
        <w:t>he</w:t>
      </w:r>
      <w:r w:rsidRPr="000E2856">
        <w:t>re are not the supports in p</w:t>
      </w:r>
      <w:r w:rsidR="00BB2DE5" w:rsidRPr="000E2856">
        <w:t>lace across the country with capacity to respond to</w:t>
      </w:r>
      <w:r w:rsidR="009F28C3" w:rsidRPr="009F28C3">
        <w:t xml:space="preserve"> an influx of referrals from Police</w:t>
      </w:r>
      <w:r w:rsidR="004F5E0F">
        <w:t>, and that m</w:t>
      </w:r>
      <w:r w:rsidR="009F28C3" w:rsidRPr="009F28C3">
        <w:t xml:space="preserve">ore referrals would require increased and sustainable funding, as well as upscaling of the workforce and infrastructure surrounding </w:t>
      </w:r>
      <w:r w:rsidR="3B763E50">
        <w:t>alcohol and other drug</w:t>
      </w:r>
      <w:r w:rsidR="009F28C3" w:rsidRPr="009F28C3">
        <w:t xml:space="preserve"> support.</w:t>
      </w:r>
      <w:r w:rsidR="00AD181A">
        <w:t xml:space="preserve"> Both members of the judiciary </w:t>
      </w:r>
      <w:r w:rsidR="50B2FACA">
        <w:t>interviewed</w:t>
      </w:r>
      <w:r w:rsidR="00AD181A">
        <w:t xml:space="preserve"> noted prolonged delays for </w:t>
      </w:r>
      <w:r w:rsidR="005F52B2">
        <w:t xml:space="preserve">residential and drug counselling services, and that this is impacting on the system’s ability to reduce reoffending and improve individual and community outcomes.  </w:t>
      </w:r>
      <w:r w:rsidR="00DA6ACB">
        <w:t>Subject to adequate resourcing</w:t>
      </w:r>
      <w:r w:rsidR="00C37BAC">
        <w:t xml:space="preserve"> being in place</w:t>
      </w:r>
      <w:r w:rsidR="00DA6ACB">
        <w:t>, t</w:t>
      </w:r>
      <w:r w:rsidR="00424153" w:rsidRPr="00424153">
        <w:t>here may be more scope for the health and addiction sector to upscale harm reduction services in the short-term.</w:t>
      </w:r>
      <w:r w:rsidR="0031317B">
        <w:t xml:space="preserve">  </w:t>
      </w:r>
    </w:p>
    <w:p w14:paraId="36CF464E" w14:textId="77777777" w:rsidR="008204E5" w:rsidRDefault="008204E5">
      <w:r>
        <w:br w:type="page"/>
      </w:r>
    </w:p>
    <w:p w14:paraId="30A2AE60" w14:textId="5F513BE3" w:rsidR="008A67B0" w:rsidRPr="004A41BB" w:rsidRDefault="008A67B0" w:rsidP="008A67B0">
      <w:pPr>
        <w:pStyle w:val="Heading2"/>
      </w:pPr>
      <w:bookmarkStart w:id="256" w:name="_Toc78186487"/>
      <w:r w:rsidRPr="004A41BB">
        <w:lastRenderedPageBreak/>
        <w:t xml:space="preserve">PART TWO - </w:t>
      </w:r>
      <w:r w:rsidR="000241BE" w:rsidRPr="004A41BB">
        <w:t>REVIEW OF IMPACT OF CLASSIFICATION OF AMB-FUBINACA AND 5F-ADB</w:t>
      </w:r>
      <w:bookmarkEnd w:id="256"/>
    </w:p>
    <w:p w14:paraId="426D97D4" w14:textId="77777777" w:rsidR="00F162EA" w:rsidRPr="004A41BB" w:rsidRDefault="00F162EA" w:rsidP="00F162EA">
      <w:pPr>
        <w:pStyle w:val="Heading3"/>
      </w:pPr>
      <w:bookmarkStart w:id="257" w:name="_Toc77166693"/>
      <w:bookmarkStart w:id="258" w:name="_Toc78186488"/>
      <w:r w:rsidRPr="004A41BB">
        <w:t>Review objectives</w:t>
      </w:r>
      <w:bookmarkEnd w:id="257"/>
      <w:bookmarkEnd w:id="258"/>
      <w:r w:rsidRPr="004A41BB">
        <w:t xml:space="preserve">  </w:t>
      </w:r>
    </w:p>
    <w:p w14:paraId="016686E5" w14:textId="77777777" w:rsidR="00F162EA" w:rsidRPr="004A41BB" w:rsidRDefault="00F162EA" w:rsidP="00F162EA">
      <w:r w:rsidRPr="004A41BB">
        <w:t xml:space="preserve">This part of the review is specific to the amendment which classified two synthetic drugs, AMB-FUBINACA and 5F-ADB in Schedule 1 (Class A controlled drugs) of MoDA. </w:t>
      </w:r>
    </w:p>
    <w:p w14:paraId="5551C1BA" w14:textId="0DA6FE61" w:rsidR="00F162EA" w:rsidRPr="004A41BB" w:rsidRDefault="00F162EA" w:rsidP="00F162EA">
      <w:pPr>
        <w:rPr>
          <w:rFonts w:ascii="Segoe UI" w:eastAsia="Times New Roman" w:hAnsi="Segoe UI" w:cs="Arial"/>
          <w:sz w:val="20"/>
          <w:lang w:eastAsia="en-NZ"/>
        </w:rPr>
      </w:pPr>
      <w:r w:rsidRPr="004A41BB">
        <w:t xml:space="preserve">Classifying the drugs under MoDA increases the offences and penalties that can be imposed for activities such as importing, manufacturing and supply of the drugs, and accordingly Police and Customs have greater search and seizure powers.  These powers increase the ability of Police and Customs to disrupt supply and reduce the availability of the drugs to those who may use them harmfully. </w:t>
      </w:r>
    </w:p>
    <w:p w14:paraId="3C81E1CD" w14:textId="77777777" w:rsidR="00F162EA" w:rsidRPr="004A41BB" w:rsidRDefault="00F162EA" w:rsidP="00F162EA">
      <w:r w:rsidRPr="004A41BB">
        <w:t xml:space="preserve">This part of the review considers the impact classification has had on: </w:t>
      </w:r>
    </w:p>
    <w:p w14:paraId="5DC0439F" w14:textId="77777777" w:rsidR="00F162EA" w:rsidRPr="004A41BB" w:rsidRDefault="00F162EA" w:rsidP="00B603EC">
      <w:pPr>
        <w:pStyle w:val="ListParagraph"/>
        <w:numPr>
          <w:ilvl w:val="0"/>
          <w:numId w:val="19"/>
        </w:numPr>
        <w:spacing w:after="0" w:line="240" w:lineRule="auto"/>
        <w:ind w:left="426" w:hanging="284"/>
      </w:pPr>
      <w:r w:rsidRPr="004A41BB">
        <w:t xml:space="preserve">preventing or reducing drug-related harm from </w:t>
      </w:r>
      <w:bookmarkStart w:id="259" w:name="_Hlk76460776"/>
      <w:r w:rsidRPr="004A41BB">
        <w:t>AMB-FUBINACA and 5F-ADB</w:t>
      </w:r>
      <w:bookmarkEnd w:id="259"/>
      <w:r w:rsidRPr="004A41BB">
        <w:t>, and</w:t>
      </w:r>
    </w:p>
    <w:p w14:paraId="33EF15E9" w14:textId="77777777" w:rsidR="00F162EA" w:rsidRPr="004A41BB" w:rsidRDefault="00F162EA" w:rsidP="00B603EC">
      <w:pPr>
        <w:pStyle w:val="ListParagraph"/>
        <w:numPr>
          <w:ilvl w:val="0"/>
          <w:numId w:val="19"/>
        </w:numPr>
        <w:spacing w:after="120" w:line="240" w:lineRule="auto"/>
        <w:ind w:left="426" w:hanging="284"/>
      </w:pPr>
      <w:r w:rsidRPr="004A41BB">
        <w:t xml:space="preserve">interrupting manufacture, and supply of AMB-FUBINACA and 5F-ADB.    </w:t>
      </w:r>
    </w:p>
    <w:p w14:paraId="6E9E87B8" w14:textId="77777777" w:rsidR="008204E5" w:rsidRPr="004A41BB" w:rsidRDefault="00F162EA" w:rsidP="00F478A4">
      <w:pPr>
        <w:autoSpaceDE w:val="0"/>
        <w:autoSpaceDN w:val="0"/>
        <w:adjustRightInd w:val="0"/>
        <w:spacing w:after="120" w:line="240" w:lineRule="auto"/>
      </w:pPr>
      <w:r w:rsidRPr="004A41BB">
        <w:t>The review does not investigate broader policy issues, such as the rationale for classifying AMB-FUBINACA and 5F-ADB as Class A controlled drugs under MoDA.</w:t>
      </w:r>
    </w:p>
    <w:p w14:paraId="5F5A97D5" w14:textId="77777777" w:rsidR="008204E5" w:rsidRPr="004A41BB" w:rsidRDefault="008204E5" w:rsidP="00F478A4">
      <w:pPr>
        <w:pStyle w:val="Heading3"/>
        <w:spacing w:after="120"/>
      </w:pPr>
      <w:bookmarkStart w:id="260" w:name="_Hlk76393415"/>
      <w:bookmarkStart w:id="261" w:name="_Toc77166694"/>
      <w:bookmarkStart w:id="262" w:name="_Toc78186489"/>
      <w:r w:rsidRPr="004A41BB">
        <w:t>What are AMB-FUBINACA and 5F-ADB</w:t>
      </w:r>
      <w:bookmarkEnd w:id="260"/>
      <w:r w:rsidRPr="004A41BB">
        <w:t>?</w:t>
      </w:r>
      <w:bookmarkEnd w:id="261"/>
      <w:bookmarkEnd w:id="262"/>
    </w:p>
    <w:p w14:paraId="317FA7C9" w14:textId="0DC0F44B" w:rsidR="008204E5" w:rsidRPr="004A41BB" w:rsidRDefault="008204E5" w:rsidP="008204E5">
      <w:pPr>
        <w:contextualSpacing/>
        <w:rPr>
          <w:lang w:val="en-AU"/>
        </w:rPr>
      </w:pPr>
      <w:bookmarkStart w:id="263" w:name="_Hlk77058610"/>
      <w:r w:rsidRPr="004A41BB">
        <w:t>AMB-FUBINACA and 5F-ADB</w:t>
      </w:r>
      <w:bookmarkEnd w:id="263"/>
      <w:r w:rsidRPr="004A41BB">
        <w:t xml:space="preserve"> are synthetic cannabinoids.  Synthetic cannabinoids are a broad collection of manufactured substances </w:t>
      </w:r>
      <w:r w:rsidRPr="004A41BB">
        <w:rPr>
          <w:lang w:val="en-AU"/>
        </w:rPr>
        <w:t>that act on the cannabinoid receptors in the body. The compounds are ordinarily imported as a powder which are then dissolved and sprayed on plant material</w:t>
      </w:r>
      <w:r w:rsidR="00C16DBC">
        <w:rPr>
          <w:lang w:val="en-AU"/>
        </w:rPr>
        <w:t xml:space="preserve"> such as </w:t>
      </w:r>
      <w:r w:rsidR="00C16DBC">
        <w:t xml:space="preserve">damiana or other plant material.  This is then sold as synthetic cannabis.  </w:t>
      </w:r>
      <w:r w:rsidRPr="004A41BB">
        <w:rPr>
          <w:lang w:val="en-AU"/>
        </w:rPr>
        <w:t xml:space="preserve">Some synthetic cannabinoids have a high risk of harm even when used at low doses.  Health-related harms from </w:t>
      </w:r>
      <w:r w:rsidRPr="004A41BB">
        <w:t>AMB-FUBINACA and 5F-ADB</w:t>
      </w:r>
      <w:r w:rsidRPr="004A41BB">
        <w:rPr>
          <w:lang w:val="en-AU"/>
        </w:rPr>
        <w:t xml:space="preserve"> include severe nausea, loss of consciousness, cardiac and neurological irregularities, seizures, loss of consciousness and death.   </w:t>
      </w:r>
    </w:p>
    <w:p w14:paraId="0954A8F5" w14:textId="77777777" w:rsidR="008204E5" w:rsidRPr="004A41BB" w:rsidRDefault="008204E5" w:rsidP="008204E5">
      <w:pPr>
        <w:contextualSpacing/>
        <w:rPr>
          <w:lang w:val="en-AU"/>
        </w:rPr>
      </w:pPr>
    </w:p>
    <w:p w14:paraId="0FE277CE" w14:textId="14EA23A3" w:rsidR="008204E5" w:rsidRPr="004A41BB" w:rsidRDefault="008204E5" w:rsidP="008204E5">
      <w:pPr>
        <w:contextualSpacing/>
        <w:rPr>
          <w:lang w:val="en-AU"/>
        </w:rPr>
      </w:pPr>
      <w:r w:rsidRPr="004A41BB">
        <w:rPr>
          <w:lang w:val="en-AU"/>
        </w:rPr>
        <w:t>Despite the similarity of name, synthetic cannabinoids bear very little relation to cannabis, meaning cannabis in not a true alternative drug</w:t>
      </w:r>
      <w:r w:rsidR="00950A1B">
        <w:rPr>
          <w:lang w:val="en-AU"/>
        </w:rPr>
        <w:t>.</w:t>
      </w:r>
    </w:p>
    <w:p w14:paraId="7E1AC12B" w14:textId="77777777" w:rsidR="008204E5" w:rsidRPr="004A41BB" w:rsidRDefault="008204E5" w:rsidP="008204E5">
      <w:pPr>
        <w:contextualSpacing/>
        <w:rPr>
          <w:lang w:val="en-AU"/>
        </w:rPr>
      </w:pPr>
    </w:p>
    <w:p w14:paraId="63719CAF" w14:textId="459BC4DE" w:rsidR="008204E5" w:rsidRPr="004A41BB" w:rsidRDefault="008204E5" w:rsidP="008204E5">
      <w:r w:rsidRPr="004A41BB">
        <w:rPr>
          <w:lang w:val="en-AU"/>
        </w:rPr>
        <w:t>Prior to being classified under MoDA</w:t>
      </w:r>
      <w:r w:rsidR="00866D1F">
        <w:rPr>
          <w:lang w:val="en-AU"/>
        </w:rPr>
        <w:t>,</w:t>
      </w:r>
      <w:r w:rsidRPr="004A41BB">
        <w:rPr>
          <w:lang w:val="en-AU"/>
        </w:rPr>
        <w:t xml:space="preserve"> </w:t>
      </w:r>
      <w:r w:rsidRPr="004A41BB">
        <w:t>AMB-FUBINACA and 5F-ADB</w:t>
      </w:r>
      <w:r w:rsidRPr="004A41BB">
        <w:rPr>
          <w:lang w:val="en-AU"/>
        </w:rPr>
        <w:t xml:space="preserve"> were unapproved products under the </w:t>
      </w:r>
      <w:bookmarkStart w:id="264" w:name="_Hlk76646828"/>
      <w:r w:rsidRPr="004A41BB">
        <w:rPr>
          <w:lang w:val="en-AU"/>
        </w:rPr>
        <w:t>Psychoactive Substances Act</w:t>
      </w:r>
      <w:bookmarkEnd w:id="264"/>
      <w:r w:rsidRPr="004A41BB">
        <w:rPr>
          <w:rFonts w:ascii="Segoe UI" w:eastAsia="Times New Roman" w:hAnsi="Segoe UI" w:cs="Arial"/>
          <w:sz w:val="20"/>
          <w:lang w:eastAsia="en-NZ"/>
        </w:rPr>
        <w:t xml:space="preserve">.  The </w:t>
      </w:r>
      <w:r w:rsidRPr="004A41BB">
        <w:t xml:space="preserve">Expert Advisory Committee on Drugs (the Advisory Committee) recommended to the Minister of Health that AMB-FUBINACA and 5F-ADB be classified as Class A drugs because of the risk of harm they pose.  This recommendation was agreed to and included in the 2019 MoDA amendments.  At that time </w:t>
      </w:r>
      <w:r w:rsidR="00866D1F">
        <w:t>AMB-</w:t>
      </w:r>
      <w:r w:rsidRPr="004A41BB">
        <w:t>FUBINACA and 5F-ADB were regarded as posing the greatest risk so quick action was taken.  Currently another 8 synthetic cannabinoids are being considered for classification as Class B1</w:t>
      </w:r>
      <w:r w:rsidR="00866D1F">
        <w:t xml:space="preserve"> controlled drugs</w:t>
      </w:r>
      <w:r w:rsidRPr="004A41BB">
        <w:t xml:space="preserve">.    </w:t>
      </w:r>
    </w:p>
    <w:p w14:paraId="1894CE67" w14:textId="77777777" w:rsidR="008204E5" w:rsidRPr="004A41BB" w:rsidRDefault="008204E5" w:rsidP="008204E5">
      <w:pPr>
        <w:pStyle w:val="Heading3"/>
      </w:pPr>
      <w:bookmarkStart w:id="265" w:name="_Toc77166695"/>
      <w:bookmarkStart w:id="266" w:name="_Toc78186490"/>
      <w:r w:rsidRPr="004A41BB">
        <w:t>Synthetic cannabinoid analogues</w:t>
      </w:r>
      <w:bookmarkEnd w:id="265"/>
      <w:bookmarkEnd w:id="266"/>
      <w:r w:rsidRPr="004A41BB">
        <w:t xml:space="preserve"> </w:t>
      </w:r>
    </w:p>
    <w:p w14:paraId="1FBEFD51" w14:textId="0C2B2063" w:rsidR="008204E5" w:rsidRPr="00866D1F" w:rsidRDefault="008204E5" w:rsidP="008204E5">
      <w:pPr>
        <w:pStyle w:val="ReportBody-MOH"/>
        <w:ind w:left="0" w:firstLine="0"/>
        <w:rPr>
          <w:rFonts w:ascii="Calibri" w:hAnsi="Calibri" w:cs="Calibri"/>
        </w:rPr>
      </w:pPr>
      <w:r w:rsidRPr="00866D1F">
        <w:rPr>
          <w:rFonts w:ascii="Calibri" w:eastAsia="Times New Roman" w:hAnsi="Calibri" w:cs="Calibri"/>
          <w:lang w:eastAsia="en-NZ"/>
        </w:rPr>
        <w:t>Once AMB-FUBINACA and 5F-ADB were classified as Class A controlled drugs, analogues (substances with similar structures) of AMB-FUBINACA and 5F-ADB became controlled drug analogues for the purposes of MoDA</w:t>
      </w:r>
      <w:r w:rsidRPr="00866D1F">
        <w:rPr>
          <w:rStyle w:val="FootnoteReference"/>
          <w:rFonts w:ascii="Calibri" w:eastAsia="Times New Roman" w:hAnsi="Calibri" w:cs="Calibri"/>
          <w:lang w:eastAsia="en-NZ"/>
        </w:rPr>
        <w:footnoteReference w:id="4"/>
      </w:r>
      <w:r w:rsidRPr="00866D1F">
        <w:rPr>
          <w:rFonts w:ascii="Calibri" w:eastAsia="Times New Roman" w:hAnsi="Calibri" w:cs="Calibri"/>
          <w:lang w:eastAsia="en-NZ"/>
        </w:rPr>
        <w:t>.  This means that analogues of AMB-FUBINACA and 5F-ADB are subject to penalties under MoDA</w:t>
      </w:r>
      <w:r w:rsidR="00866D1F">
        <w:rPr>
          <w:rFonts w:ascii="Calibri" w:eastAsia="Times New Roman" w:hAnsi="Calibri" w:cs="Calibri"/>
          <w:lang w:eastAsia="en-NZ"/>
        </w:rPr>
        <w:t>,</w:t>
      </w:r>
      <w:r w:rsidRPr="00866D1F">
        <w:rPr>
          <w:rFonts w:ascii="Calibri" w:eastAsia="Times New Roman" w:hAnsi="Calibri" w:cs="Calibri"/>
          <w:lang w:eastAsia="en-NZ"/>
        </w:rPr>
        <w:t xml:space="preserve"> providing a deterrent for importers, suppliers and manufacturers to move to </w:t>
      </w:r>
      <w:r w:rsidRPr="00866D1F">
        <w:rPr>
          <w:rFonts w:ascii="Calibri" w:hAnsi="Calibri" w:cs="Calibri"/>
        </w:rPr>
        <w:t xml:space="preserve">similar substances.  </w:t>
      </w:r>
    </w:p>
    <w:p w14:paraId="7D08D33B" w14:textId="77777777" w:rsidR="008204E5" w:rsidRPr="004A41BB" w:rsidRDefault="008204E5" w:rsidP="008204E5">
      <w:pPr>
        <w:pStyle w:val="Heading3"/>
      </w:pPr>
      <w:bookmarkStart w:id="267" w:name="_Toc77166696"/>
      <w:bookmarkStart w:id="268" w:name="_Toc78186491"/>
      <w:r w:rsidRPr="004A41BB">
        <w:lastRenderedPageBreak/>
        <w:t xml:space="preserve">A broad range of activities were already underway to </w:t>
      </w:r>
      <w:bookmarkStart w:id="269" w:name="_Toc75361015"/>
      <w:r w:rsidRPr="004A41BB">
        <w:t>address synthetic drug harm</w:t>
      </w:r>
      <w:bookmarkEnd w:id="267"/>
      <w:bookmarkEnd w:id="268"/>
      <w:r w:rsidRPr="004A41BB">
        <w:t xml:space="preserve"> </w:t>
      </w:r>
    </w:p>
    <w:p w14:paraId="569C7139" w14:textId="2C03FE45" w:rsidR="008204E5" w:rsidRPr="004A41BB" w:rsidRDefault="008204E5" w:rsidP="008204E5">
      <w:pPr>
        <w:pStyle w:val="ReportBody-MOH"/>
        <w:ind w:left="0" w:firstLine="0"/>
        <w:rPr>
          <w:rFonts w:asciiTheme="minorHAnsi" w:hAnsiTheme="minorHAnsi" w:cstheme="minorBidi"/>
        </w:rPr>
      </w:pPr>
      <w:r w:rsidRPr="004A41BB">
        <w:rPr>
          <w:rFonts w:asciiTheme="minorHAnsi" w:hAnsiTheme="minorHAnsi" w:cstheme="minorBidi"/>
        </w:rPr>
        <w:t xml:space="preserve">Alongside the policy decisions for legislative change, Cabinet approved in December 2018, a time-limited discretionary fund of $1.89 million per annum from 1 July 2018 to 30 June 2022 to support local surge responses to acute harm situations caused by synthetic drugs.  More details are included in Appendix </w:t>
      </w:r>
      <w:r w:rsidR="005D0C7E" w:rsidRPr="004A41BB">
        <w:rPr>
          <w:rFonts w:asciiTheme="minorHAnsi" w:hAnsiTheme="minorHAnsi" w:cstheme="minorBidi"/>
        </w:rPr>
        <w:t>6.</w:t>
      </w:r>
    </w:p>
    <w:p w14:paraId="4AB07C09" w14:textId="7678D7E8" w:rsidR="008204E5" w:rsidRPr="004A41BB" w:rsidRDefault="008204E5" w:rsidP="008204E5">
      <w:pPr>
        <w:pStyle w:val="ReportBody-MOH"/>
        <w:ind w:left="0" w:firstLine="0"/>
        <w:rPr>
          <w:rFonts w:asciiTheme="minorHAnsi" w:hAnsiTheme="minorHAnsi" w:cstheme="minorBidi"/>
        </w:rPr>
      </w:pPr>
      <w:r w:rsidRPr="004A41BB">
        <w:rPr>
          <w:rFonts w:asciiTheme="minorHAnsi" w:hAnsiTheme="minorHAnsi" w:cstheme="minorBidi"/>
        </w:rPr>
        <w:t xml:space="preserve">The fund aims to provide urgent funding to support short-term flexible and rapid responses, where need is identified (for example via increases in emergency department presentations).  The </w:t>
      </w:r>
      <w:r w:rsidR="0055321C">
        <w:rPr>
          <w:rFonts w:asciiTheme="minorHAnsi" w:hAnsiTheme="minorHAnsi" w:cstheme="minorBidi"/>
        </w:rPr>
        <w:t>f</w:t>
      </w:r>
      <w:r w:rsidRPr="004A41BB">
        <w:rPr>
          <w:rFonts w:asciiTheme="minorHAnsi" w:hAnsiTheme="minorHAnsi" w:cstheme="minorBidi"/>
        </w:rPr>
        <w:t xml:space="preserve">und was intended to support communities to address sudden or serious increases in synthetic-related acute drug harm, such as overdose, other medical incidents, or deaths.  </w:t>
      </w:r>
    </w:p>
    <w:p w14:paraId="6F93476C" w14:textId="4DD6896A" w:rsidR="008204E5" w:rsidRPr="004A41BB" w:rsidRDefault="008204E5" w:rsidP="008204E5">
      <w:pPr>
        <w:pStyle w:val="ReportBody-MOH"/>
        <w:ind w:left="0" w:firstLine="0"/>
        <w:rPr>
          <w:rFonts w:asciiTheme="minorHAnsi" w:hAnsiTheme="minorHAnsi" w:cstheme="minorBidi"/>
        </w:rPr>
      </w:pPr>
      <w:r w:rsidRPr="004A41BB">
        <w:rPr>
          <w:rFonts w:asciiTheme="minorHAnsi" w:hAnsiTheme="minorHAnsi" w:cstheme="minorBidi"/>
        </w:rPr>
        <w:t>The definition of acute drug harm for the purpose of the discretionary fund was defined as a subset of drug harm that is categorised by short-term harms, often geographically isolated, in response to emerging substances and/or adverse reactions to a particular drug. This can also include serious rapid-onset medical events. This was based on the synthetic cannabinoid crisis</w:t>
      </w:r>
      <w:r w:rsidR="00866D1F">
        <w:rPr>
          <w:rFonts w:asciiTheme="minorHAnsi" w:hAnsiTheme="minorHAnsi" w:cstheme="minorBidi"/>
        </w:rPr>
        <w:t xml:space="preserve"> </w:t>
      </w:r>
      <w:r w:rsidR="00866D1F" w:rsidRPr="004A41BB">
        <w:rPr>
          <w:rFonts w:asciiTheme="minorHAnsi" w:hAnsiTheme="minorHAnsi" w:cstheme="minorBidi"/>
        </w:rPr>
        <w:t>observed</w:t>
      </w:r>
      <w:r w:rsidRPr="004A41BB">
        <w:rPr>
          <w:rFonts w:asciiTheme="minorHAnsi" w:hAnsiTheme="minorHAnsi" w:cstheme="minorBidi"/>
        </w:rPr>
        <w:t xml:space="preserve"> in 2017 and 2018. </w:t>
      </w:r>
      <w:r w:rsidR="00866D1F">
        <w:rPr>
          <w:rFonts w:asciiTheme="minorHAnsi" w:hAnsiTheme="minorHAnsi" w:cstheme="minorBidi"/>
        </w:rPr>
        <w:t xml:space="preserve"> </w:t>
      </w:r>
    </w:p>
    <w:p w14:paraId="48FE5CD3" w14:textId="75674DCE" w:rsidR="00004DA5" w:rsidRPr="004A41BB" w:rsidRDefault="008204E5" w:rsidP="00004DA5">
      <w:pPr>
        <w:pStyle w:val="ReportBody-MOH"/>
        <w:ind w:left="0" w:firstLine="0"/>
        <w:rPr>
          <w:rFonts w:asciiTheme="minorHAnsi" w:hAnsiTheme="minorHAnsi" w:cstheme="minorBidi"/>
        </w:rPr>
      </w:pPr>
      <w:r w:rsidRPr="004A41BB">
        <w:rPr>
          <w:rFonts w:asciiTheme="minorHAnsi" w:hAnsiTheme="minorHAnsi" w:cstheme="minorBidi"/>
        </w:rPr>
        <w:t>Since the fund was created</w:t>
      </w:r>
      <w:r w:rsidR="00866D1F">
        <w:rPr>
          <w:rFonts w:asciiTheme="minorHAnsi" w:hAnsiTheme="minorHAnsi" w:cstheme="minorBidi"/>
        </w:rPr>
        <w:t>,</w:t>
      </w:r>
      <w:r w:rsidRPr="004A41BB">
        <w:rPr>
          <w:rFonts w:asciiTheme="minorHAnsi" w:hAnsiTheme="minorHAnsi" w:cstheme="minorBidi"/>
        </w:rPr>
        <w:t xml:space="preserve"> the Ministry has developed a more detailed understanding of acute drug harm, based on intelligence reports from the National Drug Intelligence Bureau, processing funding applications and stakeholder feedback. In particular we now have a better understanding of how the system and services could be adapted to reduce harm in New Zealand. Opportunities exist to improve the scope and operation of current funding and ensuring the system is prepared to respond.</w:t>
      </w:r>
    </w:p>
    <w:p w14:paraId="089255B3" w14:textId="2CFD795C" w:rsidR="00004DA5" w:rsidRPr="004A41BB" w:rsidRDefault="00004DA5" w:rsidP="00BC489C">
      <w:pPr>
        <w:pStyle w:val="ReportBody-MOH"/>
        <w:ind w:left="0" w:firstLine="0"/>
        <w:rPr>
          <w:rFonts w:asciiTheme="minorHAnsi" w:hAnsiTheme="minorHAnsi" w:cstheme="minorBidi"/>
        </w:rPr>
      </w:pPr>
      <w:r w:rsidRPr="004A41BB">
        <w:rPr>
          <w:rFonts w:asciiTheme="minorHAnsi" w:hAnsiTheme="minorHAnsi" w:cstheme="minorBidi"/>
        </w:rPr>
        <w:t>Responding to acute drug harm requires a flexible, responsive and tailored approach, that is different from traditional service delivery models. The synthetic cannabinoid crisis (from 2017 to 2019) showed that many AOD and social services were not well prepared to respond to acute drug harms for a variety of reasons, including:</w:t>
      </w:r>
    </w:p>
    <w:p w14:paraId="70EE64CE" w14:textId="05A70D4A" w:rsidR="00004DA5" w:rsidRPr="004A41BB" w:rsidRDefault="00004DA5" w:rsidP="00B603EC">
      <w:pPr>
        <w:pStyle w:val="ReportBody-MOH"/>
        <w:numPr>
          <w:ilvl w:val="0"/>
          <w:numId w:val="26"/>
        </w:numPr>
        <w:rPr>
          <w:rFonts w:asciiTheme="minorHAnsi" w:hAnsiTheme="minorHAnsi" w:cstheme="minorBidi"/>
        </w:rPr>
      </w:pPr>
      <w:r w:rsidRPr="004A41BB">
        <w:rPr>
          <w:rFonts w:asciiTheme="minorHAnsi" w:hAnsiTheme="minorHAnsi" w:cstheme="minorBidi"/>
        </w:rPr>
        <w:t>systems and services were</w:t>
      </w:r>
      <w:r w:rsidR="00866D1F">
        <w:rPr>
          <w:rFonts w:asciiTheme="minorHAnsi" w:hAnsiTheme="minorHAnsi" w:cstheme="minorBidi"/>
        </w:rPr>
        <w:t xml:space="preserve"> </w:t>
      </w:r>
      <w:r w:rsidRPr="004A41BB">
        <w:rPr>
          <w:rFonts w:asciiTheme="minorHAnsi" w:hAnsiTheme="minorHAnsi" w:cstheme="minorBidi"/>
        </w:rPr>
        <w:t>n</w:t>
      </w:r>
      <w:r w:rsidR="00866D1F">
        <w:rPr>
          <w:rFonts w:asciiTheme="minorHAnsi" w:hAnsiTheme="minorHAnsi" w:cstheme="minorBidi"/>
        </w:rPr>
        <w:t>o</w:t>
      </w:r>
      <w:r w:rsidRPr="004A41BB">
        <w:rPr>
          <w:rFonts w:asciiTheme="minorHAnsi" w:hAnsiTheme="minorHAnsi" w:cstheme="minorBidi"/>
        </w:rPr>
        <w:t>t flexible or adaptable enough to respond quickly</w:t>
      </w:r>
    </w:p>
    <w:p w14:paraId="049E1632" w14:textId="4E76697C" w:rsidR="00004DA5" w:rsidRPr="004A41BB" w:rsidRDefault="00004DA5" w:rsidP="00B603EC">
      <w:pPr>
        <w:pStyle w:val="ReportBody-MOH"/>
        <w:numPr>
          <w:ilvl w:val="0"/>
          <w:numId w:val="26"/>
        </w:numPr>
        <w:rPr>
          <w:rFonts w:asciiTheme="minorHAnsi" w:hAnsiTheme="minorHAnsi" w:cstheme="minorBidi"/>
        </w:rPr>
      </w:pPr>
      <w:r w:rsidRPr="004A41BB">
        <w:rPr>
          <w:rFonts w:asciiTheme="minorHAnsi" w:hAnsiTheme="minorHAnsi" w:cstheme="minorBidi"/>
        </w:rPr>
        <w:t>little information</w:t>
      </w:r>
      <w:r w:rsidR="00866D1F">
        <w:rPr>
          <w:rFonts w:asciiTheme="minorHAnsi" w:hAnsiTheme="minorHAnsi" w:cstheme="minorBidi"/>
        </w:rPr>
        <w:t xml:space="preserve"> was</w:t>
      </w:r>
      <w:r w:rsidRPr="004A41BB">
        <w:rPr>
          <w:rFonts w:asciiTheme="minorHAnsi" w:hAnsiTheme="minorHAnsi" w:cstheme="minorBidi"/>
        </w:rPr>
        <w:t xml:space="preserve"> available about what best-practice responses look like, including interventions, systems and policies</w:t>
      </w:r>
    </w:p>
    <w:p w14:paraId="3FC62A3F" w14:textId="3C6DED28" w:rsidR="00004DA5" w:rsidRPr="004A41BB" w:rsidRDefault="00866D1F" w:rsidP="00B603EC">
      <w:pPr>
        <w:pStyle w:val="ReportBody-MOH"/>
        <w:numPr>
          <w:ilvl w:val="0"/>
          <w:numId w:val="26"/>
        </w:numPr>
        <w:rPr>
          <w:rFonts w:asciiTheme="minorHAnsi" w:hAnsiTheme="minorHAnsi" w:cstheme="minorBidi"/>
        </w:rPr>
      </w:pPr>
      <w:r>
        <w:rPr>
          <w:rFonts w:asciiTheme="minorHAnsi" w:hAnsiTheme="minorHAnsi" w:cstheme="minorBidi"/>
        </w:rPr>
        <w:t xml:space="preserve">there was </w:t>
      </w:r>
      <w:r w:rsidR="00004DA5" w:rsidRPr="004A41BB">
        <w:rPr>
          <w:rFonts w:asciiTheme="minorHAnsi" w:hAnsiTheme="minorHAnsi" w:cstheme="minorBidi"/>
        </w:rPr>
        <w:t>limited AOD or specialist training for frontline staff</w:t>
      </w:r>
    </w:p>
    <w:p w14:paraId="304F8190" w14:textId="7EAE9168" w:rsidR="00004DA5" w:rsidRPr="004A41BB" w:rsidRDefault="00866D1F" w:rsidP="00B603EC">
      <w:pPr>
        <w:pStyle w:val="ReportBody-MOH"/>
        <w:numPr>
          <w:ilvl w:val="0"/>
          <w:numId w:val="26"/>
        </w:numPr>
        <w:rPr>
          <w:rFonts w:asciiTheme="minorHAnsi" w:hAnsiTheme="minorHAnsi" w:cstheme="minorBidi"/>
        </w:rPr>
      </w:pPr>
      <w:r>
        <w:rPr>
          <w:rFonts w:asciiTheme="minorHAnsi" w:hAnsiTheme="minorHAnsi" w:cstheme="minorBidi"/>
        </w:rPr>
        <w:t xml:space="preserve">there was </w:t>
      </w:r>
      <w:r w:rsidR="00004DA5" w:rsidRPr="004A41BB">
        <w:rPr>
          <w:rFonts w:asciiTheme="minorHAnsi" w:hAnsiTheme="minorHAnsi" w:cstheme="minorBidi"/>
        </w:rPr>
        <w:t>mixed or no public health messaging and resources that were appropriate for the substances and affected populations.</w:t>
      </w:r>
    </w:p>
    <w:p w14:paraId="486BCBA5" w14:textId="3FE169EA" w:rsidR="00004DA5" w:rsidRDefault="00004DA5" w:rsidP="00565073">
      <w:pPr>
        <w:pStyle w:val="ReportBody-MOH"/>
        <w:ind w:left="0" w:firstLine="0"/>
        <w:rPr>
          <w:rFonts w:asciiTheme="minorHAnsi" w:hAnsiTheme="minorHAnsi" w:cstheme="minorBidi"/>
        </w:rPr>
      </w:pPr>
      <w:r w:rsidRPr="004A41BB">
        <w:rPr>
          <w:rFonts w:asciiTheme="minorHAnsi" w:hAnsiTheme="minorHAnsi" w:cstheme="minorBidi"/>
        </w:rPr>
        <w:t xml:space="preserve">As a result, many of the most vulnerable experienced avoidable acute drug harms and/or did not receive the right support at the right time. </w:t>
      </w:r>
      <w:r w:rsidR="00950A1B">
        <w:rPr>
          <w:rFonts w:asciiTheme="minorHAnsi" w:hAnsiTheme="minorHAnsi" w:cstheme="minorBidi"/>
        </w:rPr>
        <w:t xml:space="preserve">Some support is reaching people at the right time because of </w:t>
      </w:r>
      <w:r w:rsidRPr="004A41BB">
        <w:rPr>
          <w:rFonts w:asciiTheme="minorHAnsi" w:hAnsiTheme="minorHAnsi" w:cstheme="minorBidi"/>
        </w:rPr>
        <w:t>improve</w:t>
      </w:r>
      <w:r w:rsidR="00950A1B">
        <w:rPr>
          <w:rFonts w:asciiTheme="minorHAnsi" w:hAnsiTheme="minorHAnsi" w:cstheme="minorBidi"/>
        </w:rPr>
        <w:t xml:space="preserve">ments to </w:t>
      </w:r>
      <w:r w:rsidRPr="004A41BB">
        <w:rPr>
          <w:rFonts w:asciiTheme="minorHAnsi" w:hAnsiTheme="minorHAnsi" w:cstheme="minorBidi"/>
        </w:rPr>
        <w:t>various work programmes (e</w:t>
      </w:r>
      <w:r w:rsidR="00AF619A" w:rsidRPr="004A41BB">
        <w:rPr>
          <w:rFonts w:asciiTheme="minorHAnsi" w:hAnsiTheme="minorHAnsi" w:cstheme="minorBidi"/>
        </w:rPr>
        <w:t>.</w:t>
      </w:r>
      <w:r w:rsidRPr="004A41BB">
        <w:rPr>
          <w:rFonts w:asciiTheme="minorHAnsi" w:hAnsiTheme="minorHAnsi" w:cstheme="minorBidi"/>
        </w:rPr>
        <w:t>g</w:t>
      </w:r>
      <w:r w:rsidR="00AF619A" w:rsidRPr="004A41BB">
        <w:rPr>
          <w:rFonts w:asciiTheme="minorHAnsi" w:hAnsiTheme="minorHAnsi" w:cstheme="minorBidi"/>
        </w:rPr>
        <w:t>.</w:t>
      </w:r>
      <w:r w:rsidRPr="004A41BB">
        <w:rPr>
          <w:rFonts w:asciiTheme="minorHAnsi" w:hAnsiTheme="minorHAnsi" w:cstheme="minorBidi"/>
        </w:rPr>
        <w:t xml:space="preserve"> DIANZ and the community of practice). </w:t>
      </w:r>
      <w:r w:rsidR="0055321C">
        <w:rPr>
          <w:rFonts w:asciiTheme="minorHAnsi" w:hAnsiTheme="minorHAnsi" w:cstheme="minorBidi"/>
        </w:rPr>
        <w:t>However, t</w:t>
      </w:r>
      <w:r w:rsidRPr="004A41BB">
        <w:rPr>
          <w:rFonts w:asciiTheme="minorHAnsi" w:hAnsiTheme="minorHAnsi" w:cstheme="minorBidi"/>
        </w:rPr>
        <w:t xml:space="preserve">hese mechanisms alone are not providing the rapid widespread change across systems and services that is required to proactively respond to and reduce acute drug harm. These systems and services can be improved by providing dedicated resource to develop a package of solutions that supports these changes. </w:t>
      </w:r>
    </w:p>
    <w:p w14:paraId="78376806" w14:textId="48CA30A2" w:rsidR="00432CDA" w:rsidRPr="004A41BB" w:rsidRDefault="00432CDA" w:rsidP="00565073">
      <w:pPr>
        <w:pStyle w:val="ReportBody-MOH"/>
        <w:ind w:left="0" w:firstLine="0"/>
        <w:rPr>
          <w:rFonts w:asciiTheme="minorHAnsi" w:hAnsiTheme="minorHAnsi" w:cstheme="minorBidi"/>
        </w:rPr>
      </w:pPr>
      <w:r w:rsidRPr="004A41BB">
        <w:rPr>
          <w:rFonts w:asciiTheme="minorHAnsi" w:hAnsiTheme="minorHAnsi" w:cstheme="minorBidi"/>
        </w:rPr>
        <w:t xml:space="preserve">The funding criteria could be updated to focus on the presence of severe synthetic-related acute drug harm (short-term harms that can have significant impact on that person’s health or life), instead of only </w:t>
      </w:r>
      <w:r w:rsidR="0055321C">
        <w:rPr>
          <w:rFonts w:asciiTheme="minorHAnsi" w:hAnsiTheme="minorHAnsi" w:cstheme="minorBidi"/>
        </w:rPr>
        <w:t>‘</w:t>
      </w:r>
      <w:r w:rsidRPr="004A41BB">
        <w:rPr>
          <w:rFonts w:asciiTheme="minorHAnsi" w:hAnsiTheme="minorHAnsi" w:cstheme="minorBidi"/>
        </w:rPr>
        <w:t>surges</w:t>
      </w:r>
      <w:r w:rsidR="0055321C">
        <w:rPr>
          <w:rFonts w:asciiTheme="minorHAnsi" w:hAnsiTheme="minorHAnsi" w:cstheme="minorBidi"/>
        </w:rPr>
        <w:t>’</w:t>
      </w:r>
      <w:r w:rsidRPr="004A41BB">
        <w:rPr>
          <w:rFonts w:asciiTheme="minorHAnsi" w:hAnsiTheme="minorHAnsi" w:cstheme="minorBidi"/>
        </w:rPr>
        <w:t xml:space="preserve"> (sudden or serious increases). This would allow the </w:t>
      </w:r>
      <w:r w:rsidR="0055321C">
        <w:rPr>
          <w:rFonts w:asciiTheme="minorHAnsi" w:hAnsiTheme="minorHAnsi" w:cstheme="minorBidi"/>
        </w:rPr>
        <w:t>f</w:t>
      </w:r>
      <w:r w:rsidRPr="004A41BB">
        <w:rPr>
          <w:rFonts w:asciiTheme="minorHAnsi" w:hAnsiTheme="minorHAnsi" w:cstheme="minorBidi"/>
        </w:rPr>
        <w:t xml:space="preserve">und to still be available for </w:t>
      </w:r>
      <w:r w:rsidR="0055321C">
        <w:rPr>
          <w:rFonts w:asciiTheme="minorHAnsi" w:hAnsiTheme="minorHAnsi" w:cstheme="minorBidi"/>
        </w:rPr>
        <w:t>‘</w:t>
      </w:r>
      <w:r w:rsidRPr="004A41BB">
        <w:rPr>
          <w:rFonts w:asciiTheme="minorHAnsi" w:hAnsiTheme="minorHAnsi" w:cstheme="minorBidi"/>
        </w:rPr>
        <w:t>surges</w:t>
      </w:r>
      <w:r w:rsidR="0055321C">
        <w:rPr>
          <w:rFonts w:asciiTheme="minorHAnsi" w:hAnsiTheme="minorHAnsi" w:cstheme="minorBidi"/>
        </w:rPr>
        <w:t>’</w:t>
      </w:r>
      <w:r w:rsidRPr="004A41BB">
        <w:rPr>
          <w:rFonts w:asciiTheme="minorHAnsi" w:hAnsiTheme="minorHAnsi" w:cstheme="minorBidi"/>
        </w:rPr>
        <w:t xml:space="preserve"> of acute harm, but other communities will also be able to apply to the fund when a ‘surge’ is difficult to show or when severe acute drug harm is already present.</w:t>
      </w:r>
    </w:p>
    <w:p w14:paraId="4F88FD87" w14:textId="77777777" w:rsidR="008204E5" w:rsidRPr="004A41BB" w:rsidRDefault="008204E5" w:rsidP="008204E5">
      <w:pPr>
        <w:pStyle w:val="Heading3"/>
      </w:pPr>
      <w:bookmarkStart w:id="270" w:name="_Toc77166697"/>
      <w:bookmarkStart w:id="271" w:name="_Toc78186492"/>
      <w:r w:rsidRPr="004A41BB">
        <w:lastRenderedPageBreak/>
        <w:t>Drug Information Alert NZ</w:t>
      </w:r>
      <w:bookmarkEnd w:id="270"/>
      <w:bookmarkEnd w:id="271"/>
    </w:p>
    <w:p w14:paraId="5572F2C6" w14:textId="29C60D8A" w:rsidR="008204E5" w:rsidRPr="004A41BB" w:rsidRDefault="008204E5" w:rsidP="008204E5">
      <w:pPr>
        <w:pStyle w:val="ReportBody-MOH"/>
        <w:ind w:left="0" w:firstLine="0"/>
        <w:rPr>
          <w:rFonts w:asciiTheme="minorHAnsi" w:hAnsiTheme="minorHAnsi" w:cstheme="minorBidi"/>
        </w:rPr>
      </w:pPr>
      <w:r w:rsidRPr="004A41BB">
        <w:rPr>
          <w:rFonts w:asciiTheme="minorHAnsi" w:hAnsiTheme="minorHAnsi" w:cstheme="minorBidi"/>
        </w:rPr>
        <w:t>Also prior to the amendments, the Na</w:t>
      </w:r>
      <w:r w:rsidR="00866D1F">
        <w:rPr>
          <w:rFonts w:asciiTheme="minorHAnsi" w:hAnsiTheme="minorHAnsi" w:cstheme="minorBidi"/>
        </w:rPr>
        <w:t>tional Drug Investigation Bureau</w:t>
      </w:r>
      <w:r w:rsidRPr="004A41BB">
        <w:rPr>
          <w:rFonts w:asciiTheme="minorHAnsi" w:hAnsiTheme="minorHAnsi" w:cstheme="minorBidi"/>
        </w:rPr>
        <w:t xml:space="preserve"> was establishing a drug early warning system to gather information, analyse and provide alerts around high risk substances.  The system has been formalised as</w:t>
      </w:r>
      <w:r w:rsidR="001A713D">
        <w:rPr>
          <w:rFonts w:asciiTheme="minorHAnsi" w:hAnsiTheme="minorHAnsi" w:cstheme="minorBidi"/>
        </w:rPr>
        <w:t xml:space="preserve"> the</w:t>
      </w:r>
      <w:r w:rsidRPr="004A41BB">
        <w:rPr>
          <w:rFonts w:asciiTheme="minorHAnsi" w:hAnsiTheme="minorHAnsi" w:cstheme="minorBidi"/>
        </w:rPr>
        <w:t xml:space="preserve"> Drug Information and Alerts NZ network (DIANZ) and is a joint operation between the Ministry of Health, Customs Service and Police.  It is supported by a network of health professionals and social services who both provide and receive information.</w:t>
      </w:r>
    </w:p>
    <w:p w14:paraId="35D873F7" w14:textId="77777777" w:rsidR="008204E5" w:rsidRPr="004A41BB" w:rsidRDefault="008204E5" w:rsidP="008204E5">
      <w:pPr>
        <w:pStyle w:val="p1"/>
        <w:rPr>
          <w:rFonts w:asciiTheme="minorHAnsi" w:eastAsiaTheme="minorHAnsi" w:hAnsiTheme="minorHAnsi" w:cstheme="minorBidi"/>
          <w:sz w:val="22"/>
          <w:szCs w:val="22"/>
          <w:lang w:eastAsia="en-US"/>
        </w:rPr>
      </w:pPr>
      <w:r w:rsidRPr="004A41BB">
        <w:rPr>
          <w:rFonts w:asciiTheme="minorHAnsi" w:eastAsiaTheme="minorHAnsi" w:hAnsiTheme="minorHAnsi" w:cstheme="minorBidi"/>
          <w:sz w:val="22"/>
          <w:szCs w:val="22"/>
          <w:lang w:eastAsia="en-US"/>
        </w:rPr>
        <w:t>DIANZ launched its public facing website, High Alert (</w:t>
      </w:r>
      <w:hyperlink r:id="rId33" w:history="1">
        <w:r w:rsidRPr="004A41BB">
          <w:rPr>
            <w:rFonts w:asciiTheme="minorHAnsi" w:eastAsiaTheme="minorHAnsi" w:hAnsiTheme="minorHAnsi" w:cstheme="minorBidi"/>
            <w:sz w:val="22"/>
            <w:szCs w:val="22"/>
            <w:lang w:eastAsia="en-US"/>
          </w:rPr>
          <w:t>www.highalert.org.nz</w:t>
        </w:r>
      </w:hyperlink>
      <w:r w:rsidRPr="004A41BB">
        <w:rPr>
          <w:rFonts w:asciiTheme="minorHAnsi" w:eastAsiaTheme="minorHAnsi" w:hAnsiTheme="minorHAnsi" w:cstheme="minorBidi"/>
          <w:sz w:val="22"/>
          <w:szCs w:val="22"/>
          <w:lang w:eastAsia="en-US"/>
        </w:rPr>
        <w:t>) in June 2020. Alerts and notifications are published on the website to inform the public and health professionals of increased health risks from new drug trends or threats, such as adulterated drugs. Harm reduction information and advice is available. The website also allows people who use drugs to report unexpected or concerning effects from drug use to the DIANZ team.  If a high-risk situation exists, an alert will be published on the website, and lower risk situations may result in a notification being published.</w:t>
      </w:r>
    </w:p>
    <w:p w14:paraId="4BE5A2FF" w14:textId="77777777" w:rsidR="008204E5" w:rsidRPr="004A41BB" w:rsidRDefault="008204E5" w:rsidP="008204E5">
      <w:r w:rsidRPr="004A41BB">
        <w:t xml:space="preserve">Since the launch and as at 13 July 2021, 11 notifications have been published on the website alerting the public to dangerous substances in the community.  This includes a notification on 22 September 2020 that AMB-FUBINACA was being detected in New Zealand and a notification on 8 July 2020 that an analogue of 5F-ADB had been detected.  Over 160,000 people have visited the website over the last nine months, accounting for 245,970 views of DIANZ’s harm reduction content. DIANZ was funded as part of Budget 2019. </w:t>
      </w:r>
    </w:p>
    <w:p w14:paraId="43AAE96D" w14:textId="77777777" w:rsidR="008204E5" w:rsidRPr="004A41BB" w:rsidRDefault="008204E5" w:rsidP="00F478A4">
      <w:pPr>
        <w:pStyle w:val="Heading3"/>
        <w:spacing w:after="120"/>
      </w:pPr>
      <w:bookmarkStart w:id="272" w:name="_Toc77166698"/>
      <w:bookmarkStart w:id="273" w:name="_Toc78186493"/>
      <w:r w:rsidRPr="004A41BB">
        <w:t>Harm profile of synthetic cannabinoids AMB-FUBINACA and 5F-ADB</w:t>
      </w:r>
      <w:bookmarkEnd w:id="272"/>
      <w:bookmarkEnd w:id="273"/>
    </w:p>
    <w:p w14:paraId="0EC9DDCE" w14:textId="6FE8744A" w:rsidR="008204E5" w:rsidRPr="004A41BB" w:rsidRDefault="008204E5" w:rsidP="008204E5">
      <w:pPr>
        <w:pStyle w:val="Heading4"/>
      </w:pPr>
      <w:r w:rsidRPr="004A41BB">
        <w:t>Deaths involving illegal drugs</w:t>
      </w:r>
      <w:bookmarkEnd w:id="269"/>
    </w:p>
    <w:p w14:paraId="714EEE31" w14:textId="47149539" w:rsidR="008204E5" w:rsidRPr="004A41BB" w:rsidRDefault="008204E5" w:rsidP="008204E5">
      <w:r w:rsidRPr="004A41BB">
        <w:t xml:space="preserve">The review team looked at deaths involving illegal drugs to understand overall trends.   The </w:t>
      </w:r>
      <w:r w:rsidR="008C11E4">
        <w:t>findings in c</w:t>
      </w:r>
      <w:r w:rsidR="005D171D">
        <w:t xml:space="preserve">losed coronial cases </w:t>
      </w:r>
      <w:r w:rsidR="008C11E4">
        <w:t xml:space="preserve">involving synthetic cannabinoids from 2016 – 2020 </w:t>
      </w:r>
      <w:r w:rsidR="005D171D">
        <w:t>show</w:t>
      </w:r>
      <w:r w:rsidR="008C11E4">
        <w:t>ed</w:t>
      </w:r>
      <w:r w:rsidR="005D171D">
        <w:t xml:space="preserve"> that </w:t>
      </w:r>
      <w:r w:rsidR="008C11E4">
        <w:t xml:space="preserve">in </w:t>
      </w:r>
      <w:r w:rsidR="005D171D">
        <w:t xml:space="preserve">the </w:t>
      </w:r>
      <w:r w:rsidR="00554E72">
        <w:t xml:space="preserve">majority of cases AMB-FUBINACA was detected. </w:t>
      </w:r>
      <w:r w:rsidR="005D171D">
        <w:t xml:space="preserve"> </w:t>
      </w:r>
    </w:p>
    <w:p w14:paraId="69921BBE" w14:textId="2A2FBC14" w:rsidR="001A713D" w:rsidRPr="00950A1B" w:rsidRDefault="008204E5" w:rsidP="001A713D">
      <w:r w:rsidRPr="004A41BB">
        <w:t>Table 6 below shows the number of deaths in c</w:t>
      </w:r>
      <w:r w:rsidR="0094417A">
        <w:t>losed c</w:t>
      </w:r>
      <w:r w:rsidRPr="004A41BB">
        <w:t xml:space="preserve">ases where a cause of death has been determined by a coroner, a finding or certificate has been issued and the drug involved was synthetic cannabinoids. </w:t>
      </w:r>
      <w:bookmarkStart w:id="274" w:name="_Toc77166788"/>
      <w:r w:rsidR="005D171D">
        <w:t xml:space="preserve"> </w:t>
      </w:r>
      <w:bookmarkStart w:id="275" w:name="_Hlk77754141"/>
      <w:r w:rsidR="005D171D">
        <w:t xml:space="preserve">There was a surge in deaths in 2017 – 2018 and a significant drop in deaths in 2019. </w:t>
      </w:r>
      <w:bookmarkEnd w:id="275"/>
      <w:r w:rsidR="005D171D">
        <w:t>This corelates with samples tested by the Institute of Environmental Science and Research (ESR) also shows that that AMB-FUBINACA and 5F-ADB made up 89% of the samples tested from the community in May to October 2017 and 77% of the samples tested between July 2018 and March 2019.</w:t>
      </w:r>
    </w:p>
    <w:p w14:paraId="42A90B49" w14:textId="59EB18CA" w:rsidR="008204E5" w:rsidRPr="000E7D4E" w:rsidRDefault="008204E5" w:rsidP="008204E5">
      <w:pPr>
        <w:pStyle w:val="Caption"/>
        <w:rPr>
          <w:b w:val="0"/>
          <w:bCs w:val="0"/>
        </w:rPr>
      </w:pPr>
      <w:bookmarkStart w:id="276" w:name="_Toc77776102"/>
      <w:r w:rsidRPr="000E7D4E">
        <w:rPr>
          <w:b w:val="0"/>
          <w:bCs w:val="0"/>
        </w:rPr>
        <w:t xml:space="preserve">Table </w:t>
      </w:r>
      <w:r w:rsidRPr="000E7D4E">
        <w:rPr>
          <w:b w:val="0"/>
          <w:bCs w:val="0"/>
        </w:rPr>
        <w:fldChar w:fldCharType="begin"/>
      </w:r>
      <w:r w:rsidRPr="000E7D4E">
        <w:rPr>
          <w:b w:val="0"/>
          <w:bCs w:val="0"/>
        </w:rPr>
        <w:instrText xml:space="preserve"> SEQ Table \* ARABIC </w:instrText>
      </w:r>
      <w:r w:rsidRPr="000E7D4E">
        <w:rPr>
          <w:b w:val="0"/>
          <w:bCs w:val="0"/>
        </w:rPr>
        <w:fldChar w:fldCharType="separate"/>
      </w:r>
      <w:r w:rsidR="00AA3031">
        <w:rPr>
          <w:b w:val="0"/>
          <w:bCs w:val="0"/>
          <w:noProof/>
        </w:rPr>
        <w:t>6</w:t>
      </w:r>
      <w:r w:rsidRPr="000E7D4E">
        <w:rPr>
          <w:b w:val="0"/>
          <w:bCs w:val="0"/>
        </w:rPr>
        <w:fldChar w:fldCharType="end"/>
      </w:r>
      <w:r w:rsidRPr="000E7D4E">
        <w:rPr>
          <w:b w:val="0"/>
          <w:bCs w:val="0"/>
        </w:rPr>
        <w:t xml:space="preserve">. Numbers of deaths in closed </w:t>
      </w:r>
      <w:r w:rsidR="00451EA9">
        <w:rPr>
          <w:b w:val="0"/>
          <w:bCs w:val="0"/>
        </w:rPr>
        <w:t>coro</w:t>
      </w:r>
      <w:r w:rsidR="00704343">
        <w:rPr>
          <w:b w:val="0"/>
          <w:bCs w:val="0"/>
        </w:rPr>
        <w:t xml:space="preserve">nial </w:t>
      </w:r>
      <w:r w:rsidRPr="000E7D4E">
        <w:rPr>
          <w:b w:val="0"/>
          <w:bCs w:val="0"/>
        </w:rPr>
        <w:t xml:space="preserve">cases between January 2016 and 30 April 2021 involving synthetic cannabinoids  </w:t>
      </w:r>
      <w:r w:rsidRPr="000E7D4E">
        <w:rPr>
          <w:rStyle w:val="FootnoteReference"/>
          <w:b w:val="0"/>
          <w:bCs w:val="0"/>
        </w:rPr>
        <w:footnoteReference w:id="5"/>
      </w:r>
      <w:bookmarkEnd w:id="274"/>
      <w:bookmarkEnd w:id="276"/>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1EA9" w14:paraId="2F626BE0" w14:textId="77777777" w:rsidTr="00392BFD">
        <w:tc>
          <w:tcPr>
            <w:tcW w:w="9016" w:type="dxa"/>
            <w:gridSpan w:val="6"/>
            <w:shd w:val="clear" w:color="auto" w:fill="B4C6E7" w:themeFill="accent1" w:themeFillTint="66"/>
          </w:tcPr>
          <w:p w14:paraId="1554914A" w14:textId="77777777" w:rsidR="00451EA9" w:rsidRPr="00392BFD" w:rsidRDefault="00451EA9" w:rsidP="00970E0F">
            <w:pPr>
              <w:rPr>
                <w:rFonts w:cs="Arial"/>
                <w:b/>
                <w:bCs/>
                <w:color w:val="000000"/>
                <w:lang w:eastAsia="en-NZ"/>
              </w:rPr>
            </w:pPr>
            <w:r w:rsidRPr="00392BFD">
              <w:rPr>
                <w:rFonts w:cs="Arial"/>
                <w:b/>
                <w:bCs/>
                <w:color w:val="000000"/>
                <w:lang w:eastAsia="en-NZ"/>
              </w:rPr>
              <w:t>Closed Coronial cases involving synthetic cannabinoids</w:t>
            </w:r>
          </w:p>
          <w:p w14:paraId="159FD2B0" w14:textId="7DF0AE1D" w:rsidR="00704343" w:rsidRPr="00392BFD" w:rsidRDefault="00704343" w:rsidP="00970E0F">
            <w:pPr>
              <w:rPr>
                <w:b/>
                <w:bCs/>
              </w:rPr>
            </w:pPr>
          </w:p>
        </w:tc>
      </w:tr>
      <w:tr w:rsidR="00451EA9" w14:paraId="38FD3897" w14:textId="77777777" w:rsidTr="00451EA9">
        <w:tc>
          <w:tcPr>
            <w:tcW w:w="1502" w:type="dxa"/>
          </w:tcPr>
          <w:p w14:paraId="466E21E3" w14:textId="4895ED73" w:rsidR="00451EA9" w:rsidRDefault="00704343" w:rsidP="00970E0F">
            <w:r>
              <w:t>2016</w:t>
            </w:r>
          </w:p>
        </w:tc>
        <w:tc>
          <w:tcPr>
            <w:tcW w:w="1502" w:type="dxa"/>
          </w:tcPr>
          <w:p w14:paraId="0A16DB02" w14:textId="1C6A5176" w:rsidR="00451EA9" w:rsidRDefault="00704343" w:rsidP="00970E0F">
            <w:r>
              <w:t>2017</w:t>
            </w:r>
          </w:p>
        </w:tc>
        <w:tc>
          <w:tcPr>
            <w:tcW w:w="1503" w:type="dxa"/>
          </w:tcPr>
          <w:p w14:paraId="29DC9187" w14:textId="7D315085" w:rsidR="00451EA9" w:rsidRDefault="00704343" w:rsidP="00970E0F">
            <w:r>
              <w:t>2018</w:t>
            </w:r>
          </w:p>
        </w:tc>
        <w:tc>
          <w:tcPr>
            <w:tcW w:w="1503" w:type="dxa"/>
          </w:tcPr>
          <w:p w14:paraId="0DC7AB8F" w14:textId="5C2C00F4" w:rsidR="00451EA9" w:rsidRDefault="00704343" w:rsidP="00970E0F">
            <w:r>
              <w:t>2019</w:t>
            </w:r>
          </w:p>
        </w:tc>
        <w:tc>
          <w:tcPr>
            <w:tcW w:w="1503" w:type="dxa"/>
          </w:tcPr>
          <w:p w14:paraId="400D3350" w14:textId="762289A9" w:rsidR="00451EA9" w:rsidRDefault="00704343" w:rsidP="00970E0F">
            <w:r>
              <w:t>2020</w:t>
            </w:r>
          </w:p>
        </w:tc>
        <w:tc>
          <w:tcPr>
            <w:tcW w:w="1503" w:type="dxa"/>
          </w:tcPr>
          <w:p w14:paraId="55765DE7" w14:textId="0E27E5FA" w:rsidR="00451EA9" w:rsidRDefault="00704343" w:rsidP="00970E0F">
            <w:r>
              <w:t>2021</w:t>
            </w:r>
          </w:p>
        </w:tc>
      </w:tr>
      <w:tr w:rsidR="00451EA9" w14:paraId="2B05BAB4" w14:textId="77777777" w:rsidTr="00451EA9">
        <w:tc>
          <w:tcPr>
            <w:tcW w:w="1502" w:type="dxa"/>
          </w:tcPr>
          <w:p w14:paraId="6570D23E" w14:textId="3DAFED1D" w:rsidR="00451EA9" w:rsidRDefault="00A82C28" w:rsidP="00970E0F">
            <w:r>
              <w:t>0</w:t>
            </w:r>
          </w:p>
        </w:tc>
        <w:tc>
          <w:tcPr>
            <w:tcW w:w="1502" w:type="dxa"/>
          </w:tcPr>
          <w:p w14:paraId="343E891D" w14:textId="22E8E7A7" w:rsidR="00451EA9" w:rsidRDefault="00A82C28" w:rsidP="00970E0F">
            <w:r>
              <w:t>13</w:t>
            </w:r>
          </w:p>
        </w:tc>
        <w:tc>
          <w:tcPr>
            <w:tcW w:w="1503" w:type="dxa"/>
          </w:tcPr>
          <w:p w14:paraId="5E1EE949" w14:textId="46668721" w:rsidR="00451EA9" w:rsidRDefault="00A82C28" w:rsidP="00970E0F">
            <w:r>
              <w:t>29</w:t>
            </w:r>
          </w:p>
        </w:tc>
        <w:tc>
          <w:tcPr>
            <w:tcW w:w="1503" w:type="dxa"/>
          </w:tcPr>
          <w:p w14:paraId="62E887DC" w14:textId="665ADE05" w:rsidR="00451EA9" w:rsidRDefault="00A82C28" w:rsidP="00970E0F">
            <w:r>
              <w:t>4</w:t>
            </w:r>
          </w:p>
        </w:tc>
        <w:tc>
          <w:tcPr>
            <w:tcW w:w="1503" w:type="dxa"/>
          </w:tcPr>
          <w:p w14:paraId="0DB0E3CF" w14:textId="309CCB30" w:rsidR="00451EA9" w:rsidRDefault="00950A1B" w:rsidP="00970E0F">
            <w:r>
              <w:t xml:space="preserve">Not available </w:t>
            </w:r>
          </w:p>
        </w:tc>
        <w:tc>
          <w:tcPr>
            <w:tcW w:w="1503" w:type="dxa"/>
          </w:tcPr>
          <w:p w14:paraId="56202A5B" w14:textId="30581FCB" w:rsidR="00451EA9" w:rsidRDefault="00950A1B" w:rsidP="00970E0F">
            <w:r>
              <w:t xml:space="preserve">Not available </w:t>
            </w:r>
          </w:p>
        </w:tc>
      </w:tr>
    </w:tbl>
    <w:p w14:paraId="02B5D5FE" w14:textId="77777777" w:rsidR="008204E5" w:rsidRPr="004A41BB" w:rsidRDefault="008204E5" w:rsidP="008204E5"/>
    <w:p w14:paraId="5C07D448" w14:textId="78EAAA9E" w:rsidR="0046072F" w:rsidRPr="004A41BB" w:rsidRDefault="0046072F" w:rsidP="0046072F">
      <w:r w:rsidRPr="004A41BB">
        <w:lastRenderedPageBreak/>
        <w:t>Currently Coroner A J Mills is conducting a</w:t>
      </w:r>
      <w:r w:rsidR="0015720A">
        <w:t>n</w:t>
      </w:r>
      <w:r w:rsidRPr="004A41BB">
        <w:t xml:space="preserve"> inquiry to understand the circumstances of the surge of deaths in the broader sense, and to consider recommendations or comments. The focus will be on what can be done to prevent further deaths in similar circumstances.   The </w:t>
      </w:r>
      <w:r w:rsidR="000E7D4E">
        <w:t>i</w:t>
      </w:r>
      <w:r w:rsidRPr="004A41BB">
        <w:t>nqu</w:t>
      </w:r>
      <w:r w:rsidR="000E7D4E">
        <w:t>iry</w:t>
      </w:r>
      <w:r w:rsidRPr="004A41BB">
        <w:t xml:space="preserve"> will be forward looking with an emphasis on what can be learnt from the 2017</w:t>
      </w:r>
      <w:r w:rsidR="00950A1B">
        <w:t xml:space="preserve">- 2018 surge </w:t>
      </w:r>
      <w:r w:rsidRPr="004A41BB">
        <w:t xml:space="preserve">that could prevent similar clusters of deaths in the future. </w:t>
      </w:r>
    </w:p>
    <w:p w14:paraId="50B3FE5D" w14:textId="77777777" w:rsidR="008204E5" w:rsidRPr="004A41BB" w:rsidRDefault="008204E5" w:rsidP="008204E5">
      <w:pPr>
        <w:pStyle w:val="Heading4"/>
      </w:pPr>
      <w:bookmarkStart w:id="277" w:name="_Toc77166699"/>
      <w:r w:rsidRPr="004A41BB">
        <w:t>Hospitalisation discharge data</w:t>
      </w:r>
      <w:bookmarkEnd w:id="277"/>
    </w:p>
    <w:p w14:paraId="24320596" w14:textId="77777777" w:rsidR="008204E5" w:rsidRPr="004A41BB" w:rsidRDefault="008204E5" w:rsidP="008204E5">
      <w:r w:rsidRPr="004A41BB">
        <w:t xml:space="preserve">The review team received information from the National Minimum Data Set which is collated quarterly. </w:t>
      </w:r>
      <w:r w:rsidRPr="004A41BB">
        <w:rPr>
          <w:rStyle w:val="FootnoteReference"/>
        </w:rPr>
        <w:footnoteReference w:id="6"/>
      </w:r>
    </w:p>
    <w:p w14:paraId="2E0D1021" w14:textId="77777777" w:rsidR="008204E5" w:rsidRPr="004A41BB" w:rsidRDefault="008204E5" w:rsidP="008204E5">
      <w:r w:rsidRPr="004A41BB">
        <w:t xml:space="preserve">Admissions that involve harmful substances are flagged at discharge.  Substances flagged are opiates, cannabis, hallucinogens, stimulants, alcohol, cocaine, methamphetamine, GHB, MDMA, ketamine, sedative/hypnotic drugs, synthetic cannabinoids, tobacco, solvents, and polydrug use. Data collected does not distinguish between different synthetic cannabinoids so there is no specific information on hospital discharges involving </w:t>
      </w:r>
      <w:bookmarkStart w:id="278" w:name="_Hlk76652165"/>
      <w:r w:rsidRPr="004A41BB">
        <w:t>AMB-FUBINACA and 5F-ADB</w:t>
      </w:r>
      <w:bookmarkEnd w:id="278"/>
      <w:r w:rsidRPr="004A41BB">
        <w:t xml:space="preserve">.  </w:t>
      </w:r>
    </w:p>
    <w:p w14:paraId="25075DDE" w14:textId="490BD261" w:rsidR="00392BFD" w:rsidRPr="000E7D4E" w:rsidRDefault="008204E5" w:rsidP="008204E5">
      <w:r w:rsidRPr="004A41BB">
        <w:t xml:space="preserve">Table 7 shows that since the surge in 2017 - 2018 numbers of hospital discharges with a synthetic cannabinoid diagnosis returned in 2019 and 2020 to pre-surge levels.  This suggests that synthetic </w:t>
      </w:r>
      <w:r w:rsidRPr="000E7D4E">
        <w:t xml:space="preserve">cannabinoids in general are still available and causing harm but at greatly reduced levels.  This data does not tell us if these hospitalisations were due to AMB-FUBINACA and 5F-ADB. </w:t>
      </w:r>
    </w:p>
    <w:p w14:paraId="4E4A8E8E" w14:textId="55502ED0" w:rsidR="008204E5" w:rsidRPr="000E7D4E" w:rsidRDefault="008204E5" w:rsidP="008204E5">
      <w:pPr>
        <w:rPr>
          <w:b/>
          <w:bCs/>
          <w:smallCaps/>
          <w:color w:val="44546A" w:themeColor="text2"/>
        </w:rPr>
      </w:pPr>
      <w:bookmarkStart w:id="279" w:name="_Toc77166789"/>
      <w:bookmarkStart w:id="280" w:name="_Toc77776103"/>
      <w:r w:rsidRPr="000E7D4E">
        <w:rPr>
          <w:smallCaps/>
          <w:color w:val="44546A" w:themeColor="text2"/>
        </w:rPr>
        <w:t xml:space="preserve">Table </w:t>
      </w:r>
      <w:r w:rsidRPr="000E7D4E">
        <w:rPr>
          <w:smallCaps/>
          <w:color w:val="44546A" w:themeColor="text2"/>
        </w:rPr>
        <w:fldChar w:fldCharType="begin"/>
      </w:r>
      <w:r w:rsidRPr="000E7D4E">
        <w:rPr>
          <w:smallCaps/>
          <w:color w:val="44546A" w:themeColor="text2"/>
        </w:rPr>
        <w:instrText xml:space="preserve"> SEQ Table \* ARABIC </w:instrText>
      </w:r>
      <w:r w:rsidRPr="000E7D4E">
        <w:rPr>
          <w:smallCaps/>
          <w:color w:val="44546A" w:themeColor="text2"/>
        </w:rPr>
        <w:fldChar w:fldCharType="separate"/>
      </w:r>
      <w:r w:rsidR="00AA3031">
        <w:rPr>
          <w:smallCaps/>
          <w:noProof/>
          <w:color w:val="44546A" w:themeColor="text2"/>
        </w:rPr>
        <w:t>7</w:t>
      </w:r>
      <w:r w:rsidRPr="000E7D4E">
        <w:rPr>
          <w:smallCaps/>
          <w:color w:val="44546A" w:themeColor="text2"/>
        </w:rPr>
        <w:fldChar w:fldCharType="end"/>
      </w:r>
      <w:r w:rsidRPr="00414ECC">
        <w:rPr>
          <w:smallCaps/>
          <w:color w:val="44546A" w:themeColor="text2"/>
        </w:rPr>
        <w:t xml:space="preserve"> </w:t>
      </w:r>
      <w:r w:rsidRPr="000E7D4E">
        <w:rPr>
          <w:smallCaps/>
          <w:color w:val="44546A" w:themeColor="text2"/>
        </w:rPr>
        <w:t>Hospital discharges with a synthetic cannabinoid general diagnosis and principal diagnosis</w:t>
      </w:r>
      <w:r w:rsidRPr="000E7D4E">
        <w:rPr>
          <w:rStyle w:val="FootnoteReference"/>
          <w:b/>
          <w:bCs/>
          <w:smallCaps/>
          <w:color w:val="44546A" w:themeColor="text2"/>
        </w:rPr>
        <w:footnoteReference w:id="7"/>
      </w:r>
      <w:bookmarkEnd w:id="279"/>
      <w:bookmarkEnd w:id="280"/>
    </w:p>
    <w:tbl>
      <w:tblPr>
        <w:tblW w:w="7934" w:type="dxa"/>
        <w:tblLook w:val="04A0" w:firstRow="1" w:lastRow="0" w:firstColumn="1" w:lastColumn="0" w:noHBand="0" w:noVBand="1"/>
      </w:tblPr>
      <w:tblGrid>
        <w:gridCol w:w="1696"/>
        <w:gridCol w:w="3119"/>
        <w:gridCol w:w="3119"/>
      </w:tblGrid>
      <w:tr w:rsidR="008204E5" w:rsidRPr="000E7D4E" w14:paraId="6AA951E8" w14:textId="77777777" w:rsidTr="00C34C0F">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D4BB4E1" w14:textId="77777777" w:rsidR="008204E5" w:rsidRPr="000E7D4E" w:rsidRDefault="008204E5" w:rsidP="00866D1F">
            <w:pPr>
              <w:rPr>
                <w:b/>
                <w:sz w:val="20"/>
              </w:rPr>
            </w:pPr>
            <w:r w:rsidRPr="000E7D4E">
              <w:rPr>
                <w:b/>
                <w:sz w:val="20"/>
              </w:rPr>
              <w:t>Year</w:t>
            </w:r>
          </w:p>
        </w:tc>
        <w:tc>
          <w:tcPr>
            <w:tcW w:w="311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7C66E6AA" w14:textId="77777777" w:rsidR="008204E5" w:rsidRPr="000E7D4E" w:rsidRDefault="008204E5" w:rsidP="00866D1F">
            <w:pPr>
              <w:jc w:val="center"/>
              <w:rPr>
                <w:b/>
                <w:sz w:val="20"/>
              </w:rPr>
            </w:pPr>
            <w:r w:rsidRPr="000E7D4E">
              <w:rPr>
                <w:b/>
                <w:sz w:val="20"/>
              </w:rPr>
              <w:t>Number of hospital discharges with a synthetic cannabinoid diagnosis</w:t>
            </w:r>
          </w:p>
        </w:tc>
        <w:tc>
          <w:tcPr>
            <w:tcW w:w="311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ABFA2D" w14:textId="77777777" w:rsidR="008204E5" w:rsidRPr="000E7D4E" w:rsidRDefault="008204E5" w:rsidP="00866D1F">
            <w:pPr>
              <w:jc w:val="center"/>
              <w:rPr>
                <w:b/>
                <w:sz w:val="20"/>
              </w:rPr>
            </w:pPr>
            <w:r w:rsidRPr="000E7D4E">
              <w:rPr>
                <w:b/>
                <w:sz w:val="20"/>
              </w:rPr>
              <w:t>Number of hospital discharges with a synthetic cannabinoid related principal diagnosis</w:t>
            </w:r>
          </w:p>
        </w:tc>
      </w:tr>
      <w:tr w:rsidR="008204E5" w:rsidRPr="000E7D4E" w14:paraId="58CF9C33"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7CB82F02" w14:textId="77777777" w:rsidR="008204E5" w:rsidRPr="000E7D4E" w:rsidRDefault="008204E5" w:rsidP="00866D1F">
            <w:pPr>
              <w:rPr>
                <w:sz w:val="20"/>
              </w:rPr>
            </w:pPr>
            <w:r w:rsidRPr="000E7D4E">
              <w:rPr>
                <w:sz w:val="20"/>
              </w:rPr>
              <w:t>2015</w:t>
            </w:r>
          </w:p>
        </w:tc>
        <w:tc>
          <w:tcPr>
            <w:tcW w:w="3119" w:type="dxa"/>
            <w:tcBorders>
              <w:top w:val="single" w:sz="4" w:space="0" w:color="auto"/>
              <w:left w:val="single" w:sz="4" w:space="0" w:color="auto"/>
              <w:bottom w:val="single" w:sz="4" w:space="0" w:color="auto"/>
              <w:right w:val="single" w:sz="4" w:space="0" w:color="auto"/>
            </w:tcBorders>
            <w:noWrap/>
            <w:hideMark/>
          </w:tcPr>
          <w:p w14:paraId="40F057FD" w14:textId="77777777" w:rsidR="008204E5" w:rsidRPr="000E7D4E" w:rsidRDefault="008204E5" w:rsidP="00866D1F">
            <w:pPr>
              <w:jc w:val="center"/>
              <w:rPr>
                <w:sz w:val="20"/>
              </w:rPr>
            </w:pPr>
            <w:r w:rsidRPr="000E7D4E">
              <w:rPr>
                <w:sz w:val="20"/>
              </w:rPr>
              <w:t>27</w:t>
            </w:r>
          </w:p>
        </w:tc>
        <w:tc>
          <w:tcPr>
            <w:tcW w:w="3119" w:type="dxa"/>
            <w:tcBorders>
              <w:top w:val="single" w:sz="4" w:space="0" w:color="auto"/>
              <w:left w:val="single" w:sz="4" w:space="0" w:color="auto"/>
              <w:bottom w:val="single" w:sz="4" w:space="0" w:color="auto"/>
              <w:right w:val="single" w:sz="4" w:space="0" w:color="auto"/>
            </w:tcBorders>
          </w:tcPr>
          <w:p w14:paraId="5F6C4CEA" w14:textId="77777777" w:rsidR="008204E5" w:rsidRPr="000E7D4E" w:rsidRDefault="008204E5" w:rsidP="00866D1F">
            <w:pPr>
              <w:jc w:val="center"/>
              <w:rPr>
                <w:sz w:val="20"/>
              </w:rPr>
            </w:pPr>
            <w:r w:rsidRPr="000E7D4E">
              <w:rPr>
                <w:sz w:val="20"/>
              </w:rPr>
              <w:t>18</w:t>
            </w:r>
          </w:p>
        </w:tc>
      </w:tr>
      <w:tr w:rsidR="008204E5" w:rsidRPr="000E7D4E" w14:paraId="21B27906"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FA83FA6" w14:textId="77777777" w:rsidR="008204E5" w:rsidRPr="000E7D4E" w:rsidRDefault="008204E5" w:rsidP="00866D1F">
            <w:pPr>
              <w:rPr>
                <w:sz w:val="20"/>
              </w:rPr>
            </w:pPr>
            <w:r w:rsidRPr="000E7D4E">
              <w:rPr>
                <w:sz w:val="20"/>
              </w:rPr>
              <w:t>2016</w:t>
            </w:r>
          </w:p>
        </w:tc>
        <w:tc>
          <w:tcPr>
            <w:tcW w:w="3119" w:type="dxa"/>
            <w:tcBorders>
              <w:top w:val="single" w:sz="4" w:space="0" w:color="auto"/>
              <w:left w:val="single" w:sz="4" w:space="0" w:color="auto"/>
              <w:bottom w:val="single" w:sz="4" w:space="0" w:color="auto"/>
              <w:right w:val="single" w:sz="4" w:space="0" w:color="auto"/>
            </w:tcBorders>
            <w:noWrap/>
            <w:hideMark/>
          </w:tcPr>
          <w:p w14:paraId="649E8517" w14:textId="77777777" w:rsidR="008204E5" w:rsidRPr="000E7D4E" w:rsidRDefault="008204E5" w:rsidP="00866D1F">
            <w:pPr>
              <w:jc w:val="center"/>
              <w:rPr>
                <w:sz w:val="20"/>
              </w:rPr>
            </w:pPr>
            <w:r w:rsidRPr="000E7D4E">
              <w:rPr>
                <w:sz w:val="20"/>
              </w:rPr>
              <w:t>37</w:t>
            </w:r>
          </w:p>
        </w:tc>
        <w:tc>
          <w:tcPr>
            <w:tcW w:w="3119" w:type="dxa"/>
            <w:tcBorders>
              <w:top w:val="single" w:sz="4" w:space="0" w:color="auto"/>
              <w:left w:val="single" w:sz="4" w:space="0" w:color="auto"/>
              <w:bottom w:val="single" w:sz="4" w:space="0" w:color="auto"/>
              <w:right w:val="single" w:sz="4" w:space="0" w:color="auto"/>
            </w:tcBorders>
          </w:tcPr>
          <w:p w14:paraId="3064AFA1" w14:textId="77777777" w:rsidR="008204E5" w:rsidRPr="000E7D4E" w:rsidRDefault="008204E5" w:rsidP="00866D1F">
            <w:pPr>
              <w:jc w:val="center"/>
              <w:rPr>
                <w:sz w:val="20"/>
              </w:rPr>
            </w:pPr>
            <w:r w:rsidRPr="000E7D4E">
              <w:rPr>
                <w:sz w:val="20"/>
              </w:rPr>
              <w:t>31</w:t>
            </w:r>
          </w:p>
        </w:tc>
      </w:tr>
      <w:tr w:rsidR="008204E5" w:rsidRPr="000E7D4E" w14:paraId="2A327F5B"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56D9A43C" w14:textId="77777777" w:rsidR="008204E5" w:rsidRPr="000E7D4E" w:rsidRDefault="008204E5" w:rsidP="00866D1F">
            <w:pPr>
              <w:rPr>
                <w:sz w:val="20"/>
              </w:rPr>
            </w:pPr>
            <w:r w:rsidRPr="000E7D4E">
              <w:rPr>
                <w:sz w:val="20"/>
              </w:rPr>
              <w:t>2017</w:t>
            </w:r>
          </w:p>
        </w:tc>
        <w:tc>
          <w:tcPr>
            <w:tcW w:w="3119" w:type="dxa"/>
            <w:tcBorders>
              <w:top w:val="single" w:sz="4" w:space="0" w:color="auto"/>
              <w:left w:val="single" w:sz="4" w:space="0" w:color="auto"/>
              <w:bottom w:val="single" w:sz="4" w:space="0" w:color="auto"/>
              <w:right w:val="single" w:sz="4" w:space="0" w:color="auto"/>
            </w:tcBorders>
            <w:noWrap/>
            <w:hideMark/>
          </w:tcPr>
          <w:p w14:paraId="767E6F74" w14:textId="77777777" w:rsidR="008204E5" w:rsidRPr="000E7D4E" w:rsidRDefault="008204E5" w:rsidP="00866D1F">
            <w:pPr>
              <w:jc w:val="center"/>
              <w:rPr>
                <w:sz w:val="20"/>
              </w:rPr>
            </w:pPr>
            <w:r w:rsidRPr="000E7D4E">
              <w:rPr>
                <w:sz w:val="20"/>
              </w:rPr>
              <w:t>89</w:t>
            </w:r>
          </w:p>
        </w:tc>
        <w:tc>
          <w:tcPr>
            <w:tcW w:w="3119" w:type="dxa"/>
            <w:tcBorders>
              <w:top w:val="single" w:sz="4" w:space="0" w:color="auto"/>
              <w:left w:val="single" w:sz="4" w:space="0" w:color="auto"/>
              <w:bottom w:val="single" w:sz="4" w:space="0" w:color="auto"/>
              <w:right w:val="single" w:sz="4" w:space="0" w:color="auto"/>
            </w:tcBorders>
          </w:tcPr>
          <w:p w14:paraId="6B86B74A" w14:textId="77777777" w:rsidR="008204E5" w:rsidRPr="000E7D4E" w:rsidRDefault="008204E5" w:rsidP="00866D1F">
            <w:pPr>
              <w:jc w:val="center"/>
              <w:rPr>
                <w:sz w:val="20"/>
              </w:rPr>
            </w:pPr>
            <w:r w:rsidRPr="000E7D4E">
              <w:rPr>
                <w:sz w:val="20"/>
              </w:rPr>
              <w:t>67</w:t>
            </w:r>
          </w:p>
        </w:tc>
      </w:tr>
      <w:tr w:rsidR="008204E5" w:rsidRPr="000E7D4E" w14:paraId="545E6A9D"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6E4C8811" w14:textId="77777777" w:rsidR="008204E5" w:rsidRPr="000E7D4E" w:rsidRDefault="008204E5" w:rsidP="00866D1F">
            <w:pPr>
              <w:rPr>
                <w:sz w:val="20"/>
              </w:rPr>
            </w:pPr>
            <w:r w:rsidRPr="000E7D4E">
              <w:rPr>
                <w:sz w:val="20"/>
              </w:rPr>
              <w:t>2018</w:t>
            </w:r>
          </w:p>
        </w:tc>
        <w:tc>
          <w:tcPr>
            <w:tcW w:w="3119" w:type="dxa"/>
            <w:tcBorders>
              <w:top w:val="single" w:sz="4" w:space="0" w:color="auto"/>
              <w:left w:val="single" w:sz="4" w:space="0" w:color="auto"/>
              <w:bottom w:val="single" w:sz="4" w:space="0" w:color="auto"/>
              <w:right w:val="single" w:sz="4" w:space="0" w:color="auto"/>
            </w:tcBorders>
            <w:noWrap/>
            <w:hideMark/>
          </w:tcPr>
          <w:p w14:paraId="090CF55B" w14:textId="77777777" w:rsidR="008204E5" w:rsidRPr="000E7D4E" w:rsidRDefault="008204E5" w:rsidP="00866D1F">
            <w:pPr>
              <w:jc w:val="center"/>
              <w:rPr>
                <w:sz w:val="20"/>
              </w:rPr>
            </w:pPr>
            <w:r w:rsidRPr="000E7D4E">
              <w:rPr>
                <w:sz w:val="20"/>
              </w:rPr>
              <w:t>102</w:t>
            </w:r>
          </w:p>
        </w:tc>
        <w:tc>
          <w:tcPr>
            <w:tcW w:w="3119" w:type="dxa"/>
            <w:tcBorders>
              <w:top w:val="single" w:sz="4" w:space="0" w:color="auto"/>
              <w:left w:val="single" w:sz="4" w:space="0" w:color="auto"/>
              <w:bottom w:val="single" w:sz="4" w:space="0" w:color="auto"/>
              <w:right w:val="single" w:sz="4" w:space="0" w:color="auto"/>
            </w:tcBorders>
          </w:tcPr>
          <w:p w14:paraId="512D5D3A" w14:textId="77777777" w:rsidR="008204E5" w:rsidRPr="000E7D4E" w:rsidRDefault="008204E5" w:rsidP="00866D1F">
            <w:pPr>
              <w:jc w:val="center"/>
              <w:rPr>
                <w:sz w:val="20"/>
              </w:rPr>
            </w:pPr>
            <w:r w:rsidRPr="000E7D4E">
              <w:rPr>
                <w:sz w:val="20"/>
              </w:rPr>
              <w:t>81</w:t>
            </w:r>
          </w:p>
        </w:tc>
      </w:tr>
      <w:tr w:rsidR="008204E5" w:rsidRPr="000E7D4E" w14:paraId="171877BB"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452CDC21" w14:textId="77777777" w:rsidR="008204E5" w:rsidRPr="000E7D4E" w:rsidRDefault="008204E5" w:rsidP="00866D1F">
            <w:pPr>
              <w:rPr>
                <w:sz w:val="20"/>
              </w:rPr>
            </w:pPr>
            <w:r w:rsidRPr="000E7D4E">
              <w:rPr>
                <w:sz w:val="20"/>
              </w:rPr>
              <w:t>2019</w:t>
            </w:r>
          </w:p>
        </w:tc>
        <w:tc>
          <w:tcPr>
            <w:tcW w:w="3119" w:type="dxa"/>
            <w:tcBorders>
              <w:top w:val="single" w:sz="4" w:space="0" w:color="auto"/>
              <w:left w:val="single" w:sz="4" w:space="0" w:color="auto"/>
              <w:bottom w:val="single" w:sz="4" w:space="0" w:color="auto"/>
              <w:right w:val="single" w:sz="4" w:space="0" w:color="auto"/>
            </w:tcBorders>
            <w:noWrap/>
            <w:hideMark/>
          </w:tcPr>
          <w:p w14:paraId="6505C8AF" w14:textId="77777777" w:rsidR="008204E5" w:rsidRPr="000E7D4E" w:rsidRDefault="008204E5" w:rsidP="00866D1F">
            <w:pPr>
              <w:jc w:val="center"/>
              <w:rPr>
                <w:sz w:val="20"/>
              </w:rPr>
            </w:pPr>
            <w:r w:rsidRPr="000E7D4E">
              <w:rPr>
                <w:sz w:val="20"/>
              </w:rPr>
              <w:t>37</w:t>
            </w:r>
          </w:p>
        </w:tc>
        <w:tc>
          <w:tcPr>
            <w:tcW w:w="3119" w:type="dxa"/>
            <w:tcBorders>
              <w:top w:val="single" w:sz="4" w:space="0" w:color="auto"/>
              <w:left w:val="single" w:sz="4" w:space="0" w:color="auto"/>
              <w:bottom w:val="single" w:sz="4" w:space="0" w:color="auto"/>
              <w:right w:val="single" w:sz="4" w:space="0" w:color="auto"/>
            </w:tcBorders>
          </w:tcPr>
          <w:p w14:paraId="29F0D497" w14:textId="77777777" w:rsidR="008204E5" w:rsidRPr="000E7D4E" w:rsidRDefault="008204E5" w:rsidP="00866D1F">
            <w:pPr>
              <w:jc w:val="center"/>
              <w:rPr>
                <w:sz w:val="20"/>
              </w:rPr>
            </w:pPr>
            <w:r w:rsidRPr="000E7D4E">
              <w:rPr>
                <w:sz w:val="20"/>
              </w:rPr>
              <w:t>26</w:t>
            </w:r>
          </w:p>
        </w:tc>
      </w:tr>
      <w:tr w:rsidR="008204E5" w:rsidRPr="000E7D4E" w14:paraId="4D1F1EC7" w14:textId="77777777" w:rsidTr="00832479">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0B5F05E" w14:textId="77777777" w:rsidR="008204E5" w:rsidRPr="000E7D4E" w:rsidRDefault="008204E5" w:rsidP="00866D1F">
            <w:pPr>
              <w:rPr>
                <w:sz w:val="20"/>
              </w:rPr>
            </w:pPr>
            <w:r w:rsidRPr="000E7D4E">
              <w:rPr>
                <w:sz w:val="20"/>
              </w:rPr>
              <w:t>2020</w:t>
            </w:r>
          </w:p>
        </w:tc>
        <w:tc>
          <w:tcPr>
            <w:tcW w:w="3119" w:type="dxa"/>
            <w:tcBorders>
              <w:top w:val="single" w:sz="4" w:space="0" w:color="auto"/>
              <w:left w:val="single" w:sz="4" w:space="0" w:color="auto"/>
              <w:bottom w:val="single" w:sz="4" w:space="0" w:color="auto"/>
              <w:right w:val="single" w:sz="4" w:space="0" w:color="auto"/>
            </w:tcBorders>
            <w:noWrap/>
            <w:hideMark/>
          </w:tcPr>
          <w:p w14:paraId="7ED2F8CC" w14:textId="77777777" w:rsidR="008204E5" w:rsidRPr="000E7D4E" w:rsidRDefault="008204E5" w:rsidP="00866D1F">
            <w:pPr>
              <w:jc w:val="center"/>
              <w:rPr>
                <w:sz w:val="20"/>
              </w:rPr>
            </w:pPr>
            <w:r w:rsidRPr="000E7D4E">
              <w:rPr>
                <w:sz w:val="20"/>
              </w:rPr>
              <w:t>22</w:t>
            </w:r>
          </w:p>
        </w:tc>
        <w:tc>
          <w:tcPr>
            <w:tcW w:w="3119" w:type="dxa"/>
            <w:tcBorders>
              <w:top w:val="single" w:sz="4" w:space="0" w:color="auto"/>
              <w:left w:val="single" w:sz="4" w:space="0" w:color="auto"/>
              <w:bottom w:val="single" w:sz="4" w:space="0" w:color="auto"/>
              <w:right w:val="single" w:sz="4" w:space="0" w:color="auto"/>
            </w:tcBorders>
          </w:tcPr>
          <w:p w14:paraId="7E9FA237" w14:textId="77777777" w:rsidR="008204E5" w:rsidRPr="000E7D4E" w:rsidRDefault="008204E5" w:rsidP="00866D1F">
            <w:pPr>
              <w:jc w:val="center"/>
              <w:rPr>
                <w:sz w:val="20"/>
              </w:rPr>
            </w:pPr>
            <w:r w:rsidRPr="000E7D4E">
              <w:rPr>
                <w:sz w:val="20"/>
              </w:rPr>
              <w:t>16</w:t>
            </w:r>
          </w:p>
        </w:tc>
      </w:tr>
    </w:tbl>
    <w:p w14:paraId="3DEC8971" w14:textId="77777777" w:rsidR="008204E5" w:rsidRPr="000E7D4E" w:rsidRDefault="008204E5" w:rsidP="008204E5"/>
    <w:p w14:paraId="36618307" w14:textId="093F0AFA" w:rsidR="008204E5" w:rsidRPr="000E7D4E" w:rsidRDefault="008204E5" w:rsidP="008204E5">
      <w:r w:rsidRPr="000E7D4E">
        <w:lastRenderedPageBreak/>
        <w:t xml:space="preserve">Table 8 below shows the percentage of hospital discharges </w:t>
      </w:r>
      <w:bookmarkStart w:id="281" w:name="_Hlk77681062"/>
      <w:r w:rsidRPr="000E7D4E">
        <w:t>with a synthetic cannabinoid related principal diagnosis</w:t>
      </w:r>
      <w:bookmarkEnd w:id="281"/>
      <w:r w:rsidRPr="000E7D4E">
        <w:t xml:space="preserve">, by ethnicity.  </w:t>
      </w:r>
    </w:p>
    <w:p w14:paraId="454F2DE5" w14:textId="338AC993" w:rsidR="00A4771D" w:rsidRPr="000E7D4E" w:rsidRDefault="008204E5" w:rsidP="0071537D">
      <w:pPr>
        <w:rPr>
          <w:rFonts w:eastAsia="Times New Roman"/>
          <w:sz w:val="24"/>
          <w:szCs w:val="24"/>
        </w:rPr>
      </w:pPr>
      <w:r w:rsidRPr="000E7D4E">
        <w:t>The table shows that the percentage of M</w:t>
      </w:r>
      <w:r w:rsidRPr="000E7D4E">
        <w:rPr>
          <w:rFonts w:cstheme="minorHAnsi"/>
        </w:rPr>
        <w:t>ā</w:t>
      </w:r>
      <w:r w:rsidRPr="000E7D4E">
        <w:t>ori represented in synthetic cannabinoid hospitalisations is higher than the proportion of M</w:t>
      </w:r>
      <w:r w:rsidRPr="000E7D4E">
        <w:rPr>
          <w:rFonts w:cstheme="minorHAnsi"/>
        </w:rPr>
        <w:t>ā</w:t>
      </w:r>
      <w:r w:rsidRPr="000E7D4E">
        <w:t xml:space="preserve">ori in the general population.  In every year, except in 2016 and 2018, the percentage of </w:t>
      </w:r>
      <w:bookmarkStart w:id="282" w:name="_Hlk77681097"/>
      <w:r w:rsidRPr="000E7D4E">
        <w:t>M</w:t>
      </w:r>
      <w:r w:rsidRPr="000E7D4E">
        <w:rPr>
          <w:rFonts w:cstheme="minorHAnsi"/>
        </w:rPr>
        <w:t>ā</w:t>
      </w:r>
      <w:r w:rsidRPr="000E7D4E">
        <w:t>ori</w:t>
      </w:r>
      <w:bookmarkEnd w:id="282"/>
      <w:r w:rsidRPr="000E7D4E">
        <w:t xml:space="preserve"> being discharged following a synthetic cannabinoid related principal diagnosis was equal to or more than the percentage of non-M</w:t>
      </w:r>
      <w:r w:rsidRPr="000E7D4E">
        <w:rPr>
          <w:rFonts w:cstheme="minorHAnsi"/>
        </w:rPr>
        <w:t>ā</w:t>
      </w:r>
      <w:r w:rsidRPr="000E7D4E">
        <w:t xml:space="preserve">ori.  </w:t>
      </w:r>
      <w:bookmarkStart w:id="283" w:name="_Toc77166790"/>
      <w:r w:rsidR="00950A1B">
        <w:t xml:space="preserve">The review team acknowledges </w:t>
      </w:r>
      <w:r w:rsidR="00C16DBC">
        <w:t xml:space="preserve">the </w:t>
      </w:r>
      <w:r w:rsidR="00950A1B">
        <w:t xml:space="preserve">numbers are small with </w:t>
      </w:r>
      <w:r w:rsidR="00C16DBC">
        <w:t xml:space="preserve">13 </w:t>
      </w:r>
      <w:r w:rsidR="00C16DBC" w:rsidRPr="000E7D4E">
        <w:t>M</w:t>
      </w:r>
      <w:r w:rsidR="00C16DBC" w:rsidRPr="000E7D4E">
        <w:rPr>
          <w:rFonts w:cstheme="minorHAnsi"/>
        </w:rPr>
        <w:t>ā</w:t>
      </w:r>
      <w:r w:rsidR="00C16DBC" w:rsidRPr="000E7D4E">
        <w:t xml:space="preserve">ori </w:t>
      </w:r>
      <w:r w:rsidR="00C16DBC">
        <w:t xml:space="preserve">being discharged </w:t>
      </w:r>
      <w:r w:rsidR="00C16DBC" w:rsidRPr="000E7D4E">
        <w:t>with a synthetic cannabinoid related principal diagnosis</w:t>
      </w:r>
      <w:r w:rsidR="00C16DBC" w:rsidRPr="004A41BB">
        <w:t xml:space="preserve"> </w:t>
      </w:r>
      <w:r w:rsidR="00C16DBC">
        <w:t xml:space="preserve">in 2019 and 9 </w:t>
      </w:r>
      <w:r w:rsidR="00C16DBC" w:rsidRPr="004A41BB">
        <w:t>2</w:t>
      </w:r>
      <w:r w:rsidR="00C16DBC" w:rsidRPr="00C16DBC">
        <w:t xml:space="preserve"> </w:t>
      </w:r>
      <w:r w:rsidR="00C16DBC" w:rsidRPr="000E7D4E">
        <w:t>M</w:t>
      </w:r>
      <w:r w:rsidR="00C16DBC" w:rsidRPr="000E7D4E">
        <w:rPr>
          <w:rFonts w:cstheme="minorHAnsi"/>
        </w:rPr>
        <w:t>ā</w:t>
      </w:r>
      <w:r w:rsidR="00C16DBC" w:rsidRPr="000E7D4E">
        <w:t>ori</w:t>
      </w:r>
      <w:r w:rsidR="00C16DBC">
        <w:t xml:space="preserve"> in 2020.</w:t>
      </w:r>
    </w:p>
    <w:p w14:paraId="69684EBE" w14:textId="71EC7E7C" w:rsidR="008204E5" w:rsidRPr="000E7D4E" w:rsidRDefault="008204E5" w:rsidP="008204E5">
      <w:pPr>
        <w:pStyle w:val="Caption"/>
        <w:rPr>
          <w:b w:val="0"/>
          <w:bCs w:val="0"/>
          <w:smallCaps w:val="0"/>
        </w:rPr>
      </w:pPr>
      <w:bookmarkStart w:id="284" w:name="_Toc77776104"/>
      <w:r w:rsidRPr="000E7D4E">
        <w:t xml:space="preserve">Table </w:t>
      </w:r>
      <w:fldSimple w:instr=" SEQ Table \* ARABIC ">
        <w:r w:rsidR="00AA3031">
          <w:rPr>
            <w:noProof/>
          </w:rPr>
          <w:t>8</w:t>
        </w:r>
      </w:fldSimple>
      <w:r w:rsidRPr="000E7D4E">
        <w:t xml:space="preserve"> the percentage of Hospital discharges with a synthetic cannabinoid related PRINCIPAL diagnosis by ethnicity</w:t>
      </w:r>
      <w:bookmarkEnd w:id="284"/>
      <w:r w:rsidRPr="000E7D4E">
        <w:t xml:space="preserve"> </w:t>
      </w:r>
      <w:bookmarkEnd w:id="283"/>
    </w:p>
    <w:tbl>
      <w:tblPr>
        <w:tblW w:w="8850" w:type="dxa"/>
        <w:tblLayout w:type="fixed"/>
        <w:tblLook w:val="04A0" w:firstRow="1" w:lastRow="0" w:firstColumn="1" w:lastColumn="0" w:noHBand="0" w:noVBand="1"/>
      </w:tblPr>
      <w:tblGrid>
        <w:gridCol w:w="1982"/>
        <w:gridCol w:w="1145"/>
        <w:gridCol w:w="1145"/>
        <w:gridCol w:w="1144"/>
        <w:gridCol w:w="1145"/>
        <w:gridCol w:w="1144"/>
        <w:gridCol w:w="1145"/>
      </w:tblGrid>
      <w:tr w:rsidR="008204E5" w:rsidRPr="000E7D4E" w14:paraId="39E6E95A" w14:textId="77777777" w:rsidTr="00C34C0F">
        <w:trPr>
          <w:trHeight w:val="600"/>
        </w:trPr>
        <w:tc>
          <w:tcPr>
            <w:tcW w:w="198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1A1B3A7" w14:textId="77777777" w:rsidR="008204E5" w:rsidRPr="000E7D4E" w:rsidRDefault="008204E5" w:rsidP="00866D1F">
            <w:pPr>
              <w:spacing w:after="0" w:line="240" w:lineRule="auto"/>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Ethnicity</w:t>
            </w:r>
          </w:p>
        </w:tc>
        <w:tc>
          <w:tcPr>
            <w:tcW w:w="114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375E556"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2015 </w:t>
            </w:r>
            <w:r w:rsidRPr="000E7D4E">
              <w:rPr>
                <w:rFonts w:ascii="Calibri" w:eastAsia="Times New Roman" w:hAnsi="Calibri" w:cs="Calibri"/>
                <w:b/>
                <w:bCs/>
                <w:color w:val="000000"/>
                <w:sz w:val="20"/>
                <w:szCs w:val="20"/>
                <w:lang w:eastAsia="zh-CN"/>
              </w:rPr>
              <w:br/>
              <w:t>(% of total)</w:t>
            </w:r>
          </w:p>
        </w:tc>
        <w:tc>
          <w:tcPr>
            <w:tcW w:w="114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CEBDBA6"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2016 </w:t>
            </w:r>
            <w:r w:rsidRPr="000E7D4E">
              <w:rPr>
                <w:rFonts w:ascii="Calibri" w:eastAsia="Times New Roman" w:hAnsi="Calibri" w:cs="Calibri"/>
                <w:b/>
                <w:bCs/>
                <w:color w:val="000000"/>
                <w:sz w:val="20"/>
                <w:szCs w:val="20"/>
                <w:lang w:eastAsia="zh-CN"/>
              </w:rPr>
              <w:br/>
              <w:t>(% of total)</w:t>
            </w:r>
          </w:p>
        </w:tc>
        <w:tc>
          <w:tcPr>
            <w:tcW w:w="114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F564D1D"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2017 </w:t>
            </w:r>
            <w:r w:rsidRPr="000E7D4E">
              <w:rPr>
                <w:rFonts w:ascii="Calibri" w:eastAsia="Times New Roman" w:hAnsi="Calibri" w:cs="Calibri"/>
                <w:b/>
                <w:bCs/>
                <w:color w:val="000000"/>
                <w:sz w:val="20"/>
                <w:szCs w:val="20"/>
                <w:lang w:eastAsia="zh-CN"/>
              </w:rPr>
              <w:br/>
              <w:t>(% of total)</w:t>
            </w:r>
          </w:p>
        </w:tc>
        <w:tc>
          <w:tcPr>
            <w:tcW w:w="114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CD93B42"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2018 </w:t>
            </w:r>
            <w:r w:rsidRPr="000E7D4E">
              <w:rPr>
                <w:rFonts w:ascii="Calibri" w:eastAsia="Times New Roman" w:hAnsi="Calibri" w:cs="Calibri"/>
                <w:b/>
                <w:bCs/>
                <w:color w:val="000000"/>
                <w:sz w:val="20"/>
                <w:szCs w:val="20"/>
                <w:lang w:eastAsia="zh-CN"/>
              </w:rPr>
              <w:br/>
              <w:t>(% of total)</w:t>
            </w:r>
          </w:p>
        </w:tc>
        <w:tc>
          <w:tcPr>
            <w:tcW w:w="114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4C33835"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2019 </w:t>
            </w:r>
            <w:r w:rsidRPr="000E7D4E">
              <w:rPr>
                <w:rFonts w:ascii="Calibri" w:eastAsia="Times New Roman" w:hAnsi="Calibri" w:cs="Calibri"/>
                <w:b/>
                <w:bCs/>
                <w:color w:val="000000"/>
                <w:sz w:val="20"/>
                <w:szCs w:val="20"/>
                <w:lang w:eastAsia="zh-CN"/>
              </w:rPr>
              <w:br/>
              <w:t>(% of total)</w:t>
            </w:r>
          </w:p>
        </w:tc>
        <w:tc>
          <w:tcPr>
            <w:tcW w:w="114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0500BF1"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 xml:space="preserve">2020 </w:t>
            </w:r>
            <w:r w:rsidRPr="000E7D4E">
              <w:rPr>
                <w:rFonts w:ascii="Calibri" w:eastAsia="Times New Roman" w:hAnsi="Calibri" w:cs="Calibri"/>
                <w:b/>
                <w:bCs/>
                <w:color w:val="000000"/>
                <w:sz w:val="20"/>
                <w:szCs w:val="20"/>
                <w:lang w:eastAsia="zh-CN"/>
              </w:rPr>
              <w:br/>
              <w:t>(% of total)</w:t>
            </w:r>
          </w:p>
        </w:tc>
      </w:tr>
      <w:tr w:rsidR="008204E5" w:rsidRPr="000E7D4E" w14:paraId="711C38B1" w14:textId="77777777" w:rsidTr="00866D1F">
        <w:trPr>
          <w:trHeight w:val="300"/>
        </w:trPr>
        <w:tc>
          <w:tcPr>
            <w:tcW w:w="1982" w:type="dxa"/>
            <w:tcBorders>
              <w:top w:val="nil"/>
              <w:left w:val="single" w:sz="4" w:space="0" w:color="auto"/>
              <w:bottom w:val="single" w:sz="4" w:space="0" w:color="auto"/>
              <w:right w:val="single" w:sz="4" w:space="0" w:color="auto"/>
            </w:tcBorders>
            <w:noWrap/>
            <w:vAlign w:val="center"/>
            <w:hideMark/>
          </w:tcPr>
          <w:p w14:paraId="6A930280" w14:textId="77777777" w:rsidR="008204E5" w:rsidRPr="000E7D4E" w:rsidRDefault="008204E5" w:rsidP="00866D1F">
            <w:pPr>
              <w:spacing w:after="0" w:line="240" w:lineRule="auto"/>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Māori</w:t>
            </w:r>
          </w:p>
        </w:tc>
        <w:tc>
          <w:tcPr>
            <w:tcW w:w="1145" w:type="dxa"/>
            <w:tcBorders>
              <w:top w:val="nil"/>
              <w:left w:val="nil"/>
              <w:bottom w:val="single" w:sz="4" w:space="0" w:color="auto"/>
              <w:right w:val="single" w:sz="4" w:space="0" w:color="auto"/>
            </w:tcBorders>
            <w:noWrap/>
            <w:vAlign w:val="center"/>
            <w:hideMark/>
          </w:tcPr>
          <w:p w14:paraId="24D3DC6B"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67%</w:t>
            </w:r>
          </w:p>
        </w:tc>
        <w:tc>
          <w:tcPr>
            <w:tcW w:w="1145" w:type="dxa"/>
            <w:tcBorders>
              <w:top w:val="nil"/>
              <w:left w:val="nil"/>
              <w:bottom w:val="single" w:sz="4" w:space="0" w:color="auto"/>
              <w:right w:val="single" w:sz="4" w:space="0" w:color="auto"/>
            </w:tcBorders>
            <w:noWrap/>
            <w:vAlign w:val="center"/>
            <w:hideMark/>
          </w:tcPr>
          <w:p w14:paraId="6EBBA845"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45%</w:t>
            </w:r>
          </w:p>
        </w:tc>
        <w:tc>
          <w:tcPr>
            <w:tcW w:w="1144" w:type="dxa"/>
            <w:tcBorders>
              <w:top w:val="nil"/>
              <w:left w:val="nil"/>
              <w:bottom w:val="single" w:sz="4" w:space="0" w:color="auto"/>
              <w:right w:val="single" w:sz="4" w:space="0" w:color="auto"/>
            </w:tcBorders>
            <w:noWrap/>
            <w:vAlign w:val="center"/>
            <w:hideMark/>
          </w:tcPr>
          <w:p w14:paraId="30335022"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54%</w:t>
            </w:r>
          </w:p>
        </w:tc>
        <w:tc>
          <w:tcPr>
            <w:tcW w:w="1145" w:type="dxa"/>
            <w:tcBorders>
              <w:top w:val="nil"/>
              <w:left w:val="nil"/>
              <w:bottom w:val="single" w:sz="4" w:space="0" w:color="auto"/>
              <w:right w:val="single" w:sz="4" w:space="0" w:color="auto"/>
            </w:tcBorders>
            <w:noWrap/>
            <w:vAlign w:val="center"/>
            <w:hideMark/>
          </w:tcPr>
          <w:p w14:paraId="3B9605F0"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36%</w:t>
            </w:r>
          </w:p>
        </w:tc>
        <w:tc>
          <w:tcPr>
            <w:tcW w:w="1144" w:type="dxa"/>
            <w:tcBorders>
              <w:top w:val="nil"/>
              <w:left w:val="nil"/>
              <w:bottom w:val="single" w:sz="4" w:space="0" w:color="auto"/>
              <w:right w:val="single" w:sz="4" w:space="0" w:color="auto"/>
            </w:tcBorders>
            <w:noWrap/>
            <w:vAlign w:val="center"/>
            <w:hideMark/>
          </w:tcPr>
          <w:p w14:paraId="056E9D03"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50%</w:t>
            </w:r>
          </w:p>
        </w:tc>
        <w:tc>
          <w:tcPr>
            <w:tcW w:w="1145" w:type="dxa"/>
            <w:tcBorders>
              <w:top w:val="nil"/>
              <w:left w:val="nil"/>
              <w:bottom w:val="single" w:sz="4" w:space="0" w:color="auto"/>
              <w:right w:val="single" w:sz="4" w:space="0" w:color="auto"/>
            </w:tcBorders>
            <w:noWrap/>
            <w:vAlign w:val="center"/>
            <w:hideMark/>
          </w:tcPr>
          <w:p w14:paraId="7F8A20E0"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56%</w:t>
            </w:r>
          </w:p>
        </w:tc>
      </w:tr>
      <w:tr w:rsidR="008204E5" w:rsidRPr="000E7D4E" w14:paraId="22088380" w14:textId="77777777" w:rsidTr="00866D1F">
        <w:trPr>
          <w:trHeight w:val="300"/>
        </w:trPr>
        <w:tc>
          <w:tcPr>
            <w:tcW w:w="1982" w:type="dxa"/>
            <w:tcBorders>
              <w:top w:val="nil"/>
              <w:left w:val="single" w:sz="4" w:space="0" w:color="auto"/>
              <w:bottom w:val="single" w:sz="4" w:space="0" w:color="auto"/>
              <w:right w:val="single" w:sz="4" w:space="0" w:color="auto"/>
            </w:tcBorders>
            <w:noWrap/>
            <w:vAlign w:val="center"/>
            <w:hideMark/>
          </w:tcPr>
          <w:p w14:paraId="62B7E04D" w14:textId="77777777" w:rsidR="008204E5" w:rsidRPr="000E7D4E" w:rsidRDefault="008204E5" w:rsidP="00866D1F">
            <w:pPr>
              <w:spacing w:after="0" w:line="240" w:lineRule="auto"/>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 xml:space="preserve">Non-Māori </w:t>
            </w:r>
          </w:p>
        </w:tc>
        <w:tc>
          <w:tcPr>
            <w:tcW w:w="1145" w:type="dxa"/>
            <w:tcBorders>
              <w:top w:val="nil"/>
              <w:left w:val="nil"/>
              <w:bottom w:val="single" w:sz="4" w:space="0" w:color="auto"/>
              <w:right w:val="single" w:sz="4" w:space="0" w:color="auto"/>
            </w:tcBorders>
            <w:noWrap/>
            <w:vAlign w:val="center"/>
            <w:hideMark/>
          </w:tcPr>
          <w:p w14:paraId="4324C982"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33%</w:t>
            </w:r>
          </w:p>
        </w:tc>
        <w:tc>
          <w:tcPr>
            <w:tcW w:w="1145" w:type="dxa"/>
            <w:tcBorders>
              <w:top w:val="nil"/>
              <w:left w:val="nil"/>
              <w:bottom w:val="single" w:sz="4" w:space="0" w:color="auto"/>
              <w:right w:val="single" w:sz="4" w:space="0" w:color="auto"/>
            </w:tcBorders>
            <w:noWrap/>
            <w:vAlign w:val="center"/>
            <w:hideMark/>
          </w:tcPr>
          <w:p w14:paraId="75534A67"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55%</w:t>
            </w:r>
          </w:p>
        </w:tc>
        <w:tc>
          <w:tcPr>
            <w:tcW w:w="1144" w:type="dxa"/>
            <w:tcBorders>
              <w:top w:val="nil"/>
              <w:left w:val="nil"/>
              <w:bottom w:val="single" w:sz="4" w:space="0" w:color="auto"/>
              <w:right w:val="single" w:sz="4" w:space="0" w:color="auto"/>
            </w:tcBorders>
            <w:noWrap/>
            <w:vAlign w:val="center"/>
            <w:hideMark/>
          </w:tcPr>
          <w:p w14:paraId="175A4AE1"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46%</w:t>
            </w:r>
          </w:p>
        </w:tc>
        <w:tc>
          <w:tcPr>
            <w:tcW w:w="1145" w:type="dxa"/>
            <w:tcBorders>
              <w:top w:val="nil"/>
              <w:left w:val="nil"/>
              <w:bottom w:val="single" w:sz="4" w:space="0" w:color="auto"/>
              <w:right w:val="single" w:sz="4" w:space="0" w:color="auto"/>
            </w:tcBorders>
            <w:noWrap/>
            <w:vAlign w:val="center"/>
            <w:hideMark/>
          </w:tcPr>
          <w:p w14:paraId="7DF75E25"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64%</w:t>
            </w:r>
          </w:p>
        </w:tc>
        <w:tc>
          <w:tcPr>
            <w:tcW w:w="1144" w:type="dxa"/>
            <w:tcBorders>
              <w:top w:val="nil"/>
              <w:left w:val="nil"/>
              <w:bottom w:val="single" w:sz="4" w:space="0" w:color="auto"/>
              <w:right w:val="single" w:sz="4" w:space="0" w:color="auto"/>
            </w:tcBorders>
            <w:noWrap/>
            <w:vAlign w:val="center"/>
            <w:hideMark/>
          </w:tcPr>
          <w:p w14:paraId="15E3AB6D"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50%</w:t>
            </w:r>
          </w:p>
        </w:tc>
        <w:tc>
          <w:tcPr>
            <w:tcW w:w="1145" w:type="dxa"/>
            <w:tcBorders>
              <w:top w:val="nil"/>
              <w:left w:val="nil"/>
              <w:bottom w:val="single" w:sz="4" w:space="0" w:color="auto"/>
              <w:right w:val="single" w:sz="4" w:space="0" w:color="auto"/>
            </w:tcBorders>
            <w:noWrap/>
            <w:vAlign w:val="center"/>
            <w:hideMark/>
          </w:tcPr>
          <w:p w14:paraId="5A344359" w14:textId="77777777" w:rsidR="008204E5" w:rsidRPr="000E7D4E" w:rsidRDefault="008204E5" w:rsidP="00866D1F">
            <w:pPr>
              <w:spacing w:after="0" w:line="240" w:lineRule="auto"/>
              <w:jc w:val="center"/>
              <w:rPr>
                <w:rFonts w:ascii="Calibri" w:eastAsia="Times New Roman" w:hAnsi="Calibri" w:cs="Calibri"/>
                <w:color w:val="000000"/>
                <w:sz w:val="20"/>
                <w:szCs w:val="20"/>
                <w:lang w:eastAsia="zh-CN"/>
              </w:rPr>
            </w:pPr>
            <w:r w:rsidRPr="000E7D4E">
              <w:rPr>
                <w:rFonts w:ascii="Calibri" w:eastAsia="Times New Roman" w:hAnsi="Calibri" w:cs="Calibri"/>
                <w:color w:val="000000"/>
                <w:sz w:val="20"/>
                <w:szCs w:val="20"/>
                <w:lang w:eastAsia="zh-CN"/>
              </w:rPr>
              <w:t>44%</w:t>
            </w:r>
          </w:p>
        </w:tc>
      </w:tr>
      <w:tr w:rsidR="008204E5" w:rsidRPr="000E7D4E" w14:paraId="55D3B086" w14:textId="77777777" w:rsidTr="00C34C0F">
        <w:trPr>
          <w:trHeight w:val="300"/>
        </w:trPr>
        <w:tc>
          <w:tcPr>
            <w:tcW w:w="1982"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BA99AFE" w14:textId="77777777" w:rsidR="008204E5" w:rsidRPr="000E7D4E" w:rsidRDefault="008204E5" w:rsidP="00866D1F">
            <w:pPr>
              <w:spacing w:after="0" w:line="240" w:lineRule="auto"/>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Grand Total</w:t>
            </w:r>
          </w:p>
        </w:tc>
        <w:tc>
          <w:tcPr>
            <w:tcW w:w="1145" w:type="dxa"/>
            <w:tcBorders>
              <w:top w:val="nil"/>
              <w:left w:val="nil"/>
              <w:bottom w:val="single" w:sz="4" w:space="0" w:color="auto"/>
              <w:right w:val="single" w:sz="4" w:space="0" w:color="auto"/>
            </w:tcBorders>
            <w:shd w:val="clear" w:color="auto" w:fill="B4C6E7" w:themeFill="accent1" w:themeFillTint="66"/>
            <w:noWrap/>
            <w:vAlign w:val="center"/>
            <w:hideMark/>
          </w:tcPr>
          <w:p w14:paraId="74ABE5C6"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c>
          <w:tcPr>
            <w:tcW w:w="1145" w:type="dxa"/>
            <w:tcBorders>
              <w:top w:val="nil"/>
              <w:left w:val="nil"/>
              <w:bottom w:val="single" w:sz="4" w:space="0" w:color="auto"/>
              <w:right w:val="single" w:sz="4" w:space="0" w:color="auto"/>
            </w:tcBorders>
            <w:shd w:val="clear" w:color="auto" w:fill="B4C6E7" w:themeFill="accent1" w:themeFillTint="66"/>
            <w:noWrap/>
            <w:vAlign w:val="center"/>
            <w:hideMark/>
          </w:tcPr>
          <w:p w14:paraId="019AE587"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c>
          <w:tcPr>
            <w:tcW w:w="1144" w:type="dxa"/>
            <w:tcBorders>
              <w:top w:val="nil"/>
              <w:left w:val="nil"/>
              <w:bottom w:val="single" w:sz="4" w:space="0" w:color="auto"/>
              <w:right w:val="single" w:sz="4" w:space="0" w:color="auto"/>
            </w:tcBorders>
            <w:shd w:val="clear" w:color="auto" w:fill="B4C6E7" w:themeFill="accent1" w:themeFillTint="66"/>
            <w:noWrap/>
            <w:vAlign w:val="center"/>
            <w:hideMark/>
          </w:tcPr>
          <w:p w14:paraId="2E64249D"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c>
          <w:tcPr>
            <w:tcW w:w="1145" w:type="dxa"/>
            <w:tcBorders>
              <w:top w:val="nil"/>
              <w:left w:val="nil"/>
              <w:bottom w:val="single" w:sz="4" w:space="0" w:color="auto"/>
              <w:right w:val="single" w:sz="4" w:space="0" w:color="auto"/>
            </w:tcBorders>
            <w:shd w:val="clear" w:color="auto" w:fill="B4C6E7" w:themeFill="accent1" w:themeFillTint="66"/>
            <w:noWrap/>
            <w:vAlign w:val="center"/>
            <w:hideMark/>
          </w:tcPr>
          <w:p w14:paraId="52DD7A32"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c>
          <w:tcPr>
            <w:tcW w:w="1144" w:type="dxa"/>
            <w:tcBorders>
              <w:top w:val="nil"/>
              <w:left w:val="nil"/>
              <w:bottom w:val="single" w:sz="4" w:space="0" w:color="auto"/>
              <w:right w:val="single" w:sz="4" w:space="0" w:color="auto"/>
            </w:tcBorders>
            <w:shd w:val="clear" w:color="auto" w:fill="B4C6E7" w:themeFill="accent1" w:themeFillTint="66"/>
            <w:noWrap/>
            <w:vAlign w:val="center"/>
            <w:hideMark/>
          </w:tcPr>
          <w:p w14:paraId="15A5A95E"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c>
          <w:tcPr>
            <w:tcW w:w="1145" w:type="dxa"/>
            <w:tcBorders>
              <w:top w:val="nil"/>
              <w:left w:val="nil"/>
              <w:bottom w:val="single" w:sz="4" w:space="0" w:color="auto"/>
              <w:right w:val="single" w:sz="4" w:space="0" w:color="auto"/>
            </w:tcBorders>
            <w:shd w:val="clear" w:color="auto" w:fill="B4C6E7" w:themeFill="accent1" w:themeFillTint="66"/>
            <w:noWrap/>
            <w:vAlign w:val="center"/>
            <w:hideMark/>
          </w:tcPr>
          <w:p w14:paraId="0F5F4B2D" w14:textId="77777777" w:rsidR="008204E5" w:rsidRPr="000E7D4E" w:rsidRDefault="008204E5" w:rsidP="00866D1F">
            <w:pPr>
              <w:spacing w:after="0" w:line="240" w:lineRule="auto"/>
              <w:jc w:val="center"/>
              <w:rPr>
                <w:rFonts w:ascii="Calibri" w:eastAsia="Times New Roman" w:hAnsi="Calibri" w:cs="Calibri"/>
                <w:b/>
                <w:bCs/>
                <w:color w:val="000000"/>
                <w:sz w:val="20"/>
                <w:szCs w:val="20"/>
                <w:lang w:eastAsia="zh-CN"/>
              </w:rPr>
            </w:pPr>
            <w:r w:rsidRPr="000E7D4E">
              <w:rPr>
                <w:rFonts w:ascii="Calibri" w:eastAsia="Times New Roman" w:hAnsi="Calibri" w:cs="Calibri"/>
                <w:b/>
                <w:bCs/>
                <w:color w:val="000000"/>
                <w:sz w:val="20"/>
                <w:szCs w:val="20"/>
                <w:lang w:eastAsia="zh-CN"/>
              </w:rPr>
              <w:t>100%</w:t>
            </w:r>
          </w:p>
        </w:tc>
      </w:tr>
    </w:tbl>
    <w:p w14:paraId="659D41E9" w14:textId="77777777" w:rsidR="00C16DBC" w:rsidRPr="000E7D4E" w:rsidRDefault="00C16DBC" w:rsidP="008204E5"/>
    <w:p w14:paraId="55E981FA" w14:textId="77777777" w:rsidR="008204E5" w:rsidRPr="000E7D4E" w:rsidRDefault="008204E5" w:rsidP="008204E5">
      <w:r w:rsidRPr="000E7D4E">
        <w:t>The New Zealand Drug Foundation’s report on insights into synthetic cannabinoids use in New Zealand completed in December 2018</w:t>
      </w:r>
      <w:r w:rsidRPr="000E7D4E">
        <w:rPr>
          <w:rStyle w:val="FootnoteReference"/>
        </w:rPr>
        <w:footnoteReference w:id="8"/>
      </w:r>
      <w:r w:rsidRPr="000E7D4E">
        <w:t xml:space="preserve">, showed that half of the respondents to its survey on people using synthetic cannabinoids were Māori, and most were male.  Respondents ranged in age, with two thirds unemployed or on a benefit, and half of the sample were homeless.  The Foundation also reported that there was consistent anecdotal information to suggest that other groups of people using synthetic cannabinoids were: </w:t>
      </w:r>
    </w:p>
    <w:p w14:paraId="7A2C46E8" w14:textId="686DC3BD" w:rsidR="008204E5" w:rsidRPr="002E4592" w:rsidRDefault="008204E5" w:rsidP="002E4592">
      <w:pPr>
        <w:pStyle w:val="ReportBody-MOH"/>
        <w:numPr>
          <w:ilvl w:val="0"/>
          <w:numId w:val="26"/>
        </w:numPr>
        <w:rPr>
          <w:rFonts w:asciiTheme="minorHAnsi" w:hAnsiTheme="minorHAnsi" w:cstheme="minorBidi"/>
        </w:rPr>
      </w:pPr>
      <w:r w:rsidRPr="002E4592">
        <w:rPr>
          <w:rFonts w:asciiTheme="minorHAnsi" w:hAnsiTheme="minorHAnsi" w:cstheme="minorBidi"/>
        </w:rPr>
        <w:t xml:space="preserve">young people who are not in work or training and are using out of boredom </w:t>
      </w:r>
    </w:p>
    <w:p w14:paraId="0FA9327D" w14:textId="47E0EC84" w:rsidR="008204E5" w:rsidRPr="002E4592" w:rsidRDefault="008204E5" w:rsidP="002E4592">
      <w:pPr>
        <w:pStyle w:val="ReportBody-MOH"/>
        <w:numPr>
          <w:ilvl w:val="0"/>
          <w:numId w:val="26"/>
        </w:numPr>
        <w:rPr>
          <w:rFonts w:asciiTheme="minorHAnsi" w:hAnsiTheme="minorHAnsi" w:cstheme="minorBidi"/>
        </w:rPr>
      </w:pPr>
      <w:r w:rsidRPr="002E4592">
        <w:rPr>
          <w:rFonts w:asciiTheme="minorHAnsi" w:hAnsiTheme="minorHAnsi" w:cstheme="minorBidi"/>
        </w:rPr>
        <w:t xml:space="preserve">people avoiding workplace drug testing </w:t>
      </w:r>
    </w:p>
    <w:p w14:paraId="690290CB" w14:textId="618731FC" w:rsidR="008204E5" w:rsidRPr="002E4592" w:rsidRDefault="008204E5" w:rsidP="002E4592">
      <w:pPr>
        <w:pStyle w:val="ReportBody-MOH"/>
        <w:numPr>
          <w:ilvl w:val="0"/>
          <w:numId w:val="26"/>
        </w:numPr>
        <w:rPr>
          <w:rFonts w:asciiTheme="minorHAnsi" w:hAnsiTheme="minorHAnsi" w:cstheme="minorBidi"/>
        </w:rPr>
      </w:pPr>
      <w:r w:rsidRPr="002E4592">
        <w:rPr>
          <w:rFonts w:asciiTheme="minorHAnsi" w:hAnsiTheme="minorHAnsi" w:cstheme="minorBidi"/>
        </w:rPr>
        <w:t xml:space="preserve">people who used legally available products and maintained use after </w:t>
      </w:r>
      <w:r w:rsidR="0094417A" w:rsidRPr="002E4592">
        <w:rPr>
          <w:rFonts w:asciiTheme="minorHAnsi" w:hAnsiTheme="minorHAnsi" w:cstheme="minorBidi"/>
        </w:rPr>
        <w:t xml:space="preserve">they were removed from the legal market in </w:t>
      </w:r>
      <w:r w:rsidRPr="002E4592">
        <w:rPr>
          <w:rFonts w:asciiTheme="minorHAnsi" w:hAnsiTheme="minorHAnsi" w:cstheme="minorBidi"/>
        </w:rPr>
        <w:t xml:space="preserve">2014. </w:t>
      </w:r>
    </w:p>
    <w:p w14:paraId="22799C1B" w14:textId="77777777" w:rsidR="008204E5" w:rsidRPr="000E7D4E" w:rsidRDefault="008204E5" w:rsidP="008204E5">
      <w:r w:rsidRPr="000E7D4E">
        <w:t xml:space="preserve">The mortality, hospitalisation and ethnicity data that we have reviewed does not include information on whether these factors were also present for the people represented in the data.  </w:t>
      </w:r>
    </w:p>
    <w:p w14:paraId="663D9125" w14:textId="471FE937" w:rsidR="008204E5" w:rsidRPr="000E7D4E" w:rsidRDefault="008204E5" w:rsidP="00B936E0">
      <w:r w:rsidRPr="000E7D4E">
        <w:t>These are highly marginalised segments of society whose access to health services is minimal and/or sporadic. Given the complex social issues</w:t>
      </w:r>
      <w:r w:rsidR="0094417A">
        <w:t xml:space="preserve"> present in these areas of society,</w:t>
      </w:r>
      <w:r w:rsidRPr="000E7D4E">
        <w:t xml:space="preserve"> responding requires a flexible, and tailored approach, that may be different from traditional service delivery models.  This review highlights the opportunity to c</w:t>
      </w:r>
      <w:r w:rsidRPr="000E7D4E">
        <w:rPr>
          <w:lang w:eastAsia="zh-TW"/>
        </w:rPr>
        <w:t>ontinue to target support services to Māori and vulnerable populations to address the issues associated with deaths and hospitalisations due to synthetic cannabinoids</w:t>
      </w:r>
      <w:r w:rsidR="0094417A">
        <w:rPr>
          <w:lang w:eastAsia="zh-TW"/>
        </w:rPr>
        <w:t>.</w:t>
      </w:r>
    </w:p>
    <w:p w14:paraId="62F634BF" w14:textId="77777777" w:rsidR="008204E5" w:rsidRPr="000E7D4E" w:rsidRDefault="008204E5" w:rsidP="008204E5">
      <w:pPr>
        <w:pStyle w:val="Heading3"/>
        <w:rPr>
          <w:rFonts w:eastAsia="Times New Roman"/>
        </w:rPr>
      </w:pPr>
      <w:bookmarkStart w:id="285" w:name="_Toc77166700"/>
      <w:bookmarkStart w:id="286" w:name="_Toc78186494"/>
      <w:r w:rsidRPr="000E7D4E">
        <w:t>Interrupting manufacture and supply of AMB-FUBINACA and 5F-ADB</w:t>
      </w:r>
      <w:bookmarkEnd w:id="285"/>
      <w:bookmarkEnd w:id="286"/>
      <w:r w:rsidRPr="000E7D4E">
        <w:t xml:space="preserve"> </w:t>
      </w:r>
    </w:p>
    <w:p w14:paraId="1A526A57" w14:textId="77777777" w:rsidR="008204E5" w:rsidRPr="000E7D4E" w:rsidRDefault="008204E5" w:rsidP="008204E5">
      <w:pPr>
        <w:spacing w:after="0" w:line="240" w:lineRule="auto"/>
        <w:rPr>
          <w:rFonts w:ascii="Calibri" w:eastAsia="Calibri" w:hAnsi="Calibri" w:cs="Calibri"/>
          <w:lang w:eastAsia="en-NZ"/>
        </w:rPr>
      </w:pPr>
      <w:r w:rsidRPr="000E7D4E">
        <w:rPr>
          <w:rFonts w:ascii="Calibri" w:eastAsia="Calibri" w:hAnsi="Calibri" w:cs="Calibri"/>
          <w:lang w:eastAsia="zh-TW"/>
        </w:rPr>
        <w:t xml:space="preserve">Customs and Police seize suspicious products (often identified as an unknown white powder if in raw form), some of which may be AMB-FUBINACA and 5F-ADB or their analogues. Not all seized material is tested.  The data therefore does not </w:t>
      </w:r>
      <w:r w:rsidRPr="000E7D4E">
        <w:rPr>
          <w:rFonts w:ascii="Calibri" w:eastAsia="Calibri" w:hAnsi="Calibri" w:cs="Calibri"/>
          <w:lang w:eastAsia="en-NZ"/>
        </w:rPr>
        <w:t xml:space="preserve">separate out AMB-FUBINACA and 5F-ADB from other substances. </w:t>
      </w:r>
    </w:p>
    <w:p w14:paraId="66C6551C" w14:textId="77777777" w:rsidR="008204E5" w:rsidRPr="000E7D4E" w:rsidRDefault="008204E5" w:rsidP="008204E5">
      <w:pPr>
        <w:spacing w:after="0" w:line="240" w:lineRule="auto"/>
        <w:rPr>
          <w:rFonts w:ascii="Calibri" w:eastAsia="Calibri" w:hAnsi="Calibri" w:cs="Calibri"/>
          <w:lang w:eastAsia="en-NZ"/>
        </w:rPr>
      </w:pPr>
    </w:p>
    <w:p w14:paraId="61BBF447" w14:textId="6DA52AB9" w:rsidR="008204E5" w:rsidRPr="000E7D4E" w:rsidRDefault="008204E5" w:rsidP="008204E5">
      <w:pPr>
        <w:spacing w:after="0" w:line="240" w:lineRule="auto"/>
      </w:pPr>
      <w:r w:rsidRPr="000E7D4E">
        <w:rPr>
          <w:rFonts w:ascii="Calibri" w:eastAsia="Calibri" w:hAnsi="Calibri" w:cs="Calibri"/>
          <w:lang w:eastAsia="en-NZ"/>
        </w:rPr>
        <w:lastRenderedPageBreak/>
        <w:t>Graph 2</w:t>
      </w:r>
      <w:r w:rsidR="00A4771D" w:rsidRPr="000E7D4E">
        <w:rPr>
          <w:rFonts w:ascii="Calibri" w:eastAsia="Calibri" w:hAnsi="Calibri" w:cs="Calibri"/>
          <w:lang w:eastAsia="en-NZ"/>
        </w:rPr>
        <w:t>0</w:t>
      </w:r>
      <w:r w:rsidRPr="000E7D4E">
        <w:rPr>
          <w:rFonts w:ascii="Calibri" w:eastAsia="Calibri" w:hAnsi="Calibri" w:cs="Calibri"/>
          <w:lang w:eastAsia="en-NZ"/>
        </w:rPr>
        <w:t xml:space="preserve"> shows a reduction in the quantities of synthetic cannabinoid </w:t>
      </w:r>
      <w:r w:rsidRPr="0094417A">
        <w:rPr>
          <w:rFonts w:ascii="Calibri" w:eastAsia="Calibri" w:hAnsi="Calibri" w:cs="Calibri"/>
          <w:lang w:eastAsia="en-NZ"/>
        </w:rPr>
        <w:t xml:space="preserve">powder </w:t>
      </w:r>
      <w:r w:rsidRPr="000E7D4E">
        <w:rPr>
          <w:rFonts w:ascii="Calibri" w:eastAsia="Calibri" w:hAnsi="Calibri" w:cs="Calibri"/>
          <w:lang w:eastAsia="en-NZ"/>
        </w:rPr>
        <w:t xml:space="preserve">seized since 2019.   </w:t>
      </w:r>
      <w:r w:rsidRPr="000E7D4E">
        <w:t>This would suggest that the amount of synthetic cannabinoids being imported has reduced and consequently less synthetic cannabis is being manufactured in New Zealand.</w:t>
      </w:r>
    </w:p>
    <w:p w14:paraId="02973139" w14:textId="77777777" w:rsidR="008204E5" w:rsidRPr="000E7D4E" w:rsidRDefault="008204E5" w:rsidP="008204E5">
      <w:pPr>
        <w:spacing w:after="0" w:line="240" w:lineRule="auto"/>
      </w:pPr>
    </w:p>
    <w:p w14:paraId="0EED23A3" w14:textId="3EAA2749" w:rsidR="0070749A" w:rsidRDefault="008204E5" w:rsidP="00C16DBC">
      <w:r w:rsidRPr="000E7D4E">
        <w:t xml:space="preserve">Graph </w:t>
      </w:r>
      <w:r w:rsidR="00A4771D" w:rsidRPr="000E7D4E">
        <w:t>21</w:t>
      </w:r>
      <w:r w:rsidRPr="000E7D4E">
        <w:t xml:space="preserve"> shows the quantities of </w:t>
      </w:r>
      <w:r w:rsidRPr="0094417A">
        <w:t>plant matter</w:t>
      </w:r>
      <w:r w:rsidR="0070749A">
        <w:t xml:space="preserve"> containing </w:t>
      </w:r>
      <w:r w:rsidR="0070749A" w:rsidRPr="000E7D4E">
        <w:t>synthetic cannabinoid</w:t>
      </w:r>
      <w:r w:rsidR="0070749A">
        <w:t>s</w:t>
      </w:r>
      <w:r w:rsidRPr="000E7D4E">
        <w:t xml:space="preserve"> seized has substantially reduced since 2018.  However, it is not clear whether supply or demand reduced first</w:t>
      </w:r>
      <w:r w:rsidR="00C16DBC">
        <w:t xml:space="preserve">, or the extent to which international markets and regulatory changes impacted on the trends seen in New Zealand. </w:t>
      </w:r>
      <w:r w:rsidRPr="000E7D4E">
        <w:t xml:space="preserve"> </w:t>
      </w:r>
      <w:bookmarkStart w:id="287" w:name="_Toc77166784"/>
    </w:p>
    <w:p w14:paraId="27A06701" w14:textId="06EF12C4" w:rsidR="008204E5" w:rsidRPr="000E7D4E" w:rsidRDefault="008204E5" w:rsidP="008204E5">
      <w:pPr>
        <w:pStyle w:val="Caption"/>
        <w:rPr>
          <w:b w:val="0"/>
          <w:bCs w:val="0"/>
          <w:smallCaps w:val="0"/>
        </w:rPr>
      </w:pPr>
      <w:bookmarkStart w:id="288" w:name="_Toc77776003"/>
      <w:r w:rsidRPr="000E7D4E">
        <w:t xml:space="preserve">GRAPH </w:t>
      </w:r>
      <w:fldSimple w:instr=" SEQ Figure \* ARABIC ">
        <w:r w:rsidR="00AA3031">
          <w:rPr>
            <w:noProof/>
          </w:rPr>
          <w:t>20</w:t>
        </w:r>
      </w:fldSimple>
      <w:r w:rsidRPr="000E7D4E">
        <w:t>. Synthetic Cannabinoid Seizures - Quantity</w:t>
      </w:r>
      <w:bookmarkEnd w:id="287"/>
      <w:r w:rsidR="00554AA7" w:rsidRPr="000E7D4E">
        <w:rPr>
          <w:rStyle w:val="FootnoteReference"/>
        </w:rPr>
        <w:footnoteReference w:id="9"/>
      </w:r>
      <w:bookmarkEnd w:id="288"/>
    </w:p>
    <w:p w14:paraId="5F2094A1" w14:textId="02F85C5D" w:rsidR="0036092F" w:rsidRPr="0036092F" w:rsidRDefault="008204E5" w:rsidP="0036092F">
      <w:pPr>
        <w:rPr>
          <w:highlight w:val="yellow"/>
        </w:rPr>
      </w:pPr>
      <w:r w:rsidRPr="008204E5">
        <w:rPr>
          <w:noProof/>
          <w:highlight w:val="yellow"/>
        </w:rPr>
        <w:drawing>
          <wp:inline distT="0" distB="0" distL="0" distR="0" wp14:anchorId="54C9139C" wp14:editId="4102354B">
            <wp:extent cx="4584589" cy="275563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4589" cy="2755631"/>
                    </a:xfrm>
                    <a:prstGeom prst="rect">
                      <a:avLst/>
                    </a:prstGeom>
                  </pic:spPr>
                </pic:pic>
              </a:graphicData>
            </a:graphic>
          </wp:inline>
        </w:drawing>
      </w:r>
      <w:bookmarkStart w:id="289" w:name="_Toc77166785"/>
    </w:p>
    <w:p w14:paraId="3E78FF2F" w14:textId="4931BA14" w:rsidR="008204E5" w:rsidRPr="000E7D4E" w:rsidRDefault="008204E5" w:rsidP="008204E5">
      <w:pPr>
        <w:pStyle w:val="Caption"/>
        <w:rPr>
          <w:b w:val="0"/>
          <w:bCs w:val="0"/>
          <w:i/>
          <w:iCs/>
          <w:smallCaps w:val="0"/>
        </w:rPr>
      </w:pPr>
      <w:bookmarkStart w:id="290" w:name="_Toc77776004"/>
      <w:r w:rsidRPr="000E7D4E">
        <w:t xml:space="preserve">Graph  </w:t>
      </w:r>
      <w:fldSimple w:instr=" SEQ Figure \* ARABIC ">
        <w:r w:rsidR="00AA3031">
          <w:rPr>
            <w:noProof/>
          </w:rPr>
          <w:t>21</w:t>
        </w:r>
      </w:fldSimple>
      <w:r w:rsidRPr="000E7D4E">
        <w:t xml:space="preserve"> Synthetic Cannabis Seizures - Quantity</w:t>
      </w:r>
      <w:bookmarkEnd w:id="289"/>
      <w:r w:rsidR="00444147" w:rsidRPr="000E7D4E">
        <w:rPr>
          <w:rStyle w:val="FootnoteReference"/>
        </w:rPr>
        <w:footnoteReference w:id="10"/>
      </w:r>
      <w:bookmarkEnd w:id="290"/>
    </w:p>
    <w:p w14:paraId="42E287C3" w14:textId="3643FE8C" w:rsidR="008204E5" w:rsidRPr="000E7D4E" w:rsidRDefault="008204E5" w:rsidP="008204E5">
      <w:r w:rsidRPr="000E7D4E">
        <w:rPr>
          <w:noProof/>
        </w:rPr>
        <w:drawing>
          <wp:inline distT="0" distB="0" distL="0" distR="0" wp14:anchorId="0CC34E20" wp14:editId="4D692FA5">
            <wp:extent cx="4537881" cy="2647666"/>
            <wp:effectExtent l="0" t="0" r="15240" b="635"/>
            <wp:docPr id="9" name="Chart 9">
              <a:extLst xmlns:a="http://schemas.openxmlformats.org/drawingml/2006/main">
                <a:ext uri="{FF2B5EF4-FFF2-40B4-BE49-F238E27FC236}">
                  <a16:creationId xmlns:a16="http://schemas.microsoft.com/office/drawing/2014/main" id="{ACB2716B-6A25-41B6-8315-C26FED8CD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3265EB" w14:textId="0F8A0E04" w:rsidR="00FB1434" w:rsidRPr="000E7D4E" w:rsidRDefault="003A3E0A" w:rsidP="00FB1434">
      <w:pPr>
        <w:pStyle w:val="Heading2"/>
        <w:rPr>
          <w:lang w:eastAsia="zh-TW"/>
        </w:rPr>
      </w:pPr>
      <w:bookmarkStart w:id="291" w:name="_Toc78186495"/>
      <w:r w:rsidRPr="000E7D4E">
        <w:rPr>
          <w:lang w:eastAsia="zh-TW"/>
        </w:rPr>
        <w:lastRenderedPageBreak/>
        <w:t>ESR testing</w:t>
      </w:r>
      <w:bookmarkEnd w:id="291"/>
    </w:p>
    <w:p w14:paraId="0E3CF736" w14:textId="7EFE2B63" w:rsidR="003A3E0A" w:rsidRPr="000E7D4E" w:rsidRDefault="003A3E0A" w:rsidP="00FB1434">
      <w:pPr>
        <w:autoSpaceDE w:val="0"/>
        <w:autoSpaceDN w:val="0"/>
        <w:adjustRightInd w:val="0"/>
        <w:spacing w:after="0" w:line="240" w:lineRule="auto"/>
        <w:rPr>
          <w:rFonts w:ascii="Calibri" w:eastAsia="Calibri" w:hAnsi="Calibri" w:cs="Calibri"/>
          <w:lang w:eastAsia="zh-TW"/>
        </w:rPr>
      </w:pPr>
      <w:r w:rsidRPr="000E7D4E">
        <w:rPr>
          <w:rFonts w:ascii="Calibri" w:eastAsia="Calibri" w:hAnsi="Calibri" w:cs="Calibri"/>
          <w:lang w:eastAsia="zh-TW"/>
        </w:rPr>
        <w:t>ESR has analysed numerous samples of plant material, suspected to contain one or more synthetic cannabinoids, from 2017 to 2021. Four nationwide surveys</w:t>
      </w:r>
      <w:r w:rsidR="00FB1434" w:rsidRPr="000E7D4E">
        <w:rPr>
          <w:rFonts w:ascii="Calibri" w:eastAsia="Calibri" w:hAnsi="Calibri" w:cs="Calibri"/>
          <w:lang w:eastAsia="zh-TW"/>
        </w:rPr>
        <w:t xml:space="preserve"> </w:t>
      </w:r>
      <w:r w:rsidRPr="000E7D4E">
        <w:rPr>
          <w:rFonts w:ascii="Calibri" w:eastAsia="Calibri" w:hAnsi="Calibri" w:cs="Calibri"/>
          <w:lang w:eastAsia="zh-TW"/>
        </w:rPr>
        <w:t>were undertaken to gain an understanding of the synthetic cannabinoids being distributed and consumed in New Zealand over different time periods. This allow</w:t>
      </w:r>
      <w:r w:rsidR="00634AB2" w:rsidRPr="000E7D4E">
        <w:rPr>
          <w:rFonts w:ascii="Calibri" w:eastAsia="Calibri" w:hAnsi="Calibri" w:cs="Calibri"/>
          <w:lang w:eastAsia="zh-TW"/>
        </w:rPr>
        <w:t>s t</w:t>
      </w:r>
      <w:r w:rsidRPr="000E7D4E">
        <w:rPr>
          <w:rFonts w:ascii="Calibri" w:eastAsia="Calibri" w:hAnsi="Calibri" w:cs="Calibri"/>
          <w:lang w:eastAsia="zh-TW"/>
        </w:rPr>
        <w:t>he monitoring of trends over time</w:t>
      </w:r>
      <w:r w:rsidR="007B549A" w:rsidRPr="000E7D4E">
        <w:rPr>
          <w:rFonts w:ascii="Calibri" w:eastAsia="Calibri" w:hAnsi="Calibri" w:cs="Calibri"/>
          <w:lang w:eastAsia="zh-TW"/>
        </w:rPr>
        <w:t xml:space="preserve">. </w:t>
      </w:r>
      <w:r w:rsidRPr="000E7D4E">
        <w:rPr>
          <w:rFonts w:ascii="Calibri" w:eastAsia="Calibri" w:hAnsi="Calibri" w:cs="Calibri"/>
          <w:lang w:eastAsia="zh-TW"/>
        </w:rPr>
        <w:t xml:space="preserve"> </w:t>
      </w:r>
    </w:p>
    <w:p w14:paraId="2CCB6CE1" w14:textId="285FED15" w:rsidR="00960E3C" w:rsidRPr="000E7D4E" w:rsidRDefault="00960E3C" w:rsidP="00FB1434">
      <w:pPr>
        <w:autoSpaceDE w:val="0"/>
        <w:autoSpaceDN w:val="0"/>
        <w:adjustRightInd w:val="0"/>
        <w:spacing w:after="0" w:line="240" w:lineRule="auto"/>
        <w:rPr>
          <w:rFonts w:ascii="Calibri" w:eastAsia="Calibri" w:hAnsi="Calibri" w:cs="Calibri"/>
          <w:lang w:eastAsia="zh-TW"/>
        </w:rPr>
      </w:pPr>
    </w:p>
    <w:p w14:paraId="0BDA20E7" w14:textId="2B874170" w:rsidR="00204D8A" w:rsidRPr="000E7D4E" w:rsidRDefault="00EE0D4B" w:rsidP="00466C28">
      <w:pPr>
        <w:rPr>
          <w:rFonts w:ascii="Calibri" w:eastAsia="Calibri" w:hAnsi="Calibri" w:cs="Calibri"/>
          <w:lang w:eastAsia="zh-TW"/>
        </w:rPr>
      </w:pPr>
      <w:r w:rsidRPr="000E7D4E">
        <w:rPr>
          <w:rFonts w:ascii="Calibri" w:eastAsia="Calibri" w:hAnsi="Calibri" w:cs="Calibri"/>
          <w:lang w:eastAsia="zh-TW"/>
        </w:rPr>
        <w:t xml:space="preserve">The ESR data tested for 19 synthetic cannabinoids including AMB-FUBINACA and 5F-ADB.  </w:t>
      </w:r>
      <w:r w:rsidR="00466C28">
        <w:rPr>
          <w:rFonts w:ascii="Calibri" w:eastAsia="Calibri" w:hAnsi="Calibri" w:cs="Calibri"/>
          <w:lang w:eastAsia="zh-TW"/>
        </w:rPr>
        <w:t xml:space="preserve">Approximately </w:t>
      </w:r>
      <w:r w:rsidR="00466C28">
        <w:t xml:space="preserve">half of the substances identified by ESR are likely to be captured as analogues of either AMB-FUBINACA or 5F-ADB. The others are either psychoactive substances or have not been assessed.  Not all of the substances have been assessed to determine their risk of harm. </w:t>
      </w:r>
    </w:p>
    <w:p w14:paraId="6ED4ED26" w14:textId="5D6B4E13" w:rsidR="00703CE6" w:rsidRPr="000E7D4E" w:rsidRDefault="00960E3C" w:rsidP="00FB1434">
      <w:pPr>
        <w:autoSpaceDE w:val="0"/>
        <w:autoSpaceDN w:val="0"/>
        <w:adjustRightInd w:val="0"/>
        <w:spacing w:after="0" w:line="240" w:lineRule="auto"/>
        <w:rPr>
          <w:rFonts w:ascii="Calibri" w:eastAsia="Calibri" w:hAnsi="Calibri" w:cs="Calibri"/>
          <w:lang w:eastAsia="zh-TW"/>
        </w:rPr>
      </w:pPr>
      <w:r w:rsidRPr="000E7D4E">
        <w:rPr>
          <w:rFonts w:ascii="Calibri" w:eastAsia="Calibri" w:hAnsi="Calibri" w:cs="Calibri"/>
          <w:lang w:eastAsia="zh-TW"/>
        </w:rPr>
        <w:t xml:space="preserve">The data shows </w:t>
      </w:r>
      <w:r w:rsidR="007C2146" w:rsidRPr="000E7D4E">
        <w:rPr>
          <w:rFonts w:ascii="Calibri" w:eastAsia="Calibri" w:hAnsi="Calibri" w:cs="Calibri"/>
          <w:lang w:eastAsia="zh-TW"/>
        </w:rPr>
        <w:t xml:space="preserve">a </w:t>
      </w:r>
      <w:r w:rsidR="00B223B4" w:rsidRPr="000E7D4E">
        <w:rPr>
          <w:rFonts w:ascii="Calibri" w:eastAsia="Calibri" w:hAnsi="Calibri" w:cs="Calibri"/>
          <w:lang w:eastAsia="zh-TW"/>
        </w:rPr>
        <w:t>decline</w:t>
      </w:r>
      <w:r w:rsidR="007C2146" w:rsidRPr="000E7D4E">
        <w:rPr>
          <w:rFonts w:ascii="Calibri" w:eastAsia="Calibri" w:hAnsi="Calibri" w:cs="Calibri"/>
          <w:lang w:eastAsia="zh-TW"/>
        </w:rPr>
        <w:t xml:space="preserve"> in </w:t>
      </w:r>
      <w:r w:rsidR="00167620" w:rsidRPr="000E7D4E">
        <w:rPr>
          <w:rFonts w:ascii="Calibri" w:eastAsia="Calibri" w:hAnsi="Calibri" w:cs="Calibri"/>
          <w:lang w:eastAsia="zh-TW"/>
        </w:rPr>
        <w:t xml:space="preserve">the </w:t>
      </w:r>
      <w:r w:rsidR="00D00488" w:rsidRPr="000E7D4E">
        <w:rPr>
          <w:rFonts w:ascii="Calibri" w:eastAsia="Calibri" w:hAnsi="Calibri" w:cs="Calibri"/>
          <w:lang w:eastAsia="zh-TW"/>
        </w:rPr>
        <w:t xml:space="preserve">percentage of </w:t>
      </w:r>
      <w:r w:rsidR="009E2032" w:rsidRPr="000E7D4E">
        <w:rPr>
          <w:rFonts w:ascii="Calibri" w:eastAsia="Calibri" w:hAnsi="Calibri" w:cs="Calibri"/>
          <w:lang w:eastAsia="zh-TW"/>
        </w:rPr>
        <w:t xml:space="preserve">samples containing AMB-FUBINACA </w:t>
      </w:r>
      <w:r w:rsidR="00227B2A" w:rsidRPr="000E7D4E">
        <w:rPr>
          <w:rFonts w:ascii="Calibri" w:eastAsia="Calibri" w:hAnsi="Calibri" w:cs="Calibri"/>
          <w:lang w:eastAsia="zh-TW"/>
        </w:rPr>
        <w:t xml:space="preserve">from </w:t>
      </w:r>
      <w:r w:rsidR="00767EDE" w:rsidRPr="000E7D4E">
        <w:rPr>
          <w:rFonts w:ascii="Calibri" w:eastAsia="Calibri" w:hAnsi="Calibri" w:cs="Calibri"/>
          <w:lang w:eastAsia="zh-TW"/>
        </w:rPr>
        <w:t>64</w:t>
      </w:r>
      <w:r w:rsidR="0070749A">
        <w:rPr>
          <w:rFonts w:ascii="Calibri" w:eastAsia="Calibri" w:hAnsi="Calibri" w:cs="Calibri"/>
          <w:lang w:eastAsia="zh-TW"/>
        </w:rPr>
        <w:t xml:space="preserve"> percent</w:t>
      </w:r>
      <w:r w:rsidR="00767EDE" w:rsidRPr="000E7D4E">
        <w:rPr>
          <w:rFonts w:ascii="Calibri" w:eastAsia="Calibri" w:hAnsi="Calibri" w:cs="Calibri"/>
          <w:lang w:eastAsia="zh-TW"/>
        </w:rPr>
        <w:t xml:space="preserve"> (</w:t>
      </w:r>
      <w:r w:rsidR="00227B2A" w:rsidRPr="000E7D4E">
        <w:rPr>
          <w:rFonts w:ascii="Calibri" w:eastAsia="Calibri" w:hAnsi="Calibri" w:cs="Calibri"/>
          <w:lang w:eastAsia="zh-TW"/>
        </w:rPr>
        <w:t xml:space="preserve">May 2017 </w:t>
      </w:r>
      <w:r w:rsidR="00BF0048" w:rsidRPr="000E7D4E">
        <w:rPr>
          <w:rFonts w:ascii="Calibri" w:eastAsia="Calibri" w:hAnsi="Calibri" w:cs="Calibri"/>
          <w:lang w:eastAsia="zh-TW"/>
        </w:rPr>
        <w:t xml:space="preserve">to </w:t>
      </w:r>
      <w:r w:rsidR="00767EDE" w:rsidRPr="000E7D4E">
        <w:rPr>
          <w:rFonts w:ascii="Calibri" w:eastAsia="Calibri" w:hAnsi="Calibri" w:cs="Calibri"/>
          <w:lang w:eastAsia="zh-TW"/>
        </w:rPr>
        <w:t xml:space="preserve">October 2017) </w:t>
      </w:r>
      <w:r w:rsidR="00227B2A" w:rsidRPr="000E7D4E">
        <w:rPr>
          <w:rFonts w:ascii="Calibri" w:eastAsia="Calibri" w:hAnsi="Calibri" w:cs="Calibri"/>
          <w:lang w:eastAsia="zh-TW"/>
        </w:rPr>
        <w:t xml:space="preserve">to </w:t>
      </w:r>
      <w:r w:rsidR="00767EDE" w:rsidRPr="000E7D4E">
        <w:rPr>
          <w:rFonts w:ascii="Calibri" w:eastAsia="Calibri" w:hAnsi="Calibri" w:cs="Calibri"/>
          <w:lang w:eastAsia="zh-TW"/>
        </w:rPr>
        <w:t>47</w:t>
      </w:r>
      <w:r w:rsidR="0070749A">
        <w:rPr>
          <w:rFonts w:ascii="Calibri" w:eastAsia="Calibri" w:hAnsi="Calibri" w:cs="Calibri"/>
          <w:lang w:eastAsia="zh-TW"/>
        </w:rPr>
        <w:t xml:space="preserve"> percent</w:t>
      </w:r>
      <w:r w:rsidR="00767EDE" w:rsidRPr="000E7D4E">
        <w:rPr>
          <w:rFonts w:ascii="Calibri" w:eastAsia="Calibri" w:hAnsi="Calibri" w:cs="Calibri"/>
          <w:lang w:eastAsia="zh-TW"/>
        </w:rPr>
        <w:t xml:space="preserve"> (July 2018 </w:t>
      </w:r>
      <w:r w:rsidR="00AD41F9" w:rsidRPr="000E7D4E">
        <w:rPr>
          <w:rFonts w:ascii="Calibri" w:eastAsia="Calibri" w:hAnsi="Calibri" w:cs="Calibri"/>
          <w:lang w:eastAsia="zh-TW"/>
        </w:rPr>
        <w:t xml:space="preserve">- </w:t>
      </w:r>
      <w:r w:rsidR="00227B2A" w:rsidRPr="000E7D4E">
        <w:rPr>
          <w:rFonts w:ascii="Calibri" w:eastAsia="Calibri" w:hAnsi="Calibri" w:cs="Calibri"/>
          <w:lang w:eastAsia="zh-TW"/>
        </w:rPr>
        <w:t>March 2019</w:t>
      </w:r>
      <w:r w:rsidR="000032FA" w:rsidRPr="000E7D4E">
        <w:rPr>
          <w:rFonts w:ascii="Calibri" w:eastAsia="Calibri" w:hAnsi="Calibri" w:cs="Calibri"/>
          <w:lang w:eastAsia="zh-TW"/>
        </w:rPr>
        <w:t>)</w:t>
      </w:r>
      <w:r w:rsidR="00AD41F9" w:rsidRPr="000E7D4E">
        <w:rPr>
          <w:rFonts w:ascii="Calibri" w:eastAsia="Calibri" w:hAnsi="Calibri" w:cs="Calibri"/>
          <w:lang w:eastAsia="zh-TW"/>
        </w:rPr>
        <w:t xml:space="preserve"> </w:t>
      </w:r>
      <w:r w:rsidR="000032FA" w:rsidRPr="000E7D4E">
        <w:rPr>
          <w:rFonts w:ascii="Calibri" w:eastAsia="Calibri" w:hAnsi="Calibri" w:cs="Calibri"/>
          <w:lang w:eastAsia="zh-TW"/>
        </w:rPr>
        <w:t xml:space="preserve">and </w:t>
      </w:r>
      <w:r w:rsidR="0070749A">
        <w:rPr>
          <w:rFonts w:ascii="Calibri" w:eastAsia="Calibri" w:hAnsi="Calibri" w:cs="Calibri"/>
          <w:lang w:eastAsia="zh-TW"/>
        </w:rPr>
        <w:t>none</w:t>
      </w:r>
      <w:r w:rsidR="003F289E" w:rsidRPr="000E7D4E">
        <w:rPr>
          <w:rFonts w:ascii="Calibri" w:eastAsia="Calibri" w:hAnsi="Calibri" w:cs="Calibri"/>
          <w:lang w:eastAsia="zh-TW"/>
        </w:rPr>
        <w:t xml:space="preserve"> </w:t>
      </w:r>
      <w:r w:rsidR="00A62CF3" w:rsidRPr="000E7D4E">
        <w:rPr>
          <w:rFonts w:ascii="Calibri" w:eastAsia="Calibri" w:hAnsi="Calibri" w:cs="Calibri"/>
          <w:lang w:eastAsia="zh-TW"/>
        </w:rPr>
        <w:t xml:space="preserve">from </w:t>
      </w:r>
      <w:r w:rsidR="00D852B4" w:rsidRPr="000E7D4E">
        <w:rPr>
          <w:rFonts w:ascii="Calibri" w:eastAsia="Calibri" w:hAnsi="Calibri" w:cs="Calibri"/>
          <w:lang w:eastAsia="zh-TW"/>
        </w:rPr>
        <w:t xml:space="preserve">June 2019 to </w:t>
      </w:r>
      <w:r w:rsidR="00734129" w:rsidRPr="000E7D4E">
        <w:rPr>
          <w:rFonts w:ascii="Calibri" w:eastAsia="Calibri" w:hAnsi="Calibri" w:cs="Calibri"/>
          <w:lang w:eastAsia="zh-TW"/>
        </w:rPr>
        <w:t>February 2020</w:t>
      </w:r>
      <w:r w:rsidR="00985ED5" w:rsidRPr="000E7D4E">
        <w:rPr>
          <w:rFonts w:ascii="Calibri" w:eastAsia="Calibri" w:hAnsi="Calibri" w:cs="Calibri"/>
          <w:lang w:eastAsia="zh-TW"/>
        </w:rPr>
        <w:t xml:space="preserve">.  </w:t>
      </w:r>
      <w:r w:rsidR="007024D1" w:rsidRPr="000E7D4E">
        <w:rPr>
          <w:rFonts w:ascii="Calibri" w:eastAsia="Calibri" w:hAnsi="Calibri" w:cs="Calibri"/>
          <w:lang w:eastAsia="zh-TW"/>
        </w:rPr>
        <w:t>However,</w:t>
      </w:r>
      <w:r w:rsidR="00985ED5" w:rsidRPr="000E7D4E">
        <w:rPr>
          <w:rFonts w:ascii="Calibri" w:eastAsia="Calibri" w:hAnsi="Calibri" w:cs="Calibri"/>
          <w:lang w:eastAsia="zh-TW"/>
        </w:rPr>
        <w:t xml:space="preserve"> </w:t>
      </w:r>
      <w:r w:rsidR="00B81179" w:rsidRPr="000E7D4E">
        <w:rPr>
          <w:rFonts w:ascii="Calibri" w:eastAsia="Calibri" w:hAnsi="Calibri" w:cs="Calibri"/>
          <w:lang w:eastAsia="zh-TW"/>
        </w:rPr>
        <w:t>4</w:t>
      </w:r>
      <w:r w:rsidR="0070749A">
        <w:rPr>
          <w:rFonts w:ascii="Calibri" w:eastAsia="Calibri" w:hAnsi="Calibri" w:cs="Calibri"/>
          <w:lang w:eastAsia="zh-TW"/>
        </w:rPr>
        <w:t xml:space="preserve"> percent</w:t>
      </w:r>
      <w:r w:rsidR="00B81179" w:rsidRPr="000E7D4E">
        <w:rPr>
          <w:rFonts w:ascii="Calibri" w:eastAsia="Calibri" w:hAnsi="Calibri" w:cs="Calibri"/>
          <w:lang w:eastAsia="zh-TW"/>
        </w:rPr>
        <w:t xml:space="preserve"> of </w:t>
      </w:r>
      <w:r w:rsidR="00341BD6" w:rsidRPr="000E7D4E">
        <w:rPr>
          <w:rFonts w:ascii="Calibri" w:eastAsia="Calibri" w:hAnsi="Calibri" w:cs="Calibri"/>
          <w:lang w:eastAsia="zh-TW"/>
        </w:rPr>
        <w:t xml:space="preserve">samples </w:t>
      </w:r>
      <w:r w:rsidR="0070749A">
        <w:rPr>
          <w:rFonts w:ascii="Calibri" w:eastAsia="Calibri" w:hAnsi="Calibri" w:cs="Calibri"/>
          <w:lang w:eastAsia="zh-TW"/>
        </w:rPr>
        <w:t>tested contained</w:t>
      </w:r>
      <w:r w:rsidR="00341BD6" w:rsidRPr="000E7D4E">
        <w:rPr>
          <w:rFonts w:ascii="Calibri" w:eastAsia="Calibri" w:hAnsi="Calibri" w:cs="Calibri"/>
          <w:lang w:eastAsia="zh-TW"/>
        </w:rPr>
        <w:t xml:space="preserve"> AMB-FUBINACA</w:t>
      </w:r>
      <w:r w:rsidR="00EC557D" w:rsidRPr="000E7D4E">
        <w:rPr>
          <w:rFonts w:ascii="Calibri" w:eastAsia="Calibri" w:hAnsi="Calibri" w:cs="Calibri"/>
          <w:lang w:eastAsia="zh-TW"/>
        </w:rPr>
        <w:t xml:space="preserve"> from July 2019 to March 2021 </w:t>
      </w:r>
      <w:r w:rsidR="00BE066B" w:rsidRPr="000E7D4E">
        <w:rPr>
          <w:rFonts w:ascii="Calibri" w:eastAsia="Calibri" w:hAnsi="Calibri" w:cs="Calibri"/>
          <w:lang w:eastAsia="zh-TW"/>
        </w:rPr>
        <w:t xml:space="preserve">showing it is still present in the community.  </w:t>
      </w:r>
      <w:r w:rsidR="004A435D" w:rsidRPr="000E7D4E">
        <w:rPr>
          <w:rFonts w:ascii="Calibri" w:eastAsia="Calibri" w:hAnsi="Calibri" w:cs="Calibri"/>
          <w:lang w:eastAsia="zh-TW"/>
        </w:rPr>
        <w:t>T</w:t>
      </w:r>
      <w:r w:rsidR="00E42C20" w:rsidRPr="000E7D4E">
        <w:rPr>
          <w:rFonts w:ascii="Calibri" w:eastAsia="Calibri" w:hAnsi="Calibri" w:cs="Calibri"/>
          <w:lang w:eastAsia="zh-TW"/>
        </w:rPr>
        <w:t xml:space="preserve">he </w:t>
      </w:r>
      <w:r w:rsidR="00BF0048" w:rsidRPr="000E7D4E">
        <w:rPr>
          <w:rFonts w:ascii="Calibri" w:eastAsia="Calibri" w:hAnsi="Calibri" w:cs="Calibri"/>
          <w:lang w:eastAsia="zh-TW"/>
        </w:rPr>
        <w:t xml:space="preserve">decline </w:t>
      </w:r>
      <w:r w:rsidR="004A435D" w:rsidRPr="000E7D4E">
        <w:rPr>
          <w:rFonts w:ascii="Calibri" w:eastAsia="Calibri" w:hAnsi="Calibri" w:cs="Calibri"/>
          <w:lang w:eastAsia="zh-TW"/>
        </w:rPr>
        <w:t xml:space="preserve">is particularly evident from </w:t>
      </w:r>
      <w:r w:rsidR="004A4CA3" w:rsidRPr="000E7D4E">
        <w:rPr>
          <w:rFonts w:ascii="Calibri" w:eastAsia="Calibri" w:hAnsi="Calibri" w:cs="Calibri"/>
          <w:lang w:eastAsia="zh-TW"/>
        </w:rPr>
        <w:t>July 2019</w:t>
      </w:r>
      <w:r w:rsidR="0070749A">
        <w:rPr>
          <w:rFonts w:ascii="Calibri" w:eastAsia="Calibri" w:hAnsi="Calibri" w:cs="Calibri"/>
          <w:lang w:eastAsia="zh-TW"/>
        </w:rPr>
        <w:t>,</w:t>
      </w:r>
      <w:r w:rsidR="004A4CA3" w:rsidRPr="000E7D4E">
        <w:rPr>
          <w:rFonts w:ascii="Calibri" w:eastAsia="Calibri" w:hAnsi="Calibri" w:cs="Calibri"/>
          <w:lang w:eastAsia="zh-TW"/>
        </w:rPr>
        <w:t xml:space="preserve"> but it is difficult to attribute th</w:t>
      </w:r>
      <w:r w:rsidR="00703CE6" w:rsidRPr="000E7D4E">
        <w:rPr>
          <w:rFonts w:ascii="Calibri" w:eastAsia="Calibri" w:hAnsi="Calibri" w:cs="Calibri"/>
          <w:lang w:eastAsia="zh-TW"/>
        </w:rPr>
        <w:t xml:space="preserve">is to </w:t>
      </w:r>
      <w:r w:rsidR="00F7341C" w:rsidRPr="000E7D4E">
        <w:rPr>
          <w:rFonts w:ascii="Calibri" w:eastAsia="Calibri" w:hAnsi="Calibri" w:cs="Calibri"/>
          <w:lang w:eastAsia="zh-TW"/>
        </w:rPr>
        <w:t xml:space="preserve">an impact of </w:t>
      </w:r>
      <w:r w:rsidR="00703CE6" w:rsidRPr="000E7D4E">
        <w:rPr>
          <w:rFonts w:ascii="Calibri" w:eastAsia="Calibri" w:hAnsi="Calibri" w:cs="Calibri"/>
          <w:lang w:eastAsia="zh-TW"/>
        </w:rPr>
        <w:t>the 2019 amendments</w:t>
      </w:r>
      <w:r w:rsidR="006167A8" w:rsidRPr="000E7D4E">
        <w:rPr>
          <w:rFonts w:ascii="Calibri" w:eastAsia="Calibri" w:hAnsi="Calibri" w:cs="Calibri"/>
          <w:lang w:eastAsia="zh-TW"/>
        </w:rPr>
        <w:t xml:space="preserve"> as it was</w:t>
      </w:r>
      <w:r w:rsidR="0070749A">
        <w:rPr>
          <w:rFonts w:ascii="Calibri" w:eastAsia="Calibri" w:hAnsi="Calibri" w:cs="Calibri"/>
          <w:lang w:eastAsia="zh-TW"/>
        </w:rPr>
        <w:t xml:space="preserve"> part of</w:t>
      </w:r>
      <w:r w:rsidR="006167A8" w:rsidRPr="000E7D4E">
        <w:rPr>
          <w:rFonts w:ascii="Calibri" w:eastAsia="Calibri" w:hAnsi="Calibri" w:cs="Calibri"/>
          <w:lang w:eastAsia="zh-TW"/>
        </w:rPr>
        <w:t xml:space="preserve"> a continuing trend</w:t>
      </w:r>
      <w:r w:rsidR="00703CE6" w:rsidRPr="000E7D4E">
        <w:rPr>
          <w:rFonts w:ascii="Calibri" w:eastAsia="Calibri" w:hAnsi="Calibri" w:cs="Calibri"/>
          <w:lang w:eastAsia="zh-TW"/>
        </w:rPr>
        <w:t xml:space="preserve">. </w:t>
      </w:r>
    </w:p>
    <w:p w14:paraId="42737D29" w14:textId="77777777" w:rsidR="00703CE6" w:rsidRPr="000E7D4E" w:rsidRDefault="00703CE6" w:rsidP="00FB1434">
      <w:pPr>
        <w:autoSpaceDE w:val="0"/>
        <w:autoSpaceDN w:val="0"/>
        <w:adjustRightInd w:val="0"/>
        <w:spacing w:after="0" w:line="240" w:lineRule="auto"/>
        <w:rPr>
          <w:rFonts w:ascii="Calibri" w:eastAsia="Calibri" w:hAnsi="Calibri" w:cs="Calibri"/>
          <w:lang w:eastAsia="zh-TW"/>
        </w:rPr>
      </w:pPr>
    </w:p>
    <w:p w14:paraId="159ADB70" w14:textId="7272E2BE" w:rsidR="005C01FA" w:rsidRPr="000E7D4E" w:rsidRDefault="0070749A" w:rsidP="00FB1434">
      <w:pPr>
        <w:autoSpaceDE w:val="0"/>
        <w:autoSpaceDN w:val="0"/>
        <w:adjustRightInd w:val="0"/>
        <w:spacing w:after="0" w:line="240" w:lineRule="auto"/>
        <w:rPr>
          <w:rFonts w:ascii="Calibri" w:eastAsia="Calibri" w:hAnsi="Calibri" w:cs="Calibri"/>
          <w:lang w:eastAsia="zh-TW"/>
        </w:rPr>
      </w:pPr>
      <w:r>
        <w:rPr>
          <w:rFonts w:ascii="Calibri" w:eastAsia="Calibri" w:hAnsi="Calibri" w:cs="Calibri"/>
          <w:lang w:eastAsia="zh-TW"/>
        </w:rPr>
        <w:t>T</w:t>
      </w:r>
      <w:r w:rsidR="0093400D" w:rsidRPr="000E7D4E">
        <w:rPr>
          <w:rFonts w:ascii="Calibri" w:eastAsia="Calibri" w:hAnsi="Calibri" w:cs="Calibri"/>
          <w:lang w:eastAsia="zh-TW"/>
        </w:rPr>
        <w:t>here has been a</w:t>
      </w:r>
      <w:r w:rsidR="000E306C" w:rsidRPr="000E7D4E">
        <w:rPr>
          <w:rFonts w:ascii="Calibri" w:eastAsia="Calibri" w:hAnsi="Calibri" w:cs="Calibri"/>
          <w:lang w:eastAsia="zh-TW"/>
        </w:rPr>
        <w:t>n overall</w:t>
      </w:r>
      <w:r w:rsidR="0093400D" w:rsidRPr="000E7D4E">
        <w:rPr>
          <w:rFonts w:ascii="Calibri" w:eastAsia="Calibri" w:hAnsi="Calibri" w:cs="Calibri"/>
          <w:lang w:eastAsia="zh-TW"/>
        </w:rPr>
        <w:t xml:space="preserve"> </w:t>
      </w:r>
      <w:r w:rsidR="00BA7C20" w:rsidRPr="000E7D4E">
        <w:rPr>
          <w:rFonts w:ascii="Calibri" w:eastAsia="Calibri" w:hAnsi="Calibri" w:cs="Calibri"/>
          <w:lang w:eastAsia="zh-TW"/>
        </w:rPr>
        <w:t>decline</w:t>
      </w:r>
      <w:r w:rsidR="00352324" w:rsidRPr="000E7D4E">
        <w:rPr>
          <w:rFonts w:ascii="Calibri" w:eastAsia="Calibri" w:hAnsi="Calibri" w:cs="Calibri"/>
          <w:lang w:eastAsia="zh-TW"/>
        </w:rPr>
        <w:t xml:space="preserve"> in </w:t>
      </w:r>
      <w:r w:rsidR="00D14B3E" w:rsidRPr="000E7D4E">
        <w:rPr>
          <w:rFonts w:ascii="Calibri" w:eastAsia="Calibri" w:hAnsi="Calibri" w:cs="Calibri"/>
          <w:lang w:eastAsia="zh-TW"/>
        </w:rPr>
        <w:t xml:space="preserve">the </w:t>
      </w:r>
      <w:r w:rsidR="0085499B" w:rsidRPr="000E7D4E">
        <w:rPr>
          <w:rFonts w:ascii="Calibri" w:eastAsia="Calibri" w:hAnsi="Calibri" w:cs="Calibri"/>
          <w:lang w:eastAsia="zh-TW"/>
        </w:rPr>
        <w:t xml:space="preserve">percentage of samples </w:t>
      </w:r>
      <w:r w:rsidR="00FD22BC" w:rsidRPr="000E7D4E">
        <w:rPr>
          <w:rFonts w:ascii="Calibri" w:eastAsia="Calibri" w:hAnsi="Calibri" w:cs="Calibri"/>
          <w:lang w:eastAsia="zh-TW"/>
        </w:rPr>
        <w:t>containing</w:t>
      </w:r>
      <w:r w:rsidR="00B317AA" w:rsidRPr="000E7D4E">
        <w:rPr>
          <w:rFonts w:ascii="Calibri" w:eastAsia="Calibri" w:hAnsi="Calibri" w:cs="Calibri"/>
          <w:lang w:eastAsia="zh-TW"/>
        </w:rPr>
        <w:t xml:space="preserve"> 5F-ADB from </w:t>
      </w:r>
      <w:r w:rsidR="000E306C" w:rsidRPr="000E7D4E">
        <w:rPr>
          <w:rFonts w:ascii="Calibri" w:eastAsia="Calibri" w:hAnsi="Calibri" w:cs="Calibri"/>
          <w:lang w:eastAsia="zh-TW"/>
        </w:rPr>
        <w:t xml:space="preserve">25 </w:t>
      </w:r>
      <w:r>
        <w:rPr>
          <w:rFonts w:ascii="Calibri" w:eastAsia="Calibri" w:hAnsi="Calibri" w:cs="Calibri"/>
          <w:lang w:eastAsia="zh-TW"/>
        </w:rPr>
        <w:t>percent</w:t>
      </w:r>
      <w:r w:rsidR="000E306C" w:rsidRPr="000E7D4E">
        <w:rPr>
          <w:rFonts w:ascii="Calibri" w:eastAsia="Calibri" w:hAnsi="Calibri" w:cs="Calibri"/>
          <w:lang w:eastAsia="zh-TW"/>
        </w:rPr>
        <w:t xml:space="preserve"> </w:t>
      </w:r>
      <w:r w:rsidR="00FD22BC" w:rsidRPr="000E7D4E">
        <w:rPr>
          <w:rFonts w:ascii="Calibri" w:eastAsia="Calibri" w:hAnsi="Calibri" w:cs="Calibri"/>
          <w:lang w:eastAsia="zh-TW"/>
        </w:rPr>
        <w:t xml:space="preserve"> </w:t>
      </w:r>
      <w:r w:rsidR="000E306C" w:rsidRPr="000E7D4E">
        <w:rPr>
          <w:rFonts w:ascii="Calibri" w:eastAsia="Calibri" w:hAnsi="Calibri" w:cs="Calibri"/>
          <w:lang w:eastAsia="zh-TW"/>
        </w:rPr>
        <w:t>(May 201</w:t>
      </w:r>
      <w:r w:rsidR="00473554" w:rsidRPr="000E7D4E">
        <w:rPr>
          <w:rFonts w:ascii="Calibri" w:eastAsia="Calibri" w:hAnsi="Calibri" w:cs="Calibri"/>
          <w:lang w:eastAsia="zh-TW"/>
        </w:rPr>
        <w:t>7 to October 2017), rising to 30</w:t>
      </w:r>
      <w:r>
        <w:rPr>
          <w:rFonts w:ascii="Calibri" w:eastAsia="Calibri" w:hAnsi="Calibri" w:cs="Calibri"/>
          <w:lang w:eastAsia="zh-TW"/>
        </w:rPr>
        <w:t xml:space="preserve"> percent</w:t>
      </w:r>
      <w:r w:rsidR="00473554" w:rsidRPr="000E7D4E">
        <w:rPr>
          <w:rFonts w:ascii="Calibri" w:eastAsia="Calibri" w:hAnsi="Calibri" w:cs="Calibri"/>
          <w:lang w:eastAsia="zh-TW"/>
        </w:rPr>
        <w:t xml:space="preserve"> (June 2018 to March 2017) and then declining to 4 </w:t>
      </w:r>
      <w:r>
        <w:rPr>
          <w:rFonts w:ascii="Calibri" w:eastAsia="Calibri" w:hAnsi="Calibri" w:cs="Calibri"/>
          <w:lang w:eastAsia="zh-TW"/>
        </w:rPr>
        <w:t>percent</w:t>
      </w:r>
      <w:r w:rsidR="00473554" w:rsidRPr="000E7D4E">
        <w:rPr>
          <w:rFonts w:ascii="Calibri" w:eastAsia="Calibri" w:hAnsi="Calibri" w:cs="Calibri"/>
          <w:lang w:eastAsia="zh-TW"/>
        </w:rPr>
        <w:t xml:space="preserve"> (June 2019 to  February </w:t>
      </w:r>
      <w:r w:rsidR="005162E9" w:rsidRPr="000E7D4E">
        <w:rPr>
          <w:rFonts w:ascii="Calibri" w:eastAsia="Calibri" w:hAnsi="Calibri" w:cs="Calibri"/>
          <w:lang w:eastAsia="zh-TW"/>
        </w:rPr>
        <w:t>2020) and</w:t>
      </w:r>
      <w:r w:rsidR="00984FB2" w:rsidRPr="000E7D4E">
        <w:rPr>
          <w:rFonts w:ascii="Calibri" w:eastAsia="Calibri" w:hAnsi="Calibri" w:cs="Calibri"/>
          <w:lang w:eastAsia="zh-TW"/>
        </w:rPr>
        <w:t xml:space="preserve"> 2 </w:t>
      </w:r>
      <w:r>
        <w:rPr>
          <w:rFonts w:ascii="Calibri" w:eastAsia="Calibri" w:hAnsi="Calibri" w:cs="Calibri"/>
          <w:lang w:eastAsia="zh-TW"/>
        </w:rPr>
        <w:t>percent</w:t>
      </w:r>
      <w:r w:rsidR="00984FB2" w:rsidRPr="000E7D4E">
        <w:rPr>
          <w:rFonts w:ascii="Calibri" w:eastAsia="Calibri" w:hAnsi="Calibri" w:cs="Calibri"/>
          <w:lang w:eastAsia="zh-TW"/>
        </w:rPr>
        <w:t xml:space="preserve"> (July </w:t>
      </w:r>
      <w:r w:rsidR="00466C28">
        <w:rPr>
          <w:rFonts w:ascii="Calibri" w:eastAsia="Calibri" w:hAnsi="Calibri" w:cs="Calibri"/>
          <w:lang w:eastAsia="zh-TW"/>
        </w:rPr>
        <w:t xml:space="preserve">2020 </w:t>
      </w:r>
      <w:r w:rsidR="00984FB2" w:rsidRPr="000E7D4E">
        <w:rPr>
          <w:rFonts w:ascii="Calibri" w:eastAsia="Calibri" w:hAnsi="Calibri" w:cs="Calibri"/>
          <w:lang w:eastAsia="zh-TW"/>
        </w:rPr>
        <w:t xml:space="preserve"> to March 202</w:t>
      </w:r>
      <w:r>
        <w:rPr>
          <w:rFonts w:ascii="Calibri" w:eastAsia="Calibri" w:hAnsi="Calibri" w:cs="Calibri"/>
          <w:lang w:eastAsia="zh-TW"/>
        </w:rPr>
        <w:t>1)</w:t>
      </w:r>
      <w:r w:rsidR="00984FB2" w:rsidRPr="000E7D4E">
        <w:rPr>
          <w:rFonts w:ascii="Calibri" w:eastAsia="Calibri" w:hAnsi="Calibri" w:cs="Calibri"/>
          <w:lang w:eastAsia="zh-TW"/>
        </w:rPr>
        <w:t xml:space="preserve">.  </w:t>
      </w:r>
      <w:r w:rsidR="00506CE3" w:rsidRPr="000E7D4E">
        <w:rPr>
          <w:rFonts w:ascii="Calibri" w:eastAsia="Calibri" w:hAnsi="Calibri" w:cs="Calibri"/>
          <w:lang w:eastAsia="zh-TW"/>
        </w:rPr>
        <w:t>Again,</w:t>
      </w:r>
      <w:r w:rsidR="00DE6BF7" w:rsidRPr="000E7D4E">
        <w:rPr>
          <w:rFonts w:ascii="Calibri" w:eastAsia="Calibri" w:hAnsi="Calibri" w:cs="Calibri"/>
          <w:lang w:eastAsia="zh-TW"/>
        </w:rPr>
        <w:t xml:space="preserve"> it is </w:t>
      </w:r>
      <w:r w:rsidR="004A1C66" w:rsidRPr="000E7D4E">
        <w:rPr>
          <w:rFonts w:ascii="Calibri" w:eastAsia="Calibri" w:hAnsi="Calibri" w:cs="Calibri"/>
          <w:lang w:eastAsia="zh-TW"/>
        </w:rPr>
        <w:t>difficult</w:t>
      </w:r>
      <w:r w:rsidR="00DE6BF7" w:rsidRPr="000E7D4E">
        <w:rPr>
          <w:rFonts w:ascii="Calibri" w:eastAsia="Calibri" w:hAnsi="Calibri" w:cs="Calibri"/>
          <w:lang w:eastAsia="zh-TW"/>
        </w:rPr>
        <w:t xml:space="preserve"> to att</w:t>
      </w:r>
      <w:r w:rsidR="00E272EA" w:rsidRPr="000E7D4E">
        <w:rPr>
          <w:rFonts w:ascii="Calibri" w:eastAsia="Calibri" w:hAnsi="Calibri" w:cs="Calibri"/>
          <w:lang w:eastAsia="zh-TW"/>
        </w:rPr>
        <w:t>ribute the decline</w:t>
      </w:r>
      <w:r w:rsidR="00EC044C" w:rsidRPr="000E7D4E">
        <w:rPr>
          <w:rFonts w:ascii="Calibri" w:eastAsia="Calibri" w:hAnsi="Calibri" w:cs="Calibri"/>
          <w:lang w:eastAsia="zh-TW"/>
        </w:rPr>
        <w:t xml:space="preserve"> </w:t>
      </w:r>
      <w:r w:rsidR="00E272EA" w:rsidRPr="000E7D4E">
        <w:rPr>
          <w:rFonts w:ascii="Calibri" w:eastAsia="Calibri" w:hAnsi="Calibri" w:cs="Calibri"/>
          <w:lang w:eastAsia="zh-TW"/>
        </w:rPr>
        <w:t xml:space="preserve">to the </w:t>
      </w:r>
      <w:r w:rsidR="008E29A7" w:rsidRPr="000E7D4E">
        <w:rPr>
          <w:rFonts w:ascii="Calibri" w:eastAsia="Calibri" w:hAnsi="Calibri" w:cs="Calibri"/>
          <w:lang w:eastAsia="zh-TW"/>
        </w:rPr>
        <w:t>20</w:t>
      </w:r>
      <w:r w:rsidR="00055E80" w:rsidRPr="000E7D4E">
        <w:rPr>
          <w:rFonts w:ascii="Calibri" w:eastAsia="Calibri" w:hAnsi="Calibri" w:cs="Calibri"/>
          <w:lang w:eastAsia="zh-TW"/>
        </w:rPr>
        <w:t xml:space="preserve">19 amendments. </w:t>
      </w:r>
      <w:r w:rsidR="00E272EA" w:rsidRPr="000E7D4E">
        <w:rPr>
          <w:rFonts w:ascii="Calibri" w:eastAsia="Calibri" w:hAnsi="Calibri" w:cs="Calibri"/>
          <w:lang w:eastAsia="zh-TW"/>
        </w:rPr>
        <w:t xml:space="preserve"> </w:t>
      </w:r>
    </w:p>
    <w:p w14:paraId="08970F79" w14:textId="263954CC" w:rsidR="00AD3634" w:rsidRPr="000E7D4E" w:rsidRDefault="00AD3634" w:rsidP="00FB1434">
      <w:pPr>
        <w:autoSpaceDE w:val="0"/>
        <w:autoSpaceDN w:val="0"/>
        <w:adjustRightInd w:val="0"/>
        <w:spacing w:after="0" w:line="240" w:lineRule="auto"/>
        <w:rPr>
          <w:rFonts w:ascii="Calibri" w:eastAsia="Calibri" w:hAnsi="Calibri" w:cs="Calibri"/>
          <w:lang w:eastAsia="zh-TW"/>
        </w:rPr>
      </w:pPr>
    </w:p>
    <w:p w14:paraId="0A36149B" w14:textId="3CA92C99" w:rsidR="00466C28" w:rsidRDefault="00367964" w:rsidP="00466C28">
      <w:pPr>
        <w:spacing w:after="0" w:line="240" w:lineRule="auto"/>
        <w:rPr>
          <w:rFonts w:ascii="Calibri" w:eastAsia="Times New Roman" w:hAnsi="Calibri" w:cs="Calibri"/>
        </w:rPr>
      </w:pPr>
      <w:r>
        <w:rPr>
          <w:rFonts w:cs="Arial"/>
        </w:rPr>
        <w:t>The data</w:t>
      </w:r>
      <w:r w:rsidRPr="00701111">
        <w:rPr>
          <w:rFonts w:cs="Arial"/>
        </w:rPr>
        <w:t xml:space="preserve"> shows that other substances are increasingly being found</w:t>
      </w:r>
      <w:r>
        <w:rPr>
          <w:rFonts w:cs="Arial"/>
        </w:rPr>
        <w:t>.</w:t>
      </w:r>
      <w:r w:rsidRPr="00466C28">
        <w:rPr>
          <w:rFonts w:ascii="Calibri" w:eastAsia="Calibri" w:hAnsi="Calibri" w:cs="Calibri"/>
          <w:lang w:eastAsia="zh-TW"/>
        </w:rPr>
        <w:t xml:space="preserve"> </w:t>
      </w:r>
      <w:r w:rsidR="00154127" w:rsidRPr="00466C28">
        <w:rPr>
          <w:rFonts w:ascii="Calibri" w:eastAsia="Calibri" w:hAnsi="Calibri" w:cs="Calibri"/>
          <w:lang w:eastAsia="zh-TW"/>
        </w:rPr>
        <w:t xml:space="preserve">Significant in the ESR data is </w:t>
      </w:r>
      <w:r w:rsidR="004248CF" w:rsidRPr="00466C28">
        <w:rPr>
          <w:rFonts w:ascii="Calibri" w:eastAsia="Calibri" w:hAnsi="Calibri" w:cs="Calibri"/>
          <w:lang w:eastAsia="zh-TW"/>
        </w:rPr>
        <w:t>th</w:t>
      </w:r>
      <w:r w:rsidR="00506CE3" w:rsidRPr="00466C28">
        <w:rPr>
          <w:rFonts w:ascii="Calibri" w:eastAsia="Calibri" w:hAnsi="Calibri" w:cs="Calibri"/>
          <w:lang w:eastAsia="zh-TW"/>
        </w:rPr>
        <w:t xml:space="preserve">at </w:t>
      </w:r>
      <w:bookmarkStart w:id="292" w:name="_Hlk77681889"/>
      <w:r w:rsidR="004248CF" w:rsidRPr="00466C28">
        <w:rPr>
          <w:rFonts w:ascii="Calibri" w:eastAsia="Calibri" w:hAnsi="Calibri" w:cs="Calibri"/>
          <w:lang w:eastAsia="zh-TW"/>
        </w:rPr>
        <w:t>MDMB-4en-PINACA</w:t>
      </w:r>
      <w:r w:rsidR="00506CE3" w:rsidRPr="00466C28">
        <w:rPr>
          <w:rFonts w:ascii="Calibri" w:eastAsia="Calibri" w:hAnsi="Calibri" w:cs="Calibri"/>
          <w:lang w:eastAsia="zh-TW"/>
        </w:rPr>
        <w:t xml:space="preserve"> </w:t>
      </w:r>
      <w:bookmarkEnd w:id="292"/>
      <w:r w:rsidR="00506CE3" w:rsidRPr="00466C28">
        <w:rPr>
          <w:rFonts w:ascii="Calibri" w:eastAsia="Calibri" w:hAnsi="Calibri" w:cs="Calibri"/>
          <w:lang w:eastAsia="zh-TW"/>
        </w:rPr>
        <w:t>was</w:t>
      </w:r>
      <w:r w:rsidR="00CF6DBA" w:rsidRPr="00466C28">
        <w:rPr>
          <w:rFonts w:ascii="Calibri" w:eastAsia="Calibri" w:hAnsi="Calibri" w:cs="Calibri"/>
          <w:lang w:eastAsia="zh-TW"/>
        </w:rPr>
        <w:t xml:space="preserve"> the </w:t>
      </w:r>
      <w:r w:rsidR="00D314EF" w:rsidRPr="00466C28">
        <w:rPr>
          <w:rFonts w:ascii="Calibri" w:eastAsia="Calibri" w:hAnsi="Calibri" w:cs="Calibri"/>
          <w:lang w:eastAsia="zh-TW"/>
        </w:rPr>
        <w:t>most found</w:t>
      </w:r>
      <w:r w:rsidR="00506CE3" w:rsidRPr="00466C28">
        <w:rPr>
          <w:rFonts w:ascii="Calibri" w:eastAsia="Calibri" w:hAnsi="Calibri" w:cs="Calibri"/>
          <w:lang w:eastAsia="zh-TW"/>
        </w:rPr>
        <w:t xml:space="preserve"> </w:t>
      </w:r>
      <w:r w:rsidR="00D314EF" w:rsidRPr="00466C28">
        <w:rPr>
          <w:rFonts w:ascii="Calibri" w:eastAsia="Calibri" w:hAnsi="Calibri" w:cs="Calibri"/>
          <w:lang w:eastAsia="zh-TW"/>
        </w:rPr>
        <w:t xml:space="preserve">synthetic cannabinoid </w:t>
      </w:r>
      <w:r w:rsidR="00CF6DBA" w:rsidRPr="00466C28">
        <w:rPr>
          <w:rFonts w:ascii="Calibri" w:eastAsia="Calibri" w:hAnsi="Calibri" w:cs="Calibri"/>
          <w:lang w:eastAsia="zh-TW"/>
        </w:rPr>
        <w:t xml:space="preserve">from the end of 2020 and </w:t>
      </w:r>
      <w:r w:rsidR="00D314EF" w:rsidRPr="00466C28">
        <w:rPr>
          <w:rFonts w:ascii="Calibri" w:eastAsia="Calibri" w:hAnsi="Calibri" w:cs="Calibri"/>
          <w:lang w:eastAsia="zh-TW"/>
        </w:rPr>
        <w:t>beginning</w:t>
      </w:r>
      <w:r w:rsidR="00CF6DBA" w:rsidRPr="00466C28">
        <w:rPr>
          <w:rFonts w:ascii="Calibri" w:eastAsia="Calibri" w:hAnsi="Calibri" w:cs="Calibri"/>
          <w:lang w:eastAsia="zh-TW"/>
        </w:rPr>
        <w:t xml:space="preserve"> of 20</w:t>
      </w:r>
      <w:r w:rsidR="00D314EF" w:rsidRPr="00466C28">
        <w:rPr>
          <w:rFonts w:ascii="Calibri" w:eastAsia="Calibri" w:hAnsi="Calibri" w:cs="Calibri"/>
          <w:lang w:eastAsia="zh-TW"/>
        </w:rPr>
        <w:t>2</w:t>
      </w:r>
      <w:r w:rsidR="00CF6DBA" w:rsidRPr="00466C28">
        <w:rPr>
          <w:rFonts w:ascii="Calibri" w:eastAsia="Calibri" w:hAnsi="Calibri" w:cs="Calibri"/>
          <w:lang w:eastAsia="zh-TW"/>
        </w:rPr>
        <w:t>1</w:t>
      </w:r>
      <w:r w:rsidR="00D314EF" w:rsidRPr="00466C28">
        <w:rPr>
          <w:rFonts w:ascii="Calibri" w:eastAsia="Calibri" w:hAnsi="Calibri" w:cs="Calibri"/>
          <w:lang w:eastAsia="zh-TW"/>
        </w:rPr>
        <w:t>, and that it</w:t>
      </w:r>
      <w:r w:rsidR="00CF6DBA" w:rsidRPr="00466C28">
        <w:rPr>
          <w:rFonts w:ascii="Calibri" w:eastAsia="Calibri" w:hAnsi="Calibri" w:cs="Calibri"/>
          <w:lang w:eastAsia="zh-TW"/>
        </w:rPr>
        <w:t xml:space="preserve"> was</w:t>
      </w:r>
      <w:r w:rsidR="0070749A" w:rsidRPr="00466C28">
        <w:rPr>
          <w:rFonts w:ascii="Calibri" w:eastAsia="Calibri" w:hAnsi="Calibri" w:cs="Calibri"/>
          <w:lang w:eastAsia="zh-TW"/>
        </w:rPr>
        <w:t xml:space="preserve"> not</w:t>
      </w:r>
      <w:r w:rsidR="00CF6DBA" w:rsidRPr="00466C28">
        <w:rPr>
          <w:rFonts w:ascii="Calibri" w:eastAsia="Calibri" w:hAnsi="Calibri" w:cs="Calibri"/>
          <w:lang w:eastAsia="zh-TW"/>
        </w:rPr>
        <w:t xml:space="preserve"> detected in previous surveys. </w:t>
      </w:r>
      <w:r w:rsidR="00466C28" w:rsidRPr="00466C28">
        <w:rPr>
          <w:rFonts w:ascii="Calibri" w:eastAsia="Calibri" w:hAnsi="Calibri" w:cs="Calibri"/>
          <w:lang w:eastAsia="zh-TW"/>
        </w:rPr>
        <w:t xml:space="preserve"> MDMB-4en-PINACA </w:t>
      </w:r>
      <w:r w:rsidR="00466C28">
        <w:rPr>
          <w:rFonts w:ascii="Calibri" w:eastAsia="Calibri" w:hAnsi="Calibri" w:cs="Calibri"/>
          <w:lang w:eastAsia="zh-TW"/>
        </w:rPr>
        <w:t>is an analogue of</w:t>
      </w:r>
      <w:r w:rsidR="00466C28" w:rsidRPr="00466C28">
        <w:rPr>
          <w:rFonts w:ascii="Calibri" w:eastAsia="Times New Roman" w:hAnsi="Calibri" w:cs="Calibri"/>
        </w:rPr>
        <w:t xml:space="preserve"> 5F-ADB</w:t>
      </w:r>
      <w:r w:rsidR="00466C28">
        <w:rPr>
          <w:rFonts w:ascii="Calibri" w:eastAsia="Times New Roman" w:hAnsi="Calibri" w:cs="Calibri"/>
        </w:rPr>
        <w:t>.</w:t>
      </w:r>
      <w:r w:rsidR="002E4592">
        <w:rPr>
          <w:rFonts w:ascii="Calibri" w:eastAsia="Times New Roman" w:hAnsi="Calibri" w:cs="Calibri"/>
        </w:rPr>
        <w:t xml:space="preserve"> </w:t>
      </w:r>
      <w:r>
        <w:rPr>
          <w:rFonts w:cs="Arial"/>
        </w:rPr>
        <w:t xml:space="preserve">Approximately half of these other substances are analogues of </w:t>
      </w:r>
      <w:r w:rsidRPr="00701111">
        <w:rPr>
          <w:rFonts w:cs="Arial"/>
        </w:rPr>
        <w:t>AMB-FUBINACA and 5F-ADB</w:t>
      </w:r>
      <w:r>
        <w:rPr>
          <w:rFonts w:cs="Arial"/>
        </w:rPr>
        <w:t xml:space="preserve"> and will therefore be captured by the amendments, making them class C controlled drugs. The remainder are in the process of being scheduled as controlled drugs or are controlled by the Psychoactive Substances Act.</w:t>
      </w:r>
    </w:p>
    <w:p w14:paraId="6F9222D3" w14:textId="77777777" w:rsidR="00466C28" w:rsidRPr="00466C28" w:rsidRDefault="00466C28" w:rsidP="00466C28">
      <w:pPr>
        <w:spacing w:after="0" w:line="240" w:lineRule="auto"/>
        <w:rPr>
          <w:rFonts w:ascii="Calibri" w:eastAsia="Times New Roman" w:hAnsi="Calibri" w:cs="Calibri"/>
          <w:b/>
          <w:bCs/>
        </w:rPr>
      </w:pPr>
    </w:p>
    <w:p w14:paraId="4265220A" w14:textId="3BF72624" w:rsidR="00466C28" w:rsidRDefault="00CF6DBA" w:rsidP="00466C28">
      <w:r w:rsidRPr="000E7D4E">
        <w:rPr>
          <w:rFonts w:ascii="Calibri" w:eastAsia="Calibri" w:hAnsi="Calibri" w:cs="Calibri"/>
          <w:lang w:eastAsia="zh-TW"/>
        </w:rPr>
        <w:t xml:space="preserve">This is </w:t>
      </w:r>
      <w:r w:rsidR="00B87771">
        <w:rPr>
          <w:rFonts w:ascii="Calibri" w:eastAsia="Calibri" w:hAnsi="Calibri" w:cs="Calibri"/>
          <w:lang w:eastAsia="zh-TW"/>
        </w:rPr>
        <w:t xml:space="preserve">further </w:t>
      </w:r>
      <w:r w:rsidRPr="000E7D4E">
        <w:rPr>
          <w:rFonts w:ascii="Calibri" w:eastAsia="Calibri" w:hAnsi="Calibri" w:cs="Calibri"/>
          <w:lang w:eastAsia="zh-TW"/>
        </w:rPr>
        <w:t xml:space="preserve">evidence of the </w:t>
      </w:r>
      <w:r w:rsidR="00D958EE" w:rsidRPr="000E7D4E">
        <w:rPr>
          <w:rFonts w:ascii="Calibri" w:eastAsia="Calibri" w:hAnsi="Calibri" w:cs="Calibri"/>
          <w:lang w:eastAsia="zh-TW"/>
        </w:rPr>
        <w:t>fast-moving</w:t>
      </w:r>
      <w:r w:rsidRPr="000E7D4E">
        <w:rPr>
          <w:rFonts w:ascii="Calibri" w:eastAsia="Calibri" w:hAnsi="Calibri" w:cs="Calibri"/>
          <w:lang w:eastAsia="zh-TW"/>
        </w:rPr>
        <w:t xml:space="preserve"> s</w:t>
      </w:r>
      <w:r w:rsidR="00032D96" w:rsidRPr="000E7D4E">
        <w:rPr>
          <w:rFonts w:ascii="Calibri" w:eastAsia="Calibri" w:hAnsi="Calibri" w:cs="Calibri"/>
          <w:lang w:eastAsia="zh-TW"/>
        </w:rPr>
        <w:t xml:space="preserve">ynthetic drug </w:t>
      </w:r>
      <w:r w:rsidR="002A4D7C" w:rsidRPr="000E7D4E">
        <w:rPr>
          <w:rFonts w:ascii="Calibri" w:eastAsia="Calibri" w:hAnsi="Calibri" w:cs="Calibri"/>
          <w:lang w:eastAsia="zh-TW"/>
        </w:rPr>
        <w:t>market and</w:t>
      </w:r>
      <w:r w:rsidR="00032D96" w:rsidRPr="000E7D4E">
        <w:rPr>
          <w:rFonts w:ascii="Calibri" w:eastAsia="Calibri" w:hAnsi="Calibri" w:cs="Calibri"/>
          <w:lang w:eastAsia="zh-TW"/>
        </w:rPr>
        <w:t xml:space="preserve"> </w:t>
      </w:r>
      <w:r w:rsidR="00D314EF" w:rsidRPr="000E7D4E">
        <w:rPr>
          <w:rFonts w:ascii="Calibri" w:eastAsia="Calibri" w:hAnsi="Calibri" w:cs="Calibri"/>
          <w:lang w:eastAsia="zh-TW"/>
        </w:rPr>
        <w:t>highlights t</w:t>
      </w:r>
      <w:r w:rsidR="00032D96" w:rsidRPr="000E7D4E">
        <w:rPr>
          <w:rFonts w:ascii="Calibri" w:eastAsia="Calibri" w:hAnsi="Calibri" w:cs="Calibri"/>
          <w:lang w:eastAsia="zh-TW"/>
        </w:rPr>
        <w:t xml:space="preserve">he importance of close collaboration across the drug detection network to be able to quickly identify </w:t>
      </w:r>
      <w:r w:rsidR="00EE0D4B" w:rsidRPr="000E7D4E">
        <w:rPr>
          <w:rFonts w:ascii="Calibri" w:eastAsia="Calibri" w:hAnsi="Calibri" w:cs="Calibri"/>
          <w:lang w:eastAsia="zh-TW"/>
        </w:rPr>
        <w:t xml:space="preserve">and respond to </w:t>
      </w:r>
      <w:r w:rsidR="00506CE3" w:rsidRPr="000E7D4E">
        <w:rPr>
          <w:rFonts w:ascii="Calibri" w:eastAsia="Calibri" w:hAnsi="Calibri" w:cs="Calibri"/>
          <w:lang w:eastAsia="zh-TW"/>
        </w:rPr>
        <w:t>new substances</w:t>
      </w:r>
      <w:r w:rsidR="00EE0D4B" w:rsidRPr="000E7D4E">
        <w:rPr>
          <w:rFonts w:ascii="Calibri" w:eastAsia="Calibri" w:hAnsi="Calibri" w:cs="Calibri"/>
          <w:lang w:eastAsia="zh-TW"/>
        </w:rPr>
        <w:t xml:space="preserve"> coming onto the market</w:t>
      </w:r>
      <w:r w:rsidR="00032D96" w:rsidRPr="000E7D4E">
        <w:rPr>
          <w:rFonts w:ascii="Calibri" w:eastAsia="Calibri" w:hAnsi="Calibri" w:cs="Calibri"/>
          <w:lang w:eastAsia="zh-TW"/>
        </w:rPr>
        <w:t xml:space="preserve">. </w:t>
      </w:r>
    </w:p>
    <w:p w14:paraId="0E41FD6F" w14:textId="77777777" w:rsidR="00432CDA" w:rsidRDefault="00432CDA" w:rsidP="00B87771">
      <w:pPr>
        <w:pStyle w:val="Caption"/>
      </w:pPr>
    </w:p>
    <w:p w14:paraId="79FEE7AE" w14:textId="77777777" w:rsidR="00432CDA" w:rsidRDefault="00432CDA" w:rsidP="00B87771">
      <w:pPr>
        <w:pStyle w:val="Caption"/>
      </w:pPr>
    </w:p>
    <w:p w14:paraId="152898C7" w14:textId="77777777" w:rsidR="00432CDA" w:rsidRDefault="00432CDA" w:rsidP="00B87771">
      <w:pPr>
        <w:pStyle w:val="Caption"/>
      </w:pPr>
    </w:p>
    <w:p w14:paraId="49717DB5" w14:textId="77777777" w:rsidR="00432CDA" w:rsidRDefault="00432CDA" w:rsidP="00B87771">
      <w:pPr>
        <w:pStyle w:val="Caption"/>
      </w:pPr>
    </w:p>
    <w:p w14:paraId="1FC67E97" w14:textId="77777777" w:rsidR="00432CDA" w:rsidRDefault="00432CDA" w:rsidP="00B87771">
      <w:pPr>
        <w:pStyle w:val="Caption"/>
      </w:pPr>
    </w:p>
    <w:p w14:paraId="35FB1867" w14:textId="77777777" w:rsidR="00432CDA" w:rsidRDefault="00432CDA" w:rsidP="00B87771">
      <w:pPr>
        <w:pStyle w:val="Caption"/>
      </w:pPr>
    </w:p>
    <w:p w14:paraId="5355E409" w14:textId="77777777" w:rsidR="00432CDA" w:rsidRDefault="00432CDA" w:rsidP="00B87771">
      <w:pPr>
        <w:pStyle w:val="Caption"/>
      </w:pPr>
    </w:p>
    <w:p w14:paraId="7DB518AB" w14:textId="77777777" w:rsidR="00432CDA" w:rsidRDefault="00432CDA" w:rsidP="00B87771">
      <w:pPr>
        <w:pStyle w:val="Caption"/>
      </w:pPr>
    </w:p>
    <w:p w14:paraId="02A96FD1" w14:textId="77777777" w:rsidR="00432CDA" w:rsidRDefault="00432CDA" w:rsidP="00B87771">
      <w:pPr>
        <w:pStyle w:val="Caption"/>
      </w:pPr>
    </w:p>
    <w:p w14:paraId="74A81921" w14:textId="77777777" w:rsidR="00AA3031" w:rsidRDefault="00AA3031" w:rsidP="00B87771">
      <w:pPr>
        <w:pStyle w:val="Caption"/>
        <w:sectPr w:rsidR="00AA3031" w:rsidSect="007D0115">
          <w:pgSz w:w="11906" w:h="16838"/>
          <w:pgMar w:top="1440" w:right="1440" w:bottom="1440" w:left="1440" w:header="708" w:footer="708" w:gutter="0"/>
          <w:cols w:space="708"/>
          <w:docGrid w:linePitch="360"/>
        </w:sectPr>
      </w:pPr>
      <w:bookmarkStart w:id="293" w:name="_Toc77776005"/>
    </w:p>
    <w:p w14:paraId="00B59D0C" w14:textId="66B04B7B" w:rsidR="00AA3031" w:rsidRDefault="00AA3031" w:rsidP="00B87771">
      <w:pPr>
        <w:pStyle w:val="Caption"/>
        <w:sectPr w:rsidR="00AA3031" w:rsidSect="00AA3031">
          <w:pgSz w:w="16838" w:h="11906" w:orient="landscape"/>
          <w:pgMar w:top="1440" w:right="1440" w:bottom="1440" w:left="1440" w:header="709" w:footer="709" w:gutter="0"/>
          <w:cols w:space="708"/>
          <w:docGrid w:linePitch="360"/>
        </w:sectPr>
      </w:pPr>
      <w:r>
        <w:rPr>
          <w:noProof/>
          <w:lang w:eastAsia="zh-TW"/>
        </w:rPr>
        <w:lastRenderedPageBreak/>
        <w:drawing>
          <wp:anchor distT="0" distB="0" distL="114300" distR="114300" simplePos="0" relativeHeight="251659271" behindDoc="1" locked="0" layoutInCell="1" allowOverlap="1" wp14:anchorId="43159C47" wp14:editId="5CB678BC">
            <wp:simplePos x="0" y="0"/>
            <wp:positionH relativeFrom="margin">
              <wp:posOffset>-291943</wp:posOffset>
            </wp:positionH>
            <wp:positionV relativeFrom="paragraph">
              <wp:posOffset>733425</wp:posOffset>
            </wp:positionV>
            <wp:extent cx="9613743" cy="449580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397" cy="4498912"/>
                    </a:xfrm>
                    <a:prstGeom prst="rect">
                      <a:avLst/>
                    </a:prstGeom>
                    <a:noFill/>
                  </pic:spPr>
                </pic:pic>
              </a:graphicData>
            </a:graphic>
            <wp14:sizeRelH relativeFrom="page">
              <wp14:pctWidth>0</wp14:pctWidth>
            </wp14:sizeRelH>
            <wp14:sizeRelV relativeFrom="page">
              <wp14:pctHeight>0</wp14:pctHeight>
            </wp14:sizeRelV>
          </wp:anchor>
        </w:drawing>
      </w:r>
      <w:r>
        <w:t xml:space="preserve">Graph </w:t>
      </w:r>
      <w:fldSimple w:instr=" SEQ Figure \* ARABIC ">
        <w:r>
          <w:rPr>
            <w:noProof/>
          </w:rPr>
          <w:t>22</w:t>
        </w:r>
      </w:fldSimple>
      <w:r>
        <w:t xml:space="preserve"> ESR testing for synthetic cannabinoids</w:t>
      </w:r>
    </w:p>
    <w:p w14:paraId="7B05A408" w14:textId="0ED3CBE8" w:rsidR="00AA3031" w:rsidRPr="000E7D4E" w:rsidRDefault="00AA3031" w:rsidP="00AA3031">
      <w:pPr>
        <w:pStyle w:val="Heading2"/>
        <w:rPr>
          <w:lang w:eastAsia="zh-TW"/>
        </w:rPr>
      </w:pPr>
      <w:bookmarkStart w:id="294" w:name="_Toc78186496"/>
      <w:bookmarkEnd w:id="293"/>
      <w:r w:rsidRPr="000E7D4E">
        <w:rPr>
          <w:lang w:eastAsia="zh-TW"/>
        </w:rPr>
        <w:lastRenderedPageBreak/>
        <w:t>New context from changing international regulations</w:t>
      </w:r>
      <w:bookmarkEnd w:id="294"/>
    </w:p>
    <w:p w14:paraId="2272CE9B" w14:textId="77777777" w:rsidR="00AA3031" w:rsidRPr="000E7D4E" w:rsidRDefault="00AA3031" w:rsidP="00AA3031">
      <w:pPr>
        <w:rPr>
          <w:lang w:eastAsia="zh-TW"/>
        </w:rPr>
      </w:pPr>
      <w:r w:rsidRPr="000E7D4E">
        <w:rPr>
          <w:lang w:eastAsia="zh-TW"/>
        </w:rPr>
        <w:t>On 11 May 2021 China issued a statement announcing a ban effective 1 July 2021 on ‘all synthetic cannabinoids’, and 18 other individual substances mostly of the cathinone, dissociative, and benzodiazepine groups.</w:t>
      </w:r>
      <w:r w:rsidRPr="000E7D4E">
        <w:t>  The key points for New Zealand (as reported by High Alert)</w:t>
      </w:r>
      <w:r w:rsidRPr="000E7D4E">
        <w:rPr>
          <w:b/>
          <w:bCs/>
        </w:rPr>
        <w:t>:</w:t>
      </w:r>
    </w:p>
    <w:p w14:paraId="296CC1FD" w14:textId="77777777" w:rsidR="00AA3031" w:rsidRPr="000E7D4E" w:rsidRDefault="00AA3031" w:rsidP="00AA3031">
      <w:pPr>
        <w:pStyle w:val="ListParagraph"/>
        <w:numPr>
          <w:ilvl w:val="0"/>
          <w:numId w:val="20"/>
        </w:numPr>
        <w:spacing w:after="0" w:line="240" w:lineRule="auto"/>
        <w:contextualSpacing w:val="0"/>
        <w:rPr>
          <w:lang w:eastAsia="zh-TW"/>
        </w:rPr>
      </w:pPr>
      <w:r w:rsidRPr="000E7D4E">
        <w:rPr>
          <w:lang w:eastAsia="zh-TW"/>
        </w:rPr>
        <w:t xml:space="preserve">Synthetic cannabinoids will </w:t>
      </w:r>
      <w:r w:rsidRPr="000E7D4E">
        <w:rPr>
          <w:i/>
          <w:iCs/>
          <w:lang w:eastAsia="zh-TW"/>
        </w:rPr>
        <w:t>possibly</w:t>
      </w:r>
      <w:r w:rsidRPr="000E7D4E">
        <w:rPr>
          <w:lang w:eastAsia="zh-TW"/>
        </w:rPr>
        <w:t xml:space="preserve"> be produced (</w:t>
      </w:r>
      <w:r>
        <w:rPr>
          <w:lang w:eastAsia="zh-TW"/>
        </w:rPr>
        <w:t>lawfully</w:t>
      </w:r>
      <w:r w:rsidRPr="000E7D4E">
        <w:rPr>
          <w:lang w:eastAsia="zh-TW"/>
        </w:rPr>
        <w:t xml:space="preserve"> or illicitly) in another country, or it is possible large-scale international production ceases.</w:t>
      </w:r>
    </w:p>
    <w:p w14:paraId="4C5ACACB" w14:textId="77777777" w:rsidR="00AA3031" w:rsidRPr="000E7D4E" w:rsidRDefault="00AA3031" w:rsidP="00AA3031">
      <w:pPr>
        <w:pStyle w:val="ListParagraph"/>
        <w:numPr>
          <w:ilvl w:val="0"/>
          <w:numId w:val="20"/>
        </w:numPr>
        <w:spacing w:after="0" w:line="240" w:lineRule="auto"/>
        <w:contextualSpacing w:val="0"/>
        <w:rPr>
          <w:lang w:eastAsia="zh-TW"/>
        </w:rPr>
      </w:pPr>
      <w:r w:rsidRPr="000E7D4E">
        <w:rPr>
          <w:lang w:eastAsia="zh-TW"/>
        </w:rPr>
        <w:t xml:space="preserve">It is </w:t>
      </w:r>
      <w:r w:rsidRPr="000E7D4E">
        <w:rPr>
          <w:i/>
          <w:iCs/>
          <w:lang w:eastAsia="zh-TW"/>
        </w:rPr>
        <w:t>unlikely</w:t>
      </w:r>
      <w:r w:rsidRPr="000E7D4E">
        <w:rPr>
          <w:lang w:eastAsia="zh-TW"/>
        </w:rPr>
        <w:t xml:space="preserve"> illicit production of synthetic cannabinoids will occur in China on a large scale. </w:t>
      </w:r>
    </w:p>
    <w:p w14:paraId="5222BD50" w14:textId="77777777" w:rsidR="00AA3031" w:rsidRPr="000E7D4E" w:rsidRDefault="00AA3031" w:rsidP="00AA3031">
      <w:pPr>
        <w:pStyle w:val="ListParagraph"/>
        <w:numPr>
          <w:ilvl w:val="0"/>
          <w:numId w:val="20"/>
        </w:numPr>
        <w:spacing w:after="0" w:line="240" w:lineRule="auto"/>
        <w:contextualSpacing w:val="0"/>
        <w:rPr>
          <w:lang w:eastAsia="zh-TW"/>
        </w:rPr>
      </w:pPr>
      <w:r w:rsidRPr="000E7D4E">
        <w:rPr>
          <w:lang w:eastAsia="zh-TW"/>
        </w:rPr>
        <w:t xml:space="preserve">If the manufacturing of synthetic cannabinoids is unable to meet international demand, it is </w:t>
      </w:r>
      <w:r w:rsidRPr="000E7D4E">
        <w:rPr>
          <w:i/>
          <w:iCs/>
          <w:lang w:eastAsia="zh-TW"/>
        </w:rPr>
        <w:t>likely</w:t>
      </w:r>
      <w:r w:rsidRPr="000E7D4E">
        <w:rPr>
          <w:lang w:eastAsia="zh-TW"/>
        </w:rPr>
        <w:t xml:space="preserve"> New Zealand will experience a synthetic cannabinoid shortage. Any shortage of synthetic cannabinoids will likely lead to substitution with alcohol and other drugs.</w:t>
      </w:r>
    </w:p>
    <w:p w14:paraId="19C591AA" w14:textId="77777777" w:rsidR="00AA3031" w:rsidRPr="000E7D4E" w:rsidRDefault="00AA3031" w:rsidP="00AA3031">
      <w:pPr>
        <w:pStyle w:val="ListParagraph"/>
        <w:numPr>
          <w:ilvl w:val="0"/>
          <w:numId w:val="20"/>
        </w:numPr>
        <w:spacing w:after="0" w:line="240" w:lineRule="auto"/>
        <w:contextualSpacing w:val="0"/>
        <w:rPr>
          <w:lang w:eastAsia="zh-TW"/>
        </w:rPr>
      </w:pPr>
      <w:r w:rsidRPr="000E7D4E">
        <w:rPr>
          <w:lang w:eastAsia="zh-TW"/>
        </w:rPr>
        <w:t xml:space="preserve">It is </w:t>
      </w:r>
      <w:r w:rsidRPr="000E7D4E">
        <w:rPr>
          <w:i/>
          <w:iCs/>
          <w:lang w:eastAsia="zh-TW"/>
        </w:rPr>
        <w:t>likely</w:t>
      </w:r>
      <w:r w:rsidRPr="000E7D4E">
        <w:rPr>
          <w:lang w:eastAsia="zh-TW"/>
        </w:rPr>
        <w:t xml:space="preserve"> Chinese synthetic cannabinoid manufacturers will design and produce new, legal compounds not covered by MoDA.</w:t>
      </w:r>
    </w:p>
    <w:p w14:paraId="4B71D3F0" w14:textId="77777777" w:rsidR="00AA3031" w:rsidRPr="000E7D4E" w:rsidRDefault="00AA3031" w:rsidP="00AA3031">
      <w:pPr>
        <w:pStyle w:val="ListParagraph"/>
        <w:numPr>
          <w:ilvl w:val="0"/>
          <w:numId w:val="20"/>
        </w:numPr>
        <w:spacing w:after="120" w:line="240" w:lineRule="auto"/>
        <w:contextualSpacing w:val="0"/>
        <w:rPr>
          <w:lang w:eastAsia="zh-TW"/>
        </w:rPr>
      </w:pPr>
      <w:r w:rsidRPr="000E7D4E">
        <w:rPr>
          <w:lang w:eastAsia="zh-TW"/>
        </w:rPr>
        <w:t xml:space="preserve">For the other individual analogues banned by China, it is </w:t>
      </w:r>
      <w:r w:rsidRPr="000E7D4E">
        <w:rPr>
          <w:i/>
          <w:iCs/>
          <w:lang w:eastAsia="zh-TW"/>
        </w:rPr>
        <w:t>almost</w:t>
      </w:r>
      <w:r w:rsidRPr="000E7D4E">
        <w:rPr>
          <w:lang w:eastAsia="zh-TW"/>
        </w:rPr>
        <w:t xml:space="preserve"> certain Chinese manufacturers will develop new substances not included in the ban and export to New Zealand using the same modus operandi as before. </w:t>
      </w:r>
    </w:p>
    <w:p w14:paraId="61888BDC" w14:textId="77777777" w:rsidR="00AA3031" w:rsidRDefault="00AA3031" w:rsidP="008204E5">
      <w:pPr>
        <w:rPr>
          <w:lang w:eastAsia="zh-TW"/>
        </w:rPr>
      </w:pPr>
    </w:p>
    <w:p w14:paraId="06CFE2FF" w14:textId="341610A7" w:rsidR="008204E5" w:rsidRPr="000E7D4E" w:rsidRDefault="00AA3031" w:rsidP="008204E5">
      <w:pPr>
        <w:rPr>
          <w:lang w:eastAsia="zh-TW"/>
        </w:rPr>
      </w:pPr>
      <w:r w:rsidRPr="000E7D4E">
        <w:rPr>
          <w:noProof/>
        </w:rPr>
        <mc:AlternateContent>
          <mc:Choice Requires="wps">
            <w:drawing>
              <wp:anchor distT="45720" distB="45720" distL="114300" distR="114300" simplePos="0" relativeHeight="251658246" behindDoc="0" locked="0" layoutInCell="1" allowOverlap="1" wp14:anchorId="6F11F0B0" wp14:editId="103B6C9D">
                <wp:simplePos x="0" y="0"/>
                <wp:positionH relativeFrom="margin">
                  <wp:posOffset>-57150</wp:posOffset>
                </wp:positionH>
                <wp:positionV relativeFrom="paragraph">
                  <wp:posOffset>492125</wp:posOffset>
                </wp:positionV>
                <wp:extent cx="5476875" cy="51625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162550"/>
                        </a:xfrm>
                        <a:prstGeom prst="rect">
                          <a:avLst/>
                        </a:prstGeom>
                        <a:solidFill>
                          <a:srgbClr val="FFFFFF"/>
                        </a:solidFill>
                        <a:ln w="9525">
                          <a:solidFill>
                            <a:srgbClr val="000000"/>
                          </a:solidFill>
                          <a:miter lim="800000"/>
                          <a:headEnd/>
                          <a:tailEnd/>
                        </a:ln>
                      </wps:spPr>
                      <wps:txbx>
                        <w:txbxContent>
                          <w:p w14:paraId="131AD143" w14:textId="48ACFF76" w:rsidR="00F14026" w:rsidRPr="00E97F9C" w:rsidRDefault="00F14026" w:rsidP="007A4085">
                            <w:pPr>
                              <w:rPr>
                                <w:b/>
                                <w:bCs/>
                              </w:rPr>
                            </w:pPr>
                            <w:r w:rsidRPr="00E97F9C">
                              <w:rPr>
                                <w:b/>
                                <w:bCs/>
                              </w:rPr>
                              <w:t xml:space="preserve">Key findings: </w:t>
                            </w:r>
                          </w:p>
                          <w:p w14:paraId="556763B4" w14:textId="4A8761EE" w:rsidR="00F14026" w:rsidRDefault="00F14026" w:rsidP="007E631C">
                            <w:pPr>
                              <w:pStyle w:val="ListParagraph"/>
                              <w:numPr>
                                <w:ilvl w:val="0"/>
                                <w:numId w:val="21"/>
                              </w:numPr>
                              <w:spacing w:after="0" w:line="240" w:lineRule="auto"/>
                              <w:rPr>
                                <w:lang w:eastAsia="zh-TW"/>
                              </w:rPr>
                            </w:pPr>
                            <w:r w:rsidRPr="00E97F9C">
                              <w:rPr>
                                <w:lang w:eastAsia="zh-TW"/>
                              </w:rPr>
                              <w:t xml:space="preserve">Seized synthetic cannabinoids are not routinely tested to determine whether it is AMB-FUBINACA </w:t>
                            </w:r>
                            <w:r>
                              <w:rPr>
                                <w:lang w:eastAsia="zh-TW"/>
                              </w:rPr>
                              <w:t>or</w:t>
                            </w:r>
                            <w:r w:rsidRPr="00E97F9C">
                              <w:rPr>
                                <w:lang w:eastAsia="zh-TW"/>
                              </w:rPr>
                              <w:t xml:space="preserve"> 5F-ADB.</w:t>
                            </w:r>
                          </w:p>
                          <w:p w14:paraId="46C4B383" w14:textId="77777777" w:rsidR="00F14026" w:rsidRDefault="00F14026" w:rsidP="008C11E4">
                            <w:pPr>
                              <w:pStyle w:val="ListParagraph"/>
                              <w:spacing w:after="0" w:line="240" w:lineRule="auto"/>
                              <w:rPr>
                                <w:lang w:eastAsia="zh-TW"/>
                              </w:rPr>
                            </w:pPr>
                          </w:p>
                          <w:p w14:paraId="5FA6CE95" w14:textId="0444F01E" w:rsidR="00F14026" w:rsidRDefault="00F14026" w:rsidP="008C11E4">
                            <w:pPr>
                              <w:pStyle w:val="ListParagraph"/>
                              <w:numPr>
                                <w:ilvl w:val="0"/>
                                <w:numId w:val="21"/>
                              </w:numPr>
                            </w:pPr>
                            <w:r>
                              <w:t xml:space="preserve">Closed coronial cases involving synthetic cannabinoids showed a surge in deaths in 2017 – 2018 and in the majority of cases AMB-FUBINACA was detected.  </w:t>
                            </w:r>
                          </w:p>
                          <w:p w14:paraId="1D500804" w14:textId="77777777" w:rsidR="00F14026" w:rsidRDefault="00F14026" w:rsidP="008C11E4">
                            <w:pPr>
                              <w:pStyle w:val="ListParagraph"/>
                              <w:rPr>
                                <w:lang w:eastAsia="zh-TW"/>
                              </w:rPr>
                            </w:pPr>
                          </w:p>
                          <w:p w14:paraId="4B786654" w14:textId="7AC8AB36" w:rsidR="00F14026" w:rsidRDefault="00F14026" w:rsidP="008C11E4">
                            <w:pPr>
                              <w:pStyle w:val="ListParagraph"/>
                              <w:numPr>
                                <w:ilvl w:val="0"/>
                                <w:numId w:val="21"/>
                              </w:numPr>
                            </w:pPr>
                            <w:r>
                              <w:rPr>
                                <w:lang w:eastAsia="zh-TW"/>
                              </w:rPr>
                              <w:t>H</w:t>
                            </w:r>
                            <w:r w:rsidRPr="00E97F9C">
                              <w:rPr>
                                <w:lang w:eastAsia="zh-TW"/>
                              </w:rPr>
                              <w:t>ospitalisation, Police and Customs data does not distinguish between AMB-FUBINACA and 5F-ADB, and other synthetic cannabinoids.  However</w:t>
                            </w:r>
                            <w:r>
                              <w:rPr>
                                <w:lang w:eastAsia="zh-TW"/>
                              </w:rPr>
                              <w:t>,</w:t>
                            </w:r>
                            <w:r w:rsidRPr="00E97F9C">
                              <w:rPr>
                                <w:lang w:eastAsia="zh-TW"/>
                              </w:rPr>
                              <w:t xml:space="preserve"> Police and Customs data shows the quantities of seizures of synthetic cannabinoid powder and synthetic cannabis has reduced considerably since 2019</w:t>
                            </w:r>
                            <w:r>
                              <w:rPr>
                                <w:lang w:eastAsia="zh-TW"/>
                              </w:rPr>
                              <w:t xml:space="preserve"> indicating there has been a reduction in the amount of synthetic cannabinoids in the community</w:t>
                            </w:r>
                            <w:r w:rsidRPr="00E97F9C">
                              <w:rPr>
                                <w:lang w:eastAsia="zh-TW"/>
                              </w:rPr>
                              <w:t>.  This was a continuation of an existing trend so the reduction is unlikely to be due to the amendment.</w:t>
                            </w:r>
                          </w:p>
                          <w:p w14:paraId="79D78563" w14:textId="77777777" w:rsidR="00F14026" w:rsidRDefault="00F14026" w:rsidP="00D46C3D">
                            <w:pPr>
                              <w:pStyle w:val="ListParagraph"/>
                              <w:spacing w:after="0" w:line="240" w:lineRule="auto"/>
                              <w:rPr>
                                <w:lang w:eastAsia="zh-TW"/>
                              </w:rPr>
                            </w:pPr>
                          </w:p>
                          <w:p w14:paraId="66AD7D62" w14:textId="09664708" w:rsidR="00F14026" w:rsidRDefault="00F14026" w:rsidP="00D46C3D">
                            <w:pPr>
                              <w:pStyle w:val="ListParagraph"/>
                              <w:numPr>
                                <w:ilvl w:val="0"/>
                                <w:numId w:val="21"/>
                              </w:numPr>
                              <w:spacing w:after="0" w:line="240" w:lineRule="auto"/>
                              <w:rPr>
                                <w:lang w:eastAsia="zh-TW"/>
                              </w:rPr>
                            </w:pPr>
                            <w:r w:rsidRPr="00E97F9C">
                              <w:rPr>
                                <w:lang w:eastAsia="zh-TW"/>
                              </w:rPr>
                              <w:t>Coronial and hospitalisation data shows that since the surge in 2017 - 2018 numbers of deaths and hospital discharges have returned to pre-surge levels.</w:t>
                            </w:r>
                          </w:p>
                          <w:p w14:paraId="5DA2BBA6" w14:textId="77777777" w:rsidR="00F14026" w:rsidRDefault="00F14026" w:rsidP="008C11E4">
                            <w:pPr>
                              <w:pStyle w:val="ListParagraph"/>
                              <w:rPr>
                                <w:lang w:eastAsia="zh-TW"/>
                              </w:rPr>
                            </w:pPr>
                          </w:p>
                          <w:p w14:paraId="33BFBC2C" w14:textId="53C89932" w:rsidR="00F14026" w:rsidRPr="00E97F9C" w:rsidRDefault="00F14026" w:rsidP="008C11E4">
                            <w:pPr>
                              <w:pStyle w:val="ListParagraph"/>
                              <w:numPr>
                                <w:ilvl w:val="0"/>
                                <w:numId w:val="21"/>
                              </w:numPr>
                              <w:spacing w:after="0" w:line="240" w:lineRule="auto"/>
                              <w:rPr>
                                <w:lang w:eastAsia="zh-TW"/>
                              </w:rPr>
                            </w:pPr>
                            <w:r w:rsidRPr="00E97F9C">
                              <w:rPr>
                                <w:lang w:eastAsia="zh-TW"/>
                              </w:rPr>
                              <w:t>The number of Māori represented in synthetic cannabinoid hospitalisations is higher than the proportion of Māori in the general population</w:t>
                            </w:r>
                            <w:r>
                              <w:rPr>
                                <w:lang w:eastAsia="zh-TW"/>
                              </w:rPr>
                              <w:t xml:space="preserve"> although the dataset is small</w:t>
                            </w:r>
                            <w:r w:rsidRPr="00E97F9C">
                              <w:rPr>
                                <w:lang w:eastAsia="zh-TW"/>
                              </w:rPr>
                              <w:t>.</w:t>
                            </w:r>
                          </w:p>
                          <w:p w14:paraId="76FC8FAE" w14:textId="77777777" w:rsidR="00F14026" w:rsidRDefault="00F14026" w:rsidP="00D46C3D">
                            <w:pPr>
                              <w:pStyle w:val="ListParagraph"/>
                              <w:spacing w:after="0" w:line="240" w:lineRule="auto"/>
                              <w:rPr>
                                <w:lang w:eastAsia="zh-TW"/>
                              </w:rPr>
                            </w:pPr>
                          </w:p>
                          <w:p w14:paraId="0276CE22" w14:textId="2E42C1C4" w:rsidR="00F14026" w:rsidRDefault="00F14026" w:rsidP="008204E5">
                            <w:pPr>
                              <w:pStyle w:val="ListParagraph"/>
                              <w:numPr>
                                <w:ilvl w:val="0"/>
                                <w:numId w:val="21"/>
                              </w:numPr>
                              <w:spacing w:after="0" w:line="240" w:lineRule="auto"/>
                              <w:rPr>
                                <w:lang w:eastAsia="zh-TW"/>
                              </w:rPr>
                            </w:pPr>
                            <w:r w:rsidRPr="00E97F9C">
                              <w:rPr>
                                <w:lang w:eastAsia="zh-TW"/>
                              </w:rPr>
                              <w:t>ESR testing shows a significant decline since 2019 in the percentage of samples containing AMB-FUBINACA and 5F-A</w:t>
                            </w:r>
                            <w:r>
                              <w:rPr>
                                <w:lang w:eastAsia="zh-TW"/>
                              </w:rPr>
                              <w:t>D</w:t>
                            </w:r>
                            <w:r w:rsidRPr="00E97F9C">
                              <w:rPr>
                                <w:lang w:eastAsia="zh-TW"/>
                              </w:rPr>
                              <w:t>B</w:t>
                            </w:r>
                            <w:r>
                              <w:rPr>
                                <w:lang w:eastAsia="zh-TW"/>
                              </w:rPr>
                              <w:t>. This indicates that there has been a shift towards other synthetic cannabinoids since the scheduling of these substances although a link cannot be inferred.  We are unable to comment at this time on the relative harms of these substances but understand that approximately half are likely to be captured under MoDA as analogues of AMB-FUBINACA and 5F-ADB.</w:t>
                            </w:r>
                          </w:p>
                          <w:p w14:paraId="176603A4" w14:textId="77777777" w:rsidR="00F14026" w:rsidRPr="00E97F9C" w:rsidRDefault="00F14026" w:rsidP="007E631C">
                            <w:pPr>
                              <w:spacing w:after="0" w:line="240" w:lineRule="auto"/>
                              <w:rPr>
                                <w:lang w:eastAsia="zh-TW"/>
                              </w:rPr>
                            </w:pPr>
                          </w:p>
                          <w:p w14:paraId="3051C15C" w14:textId="77777777" w:rsidR="00F14026" w:rsidRPr="00E97F9C" w:rsidRDefault="00F14026" w:rsidP="007A4085">
                            <w:pPr>
                              <w:spacing w:after="0" w:line="240" w:lineRule="auto"/>
                              <w:rPr>
                                <w:lang w:eastAsia="zh-TW"/>
                              </w:rPr>
                            </w:pPr>
                          </w:p>
                          <w:p w14:paraId="3172383E" w14:textId="77777777" w:rsidR="00F14026" w:rsidRPr="004D022F" w:rsidRDefault="00F14026" w:rsidP="008204E5">
                            <w:pPr>
                              <w:pStyle w:val="ListParagraph"/>
                            </w:pPr>
                          </w:p>
                          <w:p w14:paraId="05E4800A" w14:textId="77777777" w:rsidR="00F14026" w:rsidRDefault="00F14026" w:rsidP="008204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1F0B0" id="_x0000_s1032" type="#_x0000_t202" style="position:absolute;margin-left:-4.5pt;margin-top:38.75pt;width:431.25pt;height:40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">
                <v:textbox>
                  <w:txbxContent>
                    <w:p w14:paraId="131AD143" w14:textId="48ACFF76" w:rsidR="00F14026" w:rsidRPr="00E97F9C" w:rsidRDefault="00F14026" w:rsidP="007A4085">
                      <w:pPr>
                        <w:rPr>
                          <w:b/>
                          <w:bCs/>
                        </w:rPr>
                      </w:pPr>
                      <w:r w:rsidRPr="00E97F9C">
                        <w:rPr>
                          <w:b/>
                          <w:bCs/>
                        </w:rPr>
                        <w:t xml:space="preserve">Key findings: </w:t>
                      </w:r>
                    </w:p>
                    <w:p w14:paraId="556763B4" w14:textId="4A8761EE" w:rsidR="00F14026" w:rsidRDefault="00F14026" w:rsidP="007E631C">
                      <w:pPr>
                        <w:pStyle w:val="ListParagraph"/>
                        <w:numPr>
                          <w:ilvl w:val="0"/>
                          <w:numId w:val="21"/>
                        </w:numPr>
                        <w:spacing w:after="0" w:line="240" w:lineRule="auto"/>
                        <w:rPr>
                          <w:lang w:eastAsia="zh-TW"/>
                        </w:rPr>
                      </w:pPr>
                      <w:r w:rsidRPr="00E97F9C">
                        <w:rPr>
                          <w:lang w:eastAsia="zh-TW"/>
                        </w:rPr>
                        <w:t xml:space="preserve">Seized synthetic cannabinoids are not routinely tested to determine whether it is AMB-FUBINACA </w:t>
                      </w:r>
                      <w:r>
                        <w:rPr>
                          <w:lang w:eastAsia="zh-TW"/>
                        </w:rPr>
                        <w:t>or</w:t>
                      </w:r>
                      <w:r w:rsidRPr="00E97F9C">
                        <w:rPr>
                          <w:lang w:eastAsia="zh-TW"/>
                        </w:rPr>
                        <w:t xml:space="preserve"> 5F-ADB.</w:t>
                      </w:r>
                    </w:p>
                    <w:p w14:paraId="46C4B383" w14:textId="77777777" w:rsidR="00F14026" w:rsidRDefault="00F14026" w:rsidP="008C11E4">
                      <w:pPr>
                        <w:pStyle w:val="ListParagraph"/>
                        <w:spacing w:after="0" w:line="240" w:lineRule="auto"/>
                        <w:rPr>
                          <w:lang w:eastAsia="zh-TW"/>
                        </w:rPr>
                      </w:pPr>
                    </w:p>
                    <w:p w14:paraId="5FA6CE95" w14:textId="0444F01E" w:rsidR="00F14026" w:rsidRDefault="00F14026" w:rsidP="008C11E4">
                      <w:pPr>
                        <w:pStyle w:val="ListParagraph"/>
                        <w:numPr>
                          <w:ilvl w:val="0"/>
                          <w:numId w:val="21"/>
                        </w:numPr>
                      </w:pPr>
                      <w:r>
                        <w:t xml:space="preserve">Closed coronial cases involving synthetic cannabinoids showed a surge in deaths in 2017 – 2018 and in the majority of cases AMB-FUBINACA was detected.  </w:t>
                      </w:r>
                    </w:p>
                    <w:p w14:paraId="1D500804" w14:textId="77777777" w:rsidR="00F14026" w:rsidRDefault="00F14026" w:rsidP="008C11E4">
                      <w:pPr>
                        <w:pStyle w:val="ListParagraph"/>
                        <w:rPr>
                          <w:lang w:eastAsia="zh-TW"/>
                        </w:rPr>
                      </w:pPr>
                    </w:p>
                    <w:p w14:paraId="4B786654" w14:textId="7AC8AB36" w:rsidR="00F14026" w:rsidRDefault="00F14026" w:rsidP="008C11E4">
                      <w:pPr>
                        <w:pStyle w:val="ListParagraph"/>
                        <w:numPr>
                          <w:ilvl w:val="0"/>
                          <w:numId w:val="21"/>
                        </w:numPr>
                      </w:pPr>
                      <w:r>
                        <w:rPr>
                          <w:lang w:eastAsia="zh-TW"/>
                        </w:rPr>
                        <w:t>H</w:t>
                      </w:r>
                      <w:r w:rsidRPr="00E97F9C">
                        <w:rPr>
                          <w:lang w:eastAsia="zh-TW"/>
                        </w:rPr>
                        <w:t>ospitalisation, Police and Customs data does not distinguish between AMB-FUBINACA and 5F-ADB, and other synthetic cannabinoids.  However</w:t>
                      </w:r>
                      <w:r>
                        <w:rPr>
                          <w:lang w:eastAsia="zh-TW"/>
                        </w:rPr>
                        <w:t>,</w:t>
                      </w:r>
                      <w:r w:rsidRPr="00E97F9C">
                        <w:rPr>
                          <w:lang w:eastAsia="zh-TW"/>
                        </w:rPr>
                        <w:t xml:space="preserve"> Police and Customs data shows the quantities of seizures of synthetic cannabinoid powder and synthetic cannabis has reduced considerably since 2019</w:t>
                      </w:r>
                      <w:r>
                        <w:rPr>
                          <w:lang w:eastAsia="zh-TW"/>
                        </w:rPr>
                        <w:t xml:space="preserve"> indicating there has been a reduction in the amount of synthetic cannabinoids in the community</w:t>
                      </w:r>
                      <w:r w:rsidRPr="00E97F9C">
                        <w:rPr>
                          <w:lang w:eastAsia="zh-TW"/>
                        </w:rPr>
                        <w:t>.  This was a continuation of an existing trend so the reduction is unlikely to be due to the amendment.</w:t>
                      </w:r>
                    </w:p>
                    <w:p w14:paraId="79D78563" w14:textId="77777777" w:rsidR="00F14026" w:rsidRDefault="00F14026" w:rsidP="00D46C3D">
                      <w:pPr>
                        <w:pStyle w:val="ListParagraph"/>
                        <w:spacing w:after="0" w:line="240" w:lineRule="auto"/>
                        <w:rPr>
                          <w:lang w:eastAsia="zh-TW"/>
                        </w:rPr>
                      </w:pPr>
                    </w:p>
                    <w:p w14:paraId="66AD7D62" w14:textId="09664708" w:rsidR="00F14026" w:rsidRDefault="00F14026" w:rsidP="00D46C3D">
                      <w:pPr>
                        <w:pStyle w:val="ListParagraph"/>
                        <w:numPr>
                          <w:ilvl w:val="0"/>
                          <w:numId w:val="21"/>
                        </w:numPr>
                        <w:spacing w:after="0" w:line="240" w:lineRule="auto"/>
                        <w:rPr>
                          <w:lang w:eastAsia="zh-TW"/>
                        </w:rPr>
                      </w:pPr>
                      <w:r w:rsidRPr="00E97F9C">
                        <w:rPr>
                          <w:lang w:eastAsia="zh-TW"/>
                        </w:rPr>
                        <w:t>Coronial and hospitalisation data shows that since the surge in 2017 - 2018 numbers of deaths and hospital discharges have returned to pre-surge levels.</w:t>
                      </w:r>
                    </w:p>
                    <w:p w14:paraId="5DA2BBA6" w14:textId="77777777" w:rsidR="00F14026" w:rsidRDefault="00F14026" w:rsidP="008C11E4">
                      <w:pPr>
                        <w:pStyle w:val="ListParagraph"/>
                        <w:rPr>
                          <w:lang w:eastAsia="zh-TW"/>
                        </w:rPr>
                      </w:pPr>
                    </w:p>
                    <w:p w14:paraId="33BFBC2C" w14:textId="53C89932" w:rsidR="00F14026" w:rsidRPr="00E97F9C" w:rsidRDefault="00F14026" w:rsidP="008C11E4">
                      <w:pPr>
                        <w:pStyle w:val="ListParagraph"/>
                        <w:numPr>
                          <w:ilvl w:val="0"/>
                          <w:numId w:val="21"/>
                        </w:numPr>
                        <w:spacing w:after="0" w:line="240" w:lineRule="auto"/>
                        <w:rPr>
                          <w:lang w:eastAsia="zh-TW"/>
                        </w:rPr>
                      </w:pPr>
                      <w:r w:rsidRPr="00E97F9C">
                        <w:rPr>
                          <w:lang w:eastAsia="zh-TW"/>
                        </w:rPr>
                        <w:t>The number of Māori represented in synthetic cannabinoid hospitalisations is higher than the proportion of Māori in the general population</w:t>
                      </w:r>
                      <w:r>
                        <w:rPr>
                          <w:lang w:eastAsia="zh-TW"/>
                        </w:rPr>
                        <w:t xml:space="preserve"> although the dataset is small</w:t>
                      </w:r>
                      <w:r w:rsidRPr="00E97F9C">
                        <w:rPr>
                          <w:lang w:eastAsia="zh-TW"/>
                        </w:rPr>
                        <w:t>.</w:t>
                      </w:r>
                    </w:p>
                    <w:p w14:paraId="76FC8FAE" w14:textId="77777777" w:rsidR="00F14026" w:rsidRDefault="00F14026" w:rsidP="00D46C3D">
                      <w:pPr>
                        <w:pStyle w:val="ListParagraph"/>
                        <w:spacing w:after="0" w:line="240" w:lineRule="auto"/>
                        <w:rPr>
                          <w:lang w:eastAsia="zh-TW"/>
                        </w:rPr>
                      </w:pPr>
                    </w:p>
                    <w:p w14:paraId="0276CE22" w14:textId="2E42C1C4" w:rsidR="00F14026" w:rsidRDefault="00F14026" w:rsidP="008204E5">
                      <w:pPr>
                        <w:pStyle w:val="ListParagraph"/>
                        <w:numPr>
                          <w:ilvl w:val="0"/>
                          <w:numId w:val="21"/>
                        </w:numPr>
                        <w:spacing w:after="0" w:line="240" w:lineRule="auto"/>
                        <w:rPr>
                          <w:lang w:eastAsia="zh-TW"/>
                        </w:rPr>
                      </w:pPr>
                      <w:r w:rsidRPr="00E97F9C">
                        <w:rPr>
                          <w:lang w:eastAsia="zh-TW"/>
                        </w:rPr>
                        <w:t>ESR testing shows a significant decline since 2019 in the percentage of samples containing AMB-FUBINACA and 5F-A</w:t>
                      </w:r>
                      <w:r>
                        <w:rPr>
                          <w:lang w:eastAsia="zh-TW"/>
                        </w:rPr>
                        <w:t>D</w:t>
                      </w:r>
                      <w:r w:rsidRPr="00E97F9C">
                        <w:rPr>
                          <w:lang w:eastAsia="zh-TW"/>
                        </w:rPr>
                        <w:t>B</w:t>
                      </w:r>
                      <w:r>
                        <w:rPr>
                          <w:lang w:eastAsia="zh-TW"/>
                        </w:rPr>
                        <w:t>. This indicates that there has been a shift towards other synthetic cannabinoids since the scheduling of these substances although a link cannot be inferred.  We are unable to comment at this time on the relative harms of these substances but understand that approximately half are likely to be captured under MoDA as analogues of AMB-FUBINACA and 5F-ADB.</w:t>
                      </w:r>
                    </w:p>
                    <w:p w14:paraId="176603A4" w14:textId="77777777" w:rsidR="00F14026" w:rsidRPr="00E97F9C" w:rsidRDefault="00F14026" w:rsidP="007E631C">
                      <w:pPr>
                        <w:spacing w:after="0" w:line="240" w:lineRule="auto"/>
                        <w:rPr>
                          <w:lang w:eastAsia="zh-TW"/>
                        </w:rPr>
                      </w:pPr>
                    </w:p>
                    <w:p w14:paraId="3051C15C" w14:textId="77777777" w:rsidR="00F14026" w:rsidRPr="00E97F9C" w:rsidRDefault="00F14026" w:rsidP="007A4085">
                      <w:pPr>
                        <w:spacing w:after="0" w:line="240" w:lineRule="auto"/>
                        <w:rPr>
                          <w:lang w:eastAsia="zh-TW"/>
                        </w:rPr>
                      </w:pPr>
                    </w:p>
                    <w:p w14:paraId="3172383E" w14:textId="77777777" w:rsidR="00F14026" w:rsidRPr="004D022F" w:rsidRDefault="00F14026" w:rsidP="008204E5">
                      <w:pPr>
                        <w:pStyle w:val="ListParagraph"/>
                      </w:pPr>
                    </w:p>
                    <w:p w14:paraId="05E4800A" w14:textId="77777777" w:rsidR="00F14026" w:rsidRDefault="00F14026" w:rsidP="008204E5"/>
                  </w:txbxContent>
                </v:textbox>
                <w10:wrap type="square" anchorx="margin"/>
              </v:shape>
            </w:pict>
          </mc:Fallback>
        </mc:AlternateContent>
      </w:r>
      <w:r w:rsidR="008204E5" w:rsidRPr="000E7D4E">
        <w:rPr>
          <w:lang w:eastAsia="zh-TW"/>
        </w:rPr>
        <w:t xml:space="preserve">This means that intelligence gathering, and the temporary drug classification orders will be important in managing harmful substances in the future.  </w:t>
      </w:r>
      <w:bookmarkStart w:id="295" w:name="_Hlk77161251"/>
    </w:p>
    <w:p w14:paraId="35685D5A" w14:textId="0346C2BC" w:rsidR="00A4771D" w:rsidRPr="000E7D4E" w:rsidRDefault="00A4771D" w:rsidP="00A4771D">
      <w:pPr>
        <w:pStyle w:val="Heading2"/>
      </w:pPr>
      <w:bookmarkStart w:id="296" w:name="_Toc78186497"/>
      <w:bookmarkEnd w:id="295"/>
      <w:r w:rsidRPr="000E7D4E">
        <w:rPr>
          <w:lang w:eastAsia="zh-TW"/>
        </w:rPr>
        <w:lastRenderedPageBreak/>
        <w:t>P</w:t>
      </w:r>
      <w:r w:rsidR="00C136C8" w:rsidRPr="000E7D4E">
        <w:rPr>
          <w:lang w:eastAsia="zh-TW"/>
        </w:rPr>
        <w:t xml:space="preserve">ART THREE - </w:t>
      </w:r>
      <w:r w:rsidR="00FF7D62" w:rsidRPr="000E7D4E">
        <w:t>TEMPORARY CLASS DRUG ORDERS</w:t>
      </w:r>
      <w:bookmarkEnd w:id="296"/>
      <w:r w:rsidR="00FF7D62" w:rsidRPr="000E7D4E">
        <w:t xml:space="preserve">  </w:t>
      </w:r>
    </w:p>
    <w:p w14:paraId="08C1690F" w14:textId="77777777" w:rsidR="00550EB6" w:rsidRPr="000E7D4E" w:rsidRDefault="00550EB6" w:rsidP="00550EB6">
      <w:r w:rsidRPr="000E7D4E">
        <w:t xml:space="preserve">This part of the report considers the impact of the amendment which enables temporary class drug orders (TCDOs) to be issued for emerging and potentially harmful substances.   To date no TCDOs have been issued, and one application was received on 29 June 2021 and is currently being considered.  </w:t>
      </w:r>
    </w:p>
    <w:p w14:paraId="7EE8299B" w14:textId="77777777" w:rsidR="00550EB6" w:rsidRPr="000E7D4E" w:rsidRDefault="00550EB6" w:rsidP="00550EB6">
      <w:pPr>
        <w:pStyle w:val="Heading3"/>
      </w:pPr>
      <w:bookmarkStart w:id="297" w:name="_Toc77166704"/>
      <w:bookmarkStart w:id="298" w:name="_Toc78186498"/>
      <w:r w:rsidRPr="000E7D4E">
        <w:t>Legislative history leading up to the amendments</w:t>
      </w:r>
      <w:bookmarkEnd w:id="297"/>
      <w:bookmarkEnd w:id="298"/>
      <w:r w:rsidRPr="000E7D4E">
        <w:t xml:space="preserve"> </w:t>
      </w:r>
    </w:p>
    <w:p w14:paraId="2B911240" w14:textId="77777777" w:rsidR="00550EB6" w:rsidRPr="000E7D4E" w:rsidRDefault="00550EB6" w:rsidP="00550EB6">
      <w:pPr>
        <w:rPr>
          <w:rFonts w:eastAsia="Times New Roman"/>
        </w:rPr>
      </w:pPr>
      <w:r w:rsidRPr="000E7D4E">
        <w:rPr>
          <w:rFonts w:eastAsia="Times New Roman"/>
        </w:rPr>
        <w:t xml:space="preserve">In 2011 an amendment to MoDA allowed for </w:t>
      </w:r>
      <w:bookmarkStart w:id="299" w:name="_Hlk76721898"/>
      <w:r w:rsidRPr="000E7D4E">
        <w:rPr>
          <w:rFonts w:eastAsia="Times New Roman"/>
        </w:rPr>
        <w:t>temporary class drug notices</w:t>
      </w:r>
      <w:bookmarkEnd w:id="299"/>
      <w:r w:rsidRPr="000E7D4E">
        <w:rPr>
          <w:rFonts w:eastAsia="Times New Roman"/>
        </w:rPr>
        <w:t xml:space="preserve"> to provide a mechanism for prohibiting the import, manufacture, sale and supply of potentially harmful substances.</w:t>
      </w:r>
      <w:r w:rsidRPr="000E7D4E">
        <w:t xml:space="preserve"> </w:t>
      </w:r>
      <w:r w:rsidRPr="000E7D4E">
        <w:rPr>
          <w:rFonts w:eastAsia="Times New Roman"/>
        </w:rPr>
        <w:t xml:space="preserve">The effect of the temporary class drug notices was to classify the substance under MODA as a Class C controlled drug, with a requirement that the Minister seek advice regarding the appropriate classification of the drug. The temporary class drug notices could be quickly ordered through a notice issued by the Minister and would last for 12 months with the option to renew for a further 12 months if required. </w:t>
      </w:r>
    </w:p>
    <w:p w14:paraId="7775ED4D" w14:textId="77777777" w:rsidR="00550EB6" w:rsidRPr="000E7D4E" w:rsidRDefault="00550EB6" w:rsidP="00550EB6">
      <w:pPr>
        <w:rPr>
          <w:rFonts w:eastAsia="Times New Roman"/>
        </w:rPr>
      </w:pPr>
      <w:r w:rsidRPr="000E7D4E">
        <w:rPr>
          <w:rFonts w:eastAsia="Times New Roman"/>
        </w:rPr>
        <w:t xml:space="preserve">A total of 22 compounds were the subject of temporary class drug notices from August 2011 to July 2013. These notices provided an emergency solution where there were suspected safety issues. Ultimately none of the substances classified under temporary class drug notices went on to be permanently classified under MODA. This demonstrates the rapid volatility in the synthetic drug market where harmful drugs can be quickly replaced by new ones. </w:t>
      </w:r>
    </w:p>
    <w:p w14:paraId="021D8AD4" w14:textId="4A6F37CC" w:rsidR="00550EB6" w:rsidRPr="000E7D4E" w:rsidRDefault="00550EB6" w:rsidP="00550EB6">
      <w:pPr>
        <w:rPr>
          <w:rFonts w:eastAsia="Times New Roman"/>
        </w:rPr>
      </w:pPr>
      <w:r w:rsidRPr="000E7D4E">
        <w:rPr>
          <w:rFonts w:eastAsia="Times New Roman"/>
        </w:rPr>
        <w:t xml:space="preserve">The provisions for temporary class drug notices were repealed in 2013 through Section 110 of the Psychoactive Substances Act 2013. The substances that could have been controlled through the temporary class drug notices were unapproved products under the Psychoactive Substances Act 2013. This meant that importation, manufacture and sale of these products were offences subject to penalties.  Further information on the Psychoactive Substances Act 2013 can be found </w:t>
      </w:r>
      <w:r w:rsidR="00884A41">
        <w:rPr>
          <w:rFonts w:eastAsia="Times New Roman"/>
        </w:rPr>
        <w:t xml:space="preserve">in </w:t>
      </w:r>
      <w:r w:rsidR="00B8161C">
        <w:rPr>
          <w:rFonts w:eastAsia="Times New Roman"/>
        </w:rPr>
        <w:t>Appendix 1</w:t>
      </w:r>
      <w:r w:rsidR="00DB0D8B">
        <w:rPr>
          <w:rFonts w:eastAsia="Times New Roman"/>
        </w:rPr>
        <w:t>.</w:t>
      </w:r>
    </w:p>
    <w:p w14:paraId="42639133" w14:textId="77777777" w:rsidR="00550EB6" w:rsidRPr="000E7D4E" w:rsidRDefault="00550EB6" w:rsidP="00550EB6">
      <w:pPr>
        <w:pStyle w:val="Heading3"/>
        <w:rPr>
          <w:rFonts w:eastAsia="Times New Roman"/>
        </w:rPr>
      </w:pPr>
      <w:bookmarkStart w:id="300" w:name="_Toc77166705"/>
      <w:bookmarkStart w:id="301" w:name="_Toc78186499"/>
      <w:r w:rsidRPr="000E7D4E">
        <w:rPr>
          <w:rFonts w:eastAsia="Times New Roman"/>
        </w:rPr>
        <w:t>The temporary class drug orders (TCDOs).</w:t>
      </w:r>
      <w:bookmarkEnd w:id="300"/>
      <w:bookmarkEnd w:id="301"/>
      <w:r w:rsidRPr="000E7D4E">
        <w:rPr>
          <w:rFonts w:eastAsia="Times New Roman"/>
        </w:rPr>
        <w:t xml:space="preserve"> </w:t>
      </w:r>
    </w:p>
    <w:p w14:paraId="00C6357D" w14:textId="77777777" w:rsidR="00550EB6" w:rsidRPr="000E7D4E" w:rsidRDefault="00550EB6" w:rsidP="00550EB6">
      <w:pPr>
        <w:rPr>
          <w:rFonts w:eastAsia="Times New Roman"/>
        </w:rPr>
      </w:pPr>
      <w:r w:rsidRPr="000E7D4E">
        <w:rPr>
          <w:rFonts w:eastAsia="Times New Roman"/>
        </w:rPr>
        <w:t xml:space="preserve">The amendments reinstated the ability for the Minister of Health to temporarily classify a substance under MoDA through a Temporary Class Drug Order (TCDO). This order operates in a very similar way as the previous temporary class drug notices. The Minister can issue a notice in the Gazette that temporarily classifies a substance as a Class C1 drug under MODA. That order is set to expire after one year, during which time the Minister must seek advice (from the Advisory Committee) about the drug and whether it should be classified permanently. If more time is required to adequately review the drug the Minister can renew the order for one more year. </w:t>
      </w:r>
    </w:p>
    <w:p w14:paraId="5677248A" w14:textId="77777777" w:rsidR="0015720A" w:rsidRDefault="0015720A" w:rsidP="00550EB6">
      <w:pPr>
        <w:rPr>
          <w:rFonts w:asciiTheme="majorHAnsi" w:eastAsiaTheme="majorEastAsia" w:hAnsiTheme="majorHAnsi" w:cstheme="majorBidi"/>
          <w:color w:val="1F3763" w:themeColor="accent1" w:themeShade="7F"/>
          <w:sz w:val="24"/>
          <w:szCs w:val="24"/>
        </w:rPr>
      </w:pPr>
    </w:p>
    <w:p w14:paraId="27807A80" w14:textId="77777777" w:rsidR="0015720A" w:rsidRDefault="0015720A" w:rsidP="00550EB6">
      <w:pPr>
        <w:rPr>
          <w:rFonts w:asciiTheme="majorHAnsi" w:eastAsiaTheme="majorEastAsia" w:hAnsiTheme="majorHAnsi" w:cstheme="majorBidi"/>
          <w:color w:val="1F3763" w:themeColor="accent1" w:themeShade="7F"/>
          <w:sz w:val="24"/>
          <w:szCs w:val="24"/>
        </w:rPr>
      </w:pPr>
    </w:p>
    <w:p w14:paraId="1635A2F3" w14:textId="77777777" w:rsidR="0015720A" w:rsidRDefault="0015720A" w:rsidP="00550EB6">
      <w:pPr>
        <w:rPr>
          <w:rFonts w:asciiTheme="majorHAnsi" w:eastAsiaTheme="majorEastAsia" w:hAnsiTheme="majorHAnsi" w:cstheme="majorBidi"/>
          <w:color w:val="1F3763" w:themeColor="accent1" w:themeShade="7F"/>
          <w:sz w:val="24"/>
          <w:szCs w:val="24"/>
        </w:rPr>
      </w:pPr>
    </w:p>
    <w:p w14:paraId="3049F327" w14:textId="77777777" w:rsidR="0015720A" w:rsidRDefault="0015720A" w:rsidP="00550EB6">
      <w:pPr>
        <w:rPr>
          <w:rFonts w:asciiTheme="majorHAnsi" w:eastAsiaTheme="majorEastAsia" w:hAnsiTheme="majorHAnsi" w:cstheme="majorBidi"/>
          <w:color w:val="1F3763" w:themeColor="accent1" w:themeShade="7F"/>
          <w:sz w:val="24"/>
          <w:szCs w:val="24"/>
        </w:rPr>
      </w:pPr>
    </w:p>
    <w:p w14:paraId="052B0561" w14:textId="77777777" w:rsidR="0015720A" w:rsidRDefault="0015720A" w:rsidP="00550EB6">
      <w:pPr>
        <w:rPr>
          <w:rFonts w:asciiTheme="majorHAnsi" w:eastAsiaTheme="majorEastAsia" w:hAnsiTheme="majorHAnsi" w:cstheme="majorBidi"/>
          <w:color w:val="1F3763" w:themeColor="accent1" w:themeShade="7F"/>
          <w:sz w:val="24"/>
          <w:szCs w:val="24"/>
        </w:rPr>
      </w:pPr>
    </w:p>
    <w:p w14:paraId="0AF71C75" w14:textId="77777777" w:rsidR="0015720A" w:rsidRDefault="0015720A" w:rsidP="00550EB6">
      <w:pPr>
        <w:rPr>
          <w:rFonts w:asciiTheme="majorHAnsi" w:eastAsiaTheme="majorEastAsia" w:hAnsiTheme="majorHAnsi" w:cstheme="majorBidi"/>
          <w:color w:val="1F3763" w:themeColor="accent1" w:themeShade="7F"/>
          <w:sz w:val="24"/>
          <w:szCs w:val="24"/>
        </w:rPr>
      </w:pPr>
    </w:p>
    <w:p w14:paraId="63E29FDC" w14:textId="77777777" w:rsidR="0015720A" w:rsidRDefault="0015720A" w:rsidP="00550EB6">
      <w:pPr>
        <w:rPr>
          <w:rFonts w:asciiTheme="majorHAnsi" w:eastAsiaTheme="majorEastAsia" w:hAnsiTheme="majorHAnsi" w:cstheme="majorBidi"/>
          <w:color w:val="1F3763" w:themeColor="accent1" w:themeShade="7F"/>
          <w:sz w:val="24"/>
          <w:szCs w:val="24"/>
        </w:rPr>
      </w:pPr>
    </w:p>
    <w:p w14:paraId="276E5443" w14:textId="77777777" w:rsidR="0015720A" w:rsidRDefault="0015720A" w:rsidP="00550EB6">
      <w:pPr>
        <w:rPr>
          <w:rFonts w:asciiTheme="majorHAnsi" w:eastAsiaTheme="majorEastAsia" w:hAnsiTheme="majorHAnsi" w:cstheme="majorBidi"/>
          <w:color w:val="1F3763" w:themeColor="accent1" w:themeShade="7F"/>
          <w:sz w:val="24"/>
          <w:szCs w:val="24"/>
        </w:rPr>
      </w:pPr>
    </w:p>
    <w:p w14:paraId="36D8E554" w14:textId="4EA348C9" w:rsidR="00550EB6" w:rsidRPr="000E7D4E" w:rsidRDefault="00550EB6" w:rsidP="00550EB6">
      <w:r w:rsidRPr="000E7D4E">
        <w:rPr>
          <w:rFonts w:asciiTheme="majorHAnsi" w:eastAsiaTheme="majorEastAsia" w:hAnsiTheme="majorHAnsi" w:cstheme="majorBidi"/>
          <w:color w:val="1F3763" w:themeColor="accent1" w:themeShade="7F"/>
          <w:sz w:val="24"/>
          <w:szCs w:val="24"/>
        </w:rPr>
        <w:lastRenderedPageBreak/>
        <w:t>Flow chart of Temporary Class Drug Orders - sections 4C-G of MoDA</w:t>
      </w:r>
    </w:p>
    <w:p w14:paraId="2AF26A06" w14:textId="57C6366C" w:rsidR="00332CB3" w:rsidRDefault="00332CB3" w:rsidP="00332CB3">
      <w:pPr>
        <w:rPr>
          <w:noProof/>
        </w:rPr>
      </w:pPr>
      <w:r>
        <w:rPr>
          <w:noProof/>
        </w:rPr>
        <w:drawing>
          <wp:inline distT="0" distB="0" distL="0" distR="0" wp14:anchorId="091A0386" wp14:editId="518AE028">
            <wp:extent cx="6172200" cy="37836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8458" cy="3805857"/>
                    </a:xfrm>
                    <a:prstGeom prst="rect">
                      <a:avLst/>
                    </a:prstGeom>
                    <a:noFill/>
                  </pic:spPr>
                </pic:pic>
              </a:graphicData>
            </a:graphic>
          </wp:inline>
        </w:drawing>
      </w:r>
    </w:p>
    <w:p w14:paraId="4E47E136" w14:textId="30DA270C" w:rsidR="00332CB3" w:rsidRDefault="00550EB6" w:rsidP="00332CB3">
      <w:pPr>
        <w:pStyle w:val="Heading3"/>
      </w:pPr>
      <w:bookmarkStart w:id="302" w:name="_Toc78186500"/>
      <w:r w:rsidRPr="000E7D4E">
        <w:t>Objective of the amendment</w:t>
      </w:r>
      <w:bookmarkEnd w:id="302"/>
    </w:p>
    <w:p w14:paraId="61269989" w14:textId="6FEC10A8" w:rsidR="00550EB6" w:rsidRPr="000E7D4E" w:rsidRDefault="00550EB6" w:rsidP="00550EB6">
      <w:r w:rsidRPr="000E7D4E">
        <w:t xml:space="preserve">To issue a TCDO the Minister must be satisfied that the substance poses, or may pose, a risk of harm to individuals or society. The intent of this provision is to enable immediate action to reduce harm of a substance. The effect of temporarily classifying the substance is to provide a mechanism for the immediate search and seizure of the substance and to increase penalties associated with its sale and importation.   </w:t>
      </w:r>
    </w:p>
    <w:p w14:paraId="20DD0AEB" w14:textId="77777777" w:rsidR="00550EB6" w:rsidRPr="000E7D4E" w:rsidRDefault="00550EB6" w:rsidP="00550EB6">
      <w:r w:rsidRPr="000E7D4E">
        <w:t>New and potentially harmful products are rapidly produced, and the existing permanent classification process under MoDA is complex, takes time and for some substances may be inadequate for a swift response.  Being able to quickly classify emerging products under MoDA</w:t>
      </w:r>
      <w:bookmarkStart w:id="303" w:name="_Hlk76556118"/>
      <w:r w:rsidRPr="000E7D4E">
        <w:t xml:space="preserve"> allows for a fast response to a rapidly adapting synthetic drug market and ensure the continued disruption of the supply of new synthetic drugs</w:t>
      </w:r>
      <w:bookmarkEnd w:id="303"/>
      <w:r w:rsidRPr="000E7D4E">
        <w:t xml:space="preserve">. </w:t>
      </w:r>
    </w:p>
    <w:p w14:paraId="5AF88D4C" w14:textId="77777777" w:rsidR="00550EB6" w:rsidRPr="000E7D4E" w:rsidRDefault="00550EB6" w:rsidP="00550EB6">
      <w:pPr>
        <w:rPr>
          <w:i/>
          <w:iCs/>
        </w:rPr>
      </w:pPr>
      <w:r w:rsidRPr="000E7D4E">
        <w:t>The objective of the amendment is to:</w:t>
      </w:r>
      <w:r w:rsidRPr="000E7D4E">
        <w:rPr>
          <w:i/>
          <w:iCs/>
        </w:rPr>
        <w:t xml:space="preserve"> </w:t>
      </w:r>
    </w:p>
    <w:p w14:paraId="0C5171BB" w14:textId="77777777" w:rsidR="00550EB6" w:rsidRPr="000E7D4E" w:rsidRDefault="00550EB6" w:rsidP="00B603EC">
      <w:pPr>
        <w:pStyle w:val="ListParagraph"/>
        <w:numPr>
          <w:ilvl w:val="0"/>
          <w:numId w:val="18"/>
        </w:numPr>
        <w:spacing w:after="0" w:line="240" w:lineRule="auto"/>
        <w:contextualSpacing w:val="0"/>
      </w:pPr>
      <w:r w:rsidRPr="000E7D4E">
        <w:t xml:space="preserve">provide a mechanism for immediate use of MoDA powers and penalties, for substances that pose or may pose a risk of harm </w:t>
      </w:r>
    </w:p>
    <w:p w14:paraId="21B6650F" w14:textId="51B397AE" w:rsidR="00550EB6" w:rsidRPr="000E7D4E" w:rsidRDefault="00550EB6" w:rsidP="00367964">
      <w:pPr>
        <w:pStyle w:val="ListParagraph"/>
        <w:numPr>
          <w:ilvl w:val="0"/>
          <w:numId w:val="18"/>
        </w:numPr>
        <w:spacing w:after="120" w:line="240" w:lineRule="auto"/>
        <w:contextualSpacing w:val="0"/>
      </w:pPr>
      <w:r w:rsidRPr="000E7D4E">
        <w:t>prevent the supply of such substances.</w:t>
      </w:r>
    </w:p>
    <w:p w14:paraId="6D4FA712" w14:textId="77777777" w:rsidR="00550EB6" w:rsidRPr="000E7D4E" w:rsidRDefault="00550EB6" w:rsidP="00550EB6">
      <w:pPr>
        <w:pStyle w:val="Heading3"/>
      </w:pPr>
      <w:bookmarkStart w:id="304" w:name="_Toc77166706"/>
      <w:bookmarkStart w:id="305" w:name="_Toc78186501"/>
      <w:r w:rsidRPr="000E7D4E">
        <w:t>Mechanism for immediate use of MoDA powers and penalties</w:t>
      </w:r>
      <w:bookmarkEnd w:id="304"/>
      <w:bookmarkEnd w:id="305"/>
      <w:r w:rsidRPr="000E7D4E">
        <w:t xml:space="preserve"> </w:t>
      </w:r>
    </w:p>
    <w:p w14:paraId="23C94757" w14:textId="77777777" w:rsidR="00550EB6" w:rsidRPr="000E7D4E" w:rsidRDefault="00550EB6" w:rsidP="00550EB6">
      <w:pPr>
        <w:rPr>
          <w:rFonts w:eastAsia="Times New Roman"/>
        </w:rPr>
      </w:pPr>
      <w:r w:rsidRPr="000E7D4E">
        <w:rPr>
          <w:rFonts w:eastAsia="Times New Roman"/>
        </w:rPr>
        <w:t>MoDA is generally silent on any requirements for TCDOs with the only guidance provided being that:</w:t>
      </w:r>
    </w:p>
    <w:p w14:paraId="7BC29A5C" w14:textId="77777777" w:rsidR="00550EB6" w:rsidRPr="000E7D4E" w:rsidRDefault="00550EB6" w:rsidP="00550EB6">
      <w:pPr>
        <w:rPr>
          <w:i/>
          <w:iCs/>
        </w:rPr>
      </w:pPr>
      <w:r w:rsidRPr="000E7D4E">
        <w:rPr>
          <w:i/>
          <w:iCs/>
        </w:rPr>
        <w:t>“The Minister must not make an order unless satisfied that the substance, preparation, mixture, or article that is to be specified in the order –</w:t>
      </w:r>
    </w:p>
    <w:p w14:paraId="73A8BFBE" w14:textId="77777777" w:rsidR="00550EB6" w:rsidRPr="000E7D4E" w:rsidRDefault="00550EB6" w:rsidP="00B603EC">
      <w:pPr>
        <w:pStyle w:val="ListParagraph"/>
        <w:numPr>
          <w:ilvl w:val="0"/>
          <w:numId w:val="22"/>
        </w:numPr>
        <w:spacing w:after="0" w:line="240" w:lineRule="auto"/>
        <w:rPr>
          <w:i/>
          <w:iCs/>
        </w:rPr>
      </w:pPr>
      <w:r w:rsidRPr="000E7D4E">
        <w:rPr>
          <w:i/>
          <w:iCs/>
        </w:rPr>
        <w:t>poses, or may pose, a risk of harm to individuals or to society</w:t>
      </w:r>
    </w:p>
    <w:p w14:paraId="2BD0D3D6" w14:textId="77777777" w:rsidR="00550EB6" w:rsidRPr="000E7D4E" w:rsidRDefault="00550EB6" w:rsidP="00432CDA">
      <w:pPr>
        <w:pStyle w:val="ListParagraph"/>
        <w:numPr>
          <w:ilvl w:val="0"/>
          <w:numId w:val="22"/>
        </w:numPr>
        <w:spacing w:after="120" w:line="240" w:lineRule="auto"/>
        <w:rPr>
          <w:i/>
          <w:iCs/>
        </w:rPr>
      </w:pPr>
      <w:r w:rsidRPr="000E7D4E">
        <w:rPr>
          <w:i/>
          <w:iCs/>
        </w:rPr>
        <w:lastRenderedPageBreak/>
        <w:t>has not been classified under this Act, except as a controlled drug analogue”</w:t>
      </w:r>
      <w:r w:rsidRPr="000E7D4E">
        <w:rPr>
          <w:rStyle w:val="FootnoteReference"/>
          <w:i/>
          <w:iCs/>
        </w:rPr>
        <w:footnoteReference w:id="11"/>
      </w:r>
    </w:p>
    <w:p w14:paraId="318147A5" w14:textId="69336C6F" w:rsidR="0015720A" w:rsidRDefault="00B87771" w:rsidP="00B87771">
      <w:pPr>
        <w:rPr>
          <w:rFonts w:eastAsia="Times New Roman"/>
        </w:rPr>
      </w:pPr>
      <w:r w:rsidRPr="000E7D4E">
        <w:rPr>
          <w:rFonts w:eastAsia="Times New Roman"/>
        </w:rPr>
        <w:t>There is a process in place</w:t>
      </w:r>
      <w:r>
        <w:rPr>
          <w:rFonts w:eastAsia="Times New Roman"/>
        </w:rPr>
        <w:t xml:space="preserve"> for receiving applications for and making TCDOs</w:t>
      </w:r>
      <w:r w:rsidRPr="000E7D4E">
        <w:rPr>
          <w:rFonts w:eastAsia="Times New Roman"/>
        </w:rPr>
        <w:t>, but it is untested</w:t>
      </w:r>
      <w:r>
        <w:rPr>
          <w:rFonts w:eastAsia="Times New Roman"/>
        </w:rPr>
        <w:t>.</w:t>
      </w:r>
      <w:r w:rsidR="002A2C84">
        <w:rPr>
          <w:rFonts w:eastAsia="Times New Roman"/>
        </w:rPr>
        <w:t xml:space="preserve"> </w:t>
      </w:r>
      <w:r w:rsidR="0002290F">
        <w:rPr>
          <w:rFonts w:eastAsia="Times New Roman"/>
        </w:rPr>
        <w:t xml:space="preserve"> The review team received feedback from stakeholders that </w:t>
      </w:r>
      <w:r w:rsidR="00176088">
        <w:rPr>
          <w:rFonts w:eastAsia="Times New Roman"/>
        </w:rPr>
        <w:t xml:space="preserve">the process was unclear, they had difficulty knowing who to apply to, how to go about it and what information to include. The </w:t>
      </w:r>
      <w:r w:rsidRPr="000E7D4E">
        <w:rPr>
          <w:rFonts w:eastAsia="Times New Roman"/>
        </w:rPr>
        <w:t>review team recommends that the existing application process be refined, and clear</w:t>
      </w:r>
      <w:r>
        <w:rPr>
          <w:rFonts w:eastAsia="Times New Roman"/>
        </w:rPr>
        <w:t>ly</w:t>
      </w:r>
      <w:r w:rsidRPr="000E7D4E">
        <w:rPr>
          <w:rFonts w:eastAsia="Times New Roman"/>
        </w:rPr>
        <w:t xml:space="preserve"> communicated to relevant stakeholders.  </w:t>
      </w:r>
      <w:r w:rsidR="0015720A">
        <w:rPr>
          <w:rFonts w:eastAsia="Times New Roman"/>
        </w:rPr>
        <w:t>We did not find, however, that clarity of the process prevented any applications being made to date.</w:t>
      </w:r>
    </w:p>
    <w:p w14:paraId="5648771A" w14:textId="430D35AE" w:rsidR="00B87771" w:rsidRPr="000E7D4E" w:rsidRDefault="00B87771" w:rsidP="00B87771">
      <w:pPr>
        <w:rPr>
          <w:rFonts w:eastAsia="Times New Roman"/>
        </w:rPr>
      </w:pPr>
      <w:r w:rsidRPr="000E7D4E">
        <w:rPr>
          <w:rFonts w:eastAsia="Times New Roman"/>
        </w:rPr>
        <w:t xml:space="preserve">On 29 June 2021 the Ministry received its first request for a TCDO from the National Drug Intelligence Bureau. This provides an opportunity to test the process. </w:t>
      </w:r>
    </w:p>
    <w:p w14:paraId="7956F8C9" w14:textId="2BA0ABB2" w:rsidR="0002290F" w:rsidRPr="0002290F" w:rsidRDefault="00B87771" w:rsidP="0002290F">
      <w:pPr>
        <w:spacing w:line="252" w:lineRule="auto"/>
        <w:rPr>
          <w:lang w:val="en-GB"/>
        </w:rPr>
      </w:pPr>
      <w:r w:rsidRPr="0002290F">
        <w:rPr>
          <w:rFonts w:eastAsia="Times New Roman"/>
        </w:rPr>
        <w:t xml:space="preserve">The process will continue to evolve and be defined as more substances go through it. </w:t>
      </w:r>
      <w:r w:rsidR="0002290F" w:rsidRPr="0002290F">
        <w:rPr>
          <w:lang w:val="en-GB"/>
        </w:rPr>
        <w:t xml:space="preserve">The agreed evaluation framework for the final review </w:t>
      </w:r>
      <w:r w:rsidR="0002290F">
        <w:rPr>
          <w:lang w:val="en-GB"/>
        </w:rPr>
        <w:t xml:space="preserve">should include </w:t>
      </w:r>
      <w:r w:rsidR="0002290F" w:rsidRPr="0002290F">
        <w:rPr>
          <w:lang w:val="en-GB"/>
        </w:rPr>
        <w:t>information from the TCDO process including the number of TCDOs, the kinds of substances being classified under a TCDO</w:t>
      </w:r>
      <w:r w:rsidR="0002290F">
        <w:rPr>
          <w:lang w:val="en-GB"/>
        </w:rPr>
        <w:t xml:space="preserve"> a</w:t>
      </w:r>
      <w:r w:rsidR="0002290F" w:rsidRPr="0002290F">
        <w:rPr>
          <w:lang w:val="en-GB"/>
        </w:rPr>
        <w:t>nd the proportion of TCDOs ultimately classified permanently in MoDA.</w:t>
      </w:r>
      <w:r w:rsidR="0002290F">
        <w:rPr>
          <w:lang w:val="en-GB"/>
        </w:rPr>
        <w:t xml:space="preserve">  </w:t>
      </w:r>
      <w:r w:rsidR="0002290F" w:rsidRPr="0002290F">
        <w:rPr>
          <w:lang w:val="en-GB"/>
        </w:rPr>
        <w:t>This will tell us how often the</w:t>
      </w:r>
      <w:r w:rsidR="0002290F">
        <w:rPr>
          <w:lang w:val="en-GB"/>
        </w:rPr>
        <w:t xml:space="preserve"> process is </w:t>
      </w:r>
      <w:r w:rsidR="0002290F" w:rsidRPr="0002290F">
        <w:rPr>
          <w:lang w:val="en-GB"/>
        </w:rPr>
        <w:t xml:space="preserve">being used and how many </w:t>
      </w:r>
      <w:r w:rsidR="0002290F">
        <w:rPr>
          <w:lang w:val="en-GB"/>
        </w:rPr>
        <w:t xml:space="preserve">applications </w:t>
      </w:r>
      <w:r w:rsidR="0002290F" w:rsidRPr="0002290F">
        <w:rPr>
          <w:lang w:val="en-GB"/>
        </w:rPr>
        <w:t>reach the threshold</w:t>
      </w:r>
      <w:r w:rsidR="0002290F">
        <w:rPr>
          <w:lang w:val="en-GB"/>
        </w:rPr>
        <w:t xml:space="preserve"> of harm</w:t>
      </w:r>
      <w:r w:rsidR="0002290F" w:rsidRPr="0002290F">
        <w:rPr>
          <w:lang w:val="en-GB"/>
        </w:rPr>
        <w:t>.</w:t>
      </w:r>
    </w:p>
    <w:p w14:paraId="7ED4469A" w14:textId="4AF7EE88" w:rsidR="00B87771" w:rsidRPr="0002290F" w:rsidRDefault="00B87771" w:rsidP="00550EB6">
      <w:pPr>
        <w:rPr>
          <w:rFonts w:eastAsiaTheme="minorHAnsi"/>
        </w:rPr>
      </w:pPr>
      <w:r>
        <w:rPr>
          <w:rFonts w:eastAsia="Times New Roman"/>
        </w:rPr>
        <w:t>Demand for</w:t>
      </w:r>
      <w:r w:rsidRPr="000E7D4E">
        <w:rPr>
          <w:rFonts w:eastAsia="Times New Roman"/>
        </w:rPr>
        <w:t xml:space="preserve"> TCDO</w:t>
      </w:r>
      <w:r>
        <w:rPr>
          <w:rFonts w:eastAsia="Times New Roman"/>
        </w:rPr>
        <w:t>s to be made has been low.</w:t>
      </w:r>
      <w:r w:rsidRPr="000E7D4E">
        <w:rPr>
          <w:rFonts w:eastAsia="Times New Roman"/>
        </w:rPr>
        <w:t xml:space="preserve"> </w:t>
      </w:r>
      <w:r>
        <w:rPr>
          <w:rFonts w:eastAsia="Times New Roman"/>
        </w:rPr>
        <w:t>T</w:t>
      </w:r>
      <w:r w:rsidRPr="000E7D4E">
        <w:t>his is in part due to the analogues of AMB-FUBINACA and 5F-ADB being c</w:t>
      </w:r>
      <w:r>
        <w:t>aptured as class C controlled drugs</w:t>
      </w:r>
      <w:r w:rsidRPr="000E7D4E">
        <w:t xml:space="preserve"> as result of the amendment.  It also reflects the drug market in New Zealand which has not recently seen a proliferation of new, harmful substances</w:t>
      </w:r>
      <w:r>
        <w:t xml:space="preserve"> aside from these analogues</w:t>
      </w:r>
      <w:r w:rsidRPr="000E7D4E">
        <w:t xml:space="preserve">.  </w:t>
      </w:r>
    </w:p>
    <w:p w14:paraId="379BDB85" w14:textId="2D76F122" w:rsidR="00550EB6" w:rsidRPr="000E7D4E" w:rsidRDefault="0002290F" w:rsidP="00550EB6">
      <w:r w:rsidRPr="000E7D4E">
        <w:rPr>
          <w:b/>
          <w:bCs/>
          <w:noProof/>
        </w:rPr>
        <mc:AlternateContent>
          <mc:Choice Requires="wps">
            <w:drawing>
              <wp:anchor distT="45720" distB="45720" distL="114300" distR="114300" simplePos="0" relativeHeight="251658247" behindDoc="0" locked="0" layoutInCell="1" allowOverlap="1" wp14:anchorId="0A81F5AD" wp14:editId="470D7779">
                <wp:simplePos x="0" y="0"/>
                <wp:positionH relativeFrom="margin">
                  <wp:align>left</wp:align>
                </wp:positionH>
                <wp:positionV relativeFrom="paragraph">
                  <wp:posOffset>862330</wp:posOffset>
                </wp:positionV>
                <wp:extent cx="5400675" cy="13906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390650"/>
                        </a:xfrm>
                        <a:prstGeom prst="rect">
                          <a:avLst/>
                        </a:prstGeom>
                        <a:solidFill>
                          <a:srgbClr val="FFFFFF"/>
                        </a:solidFill>
                        <a:ln w="9525">
                          <a:solidFill>
                            <a:srgbClr val="000000"/>
                          </a:solidFill>
                          <a:miter lim="800000"/>
                          <a:headEnd/>
                          <a:tailEnd/>
                        </a:ln>
                      </wps:spPr>
                      <wps:txbx>
                        <w:txbxContent>
                          <w:p w14:paraId="56CC8D91" w14:textId="77777777" w:rsidR="00F14026" w:rsidRPr="000E7D4E" w:rsidRDefault="00F14026" w:rsidP="00550EB6">
                            <w:pPr>
                              <w:rPr>
                                <w:b/>
                                <w:bCs/>
                              </w:rPr>
                            </w:pPr>
                            <w:r w:rsidRPr="000E7D4E">
                              <w:rPr>
                                <w:b/>
                                <w:bCs/>
                              </w:rPr>
                              <w:t xml:space="preserve">Key findings: </w:t>
                            </w:r>
                          </w:p>
                          <w:p w14:paraId="1B9F10AE" w14:textId="56BA89D6" w:rsidR="00F14026" w:rsidRPr="000E7D4E" w:rsidRDefault="00F14026" w:rsidP="00B603EC">
                            <w:pPr>
                              <w:pStyle w:val="ListParagraph"/>
                              <w:numPr>
                                <w:ilvl w:val="0"/>
                                <w:numId w:val="23"/>
                              </w:numPr>
                              <w:spacing w:after="0" w:line="240" w:lineRule="auto"/>
                            </w:pPr>
                            <w:r w:rsidRPr="000E7D4E">
                              <w:t xml:space="preserve">The Ministry received the first application for a temporary class drug order on 29 June 2021 which is currently being processed. </w:t>
                            </w:r>
                          </w:p>
                          <w:p w14:paraId="404FACDE" w14:textId="77777777" w:rsidR="00F14026" w:rsidRPr="000E7D4E" w:rsidRDefault="00F14026" w:rsidP="00550EB6">
                            <w:pPr>
                              <w:pStyle w:val="ListParagraph"/>
                            </w:pPr>
                          </w:p>
                          <w:p w14:paraId="339FB5FB" w14:textId="77777777" w:rsidR="00F14026" w:rsidRPr="000E7D4E" w:rsidRDefault="00F14026" w:rsidP="0002290F">
                            <w:pPr>
                              <w:pStyle w:val="ListParagraph"/>
                              <w:numPr>
                                <w:ilvl w:val="0"/>
                                <w:numId w:val="23"/>
                              </w:numPr>
                              <w:spacing w:after="0" w:line="240" w:lineRule="auto"/>
                            </w:pPr>
                            <w:r w:rsidRPr="000E7D4E">
                              <w:t>There is an opportunity to</w:t>
                            </w:r>
                            <w:r w:rsidRPr="000E7D4E">
                              <w:rPr>
                                <w:rFonts w:eastAsia="Times New Roman"/>
                              </w:rPr>
                              <w:t xml:space="preserve"> refine the existing TCDO application process and</w:t>
                            </w:r>
                            <w:r>
                              <w:rPr>
                                <w:rFonts w:eastAsia="Times New Roman"/>
                              </w:rPr>
                              <w:t xml:space="preserve"> more clearly communicate</w:t>
                            </w:r>
                            <w:r w:rsidRPr="000E7D4E">
                              <w:rPr>
                                <w:rFonts w:eastAsia="Times New Roman"/>
                              </w:rPr>
                              <w:t xml:space="preserve"> the process to relevant stakeholders.</w:t>
                            </w:r>
                            <w:r w:rsidRPr="000E7D4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1F5AD" id="_x0000_s1033" type="#_x0000_t202" style="position:absolute;margin-left:0;margin-top:67.9pt;width:425.25pt;height:109.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B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">
                <v:textbox>
                  <w:txbxContent>
                    <w:p w14:paraId="56CC8D91" w14:textId="77777777" w:rsidR="00F14026" w:rsidRPr="000E7D4E" w:rsidRDefault="00F14026" w:rsidP="00550EB6">
                      <w:pPr>
                        <w:rPr>
                          <w:b/>
                          <w:bCs/>
                        </w:rPr>
                      </w:pPr>
                      <w:r w:rsidRPr="000E7D4E">
                        <w:rPr>
                          <w:b/>
                          <w:bCs/>
                        </w:rPr>
                        <w:t xml:space="preserve">Key findings: </w:t>
                      </w:r>
                    </w:p>
                    <w:p w14:paraId="1B9F10AE" w14:textId="56BA89D6" w:rsidR="00F14026" w:rsidRPr="000E7D4E" w:rsidRDefault="00F14026" w:rsidP="00B603EC">
                      <w:pPr>
                        <w:pStyle w:val="ListParagraph"/>
                        <w:numPr>
                          <w:ilvl w:val="0"/>
                          <w:numId w:val="23"/>
                        </w:numPr>
                        <w:spacing w:after="0" w:line="240" w:lineRule="auto"/>
                      </w:pPr>
                      <w:r w:rsidRPr="000E7D4E">
                        <w:t xml:space="preserve">The Ministry received the first application for a temporary class drug order on 29 June 2021 which is currently being processed. </w:t>
                      </w:r>
                    </w:p>
                    <w:p w14:paraId="404FACDE" w14:textId="77777777" w:rsidR="00F14026" w:rsidRPr="000E7D4E" w:rsidRDefault="00F14026" w:rsidP="00550EB6">
                      <w:pPr>
                        <w:pStyle w:val="ListParagraph"/>
                      </w:pPr>
                    </w:p>
                    <w:p w14:paraId="339FB5FB" w14:textId="77777777" w:rsidR="00F14026" w:rsidRPr="000E7D4E" w:rsidRDefault="00F14026" w:rsidP="0002290F">
                      <w:pPr>
                        <w:pStyle w:val="ListParagraph"/>
                        <w:numPr>
                          <w:ilvl w:val="0"/>
                          <w:numId w:val="23"/>
                        </w:numPr>
                        <w:spacing w:after="0" w:line="240" w:lineRule="auto"/>
                      </w:pPr>
                      <w:r w:rsidRPr="000E7D4E">
                        <w:t>There is an opportunity to</w:t>
                      </w:r>
                      <w:r w:rsidRPr="000E7D4E">
                        <w:rPr>
                          <w:rFonts w:eastAsia="Times New Roman"/>
                        </w:rPr>
                        <w:t xml:space="preserve"> refine the existing TCDO application process and</w:t>
                      </w:r>
                      <w:r>
                        <w:rPr>
                          <w:rFonts w:eastAsia="Times New Roman"/>
                        </w:rPr>
                        <w:t xml:space="preserve"> more clearly communicate</w:t>
                      </w:r>
                      <w:r w:rsidRPr="000E7D4E">
                        <w:rPr>
                          <w:rFonts w:eastAsia="Times New Roman"/>
                        </w:rPr>
                        <w:t xml:space="preserve"> the process to relevant stakeholders.</w:t>
                      </w:r>
                      <w:r w:rsidRPr="000E7D4E">
                        <w:t xml:space="preserve"> </w:t>
                      </w:r>
                    </w:p>
                  </w:txbxContent>
                </v:textbox>
                <w10:wrap type="square" anchorx="margin"/>
              </v:shape>
            </w:pict>
          </mc:Fallback>
        </mc:AlternateContent>
      </w:r>
      <w:r w:rsidR="00550EB6" w:rsidRPr="000E7D4E">
        <w:t xml:space="preserve">DIANZ (set up in June 2020 as part of the Amendment funding package) and High Alert notifications (refer glossary) will greatly assist in identifying substances that would be appropriate for a TCDO.   This process scans across the country and provides early and quick information on harmful substances in regions.  </w:t>
      </w:r>
    </w:p>
    <w:p w14:paraId="701219EA" w14:textId="3FB3DCC7" w:rsidR="002E4592" w:rsidRDefault="002E4592">
      <w:r>
        <w:br w:type="page"/>
      </w:r>
    </w:p>
    <w:p w14:paraId="4BB2D2DD" w14:textId="0234D4F4" w:rsidR="00D87BDE" w:rsidRPr="00D87BDE" w:rsidRDefault="00D87BDE" w:rsidP="00D87BDE">
      <w:pPr>
        <w:pStyle w:val="Heading2"/>
        <w:rPr>
          <w:lang w:eastAsia="zh-TW"/>
        </w:rPr>
      </w:pPr>
      <w:bookmarkStart w:id="306" w:name="_Toc78186502"/>
      <w:r w:rsidRPr="001247D8">
        <w:rPr>
          <w:lang w:eastAsia="zh-TW"/>
        </w:rPr>
        <w:lastRenderedPageBreak/>
        <w:t>PREPARATIONS FOR THE 2024 REVIEW OF THE IMPACT OF THE 2019 AMENDMENTS TO MODA</w:t>
      </w:r>
      <w:bookmarkEnd w:id="306"/>
    </w:p>
    <w:p w14:paraId="7CDC7231" w14:textId="1A37F13E" w:rsidR="00DE7721" w:rsidRDefault="001201F1" w:rsidP="00A16C71">
      <w:pPr>
        <w:spacing w:line="256" w:lineRule="auto"/>
      </w:pPr>
      <w:r>
        <w:t xml:space="preserve">The full review is an opportunity to address </w:t>
      </w:r>
      <w:r w:rsidR="00D87BDE">
        <w:t>any data and information</w:t>
      </w:r>
      <w:r>
        <w:t xml:space="preserve"> gaps</w:t>
      </w:r>
      <w:r w:rsidR="0046069D">
        <w:t xml:space="preserve"> </w:t>
      </w:r>
      <w:r w:rsidR="00612C24">
        <w:t xml:space="preserve">and provide a fuller picture of </w:t>
      </w:r>
      <w:r w:rsidR="00C918F6">
        <w:t>the impact of the 2019 amendments</w:t>
      </w:r>
      <w:r w:rsidR="0046069D">
        <w:t xml:space="preserve">.  </w:t>
      </w:r>
      <w:bookmarkStart w:id="307" w:name="_Toc74572691"/>
    </w:p>
    <w:p w14:paraId="13321234" w14:textId="77777777" w:rsidR="00D87BDE" w:rsidRPr="00D87BDE" w:rsidRDefault="00D87BDE" w:rsidP="00D87BDE">
      <w:pPr>
        <w:spacing w:line="256" w:lineRule="auto"/>
      </w:pPr>
      <w:r w:rsidRPr="00D87BDE">
        <w:t xml:space="preserve">An evaluation framework will be developed by the end of 2021 to guide the final review in 2024. In order to fully understand the implementation and impact of the 2019 amendments agencies will work together to determine the key datasets for the 2024 final review and investigate the following factors: </w:t>
      </w:r>
    </w:p>
    <w:p w14:paraId="531B12AA" w14:textId="77777777" w:rsidR="00D87BDE" w:rsidRDefault="00D87BDE" w:rsidP="00D87BDE">
      <w:pPr>
        <w:pStyle w:val="ListParagraph"/>
        <w:numPr>
          <w:ilvl w:val="0"/>
          <w:numId w:val="31"/>
        </w:numPr>
        <w:spacing w:line="256" w:lineRule="auto"/>
      </w:pPr>
      <w:r w:rsidRPr="00D87BDE">
        <w:t>engage with front-line Police to explore their understanding, beliefs, confidence and decision-making processes in using health-based approaches to reduce drug-related harm</w:t>
      </w:r>
    </w:p>
    <w:p w14:paraId="006DBC6C" w14:textId="77777777" w:rsidR="00D87BDE" w:rsidRDefault="00D87BDE" w:rsidP="00D87BDE">
      <w:pPr>
        <w:pStyle w:val="ListParagraph"/>
        <w:numPr>
          <w:ilvl w:val="0"/>
          <w:numId w:val="31"/>
        </w:numPr>
        <w:spacing w:line="256" w:lineRule="auto"/>
      </w:pPr>
      <w:r w:rsidRPr="00D87BDE">
        <w:t>interview people who use drugs on their experiences of the justice system’s use of health-based approaches, and what’s helped them to reduce drug harm</w:t>
      </w:r>
    </w:p>
    <w:p w14:paraId="10739199" w14:textId="4E45E6D3" w:rsidR="00D87BDE" w:rsidRDefault="00D87BDE" w:rsidP="00D87BDE">
      <w:pPr>
        <w:pStyle w:val="ListParagraph"/>
        <w:numPr>
          <w:ilvl w:val="0"/>
          <w:numId w:val="31"/>
        </w:numPr>
        <w:spacing w:line="256" w:lineRule="auto"/>
      </w:pPr>
      <w:r w:rsidRPr="00D87BDE">
        <w:t xml:space="preserve">assess performance against the principles of Te Tiriti o Waitangi </w:t>
      </w:r>
      <w:r>
        <w:t>including the perspectives of iwi and the community</w:t>
      </w:r>
    </w:p>
    <w:p w14:paraId="553E5971" w14:textId="77777777" w:rsidR="00D87BDE" w:rsidRPr="00D87BDE" w:rsidRDefault="00D87BDE" w:rsidP="00AC2AFB">
      <w:pPr>
        <w:pStyle w:val="ListParagraph"/>
        <w:numPr>
          <w:ilvl w:val="0"/>
          <w:numId w:val="31"/>
        </w:numPr>
        <w:spacing w:after="0" w:line="256" w:lineRule="auto"/>
        <w:textAlignment w:val="baseline"/>
        <w:rPr>
          <w:rStyle w:val="normaltextrun1"/>
          <w:rFonts w:ascii="Calibri" w:hAnsi="Calibri" w:cs="Calibri"/>
          <w:lang w:eastAsia="en-NZ"/>
        </w:rPr>
      </w:pPr>
      <w:r w:rsidRPr="00D87BDE">
        <w:rPr>
          <w:rStyle w:val="normaltextrun1"/>
          <w:rFonts w:ascii="Calibri" w:hAnsi="Calibri" w:cs="Calibri"/>
          <w:lang w:eastAsia="en-NZ"/>
        </w:rPr>
        <w:t>data on the AOD sector, the level of referrals pre and post-amendment</w:t>
      </w:r>
    </w:p>
    <w:p w14:paraId="0C5F04CC" w14:textId="59038395" w:rsidR="00D87BDE" w:rsidRDefault="00D87BDE" w:rsidP="00D87BDE">
      <w:pPr>
        <w:pStyle w:val="ListParagraph"/>
        <w:numPr>
          <w:ilvl w:val="0"/>
          <w:numId w:val="31"/>
        </w:numPr>
        <w:spacing w:after="120" w:line="256" w:lineRule="auto"/>
        <w:textAlignment w:val="baseline"/>
        <w:rPr>
          <w:rStyle w:val="normaltextrun1"/>
          <w:rFonts w:ascii="Calibri" w:hAnsi="Calibri" w:cs="Calibri"/>
          <w:lang w:eastAsia="en-NZ"/>
        </w:rPr>
      </w:pPr>
      <w:r w:rsidRPr="00D87BDE">
        <w:rPr>
          <w:rStyle w:val="normaltextrun1"/>
          <w:rFonts w:ascii="Calibri" w:hAnsi="Calibri" w:cs="Calibri"/>
          <w:lang w:eastAsia="en-NZ"/>
        </w:rPr>
        <w:t>unmet need for Māori including how the sector is taking a kaupapa Māori approach</w:t>
      </w:r>
      <w:r>
        <w:rPr>
          <w:rStyle w:val="normaltextrun1"/>
          <w:rFonts w:ascii="Calibri" w:hAnsi="Calibri" w:cs="Calibri"/>
          <w:lang w:eastAsia="en-NZ"/>
        </w:rPr>
        <w:t>.</w:t>
      </w:r>
    </w:p>
    <w:p w14:paraId="76DBCDCE" w14:textId="77777777" w:rsidR="00D87BDE" w:rsidRPr="00D87BDE" w:rsidRDefault="00D87BDE" w:rsidP="00D87BDE">
      <w:pPr>
        <w:pStyle w:val="ListParagraph"/>
        <w:spacing w:after="0" w:line="256" w:lineRule="auto"/>
        <w:textAlignment w:val="baseline"/>
        <w:rPr>
          <w:rFonts w:ascii="Calibri" w:hAnsi="Calibri" w:cs="Calibri"/>
          <w:lang w:eastAsia="en-NZ"/>
        </w:rPr>
      </w:pPr>
    </w:p>
    <w:p w14:paraId="6F2E96E9" w14:textId="2CD1EC32" w:rsidR="00D87BDE" w:rsidRDefault="00D87BDE" w:rsidP="00D87BDE">
      <w:pPr>
        <w:spacing w:line="256" w:lineRule="auto"/>
      </w:pPr>
      <w:r>
        <w:t xml:space="preserve">Sufficient time will be required for survey and interview design, ethics approval, and measures to both learn from people using drugs and avoid causing any harm.  </w:t>
      </w:r>
    </w:p>
    <w:p w14:paraId="22F6459F" w14:textId="5E8A7963" w:rsidR="000A69E6" w:rsidRDefault="000A69E6">
      <w:r>
        <w:br w:type="page"/>
      </w:r>
    </w:p>
    <w:p w14:paraId="14C0374F" w14:textId="400FBE2E" w:rsidR="00E53A1D" w:rsidRDefault="00E53A1D" w:rsidP="00E53A1D">
      <w:pPr>
        <w:pStyle w:val="Heading2"/>
      </w:pPr>
      <w:bookmarkStart w:id="308" w:name="_Toc75781208"/>
      <w:bookmarkStart w:id="309" w:name="_Toc75952921"/>
      <w:bookmarkStart w:id="310" w:name="_Toc78186503"/>
      <w:r w:rsidRPr="00E53A1D">
        <w:lastRenderedPageBreak/>
        <w:t>SUMMARY OF FINDINGS</w:t>
      </w:r>
      <w:bookmarkEnd w:id="307"/>
      <w:bookmarkEnd w:id="308"/>
      <w:bookmarkEnd w:id="309"/>
      <w:bookmarkEnd w:id="310"/>
      <w:r w:rsidRPr="00E53A1D">
        <w:t xml:space="preserve"> </w:t>
      </w:r>
    </w:p>
    <w:p w14:paraId="36FFB364" w14:textId="77777777" w:rsidR="008303D8" w:rsidRPr="008303D8" w:rsidRDefault="008303D8" w:rsidP="008303D8"/>
    <w:tbl>
      <w:tblPr>
        <w:tblStyle w:val="TableGrid"/>
        <w:tblW w:w="0" w:type="auto"/>
        <w:tblLook w:val="04A0" w:firstRow="1" w:lastRow="0" w:firstColumn="1" w:lastColumn="0" w:noHBand="0" w:noVBand="1"/>
      </w:tblPr>
      <w:tblGrid>
        <w:gridCol w:w="9016"/>
      </w:tblGrid>
      <w:tr w:rsidR="008303D8" w:rsidRPr="00605769" w14:paraId="3DB26CC2" w14:textId="77777777" w:rsidTr="00866D1F">
        <w:tc>
          <w:tcPr>
            <w:tcW w:w="9016" w:type="dxa"/>
            <w:shd w:val="clear" w:color="auto" w:fill="D9D9D9" w:themeFill="background1" w:themeFillShade="D9"/>
          </w:tcPr>
          <w:p w14:paraId="27D8A804" w14:textId="77777777" w:rsidR="008303D8" w:rsidRPr="00A23701" w:rsidRDefault="008303D8" w:rsidP="00866D1F">
            <w:pPr>
              <w:contextualSpacing/>
            </w:pPr>
            <w:r w:rsidRPr="00A23701">
              <w:t>Implementation of the amendments</w:t>
            </w:r>
          </w:p>
        </w:tc>
      </w:tr>
      <w:tr w:rsidR="008303D8" w:rsidRPr="00605769" w14:paraId="6E967AF8" w14:textId="77777777" w:rsidTr="00866D1F">
        <w:tc>
          <w:tcPr>
            <w:tcW w:w="9016" w:type="dxa"/>
            <w:shd w:val="clear" w:color="auto" w:fill="auto"/>
          </w:tcPr>
          <w:p w14:paraId="01031703" w14:textId="77777777" w:rsidR="008303D8" w:rsidRPr="00A23701" w:rsidRDefault="008303D8" w:rsidP="00866D1F">
            <w:pPr>
              <w:pStyle w:val="CommentText"/>
              <w:textAlignment w:val="baseline"/>
            </w:pPr>
            <w:r w:rsidRPr="0023637B">
              <w:rPr>
                <w:rStyle w:val="normaltextrun1"/>
                <w:rFonts w:ascii="Calibri" w:eastAsia="Times New Roman" w:hAnsi="Calibri" w:cs="Calibri"/>
                <w:sz w:val="22"/>
                <w:szCs w:val="22"/>
                <w:lang w:eastAsia="en-NZ"/>
              </w:rPr>
              <w:t>A new nationally consistent system for health-based referrals was established, and Police advised its staff of the amendments and implications for operations</w:t>
            </w:r>
            <w:r>
              <w:rPr>
                <w:rStyle w:val="normaltextrun1"/>
                <w:rFonts w:ascii="Calibri" w:eastAsia="Times New Roman" w:hAnsi="Calibri" w:cs="Calibri"/>
                <w:sz w:val="22"/>
                <w:szCs w:val="22"/>
                <w:lang w:eastAsia="en-NZ"/>
              </w:rPr>
              <w:t xml:space="preserve">.  </w:t>
            </w:r>
            <w:r w:rsidRPr="0023637B">
              <w:rPr>
                <w:rStyle w:val="normaltextrun1"/>
                <w:rFonts w:ascii="Calibri" w:eastAsia="Times New Roman" w:hAnsi="Calibri" w:cs="Calibri"/>
                <w:sz w:val="22"/>
                <w:szCs w:val="22"/>
                <w:lang w:eastAsia="en-NZ"/>
              </w:rPr>
              <w:t>Changes were made to Policing instructions to allow a health-based approach for methamphetamine offences.</w:t>
            </w:r>
          </w:p>
        </w:tc>
      </w:tr>
      <w:tr w:rsidR="008303D8" w:rsidRPr="00605769" w14:paraId="5FA2F9E1" w14:textId="77777777" w:rsidTr="00866D1F">
        <w:tc>
          <w:tcPr>
            <w:tcW w:w="9016" w:type="dxa"/>
            <w:shd w:val="clear" w:color="auto" w:fill="D9D9D9" w:themeFill="background1" w:themeFillShade="D9"/>
          </w:tcPr>
          <w:p w14:paraId="1DF874BB" w14:textId="77777777" w:rsidR="008303D8" w:rsidRPr="00605769" w:rsidRDefault="008303D8" w:rsidP="00866D1F">
            <w:pPr>
              <w:contextualSpacing/>
            </w:pPr>
            <w:r>
              <w:t>Drug prevalence</w:t>
            </w:r>
          </w:p>
        </w:tc>
      </w:tr>
      <w:tr w:rsidR="008303D8" w:rsidRPr="00605769" w14:paraId="1FE55BA9" w14:textId="77777777" w:rsidTr="00866D1F">
        <w:tc>
          <w:tcPr>
            <w:tcW w:w="9016" w:type="dxa"/>
          </w:tcPr>
          <w:p w14:paraId="0A5925AD" w14:textId="77777777" w:rsidR="008303D8" w:rsidRDefault="008303D8" w:rsidP="00866D1F">
            <w:r>
              <w:t xml:space="preserve">Police and Customs drug seizure data and wastewater testing indicate that: </w:t>
            </w:r>
          </w:p>
          <w:p w14:paraId="190717C5" w14:textId="77777777" w:rsidR="008303D8" w:rsidRPr="009B1C6E" w:rsidRDefault="008303D8" w:rsidP="00B603EC">
            <w:pPr>
              <w:pStyle w:val="CommentText"/>
              <w:numPr>
                <w:ilvl w:val="0"/>
                <w:numId w:val="7"/>
              </w:numPr>
              <w:textAlignment w:val="baseline"/>
              <w:rPr>
                <w:rStyle w:val="normaltextrun1"/>
                <w:rFonts w:ascii="Calibri" w:eastAsia="Times New Roman" w:hAnsi="Calibri" w:cs="Calibri"/>
                <w:sz w:val="22"/>
                <w:szCs w:val="22"/>
                <w:lang w:eastAsia="en-NZ"/>
              </w:rPr>
            </w:pPr>
            <w:r w:rsidRPr="009B1C6E">
              <w:rPr>
                <w:rStyle w:val="normaltextrun1"/>
                <w:rFonts w:ascii="Calibri" w:eastAsia="Times New Roman" w:hAnsi="Calibri" w:cs="Calibri"/>
                <w:sz w:val="22"/>
                <w:szCs w:val="22"/>
                <w:lang w:eastAsia="en-NZ"/>
              </w:rPr>
              <w:t>overall illegal drug supply in New Zealand has remained steady over the last five years</w:t>
            </w:r>
          </w:p>
          <w:p w14:paraId="4027A3B4" w14:textId="77777777" w:rsidR="008303D8" w:rsidRDefault="008303D8" w:rsidP="00B603EC">
            <w:pPr>
              <w:pStyle w:val="CommentText"/>
              <w:numPr>
                <w:ilvl w:val="0"/>
                <w:numId w:val="7"/>
              </w:numPr>
              <w:textAlignment w:val="baseline"/>
            </w:pPr>
            <w:r>
              <w:rPr>
                <w:rStyle w:val="normaltextrun1"/>
                <w:rFonts w:ascii="Calibri" w:eastAsia="Times New Roman" w:hAnsi="Calibri" w:cs="Calibri"/>
                <w:sz w:val="22"/>
                <w:szCs w:val="22"/>
                <w:lang w:eastAsia="en-NZ"/>
              </w:rPr>
              <w:t>c</w:t>
            </w:r>
            <w:r w:rsidRPr="007A5EEF">
              <w:rPr>
                <w:rStyle w:val="normaltextrun1"/>
                <w:rFonts w:ascii="Calibri" w:eastAsia="Times New Roman" w:hAnsi="Calibri" w:cs="Calibri"/>
                <w:sz w:val="22"/>
                <w:szCs w:val="22"/>
                <w:lang w:eastAsia="en-NZ"/>
              </w:rPr>
              <w:t>annabis, methamphetamine and MDMA are the most prevalent commodities in the New Zealand illegal drug landscape</w:t>
            </w:r>
            <w:r>
              <w:rPr>
                <w:rStyle w:val="normaltextrun1"/>
                <w:rFonts w:ascii="Calibri" w:eastAsia="Times New Roman" w:hAnsi="Calibri" w:cs="Calibri"/>
                <w:sz w:val="22"/>
                <w:szCs w:val="22"/>
                <w:lang w:eastAsia="en-NZ"/>
              </w:rPr>
              <w:t>.</w:t>
            </w:r>
          </w:p>
          <w:p w14:paraId="4BC000A3" w14:textId="77777777" w:rsidR="008303D8" w:rsidRPr="00A23701" w:rsidRDefault="008303D8" w:rsidP="00866D1F">
            <w:pPr>
              <w:contextualSpacing/>
            </w:pPr>
          </w:p>
        </w:tc>
      </w:tr>
      <w:tr w:rsidR="008303D8" w:rsidRPr="00605769" w14:paraId="65646CCC" w14:textId="77777777" w:rsidTr="00866D1F">
        <w:tc>
          <w:tcPr>
            <w:tcW w:w="9016" w:type="dxa"/>
            <w:shd w:val="clear" w:color="auto" w:fill="D9D9D9" w:themeFill="background1" w:themeFillShade="D9"/>
          </w:tcPr>
          <w:p w14:paraId="3CFA3232" w14:textId="77777777" w:rsidR="008303D8" w:rsidRPr="00605769" w:rsidRDefault="008303D8" w:rsidP="00866D1F">
            <w:pPr>
              <w:contextualSpacing/>
            </w:pPr>
            <w:r w:rsidRPr="00605769">
              <w:t>Police prosecutions</w:t>
            </w:r>
          </w:p>
        </w:tc>
      </w:tr>
      <w:tr w:rsidR="008303D8" w:rsidRPr="00605769" w14:paraId="41A14D9A" w14:textId="77777777" w:rsidTr="00866D1F">
        <w:tc>
          <w:tcPr>
            <w:tcW w:w="9016" w:type="dxa"/>
          </w:tcPr>
          <w:p w14:paraId="58AEB6A2" w14:textId="77777777" w:rsidR="008303D8" w:rsidRPr="00A23701" w:rsidRDefault="008303D8" w:rsidP="00866D1F">
            <w:pPr>
              <w:contextualSpacing/>
            </w:pPr>
            <w:r>
              <w:t xml:space="preserve">There has been a general downward trend in Police proceedings for personal possession and use of illegal drugs, particularly in relation to cannabis. </w:t>
            </w:r>
          </w:p>
        </w:tc>
      </w:tr>
      <w:tr w:rsidR="008303D8" w:rsidRPr="00605769" w14:paraId="5C82C316" w14:textId="77777777" w:rsidTr="00866D1F">
        <w:tc>
          <w:tcPr>
            <w:tcW w:w="9016" w:type="dxa"/>
          </w:tcPr>
          <w:p w14:paraId="642AE43C" w14:textId="77777777" w:rsidR="008303D8" w:rsidRPr="00605769" w:rsidRDefault="008303D8" w:rsidP="00866D1F">
            <w:pPr>
              <w:pStyle w:val="CommentText"/>
              <w:textAlignment w:val="baseline"/>
            </w:pPr>
            <w:r w:rsidRPr="00F7373D">
              <w:rPr>
                <w:rStyle w:val="normaltextrun1"/>
                <w:rFonts w:ascii="Calibri" w:eastAsia="Times New Roman" w:hAnsi="Calibri" w:cs="Calibri"/>
                <w:sz w:val="22"/>
                <w:szCs w:val="22"/>
                <w:lang w:eastAsia="en-NZ"/>
              </w:rPr>
              <w:t>Since 2019 Police has increased the use of non-</w:t>
            </w:r>
            <w:r w:rsidRPr="6E7902FB">
              <w:rPr>
                <w:rStyle w:val="normaltextrun1"/>
                <w:rFonts w:ascii="Calibri" w:eastAsia="Times New Roman" w:hAnsi="Calibri" w:cs="Calibri"/>
                <w:sz w:val="22"/>
                <w:szCs w:val="22"/>
                <w:lang w:eastAsia="en-NZ"/>
              </w:rPr>
              <w:t>C</w:t>
            </w:r>
            <w:r w:rsidRPr="00F7373D">
              <w:rPr>
                <w:rStyle w:val="normaltextrun1"/>
                <w:rFonts w:ascii="Calibri" w:eastAsia="Times New Roman" w:hAnsi="Calibri" w:cs="Calibri"/>
                <w:sz w:val="22"/>
                <w:szCs w:val="22"/>
                <w:lang w:eastAsia="en-NZ"/>
              </w:rPr>
              <w:t>ourt proceedings compared to court proceedings when dealing with all personal possession and use of drugs offences.</w:t>
            </w:r>
          </w:p>
        </w:tc>
      </w:tr>
      <w:tr w:rsidR="008303D8" w:rsidRPr="00605769" w14:paraId="02D91EA3" w14:textId="77777777" w:rsidTr="00866D1F">
        <w:tc>
          <w:tcPr>
            <w:tcW w:w="9016" w:type="dxa"/>
          </w:tcPr>
          <w:p w14:paraId="1F831569" w14:textId="77777777" w:rsidR="008303D8" w:rsidRDefault="008303D8" w:rsidP="00866D1F">
            <w:pPr>
              <w:pStyle w:val="CommentText"/>
              <w:textAlignment w:val="baseline"/>
            </w:pPr>
            <w:r>
              <w:rPr>
                <w:rStyle w:val="normaltextrun1"/>
                <w:rFonts w:ascii="Calibri" w:eastAsia="Times New Roman" w:hAnsi="Calibri" w:cs="Calibri"/>
                <w:sz w:val="22"/>
                <w:szCs w:val="22"/>
                <w:lang w:eastAsia="en-NZ"/>
              </w:rPr>
              <w:t>S</w:t>
            </w:r>
            <w:r w:rsidRPr="00F7373D">
              <w:rPr>
                <w:rStyle w:val="normaltextrun1"/>
                <w:rFonts w:ascii="Calibri" w:eastAsia="Times New Roman" w:hAnsi="Calibri" w:cs="Calibri"/>
                <w:sz w:val="22"/>
                <w:szCs w:val="22"/>
                <w:lang w:eastAsia="en-NZ"/>
              </w:rPr>
              <w:t>ince 2019 there has been a sharp increase in the use of non-</w:t>
            </w:r>
            <w:r w:rsidRPr="6E7902FB">
              <w:rPr>
                <w:rStyle w:val="normaltextrun1"/>
                <w:rFonts w:ascii="Calibri" w:eastAsia="Times New Roman" w:hAnsi="Calibri" w:cs="Calibri"/>
                <w:sz w:val="22"/>
                <w:szCs w:val="22"/>
                <w:lang w:eastAsia="en-NZ"/>
              </w:rPr>
              <w:t>C</w:t>
            </w:r>
            <w:r w:rsidRPr="00F7373D">
              <w:rPr>
                <w:rStyle w:val="normaltextrun1"/>
                <w:rFonts w:ascii="Calibri" w:eastAsia="Times New Roman" w:hAnsi="Calibri" w:cs="Calibri"/>
                <w:sz w:val="22"/>
                <w:szCs w:val="22"/>
                <w:lang w:eastAsia="en-NZ"/>
              </w:rPr>
              <w:t xml:space="preserve">ourt proceedings for personal possession and use of </w:t>
            </w:r>
            <w:r>
              <w:rPr>
                <w:rStyle w:val="normaltextrun1"/>
                <w:rFonts w:ascii="Calibri" w:eastAsia="Times New Roman" w:hAnsi="Calibri" w:cs="Calibri"/>
                <w:sz w:val="22"/>
                <w:szCs w:val="22"/>
                <w:lang w:eastAsia="en-NZ"/>
              </w:rPr>
              <w:t>methamphetamine that can be attributed with some confidence to the 2019 amendments</w:t>
            </w:r>
            <w:r w:rsidRPr="00F7373D">
              <w:rPr>
                <w:rStyle w:val="normaltextrun1"/>
                <w:rFonts w:ascii="Calibri" w:eastAsia="Times New Roman" w:hAnsi="Calibri" w:cs="Calibri"/>
                <w:sz w:val="22"/>
                <w:szCs w:val="22"/>
                <w:lang w:eastAsia="en-NZ"/>
              </w:rPr>
              <w:t xml:space="preserve">. </w:t>
            </w:r>
          </w:p>
        </w:tc>
      </w:tr>
      <w:tr w:rsidR="008303D8" w:rsidRPr="00605769" w14:paraId="62985645" w14:textId="77777777" w:rsidTr="00866D1F">
        <w:tc>
          <w:tcPr>
            <w:tcW w:w="9016" w:type="dxa"/>
          </w:tcPr>
          <w:p w14:paraId="5E78FD40" w14:textId="77777777" w:rsidR="008303D8" w:rsidRDefault="008303D8" w:rsidP="00866D1F">
            <w:pPr>
              <w:pStyle w:val="CommentText"/>
              <w:textAlignment w:val="baseline"/>
            </w:pPr>
            <w:r w:rsidRPr="00F7373D">
              <w:rPr>
                <w:rStyle w:val="normaltextrun1"/>
                <w:rFonts w:ascii="Calibri" w:eastAsia="Times New Roman" w:hAnsi="Calibri" w:cs="Calibri"/>
                <w:sz w:val="22"/>
                <w:szCs w:val="22"/>
                <w:lang w:eastAsia="en-NZ"/>
              </w:rPr>
              <w:t>The data shows that all Police districts have increased their use of non-</w:t>
            </w:r>
            <w:r w:rsidRPr="6E7902FB">
              <w:rPr>
                <w:rStyle w:val="normaltextrun1"/>
                <w:rFonts w:ascii="Calibri" w:eastAsia="Times New Roman" w:hAnsi="Calibri" w:cs="Calibri"/>
                <w:sz w:val="22"/>
                <w:szCs w:val="22"/>
                <w:lang w:eastAsia="en-NZ"/>
              </w:rPr>
              <w:t>C</w:t>
            </w:r>
            <w:r w:rsidRPr="00F7373D">
              <w:rPr>
                <w:rStyle w:val="normaltextrun1"/>
                <w:rFonts w:ascii="Calibri" w:eastAsia="Times New Roman" w:hAnsi="Calibri" w:cs="Calibri"/>
                <w:sz w:val="22"/>
                <w:szCs w:val="22"/>
                <w:lang w:eastAsia="en-NZ"/>
              </w:rPr>
              <w:t xml:space="preserve">ourt proceedings compared to </w:t>
            </w:r>
            <w:r w:rsidRPr="6E7902FB">
              <w:rPr>
                <w:rStyle w:val="normaltextrun1"/>
                <w:rFonts w:ascii="Calibri" w:eastAsia="Times New Roman" w:hAnsi="Calibri" w:cs="Calibri"/>
                <w:sz w:val="22"/>
                <w:szCs w:val="22"/>
                <w:lang w:eastAsia="en-NZ"/>
              </w:rPr>
              <w:t>C</w:t>
            </w:r>
            <w:r w:rsidRPr="00F7373D">
              <w:rPr>
                <w:rStyle w:val="normaltextrun1"/>
                <w:rFonts w:ascii="Calibri" w:eastAsia="Times New Roman" w:hAnsi="Calibri" w:cs="Calibri"/>
                <w:sz w:val="22"/>
                <w:szCs w:val="22"/>
                <w:lang w:eastAsia="en-NZ"/>
              </w:rPr>
              <w:t xml:space="preserve">ourt proceedings in situations where personal possession and use is the most serious offence, and the rate of increase varies across the districts.   </w:t>
            </w:r>
          </w:p>
        </w:tc>
      </w:tr>
      <w:tr w:rsidR="008303D8" w:rsidRPr="00605769" w14:paraId="6F8AA3CE" w14:textId="77777777" w:rsidTr="00866D1F">
        <w:tc>
          <w:tcPr>
            <w:tcW w:w="9016" w:type="dxa"/>
            <w:shd w:val="clear" w:color="auto" w:fill="D9D9D9" w:themeFill="background1" w:themeFillShade="D9"/>
          </w:tcPr>
          <w:p w14:paraId="093273A1" w14:textId="77777777" w:rsidR="008303D8" w:rsidRPr="00605769" w:rsidRDefault="008303D8" w:rsidP="00866D1F">
            <w:pPr>
              <w:contextualSpacing/>
            </w:pPr>
            <w:r>
              <w:t>Court proceedings</w:t>
            </w:r>
          </w:p>
        </w:tc>
      </w:tr>
      <w:tr w:rsidR="008303D8" w:rsidRPr="00605769" w14:paraId="03CE62E9" w14:textId="77777777" w:rsidTr="00866D1F">
        <w:tc>
          <w:tcPr>
            <w:tcW w:w="9016" w:type="dxa"/>
          </w:tcPr>
          <w:p w14:paraId="34BAF825" w14:textId="77777777" w:rsidR="008303D8" w:rsidRDefault="008303D8" w:rsidP="00866D1F">
            <w:pPr>
              <w:contextualSpacing/>
            </w:pPr>
            <w:r>
              <w:t xml:space="preserve">Adult diversion prosecutions show a continued a gradual downward trend that began prior to the 2019 amendment.  </w:t>
            </w:r>
          </w:p>
        </w:tc>
      </w:tr>
      <w:tr w:rsidR="008303D8" w:rsidRPr="00605769" w14:paraId="055978E5" w14:textId="77777777" w:rsidTr="00866D1F">
        <w:tc>
          <w:tcPr>
            <w:tcW w:w="9016" w:type="dxa"/>
          </w:tcPr>
          <w:p w14:paraId="1FB5325A" w14:textId="77777777" w:rsidR="008303D8" w:rsidRDefault="008303D8" w:rsidP="00866D1F">
            <w:pPr>
              <w:contextualSpacing/>
            </w:pPr>
            <w:r>
              <w:t xml:space="preserve">The majority of drug-related adult diversions are cannabis-related personal possession and consumption charges.  An investigation into individual cases might identify there is still some progress to be made in helping people using other substances to access the scheme. </w:t>
            </w:r>
          </w:p>
        </w:tc>
      </w:tr>
      <w:tr w:rsidR="008303D8" w:rsidRPr="00605769" w14:paraId="40286C98" w14:textId="77777777" w:rsidTr="00866D1F">
        <w:tc>
          <w:tcPr>
            <w:tcW w:w="9016" w:type="dxa"/>
          </w:tcPr>
          <w:p w14:paraId="547FA6A2" w14:textId="77777777" w:rsidR="008303D8" w:rsidRPr="00605769" w:rsidRDefault="008303D8" w:rsidP="00866D1F">
            <w:pPr>
              <w:contextualSpacing/>
            </w:pPr>
            <w:r>
              <w:t xml:space="preserve">There has been a clear downward trend in Police prosecutions for personal possession and use over the past decade.  The trend had flattened in the three years prior to the 2019, but noticeably decreased following the 2019 amendment illustrating a strong operational shift in that time. </w:t>
            </w:r>
          </w:p>
        </w:tc>
      </w:tr>
      <w:tr w:rsidR="008303D8" w:rsidRPr="00605769" w14:paraId="0AA78DE9" w14:textId="77777777" w:rsidTr="00866D1F">
        <w:tc>
          <w:tcPr>
            <w:tcW w:w="9016" w:type="dxa"/>
          </w:tcPr>
          <w:p w14:paraId="69DAD197" w14:textId="77777777" w:rsidR="008303D8" w:rsidRPr="00605769" w:rsidRDefault="008303D8" w:rsidP="00866D1F">
            <w:pPr>
              <w:contextualSpacing/>
            </w:pPr>
            <w:r>
              <w:t xml:space="preserve">The downward trend in Police prosecutions is much weaker for repeat offenders than first-time offenders, including after the 2019 amendment </w:t>
            </w:r>
          </w:p>
        </w:tc>
      </w:tr>
      <w:tr w:rsidR="008303D8" w:rsidRPr="00605769" w14:paraId="52E855DE" w14:textId="77777777" w:rsidTr="00866D1F">
        <w:tc>
          <w:tcPr>
            <w:tcW w:w="9016" w:type="dxa"/>
            <w:shd w:val="clear" w:color="auto" w:fill="D9D9D9" w:themeFill="background1" w:themeFillShade="D9"/>
          </w:tcPr>
          <w:p w14:paraId="58FBE761" w14:textId="77777777" w:rsidR="008303D8" w:rsidRPr="00605769" w:rsidRDefault="008303D8" w:rsidP="00866D1F">
            <w:pPr>
              <w:contextualSpacing/>
            </w:pPr>
            <w:r>
              <w:t xml:space="preserve">Equity </w:t>
            </w:r>
          </w:p>
        </w:tc>
      </w:tr>
      <w:tr w:rsidR="008303D8" w:rsidRPr="00605769" w14:paraId="6165A334" w14:textId="77777777" w:rsidTr="00866D1F">
        <w:tc>
          <w:tcPr>
            <w:tcW w:w="9016" w:type="dxa"/>
          </w:tcPr>
          <w:p w14:paraId="3633197D" w14:textId="77777777" w:rsidR="008303D8" w:rsidRPr="00605769" w:rsidRDefault="008303D8" w:rsidP="00866D1F">
            <w:pPr>
              <w:contextualSpacing/>
            </w:pPr>
            <w:r w:rsidRPr="000E2856">
              <w:t>The proportion of Māori being identified by Police for personal possession and use of illicit drugs is larger than the proportion of Māori in the general population</w:t>
            </w:r>
          </w:p>
        </w:tc>
      </w:tr>
      <w:tr w:rsidR="008303D8" w:rsidRPr="00605769" w14:paraId="253D9767" w14:textId="77777777" w:rsidTr="00866D1F">
        <w:tc>
          <w:tcPr>
            <w:tcW w:w="9016" w:type="dxa"/>
          </w:tcPr>
          <w:p w14:paraId="1332F715" w14:textId="77777777" w:rsidR="008303D8" w:rsidRPr="00605769" w:rsidRDefault="008303D8" w:rsidP="00866D1F">
            <w:pPr>
              <w:contextualSpacing/>
            </w:pPr>
            <w:r>
              <w:t xml:space="preserve">Māori and non-Māori cases are similarly distributed across non-Court and Court actions (suggesting that once people are in the justice system, they are treated similarly) </w:t>
            </w:r>
          </w:p>
        </w:tc>
      </w:tr>
      <w:tr w:rsidR="008303D8" w:rsidRPr="00605769" w14:paraId="04C4F844" w14:textId="77777777" w:rsidTr="00866D1F">
        <w:tc>
          <w:tcPr>
            <w:tcW w:w="9016" w:type="dxa"/>
          </w:tcPr>
          <w:p w14:paraId="46E61BCA" w14:textId="77777777" w:rsidR="008303D8" w:rsidRPr="00605769" w:rsidRDefault="008303D8" w:rsidP="00866D1F">
            <w:pPr>
              <w:contextualSpacing/>
            </w:pPr>
            <w:r>
              <w:t>Conviction rates are declining for both Māori and non-Māori, but the decline for non-Māori is steeper than for Māori</w:t>
            </w:r>
          </w:p>
        </w:tc>
      </w:tr>
      <w:tr w:rsidR="008303D8" w:rsidRPr="00605769" w14:paraId="070F65E3" w14:textId="77777777" w:rsidTr="00866D1F">
        <w:tc>
          <w:tcPr>
            <w:tcW w:w="9016" w:type="dxa"/>
          </w:tcPr>
          <w:p w14:paraId="0AB619FB" w14:textId="60348AEB" w:rsidR="008303D8" w:rsidRDefault="008303D8" w:rsidP="00866D1F">
            <w:r w:rsidRPr="00A85BB5">
              <w:t>The number of Māori represented in synthetic cannabinoid hospitalisations is higher than the proportion of Māori in the general population.</w:t>
            </w:r>
          </w:p>
        </w:tc>
      </w:tr>
      <w:tr w:rsidR="008303D8" w:rsidRPr="00605769" w14:paraId="2FE3613D" w14:textId="77777777" w:rsidTr="00866D1F">
        <w:tc>
          <w:tcPr>
            <w:tcW w:w="9016" w:type="dxa"/>
            <w:shd w:val="clear" w:color="auto" w:fill="D9D9D9" w:themeFill="background1" w:themeFillShade="D9"/>
          </w:tcPr>
          <w:p w14:paraId="74C475AD" w14:textId="77777777" w:rsidR="008303D8" w:rsidRPr="00605769" w:rsidRDefault="008303D8" w:rsidP="00866D1F">
            <w:pPr>
              <w:contextualSpacing/>
            </w:pPr>
            <w:r>
              <w:t>Referrals to health services</w:t>
            </w:r>
          </w:p>
        </w:tc>
      </w:tr>
      <w:tr w:rsidR="008303D8" w:rsidRPr="00605769" w14:paraId="0B4FD2C8" w14:textId="77777777" w:rsidTr="00866D1F">
        <w:tc>
          <w:tcPr>
            <w:tcW w:w="9016" w:type="dxa"/>
          </w:tcPr>
          <w:p w14:paraId="41163082" w14:textId="77777777" w:rsidR="008303D8" w:rsidRPr="00605769" w:rsidRDefault="008303D8" w:rsidP="00866D1F">
            <w:pPr>
              <w:contextualSpacing/>
            </w:pPr>
            <w:r w:rsidRPr="000E2856">
              <w:t>There appears to be a low level of consented referrals to the MoDA Referral Pathway established to support the 2019 amendment, particularly compared with the early signs of Police buy-in to the AWHI system</w:t>
            </w:r>
          </w:p>
        </w:tc>
      </w:tr>
      <w:tr w:rsidR="008303D8" w:rsidRPr="00605769" w14:paraId="4CF88636" w14:textId="77777777" w:rsidTr="00866D1F">
        <w:tc>
          <w:tcPr>
            <w:tcW w:w="9016" w:type="dxa"/>
          </w:tcPr>
          <w:p w14:paraId="1055F72F" w14:textId="77777777" w:rsidR="008303D8" w:rsidRDefault="008303D8" w:rsidP="00866D1F">
            <w:pPr>
              <w:contextualSpacing/>
            </w:pPr>
            <w:r>
              <w:lastRenderedPageBreak/>
              <w:t>The MoDA Referral Pathway and AWHI have different and complementary strengths.  Consideration should be given as to how both systems can work alongside each other as AWHI expands to facilitate easy access for people to the most appropriate service.</w:t>
            </w:r>
          </w:p>
        </w:tc>
      </w:tr>
      <w:tr w:rsidR="008303D8" w:rsidRPr="00605769" w14:paraId="7457FD1A" w14:textId="77777777" w:rsidTr="00866D1F">
        <w:tc>
          <w:tcPr>
            <w:tcW w:w="9016" w:type="dxa"/>
          </w:tcPr>
          <w:p w14:paraId="7541B209" w14:textId="77777777" w:rsidR="008303D8" w:rsidRDefault="008303D8" w:rsidP="00866D1F">
            <w:pPr>
              <w:contextualSpacing/>
            </w:pPr>
            <w:r>
              <w:t xml:space="preserve">Referral systems could benefit from guidelines for best practice referrals that ensure that people seeking and agreeing to offers of help are channelled to the most appropriate provider as soon and as smoothly as possible.  </w:t>
            </w:r>
          </w:p>
        </w:tc>
      </w:tr>
      <w:tr w:rsidR="008303D8" w:rsidRPr="00605769" w14:paraId="006B32FE" w14:textId="77777777" w:rsidTr="00866D1F">
        <w:tc>
          <w:tcPr>
            <w:tcW w:w="9016" w:type="dxa"/>
          </w:tcPr>
          <w:p w14:paraId="6E95B5C5" w14:textId="77777777" w:rsidR="008303D8" w:rsidRDefault="008303D8" w:rsidP="00866D1F">
            <w:r>
              <w:t xml:space="preserve">There is interest among the judiciary for guidelines to support health-based approaches for drug harm reduction through the Courts. </w:t>
            </w:r>
          </w:p>
        </w:tc>
      </w:tr>
      <w:tr w:rsidR="008303D8" w:rsidRPr="00605769" w14:paraId="4AAF3B49" w14:textId="77777777" w:rsidTr="00866D1F">
        <w:tc>
          <w:tcPr>
            <w:tcW w:w="9016" w:type="dxa"/>
          </w:tcPr>
          <w:p w14:paraId="2B8FE775" w14:textId="77777777" w:rsidR="008303D8" w:rsidRDefault="008303D8" w:rsidP="00866D1F">
            <w:pPr>
              <w:contextualSpacing/>
            </w:pPr>
            <w:r>
              <w:t>There are concerns about the capacity of mental health and addiction services to accommodate any rapid growth in Police referrals</w:t>
            </w:r>
          </w:p>
        </w:tc>
      </w:tr>
      <w:tr w:rsidR="008303D8" w:rsidRPr="00605769" w14:paraId="03A9CB82" w14:textId="77777777" w:rsidTr="00866D1F">
        <w:tc>
          <w:tcPr>
            <w:tcW w:w="9016" w:type="dxa"/>
            <w:shd w:val="clear" w:color="auto" w:fill="D0CECE" w:themeFill="background2" w:themeFillShade="E6"/>
          </w:tcPr>
          <w:p w14:paraId="3F82454F" w14:textId="77777777" w:rsidR="008303D8" w:rsidRDefault="008303D8" w:rsidP="00866D1F">
            <w:pPr>
              <w:contextualSpacing/>
            </w:pPr>
            <w:r>
              <w:t>Supply of AMB-FUBINACA and 5F-ADB</w:t>
            </w:r>
          </w:p>
        </w:tc>
      </w:tr>
      <w:tr w:rsidR="0081319C" w:rsidRPr="00605769" w14:paraId="13F37B77" w14:textId="77777777" w:rsidTr="00866D1F">
        <w:tc>
          <w:tcPr>
            <w:tcW w:w="9016" w:type="dxa"/>
          </w:tcPr>
          <w:p w14:paraId="40659435" w14:textId="7B9F1664" w:rsidR="0081319C" w:rsidRPr="00A85BB5" w:rsidRDefault="0081319C" w:rsidP="0081319C">
            <w:r>
              <w:t xml:space="preserve">Closed coronial cases involving synthetic cannabinoids showed a surge in deaths in 2017 – 2018 and in the majority of cases AMB-FUBINACA was detected. </w:t>
            </w:r>
          </w:p>
        </w:tc>
      </w:tr>
      <w:tr w:rsidR="008303D8" w:rsidRPr="00605769" w14:paraId="7271E8F0" w14:textId="77777777" w:rsidTr="00866D1F">
        <w:tc>
          <w:tcPr>
            <w:tcW w:w="9016" w:type="dxa"/>
          </w:tcPr>
          <w:p w14:paraId="3BD8423D" w14:textId="2DCD1871" w:rsidR="008303D8" w:rsidRPr="00A85BB5" w:rsidRDefault="008303D8" w:rsidP="00866D1F">
            <w:r w:rsidRPr="00A85BB5">
              <w:t xml:space="preserve">ESR testing shows a significant decline since 2019 in the percentage of samples containing AMB-FUBINACA and 5F-AKB. </w:t>
            </w:r>
          </w:p>
        </w:tc>
      </w:tr>
      <w:tr w:rsidR="008303D8" w:rsidRPr="00605769" w14:paraId="6C8B67AE" w14:textId="77777777" w:rsidTr="00866D1F">
        <w:tc>
          <w:tcPr>
            <w:tcW w:w="9016" w:type="dxa"/>
          </w:tcPr>
          <w:p w14:paraId="23F0EB9B" w14:textId="2D42A785" w:rsidR="008303D8" w:rsidRPr="00A85BB5" w:rsidRDefault="0081319C" w:rsidP="00866D1F">
            <w:r>
              <w:t>Coronial and h</w:t>
            </w:r>
            <w:r w:rsidR="008303D8" w:rsidRPr="00A85BB5">
              <w:t>ospitalisation data shows that since the surge in 2017 - 2018 numbers of deaths and hospital discharges relating to synthetic cannabinoids have returned to pre-surge levels.</w:t>
            </w:r>
          </w:p>
        </w:tc>
      </w:tr>
      <w:tr w:rsidR="008303D8" w:rsidRPr="00605769" w14:paraId="4299BA83" w14:textId="77777777" w:rsidTr="00866D1F">
        <w:tc>
          <w:tcPr>
            <w:tcW w:w="9016" w:type="dxa"/>
          </w:tcPr>
          <w:p w14:paraId="3B157E44" w14:textId="77777777" w:rsidR="008303D8" w:rsidRPr="00A85BB5" w:rsidRDefault="008303D8" w:rsidP="00866D1F">
            <w:r w:rsidRPr="00A85BB5">
              <w:t>Police and Customs data shows the quantities of seizures of synthetic cannabinoid powder and synthetic cannabis has reduced considerably since 2019.</w:t>
            </w:r>
          </w:p>
        </w:tc>
      </w:tr>
      <w:tr w:rsidR="008303D8" w:rsidRPr="00605769" w14:paraId="59674D28" w14:textId="77777777" w:rsidTr="00866D1F">
        <w:tc>
          <w:tcPr>
            <w:tcW w:w="9016" w:type="dxa"/>
          </w:tcPr>
          <w:p w14:paraId="1E951C31" w14:textId="7B59A28B" w:rsidR="008303D8" w:rsidRPr="00A85BB5" w:rsidRDefault="0081319C" w:rsidP="00866D1F">
            <w:r>
              <w:t>H</w:t>
            </w:r>
            <w:r w:rsidR="008303D8" w:rsidRPr="00A85BB5">
              <w:t>ospitalisation, Police and Customs data does not distinguish between AMB-FUBINACA and 5F-ADB, and other synthetic cannabinoids.</w:t>
            </w:r>
          </w:p>
        </w:tc>
      </w:tr>
      <w:tr w:rsidR="008303D8" w:rsidRPr="00605769" w14:paraId="24F826B2" w14:textId="77777777" w:rsidTr="00866D1F">
        <w:tc>
          <w:tcPr>
            <w:tcW w:w="9016" w:type="dxa"/>
            <w:shd w:val="clear" w:color="auto" w:fill="D0CECE" w:themeFill="background2" w:themeFillShade="E6"/>
          </w:tcPr>
          <w:p w14:paraId="6B07CAB3" w14:textId="77777777" w:rsidR="008303D8" w:rsidRPr="00A85BB5" w:rsidRDefault="008303D8" w:rsidP="00866D1F">
            <w:pPr>
              <w:contextualSpacing/>
            </w:pPr>
            <w:r w:rsidRPr="00A85BB5">
              <w:t>Temporary Class Drug Notices</w:t>
            </w:r>
          </w:p>
        </w:tc>
      </w:tr>
      <w:tr w:rsidR="008303D8" w:rsidRPr="00605769" w14:paraId="76AB9B7B" w14:textId="77777777" w:rsidTr="00866D1F">
        <w:trPr>
          <w:trHeight w:val="461"/>
        </w:trPr>
        <w:tc>
          <w:tcPr>
            <w:tcW w:w="9016" w:type="dxa"/>
          </w:tcPr>
          <w:p w14:paraId="0AAF004F" w14:textId="77777777" w:rsidR="008303D8" w:rsidRPr="00A85BB5" w:rsidRDefault="008303D8" w:rsidP="00866D1F">
            <w:r w:rsidRPr="00A85BB5">
              <w:t xml:space="preserve">The Ministry received the first application for a temporary class drug order on 29 June 2021 which is currently being processed. </w:t>
            </w:r>
          </w:p>
        </w:tc>
      </w:tr>
      <w:tr w:rsidR="008303D8" w:rsidRPr="00605769" w14:paraId="24705531" w14:textId="77777777" w:rsidTr="00866D1F">
        <w:trPr>
          <w:trHeight w:val="461"/>
        </w:trPr>
        <w:tc>
          <w:tcPr>
            <w:tcW w:w="9016" w:type="dxa"/>
          </w:tcPr>
          <w:p w14:paraId="21A3D007" w14:textId="143004A9" w:rsidR="008303D8" w:rsidRPr="00A85BB5" w:rsidRDefault="00EE0D4B" w:rsidP="00EE0D4B">
            <w:r w:rsidRPr="00A85BB5">
              <w:t>There is an opportunity to</w:t>
            </w:r>
            <w:r w:rsidRPr="00A85BB5">
              <w:rPr>
                <w:rFonts w:eastAsia="Times New Roman"/>
              </w:rPr>
              <w:t xml:space="preserve"> refine the existing TCDO application process and clarity about the process be communicated to relevant stakeholders.</w:t>
            </w:r>
            <w:r w:rsidRPr="00A85BB5">
              <w:t xml:space="preserve"> </w:t>
            </w:r>
          </w:p>
        </w:tc>
      </w:tr>
    </w:tbl>
    <w:p w14:paraId="4EB17240" w14:textId="77777777" w:rsidR="000025AE" w:rsidRPr="00605769" w:rsidRDefault="000025AE" w:rsidP="00E53A1D">
      <w:pPr>
        <w:contextualSpacing/>
      </w:pPr>
    </w:p>
    <w:p w14:paraId="67F26093" w14:textId="18704250" w:rsidR="001A782A" w:rsidRDefault="001A782A" w:rsidP="00685A68">
      <w:pPr>
        <w:rPr>
          <w:rFonts w:asciiTheme="majorHAnsi" w:eastAsiaTheme="majorEastAsia" w:hAnsiTheme="majorHAnsi" w:cstheme="majorBidi"/>
          <w:color w:val="2F5496" w:themeColor="accent1" w:themeShade="BF"/>
          <w:sz w:val="32"/>
          <w:szCs w:val="32"/>
        </w:rPr>
      </w:pPr>
      <w:bookmarkStart w:id="311" w:name="_Toc74572693"/>
      <w:r>
        <w:br w:type="page"/>
      </w:r>
    </w:p>
    <w:p w14:paraId="7952E121" w14:textId="26DC817F" w:rsidR="00C73757" w:rsidRPr="001B1E36" w:rsidRDefault="00EA6AAD" w:rsidP="00C73757">
      <w:pPr>
        <w:pStyle w:val="Heading2"/>
      </w:pPr>
      <w:bookmarkStart w:id="312" w:name="_Toc75781210"/>
      <w:bookmarkStart w:id="313" w:name="_Toc75952923"/>
      <w:bookmarkStart w:id="314" w:name="_Toc78186504"/>
      <w:r w:rsidRPr="00C73757">
        <w:lastRenderedPageBreak/>
        <w:t>Appendix 1</w:t>
      </w:r>
      <w:r w:rsidR="001B1E36">
        <w:t>:</w:t>
      </w:r>
      <w:r w:rsidR="00EA3E88">
        <w:t xml:space="preserve"> </w:t>
      </w:r>
      <w:r w:rsidR="001B1E36">
        <w:t>Glossary</w:t>
      </w:r>
      <w:bookmarkEnd w:id="311"/>
      <w:bookmarkEnd w:id="312"/>
      <w:bookmarkEnd w:id="313"/>
      <w:bookmarkEnd w:id="314"/>
      <w:r w:rsidR="001B1E36">
        <w:t xml:space="preserve"> </w:t>
      </w:r>
    </w:p>
    <w:p w14:paraId="3FCE7D66" w14:textId="77777777" w:rsidR="00EC7B07" w:rsidRDefault="00EC7B07" w:rsidP="0058583C">
      <w:pPr>
        <w:spacing w:line="252" w:lineRule="auto"/>
        <w:contextualSpacing/>
        <w:rPr>
          <w:b/>
          <w:bCs/>
        </w:rPr>
      </w:pPr>
    </w:p>
    <w:p w14:paraId="64FAF12C" w14:textId="6E816DEF" w:rsidR="0058583C" w:rsidRDefault="003F528D" w:rsidP="0058583C">
      <w:pPr>
        <w:spacing w:line="252" w:lineRule="auto"/>
        <w:contextualSpacing/>
        <w:rPr>
          <w:rFonts w:eastAsia="Times New Roman"/>
        </w:rPr>
      </w:pPr>
      <w:r w:rsidRPr="40CC68FE">
        <w:rPr>
          <w:b/>
          <w:bCs/>
        </w:rPr>
        <w:t>Psychoactive Substances Act:</w:t>
      </w:r>
      <w:r w:rsidR="0058583C" w:rsidRPr="0058583C">
        <w:rPr>
          <w:rFonts w:eastAsia="Times New Roman"/>
        </w:rPr>
        <w:t xml:space="preserve"> </w:t>
      </w:r>
      <w:r w:rsidR="0058583C">
        <w:rPr>
          <w:rFonts w:eastAsia="Times New Roman"/>
        </w:rPr>
        <w:t xml:space="preserve">The </w:t>
      </w:r>
      <w:bookmarkStart w:id="315" w:name="_Hlk72926159"/>
      <w:r w:rsidR="0058583C">
        <w:rPr>
          <w:rFonts w:eastAsia="Times New Roman"/>
        </w:rPr>
        <w:t xml:space="preserve">Psychoactive Substances Act 2013 </w:t>
      </w:r>
      <w:bookmarkEnd w:id="315"/>
      <w:r w:rsidR="0058583C">
        <w:rPr>
          <w:rFonts w:eastAsia="Times New Roman"/>
        </w:rPr>
        <w:t>came into force to regulate the availability of psychoactive substances in New Zealand to protect the health of, and minimise harm to, individuals who use psychoactive substances.  The Act put the onus of proof that products are of a low risk of harm onto the manufacturer</w:t>
      </w:r>
      <w:r w:rsidR="005D16B5">
        <w:rPr>
          <w:rFonts w:eastAsia="Times New Roman"/>
        </w:rPr>
        <w:t xml:space="preserve">, </w:t>
      </w:r>
      <w:r w:rsidR="0058583C">
        <w:rPr>
          <w:rFonts w:eastAsia="Times New Roman"/>
        </w:rPr>
        <w:t>importer</w:t>
      </w:r>
      <w:r w:rsidR="005D16B5">
        <w:rPr>
          <w:rFonts w:eastAsia="Times New Roman"/>
        </w:rPr>
        <w:t xml:space="preserve"> or </w:t>
      </w:r>
      <w:r w:rsidR="0058583C">
        <w:rPr>
          <w:rFonts w:eastAsia="Times New Roman"/>
        </w:rPr>
        <w:t xml:space="preserve">distributor rather than requiring regulators to prove they were safe. This means that a product must be proven safe before it could be legally sold. Subsequent amendments have included removing all interim approvals and licences from the New Zealand market (resulting in all products being recalled), prohibiting animal testing when assessing if products are of low risk and therefore able to be approved, and regulations allowing applications for product approval and </w:t>
      </w:r>
      <w:r w:rsidR="0058583C" w:rsidRPr="2657F065">
        <w:rPr>
          <w:rFonts w:eastAsia="Times New Roman"/>
        </w:rPr>
        <w:t>retailers</w:t>
      </w:r>
      <w:r w:rsidR="6526445E" w:rsidRPr="2657F065">
        <w:rPr>
          <w:rFonts w:eastAsia="Times New Roman"/>
        </w:rPr>
        <w:t>’</w:t>
      </w:r>
      <w:r w:rsidR="0058583C">
        <w:rPr>
          <w:rFonts w:eastAsia="Times New Roman"/>
        </w:rPr>
        <w:t xml:space="preserve"> and </w:t>
      </w:r>
      <w:r w:rsidR="0058583C" w:rsidRPr="2657F065">
        <w:rPr>
          <w:rFonts w:eastAsia="Times New Roman"/>
        </w:rPr>
        <w:t>wholesalers</w:t>
      </w:r>
      <w:r w:rsidR="3FE3BC83" w:rsidRPr="2657F065">
        <w:rPr>
          <w:rFonts w:eastAsia="Times New Roman"/>
        </w:rPr>
        <w:t>’</w:t>
      </w:r>
      <w:r w:rsidR="0058583C">
        <w:rPr>
          <w:rFonts w:eastAsia="Times New Roman"/>
        </w:rPr>
        <w:t xml:space="preserve"> licences to sell approved products. </w:t>
      </w:r>
      <w:r w:rsidR="0058583C" w:rsidRPr="0058583C">
        <w:rPr>
          <w:rFonts w:eastAsia="Times New Roman"/>
        </w:rPr>
        <w:t xml:space="preserve">To date no products have been approved under the Act. </w:t>
      </w:r>
    </w:p>
    <w:p w14:paraId="273B80CD" w14:textId="77777777" w:rsidR="00CF6EB0" w:rsidRPr="000E2856" w:rsidRDefault="00CF6EB0" w:rsidP="0058583C">
      <w:pPr>
        <w:spacing w:line="252" w:lineRule="auto"/>
        <w:contextualSpacing/>
        <w:rPr>
          <w:rFonts w:eastAsia="Times New Roman"/>
        </w:rPr>
      </w:pPr>
    </w:p>
    <w:p w14:paraId="6B2278BD" w14:textId="52B0CEDC" w:rsidR="00D3199D" w:rsidRPr="00D3199D" w:rsidRDefault="00C73757" w:rsidP="1A72226F">
      <w:pPr>
        <w:shd w:val="clear" w:color="auto" w:fill="FFFFFF" w:themeFill="background1"/>
        <w:spacing w:before="100" w:beforeAutospacing="1" w:after="360" w:afterAutospacing="1" w:line="276" w:lineRule="auto"/>
      </w:pPr>
      <w:r>
        <w:rPr>
          <w:b/>
        </w:rPr>
        <w:t xml:space="preserve">Alcohol and Other Drug Treatment (AODT) </w:t>
      </w:r>
      <w:r w:rsidRPr="00C73757">
        <w:rPr>
          <w:b/>
        </w:rPr>
        <w:t>Court</w:t>
      </w:r>
      <w:r w:rsidRPr="00C73757">
        <w:rPr>
          <w:b/>
          <w:bCs/>
        </w:rPr>
        <w:t xml:space="preserve"> </w:t>
      </w:r>
      <w:proofErr w:type="spellStart"/>
      <w:r w:rsidRPr="00C73757">
        <w:rPr>
          <w:b/>
          <w:bCs/>
        </w:rPr>
        <w:t>Te</w:t>
      </w:r>
      <w:proofErr w:type="spellEnd"/>
      <w:r w:rsidRPr="00C73757">
        <w:rPr>
          <w:b/>
          <w:bCs/>
        </w:rPr>
        <w:t xml:space="preserve"> Whare </w:t>
      </w:r>
      <w:proofErr w:type="spellStart"/>
      <w:r w:rsidRPr="00C73757">
        <w:rPr>
          <w:b/>
          <w:bCs/>
        </w:rPr>
        <w:t>Whakapiki</w:t>
      </w:r>
      <w:proofErr w:type="spellEnd"/>
      <w:r w:rsidRPr="00C73757">
        <w:rPr>
          <w:b/>
          <w:bCs/>
        </w:rPr>
        <w:t xml:space="preserve"> Wairua: </w:t>
      </w:r>
      <w:r w:rsidRPr="00193FA2">
        <w:t xml:space="preserve">The </w:t>
      </w:r>
      <w:r w:rsidR="008F0FF6">
        <w:t xml:space="preserve">first </w:t>
      </w:r>
      <w:r w:rsidRPr="00193FA2">
        <w:t xml:space="preserve">AODT Court, was established in November 2012 as a pilot across two District Court sites: Auckland and </w:t>
      </w:r>
      <w:proofErr w:type="spellStart"/>
      <w:r w:rsidRPr="00193FA2">
        <w:t>Waitākere</w:t>
      </w:r>
      <w:proofErr w:type="spellEnd"/>
      <w:r w:rsidRPr="00193FA2">
        <w:t xml:space="preserve">. </w:t>
      </w:r>
      <w:r w:rsidR="00F53A9D">
        <w:t>In June 2021, a</w:t>
      </w:r>
      <w:r w:rsidR="00BE4333">
        <w:t xml:space="preserve"> further court was launched in Waikato. </w:t>
      </w:r>
      <w:r w:rsidRPr="00193FA2">
        <w:t xml:space="preserve">The </w:t>
      </w:r>
      <w:r w:rsidR="00F53A9D">
        <w:t>Auckland-</w:t>
      </w:r>
      <w:proofErr w:type="spellStart"/>
      <w:r w:rsidR="00F53A9D">
        <w:t>Waitākere</w:t>
      </w:r>
      <w:proofErr w:type="spellEnd"/>
      <w:r w:rsidRPr="00193FA2">
        <w:t xml:space="preserve"> AODT Court has a combined maximum capacity of 100 participants at any one time, with 50 participants at each site.</w:t>
      </w:r>
      <w:r>
        <w:t xml:space="preserve"> </w:t>
      </w:r>
      <w:r w:rsidRPr="00193FA2">
        <w:t>The Court aims to break the cycle of offending by treating the causes of that offending. It provides an alternative to imprisonment for people whose offending is being driven by alcohol or drug substance use disorders</w:t>
      </w:r>
      <w:r w:rsidR="00A50176">
        <w:t>, and</w:t>
      </w:r>
      <w:r w:rsidRPr="00193FA2">
        <w:t xml:space="preserve"> provides an evidence-based, best practice treatment pathway that includes intensive monitoring, case management, drug testing, and mentoring. Sentencing is deferred while participants work through the programme, which includes regular court appearances to check on progress. The programme may take between one to two years to complete.</w:t>
      </w:r>
    </w:p>
    <w:p w14:paraId="3072DB29" w14:textId="6C7D69A6" w:rsidR="00C73757" w:rsidRPr="00AF6C5D" w:rsidRDefault="00C73757" w:rsidP="00C73757">
      <w:pPr>
        <w:shd w:val="clear" w:color="auto" w:fill="FFFFFF"/>
        <w:spacing w:before="100" w:beforeAutospacing="1" w:after="360" w:afterAutospacing="1" w:line="276" w:lineRule="auto"/>
      </w:pPr>
      <w:r w:rsidRPr="00C73757">
        <w:rPr>
          <w:b/>
          <w:bCs/>
        </w:rPr>
        <w:t xml:space="preserve">Police Prosecution Service: </w:t>
      </w:r>
      <w:r w:rsidRPr="008C18D0">
        <w:t>There are over 300 staff (including 212 prosecutors) within the P</w:t>
      </w:r>
      <w:r w:rsidR="00D259DE">
        <w:t>olice Prosecution Service</w:t>
      </w:r>
      <w:r w:rsidRPr="008C18D0">
        <w:t xml:space="preserve">. They are spread between a national office in Wellington and 41 offices throughout the country, servicing over 60 district courts. The </w:t>
      </w:r>
      <w:r w:rsidR="00AA204D">
        <w:t>service</w:t>
      </w:r>
      <w:r w:rsidRPr="008C18D0">
        <w:t xml:space="preserve"> conducts proceedings for prosecutions commenced by Police from first appearance to disposal, including Case Review and Trial as required except where the proceeding becomes a Crown Prosecution </w:t>
      </w:r>
      <w:r w:rsidR="00634AF6">
        <w:t>(eg,</w:t>
      </w:r>
      <w:r w:rsidRPr="008C18D0">
        <w:t xml:space="preserve"> jury trials). The </w:t>
      </w:r>
      <w:r w:rsidR="00634AF6">
        <w:t>service</w:t>
      </w:r>
      <w:r w:rsidRPr="008C18D0">
        <w:t xml:space="preserve"> also conducts proceedings for Youth Court prosecutions, advocates for Police at Coroners' inquests as required, and administers the Adult Diversion Scheme.</w:t>
      </w:r>
    </w:p>
    <w:p w14:paraId="3EB928E4" w14:textId="4E13E678" w:rsidR="00C73757" w:rsidRPr="00352698" w:rsidRDefault="00C73757" w:rsidP="00352698">
      <w:pPr>
        <w:autoSpaceDE w:val="0"/>
        <w:autoSpaceDN w:val="0"/>
        <w:adjustRightInd w:val="0"/>
        <w:spacing w:before="240" w:after="0" w:line="276" w:lineRule="auto"/>
        <w:rPr>
          <w:b/>
          <w:bCs/>
        </w:rPr>
      </w:pPr>
      <w:r w:rsidRPr="00352698">
        <w:rPr>
          <w:b/>
          <w:bCs/>
        </w:rPr>
        <w:t>Solicitor-General’s Prosecution Guidelines:</w:t>
      </w:r>
      <w:r w:rsidRPr="00352698">
        <w:rPr>
          <w:b/>
        </w:rPr>
        <w:t xml:space="preserve"> </w:t>
      </w:r>
      <w:r>
        <w:t>The purpose of these</w:t>
      </w:r>
      <w:r w:rsidRPr="00862F34">
        <w:t xml:space="preserve"> Guidelines is to ensure that the principles and practices as to</w:t>
      </w:r>
      <w:r>
        <w:t xml:space="preserve"> </w:t>
      </w:r>
      <w:r w:rsidRPr="00862F34">
        <w:t>prosecutions in New Zealand are underpinned by core prosecution values. These</w:t>
      </w:r>
      <w:r>
        <w:t xml:space="preserve"> </w:t>
      </w:r>
      <w:r w:rsidRPr="00862F34">
        <w:t>values aim to achieve consistency and common standards in key decisions and trial</w:t>
      </w:r>
      <w:r>
        <w:t xml:space="preserve"> </w:t>
      </w:r>
      <w:r w:rsidRPr="00862F34">
        <w:t>practices. If these values are adhered to, New Zealand will continue to have</w:t>
      </w:r>
      <w:r>
        <w:t xml:space="preserve"> </w:t>
      </w:r>
      <w:r w:rsidRPr="00862F34">
        <w:t>prosecution processes that are open and fair to the defendant, witnesses and the victims</w:t>
      </w:r>
      <w:r>
        <w:t xml:space="preserve"> </w:t>
      </w:r>
      <w:r w:rsidRPr="00862F34">
        <w:t>of crime, and reflect the proper interests of society.</w:t>
      </w:r>
    </w:p>
    <w:p w14:paraId="2F7D52F6" w14:textId="77777777" w:rsidR="00C73757" w:rsidRPr="00352698" w:rsidRDefault="00C73757" w:rsidP="00352698">
      <w:pPr>
        <w:spacing w:before="240" w:line="276" w:lineRule="auto"/>
        <w:rPr>
          <w:b/>
          <w:bCs/>
        </w:rPr>
      </w:pPr>
      <w:r w:rsidRPr="00352698">
        <w:rPr>
          <w:b/>
          <w:bCs/>
        </w:rPr>
        <w:t xml:space="preserve">Evidence Based Policing Centre:  </w:t>
      </w:r>
      <w:r w:rsidRPr="00CF237D">
        <w:t>The New Zealand Evidence-Based Policing Centre (EBPC) was established in December 2017 as a joint partnership between New Zealand Police, the University of Waikato, the Institute of Environmental Science and Research and Vodafone New Zealand.  EBP combines the existing skills, knowledge and experience of Police with research, crime science, problem-solving and testing. This is then used to guide and inform the choices of Police decision-makers with approaches and tactics proven to reduce harm. EBP shows the evidence behind why, how, where and when Police take specific actions.</w:t>
      </w:r>
      <w:r w:rsidRPr="00352698">
        <w:rPr>
          <w:rFonts w:ascii="Helvetica" w:hAnsi="Helvetica" w:cs="Arial"/>
          <w:color w:val="333333"/>
          <w:sz w:val="21"/>
          <w:szCs w:val="21"/>
          <w:lang w:val="en"/>
        </w:rPr>
        <w:t xml:space="preserve"> </w:t>
      </w:r>
    </w:p>
    <w:p w14:paraId="0DC7B93B" w14:textId="146AA745" w:rsidR="00C73757" w:rsidRPr="0080498B" w:rsidRDefault="00C73757" w:rsidP="0080498B">
      <w:pPr>
        <w:spacing w:before="240" w:line="276" w:lineRule="auto"/>
        <w:rPr>
          <w:b/>
          <w:bCs/>
        </w:rPr>
      </w:pPr>
      <w:r w:rsidRPr="0080498B">
        <w:rPr>
          <w:b/>
          <w:bCs/>
        </w:rPr>
        <w:lastRenderedPageBreak/>
        <w:t>M</w:t>
      </w:r>
      <w:r w:rsidR="0010407D">
        <w:rPr>
          <w:b/>
          <w:bCs/>
        </w:rPr>
        <w:t>ental health and addiction sector</w:t>
      </w:r>
      <w:r w:rsidRPr="0080498B">
        <w:rPr>
          <w:b/>
          <w:bCs/>
        </w:rPr>
        <w:t xml:space="preserve">:  </w:t>
      </w:r>
      <w:r>
        <w:t xml:space="preserve">New Zealand’s </w:t>
      </w:r>
      <w:r w:rsidR="0010407D">
        <w:t>m</w:t>
      </w:r>
      <w:r>
        <w:t xml:space="preserve">ental </w:t>
      </w:r>
      <w:r w:rsidR="0010407D">
        <w:t>h</w:t>
      </w:r>
      <w:r>
        <w:t xml:space="preserve">ealth </w:t>
      </w:r>
      <w:r w:rsidR="0010407D">
        <w:t>a</w:t>
      </w:r>
      <w:r>
        <w:t xml:space="preserve">nd </w:t>
      </w:r>
      <w:r w:rsidR="0010407D">
        <w:t>a</w:t>
      </w:r>
      <w:r>
        <w:t xml:space="preserve">ddiction </w:t>
      </w:r>
      <w:r w:rsidR="0010407D">
        <w:t>s</w:t>
      </w:r>
      <w:r>
        <w:t>ector comprises a number of health and social agencies, clinical health settings (from DHB to GP practices), mental health and addiction service providers, advocacy and community groups, and individuals and their wh</w:t>
      </w:r>
      <w:r w:rsidRPr="4F719F29">
        <w:t>ā</w:t>
      </w:r>
      <w:r>
        <w:t xml:space="preserve">nau.  For the purposes of this review, the </w:t>
      </w:r>
      <w:r w:rsidR="00F62D65">
        <w:t>mental health and add</w:t>
      </w:r>
      <w:r w:rsidR="7CBD0A96">
        <w:t>i</w:t>
      </w:r>
      <w:r w:rsidR="00F62D65">
        <w:t>ct</w:t>
      </w:r>
      <w:r w:rsidR="54D4282E">
        <w:t>i</w:t>
      </w:r>
      <w:r w:rsidR="00F62D65">
        <w:t xml:space="preserve">ons </w:t>
      </w:r>
      <w:r>
        <w:t>sector refers to clinical health settings, providers of treatment services and advocacy groups.</w:t>
      </w:r>
    </w:p>
    <w:p w14:paraId="747BF5EE" w14:textId="29E1803A" w:rsidR="00C73757" w:rsidRPr="0080498B" w:rsidRDefault="00677E01" w:rsidP="0080498B">
      <w:pPr>
        <w:spacing w:before="240" w:line="276" w:lineRule="auto"/>
        <w:rPr>
          <w:rFonts w:ascii="Founders Grotesk" w:eastAsia="Times New Roman" w:hAnsi="Founders Grotesk" w:cs="Times New Roman"/>
          <w:color w:val="426237"/>
          <w:sz w:val="24"/>
          <w:szCs w:val="24"/>
          <w:lang w:eastAsia="en-NZ"/>
        </w:rPr>
      </w:pPr>
      <w:r w:rsidRPr="00677E01">
        <w:rPr>
          <w:b/>
          <w:bCs/>
        </w:rPr>
        <w:t>Alcohol Drug</w:t>
      </w:r>
      <w:r w:rsidRPr="0080498B">
        <w:rPr>
          <w:b/>
          <w:bCs/>
        </w:rPr>
        <w:t xml:space="preserve"> </w:t>
      </w:r>
      <w:r w:rsidR="00C73757" w:rsidRPr="0080498B">
        <w:rPr>
          <w:b/>
          <w:bCs/>
        </w:rPr>
        <w:t xml:space="preserve">Helpline administered by </w:t>
      </w:r>
      <w:proofErr w:type="spellStart"/>
      <w:r w:rsidR="00C73757" w:rsidRPr="0080498B">
        <w:rPr>
          <w:b/>
          <w:bCs/>
        </w:rPr>
        <w:t>Whakarongorau</w:t>
      </w:r>
      <w:proofErr w:type="spellEnd"/>
      <w:r w:rsidR="00C73757" w:rsidRPr="0080498B">
        <w:rPr>
          <w:b/>
          <w:bCs/>
        </w:rPr>
        <w:t xml:space="preserve"> (Formerly Homecare Medical</w:t>
      </w:r>
      <w:r w:rsidR="1BFA136B" w:rsidRPr="5CB75FEF">
        <w:rPr>
          <w:b/>
          <w:bCs/>
        </w:rPr>
        <w:t>)</w:t>
      </w:r>
      <w:r w:rsidR="00C73757" w:rsidRPr="5CB75FEF">
        <w:rPr>
          <w:b/>
          <w:bCs/>
        </w:rPr>
        <w:t>:</w:t>
      </w:r>
      <w:r w:rsidR="00C73757" w:rsidRPr="0080498B">
        <w:rPr>
          <w:b/>
          <w:bCs/>
        </w:rPr>
        <w:t xml:space="preserve">  </w:t>
      </w:r>
      <w:proofErr w:type="spellStart"/>
      <w:r w:rsidR="00C73757" w:rsidRPr="00C53D22">
        <w:t>Whakarongorau</w:t>
      </w:r>
      <w:proofErr w:type="spellEnd"/>
      <w:r w:rsidR="00C73757" w:rsidRPr="00C53D22">
        <w:t xml:space="preserve"> </w:t>
      </w:r>
      <w:r w:rsidR="0060602A">
        <w:t>has</w:t>
      </w:r>
      <w:r w:rsidR="00C73757" w:rsidRPr="00C53D22">
        <w:t xml:space="preserve"> a ten-year contract with the Ministry of Health</w:t>
      </w:r>
      <w:r w:rsidR="00C73757">
        <w:t xml:space="preserve"> (and other agencies)</w:t>
      </w:r>
      <w:r w:rsidR="00C73757" w:rsidRPr="00C53D22">
        <w:t xml:space="preserve"> to</w:t>
      </w:r>
      <w:r w:rsidR="00C73757">
        <w:t xml:space="preserve"> deliver free </w:t>
      </w:r>
      <w:r w:rsidR="00AF645D">
        <w:t>around the clock</w:t>
      </w:r>
      <w:r w:rsidR="00C73757">
        <w:t xml:space="preserve"> digital telehealth services spanning mental health and addictions support.  </w:t>
      </w:r>
      <w:proofErr w:type="spellStart"/>
      <w:r w:rsidR="00C73757">
        <w:t>Whakarongorau</w:t>
      </w:r>
      <w:proofErr w:type="spellEnd"/>
      <w:r w:rsidR="00C73757">
        <w:t xml:space="preserve"> is owned by primary health organisations ProCare and Pegasus health and its team includes nurses, mental health professionals, doctors, health advisors, and sexual harm professionals who are based throughout New Zealand from Kaitaia to Bluff. </w:t>
      </w:r>
    </w:p>
    <w:p w14:paraId="77C78D82" w14:textId="445CCAA3" w:rsidR="00C73757" w:rsidRPr="001F023B" w:rsidRDefault="00C73757" w:rsidP="001F023B">
      <w:pPr>
        <w:spacing w:before="240" w:line="276" w:lineRule="auto"/>
        <w:rPr>
          <w:b/>
          <w:bCs/>
        </w:rPr>
      </w:pPr>
      <w:r w:rsidRPr="001F023B">
        <w:rPr>
          <w:b/>
          <w:bCs/>
        </w:rPr>
        <w:t xml:space="preserve">Substances </w:t>
      </w:r>
      <w:r w:rsidR="0010407D">
        <w:rPr>
          <w:b/>
          <w:bCs/>
        </w:rPr>
        <w:t>relevant to this report</w:t>
      </w:r>
      <w:r w:rsidR="001431F5">
        <w:rPr>
          <w:b/>
          <w:bCs/>
        </w:rPr>
        <w:t>:</w:t>
      </w:r>
    </w:p>
    <w:p w14:paraId="40713EC7" w14:textId="46A53BA8" w:rsidR="0070314A" w:rsidRDefault="0070314A" w:rsidP="00B603EC">
      <w:pPr>
        <w:pStyle w:val="ListParagraph"/>
        <w:numPr>
          <w:ilvl w:val="0"/>
          <w:numId w:val="17"/>
        </w:numPr>
        <w:ind w:hanging="720"/>
      </w:pPr>
      <w:r w:rsidRPr="0070314A">
        <w:rPr>
          <w:b/>
          <w:bCs/>
        </w:rPr>
        <w:t>Cannabis</w:t>
      </w:r>
      <w:r>
        <w:t xml:space="preserve"> is a natural plant that has psychoactive properties primarily from the cannabinoid THC (tetrahydrocannabinol). Cannabis commonly results in relaxation and euphoria and is also used for therapeutic purposes including pain relief, appetite stimulation, reducing nausea and reducing muscle spasms. Adverse health effects are primarily from early initiation and heavy regular use and can include low motivation, worsening mental health and paranoia. </w:t>
      </w:r>
    </w:p>
    <w:p w14:paraId="46AA1E6D" w14:textId="6CFD25EF" w:rsidR="0070314A" w:rsidRDefault="0070314A" w:rsidP="00B603EC">
      <w:pPr>
        <w:pStyle w:val="ListParagraph"/>
        <w:numPr>
          <w:ilvl w:val="0"/>
          <w:numId w:val="17"/>
        </w:numPr>
        <w:ind w:hanging="720"/>
      </w:pPr>
      <w:r w:rsidRPr="0070314A">
        <w:rPr>
          <w:b/>
          <w:bCs/>
        </w:rPr>
        <w:t>Cocaine</w:t>
      </w:r>
      <w:r>
        <w:t xml:space="preserve"> is a stimulant</w:t>
      </w:r>
      <w:r>
        <w:rPr>
          <w:rStyle w:val="FootnoteReference"/>
        </w:rPr>
        <w:footnoteReference w:id="12"/>
      </w:r>
      <w:r>
        <w:t xml:space="preserve"> that primarily releases dopamine and provides feelings of happiness, euphoria and arousal. Cocaine is a highly concentrated form of the coca leaf. Adverse effects from high doses include tremors, convulsions, heart pain and potentially result in seizures or heart attack. </w:t>
      </w:r>
    </w:p>
    <w:p w14:paraId="3986FBDC" w14:textId="2591FF55" w:rsidR="0070314A" w:rsidRDefault="0070314A" w:rsidP="00B603EC">
      <w:pPr>
        <w:pStyle w:val="ListParagraph"/>
        <w:numPr>
          <w:ilvl w:val="0"/>
          <w:numId w:val="17"/>
        </w:numPr>
        <w:ind w:hanging="720"/>
      </w:pPr>
      <w:r w:rsidRPr="0070314A">
        <w:rPr>
          <w:b/>
          <w:bCs/>
        </w:rPr>
        <w:t>GHB/GBL</w:t>
      </w:r>
      <w:r>
        <w:t xml:space="preserve"> (Gamma hydroxybutyrate/Gamma-Butyrolactone) is a depressant</w:t>
      </w:r>
      <w:r>
        <w:rPr>
          <w:rStyle w:val="FootnoteReference"/>
        </w:rPr>
        <w:footnoteReference w:id="13"/>
      </w:r>
      <w:r>
        <w:t xml:space="preserve"> </w:t>
      </w:r>
      <w:r w:rsidRPr="008A05B7">
        <w:t xml:space="preserve">which </w:t>
      </w:r>
      <w:r>
        <w:t xml:space="preserve">provides a similar effect to alcohol including increased mood, relaxation, confidence, strong sex drive, disinhibition, and euphoria. GBL is a precursor of GHB and rapidly metabolises when taken but is slightly more potent GBL is the form predominantly available form in New Zealand. Adverse effects are primarily from the risk of overdose with the difference between an active dose and potentially fatal overdose very small. This risk is heightened with GHB/GBL primarily sold in liquid form. </w:t>
      </w:r>
    </w:p>
    <w:p w14:paraId="5B50965A" w14:textId="0623C6E5" w:rsidR="0070314A" w:rsidRDefault="0070314A" w:rsidP="00B603EC">
      <w:pPr>
        <w:pStyle w:val="ListParagraph"/>
        <w:numPr>
          <w:ilvl w:val="0"/>
          <w:numId w:val="17"/>
        </w:numPr>
        <w:ind w:hanging="720"/>
      </w:pPr>
      <w:r w:rsidRPr="0070314A">
        <w:rPr>
          <w:b/>
          <w:bCs/>
        </w:rPr>
        <w:t xml:space="preserve">MDMA </w:t>
      </w:r>
      <w:r>
        <w:t>(3,4-Methyl​</w:t>
      </w:r>
      <w:proofErr w:type="spellStart"/>
      <w:r>
        <w:t>enedioxy</w:t>
      </w:r>
      <w:proofErr w:type="spellEnd"/>
      <w:r>
        <w:t>​methamphetamine/ecstasy) is a stimulant</w:t>
      </w:r>
      <w:r>
        <w:rPr>
          <w:rStyle w:val="FootnoteReference"/>
        </w:rPr>
        <w:footnoteReference w:id="14"/>
      </w:r>
      <w:r>
        <w:t xml:space="preserve"> that releases serotonin and provides euphoria, increased mood, confidence and feelings of connection. Adverse effects can be acute and include hypertension, seizures, faintness, disabling anxiety attacks, sensory and movement issues, overheating, cardiac stress and death. There is also a risk of serotonin syndrome with regular use of MDMA or used while on anti-depressants or anti-anxiety medication, this syndrome can be fatal.  </w:t>
      </w:r>
    </w:p>
    <w:p w14:paraId="79CD62AB" w14:textId="068DB9F6" w:rsidR="0070314A" w:rsidRDefault="0070314A" w:rsidP="00B603EC">
      <w:pPr>
        <w:pStyle w:val="ListParagraph"/>
        <w:numPr>
          <w:ilvl w:val="0"/>
          <w:numId w:val="17"/>
        </w:numPr>
        <w:ind w:hanging="720"/>
      </w:pPr>
      <w:r w:rsidRPr="0070314A">
        <w:rPr>
          <w:b/>
          <w:bCs/>
        </w:rPr>
        <w:lastRenderedPageBreak/>
        <w:t>Methamphetamine</w:t>
      </w:r>
      <w:r>
        <w:t xml:space="preserve"> is a stimulant</w:t>
      </w:r>
      <w:r>
        <w:rPr>
          <w:rStyle w:val="FootnoteReference"/>
        </w:rPr>
        <w:footnoteReference w:id="15"/>
      </w:r>
      <w:r>
        <w:t xml:space="preserve"> that releases dopamine, serotonin, and noradrenaline resulting in intense alertness, increased sociability, and euphoria. Methamphetamine is the most potent form of amphetamine. Adverse effects include grinding teeth, irregular heartbeat, change in blood pressure, blurred vision with risk of seizures or heart attack from high doses. The risk of psychosis is </w:t>
      </w:r>
      <w:r w:rsidRPr="008A05B7">
        <w:t>exacerbated by</w:t>
      </w:r>
      <w:r>
        <w:t xml:space="preserve"> lack of food and sleep associated with regular</w:t>
      </w:r>
      <w:r w:rsidR="00AA2106">
        <w:t xml:space="preserve"> or </w:t>
      </w:r>
      <w:r>
        <w:t xml:space="preserve">heavy use. </w:t>
      </w:r>
    </w:p>
    <w:p w14:paraId="4BC5A06C" w14:textId="7A8D660A" w:rsidR="00F6061D" w:rsidRDefault="00F6061D" w:rsidP="00B603EC">
      <w:pPr>
        <w:pStyle w:val="ListParagraph"/>
        <w:numPr>
          <w:ilvl w:val="0"/>
          <w:numId w:val="17"/>
        </w:numPr>
        <w:ind w:hanging="720"/>
      </w:pPr>
      <w:r w:rsidRPr="007E5FC9">
        <w:rPr>
          <w:b/>
          <w:bCs/>
        </w:rPr>
        <w:t>Opioids (including heroin</w:t>
      </w:r>
      <w:r w:rsidRPr="0070452F">
        <w:rPr>
          <w:b/>
          <w:bCs/>
        </w:rPr>
        <w:t>)</w:t>
      </w:r>
      <w:r>
        <w:t xml:space="preserve"> are depressants</w:t>
      </w:r>
      <w:r w:rsidR="002E4592">
        <w:rPr>
          <w:rStyle w:val="FootnoteReference"/>
        </w:rPr>
        <w:footnoteReference w:id="16"/>
      </w:r>
      <w:r>
        <w:t xml:space="preserve"> that provides relaxation, pain relief and euphoria. Heroin is a highly concentrated opioid made from the opium poppy but is rare in New Zealand, </w:t>
      </w:r>
      <w:r w:rsidR="001155D9">
        <w:t>illegal</w:t>
      </w:r>
      <w:r>
        <w:t xml:space="preserve"> supply is largely diverted pharmaceuticals such as morphine, tramadol and codeine. Adverse health effects are due to risk of overdose which is increased from variable purity of supply. </w:t>
      </w:r>
      <w:r w:rsidR="209D9567">
        <w:t>There are r</w:t>
      </w:r>
      <w:r>
        <w:t>isk</w:t>
      </w:r>
      <w:r w:rsidR="2E637AAD">
        <w:t>s</w:t>
      </w:r>
      <w:r>
        <w:t xml:space="preserve"> around blood borne viruses and soft tissue damage with injecting the common method of use. </w:t>
      </w:r>
    </w:p>
    <w:p w14:paraId="14104440" w14:textId="3DF00DFB" w:rsidR="0070314A" w:rsidRPr="0070314A" w:rsidRDefault="0070314A" w:rsidP="00B603EC">
      <w:pPr>
        <w:pStyle w:val="ListParagraph"/>
        <w:numPr>
          <w:ilvl w:val="0"/>
          <w:numId w:val="17"/>
        </w:numPr>
        <w:ind w:hanging="720"/>
        <w:rPr>
          <w:lang w:val="en-AU"/>
        </w:rPr>
      </w:pPr>
      <w:r w:rsidRPr="0070314A">
        <w:rPr>
          <w:b/>
          <w:bCs/>
        </w:rPr>
        <w:t>Synthetic cannabinoids</w:t>
      </w:r>
      <w:r>
        <w:t xml:space="preserve"> are artificially manufactured substances </w:t>
      </w:r>
      <w:r w:rsidRPr="0070314A">
        <w:rPr>
          <w:rStyle w:val="acopre1"/>
          <w:lang w:val="en-AU"/>
        </w:rPr>
        <w:t>that act on the cannabinoid receptors in the body</w:t>
      </w:r>
      <w:r>
        <w:t xml:space="preserve">, mimicking the effect of THC. </w:t>
      </w:r>
      <w:r w:rsidRPr="0070314A">
        <w:rPr>
          <w:rStyle w:val="acopre1"/>
          <w:lang w:val="en-AU"/>
        </w:rPr>
        <w:t xml:space="preserve">The compound is ordinarily diluted and sprayed on plant material with making dosage difficult to predict. The effect of chemicals used in synthetic cannabinoids can be up to 75 times stronger than cannabis. Health-related harms can be acute and include severe nausea, loss of consciousness, cardiac and neurological irregularities, seizures, loss of consciousness and death.  </w:t>
      </w:r>
    </w:p>
    <w:p w14:paraId="4F1716ED" w14:textId="7EAFEBA5" w:rsidR="0070314A" w:rsidRPr="0070314A" w:rsidRDefault="0070314A" w:rsidP="00B603EC">
      <w:pPr>
        <w:pStyle w:val="ListParagraph"/>
        <w:numPr>
          <w:ilvl w:val="0"/>
          <w:numId w:val="17"/>
        </w:numPr>
        <w:ind w:hanging="720"/>
        <w:rPr>
          <w:b/>
          <w:bCs/>
        </w:rPr>
      </w:pPr>
      <w:r w:rsidRPr="0070314A">
        <w:rPr>
          <w:b/>
          <w:bCs/>
        </w:rPr>
        <w:t>Synthetic cathinones</w:t>
      </w:r>
      <w:r>
        <w:t xml:space="preserve"> are a broad category </w:t>
      </w:r>
      <w:r w:rsidRPr="008A05B7">
        <w:t xml:space="preserve">of </w:t>
      </w:r>
      <w:r>
        <w:t>laboratory produced stimulants</w:t>
      </w:r>
      <w:r>
        <w:rPr>
          <w:rStyle w:val="FootnoteReference"/>
        </w:rPr>
        <w:footnoteReference w:id="17"/>
      </w:r>
      <w:r>
        <w:t xml:space="preserve"> and research chemicals designed to mimic stimulants such amphetamine and MDMA and avoid legal classification. Broadly, synthetic cathinones increase alertness and mood </w:t>
      </w:r>
      <w:r w:rsidRPr="008A05B7">
        <w:t xml:space="preserve">and </w:t>
      </w:r>
      <w:r>
        <w:t xml:space="preserve">are more likely to result in adverse effects compared to other stimulants particularly around anxiety, paranoia and difficulty sleeping. The dose </w:t>
      </w:r>
      <w:r w:rsidRPr="008A05B7">
        <w:t>effects and toxicity of synthetic cathinones can vary both across and within batches, as well as between individuals</w:t>
      </w:r>
      <w:r>
        <w:t xml:space="preserve">. Hospitalisations with the emergence of new synthetic cathinones such as n-ethylpentylone and eutylone are common with deaths reported internationally. </w:t>
      </w:r>
    </w:p>
    <w:p w14:paraId="7A4D2F8A" w14:textId="77777777" w:rsidR="007E5FC9" w:rsidRPr="001A4291" w:rsidRDefault="007E5FC9" w:rsidP="0070314A">
      <w:pPr>
        <w:pStyle w:val="ListParagraph"/>
        <w:spacing w:before="240" w:line="276" w:lineRule="auto"/>
        <w:ind w:left="709"/>
      </w:pPr>
    </w:p>
    <w:p w14:paraId="7EDC6C73" w14:textId="77777777" w:rsidR="00B33F78" w:rsidRDefault="00B33F78">
      <w:r>
        <w:br w:type="page"/>
      </w:r>
    </w:p>
    <w:p w14:paraId="59A1E009" w14:textId="3D80B2DA" w:rsidR="008D4408" w:rsidRPr="00382B32" w:rsidRDefault="008D4408" w:rsidP="008D4408">
      <w:pPr>
        <w:pStyle w:val="Heading2"/>
      </w:pPr>
      <w:bookmarkStart w:id="316" w:name="_Toc75781211"/>
      <w:bookmarkStart w:id="317" w:name="_Toc75952924"/>
      <w:bookmarkStart w:id="318" w:name="_Toc78186505"/>
      <w:r>
        <w:lastRenderedPageBreak/>
        <w:t xml:space="preserve">Appendix </w:t>
      </w:r>
      <w:r w:rsidR="007E3551">
        <w:t>2</w:t>
      </w:r>
      <w:r>
        <w:t xml:space="preserve">: </w:t>
      </w:r>
      <w:r w:rsidRPr="00382B32">
        <w:t xml:space="preserve">Review </w:t>
      </w:r>
      <w:r w:rsidR="00E02773">
        <w:t>s</w:t>
      </w:r>
      <w:r w:rsidRPr="00382B32">
        <w:t>cope</w:t>
      </w:r>
      <w:r w:rsidR="00D67D2A">
        <w:t>,</w:t>
      </w:r>
      <w:r w:rsidRPr="00382B32">
        <w:t xml:space="preserve"> </w:t>
      </w:r>
      <w:r w:rsidR="00E02773">
        <w:t>o</w:t>
      </w:r>
      <w:r w:rsidRPr="00382B32">
        <w:t>bjectives</w:t>
      </w:r>
      <w:r w:rsidR="00D67D2A">
        <w:t xml:space="preserve">, </w:t>
      </w:r>
      <w:r w:rsidR="00E02773">
        <w:t>a</w:t>
      </w:r>
      <w:r w:rsidR="00D67D2A">
        <w:t xml:space="preserve">pproach, </w:t>
      </w:r>
      <w:r w:rsidR="00E02773">
        <w:t>d</w:t>
      </w:r>
      <w:r w:rsidR="00D67D2A">
        <w:t>ata</w:t>
      </w:r>
      <w:r w:rsidR="00E02773">
        <w:t>, constraints and limitations</w:t>
      </w:r>
      <w:bookmarkStart w:id="319" w:name="_Toc74572694"/>
      <w:bookmarkEnd w:id="316"/>
      <w:bookmarkEnd w:id="317"/>
      <w:bookmarkEnd w:id="318"/>
    </w:p>
    <w:p w14:paraId="321C9A4E" w14:textId="77777777" w:rsidR="008D4408" w:rsidRPr="00D13A26" w:rsidRDefault="008D4408" w:rsidP="000D5E1B">
      <w:pPr>
        <w:pStyle w:val="Heading3"/>
      </w:pPr>
      <w:bookmarkStart w:id="320" w:name="_Toc75781212"/>
      <w:bookmarkStart w:id="321" w:name="_Toc75952925"/>
      <w:bookmarkStart w:id="322" w:name="_Toc78186506"/>
      <w:r w:rsidRPr="00D13A26">
        <w:t xml:space="preserve">Review </w:t>
      </w:r>
      <w:r>
        <w:t>Scope</w:t>
      </w:r>
      <w:bookmarkEnd w:id="320"/>
      <w:bookmarkEnd w:id="321"/>
      <w:bookmarkEnd w:id="322"/>
    </w:p>
    <w:p w14:paraId="0E585E6F" w14:textId="0775C33B" w:rsidR="008D4408" w:rsidRDefault="008D4408" w:rsidP="008D4408">
      <w:r>
        <w:t xml:space="preserve">This report is specific to the </w:t>
      </w:r>
      <w:r w:rsidR="004055BB">
        <w:t>s</w:t>
      </w:r>
      <w:r>
        <w:t>ection 7 amendments to MoDA (the “</w:t>
      </w:r>
      <w:r w:rsidR="00FF64D7">
        <w:t>Health-based</w:t>
      </w:r>
      <w:r>
        <w:t xml:space="preserve"> </w:t>
      </w:r>
      <w:r w:rsidR="00C0644F">
        <w:t>approach</w:t>
      </w:r>
      <w:r>
        <w:t xml:space="preserve"> amendment”) and considers the implementation and impact of the exercise of Police discretion.  </w:t>
      </w:r>
    </w:p>
    <w:p w14:paraId="6F2B6F5C" w14:textId="70B4D93E" w:rsidR="008D4408" w:rsidRDefault="008D4408" w:rsidP="008D4408">
      <w:r>
        <w:t xml:space="preserve">As amended, the relevant subsections of </w:t>
      </w:r>
      <w:r w:rsidR="004055BB">
        <w:t>s</w:t>
      </w:r>
      <w:r>
        <w:t>ection 7 are:</w:t>
      </w:r>
    </w:p>
    <w:p w14:paraId="705C0E9C" w14:textId="77777777" w:rsidR="008D4408" w:rsidRPr="00D13A26" w:rsidRDefault="008D4408" w:rsidP="008D4408">
      <w:pPr>
        <w:pStyle w:val="subprov1"/>
        <w:shd w:val="clear" w:color="auto" w:fill="FFFFFF"/>
        <w:ind w:left="709" w:right="379"/>
        <w:rPr>
          <w:rFonts w:asciiTheme="minorHAnsi" w:hAnsiTheme="minorHAnsi" w:cstheme="minorHAnsi"/>
          <w:i/>
          <w:iCs/>
          <w:color w:val="333333"/>
          <w:sz w:val="22"/>
          <w:szCs w:val="22"/>
        </w:rPr>
      </w:pPr>
      <w:r w:rsidRPr="00D13A26">
        <w:rPr>
          <w:rStyle w:val="label2"/>
          <w:rFonts w:asciiTheme="minorHAnsi" w:hAnsiTheme="minorHAnsi" w:cstheme="minorHAnsi"/>
          <w:i/>
          <w:iCs/>
          <w:color w:val="333333"/>
          <w:sz w:val="22"/>
          <w:szCs w:val="22"/>
        </w:rPr>
        <w:t>(5)</w:t>
      </w:r>
      <w:r w:rsidRPr="00D13A26">
        <w:rPr>
          <w:rFonts w:asciiTheme="minorHAnsi" w:hAnsiTheme="minorHAnsi" w:cstheme="minorHAnsi"/>
          <w:i/>
          <w:iCs/>
          <w:color w:val="333333"/>
          <w:sz w:val="22"/>
          <w:szCs w:val="22"/>
        </w:rPr>
        <w:t xml:space="preserve"> To avoid doubt, it is affirmed that there is a discretion to prosecute for an offence against subsection (1)﻿(a), and a prosecution should not be brought unless it is required in the public interest.</w:t>
      </w:r>
    </w:p>
    <w:p w14:paraId="16A96FFC" w14:textId="77777777" w:rsidR="008D4408" w:rsidRPr="00D13A26" w:rsidRDefault="008D4408" w:rsidP="008D4408">
      <w:pPr>
        <w:pStyle w:val="subprov1"/>
        <w:shd w:val="clear" w:color="auto" w:fill="FFFFFF"/>
        <w:ind w:left="709" w:right="379"/>
        <w:rPr>
          <w:rFonts w:asciiTheme="minorHAnsi" w:hAnsiTheme="minorHAnsi" w:cstheme="minorHAnsi"/>
          <w:i/>
          <w:iCs/>
          <w:color w:val="333333"/>
          <w:sz w:val="22"/>
          <w:szCs w:val="22"/>
        </w:rPr>
      </w:pPr>
      <w:r w:rsidRPr="00D13A26">
        <w:rPr>
          <w:rStyle w:val="label2"/>
          <w:rFonts w:asciiTheme="minorHAnsi" w:hAnsiTheme="minorHAnsi" w:cstheme="minorHAnsi"/>
          <w:i/>
          <w:iCs/>
          <w:color w:val="333333"/>
          <w:sz w:val="22"/>
          <w:szCs w:val="22"/>
        </w:rPr>
        <w:t>(6)</w:t>
      </w:r>
      <w:r w:rsidRPr="00D13A26">
        <w:rPr>
          <w:rFonts w:asciiTheme="minorHAnsi" w:hAnsiTheme="minorHAnsi" w:cstheme="minorHAnsi"/>
          <w:i/>
          <w:iCs/>
          <w:color w:val="333333"/>
          <w:sz w:val="22"/>
          <w:szCs w:val="22"/>
        </w:rPr>
        <w:t xml:space="preserve"> When considering whether a prosecution is required in the public interest, in addition to any other relevant matters, consideration should be given to whether a health-centred or therapeutic approach would be more beneficial to the public interest</w:t>
      </w:r>
    </w:p>
    <w:p w14:paraId="23103EA8" w14:textId="77777777" w:rsidR="00C81F6F" w:rsidRDefault="008D4408" w:rsidP="008D4408">
      <w:r>
        <w:t>The review has not been commissioned to investigate</w:t>
      </w:r>
      <w:r w:rsidR="00C81F6F">
        <w:t>:</w:t>
      </w:r>
      <w:r>
        <w:t xml:space="preserve"> </w:t>
      </w:r>
    </w:p>
    <w:p w14:paraId="089DDED4" w14:textId="38D30ADB" w:rsidR="00C81F6F" w:rsidRDefault="008D4408" w:rsidP="00B603EC">
      <w:pPr>
        <w:pStyle w:val="ListParagraph"/>
        <w:numPr>
          <w:ilvl w:val="0"/>
          <w:numId w:val="16"/>
        </w:numPr>
        <w:ind w:hanging="720"/>
      </w:pPr>
      <w:r>
        <w:t>changes to wider policy or operational expectations</w:t>
      </w:r>
      <w:r w:rsidR="002D382E">
        <w:t>,</w:t>
      </w:r>
      <w:r>
        <w:t xml:space="preserve"> including any changes to the Solicitor-General’s Prosecution Guidelines</w:t>
      </w:r>
    </w:p>
    <w:p w14:paraId="49EA2A0B" w14:textId="77777777" w:rsidR="006C6023" w:rsidRDefault="008D4408" w:rsidP="00B603EC">
      <w:pPr>
        <w:pStyle w:val="ListParagraph"/>
        <w:numPr>
          <w:ilvl w:val="0"/>
          <w:numId w:val="16"/>
        </w:numPr>
        <w:ind w:hanging="720"/>
      </w:pPr>
      <w:r>
        <w:t>adjustments to broader categories of Police discretion or New Zealand Police operating practices</w:t>
      </w:r>
    </w:p>
    <w:p w14:paraId="4270D11F" w14:textId="2B3FEE4A" w:rsidR="007766E3" w:rsidRDefault="008D4408" w:rsidP="00B603EC">
      <w:pPr>
        <w:pStyle w:val="ListParagraph"/>
        <w:numPr>
          <w:ilvl w:val="0"/>
          <w:numId w:val="16"/>
        </w:numPr>
        <w:ind w:hanging="720"/>
      </w:pPr>
      <w:r>
        <w:t>changes to criminal justice policy or procedure</w:t>
      </w:r>
    </w:p>
    <w:p w14:paraId="7D39CD04" w14:textId="4EA55C4E" w:rsidR="008D4408" w:rsidRDefault="008D4408" w:rsidP="00B603EC">
      <w:pPr>
        <w:pStyle w:val="ListParagraph"/>
        <w:numPr>
          <w:ilvl w:val="0"/>
          <w:numId w:val="16"/>
        </w:numPr>
        <w:ind w:hanging="720"/>
      </w:pPr>
      <w:r>
        <w:t xml:space="preserve">shifts towards decriminalisation of cannabis or other substances.  </w:t>
      </w:r>
    </w:p>
    <w:p w14:paraId="2D7B14AE" w14:textId="77777777" w:rsidR="008D4408" w:rsidRDefault="008D4408" w:rsidP="008D4408">
      <w:r>
        <w:t>The review has not sought to undertake a performance audit of individual agencies or service providers, nor to explore structural changes to the health sector and delivery of its regulated services. The review will highlight opportunities to uplift operational performance across the full system.</w:t>
      </w:r>
    </w:p>
    <w:p w14:paraId="65D5255C" w14:textId="77777777" w:rsidR="008D4408" w:rsidRDefault="008D4408" w:rsidP="000D5E1B">
      <w:pPr>
        <w:pStyle w:val="Heading3"/>
      </w:pPr>
      <w:bookmarkStart w:id="323" w:name="_Toc75781213"/>
      <w:bookmarkStart w:id="324" w:name="_Toc75952926"/>
      <w:bookmarkStart w:id="325" w:name="_Toc78186507"/>
      <w:r w:rsidRPr="00AA214E">
        <w:t xml:space="preserve">Review </w:t>
      </w:r>
      <w:r>
        <w:t>o</w:t>
      </w:r>
      <w:r w:rsidRPr="00AA214E">
        <w:t>bjectives</w:t>
      </w:r>
      <w:bookmarkEnd w:id="323"/>
      <w:bookmarkEnd w:id="324"/>
      <w:bookmarkEnd w:id="325"/>
    </w:p>
    <w:p w14:paraId="3D072592" w14:textId="1DD415DB" w:rsidR="008D4408" w:rsidRDefault="008D4408" w:rsidP="008D4408">
      <w:r>
        <w:t xml:space="preserve">The overarching objective of the review is to understand the Police discretion </w:t>
      </w:r>
      <w:r w:rsidDel="00995D84">
        <w:t>a</w:t>
      </w:r>
      <w:r>
        <w:t>mendment’s impact on supporting a health-based approach to drug-harm reduction and whether the intent of minimising harm associated with entry into</w:t>
      </w:r>
      <w:r w:rsidR="001032EA">
        <w:t xml:space="preserve"> or </w:t>
      </w:r>
      <w:r>
        <w:t>progression through the criminal justice system is being realised.</w:t>
      </w:r>
    </w:p>
    <w:p w14:paraId="56392223" w14:textId="77777777" w:rsidR="008D4408" w:rsidRDefault="008D4408" w:rsidP="008D4408">
      <w:r>
        <w:t>In order to achieve this objective, the review team has sought to:</w:t>
      </w:r>
    </w:p>
    <w:p w14:paraId="68DF7938"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understand how the amendments have been implemented, including systems and processes to support the intent of the amendment</w:t>
      </w:r>
    </w:p>
    <w:p w14:paraId="603A57BF" w14:textId="7B76C662"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understand the impact of the </w:t>
      </w:r>
      <w:r w:rsidR="008A6B43" w:rsidRPr="004E2A60">
        <w:rPr>
          <w:rStyle w:val="normaltextrun1"/>
          <w:rFonts w:ascii="Calibri" w:hAnsi="Calibri" w:cs="Calibri"/>
          <w:sz w:val="22"/>
          <w:szCs w:val="22"/>
          <w:lang w:eastAsia="en-NZ"/>
        </w:rPr>
        <w:t>health-based</w:t>
      </w:r>
      <w:r w:rsidRPr="004E2A60">
        <w:rPr>
          <w:rStyle w:val="normaltextrun1"/>
          <w:rFonts w:ascii="Calibri" w:hAnsi="Calibri" w:cs="Calibri"/>
          <w:sz w:val="22"/>
          <w:szCs w:val="22"/>
          <w:lang w:eastAsia="en-NZ"/>
        </w:rPr>
        <w:t xml:space="preserve"> </w:t>
      </w:r>
      <w:r w:rsidR="00A067B9" w:rsidRPr="004E2A60">
        <w:rPr>
          <w:rStyle w:val="normaltextrun1"/>
          <w:rFonts w:ascii="Calibri" w:hAnsi="Calibri" w:cs="Calibri"/>
          <w:sz w:val="22"/>
          <w:szCs w:val="22"/>
          <w:lang w:eastAsia="en-NZ"/>
        </w:rPr>
        <w:t>approach</w:t>
      </w:r>
      <w:r w:rsidRPr="004E2A60">
        <w:rPr>
          <w:rStyle w:val="normaltextrun1"/>
          <w:rFonts w:ascii="Calibri" w:hAnsi="Calibri" w:cs="Calibri"/>
          <w:sz w:val="22"/>
          <w:szCs w:val="22"/>
          <w:lang w:eastAsia="en-NZ"/>
        </w:rPr>
        <w:t xml:space="preserve"> amendment on relevant groups:  New Zealand Police; mental health and addiction service providers; the court system and Judiciary; and people and communities who are affected by drug use.</w:t>
      </w:r>
    </w:p>
    <w:p w14:paraId="394524A3"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identify the relationships between the implementation of the amendment and referrals to health services from Police</w:t>
      </w:r>
    </w:p>
    <w:p w14:paraId="2C9B4A6C"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capture any geographic or demographic differences in how the amendment is being implemented; and </w:t>
      </w:r>
    </w:p>
    <w:p w14:paraId="5C82D677" w14:textId="77777777" w:rsidR="008D4408" w:rsidRPr="00D57928" w:rsidRDefault="008D4408"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4E2A60">
        <w:rPr>
          <w:rStyle w:val="normaltextrun1"/>
          <w:rFonts w:ascii="Calibri" w:hAnsi="Calibri" w:cs="Calibri"/>
          <w:sz w:val="22"/>
          <w:szCs w:val="22"/>
          <w:lang w:eastAsia="en-NZ"/>
        </w:rPr>
        <w:t>identify any implementation barriers, their causes and opportunities for improvement</w:t>
      </w:r>
      <w:r w:rsidRPr="00D57928">
        <w:rPr>
          <w:rStyle w:val="normaltextrun1"/>
          <w:rFonts w:ascii="Calibri" w:eastAsia="Times New Roman" w:hAnsi="Calibri" w:cs="Calibri"/>
          <w:sz w:val="22"/>
          <w:szCs w:val="22"/>
          <w:lang w:eastAsia="en-NZ"/>
        </w:rPr>
        <w:t>.</w:t>
      </w:r>
    </w:p>
    <w:p w14:paraId="226A8D24" w14:textId="77777777" w:rsidR="008D4408" w:rsidRPr="00D13A26" w:rsidRDefault="008D4408" w:rsidP="000D5E1B">
      <w:pPr>
        <w:pStyle w:val="Heading3"/>
      </w:pPr>
      <w:bookmarkStart w:id="326" w:name="_Toc75781214"/>
      <w:bookmarkStart w:id="327" w:name="_Toc75952927"/>
      <w:bookmarkStart w:id="328" w:name="_Toc78186508"/>
      <w:r w:rsidRPr="00D13A26">
        <w:lastRenderedPageBreak/>
        <w:t xml:space="preserve">Review </w:t>
      </w:r>
      <w:r>
        <w:t>a</w:t>
      </w:r>
      <w:r w:rsidRPr="00D13A26">
        <w:t>pproach</w:t>
      </w:r>
      <w:bookmarkEnd w:id="326"/>
      <w:bookmarkEnd w:id="327"/>
      <w:bookmarkEnd w:id="328"/>
    </w:p>
    <w:p w14:paraId="6CB565DB" w14:textId="77777777" w:rsidR="008D4408" w:rsidRDefault="008D4408" w:rsidP="008D4408">
      <w:r>
        <w:t>A number of government, judicial, health service-provider, and community actors have been impacted by – and are responsible for giving effect to – this amendment.  Accordingly, this review has been supported by engagement with:</w:t>
      </w:r>
    </w:p>
    <w:p w14:paraId="06118337"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New Zealand Police (Policy and Data Divisions, and Police Prosecutions Unit)</w:t>
      </w:r>
    </w:p>
    <w:p w14:paraId="68E383CF" w14:textId="778B8758"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National Drug Intelligence Bureau (joint Ministry of Health, Police and Customs initiative)</w:t>
      </w:r>
    </w:p>
    <w:p w14:paraId="0F766C85" w14:textId="7D25802D"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Ministry of Justice (including the Courts and Tribunals Unit), and members of the Judiciary</w:t>
      </w:r>
    </w:p>
    <w:p w14:paraId="4D2DE163"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New Zealand Customs Service</w:t>
      </w:r>
    </w:p>
    <w:p w14:paraId="742C8035" w14:textId="668496A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Mental Health and Addiction Service Providers (Including </w:t>
      </w:r>
      <w:proofErr w:type="spellStart"/>
      <w:r w:rsidR="19682237" w:rsidRPr="004E2A60">
        <w:rPr>
          <w:rStyle w:val="normaltextrun1"/>
          <w:rFonts w:ascii="Calibri" w:hAnsi="Calibri" w:cs="Calibri"/>
          <w:sz w:val="22"/>
          <w:szCs w:val="22"/>
          <w:lang w:eastAsia="en-NZ"/>
        </w:rPr>
        <w:t>Whakarongorau</w:t>
      </w:r>
      <w:proofErr w:type="spellEnd"/>
      <w:r w:rsidR="19682237" w:rsidRPr="004E2A60">
        <w:rPr>
          <w:rStyle w:val="normaltextrun1"/>
          <w:rFonts w:ascii="Calibri" w:hAnsi="Calibri" w:cs="Calibri"/>
          <w:sz w:val="22"/>
          <w:szCs w:val="22"/>
          <w:lang w:eastAsia="en-NZ"/>
        </w:rPr>
        <w:t xml:space="preserve">, formerly </w:t>
      </w:r>
      <w:r w:rsidRPr="004E2A60">
        <w:rPr>
          <w:rStyle w:val="normaltextrun1"/>
          <w:rFonts w:ascii="Calibri" w:hAnsi="Calibri" w:cs="Calibri"/>
          <w:sz w:val="22"/>
          <w:szCs w:val="22"/>
          <w:lang w:eastAsia="en-NZ"/>
        </w:rPr>
        <w:t>Homecare Medical and individual providers)</w:t>
      </w:r>
    </w:p>
    <w:p w14:paraId="6A3F6B03"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New Zealand Drug Foundation</w:t>
      </w:r>
    </w:p>
    <w:p w14:paraId="1DF93260" w14:textId="77777777"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Ministry of Health.</w:t>
      </w:r>
    </w:p>
    <w:p w14:paraId="7C0E5002" w14:textId="77777777" w:rsidR="008D4408" w:rsidRDefault="008D4408" w:rsidP="008D4408">
      <w:r>
        <w:t xml:space="preserve">The review has been supported by a cross-agency working group and oversight group.  </w:t>
      </w:r>
    </w:p>
    <w:p w14:paraId="792B57A2" w14:textId="701A8FA4" w:rsidR="00504C19" w:rsidRDefault="00504C19" w:rsidP="000D5E1B">
      <w:pPr>
        <w:pStyle w:val="Heading3"/>
      </w:pPr>
      <w:bookmarkStart w:id="329" w:name="_Toc75781215"/>
      <w:bookmarkStart w:id="330" w:name="_Toc75952928"/>
      <w:bookmarkStart w:id="331" w:name="_Toc78186509"/>
      <w:r>
        <w:t>Data sought for the review</w:t>
      </w:r>
      <w:bookmarkEnd w:id="329"/>
      <w:bookmarkEnd w:id="330"/>
      <w:bookmarkEnd w:id="331"/>
    </w:p>
    <w:p w14:paraId="367E6802" w14:textId="77777777" w:rsidR="00504C19" w:rsidRDefault="00504C19" w:rsidP="00504C19">
      <w:r>
        <w:t>The</w:t>
      </w:r>
      <w:r w:rsidDel="001A4291">
        <w:t xml:space="preserve"> </w:t>
      </w:r>
      <w:r>
        <w:t>review team has sought data from a number of agencies to provide an indication of:</w:t>
      </w:r>
    </w:p>
    <w:p w14:paraId="2A68E952" w14:textId="4C942B7B" w:rsidR="00504C19" w:rsidRPr="004E2A60" w:rsidRDefault="24BD1C23" w:rsidP="00B603EC">
      <w:pPr>
        <w:pStyle w:val="CommentText"/>
        <w:numPr>
          <w:ilvl w:val="0"/>
          <w:numId w:val="7"/>
        </w:numPr>
        <w:ind w:hanging="720"/>
        <w:textAlignment w:val="baseline"/>
        <w:rPr>
          <w:rStyle w:val="normaltextrun1"/>
          <w:rFonts w:ascii="Calibri" w:hAnsi="Calibri" w:cs="Calibri"/>
          <w:sz w:val="22"/>
          <w:szCs w:val="22"/>
          <w:lang w:eastAsia="en-NZ"/>
        </w:rPr>
      </w:pPr>
      <w:r w:rsidRPr="48A01074">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prevalence of drugs in communities:  drawing on NZ Customs and NZ Police seizure data, as well as wastewater sampling undertaken by the Environmental Science Research Institute (ESR</w:t>
      </w:r>
      <w:r w:rsidR="515104B8" w:rsidRPr="16ED3443">
        <w:rPr>
          <w:rStyle w:val="normaltextrun1"/>
          <w:rFonts w:ascii="Calibri" w:hAnsi="Calibri" w:cs="Calibri"/>
          <w:sz w:val="22"/>
          <w:szCs w:val="22"/>
          <w:lang w:eastAsia="en-NZ"/>
        </w:rPr>
        <w:t>)</w:t>
      </w:r>
    </w:p>
    <w:p w14:paraId="15CBCB67" w14:textId="6DE5636F" w:rsidR="00504C19" w:rsidRPr="004E2A60" w:rsidRDefault="5C91C847" w:rsidP="00B603EC">
      <w:pPr>
        <w:pStyle w:val="CommentText"/>
        <w:numPr>
          <w:ilvl w:val="0"/>
          <w:numId w:val="7"/>
        </w:numPr>
        <w:ind w:hanging="720"/>
        <w:textAlignment w:val="baseline"/>
        <w:rPr>
          <w:rStyle w:val="normaltextrun1"/>
          <w:rFonts w:ascii="Calibri" w:hAnsi="Calibri" w:cs="Calibri"/>
          <w:sz w:val="22"/>
          <w:szCs w:val="22"/>
          <w:lang w:eastAsia="en-NZ"/>
        </w:rPr>
      </w:pPr>
      <w:r w:rsidRPr="48A01074">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number of identified instances of possession for personal use, by drug type whether possession is a first or repeat offence</w:t>
      </w:r>
    </w:p>
    <w:p w14:paraId="4646F560" w14:textId="32423DF0" w:rsidR="00504C19" w:rsidRPr="004E2A60" w:rsidRDefault="0692B792"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complex roles Police officers perform in often fluid and sensitive frontline situations</w:t>
      </w:r>
    </w:p>
    <w:p w14:paraId="2B403E3D" w14:textId="5A967D99" w:rsidR="00504C19" w:rsidRPr="004E2A60" w:rsidRDefault="33AACBC4"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number of interactions NZ Police ha</w:t>
      </w:r>
      <w:r w:rsidR="00B465E9" w:rsidRPr="004E2A60">
        <w:rPr>
          <w:rStyle w:val="normaltextrun1"/>
          <w:rFonts w:ascii="Calibri" w:hAnsi="Calibri" w:cs="Calibri"/>
          <w:sz w:val="22"/>
          <w:szCs w:val="22"/>
          <w:lang w:eastAsia="en-NZ"/>
        </w:rPr>
        <w:t>s</w:t>
      </w:r>
      <w:r w:rsidR="00504C19" w:rsidRPr="004E2A60">
        <w:rPr>
          <w:rStyle w:val="normaltextrun1"/>
          <w:rFonts w:ascii="Calibri" w:hAnsi="Calibri" w:cs="Calibri"/>
          <w:sz w:val="22"/>
          <w:szCs w:val="22"/>
          <w:lang w:eastAsia="en-NZ"/>
        </w:rPr>
        <w:t xml:space="preserve"> with people who use drugs by type of interaction (e</w:t>
      </w:r>
      <w:r w:rsidR="00766F20">
        <w:rPr>
          <w:rStyle w:val="normaltextrun1"/>
          <w:rFonts w:ascii="Calibri" w:hAnsi="Calibri" w:cs="Calibri"/>
          <w:sz w:val="22"/>
          <w:szCs w:val="22"/>
          <w:lang w:eastAsia="en-NZ"/>
        </w:rPr>
        <w:t>g,</w:t>
      </w:r>
      <w:r w:rsidR="00504C19" w:rsidRPr="004E2A60">
        <w:rPr>
          <w:rStyle w:val="normaltextrun1"/>
          <w:rFonts w:ascii="Calibri" w:hAnsi="Calibri" w:cs="Calibri"/>
          <w:sz w:val="22"/>
          <w:szCs w:val="22"/>
          <w:lang w:eastAsia="en-NZ"/>
        </w:rPr>
        <w:t xml:space="preserve"> no action, referral, informal warning, formal warning, charging, prosecution</w:t>
      </w:r>
      <w:r w:rsidR="515104B8" w:rsidRPr="16ED3443">
        <w:rPr>
          <w:rStyle w:val="normaltextrun1"/>
          <w:rFonts w:ascii="Calibri" w:hAnsi="Calibri" w:cs="Calibri"/>
          <w:sz w:val="22"/>
          <w:szCs w:val="22"/>
          <w:lang w:eastAsia="en-NZ"/>
        </w:rPr>
        <w:t>)</w:t>
      </w:r>
    </w:p>
    <w:p w14:paraId="5AA0863F" w14:textId="6911464A" w:rsidR="00504C19" w:rsidRPr="004E2A60" w:rsidRDefault="26794E63"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number of health referrals made by NZ Police:  through the app, and to alternative pathways such as Te Pae Ora and Te Ara Oranga</w:t>
      </w:r>
    </w:p>
    <w:p w14:paraId="5B4B01CA" w14:textId="7A5F6960" w:rsidR="00504C19" w:rsidRPr="004E2A60" w:rsidRDefault="38CC4A95"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t</w:t>
      </w:r>
      <w:r w:rsidR="00504C19" w:rsidRPr="004E2A60">
        <w:rPr>
          <w:rStyle w:val="normaltextrun1"/>
          <w:rFonts w:ascii="Calibri" w:hAnsi="Calibri" w:cs="Calibri"/>
          <w:sz w:val="22"/>
          <w:szCs w:val="22"/>
          <w:lang w:eastAsia="en-NZ"/>
        </w:rPr>
        <w:t>he number of Police referrals received by Mental Health and Addiction service providers (through the app and – where possible – locally-</w:t>
      </w:r>
      <w:r w:rsidR="0015087A" w:rsidRPr="004E2A60">
        <w:rPr>
          <w:rStyle w:val="normaltextrun1"/>
          <w:rFonts w:ascii="Calibri" w:hAnsi="Calibri" w:cs="Calibri"/>
          <w:sz w:val="22"/>
          <w:szCs w:val="22"/>
          <w:lang w:eastAsia="en-NZ"/>
        </w:rPr>
        <w:t xml:space="preserve"> </w:t>
      </w:r>
      <w:r w:rsidR="00504C19" w:rsidRPr="004E2A60">
        <w:rPr>
          <w:rStyle w:val="normaltextrun1"/>
          <w:rFonts w:ascii="Calibri" w:hAnsi="Calibri" w:cs="Calibri"/>
          <w:sz w:val="22"/>
          <w:szCs w:val="22"/>
          <w:lang w:eastAsia="en-NZ"/>
        </w:rPr>
        <w:t>made referrals independent from the app process</w:t>
      </w:r>
      <w:r w:rsidR="515104B8" w:rsidRPr="16ED3443">
        <w:rPr>
          <w:rStyle w:val="normaltextrun1"/>
          <w:rFonts w:ascii="Calibri" w:hAnsi="Calibri" w:cs="Calibri"/>
          <w:sz w:val="22"/>
          <w:szCs w:val="22"/>
          <w:lang w:eastAsia="en-NZ"/>
        </w:rPr>
        <w:t>)</w:t>
      </w:r>
    </w:p>
    <w:p w14:paraId="67909997" w14:textId="5FBEC90C" w:rsidR="00504C19" w:rsidRPr="004E2A60" w:rsidRDefault="35EEFEAE"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s</w:t>
      </w:r>
      <w:r w:rsidR="00504C19" w:rsidRPr="004E2A60">
        <w:rPr>
          <w:rStyle w:val="normaltextrun1"/>
          <w:rFonts w:ascii="Calibri" w:hAnsi="Calibri" w:cs="Calibri"/>
          <w:sz w:val="22"/>
          <w:szCs w:val="22"/>
          <w:lang w:eastAsia="en-NZ"/>
        </w:rPr>
        <w:t>trengths and opportunities for improvement in existing referral processes and in the quality of services delivered following referral</w:t>
      </w:r>
    </w:p>
    <w:p w14:paraId="316135AF" w14:textId="626D5511" w:rsidR="00504C19" w:rsidRPr="004E2A60" w:rsidRDefault="01AE4288"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v</w:t>
      </w:r>
      <w:r w:rsidR="00504C19" w:rsidRPr="004E2A60">
        <w:rPr>
          <w:rStyle w:val="normaltextrun1"/>
          <w:rFonts w:ascii="Calibri" w:hAnsi="Calibri" w:cs="Calibri"/>
          <w:sz w:val="22"/>
          <w:szCs w:val="22"/>
          <w:lang w:eastAsia="en-NZ"/>
        </w:rPr>
        <w:t>olumes of court hearing addressing possession for personal use (further broken down as to where possession is the most serious offence or one of a number of offences)</w:t>
      </w:r>
    </w:p>
    <w:p w14:paraId="79554FC4" w14:textId="1BD556BD" w:rsidR="00504C19" w:rsidRPr="004E2A60" w:rsidRDefault="41B885F4"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h</w:t>
      </w:r>
      <w:r w:rsidR="00504C19" w:rsidRPr="004E2A60">
        <w:rPr>
          <w:rStyle w:val="normaltextrun1"/>
          <w:rFonts w:ascii="Calibri" w:hAnsi="Calibri" w:cs="Calibri"/>
          <w:sz w:val="22"/>
          <w:szCs w:val="22"/>
          <w:lang w:eastAsia="en-NZ"/>
        </w:rPr>
        <w:t>ow diversion and other pathways may be used, during the prosecution process, to achieve health-based outcomes within the criminal justice setting</w:t>
      </w:r>
    </w:p>
    <w:p w14:paraId="58E20032" w14:textId="01C32A13" w:rsidR="00504C19" w:rsidRPr="004E2A60" w:rsidRDefault="680200B2" w:rsidP="00B603EC">
      <w:pPr>
        <w:pStyle w:val="CommentText"/>
        <w:numPr>
          <w:ilvl w:val="0"/>
          <w:numId w:val="7"/>
        </w:numPr>
        <w:ind w:hanging="720"/>
        <w:textAlignment w:val="baseline"/>
        <w:rPr>
          <w:rStyle w:val="normaltextrun1"/>
          <w:rFonts w:ascii="Calibri" w:hAnsi="Calibri" w:cs="Calibri"/>
          <w:sz w:val="22"/>
          <w:szCs w:val="22"/>
          <w:lang w:eastAsia="en-NZ"/>
        </w:rPr>
      </w:pPr>
      <w:r w:rsidRPr="0A9F8F4A">
        <w:rPr>
          <w:rStyle w:val="normaltextrun1"/>
          <w:rFonts w:ascii="Calibri" w:hAnsi="Calibri" w:cs="Calibri"/>
          <w:sz w:val="22"/>
          <w:szCs w:val="22"/>
          <w:lang w:eastAsia="en-NZ"/>
        </w:rPr>
        <w:t>h</w:t>
      </w:r>
      <w:r w:rsidR="00504C19" w:rsidRPr="004E2A60">
        <w:rPr>
          <w:rStyle w:val="normaltextrun1"/>
          <w:rFonts w:ascii="Calibri" w:hAnsi="Calibri" w:cs="Calibri"/>
          <w:sz w:val="22"/>
          <w:szCs w:val="22"/>
          <w:lang w:eastAsia="en-NZ"/>
        </w:rPr>
        <w:t>ow the system is currently performing from an equity perspective – working with Iwi and other partners to improve outcomes for those most vulnerable to drug-related harms.</w:t>
      </w:r>
    </w:p>
    <w:p w14:paraId="712E70E0" w14:textId="28845E05" w:rsidR="00504C19" w:rsidRPr="00CD669D" w:rsidRDefault="00504C19" w:rsidP="00504C19">
      <w:r>
        <w:lastRenderedPageBreak/>
        <w:t>Where possible, data has been broken down to capture demographic variations including insights and innovations specific to regions, as well as any trends relevant to wider equitable outcomes (</w:t>
      </w:r>
      <w:r w:rsidR="3AB29644">
        <w:t>eg,</w:t>
      </w:r>
      <w:r>
        <w:t xml:space="preserve"> impacts by age of people who use drugs).  </w:t>
      </w:r>
    </w:p>
    <w:p w14:paraId="5839279B" w14:textId="77777777" w:rsidR="008D4408" w:rsidRDefault="008D4408" w:rsidP="008D4408">
      <w:r>
        <w:t xml:space="preserve">Quantitative data has been supplied throughout the review by NZ Police, NZ Customs Service, Ministry of Health Divisions and the Ministry of Justice.  </w:t>
      </w:r>
    </w:p>
    <w:p w14:paraId="23B14C30" w14:textId="7917BA2F" w:rsidR="008D4408" w:rsidRDefault="008D4408" w:rsidP="008D4408">
      <w:r>
        <w:t xml:space="preserve">A survey of mental health and addiction service providers has been carried out. This survey was issued to 48 providers identified by the Ministry of Health and associated with the NZ Police’s AWHI network.  </w:t>
      </w:r>
    </w:p>
    <w:p w14:paraId="63C48FF9" w14:textId="5A51320E" w:rsidR="008D4408" w:rsidRDefault="008D4408" w:rsidP="008D4408">
      <w:r>
        <w:t>The Review team has also undertaken structured interviews with mental health and addiction services providers, the New Zealand Drug Foundation and members of the judiciary.</w:t>
      </w:r>
    </w:p>
    <w:p w14:paraId="06D428B0" w14:textId="77777777" w:rsidR="008D4408" w:rsidRPr="00D13A26" w:rsidRDefault="008D4408" w:rsidP="000D5E1B">
      <w:pPr>
        <w:pStyle w:val="Heading3"/>
      </w:pPr>
      <w:bookmarkStart w:id="332" w:name="_Toc75781216"/>
      <w:bookmarkStart w:id="333" w:name="_Toc75952929"/>
      <w:bookmarkStart w:id="334" w:name="_Toc78186510"/>
      <w:r>
        <w:t>Approach constraints</w:t>
      </w:r>
      <w:bookmarkEnd w:id="332"/>
      <w:bookmarkEnd w:id="333"/>
      <w:bookmarkEnd w:id="334"/>
    </w:p>
    <w:p w14:paraId="1429AAA0" w14:textId="13F4FA7B" w:rsidR="008D4408" w:rsidRDefault="008D4408" w:rsidP="008D4408">
      <w:r>
        <w:t xml:space="preserve">Due to time and operational constraints, the Review team has not been able to interview frontline Police officers to capture their experiences in applying a health-based approach to the public interest test. </w:t>
      </w:r>
      <w:r w:rsidR="00551C59">
        <w:t>I</w:t>
      </w:r>
      <w:r w:rsidR="0005651D">
        <w:t>t has</w:t>
      </w:r>
      <w:r w:rsidR="00551C59">
        <w:t>, however,</w:t>
      </w:r>
      <w:r w:rsidR="0005651D">
        <w:t xml:space="preserve"> been informed by a parallel piece of work </w:t>
      </w:r>
      <w:r w:rsidR="00B94391">
        <w:t xml:space="preserve">exploring frontline police </w:t>
      </w:r>
      <w:r w:rsidR="00C20CC2">
        <w:t xml:space="preserve">perspectives of </w:t>
      </w:r>
      <w:r w:rsidR="00CC4714">
        <w:t xml:space="preserve">referring people through to Te Pae Ora iwi panels. </w:t>
      </w:r>
    </w:p>
    <w:p w14:paraId="1D8388EE" w14:textId="777F464F" w:rsidR="008D4408" w:rsidRDefault="008D4408" w:rsidP="008D4408">
      <w:r>
        <w:t>The review team has not directly interviewed individuals or wh</w:t>
      </w:r>
      <w:r w:rsidRPr="00CD2F19">
        <w:rPr>
          <w:rFonts w:cstheme="minorHAnsi"/>
        </w:rPr>
        <w:t>ā</w:t>
      </w:r>
      <w:r>
        <w:t>nau about their experiences pre</w:t>
      </w:r>
      <w:r w:rsidR="00AF6D6F">
        <w:t>-</w:t>
      </w:r>
      <w:r>
        <w:t xml:space="preserve"> and post-amendment.  This was not done as there was insufficient time to work through the ethical considerations (e</w:t>
      </w:r>
      <w:r w:rsidR="0052706C">
        <w:t>.</w:t>
      </w:r>
      <w:r>
        <w:t xml:space="preserve">g. </w:t>
      </w:r>
      <w:r w:rsidR="00335349">
        <w:t xml:space="preserve">potentially </w:t>
      </w:r>
      <w:r>
        <w:t xml:space="preserve">retraumatising people) in an appropriate manner.  </w:t>
      </w:r>
    </w:p>
    <w:p w14:paraId="5A28CCE7" w14:textId="77777777" w:rsidR="008D4408" w:rsidRDefault="008D4408" w:rsidP="008D4408">
      <w:r>
        <w:t>A balanced approach has been taken to ensure the data used is as robust as possible, in the timeframe available, and this report recommends ongoing efforts to better synthesis data-gathering and knowledge-sharing system wide.</w:t>
      </w:r>
    </w:p>
    <w:p w14:paraId="6A49ADD4" w14:textId="77777777" w:rsidR="008D4408" w:rsidRDefault="008D4408" w:rsidP="000D5E1B">
      <w:pPr>
        <w:pStyle w:val="Heading3"/>
      </w:pPr>
      <w:bookmarkStart w:id="335" w:name="_Toc75781217"/>
      <w:bookmarkStart w:id="336" w:name="_Toc75952930"/>
      <w:bookmarkStart w:id="337" w:name="_Toc78186511"/>
      <w:r>
        <w:t>Data limitations</w:t>
      </w:r>
      <w:bookmarkEnd w:id="335"/>
      <w:bookmarkEnd w:id="336"/>
      <w:bookmarkEnd w:id="337"/>
      <w:r>
        <w:t xml:space="preserve"> </w:t>
      </w:r>
    </w:p>
    <w:p w14:paraId="279E9E25" w14:textId="5566C191" w:rsidR="008D4408" w:rsidRDefault="008D4408" w:rsidP="008D4408">
      <w:r>
        <w:t xml:space="preserve">For a number of reasons, there will be margins of error in this report’s </w:t>
      </w:r>
      <w:r w:rsidRPr="002C5C6A">
        <w:t xml:space="preserve">analysis. </w:t>
      </w:r>
      <w:r w:rsidRPr="00730159">
        <w:t xml:space="preserve">Datasets have been collected separately by agencies and for differing purposes, so it not always possible to align the information. </w:t>
      </w:r>
      <w:r>
        <w:t xml:space="preserve">There are some key gaps in datasets, and some areas where datasets have </w:t>
      </w:r>
      <w:r w:rsidDel="005E0826">
        <w:t>complexities</w:t>
      </w:r>
      <w:r>
        <w:t>, we have not been able to resolve during this review. This means that, in several instances, we can make observations, but not be conclusive about the actual trends the data illustrates. Limitations include the following:</w:t>
      </w:r>
    </w:p>
    <w:p w14:paraId="0B25BC26" w14:textId="221C6046" w:rsidR="008D4408" w:rsidRPr="00AF6D6F" w:rsidRDefault="6D440798" w:rsidP="00B603EC">
      <w:pPr>
        <w:pStyle w:val="CommentText"/>
        <w:numPr>
          <w:ilvl w:val="0"/>
          <w:numId w:val="7"/>
        </w:numPr>
        <w:ind w:hanging="720"/>
        <w:textAlignment w:val="baseline"/>
        <w:rPr>
          <w:rStyle w:val="normaltextrun1"/>
          <w:rFonts w:ascii="Calibri" w:hAnsi="Calibri" w:cs="Calibri"/>
          <w:sz w:val="22"/>
          <w:szCs w:val="22"/>
          <w:lang w:eastAsia="en-NZ"/>
        </w:rPr>
      </w:pPr>
      <w:r w:rsidRPr="00AF6D6F">
        <w:rPr>
          <w:rStyle w:val="normaltextrun1"/>
          <w:rFonts w:ascii="Calibri" w:hAnsi="Calibri" w:cs="Calibri"/>
          <w:sz w:val="22"/>
          <w:szCs w:val="22"/>
          <w:lang w:eastAsia="en-NZ"/>
        </w:rPr>
        <w:t>t</w:t>
      </w:r>
      <w:r w:rsidR="008D4408" w:rsidRPr="00AF6D6F">
        <w:rPr>
          <w:rStyle w:val="normaltextrun1"/>
          <w:rFonts w:ascii="Calibri" w:hAnsi="Calibri" w:cs="Calibri"/>
          <w:sz w:val="22"/>
          <w:szCs w:val="22"/>
          <w:lang w:eastAsia="en-NZ"/>
        </w:rPr>
        <w:t xml:space="preserve">he time period from </w:t>
      </w:r>
      <w:r w:rsidR="002F30FD" w:rsidRPr="00AF6D6F">
        <w:rPr>
          <w:rStyle w:val="normaltextrun1"/>
          <w:rFonts w:ascii="Calibri" w:hAnsi="Calibri" w:cs="Calibri"/>
          <w:sz w:val="22"/>
          <w:szCs w:val="22"/>
          <w:lang w:eastAsia="en-NZ"/>
        </w:rPr>
        <w:t xml:space="preserve">the amendments taking effect </w:t>
      </w:r>
      <w:r w:rsidR="008D4408" w:rsidRPr="00AF6D6F">
        <w:rPr>
          <w:rStyle w:val="normaltextrun1"/>
          <w:rFonts w:ascii="Calibri" w:hAnsi="Calibri" w:cs="Calibri"/>
          <w:sz w:val="22"/>
          <w:szCs w:val="22"/>
          <w:lang w:eastAsia="en-NZ"/>
        </w:rPr>
        <w:t>to this review is short</w:t>
      </w:r>
      <w:r w:rsidR="00D827DB" w:rsidRPr="00AF6D6F">
        <w:rPr>
          <w:rStyle w:val="normaltextrun1"/>
          <w:rFonts w:ascii="Calibri" w:hAnsi="Calibri" w:cs="Calibri"/>
          <w:sz w:val="22"/>
          <w:szCs w:val="22"/>
          <w:lang w:eastAsia="en-NZ"/>
        </w:rPr>
        <w:t xml:space="preserve">, and </w:t>
      </w:r>
      <w:r w:rsidR="00CF60E5" w:rsidRPr="00AF6D6F">
        <w:rPr>
          <w:rStyle w:val="normaltextrun1"/>
          <w:rFonts w:ascii="Calibri" w:hAnsi="Calibri" w:cs="Calibri"/>
          <w:sz w:val="22"/>
          <w:szCs w:val="22"/>
          <w:lang w:eastAsia="en-NZ"/>
        </w:rPr>
        <w:t xml:space="preserve">many of the </w:t>
      </w:r>
      <w:r w:rsidR="00291CC8" w:rsidRPr="00AF6D6F">
        <w:rPr>
          <w:rStyle w:val="normaltextrun1"/>
          <w:rFonts w:ascii="Calibri" w:hAnsi="Calibri" w:cs="Calibri"/>
          <w:sz w:val="22"/>
          <w:szCs w:val="22"/>
          <w:lang w:eastAsia="en-NZ"/>
        </w:rPr>
        <w:t xml:space="preserve">effects may not </w:t>
      </w:r>
      <w:r w:rsidR="00A121A0" w:rsidRPr="00AF6D6F">
        <w:rPr>
          <w:rStyle w:val="normaltextrun1"/>
          <w:rFonts w:ascii="Calibri" w:hAnsi="Calibri" w:cs="Calibri"/>
          <w:sz w:val="22"/>
          <w:szCs w:val="22"/>
          <w:lang w:eastAsia="en-NZ"/>
        </w:rPr>
        <w:t>yet</w:t>
      </w:r>
      <w:r w:rsidR="003C2E46" w:rsidRPr="00AF6D6F">
        <w:rPr>
          <w:rStyle w:val="normaltextrun1"/>
          <w:rFonts w:ascii="Calibri" w:hAnsi="Calibri" w:cs="Calibri"/>
          <w:sz w:val="22"/>
          <w:szCs w:val="22"/>
          <w:lang w:eastAsia="en-NZ"/>
        </w:rPr>
        <w:t xml:space="preserve"> be </w:t>
      </w:r>
      <w:r w:rsidR="00A121A0" w:rsidRPr="00AF6D6F">
        <w:rPr>
          <w:rStyle w:val="normaltextrun1"/>
          <w:rFonts w:ascii="Calibri" w:hAnsi="Calibri" w:cs="Calibri"/>
          <w:sz w:val="22"/>
          <w:szCs w:val="22"/>
          <w:lang w:eastAsia="en-NZ"/>
        </w:rPr>
        <w:t>evident, or conclusive</w:t>
      </w:r>
      <w:r w:rsidR="008D4408" w:rsidRPr="00AF6D6F">
        <w:rPr>
          <w:rStyle w:val="normaltextrun1"/>
          <w:rFonts w:ascii="Calibri" w:hAnsi="Calibri" w:cs="Calibri"/>
          <w:sz w:val="22"/>
          <w:szCs w:val="22"/>
          <w:lang w:eastAsia="en-NZ"/>
        </w:rPr>
        <w:t xml:space="preserve">.  During this time there has been a global pandemic, and </w:t>
      </w:r>
      <w:r w:rsidR="00853E41" w:rsidRPr="00AF6D6F">
        <w:rPr>
          <w:rStyle w:val="normaltextrun1"/>
          <w:rFonts w:ascii="Calibri" w:hAnsi="Calibri" w:cs="Calibri"/>
          <w:sz w:val="22"/>
          <w:szCs w:val="22"/>
          <w:lang w:eastAsia="en-NZ"/>
        </w:rPr>
        <w:t xml:space="preserve">we do not have </w:t>
      </w:r>
      <w:r w:rsidR="002B6791" w:rsidRPr="00AF6D6F">
        <w:rPr>
          <w:rStyle w:val="normaltextrun1"/>
          <w:rFonts w:ascii="Calibri" w:hAnsi="Calibri" w:cs="Calibri"/>
          <w:sz w:val="22"/>
          <w:szCs w:val="22"/>
          <w:lang w:eastAsia="en-NZ"/>
        </w:rPr>
        <w:t xml:space="preserve">information of </w:t>
      </w:r>
      <w:r w:rsidR="008D4408" w:rsidRPr="00AF6D6F">
        <w:rPr>
          <w:rStyle w:val="normaltextrun1"/>
          <w:rFonts w:ascii="Calibri" w:hAnsi="Calibri" w:cs="Calibri"/>
          <w:sz w:val="22"/>
          <w:szCs w:val="22"/>
          <w:lang w:eastAsia="en-NZ"/>
        </w:rPr>
        <w:t xml:space="preserve">the full impacts of COVID-19 on drug supply, drug use, policing, health and social services and individuals, whānau and communities </w:t>
      </w:r>
    </w:p>
    <w:p w14:paraId="0CBDC27F" w14:textId="35A628F5"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Police data does not include interactions where officers determine it is not in the public interest to prosecute individuals for personal possession and use of illegal drugs</w:t>
      </w:r>
    </w:p>
    <w:p w14:paraId="66DB2B0C" w14:textId="427E1C71"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Police has only recently started to record local referrals to mental health and addiction services (referrals to the addiction helpline are recorded by the helpline provider</w:t>
      </w:r>
      <w:r w:rsidRPr="5E30F3BD">
        <w:rPr>
          <w:rStyle w:val="normaltextrun1"/>
          <w:rFonts w:ascii="Calibri" w:hAnsi="Calibri" w:cs="Calibri"/>
          <w:sz w:val="22"/>
          <w:szCs w:val="22"/>
          <w:lang w:eastAsia="en-NZ"/>
        </w:rPr>
        <w:t>)</w:t>
      </w:r>
      <w:r w:rsidRPr="004E2A60">
        <w:rPr>
          <w:rStyle w:val="normaltextrun1"/>
          <w:rFonts w:ascii="Calibri" w:hAnsi="Calibri" w:cs="Calibri"/>
          <w:sz w:val="22"/>
          <w:szCs w:val="22"/>
          <w:lang w:eastAsia="en-NZ"/>
        </w:rPr>
        <w:t xml:space="preserve"> </w:t>
      </w:r>
    </w:p>
    <w:p w14:paraId="010F4BF2" w14:textId="2065B6A3" w:rsidR="008D4408" w:rsidRPr="00D57928" w:rsidRDefault="0C02A39F"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5E30F3BD">
        <w:rPr>
          <w:rStyle w:val="normaltextrun1"/>
          <w:rFonts w:ascii="Calibri" w:hAnsi="Calibri" w:cs="Calibri"/>
          <w:sz w:val="22"/>
          <w:szCs w:val="22"/>
          <w:lang w:eastAsia="en-NZ"/>
        </w:rPr>
        <w:t>s</w:t>
      </w:r>
      <w:r w:rsidR="008D4408" w:rsidRPr="5E30F3BD">
        <w:rPr>
          <w:rStyle w:val="normaltextrun1"/>
          <w:rFonts w:ascii="Calibri" w:hAnsi="Calibri" w:cs="Calibri"/>
          <w:sz w:val="22"/>
          <w:szCs w:val="22"/>
          <w:lang w:eastAsia="en-NZ"/>
        </w:rPr>
        <w:t>ynthetic</w:t>
      </w:r>
      <w:r w:rsidR="008D4408" w:rsidRPr="004E2A60">
        <w:rPr>
          <w:rStyle w:val="normaltextrun1"/>
          <w:rFonts w:ascii="Calibri" w:hAnsi="Calibri" w:cs="Calibri"/>
          <w:sz w:val="22"/>
          <w:szCs w:val="22"/>
          <w:lang w:eastAsia="en-NZ"/>
        </w:rPr>
        <w:t xml:space="preserve"> and botanical cannabinoids are not detectable in wastewater sampling</w:t>
      </w:r>
      <w:r w:rsidR="008D4408" w:rsidRPr="00D57928">
        <w:rPr>
          <w:rStyle w:val="normaltextrun1"/>
          <w:rFonts w:ascii="Calibri" w:eastAsia="Times New Roman" w:hAnsi="Calibri" w:cs="Calibri"/>
          <w:sz w:val="22"/>
          <w:szCs w:val="22"/>
          <w:lang w:eastAsia="en-NZ"/>
        </w:rPr>
        <w:t>, making it difficult to confirm proportion between overarching prevalence and the number of health and criminal justice interactions identified</w:t>
      </w:r>
    </w:p>
    <w:p w14:paraId="1B502FEB" w14:textId="582D6F41" w:rsidR="009E4B42" w:rsidRPr="004E2A60" w:rsidRDefault="009E4B42"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Police and service provider data does not always capture individuals’ ethnicity and other demographic information (due to lack of opportunity to record and inappropriateness of </w:t>
      </w:r>
      <w:r w:rsidRPr="004E2A60">
        <w:rPr>
          <w:rStyle w:val="normaltextrun1"/>
          <w:rFonts w:ascii="Calibri" w:hAnsi="Calibri" w:cs="Calibri"/>
          <w:sz w:val="22"/>
          <w:szCs w:val="22"/>
          <w:lang w:eastAsia="en-NZ"/>
        </w:rPr>
        <w:lastRenderedPageBreak/>
        <w:t>assuming demographics). The review includes some ethnicity analysis, but does</w:t>
      </w:r>
      <w:r w:rsidR="00EF2317">
        <w:rPr>
          <w:rStyle w:val="normaltextrun1"/>
          <w:rFonts w:ascii="Calibri" w:hAnsi="Calibri" w:cs="Calibri"/>
          <w:sz w:val="22"/>
          <w:szCs w:val="22"/>
          <w:lang w:eastAsia="en-NZ"/>
        </w:rPr>
        <w:t xml:space="preserve"> not</w:t>
      </w:r>
      <w:r w:rsidRPr="004E2A60">
        <w:rPr>
          <w:rStyle w:val="normaltextrun1"/>
          <w:rFonts w:ascii="Calibri" w:hAnsi="Calibri" w:cs="Calibri"/>
          <w:sz w:val="22"/>
          <w:szCs w:val="22"/>
          <w:lang w:eastAsia="en-NZ"/>
        </w:rPr>
        <w:t xml:space="preserve"> study gender differences or socio-economic factors</w:t>
      </w:r>
    </w:p>
    <w:p w14:paraId="42E13B8F" w14:textId="4937FD78" w:rsidR="008D4408" w:rsidRPr="004E2A60" w:rsidRDefault="008D4408"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Ministry of Health datasets do not capture addiction services falling under disability services funded by the Ministry of Social Development</w:t>
      </w:r>
    </w:p>
    <w:p w14:paraId="55B6C314" w14:textId="2F5CF4A6" w:rsidR="008D4408" w:rsidRPr="004E2A60" w:rsidRDefault="560713BD" w:rsidP="00B603EC">
      <w:pPr>
        <w:pStyle w:val="CommentText"/>
        <w:numPr>
          <w:ilvl w:val="0"/>
          <w:numId w:val="7"/>
        </w:numPr>
        <w:ind w:hanging="720"/>
        <w:textAlignment w:val="baseline"/>
        <w:rPr>
          <w:rStyle w:val="normaltextrun1"/>
          <w:rFonts w:ascii="Calibri" w:hAnsi="Calibri" w:cs="Calibri"/>
          <w:sz w:val="22"/>
          <w:szCs w:val="22"/>
          <w:lang w:eastAsia="en-NZ"/>
        </w:rPr>
      </w:pPr>
      <w:r w:rsidRPr="5F84995A">
        <w:rPr>
          <w:rStyle w:val="normaltextrun1"/>
          <w:rFonts w:ascii="Calibri" w:hAnsi="Calibri" w:cs="Calibri"/>
          <w:sz w:val="22"/>
          <w:szCs w:val="22"/>
          <w:lang w:eastAsia="en-NZ"/>
        </w:rPr>
        <w:t>s</w:t>
      </w:r>
      <w:r w:rsidR="008D4408" w:rsidRPr="5F84995A">
        <w:rPr>
          <w:rStyle w:val="normaltextrun1"/>
          <w:rFonts w:ascii="Calibri" w:hAnsi="Calibri" w:cs="Calibri"/>
          <w:sz w:val="22"/>
          <w:szCs w:val="22"/>
          <w:lang w:eastAsia="en-NZ"/>
        </w:rPr>
        <w:t>ome</w:t>
      </w:r>
      <w:r w:rsidR="008D4408" w:rsidRPr="004E2A60">
        <w:rPr>
          <w:rStyle w:val="normaltextrun1"/>
          <w:rFonts w:ascii="Calibri" w:hAnsi="Calibri" w:cs="Calibri"/>
          <w:sz w:val="22"/>
          <w:szCs w:val="22"/>
          <w:lang w:eastAsia="en-NZ"/>
        </w:rPr>
        <w:t xml:space="preserve"> datasets do not distinguish referrals for personal drug use from mental health, gambling or other issues. </w:t>
      </w:r>
    </w:p>
    <w:p w14:paraId="203CED03" w14:textId="04C7592E" w:rsidR="00712557" w:rsidRPr="00226DDB" w:rsidRDefault="008D4408">
      <w:pPr>
        <w:rPr>
          <w:rFonts w:asciiTheme="majorHAnsi" w:eastAsiaTheme="majorEastAsia" w:hAnsiTheme="majorHAnsi" w:cstheme="majorBidi"/>
          <w:color w:val="2F5496" w:themeColor="accent1" w:themeShade="BF"/>
          <w:sz w:val="32"/>
          <w:szCs w:val="32"/>
        </w:rPr>
      </w:pPr>
      <w:r>
        <w:br w:type="page"/>
      </w:r>
      <w:bookmarkEnd w:id="319"/>
    </w:p>
    <w:p w14:paraId="3855CC49" w14:textId="1DC0DDB3" w:rsidR="00712557" w:rsidRDefault="00712557" w:rsidP="000F3763">
      <w:pPr>
        <w:pStyle w:val="Heading2"/>
      </w:pPr>
      <w:bookmarkStart w:id="338" w:name="_Toc74572695"/>
      <w:bookmarkStart w:id="339" w:name="_Toc75781218"/>
      <w:bookmarkStart w:id="340" w:name="_Toc75952931"/>
      <w:bookmarkStart w:id="341" w:name="_Toc78186512"/>
      <w:r>
        <w:lastRenderedPageBreak/>
        <w:t xml:space="preserve">Appendix </w:t>
      </w:r>
      <w:r w:rsidR="00424FE1">
        <w:t>3</w:t>
      </w:r>
      <w:r>
        <w:t>:  Inquiry into Mental Health and Addiction System and recent Government investment in the mental health and addiction system</w:t>
      </w:r>
      <w:bookmarkEnd w:id="338"/>
      <w:bookmarkEnd w:id="339"/>
      <w:bookmarkEnd w:id="340"/>
      <w:bookmarkEnd w:id="341"/>
    </w:p>
    <w:p w14:paraId="4E8AE54F" w14:textId="77777777" w:rsidR="00712557" w:rsidRPr="0054291F" w:rsidRDefault="00712557" w:rsidP="000D5E1B">
      <w:pPr>
        <w:pStyle w:val="Heading3"/>
      </w:pPr>
      <w:bookmarkStart w:id="342" w:name="_Toc75781219"/>
      <w:bookmarkStart w:id="343" w:name="_Toc75952932"/>
      <w:bookmarkStart w:id="344" w:name="_Toc78186513"/>
      <w:r>
        <w:t xml:space="preserve">He Ara Oranga: Report of the </w:t>
      </w:r>
      <w:r w:rsidRPr="0054291F">
        <w:t>Government Inquiry into Mental Health and Addiction</w:t>
      </w:r>
      <w:bookmarkEnd w:id="342"/>
      <w:bookmarkEnd w:id="343"/>
      <w:bookmarkEnd w:id="344"/>
    </w:p>
    <w:p w14:paraId="418BEAE8" w14:textId="77777777" w:rsidR="00712557" w:rsidRDefault="00712557" w:rsidP="00712557">
      <w:r w:rsidRPr="6A2BD812">
        <w:t xml:space="preserve">In 2017, the incoming Government commissioned an inquiry into mental health and addiction in New Zealand. The inquiry was mandated to look at mental wellbeing from mental distress to </w:t>
      </w:r>
      <w:r>
        <w:t>enduring</w:t>
      </w:r>
      <w:r w:rsidRPr="6A2BD812">
        <w:t xml:space="preserve"> psychiatric illness, and to take account of the determinants of mental health, many of which lie outside the health system.</w:t>
      </w:r>
    </w:p>
    <w:p w14:paraId="4B1C92DA" w14:textId="30DBBFCF" w:rsidR="00AE203F" w:rsidRDefault="00712557" w:rsidP="00712557">
      <w:r w:rsidRPr="006C6B5D">
        <w:rPr>
          <w:i/>
          <w:iCs/>
        </w:rPr>
        <w:t>He Ara Oranga</w:t>
      </w:r>
      <w:r w:rsidRPr="50B63CFC">
        <w:rPr>
          <w:i/>
          <w:iCs/>
        </w:rPr>
        <w:t>: Report of the Government Inquiry in Mental Health and Addiction (He Ara Oranga)</w:t>
      </w:r>
      <w:r w:rsidRPr="006C6B5D">
        <w:rPr>
          <w:i/>
          <w:iCs/>
        </w:rPr>
        <w:t xml:space="preserve"> </w:t>
      </w:r>
      <w:r>
        <w:t>was released in 2018</w:t>
      </w:r>
      <w:r w:rsidR="00CA2706">
        <w:t xml:space="preserve">.  The report </w:t>
      </w:r>
      <w:r>
        <w:t>highlighted the need for an approach to mental health and wellbeing that addresses the determinants of wellbeing (such as poverty and exclusion)</w:t>
      </w:r>
      <w:r w:rsidR="00FD58B5">
        <w:t>. The report</w:t>
      </w:r>
      <w:r>
        <w:t xml:space="preserve"> includes wellbeing promotion and the prevention of mental distress, puts people at the centre, and supports people to stay well and to recover in their communities. It also noted that the new approach needed to be based on</w:t>
      </w:r>
      <w:r w:rsidR="00AE203F">
        <w:t>:</w:t>
      </w:r>
    </w:p>
    <w:p w14:paraId="3E2EBFAE" w14:textId="0403CD1F" w:rsidR="00AE203F"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honouring Te Tiriti o Waitangi and promoting equity </w:t>
      </w:r>
    </w:p>
    <w:p w14:paraId="4843C5AB" w14:textId="20E0E0A7" w:rsidR="000B67B4"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listening to the voices of people with experience of mental distress and the mental health system</w:t>
      </w:r>
    </w:p>
    <w:p w14:paraId="6D7AE00A" w14:textId="3A78EF5C" w:rsidR="000B67B4"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recognising mental wellbeing is a shared responsibility </w:t>
      </w:r>
    </w:p>
    <w:p w14:paraId="2FBF8CA4" w14:textId="6B030244"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building on existing foundations for success.</w:t>
      </w:r>
    </w:p>
    <w:p w14:paraId="0020BCE2" w14:textId="6E222818" w:rsidR="004B405D" w:rsidRDefault="00712557" w:rsidP="00712557">
      <w:r w:rsidRPr="006C6B5D">
        <w:rPr>
          <w:i/>
        </w:rPr>
        <w:t>He Ara Oranga</w:t>
      </w:r>
      <w:r w:rsidRPr="6A2BD812">
        <w:t xml:space="preserve"> noted that New Zealand did not have a complete continuum of care</w:t>
      </w:r>
      <w:r w:rsidR="00650AC4">
        <w:t>. It stated that</w:t>
      </w:r>
      <w:r w:rsidRPr="6A2BD812">
        <w:t xml:space="preserve"> components of the system </w:t>
      </w:r>
      <w:r w:rsidR="00650AC4">
        <w:t>are</w:t>
      </w:r>
      <w:r w:rsidRPr="6A2BD812">
        <w:t xml:space="preserve"> missing for New Zealanders with mild to moderate mental health and addiction needs</w:t>
      </w:r>
      <w:r w:rsidR="005E519C">
        <w:t>,</w:t>
      </w:r>
      <w:r w:rsidRPr="6A2BD812">
        <w:t xml:space="preserve"> who do not meet the threshold for specialist services. </w:t>
      </w:r>
      <w:r>
        <w:t xml:space="preserve"> Key recommendations were to support access and choice and build this ‘missing middle’, and to transform primary care so that people can get mental health support in their communities. </w:t>
      </w:r>
      <w:r w:rsidRPr="006C6B5D">
        <w:rPr>
          <w:i/>
        </w:rPr>
        <w:t>He Ara Oranga</w:t>
      </w:r>
      <w:r w:rsidRPr="6A2BD812">
        <w:t xml:space="preserve"> describes a </w:t>
      </w:r>
      <w:r>
        <w:t xml:space="preserve">future </w:t>
      </w:r>
      <w:r w:rsidRPr="6A2BD812">
        <w:t>system with</w:t>
      </w:r>
      <w:r w:rsidR="00A5623B">
        <w:t xml:space="preserve"> people at the centre</w:t>
      </w:r>
      <w:r w:rsidR="002F7038">
        <w:t xml:space="preserve"> that</w:t>
      </w:r>
      <w:r w:rsidR="004B405D">
        <w:t>:</w:t>
      </w:r>
    </w:p>
    <w:p w14:paraId="21244C88" w14:textId="4405FC06" w:rsidR="004B405D" w:rsidRPr="005276FE" w:rsidRDefault="002F703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 xml:space="preserve">is </w:t>
      </w:r>
      <w:r w:rsidR="00712557" w:rsidRPr="005276FE">
        <w:rPr>
          <w:rStyle w:val="normaltextrun1"/>
          <w:rFonts w:ascii="Calibri" w:hAnsi="Calibri" w:cs="Calibri"/>
          <w:sz w:val="22"/>
          <w:szCs w:val="22"/>
          <w:lang w:eastAsia="en-NZ"/>
        </w:rPr>
        <w:t>responsive to different age</w:t>
      </w:r>
      <w:r w:rsidR="00AF6D6F" w:rsidRPr="005276FE">
        <w:rPr>
          <w:rStyle w:val="normaltextrun1"/>
          <w:rFonts w:ascii="Calibri" w:hAnsi="Calibri" w:cs="Calibri"/>
          <w:sz w:val="22"/>
          <w:szCs w:val="22"/>
          <w:lang w:eastAsia="en-NZ"/>
        </w:rPr>
        <w:t>s</w:t>
      </w:r>
      <w:r w:rsidR="005276FE">
        <w:rPr>
          <w:rStyle w:val="normaltextrun1"/>
          <w:rFonts w:ascii="Calibri" w:hAnsi="Calibri" w:cs="Calibri"/>
          <w:sz w:val="22"/>
          <w:szCs w:val="22"/>
          <w:lang w:eastAsia="en-NZ"/>
        </w:rPr>
        <w:t>,</w:t>
      </w:r>
      <w:r w:rsidR="006A2F3A">
        <w:rPr>
          <w:rStyle w:val="normaltextrun1"/>
          <w:rFonts w:ascii="Calibri" w:hAnsi="Calibri" w:cs="Calibri"/>
          <w:sz w:val="22"/>
          <w:szCs w:val="22"/>
          <w:lang w:eastAsia="en-NZ"/>
        </w:rPr>
        <w:t xml:space="preserve"> </w:t>
      </w:r>
      <w:r w:rsidR="00712557" w:rsidRPr="005276FE">
        <w:rPr>
          <w:rStyle w:val="normaltextrun1"/>
          <w:rFonts w:ascii="Calibri" w:hAnsi="Calibri" w:cs="Calibri"/>
          <w:sz w:val="22"/>
          <w:szCs w:val="22"/>
          <w:lang w:eastAsia="en-NZ"/>
        </w:rPr>
        <w:t xml:space="preserve">backgrounds and perspectives </w:t>
      </w:r>
    </w:p>
    <w:p w14:paraId="6283388E" w14:textId="58D6D068" w:rsidR="00712557" w:rsidRPr="002F7038" w:rsidRDefault="002F7038" w:rsidP="00B603EC">
      <w:pPr>
        <w:pStyle w:val="CommentText"/>
        <w:numPr>
          <w:ilvl w:val="0"/>
          <w:numId w:val="7"/>
        </w:numPr>
        <w:ind w:hanging="720"/>
        <w:textAlignment w:val="baseline"/>
        <w:rPr>
          <w:rStyle w:val="normaltextrun1"/>
          <w:rFonts w:ascii="Calibri" w:hAnsi="Calibri" w:cs="Calibri"/>
          <w:sz w:val="22"/>
          <w:szCs w:val="22"/>
          <w:lang w:eastAsia="en-NZ"/>
        </w:rPr>
      </w:pPr>
      <w:r w:rsidRPr="002F7038">
        <w:rPr>
          <w:rStyle w:val="normaltextrun1"/>
          <w:rFonts w:ascii="Calibri" w:hAnsi="Calibri" w:cs="Calibri"/>
          <w:sz w:val="22"/>
          <w:szCs w:val="22"/>
          <w:lang w:eastAsia="en-NZ"/>
        </w:rPr>
        <w:t xml:space="preserve">has </w:t>
      </w:r>
      <w:r w:rsidR="00712557" w:rsidRPr="002F7038">
        <w:rPr>
          <w:rStyle w:val="normaltextrun1"/>
          <w:rFonts w:ascii="Calibri" w:hAnsi="Calibri" w:cs="Calibri"/>
          <w:sz w:val="22"/>
          <w:szCs w:val="22"/>
          <w:lang w:eastAsia="en-NZ"/>
        </w:rPr>
        <w:t xml:space="preserve">greater community-based support </w:t>
      </w:r>
      <w:r w:rsidR="00AC6993" w:rsidRPr="002F7038">
        <w:rPr>
          <w:rStyle w:val="normaltextrun1"/>
          <w:rFonts w:ascii="Calibri" w:hAnsi="Calibri" w:cs="Calibri"/>
          <w:sz w:val="22"/>
          <w:szCs w:val="22"/>
          <w:lang w:eastAsia="en-NZ"/>
        </w:rPr>
        <w:t>and local hubs</w:t>
      </w:r>
      <w:r>
        <w:rPr>
          <w:rStyle w:val="normaltextrun1"/>
          <w:rFonts w:ascii="Calibri" w:hAnsi="Calibri" w:cs="Calibri"/>
          <w:sz w:val="22"/>
          <w:szCs w:val="22"/>
          <w:lang w:eastAsia="en-NZ"/>
        </w:rPr>
        <w:t xml:space="preserve">, </w:t>
      </w:r>
      <w:r w:rsidR="00712557" w:rsidRPr="002F7038">
        <w:rPr>
          <w:rStyle w:val="normaltextrun1"/>
          <w:rFonts w:ascii="Calibri" w:hAnsi="Calibri" w:cs="Calibri"/>
          <w:sz w:val="22"/>
          <w:szCs w:val="22"/>
          <w:lang w:eastAsia="en-NZ"/>
        </w:rPr>
        <w:t>using a mix of peer</w:t>
      </w:r>
      <w:r w:rsidR="006A2F3A">
        <w:rPr>
          <w:rStyle w:val="normaltextrun1"/>
          <w:rFonts w:ascii="Calibri" w:hAnsi="Calibri" w:cs="Calibri"/>
          <w:sz w:val="22"/>
          <w:szCs w:val="22"/>
          <w:lang w:eastAsia="en-NZ"/>
        </w:rPr>
        <w:t>,</w:t>
      </w:r>
      <w:r w:rsidR="00712557" w:rsidRPr="002F7038">
        <w:rPr>
          <w:rStyle w:val="normaltextrun1"/>
          <w:rFonts w:ascii="Calibri" w:hAnsi="Calibri" w:cs="Calibri"/>
          <w:sz w:val="22"/>
          <w:szCs w:val="22"/>
          <w:lang w:eastAsia="en-NZ"/>
        </w:rPr>
        <w:t xml:space="preserve"> cultural</w:t>
      </w:r>
      <w:r w:rsidR="006A2F3A">
        <w:rPr>
          <w:rStyle w:val="normaltextrun1"/>
          <w:rFonts w:ascii="Calibri" w:hAnsi="Calibri" w:cs="Calibri"/>
          <w:sz w:val="22"/>
          <w:szCs w:val="22"/>
          <w:lang w:eastAsia="en-NZ"/>
        </w:rPr>
        <w:t>,</w:t>
      </w:r>
      <w:r w:rsidR="00712557" w:rsidRPr="002F7038">
        <w:rPr>
          <w:rStyle w:val="normaltextrun1"/>
          <w:rFonts w:ascii="Calibri" w:hAnsi="Calibri" w:cs="Calibri"/>
          <w:sz w:val="22"/>
          <w:szCs w:val="22"/>
          <w:lang w:eastAsia="en-NZ"/>
        </w:rPr>
        <w:t xml:space="preserve"> support and clinical workforce</w:t>
      </w:r>
      <w:r w:rsidR="006A2F3A">
        <w:rPr>
          <w:rStyle w:val="normaltextrun1"/>
          <w:rFonts w:ascii="Calibri" w:hAnsi="Calibri" w:cs="Calibri"/>
          <w:sz w:val="22"/>
          <w:szCs w:val="22"/>
          <w:lang w:eastAsia="en-NZ"/>
        </w:rPr>
        <w:t>s</w:t>
      </w:r>
      <w:r w:rsidR="004B405D" w:rsidRPr="002F7038">
        <w:rPr>
          <w:rStyle w:val="normaltextrun1"/>
          <w:rFonts w:ascii="Calibri" w:hAnsi="Calibri" w:cs="Calibri"/>
          <w:sz w:val="22"/>
          <w:szCs w:val="22"/>
          <w:lang w:eastAsia="en-NZ"/>
        </w:rPr>
        <w:t>.</w:t>
      </w:r>
    </w:p>
    <w:p w14:paraId="5F1D9CA4" w14:textId="26030E8E" w:rsidR="00712557" w:rsidRDefault="00712557" w:rsidP="00712557">
      <w:r>
        <w:t xml:space="preserve">Key recommendations, specific to drug </w:t>
      </w:r>
      <w:r w:rsidR="001341BD">
        <w:t>harm</w:t>
      </w:r>
      <w:r>
        <w:t xml:space="preserve">, made within the report included: </w:t>
      </w:r>
    </w:p>
    <w:p w14:paraId="0E0F1F7D" w14:textId="77777777"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Recommendation 27: ‘Replace criminal sanctions for the possession for personal use of controlled drugs with civil responses (for example, a fine, a referral to a drug awareness session run by a public health body or a referral to a drug treatment programme’ and</w:t>
      </w:r>
    </w:p>
    <w:p w14:paraId="7537C511" w14:textId="55456689"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Recommendation 28: ‘Support the replacement of criminal sanctions for the possession for personal use of controlled drugs with a full range of treatment and detox services’</w:t>
      </w:r>
      <w:r w:rsidR="00206A26" w:rsidRPr="004E2A60">
        <w:rPr>
          <w:rStyle w:val="normaltextrun1"/>
          <w:rFonts w:ascii="Calibri" w:hAnsi="Calibri" w:cs="Calibri"/>
          <w:sz w:val="22"/>
          <w:szCs w:val="22"/>
          <w:lang w:eastAsia="en-NZ"/>
        </w:rPr>
        <w:t xml:space="preserve">. The </w:t>
      </w:r>
      <w:r w:rsidRPr="004E2A60">
        <w:rPr>
          <w:rStyle w:val="normaltextrun1"/>
          <w:rFonts w:ascii="Calibri" w:hAnsi="Calibri" w:cs="Calibri"/>
          <w:sz w:val="22"/>
          <w:szCs w:val="22"/>
          <w:lang w:eastAsia="en-NZ"/>
        </w:rPr>
        <w:t xml:space="preserve">2019 MoDA amendments were sympathetic to these recommendations and, through their focus on harm-minimisation and health-promotion contributed to ongoing progress.  </w:t>
      </w:r>
    </w:p>
    <w:p w14:paraId="77900207" w14:textId="34A24EA4" w:rsidR="00712557" w:rsidRPr="007100D4" w:rsidRDefault="00712557" w:rsidP="00712557">
      <w:r>
        <w:t>The intent of these</w:t>
      </w:r>
      <w:r w:rsidRPr="6A2BD812">
        <w:t xml:space="preserve"> recommendations is partly being implemented by the Police using their discretion not to prosecute for possession and personal use of controlled drug offences. Criminal sanctions are avoided and instead people are directed to health-based services. In addition, </w:t>
      </w:r>
      <w:r w:rsidRPr="6A2BD812">
        <w:lastRenderedPageBreak/>
        <w:t xml:space="preserve">substantial progress has been made to provide a broad, accessible and sustainable range of services for people who use illegal drugs harmfully.  </w:t>
      </w:r>
    </w:p>
    <w:p w14:paraId="6AAAB343" w14:textId="77777777" w:rsidR="00712557" w:rsidRPr="00D775DC" w:rsidRDefault="00712557" w:rsidP="000D5E1B">
      <w:pPr>
        <w:pStyle w:val="Heading3"/>
      </w:pPr>
      <w:bookmarkStart w:id="345" w:name="_Toc75781220"/>
      <w:bookmarkStart w:id="346" w:name="_Toc75952933"/>
      <w:bookmarkStart w:id="347" w:name="_Toc78186514"/>
      <w:r w:rsidRPr="00D775DC">
        <w:t xml:space="preserve">Budget 2019 </w:t>
      </w:r>
      <w:r>
        <w:t>– shoring up existing services and establishing some new initiatives</w:t>
      </w:r>
      <w:bookmarkEnd w:id="345"/>
      <w:bookmarkEnd w:id="346"/>
      <w:bookmarkEnd w:id="347"/>
      <w:r>
        <w:t xml:space="preserve"> </w:t>
      </w:r>
      <w:r w:rsidRPr="00D775DC">
        <w:t xml:space="preserve"> </w:t>
      </w:r>
    </w:p>
    <w:p w14:paraId="31AC00C2" w14:textId="684A4CE6" w:rsidR="00712557" w:rsidRPr="00471B66" w:rsidRDefault="00712557" w:rsidP="00712557">
      <w:pPr>
        <w:autoSpaceDE w:val="0"/>
        <w:autoSpaceDN w:val="0"/>
        <w:adjustRightInd w:val="0"/>
        <w:spacing w:after="0" w:line="240" w:lineRule="auto"/>
        <w:rPr>
          <w:color w:val="000000"/>
        </w:rPr>
      </w:pPr>
      <w:r w:rsidRPr="4A6C9841">
        <w:rPr>
          <w:color w:val="000000" w:themeColor="text1"/>
        </w:rPr>
        <w:t xml:space="preserve">Budget 2019 invested </w:t>
      </w:r>
      <w:r w:rsidRPr="4A6C9841">
        <w:rPr>
          <w:rFonts w:eastAsia="Times New Roman"/>
        </w:rPr>
        <w:t xml:space="preserve">$69 million over four years </w:t>
      </w:r>
      <w:r w:rsidRPr="4A6C9841">
        <w:rPr>
          <w:color w:val="000000" w:themeColor="text1"/>
        </w:rPr>
        <w:t xml:space="preserve">in </w:t>
      </w:r>
      <w:r w:rsidR="4E70C368" w:rsidRPr="6DFBFA75">
        <w:rPr>
          <w:color w:val="000000" w:themeColor="text1"/>
        </w:rPr>
        <w:t>alcohol and other drug</w:t>
      </w:r>
      <w:r w:rsidRPr="4A6C9841">
        <w:rPr>
          <w:color w:val="000000" w:themeColor="text1"/>
        </w:rPr>
        <w:t xml:space="preserve"> services</w:t>
      </w:r>
      <w:r w:rsidR="00B467CB">
        <w:rPr>
          <w:color w:val="000000" w:themeColor="text1"/>
        </w:rPr>
        <w:t xml:space="preserve"> as follows</w:t>
      </w:r>
      <w:r w:rsidRPr="4A6C9841">
        <w:rPr>
          <w:color w:val="000000" w:themeColor="text1"/>
        </w:rPr>
        <w:t>:</w:t>
      </w:r>
    </w:p>
    <w:p w14:paraId="2EA5F023" w14:textId="004A96CD"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specialist AOD services ($42m over four years for Vote Health, $2m for Vote Corrections</w:t>
      </w:r>
      <w:r w:rsidR="23E22722" w:rsidRPr="6A8D439C">
        <w:rPr>
          <w:rStyle w:val="normaltextrun1"/>
          <w:rFonts w:ascii="Calibri" w:hAnsi="Calibri" w:cs="Calibri"/>
          <w:sz w:val="22"/>
          <w:szCs w:val="22"/>
          <w:lang w:eastAsia="en-NZ"/>
        </w:rPr>
        <w:t>)</w:t>
      </w:r>
    </w:p>
    <w:p w14:paraId="2EFA4A81" w14:textId="51AFC8F6"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primary and community AOD services ($14m over four years</w:t>
      </w:r>
      <w:r w:rsidR="23E22722" w:rsidRPr="6A8D439C">
        <w:rPr>
          <w:rStyle w:val="normaltextrun1"/>
          <w:rFonts w:ascii="Calibri" w:hAnsi="Calibri" w:cs="Calibri"/>
          <w:sz w:val="22"/>
          <w:szCs w:val="22"/>
          <w:lang w:eastAsia="en-NZ"/>
        </w:rPr>
        <w:t>)</w:t>
      </w:r>
    </w:p>
    <w:p w14:paraId="5308FDE5" w14:textId="5FBD67F9"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the expansion of Pregnancy and Parenting Services to two new sites ($7m over four years</w:t>
      </w:r>
      <w:r w:rsidR="23E22722" w:rsidRPr="6A8D439C">
        <w:rPr>
          <w:rStyle w:val="normaltextrun1"/>
          <w:rFonts w:ascii="Calibri" w:hAnsi="Calibri" w:cs="Calibri"/>
          <w:sz w:val="22"/>
          <w:szCs w:val="22"/>
          <w:lang w:eastAsia="en-NZ"/>
        </w:rPr>
        <w:t>)</w:t>
      </w:r>
      <w:r w:rsidR="6F8DD0F0" w:rsidRPr="6A8D439C">
        <w:rPr>
          <w:rStyle w:val="normaltextrun1"/>
          <w:rFonts w:ascii="Calibri" w:hAnsi="Calibri" w:cs="Calibri"/>
          <w:sz w:val="22"/>
          <w:szCs w:val="22"/>
          <w:lang w:eastAsia="en-NZ"/>
        </w:rPr>
        <w:t xml:space="preserve"> </w:t>
      </w:r>
      <w:r w:rsidR="6F8DD0F0" w:rsidRPr="6DFBFA75">
        <w:rPr>
          <w:rStyle w:val="normaltextrun1"/>
          <w:rFonts w:ascii="Calibri" w:hAnsi="Calibri" w:cs="Calibri"/>
          <w:sz w:val="22"/>
          <w:szCs w:val="22"/>
          <w:lang w:eastAsia="en-NZ"/>
        </w:rPr>
        <w:t>and</w:t>
      </w:r>
    </w:p>
    <w:p w14:paraId="1B011B87" w14:textId="77777777"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sustainable funding for Te Ara Oranga, the Northland methamphetamine harm reduction pilot ($4m over four years). </w:t>
      </w:r>
    </w:p>
    <w:p w14:paraId="1489BBA6" w14:textId="77777777" w:rsidR="00712557" w:rsidRDefault="00712557" w:rsidP="00712557">
      <w:pPr>
        <w:pStyle w:val="ListParagraph"/>
        <w:autoSpaceDE w:val="0"/>
        <w:autoSpaceDN w:val="0"/>
        <w:adjustRightInd w:val="0"/>
        <w:spacing w:after="0" w:line="240" w:lineRule="auto"/>
      </w:pPr>
    </w:p>
    <w:p w14:paraId="61403408" w14:textId="4887D3B2" w:rsidR="00712557" w:rsidRDefault="00712557" w:rsidP="00712557">
      <w:r w:rsidRPr="006C6B5D">
        <w:t>A</w:t>
      </w:r>
      <w:r w:rsidRPr="6A2BD812">
        <w:t xml:space="preserve"> large part of the $42 million over four years investment in specialist </w:t>
      </w:r>
      <w:r>
        <w:t>alcohol and other drug</w:t>
      </w:r>
      <w:r w:rsidRPr="6A2BD812">
        <w:t xml:space="preserve"> services made in the Vote Health Budget 2019 is being used to ‘shore up’ existing specialist services delivered by regional NGO providers. This included stabilising </w:t>
      </w:r>
      <w:r w:rsidRPr="006C6B5D">
        <w:t>the residential treatment sector as most services had not received any funding increases since 2009. In effect there had been considerable erosion on what they could afford over the ten</w:t>
      </w:r>
      <w:r>
        <w:t>-</w:t>
      </w:r>
      <w:r w:rsidRPr="006C6B5D">
        <w:t xml:space="preserve">year period, and in particular there were significant increased costs for capital </w:t>
      </w:r>
      <w:r w:rsidRPr="6A2BD812">
        <w:t>expenditure.</w:t>
      </w:r>
    </w:p>
    <w:p w14:paraId="4DD2A6DB" w14:textId="77777777" w:rsidR="001453E2" w:rsidRDefault="00712557" w:rsidP="00712557">
      <w:r w:rsidRPr="6A2BD812">
        <w:t>A small number of new service initiatives were also established using the specialist Budget 19 funding. Some examples include</w:t>
      </w:r>
      <w:r w:rsidR="001453E2">
        <w:t>:</w:t>
      </w:r>
      <w:r w:rsidRPr="6A2BD812">
        <w:t xml:space="preserve"> </w:t>
      </w:r>
    </w:p>
    <w:p w14:paraId="37DFCEC9" w14:textId="16FD9DD3" w:rsidR="001453E2" w:rsidRPr="00BD0DDB" w:rsidRDefault="00712557" w:rsidP="00B603EC">
      <w:pPr>
        <w:pStyle w:val="ListParagraph"/>
        <w:numPr>
          <w:ilvl w:val="0"/>
          <w:numId w:val="11"/>
        </w:numPr>
        <w:ind w:left="709" w:hanging="709"/>
        <w:rPr>
          <w:rStyle w:val="normaltextrun1"/>
          <w:rFonts w:ascii="Calibri" w:hAnsi="Calibri" w:cs="Calibri"/>
          <w:lang w:eastAsia="en-NZ"/>
        </w:rPr>
      </w:pPr>
      <w:r w:rsidRPr="00BD0DDB">
        <w:rPr>
          <w:rStyle w:val="normaltextrun1"/>
          <w:rFonts w:ascii="Calibri" w:hAnsi="Calibri" w:cs="Calibri"/>
          <w:lang w:eastAsia="en-NZ"/>
        </w:rPr>
        <w:t xml:space="preserve">managed withdrawal services across the South Island </w:t>
      </w:r>
    </w:p>
    <w:p w14:paraId="24F2F068" w14:textId="7ADD3972" w:rsidR="001453E2" w:rsidRPr="00BD0DDB" w:rsidRDefault="00712557" w:rsidP="00B603EC">
      <w:pPr>
        <w:pStyle w:val="ListParagraph"/>
        <w:numPr>
          <w:ilvl w:val="0"/>
          <w:numId w:val="11"/>
        </w:numPr>
        <w:ind w:left="709" w:hanging="709"/>
        <w:rPr>
          <w:rStyle w:val="normaltextrun1"/>
          <w:rFonts w:ascii="Calibri" w:hAnsi="Calibri" w:cs="Calibri"/>
          <w:lang w:eastAsia="en-NZ"/>
        </w:rPr>
      </w:pPr>
      <w:r w:rsidRPr="00BD0DDB">
        <w:rPr>
          <w:rStyle w:val="normaltextrun1"/>
          <w:rFonts w:ascii="Calibri" w:hAnsi="Calibri" w:cs="Calibri"/>
          <w:lang w:eastAsia="en-NZ"/>
        </w:rPr>
        <w:t xml:space="preserve">new residential care beds in Hawke’s Bay </w:t>
      </w:r>
    </w:p>
    <w:p w14:paraId="77190221" w14:textId="200CC51F" w:rsidR="00712557" w:rsidRPr="00BD0DDB" w:rsidRDefault="00712557" w:rsidP="00B603EC">
      <w:pPr>
        <w:pStyle w:val="ListParagraph"/>
        <w:numPr>
          <w:ilvl w:val="0"/>
          <w:numId w:val="11"/>
        </w:numPr>
        <w:ind w:left="709" w:hanging="709"/>
        <w:rPr>
          <w:rStyle w:val="normaltextrun1"/>
          <w:rFonts w:ascii="Calibri" w:hAnsi="Calibri" w:cs="Calibri"/>
          <w:lang w:eastAsia="en-NZ"/>
        </w:rPr>
      </w:pPr>
      <w:r w:rsidRPr="00BD0DDB">
        <w:rPr>
          <w:rStyle w:val="normaltextrun1"/>
          <w:rFonts w:ascii="Calibri" w:hAnsi="Calibri" w:cs="Calibri"/>
          <w:lang w:eastAsia="en-NZ"/>
        </w:rPr>
        <w:t xml:space="preserve">services across the Midland region, including support for people before and after they access residential care in Tairāwhiti and Lakes </w:t>
      </w:r>
      <w:r w:rsidR="23E22722" w:rsidRPr="00BD0DDB">
        <w:rPr>
          <w:rStyle w:val="normaltextrun1"/>
          <w:rFonts w:ascii="Calibri" w:hAnsi="Calibri" w:cs="Calibri"/>
          <w:lang w:eastAsia="en-NZ"/>
        </w:rPr>
        <w:t>D</w:t>
      </w:r>
      <w:r w:rsidR="6197F14D" w:rsidRPr="00BD0DDB">
        <w:rPr>
          <w:rStyle w:val="normaltextrun1"/>
          <w:rFonts w:ascii="Calibri" w:hAnsi="Calibri" w:cs="Calibri"/>
          <w:lang w:eastAsia="en-NZ"/>
        </w:rPr>
        <w:t>HBs</w:t>
      </w:r>
      <w:r w:rsidRPr="00BD0DDB">
        <w:rPr>
          <w:rStyle w:val="normaltextrun1"/>
          <w:rFonts w:ascii="Calibri" w:hAnsi="Calibri" w:cs="Calibri"/>
          <w:lang w:eastAsia="en-NZ"/>
        </w:rPr>
        <w:t>.</w:t>
      </w:r>
    </w:p>
    <w:p w14:paraId="15739A10" w14:textId="3E0DE01C" w:rsidR="00712557" w:rsidRPr="00137B1D" w:rsidRDefault="00712557" w:rsidP="00712557">
      <w:r w:rsidRPr="00137B1D">
        <w:t xml:space="preserve">The Primary and Community </w:t>
      </w:r>
      <w:r w:rsidR="124F8177">
        <w:t>alcohol and other drug</w:t>
      </w:r>
      <w:r w:rsidRPr="00137B1D">
        <w:t xml:space="preserve"> funding in Budget 2019, once fully rolled out over its four</w:t>
      </w:r>
      <w:r w:rsidR="05619103">
        <w:t>-</w:t>
      </w:r>
      <w:r w:rsidRPr="00137B1D">
        <w:t>year period</w:t>
      </w:r>
      <w:r w:rsidR="7DBF9860">
        <w:t>,</w:t>
      </w:r>
      <w:r w:rsidRPr="00137B1D">
        <w:t xml:space="preserve"> will support the establishment of services in 10 locations. Investment has been focused on taking an outreach approach, based around peer support and brief intervention, but with flexibility to respond to local needs. </w:t>
      </w:r>
      <w:r>
        <w:t>The Ministry has invested in services in central Auckland (Haven Recovery Café), Taranaki, Capital &amp; Coast and Hutt Valley DHBs. The Ministry is currently negotiating with two further DHBs, and a further $1m is available in the 21/22 and 22/23 financial years.</w:t>
      </w:r>
    </w:p>
    <w:p w14:paraId="0EEA04D9" w14:textId="122B34E8" w:rsidR="00712557" w:rsidRPr="0073332E" w:rsidRDefault="00712557" w:rsidP="00712557">
      <w:pPr>
        <w:pStyle w:val="CommentText"/>
        <w:textAlignment w:val="baseline"/>
        <w:rPr>
          <w:sz w:val="22"/>
          <w:szCs w:val="22"/>
        </w:rPr>
      </w:pPr>
      <w:r w:rsidRPr="00B13EC0">
        <w:rPr>
          <w:rStyle w:val="normaltextrun1"/>
          <w:rFonts w:ascii="Calibri" w:hAnsi="Calibri" w:cs="Calibri"/>
          <w:sz w:val="22"/>
          <w:szCs w:val="22"/>
        </w:rPr>
        <w:t>Te Ara Ora</w:t>
      </w:r>
      <w:r>
        <w:rPr>
          <w:sz w:val="22"/>
          <w:szCs w:val="22"/>
        </w:rPr>
        <w:t xml:space="preserve">, </w:t>
      </w:r>
      <w:r w:rsidRPr="00F3577F">
        <w:rPr>
          <w:sz w:val="22"/>
          <w:szCs w:val="22"/>
        </w:rPr>
        <w:t xml:space="preserve">a community-based methamphetamine harm reduction initiative, </w:t>
      </w:r>
      <w:r>
        <w:rPr>
          <w:sz w:val="22"/>
          <w:szCs w:val="22"/>
        </w:rPr>
        <w:t xml:space="preserve">has been established </w:t>
      </w:r>
      <w:r w:rsidRPr="00F3577F">
        <w:rPr>
          <w:sz w:val="22"/>
          <w:szCs w:val="22"/>
        </w:rPr>
        <w:t>in the Northland region. It enables an integrated approach across health, Police and the community, with a kaupapa Māori focus, to reduce drug-related harm and support priority populations to have better health, social and justice outcomes. Since its launch in October 2017, the programme has supported more than 2300 people. Budget 2019 investment supported the continuation of this initiative.</w:t>
      </w:r>
    </w:p>
    <w:p w14:paraId="42C8B2AD" w14:textId="7F9DCDE6" w:rsidR="00712557" w:rsidRDefault="00712557" w:rsidP="00712557">
      <w:r w:rsidRPr="001C66FA">
        <w:rPr>
          <w:i/>
          <w:iCs/>
        </w:rPr>
        <w:t xml:space="preserve">He Ara Oranga </w:t>
      </w:r>
      <w:r>
        <w:t>recognised that the current alcohol and other drug service landscape was not meeting the needs of New Zealanders, with limited variety in service delivery and a significant reliance on abstinence-based, episodic support such as residential care. Budget 2019 was therefore intended as a stepping</w:t>
      </w:r>
      <w:r w:rsidR="00D775C3">
        <w:t>-</w:t>
      </w:r>
      <w:r>
        <w:t>stone</w:t>
      </w:r>
      <w:r w:rsidR="002E085C">
        <w:t xml:space="preserve">. This included </w:t>
      </w:r>
      <w:r>
        <w:t xml:space="preserve">‘shoring up’ the system we have and building momentum for widespread, transformative change by addressing acknowledged gaps (such as for community </w:t>
      </w:r>
      <w:r w:rsidR="5019D972">
        <w:t>alcohol and other drug</w:t>
      </w:r>
      <w:r w:rsidR="520C1E9C">
        <w:t xml:space="preserve"> services</w:t>
      </w:r>
      <w:r w:rsidR="619731FF">
        <w:t xml:space="preserve">). </w:t>
      </w:r>
      <w:r w:rsidR="00927D25">
        <w:t>F</w:t>
      </w:r>
      <w:r>
        <w:t xml:space="preserve">urther work was done to design an improved system that can fully respond to the challenges of </w:t>
      </w:r>
      <w:r w:rsidR="681CCCF2">
        <w:t>alcohol</w:t>
      </w:r>
      <w:r>
        <w:t xml:space="preserve"> and </w:t>
      </w:r>
      <w:r w:rsidR="681CCCF2">
        <w:t>other drug</w:t>
      </w:r>
      <w:r w:rsidR="520C1E9C">
        <w:t xml:space="preserve"> harm and addiction.</w:t>
      </w:r>
      <w:r>
        <w:t xml:space="preserve"> Significant </w:t>
      </w:r>
      <w:r>
        <w:lastRenderedPageBreak/>
        <w:t>design work has been undertaken by the Ministry since that time</w:t>
      </w:r>
      <w:r w:rsidR="003D45D4">
        <w:t>. T</w:t>
      </w:r>
      <w:r>
        <w:t xml:space="preserve">he implementation of a new system of care that provides better access to and choice of services requires both a reconfiguration of existing services, as well as additional funding.  </w:t>
      </w:r>
    </w:p>
    <w:p w14:paraId="287B7961" w14:textId="394A4CCB" w:rsidR="00712557" w:rsidRDefault="00712557" w:rsidP="000D5E1B">
      <w:pPr>
        <w:pStyle w:val="Heading4"/>
      </w:pPr>
      <w:r>
        <w:t xml:space="preserve">Funding to address local surges of synthetic drugs </w:t>
      </w:r>
    </w:p>
    <w:p w14:paraId="23EC529C" w14:textId="63F0F2B4" w:rsidR="00712557" w:rsidRPr="00A3716D" w:rsidRDefault="00712557" w:rsidP="00712557">
      <w:pPr>
        <w:rPr>
          <w:iCs/>
        </w:rPr>
      </w:pPr>
      <w:r w:rsidRPr="00A3716D">
        <w:rPr>
          <w:iCs/>
        </w:rPr>
        <w:t xml:space="preserve">Shortly after making the legislative changes, the Government approved a time-limited </w:t>
      </w:r>
      <w:r w:rsidR="00CE2D7E">
        <w:rPr>
          <w:iCs/>
        </w:rPr>
        <w:t xml:space="preserve">funding </w:t>
      </w:r>
      <w:r w:rsidRPr="00A3716D">
        <w:rPr>
          <w:iCs/>
        </w:rPr>
        <w:t xml:space="preserve">to support local surge responses to acute harm situations caused by synthetic drugs. </w:t>
      </w:r>
      <w:r w:rsidR="00C26737">
        <w:rPr>
          <w:iCs/>
        </w:rPr>
        <w:t>Th</w:t>
      </w:r>
      <w:r w:rsidR="00342643">
        <w:rPr>
          <w:iCs/>
        </w:rPr>
        <w:t>is</w:t>
      </w:r>
      <w:r w:rsidR="00C26737">
        <w:rPr>
          <w:iCs/>
        </w:rPr>
        <w:t xml:space="preserve"> was for</w:t>
      </w:r>
      <w:r w:rsidR="00342643">
        <w:rPr>
          <w:iCs/>
        </w:rPr>
        <w:t xml:space="preserve"> </w:t>
      </w:r>
      <w:r w:rsidR="00C26737" w:rsidRPr="00A3716D">
        <w:rPr>
          <w:iCs/>
        </w:rPr>
        <w:t>$2.15 million per annum from 1 July 2018 to 30 June 2022</w:t>
      </w:r>
      <w:r w:rsidR="00C26737">
        <w:rPr>
          <w:iCs/>
        </w:rPr>
        <w:t>. Funding</w:t>
      </w:r>
      <w:r w:rsidR="007404B1">
        <w:rPr>
          <w:iCs/>
        </w:rPr>
        <w:t xml:space="preserve"> was</w:t>
      </w:r>
      <w:r w:rsidR="00C26737">
        <w:rPr>
          <w:iCs/>
        </w:rPr>
        <w:t xml:space="preserve"> allocated</w:t>
      </w:r>
      <w:r w:rsidR="007404B1">
        <w:rPr>
          <w:iCs/>
        </w:rPr>
        <w:t xml:space="preserve"> </w:t>
      </w:r>
      <w:r w:rsidR="00C26737">
        <w:rPr>
          <w:iCs/>
        </w:rPr>
        <w:t xml:space="preserve">from the </w:t>
      </w:r>
      <w:r w:rsidR="007404B1" w:rsidRPr="00A3716D">
        <w:rPr>
          <w:iCs/>
        </w:rPr>
        <w:t>Acute Drug Harm Discretionary Fund (the Fund)</w:t>
      </w:r>
      <w:r w:rsidR="00C26737">
        <w:rPr>
          <w:iCs/>
        </w:rPr>
        <w:t xml:space="preserve">. </w:t>
      </w:r>
      <w:r w:rsidR="007404B1" w:rsidRPr="00A3716D">
        <w:rPr>
          <w:iCs/>
        </w:rPr>
        <w:t xml:space="preserve"> </w:t>
      </w:r>
    </w:p>
    <w:p w14:paraId="3C29F261" w14:textId="77777777" w:rsidR="00712557" w:rsidRPr="00A3716D" w:rsidRDefault="00712557" w:rsidP="00712557">
      <w:pPr>
        <w:rPr>
          <w:iCs/>
        </w:rPr>
      </w:pPr>
      <w:r w:rsidRPr="00A3716D">
        <w:rPr>
          <w:iCs/>
        </w:rPr>
        <w:t>To date, $2.4 million in funding has been committed for a variety of responses including:</w:t>
      </w:r>
    </w:p>
    <w:p w14:paraId="3044468F" w14:textId="681B0AFB"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a recovery café in central Auckland providing support to people using synthetic drugs and experiencing homelessness and mental health issues</w:t>
      </w:r>
      <w:r w:rsidR="0C87B961" w:rsidRPr="1DC12AD9">
        <w:rPr>
          <w:rStyle w:val="normaltextrun1"/>
          <w:rFonts w:ascii="Calibri" w:hAnsi="Calibri" w:cs="Calibri"/>
          <w:sz w:val="22"/>
          <w:szCs w:val="22"/>
          <w:lang w:eastAsia="en-NZ"/>
        </w:rPr>
        <w:t>;</w:t>
      </w:r>
    </w:p>
    <w:p w14:paraId="4653B530" w14:textId="263D3C3C"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a Wellington-based multidisciplinary mobile crisis response team</w:t>
      </w:r>
      <w:r w:rsidR="64B96B36" w:rsidRPr="1DC12AD9">
        <w:rPr>
          <w:rStyle w:val="normaltextrun1"/>
          <w:rFonts w:ascii="Calibri" w:hAnsi="Calibri" w:cs="Calibri"/>
          <w:sz w:val="22"/>
          <w:szCs w:val="22"/>
          <w:lang w:eastAsia="en-NZ"/>
        </w:rPr>
        <w:t>; and</w:t>
      </w:r>
      <w:r w:rsidRPr="004E2A60">
        <w:rPr>
          <w:rStyle w:val="normaltextrun1"/>
          <w:rFonts w:ascii="Calibri" w:hAnsi="Calibri" w:cs="Calibri"/>
          <w:sz w:val="22"/>
          <w:szCs w:val="22"/>
          <w:lang w:eastAsia="en-NZ"/>
        </w:rPr>
        <w:t xml:space="preserve"> </w:t>
      </w:r>
    </w:p>
    <w:p w14:paraId="145AD918" w14:textId="77777777" w:rsidR="00712557" w:rsidRPr="004E2A60" w:rsidRDefault="00712557"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a local outreach and drop-in service, offering AOD and peer support in Taranaki.</w:t>
      </w:r>
    </w:p>
    <w:p w14:paraId="7C471B59" w14:textId="04144BBA" w:rsidR="00712557" w:rsidRPr="00A3716D" w:rsidRDefault="00712557" w:rsidP="00712557">
      <w:pPr>
        <w:rPr>
          <w:iCs/>
        </w:rPr>
      </w:pPr>
      <w:r w:rsidRPr="00A3716D">
        <w:rPr>
          <w:iCs/>
        </w:rPr>
        <w:t xml:space="preserve">The Fund has also supported an acute drug harm community of practice. This is a national network of </w:t>
      </w:r>
      <w:r w:rsidR="3AB1E933">
        <w:t>a</w:t>
      </w:r>
      <w:r w:rsidR="520C1E9C">
        <w:t>lcohol</w:t>
      </w:r>
      <w:r w:rsidRPr="00A3716D">
        <w:rPr>
          <w:iCs/>
        </w:rPr>
        <w:t xml:space="preserve"> and </w:t>
      </w:r>
      <w:r w:rsidR="00D1CF17">
        <w:t>o</w:t>
      </w:r>
      <w:r w:rsidR="520C1E9C">
        <w:t xml:space="preserve">ther </w:t>
      </w:r>
      <w:r w:rsidR="2B759055">
        <w:t>dru</w:t>
      </w:r>
      <w:r w:rsidR="520C1E9C">
        <w:t xml:space="preserve">g </w:t>
      </w:r>
      <w:r w:rsidRPr="00A3716D">
        <w:rPr>
          <w:iCs/>
        </w:rPr>
        <w:t>and social organisations. This community of practice (coordinated by the New Zealand Drug Foundation) shares insights, trends, and innovative responses to reduce acute drug harm in their communities.</w:t>
      </w:r>
    </w:p>
    <w:p w14:paraId="4EF116EC" w14:textId="37B819DC" w:rsidR="00712557" w:rsidRPr="00A3716D" w:rsidRDefault="00712557" w:rsidP="00712557">
      <w:pPr>
        <w:rPr>
          <w:iCs/>
        </w:rPr>
      </w:pPr>
      <w:r w:rsidRPr="00A3716D">
        <w:rPr>
          <w:iCs/>
        </w:rPr>
        <w:t>Funding has also been used to establish the Drug Information and Alert NZ (DIANZ) within the National Drug Intelligence Bureau. Launched by the Ministry of Health, Police and Customs in 2020</w:t>
      </w:r>
      <w:r w:rsidR="00151AFD">
        <w:rPr>
          <w:iCs/>
        </w:rPr>
        <w:t>,</w:t>
      </w:r>
      <w:r w:rsidRPr="00A3716D">
        <w:rPr>
          <w:iCs/>
        </w:rPr>
        <w:t xml:space="preserve"> it is an early warning system for dangerous drugs and supported by a network of health professionals and social services. When something is identified that poses significant harm, DIANZ issues alerts and notifications at High Alert (</w:t>
      </w:r>
      <w:hyperlink r:id="rId38" w:tgtFrame="_blank" w:tooltip="http://www.highalert.org.nz" w:history="1">
        <w:r w:rsidRPr="00A3716D">
          <w:rPr>
            <w:iCs/>
          </w:rPr>
          <w:t>www.highalert.org.nz</w:t>
        </w:r>
      </w:hyperlink>
      <w:r w:rsidRPr="00A3716D">
        <w:rPr>
          <w:iCs/>
        </w:rPr>
        <w:t xml:space="preserve">) and via email. </w:t>
      </w:r>
    </w:p>
    <w:p w14:paraId="752657CC" w14:textId="3B8EF48F" w:rsidR="00424FE1" w:rsidRDefault="001A4291" w:rsidP="00D67D2A">
      <w:r w:rsidRPr="00E5146B">
        <w:t xml:space="preserve"> </w:t>
      </w:r>
    </w:p>
    <w:p w14:paraId="7648E890" w14:textId="5371AA3D" w:rsidR="00424FE1" w:rsidRDefault="00424FE1">
      <w:r>
        <w:br w:type="page"/>
      </w:r>
    </w:p>
    <w:p w14:paraId="38440801" w14:textId="6B2A1341" w:rsidR="00424FE1" w:rsidRPr="00E5146B" w:rsidRDefault="00424FE1" w:rsidP="00424FE1">
      <w:pPr>
        <w:pStyle w:val="Heading2"/>
      </w:pPr>
      <w:bookmarkStart w:id="348" w:name="_Toc75781221"/>
      <w:bookmarkStart w:id="349" w:name="_Toc75952934"/>
      <w:bookmarkStart w:id="350" w:name="_Toc78186515"/>
      <w:r>
        <w:lastRenderedPageBreak/>
        <w:t xml:space="preserve">Appendix </w:t>
      </w:r>
      <w:r w:rsidR="00A70979">
        <w:t>4</w:t>
      </w:r>
      <w:r>
        <w:t>: Police Initiatives underway before the Amendment</w:t>
      </w:r>
      <w:bookmarkEnd w:id="348"/>
      <w:bookmarkEnd w:id="349"/>
      <w:bookmarkEnd w:id="350"/>
      <w:r w:rsidRPr="00E5146B">
        <w:t xml:space="preserve"> </w:t>
      </w:r>
    </w:p>
    <w:p w14:paraId="24F3F2D8" w14:textId="77777777" w:rsidR="00424FE1" w:rsidRPr="000D2088" w:rsidRDefault="00424FE1" w:rsidP="00424FE1">
      <w:pPr>
        <w:pStyle w:val="Heading3"/>
      </w:pPr>
      <w:bookmarkStart w:id="351" w:name="_Toc75781222"/>
      <w:bookmarkStart w:id="352" w:name="_Toc75952935"/>
      <w:bookmarkStart w:id="353" w:name="_Toc78186516"/>
      <w:r w:rsidRPr="000D2088">
        <w:rPr>
          <w:rStyle w:val="normaltextrun1"/>
        </w:rPr>
        <w:t>Prevention First operating model</w:t>
      </w:r>
      <w:bookmarkEnd w:id="351"/>
      <w:bookmarkEnd w:id="352"/>
      <w:bookmarkEnd w:id="353"/>
      <w:r w:rsidRPr="000D2088">
        <w:rPr>
          <w:rStyle w:val="eop"/>
        </w:rPr>
        <w:t> </w:t>
      </w:r>
    </w:p>
    <w:p w14:paraId="3DB81233" w14:textId="2D9BD0DD" w:rsidR="00424FE1" w:rsidRPr="008570B1" w:rsidRDefault="00424FE1" w:rsidP="00424FE1">
      <w:pPr>
        <w:rPr>
          <w:rFonts w:eastAsia="Calibri"/>
          <w:color w:val="000000" w:themeColor="text1"/>
        </w:rPr>
      </w:pPr>
      <w:r w:rsidRPr="003235AD">
        <w:rPr>
          <w:rFonts w:eastAsia="Calibri"/>
          <w:color w:val="000000" w:themeColor="text1"/>
        </w:rPr>
        <w:t>In 2011, NZ Police introduced the Prevention First operating model that maintains a focus on resolving crime while emphasising the immediate and longer-term benefits of integrating prevention into all aspects of policing</w:t>
      </w:r>
      <w:r>
        <w:rPr>
          <w:rFonts w:eastAsia="Calibri"/>
          <w:color w:val="000000" w:themeColor="text1"/>
        </w:rPr>
        <w:t xml:space="preserve">. It encourages police to look for </w:t>
      </w:r>
      <w:r w:rsidRPr="008570B1">
        <w:rPr>
          <w:rFonts w:eastAsia="Calibri"/>
          <w:color w:val="000000" w:themeColor="text1"/>
        </w:rPr>
        <w:t>every opportunity to prevent harm and reduce the risk of reoffending</w:t>
      </w:r>
      <w:r w:rsidR="00D775C3">
        <w:rPr>
          <w:rFonts w:eastAsia="Calibri"/>
          <w:color w:val="000000" w:themeColor="text1"/>
        </w:rPr>
        <w:t>.</w:t>
      </w:r>
    </w:p>
    <w:p w14:paraId="599EFE2D" w14:textId="05B19758" w:rsidR="00424FE1" w:rsidRDefault="00424FE1" w:rsidP="00424FE1">
      <w:pPr>
        <w:rPr>
          <w:rFonts w:eastAsia="Calibri"/>
          <w:color w:val="000000" w:themeColor="text1"/>
        </w:rPr>
      </w:pPr>
      <w:r>
        <w:rPr>
          <w:rFonts w:eastAsia="Calibri"/>
          <w:color w:val="000000" w:themeColor="text1"/>
        </w:rPr>
        <w:t xml:space="preserve">Prevention First </w:t>
      </w:r>
      <w:r w:rsidRPr="003235AD">
        <w:rPr>
          <w:rFonts w:eastAsia="Calibri"/>
          <w:color w:val="000000" w:themeColor="text1"/>
        </w:rPr>
        <w:t xml:space="preserve">enables police to respond effectively to offending and harm causing behaviours </w:t>
      </w:r>
      <w:r>
        <w:rPr>
          <w:rFonts w:eastAsia="Calibri"/>
          <w:color w:val="000000" w:themeColor="text1"/>
        </w:rPr>
        <w:t>and</w:t>
      </w:r>
      <w:r w:rsidRPr="003235AD">
        <w:rPr>
          <w:rFonts w:eastAsia="Calibri"/>
          <w:color w:val="000000" w:themeColor="text1"/>
        </w:rPr>
        <w:t xml:space="preserve"> recognising the need to change long-term crime and harm patterns</w:t>
      </w:r>
      <w:r>
        <w:rPr>
          <w:rFonts w:eastAsia="Calibri"/>
          <w:color w:val="000000" w:themeColor="text1"/>
        </w:rPr>
        <w:t xml:space="preserve">. Prevention First focuses on the smart use of </w:t>
      </w:r>
      <w:r w:rsidRPr="003235AD">
        <w:rPr>
          <w:rFonts w:eastAsia="Calibri"/>
          <w:color w:val="000000" w:themeColor="text1"/>
        </w:rPr>
        <w:t>technology</w:t>
      </w:r>
      <w:r>
        <w:rPr>
          <w:rFonts w:eastAsia="Calibri"/>
          <w:color w:val="000000" w:themeColor="text1"/>
        </w:rPr>
        <w:t xml:space="preserve"> </w:t>
      </w:r>
      <w:r w:rsidRPr="003235AD">
        <w:rPr>
          <w:rFonts w:eastAsia="Calibri"/>
          <w:color w:val="000000" w:themeColor="text1"/>
        </w:rPr>
        <w:t>and targeting resources to the most significant crime problems.</w:t>
      </w:r>
      <w:r w:rsidRPr="00ED45A8">
        <w:rPr>
          <w:rFonts w:eastAsia="Calibri"/>
          <w:color w:val="000000" w:themeColor="text1"/>
        </w:rPr>
        <w:t xml:space="preserve"> </w:t>
      </w:r>
      <w:r w:rsidRPr="003235AD">
        <w:rPr>
          <w:rFonts w:eastAsia="Calibri"/>
          <w:color w:val="000000" w:themeColor="text1"/>
        </w:rPr>
        <w:t xml:space="preserve">Deployment efforts are directed towards </w:t>
      </w:r>
      <w:r>
        <w:rPr>
          <w:rFonts w:eastAsia="Calibri"/>
          <w:color w:val="000000" w:themeColor="text1"/>
        </w:rPr>
        <w:t xml:space="preserve">the </w:t>
      </w:r>
      <w:r w:rsidRPr="003235AD">
        <w:rPr>
          <w:rFonts w:eastAsia="Calibri"/>
          <w:color w:val="000000" w:themeColor="text1"/>
        </w:rPr>
        <w:t>areas to have the greatest possible impact on demand and to address the underlying causes of crime</w:t>
      </w:r>
      <w:r>
        <w:rPr>
          <w:rFonts w:eastAsia="Calibri"/>
          <w:color w:val="000000" w:themeColor="text1"/>
        </w:rPr>
        <w:t xml:space="preserve"> and address the harm in communities</w:t>
      </w:r>
      <w:r w:rsidRPr="003235AD">
        <w:rPr>
          <w:rFonts w:eastAsia="Calibri"/>
          <w:color w:val="000000" w:themeColor="text1"/>
        </w:rPr>
        <w:t>.</w:t>
      </w:r>
      <w:r>
        <w:rPr>
          <w:rFonts w:eastAsia="Calibri"/>
          <w:color w:val="000000" w:themeColor="text1"/>
        </w:rPr>
        <w:t xml:space="preserve"> </w:t>
      </w:r>
    </w:p>
    <w:p w14:paraId="4389E169" w14:textId="77777777" w:rsidR="00424FE1" w:rsidRPr="003235AD" w:rsidRDefault="00424FE1" w:rsidP="00424FE1">
      <w:pPr>
        <w:rPr>
          <w:rFonts w:eastAsia="Calibri"/>
          <w:color w:val="000000" w:themeColor="text1"/>
        </w:rPr>
      </w:pPr>
      <w:r w:rsidRPr="003235AD">
        <w:rPr>
          <w:rFonts w:eastAsia="Calibri"/>
          <w:color w:val="000000" w:themeColor="text1"/>
        </w:rPr>
        <w:t>Police report</w:t>
      </w:r>
      <w:r w:rsidRPr="003235AD" w:rsidDel="009036C2">
        <w:rPr>
          <w:rFonts w:eastAsia="Calibri"/>
          <w:color w:val="000000" w:themeColor="text1"/>
        </w:rPr>
        <w:t xml:space="preserve"> </w:t>
      </w:r>
      <w:r>
        <w:rPr>
          <w:rFonts w:eastAsia="Calibri"/>
          <w:color w:val="000000" w:themeColor="text1"/>
        </w:rPr>
        <w:t>the</w:t>
      </w:r>
      <w:r w:rsidRPr="003235AD">
        <w:rPr>
          <w:rFonts w:eastAsia="Calibri"/>
          <w:color w:val="000000" w:themeColor="text1"/>
        </w:rPr>
        <w:t xml:space="preserve"> six drivers of demand a</w:t>
      </w:r>
      <w:r>
        <w:rPr>
          <w:rFonts w:eastAsia="Calibri"/>
          <w:color w:val="000000" w:themeColor="text1"/>
        </w:rPr>
        <w:t>s</w:t>
      </w:r>
      <w:r w:rsidRPr="003235AD">
        <w:rPr>
          <w:rFonts w:eastAsia="Calibri"/>
          <w:color w:val="000000" w:themeColor="text1"/>
        </w:rPr>
        <w:t>:</w:t>
      </w:r>
    </w:p>
    <w:p w14:paraId="1B99438D"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Alcohol </w:t>
      </w:r>
    </w:p>
    <w:p w14:paraId="61C139DC"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Youth – Rangatahi </w:t>
      </w:r>
    </w:p>
    <w:p w14:paraId="4CD58B42"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Families – Whānau </w:t>
      </w:r>
    </w:p>
    <w:p w14:paraId="374C30C1"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Roads </w:t>
      </w:r>
    </w:p>
    <w:p w14:paraId="00F7246C"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Organised crime and drugs </w:t>
      </w:r>
    </w:p>
    <w:p w14:paraId="243D0194"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Mental health.</w:t>
      </w:r>
    </w:p>
    <w:p w14:paraId="53724309" w14:textId="4DA87039" w:rsidR="00424FE1" w:rsidRPr="003235AD" w:rsidRDefault="00424FE1" w:rsidP="00424FE1">
      <w:pPr>
        <w:pStyle w:val="CommentText"/>
        <w:rPr>
          <w:rFonts w:eastAsia="Calibri"/>
          <w:color w:val="000000" w:themeColor="text1"/>
          <w:sz w:val="22"/>
          <w:szCs w:val="22"/>
        </w:rPr>
      </w:pPr>
      <w:r w:rsidRPr="003235AD">
        <w:rPr>
          <w:rFonts w:eastAsia="Calibri"/>
          <w:color w:val="000000" w:themeColor="text1"/>
          <w:sz w:val="22"/>
          <w:szCs w:val="22"/>
        </w:rPr>
        <w:t>Prevention First also brings the victim to the centre of policing. All staff have been asked to provide a greater level of service and support to victims, which includes preventing re-offending and therefore re-victimisation. Empathetic interactions are employed to identify ways Police can make a longer term or more sustainable difference, either for that individual or for others who may end up in a similar position.</w:t>
      </w:r>
    </w:p>
    <w:p w14:paraId="6182A56B" w14:textId="77777777" w:rsidR="00424FE1" w:rsidRDefault="00424FE1" w:rsidP="00424FE1">
      <w:pPr>
        <w:rPr>
          <w:rFonts w:eastAsia="Calibri"/>
          <w:color w:val="000000" w:themeColor="text1"/>
        </w:rPr>
      </w:pPr>
      <w:r w:rsidRPr="003235AD">
        <w:rPr>
          <w:rFonts w:eastAsia="Calibri"/>
          <w:color w:val="000000" w:themeColor="text1"/>
        </w:rPr>
        <w:t xml:space="preserve">Rather than applying a ‘one size fits all’ approach, Prevention First is about understanding the issues that drive the behaviours that lead to offending. These issues can take more time to resolve, but the long-term benefits for the individual and communities greatly outweigh the cost. With support and restorative resolutions, people who want to can make better decisions and change their future. </w:t>
      </w:r>
    </w:p>
    <w:p w14:paraId="6C10E6AA" w14:textId="77777777" w:rsidR="00424FE1" w:rsidRPr="00C719CF" w:rsidRDefault="00424FE1" w:rsidP="00424FE1">
      <w:pPr>
        <w:pStyle w:val="Heading3"/>
      </w:pPr>
      <w:bookmarkStart w:id="354" w:name="_Toc75781223"/>
      <w:bookmarkStart w:id="355" w:name="_Toc75952936"/>
      <w:bookmarkStart w:id="356" w:name="_Toc78186517"/>
      <w:proofErr w:type="spellStart"/>
      <w:r w:rsidRPr="00C719CF">
        <w:rPr>
          <w:rStyle w:val="normaltextrun1"/>
        </w:rPr>
        <w:t>Te</w:t>
      </w:r>
      <w:proofErr w:type="spellEnd"/>
      <w:r w:rsidRPr="00C719CF">
        <w:rPr>
          <w:rStyle w:val="normaltextrun1"/>
        </w:rPr>
        <w:t xml:space="preserve"> </w:t>
      </w:r>
      <w:proofErr w:type="spellStart"/>
      <w:r w:rsidRPr="00C719CF">
        <w:rPr>
          <w:rStyle w:val="normaltextrun1"/>
        </w:rPr>
        <w:t>Huringa</w:t>
      </w:r>
      <w:proofErr w:type="spellEnd"/>
      <w:r w:rsidRPr="00C719CF">
        <w:rPr>
          <w:rStyle w:val="normaltextrun1"/>
        </w:rPr>
        <w:t xml:space="preserve"> o </w:t>
      </w:r>
      <w:proofErr w:type="spellStart"/>
      <w:r w:rsidRPr="00C719CF">
        <w:rPr>
          <w:rStyle w:val="normaltextrun1"/>
        </w:rPr>
        <w:t>Te</w:t>
      </w:r>
      <w:proofErr w:type="spellEnd"/>
      <w:r w:rsidRPr="00C719CF">
        <w:rPr>
          <w:rStyle w:val="normaltextrun1"/>
        </w:rPr>
        <w:t xml:space="preserve"> Tai- A whanau ora crime and crash prevention strategy</w:t>
      </w:r>
      <w:bookmarkEnd w:id="354"/>
      <w:bookmarkEnd w:id="355"/>
      <w:bookmarkEnd w:id="356"/>
      <w:r w:rsidRPr="00C719CF">
        <w:rPr>
          <w:rStyle w:val="eop"/>
        </w:rPr>
        <w:t> </w:t>
      </w:r>
    </w:p>
    <w:p w14:paraId="01C91AE2" w14:textId="77777777" w:rsidR="00D775C3" w:rsidRDefault="00424FE1" w:rsidP="00424FE1">
      <w:pPr>
        <w:pStyle w:val="CommentText"/>
        <w:textAlignment w:val="baseline"/>
        <w:rPr>
          <w:rStyle w:val="normaltextrun1"/>
          <w:rFonts w:ascii="Calibri" w:eastAsia="Times New Roman" w:hAnsi="Calibri" w:cs="Calibri"/>
          <w:sz w:val="22"/>
          <w:szCs w:val="22"/>
          <w:lang w:eastAsia="en-NZ"/>
        </w:rPr>
      </w:pPr>
      <w:proofErr w:type="spellStart"/>
      <w:r w:rsidRPr="0069353F">
        <w:rPr>
          <w:rStyle w:val="normaltextrun1"/>
          <w:rFonts w:ascii="Calibri" w:eastAsia="Times New Roman" w:hAnsi="Calibri" w:cs="Calibri"/>
          <w:sz w:val="22"/>
          <w:szCs w:val="22"/>
          <w:lang w:eastAsia="en-NZ"/>
        </w:rPr>
        <w:t>Te</w:t>
      </w:r>
      <w:proofErr w:type="spellEnd"/>
      <w:r w:rsidRPr="0069353F">
        <w:rPr>
          <w:rStyle w:val="normaltextrun1"/>
          <w:rFonts w:ascii="Calibri" w:eastAsia="Times New Roman" w:hAnsi="Calibri" w:cs="Calibri"/>
          <w:sz w:val="22"/>
          <w:szCs w:val="22"/>
          <w:lang w:eastAsia="en-NZ"/>
        </w:rPr>
        <w:t xml:space="preserve"> </w:t>
      </w:r>
      <w:proofErr w:type="spellStart"/>
      <w:r w:rsidRPr="0069353F">
        <w:rPr>
          <w:rStyle w:val="normaltextrun1"/>
          <w:rFonts w:ascii="Calibri" w:eastAsia="Times New Roman" w:hAnsi="Calibri" w:cs="Calibri"/>
          <w:sz w:val="22"/>
          <w:szCs w:val="22"/>
          <w:lang w:eastAsia="en-NZ"/>
        </w:rPr>
        <w:t>Huringa</w:t>
      </w:r>
      <w:proofErr w:type="spellEnd"/>
      <w:r w:rsidRPr="0069353F">
        <w:rPr>
          <w:rStyle w:val="normaltextrun1"/>
          <w:rFonts w:ascii="Calibri" w:eastAsia="Times New Roman" w:hAnsi="Calibri" w:cs="Calibri"/>
          <w:sz w:val="22"/>
          <w:szCs w:val="22"/>
          <w:lang w:eastAsia="en-NZ"/>
        </w:rPr>
        <w:t xml:space="preserve"> o </w:t>
      </w:r>
      <w:proofErr w:type="spellStart"/>
      <w:r w:rsidRPr="0069353F">
        <w:rPr>
          <w:rStyle w:val="normaltextrun1"/>
          <w:rFonts w:ascii="Calibri" w:eastAsia="Times New Roman" w:hAnsi="Calibri" w:cs="Calibri"/>
          <w:sz w:val="22"/>
          <w:szCs w:val="22"/>
          <w:lang w:eastAsia="en-NZ"/>
        </w:rPr>
        <w:t>Te</w:t>
      </w:r>
      <w:proofErr w:type="spellEnd"/>
      <w:r w:rsidRPr="0069353F">
        <w:rPr>
          <w:rStyle w:val="normaltextrun1"/>
          <w:rFonts w:ascii="Calibri" w:eastAsia="Times New Roman" w:hAnsi="Calibri" w:cs="Calibri"/>
          <w:sz w:val="22"/>
          <w:szCs w:val="22"/>
          <w:lang w:eastAsia="en-NZ"/>
        </w:rPr>
        <w:t xml:space="preserve"> Tai builds on the Prevention First approach with a focus on keeping Māori from entering the criminal justice system and addressing the underlying causes of offending. Set within the framework of Police’s Prevention First Operating model, </w:t>
      </w:r>
      <w:proofErr w:type="spellStart"/>
      <w:r w:rsidRPr="0069353F">
        <w:rPr>
          <w:rStyle w:val="normaltextrun1"/>
          <w:rFonts w:ascii="Calibri" w:eastAsia="Times New Roman" w:hAnsi="Calibri" w:cs="Calibri"/>
          <w:sz w:val="22"/>
          <w:szCs w:val="22"/>
          <w:lang w:eastAsia="en-NZ"/>
        </w:rPr>
        <w:t>Te</w:t>
      </w:r>
      <w:proofErr w:type="spellEnd"/>
      <w:r w:rsidRPr="0069353F">
        <w:rPr>
          <w:rStyle w:val="normaltextrun1"/>
          <w:rFonts w:ascii="Calibri" w:eastAsia="Times New Roman" w:hAnsi="Calibri" w:cs="Calibri"/>
          <w:sz w:val="22"/>
          <w:szCs w:val="22"/>
          <w:lang w:eastAsia="en-NZ"/>
        </w:rPr>
        <w:t xml:space="preserve"> </w:t>
      </w:r>
      <w:proofErr w:type="spellStart"/>
      <w:r w:rsidRPr="0069353F">
        <w:rPr>
          <w:rStyle w:val="normaltextrun1"/>
          <w:rFonts w:ascii="Calibri" w:eastAsia="Times New Roman" w:hAnsi="Calibri" w:cs="Calibri"/>
          <w:sz w:val="22"/>
          <w:szCs w:val="22"/>
          <w:lang w:eastAsia="en-NZ"/>
        </w:rPr>
        <w:t>Huringa</w:t>
      </w:r>
      <w:proofErr w:type="spellEnd"/>
      <w:r w:rsidRPr="0069353F">
        <w:rPr>
          <w:rStyle w:val="normaltextrun1"/>
          <w:rFonts w:ascii="Calibri" w:eastAsia="Times New Roman" w:hAnsi="Calibri" w:cs="Calibri"/>
          <w:sz w:val="22"/>
          <w:szCs w:val="22"/>
          <w:lang w:eastAsia="en-NZ"/>
        </w:rPr>
        <w:t xml:space="preserve"> o </w:t>
      </w:r>
      <w:proofErr w:type="spellStart"/>
      <w:r w:rsidRPr="0069353F">
        <w:rPr>
          <w:rStyle w:val="normaltextrun1"/>
          <w:rFonts w:ascii="Calibri" w:eastAsia="Times New Roman" w:hAnsi="Calibri" w:cs="Calibri"/>
          <w:sz w:val="22"/>
          <w:szCs w:val="22"/>
          <w:lang w:eastAsia="en-NZ"/>
        </w:rPr>
        <w:t>Te</w:t>
      </w:r>
      <w:proofErr w:type="spellEnd"/>
      <w:r w:rsidRPr="0069353F">
        <w:rPr>
          <w:rStyle w:val="normaltextrun1"/>
          <w:rFonts w:ascii="Calibri" w:eastAsia="Times New Roman" w:hAnsi="Calibri" w:cs="Calibri"/>
          <w:sz w:val="22"/>
          <w:szCs w:val="22"/>
          <w:lang w:eastAsia="en-NZ"/>
        </w:rPr>
        <w:t xml:space="preserve"> Tai focuses</w:t>
      </w:r>
      <w:r>
        <w:rPr>
          <w:rStyle w:val="normaltextrun1"/>
          <w:rFonts w:ascii="Calibri" w:eastAsia="Times New Roman" w:hAnsi="Calibri" w:cs="Calibri"/>
          <w:sz w:val="22"/>
          <w:szCs w:val="22"/>
          <w:lang w:eastAsia="en-NZ"/>
        </w:rPr>
        <w:t xml:space="preserve"> </w:t>
      </w:r>
      <w:r w:rsidRPr="0069353F">
        <w:rPr>
          <w:rStyle w:val="normaltextrun1"/>
          <w:rFonts w:ascii="Calibri" w:eastAsia="Times New Roman" w:hAnsi="Calibri" w:cs="Calibri"/>
          <w:sz w:val="22"/>
          <w:szCs w:val="22"/>
          <w:lang w:eastAsia="en-NZ"/>
        </w:rPr>
        <w:t xml:space="preserve">Police’s effort around three </w:t>
      </w:r>
      <w:proofErr w:type="spellStart"/>
      <w:r>
        <w:rPr>
          <w:rStyle w:val="normaltextrun1"/>
          <w:rFonts w:ascii="Calibri" w:eastAsia="Times New Roman" w:hAnsi="Calibri" w:cs="Calibri"/>
          <w:sz w:val="22"/>
          <w:szCs w:val="22"/>
          <w:lang w:eastAsia="en-NZ"/>
        </w:rPr>
        <w:t>p</w:t>
      </w:r>
      <w:r w:rsidRPr="0069353F">
        <w:rPr>
          <w:rStyle w:val="normaltextrun1"/>
          <w:rFonts w:ascii="Calibri" w:eastAsia="Times New Roman" w:hAnsi="Calibri" w:cs="Calibri"/>
          <w:sz w:val="22"/>
          <w:szCs w:val="22"/>
          <w:lang w:eastAsia="en-NZ"/>
        </w:rPr>
        <w:t>ou</w:t>
      </w:r>
      <w:proofErr w:type="spellEnd"/>
      <w:r w:rsidRPr="0069353F">
        <w:rPr>
          <w:rStyle w:val="normaltextrun1"/>
          <w:rFonts w:ascii="Calibri" w:eastAsia="Times New Roman" w:hAnsi="Calibri" w:cs="Calibri"/>
          <w:sz w:val="22"/>
          <w:szCs w:val="22"/>
          <w:lang w:eastAsia="en-NZ"/>
        </w:rPr>
        <w:t xml:space="preserve">: </w:t>
      </w:r>
    </w:p>
    <w:p w14:paraId="6DE0B0D1" w14:textId="77777777" w:rsidR="00D775C3" w:rsidRDefault="00424FE1" w:rsidP="00B603EC">
      <w:pPr>
        <w:pStyle w:val="CommentText"/>
        <w:numPr>
          <w:ilvl w:val="0"/>
          <w:numId w:val="12"/>
        </w:numPr>
        <w:ind w:hanging="720"/>
        <w:textAlignment w:val="baseline"/>
        <w:rPr>
          <w:rStyle w:val="normaltextrun1"/>
          <w:rFonts w:ascii="Calibri" w:eastAsia="Times New Roman" w:hAnsi="Calibri" w:cs="Calibri"/>
          <w:sz w:val="22"/>
          <w:szCs w:val="22"/>
          <w:lang w:eastAsia="en-NZ"/>
        </w:rPr>
      </w:pPr>
      <w:r w:rsidRPr="0069353F">
        <w:rPr>
          <w:rStyle w:val="normaltextrun1"/>
          <w:rFonts w:ascii="Calibri" w:eastAsia="Times New Roman" w:hAnsi="Calibri" w:cs="Calibri"/>
          <w:sz w:val="22"/>
          <w:szCs w:val="22"/>
          <w:lang w:eastAsia="en-NZ"/>
        </w:rPr>
        <w:t>people and mindset</w:t>
      </w:r>
    </w:p>
    <w:p w14:paraId="011A12B5" w14:textId="7B82FD3F" w:rsidR="00D775C3" w:rsidRDefault="00424FE1" w:rsidP="00B603EC">
      <w:pPr>
        <w:pStyle w:val="CommentText"/>
        <w:numPr>
          <w:ilvl w:val="0"/>
          <w:numId w:val="12"/>
        </w:numPr>
        <w:ind w:hanging="720"/>
        <w:textAlignment w:val="baseline"/>
        <w:rPr>
          <w:rStyle w:val="normaltextrun1"/>
          <w:rFonts w:ascii="Calibri" w:eastAsia="Times New Roman" w:hAnsi="Calibri" w:cs="Calibri"/>
          <w:sz w:val="22"/>
          <w:szCs w:val="22"/>
          <w:lang w:eastAsia="en-NZ"/>
        </w:rPr>
      </w:pPr>
      <w:r w:rsidRPr="0069353F">
        <w:rPr>
          <w:rStyle w:val="normaltextrun1"/>
          <w:rFonts w:ascii="Calibri" w:eastAsia="Times New Roman" w:hAnsi="Calibri" w:cs="Calibri"/>
          <w:sz w:val="22"/>
          <w:szCs w:val="22"/>
          <w:lang w:eastAsia="en-NZ"/>
        </w:rPr>
        <w:t xml:space="preserve">effective initiatives and improved practice </w:t>
      </w:r>
    </w:p>
    <w:p w14:paraId="5F6DFE11" w14:textId="5FEC237B" w:rsidR="00424FE1" w:rsidRPr="0069353F" w:rsidRDefault="00424FE1" w:rsidP="00B603EC">
      <w:pPr>
        <w:pStyle w:val="CommentText"/>
        <w:numPr>
          <w:ilvl w:val="0"/>
          <w:numId w:val="12"/>
        </w:numPr>
        <w:ind w:hanging="720"/>
        <w:textAlignment w:val="baseline"/>
        <w:rPr>
          <w:rStyle w:val="normaltextrun1"/>
          <w:rFonts w:ascii="Calibri" w:eastAsia="Times New Roman" w:hAnsi="Calibri" w:cs="Calibri"/>
          <w:sz w:val="22"/>
          <w:szCs w:val="22"/>
          <w:lang w:eastAsia="en-NZ"/>
        </w:rPr>
      </w:pPr>
      <w:r w:rsidRPr="0069353F">
        <w:rPr>
          <w:rStyle w:val="normaltextrun1"/>
          <w:rFonts w:ascii="Calibri" w:eastAsia="Times New Roman" w:hAnsi="Calibri" w:cs="Calibri"/>
          <w:sz w:val="22"/>
          <w:szCs w:val="22"/>
          <w:lang w:eastAsia="en-NZ"/>
        </w:rPr>
        <w:t>effective partnerships.</w:t>
      </w:r>
      <w:r w:rsidRPr="0069353F">
        <w:rPr>
          <w:rStyle w:val="normaltextrun1"/>
          <w:rFonts w:eastAsia="Times New Roman"/>
          <w:sz w:val="22"/>
          <w:szCs w:val="22"/>
          <w:lang w:eastAsia="en-NZ"/>
        </w:rPr>
        <w:t> </w:t>
      </w:r>
    </w:p>
    <w:p w14:paraId="19B8CB30" w14:textId="77777777" w:rsidR="00424FE1" w:rsidRPr="00C719CF" w:rsidRDefault="00424FE1" w:rsidP="00424FE1">
      <w:pPr>
        <w:pStyle w:val="Heading3"/>
      </w:pPr>
      <w:bookmarkStart w:id="357" w:name="_Toc75781224"/>
      <w:bookmarkStart w:id="358" w:name="_Toc75952937"/>
      <w:bookmarkStart w:id="359" w:name="_Toc78186518"/>
      <w:r w:rsidRPr="00C719CF">
        <w:rPr>
          <w:rStyle w:val="normaltextrun1"/>
        </w:rPr>
        <w:t>Reframe – Improving frontline practice for better resolution outcomes</w:t>
      </w:r>
      <w:bookmarkEnd w:id="357"/>
      <w:bookmarkEnd w:id="358"/>
      <w:bookmarkEnd w:id="359"/>
      <w:r w:rsidRPr="00C719CF">
        <w:rPr>
          <w:rStyle w:val="eop"/>
        </w:rPr>
        <w:t> </w:t>
      </w:r>
    </w:p>
    <w:p w14:paraId="6157B153" w14:textId="77777777" w:rsidR="00424FE1" w:rsidRPr="0069353F" w:rsidRDefault="00424FE1" w:rsidP="00424FE1">
      <w:pPr>
        <w:pStyle w:val="CommentText"/>
        <w:textAlignment w:val="baseline"/>
        <w:rPr>
          <w:rStyle w:val="normaltextrun1"/>
          <w:rFonts w:ascii="Calibri" w:eastAsia="Times New Roman" w:hAnsi="Calibri" w:cs="Calibri"/>
          <w:sz w:val="22"/>
          <w:szCs w:val="22"/>
          <w:lang w:eastAsia="en-NZ"/>
        </w:rPr>
      </w:pPr>
      <w:r>
        <w:rPr>
          <w:rStyle w:val="normaltextrun1"/>
          <w:rFonts w:ascii="Calibri" w:eastAsia="Times New Roman" w:hAnsi="Calibri" w:cs="Calibri"/>
          <w:sz w:val="22"/>
          <w:szCs w:val="22"/>
          <w:lang w:eastAsia="en-NZ"/>
        </w:rPr>
        <w:t xml:space="preserve">NZ </w:t>
      </w:r>
      <w:r w:rsidRPr="0069353F">
        <w:rPr>
          <w:rStyle w:val="normaltextrun1"/>
          <w:rFonts w:ascii="Calibri" w:eastAsia="Times New Roman" w:hAnsi="Calibri" w:cs="Calibri"/>
          <w:sz w:val="22"/>
          <w:szCs w:val="22"/>
          <w:lang w:eastAsia="en-NZ"/>
        </w:rPr>
        <w:t xml:space="preserve">Police </w:t>
      </w:r>
      <w:r>
        <w:rPr>
          <w:rStyle w:val="normaltextrun1"/>
          <w:rFonts w:ascii="Calibri" w:eastAsia="Times New Roman" w:hAnsi="Calibri" w:cs="Calibri"/>
          <w:sz w:val="22"/>
          <w:szCs w:val="22"/>
          <w:lang w:eastAsia="en-NZ"/>
        </w:rPr>
        <w:t xml:space="preserve">is </w:t>
      </w:r>
      <w:r w:rsidRPr="0069353F">
        <w:rPr>
          <w:rStyle w:val="normaltextrun1"/>
          <w:rFonts w:ascii="Calibri" w:eastAsia="Times New Roman" w:hAnsi="Calibri" w:cs="Calibri"/>
          <w:sz w:val="22"/>
          <w:szCs w:val="22"/>
          <w:lang w:eastAsia="en-NZ"/>
        </w:rPr>
        <w:t xml:space="preserve">redefining </w:t>
      </w:r>
      <w:r>
        <w:rPr>
          <w:rStyle w:val="normaltextrun1"/>
          <w:rFonts w:ascii="Calibri" w:eastAsia="Times New Roman" w:hAnsi="Calibri" w:cs="Calibri"/>
          <w:sz w:val="22"/>
          <w:szCs w:val="22"/>
          <w:lang w:eastAsia="en-NZ"/>
        </w:rPr>
        <w:t xml:space="preserve">its </w:t>
      </w:r>
      <w:r w:rsidRPr="0069353F">
        <w:rPr>
          <w:rStyle w:val="normaltextrun1"/>
          <w:rFonts w:ascii="Calibri" w:eastAsia="Times New Roman" w:hAnsi="Calibri" w:cs="Calibri"/>
          <w:sz w:val="22"/>
          <w:szCs w:val="22"/>
          <w:lang w:eastAsia="en-NZ"/>
        </w:rPr>
        <w:t xml:space="preserve">end-to-end Resolutions Framework to make </w:t>
      </w:r>
      <w:r>
        <w:rPr>
          <w:rStyle w:val="normaltextrun1"/>
          <w:rFonts w:ascii="Calibri" w:eastAsia="Times New Roman" w:hAnsi="Calibri" w:cs="Calibri"/>
          <w:sz w:val="22"/>
          <w:szCs w:val="22"/>
          <w:lang w:eastAsia="en-NZ"/>
        </w:rPr>
        <w:t xml:space="preserve">the </w:t>
      </w:r>
      <w:r w:rsidRPr="00E2668F">
        <w:rPr>
          <w:rStyle w:val="normaltextrun1"/>
          <w:rFonts w:ascii="Calibri" w:eastAsia="Times New Roman" w:hAnsi="Calibri" w:cs="Calibri"/>
          <w:sz w:val="22"/>
          <w:szCs w:val="22"/>
          <w:lang w:eastAsia="en-NZ"/>
        </w:rPr>
        <w:t>framework</w:t>
      </w:r>
      <w:r w:rsidRPr="0069353F">
        <w:rPr>
          <w:rStyle w:val="normaltextrun1"/>
          <w:rFonts w:ascii="Calibri" w:eastAsia="Times New Roman" w:hAnsi="Calibri" w:cs="Calibri"/>
          <w:sz w:val="22"/>
          <w:szCs w:val="22"/>
          <w:lang w:eastAsia="en-NZ"/>
        </w:rPr>
        <w:t xml:space="preserve"> more consistent, transparent and accountable. The reframe strategy</w:t>
      </w:r>
      <w:r>
        <w:rPr>
          <w:rStyle w:val="normaltextrun1"/>
          <w:rFonts w:ascii="Calibri" w:eastAsia="Times New Roman" w:hAnsi="Calibri" w:cs="Calibri"/>
          <w:sz w:val="22"/>
          <w:szCs w:val="22"/>
          <w:lang w:eastAsia="en-NZ"/>
        </w:rPr>
        <w:t xml:space="preserve"> </w:t>
      </w:r>
      <w:r w:rsidRPr="0069353F">
        <w:rPr>
          <w:rStyle w:val="normaltextrun1"/>
          <w:rFonts w:ascii="Calibri" w:eastAsia="Times New Roman" w:hAnsi="Calibri" w:cs="Calibri"/>
          <w:sz w:val="22"/>
          <w:szCs w:val="22"/>
          <w:lang w:eastAsia="en-NZ"/>
        </w:rPr>
        <w:t>is underpinned by four principles:</w:t>
      </w:r>
      <w:r w:rsidRPr="0069353F">
        <w:rPr>
          <w:rStyle w:val="normaltextrun1"/>
          <w:rFonts w:eastAsia="Times New Roman"/>
          <w:sz w:val="22"/>
          <w:szCs w:val="22"/>
          <w:lang w:eastAsia="en-NZ"/>
        </w:rPr>
        <w:t> </w:t>
      </w:r>
    </w:p>
    <w:p w14:paraId="7C3AA287" w14:textId="025BC293"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humanity and fairness</w:t>
      </w:r>
    </w:p>
    <w:p w14:paraId="707A0C07" w14:textId="18B8FC3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lastRenderedPageBreak/>
        <w:t>informed decision-making</w:t>
      </w:r>
    </w:p>
    <w:p w14:paraId="152C5378" w14:textId="554E1A64"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supported resolutions as the first choice, and  </w:t>
      </w:r>
    </w:p>
    <w:p w14:paraId="608ADDDC"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strengthened partnerships.   </w:t>
      </w:r>
    </w:p>
    <w:p w14:paraId="4A6E34C3" w14:textId="77777777" w:rsidR="00424FE1" w:rsidRPr="00386B68" w:rsidRDefault="00424FE1" w:rsidP="00424FE1">
      <w:pPr>
        <w:spacing w:after="100"/>
        <w:rPr>
          <w:rStyle w:val="normaltextrun1"/>
          <w:rFonts w:ascii="Calibri" w:eastAsia="Times New Roman" w:hAnsi="Calibri" w:cs="Calibri"/>
          <w:lang w:eastAsia="en-NZ"/>
        </w:rPr>
      </w:pPr>
      <w:r w:rsidRPr="00386B68">
        <w:rPr>
          <w:rStyle w:val="normaltextrun1"/>
          <w:rFonts w:ascii="Calibri" w:eastAsia="Times New Roman" w:hAnsi="Calibri" w:cs="Calibri"/>
          <w:lang w:eastAsia="en-NZ"/>
        </w:rPr>
        <w:t>Reframe is a multi-year initiative that is focused on achievin</w:t>
      </w:r>
      <w:r>
        <w:rPr>
          <w:rStyle w:val="normaltextrun1"/>
          <w:rFonts w:ascii="Calibri" w:eastAsia="Times New Roman" w:hAnsi="Calibri" w:cs="Calibri"/>
          <w:lang w:eastAsia="en-NZ"/>
        </w:rPr>
        <w:t>g</w:t>
      </w:r>
      <w:r w:rsidRPr="00386B68">
        <w:rPr>
          <w:rStyle w:val="normaltextrun1"/>
          <w:rFonts w:ascii="Calibri" w:eastAsia="Times New Roman" w:hAnsi="Calibri" w:cs="Calibri"/>
          <w:lang w:eastAsia="en-NZ"/>
        </w:rPr>
        <w:t>:</w:t>
      </w:r>
    </w:p>
    <w:p w14:paraId="00EAEFA4"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Appropriate outcomes for those who have been harmed and those who cause the harm including:</w:t>
      </w:r>
    </w:p>
    <w:p w14:paraId="4FF80F0A"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More equitable outcomes for Māori, women</w:t>
      </w:r>
      <w:r>
        <w:rPr>
          <w:rStyle w:val="normaltextrun1"/>
        </w:rPr>
        <w:t xml:space="preserve"> and</w:t>
      </w:r>
      <w:r w:rsidRPr="00386B68">
        <w:rPr>
          <w:rStyle w:val="normaltextrun1"/>
        </w:rPr>
        <w:t xml:space="preserve"> minority groups regionally across NZ</w:t>
      </w:r>
    </w:p>
    <w:p w14:paraId="7A65CFC4"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 xml:space="preserve">People who have been harmed feel safe and heard </w:t>
      </w:r>
    </w:p>
    <w:p w14:paraId="2EE09567"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Reduced risk of future harm</w:t>
      </w:r>
    </w:p>
    <w:p w14:paraId="78D06C5A"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 xml:space="preserve">Improved public trust and confidence in the justice system.  </w:t>
      </w:r>
    </w:p>
    <w:p w14:paraId="6ED9B406" w14:textId="77777777" w:rsidR="00424FE1" w:rsidRPr="00386B68" w:rsidRDefault="00424FE1" w:rsidP="00424FE1">
      <w:pPr>
        <w:pStyle w:val="bulletpoints"/>
        <w:numPr>
          <w:ilvl w:val="0"/>
          <w:numId w:val="0"/>
        </w:numPr>
        <w:ind w:left="1276"/>
        <w:rPr>
          <w:rStyle w:val="normaltextrun1"/>
        </w:rPr>
      </w:pPr>
    </w:p>
    <w:p w14:paraId="30DC49C9"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Improved Police contribution towards effective and timely case resolutions including:</w:t>
      </w:r>
    </w:p>
    <w:p w14:paraId="0E076463"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 xml:space="preserve">Improved evidential quality </w:t>
      </w:r>
    </w:p>
    <w:p w14:paraId="4CA2DE90"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 xml:space="preserve">Improved contribution to judicial confidence </w:t>
      </w:r>
    </w:p>
    <w:p w14:paraId="1F4127C9"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Improved public trust and confidence in the justice system</w:t>
      </w:r>
    </w:p>
    <w:p w14:paraId="21A00BF5" w14:textId="77777777" w:rsidR="00424FE1" w:rsidRPr="00386B68" w:rsidRDefault="00424FE1" w:rsidP="00E02D75">
      <w:pPr>
        <w:pStyle w:val="bulletpoints"/>
        <w:numPr>
          <w:ilvl w:val="2"/>
          <w:numId w:val="6"/>
        </w:numPr>
        <w:ind w:left="1276" w:hanging="425"/>
        <w:rPr>
          <w:rStyle w:val="normaltextrun1"/>
        </w:rPr>
      </w:pPr>
      <w:r w:rsidRPr="00386B68">
        <w:rPr>
          <w:rStyle w:val="normaltextrun1"/>
        </w:rPr>
        <w:t xml:space="preserve">Less rework. </w:t>
      </w:r>
    </w:p>
    <w:p w14:paraId="13F789DA" w14:textId="77777777" w:rsidR="00424FE1" w:rsidRPr="00C719CF" w:rsidRDefault="00424FE1" w:rsidP="00424FE1">
      <w:pPr>
        <w:pStyle w:val="Heading3"/>
        <w:rPr>
          <w:rStyle w:val="normaltextrun1"/>
        </w:rPr>
      </w:pPr>
      <w:bookmarkStart w:id="360" w:name="_Toc75781225"/>
      <w:bookmarkStart w:id="361" w:name="_Toc75952938"/>
      <w:bookmarkStart w:id="362" w:name="_Toc78186519"/>
      <w:r w:rsidRPr="00C719CF">
        <w:rPr>
          <w:rStyle w:val="normaltextrun1"/>
        </w:rPr>
        <w:t>Te Pae Oranga Iwi Community Panels</w:t>
      </w:r>
      <w:bookmarkEnd w:id="360"/>
      <w:bookmarkEnd w:id="361"/>
      <w:bookmarkEnd w:id="362"/>
      <w:r w:rsidRPr="00C719CF">
        <w:rPr>
          <w:rStyle w:val="normaltextrun1"/>
        </w:rPr>
        <w:t> </w:t>
      </w:r>
    </w:p>
    <w:p w14:paraId="1A702D7D" w14:textId="25B9DA34" w:rsidR="00424FE1" w:rsidRPr="00AD2469" w:rsidRDefault="00424FE1" w:rsidP="00424FE1">
      <w:pPr>
        <w:rPr>
          <w:rFonts w:eastAsia="Times New Roman"/>
        </w:rPr>
      </w:pPr>
      <w:r w:rsidRPr="00E2668F">
        <w:rPr>
          <w:rStyle w:val="normaltextrun1"/>
          <w:rFonts w:ascii="Calibri" w:eastAsia="Times New Roman" w:hAnsi="Calibri" w:cs="Calibri"/>
          <w:lang w:eastAsia="en-NZ"/>
        </w:rPr>
        <w:t xml:space="preserve">Te Pae Oranga </w:t>
      </w:r>
      <w:r>
        <w:rPr>
          <w:rStyle w:val="normaltextrun1"/>
          <w:rFonts w:ascii="Calibri" w:eastAsia="Times New Roman" w:hAnsi="Calibri" w:cs="Calibri"/>
          <w:lang w:eastAsia="en-NZ"/>
        </w:rPr>
        <w:t xml:space="preserve">Community Panels </w:t>
      </w:r>
      <w:r w:rsidRPr="00E2668F">
        <w:rPr>
          <w:rStyle w:val="normaltextrun1"/>
          <w:rFonts w:ascii="Calibri" w:eastAsia="Times New Roman" w:hAnsi="Calibri" w:cs="Calibri"/>
          <w:lang w:eastAsia="en-NZ"/>
        </w:rPr>
        <w:t>began in 2013 and</w:t>
      </w:r>
      <w:r>
        <w:rPr>
          <w:rStyle w:val="normaltextrun1"/>
          <w:rFonts w:ascii="Calibri" w:eastAsia="Times New Roman" w:hAnsi="Calibri" w:cs="Calibri"/>
          <w:lang w:eastAsia="en-NZ"/>
        </w:rPr>
        <w:t xml:space="preserve"> </w:t>
      </w:r>
      <w:r w:rsidRPr="00E2668F">
        <w:rPr>
          <w:rStyle w:val="normaltextrun1"/>
          <w:rFonts w:ascii="Calibri" w:eastAsia="Times New Roman" w:hAnsi="Calibri" w:cs="Calibri"/>
          <w:lang w:eastAsia="en-NZ"/>
        </w:rPr>
        <w:t>are a way that Police and iwi</w:t>
      </w:r>
      <w:r w:rsidR="055357E9" w:rsidRPr="561A2C0F">
        <w:rPr>
          <w:rStyle w:val="normaltextrun1"/>
          <w:rFonts w:ascii="Calibri" w:eastAsia="Times New Roman" w:hAnsi="Calibri" w:cs="Calibri"/>
          <w:lang w:eastAsia="en-NZ"/>
        </w:rPr>
        <w:t xml:space="preserve"> and </w:t>
      </w:r>
      <w:r w:rsidR="055357E9" w:rsidRPr="515EB459">
        <w:rPr>
          <w:rStyle w:val="normaltextrun1"/>
          <w:rFonts w:ascii="Calibri" w:eastAsia="Times New Roman" w:hAnsi="Calibri" w:cs="Calibri"/>
          <w:lang w:eastAsia="en-NZ"/>
        </w:rPr>
        <w:t>other</w:t>
      </w:r>
      <w:r w:rsidR="009F7E8A">
        <w:rPr>
          <w:rStyle w:val="normaltextrun1"/>
          <w:rFonts w:ascii="Calibri" w:eastAsia="Times New Roman" w:hAnsi="Calibri" w:cs="Calibri"/>
          <w:lang w:eastAsia="en-NZ"/>
        </w:rPr>
        <w:t xml:space="preserve"> </w:t>
      </w:r>
      <w:r w:rsidRPr="53EE14DC">
        <w:rPr>
          <w:rStyle w:val="normaltextrun1"/>
          <w:rFonts w:ascii="Calibri" w:eastAsia="Times New Roman" w:hAnsi="Calibri" w:cs="Calibri"/>
          <w:lang w:eastAsia="en-NZ"/>
        </w:rPr>
        <w:t>Māori</w:t>
      </w:r>
      <w:r w:rsidRPr="00E2668F">
        <w:rPr>
          <w:rStyle w:val="normaltextrun1"/>
          <w:rFonts w:ascii="Calibri" w:eastAsia="Times New Roman" w:hAnsi="Calibri" w:cs="Calibri"/>
          <w:lang w:eastAsia="en-NZ"/>
        </w:rPr>
        <w:t xml:space="preserve"> partners deal with crime and prevent reoffending. It’s an approach that holds offenders accountable while also helping them </w:t>
      </w:r>
      <w:r>
        <w:rPr>
          <w:rStyle w:val="normaltextrun1"/>
          <w:rFonts w:ascii="Calibri" w:eastAsia="Times New Roman" w:hAnsi="Calibri" w:cs="Calibri"/>
          <w:lang w:eastAsia="en-NZ"/>
        </w:rPr>
        <w:t xml:space="preserve">to </w:t>
      </w:r>
      <w:r w:rsidRPr="00E2668F">
        <w:rPr>
          <w:rStyle w:val="normaltextrun1"/>
          <w:rFonts w:ascii="Calibri" w:eastAsia="Times New Roman" w:hAnsi="Calibri" w:cs="Calibri"/>
          <w:lang w:eastAsia="en-NZ"/>
        </w:rPr>
        <w:t>address problems they</w:t>
      </w:r>
      <w:r>
        <w:rPr>
          <w:rStyle w:val="normaltextrun1"/>
          <w:rFonts w:ascii="Calibri" w:eastAsia="Times New Roman" w:hAnsi="Calibri" w:cs="Calibri"/>
          <w:lang w:eastAsia="en-NZ"/>
        </w:rPr>
        <w:t xml:space="preserve"> a</w:t>
      </w:r>
      <w:r w:rsidRPr="00E2668F">
        <w:rPr>
          <w:rStyle w:val="normaltextrun1"/>
          <w:rFonts w:ascii="Calibri" w:eastAsia="Times New Roman" w:hAnsi="Calibri" w:cs="Calibri"/>
          <w:lang w:eastAsia="en-NZ"/>
        </w:rPr>
        <w:t>re facing</w:t>
      </w:r>
      <w:r w:rsidRPr="00AD2469">
        <w:rPr>
          <w:rStyle w:val="normaltextrun1"/>
          <w:rFonts w:ascii="Calibri" w:eastAsia="Times New Roman" w:hAnsi="Calibri" w:cs="Calibri"/>
          <w:lang w:eastAsia="en-NZ"/>
        </w:rPr>
        <w:t>.</w:t>
      </w:r>
      <w:r w:rsidRPr="00AD2469">
        <w:rPr>
          <w:rStyle w:val="normaltextrun1"/>
          <w:rFonts w:eastAsia="Times New Roman"/>
          <w:lang w:eastAsia="en-NZ"/>
        </w:rPr>
        <w:t> </w:t>
      </w:r>
      <w:r w:rsidRPr="00AD2469">
        <w:rPr>
          <w:rFonts w:eastAsia="Times New Roman"/>
        </w:rPr>
        <w:t>It is available to people of all ethnicities</w:t>
      </w:r>
      <w:r>
        <w:rPr>
          <w:rFonts w:eastAsia="Times New Roman"/>
        </w:rPr>
        <w:t xml:space="preserve"> if they are</w:t>
      </w:r>
      <w:r w:rsidRPr="00AD2469">
        <w:rPr>
          <w:rFonts w:eastAsia="Times New Roman"/>
        </w:rPr>
        <w:t xml:space="preserve"> 18 years and over.</w:t>
      </w:r>
    </w:p>
    <w:p w14:paraId="5C8DDE37" w14:textId="77777777" w:rsidR="00424FE1" w:rsidRPr="00AD2469" w:rsidRDefault="00424FE1" w:rsidP="00424FE1">
      <w:pPr>
        <w:pStyle w:val="NormalWeb"/>
        <w:rPr>
          <w:lang w:eastAsia="en-US"/>
        </w:rPr>
      </w:pPr>
      <w:r w:rsidRPr="00AD2469">
        <w:rPr>
          <w:lang w:eastAsia="en-US"/>
        </w:rPr>
        <w:t>The following criteria must be satisfied:</w:t>
      </w:r>
    </w:p>
    <w:p w14:paraId="4992BA99"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The offence is supported by evidential sufficiency (refer </w:t>
      </w:r>
      <w:hyperlink r:id="rId39" w:history="1">
        <w:r w:rsidRPr="004E2A60">
          <w:rPr>
            <w:rStyle w:val="normaltextrun1"/>
            <w:rFonts w:ascii="Calibri" w:hAnsi="Calibri" w:cs="Calibri"/>
            <w:sz w:val="22"/>
            <w:szCs w:val="22"/>
            <w:lang w:eastAsia="en-NZ"/>
          </w:rPr>
          <w:t>Solicitor General’s Prosecution Guidelines</w:t>
        </w:r>
      </w:hyperlink>
      <w:r w:rsidRPr="004E2A60">
        <w:rPr>
          <w:rStyle w:val="normaltextrun1"/>
          <w:rFonts w:ascii="Calibri" w:hAnsi="Calibri" w:cs="Calibri"/>
          <w:sz w:val="22"/>
          <w:szCs w:val="22"/>
          <w:lang w:eastAsia="en-NZ"/>
        </w:rPr>
        <w:t>)</w:t>
      </w:r>
    </w:p>
    <w:p w14:paraId="1D0D5886"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The participant must: </w:t>
      </w:r>
    </w:p>
    <w:p w14:paraId="2409D776"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be 18 years or over</w:t>
      </w:r>
    </w:p>
    <w:p w14:paraId="289B87FC"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admit responsibility for the offence and agree to participate</w:t>
      </w:r>
    </w:p>
    <w:p w14:paraId="71BC9846"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The offence must: </w:t>
      </w:r>
    </w:p>
    <w:p w14:paraId="6B2AAB70" w14:textId="5DAFA5E4" w:rsidR="00424FE1" w:rsidRPr="00D57928" w:rsidRDefault="622134F3" w:rsidP="00B603EC">
      <w:pPr>
        <w:pStyle w:val="CommentText"/>
        <w:numPr>
          <w:ilvl w:val="1"/>
          <w:numId w:val="7"/>
        </w:numPr>
        <w:textAlignment w:val="baseline"/>
        <w:rPr>
          <w:rStyle w:val="normaltextrun1"/>
          <w:rFonts w:ascii="Calibri" w:hAnsi="Calibri" w:cs="Calibri"/>
          <w:sz w:val="22"/>
          <w:szCs w:val="22"/>
          <w:lang w:eastAsia="en-NZ"/>
        </w:rPr>
      </w:pPr>
      <w:r w:rsidRPr="2879582A">
        <w:rPr>
          <w:rStyle w:val="normaltextrun1"/>
          <w:rFonts w:ascii="Calibri" w:hAnsi="Calibri" w:cs="Calibri"/>
          <w:sz w:val="22"/>
          <w:szCs w:val="22"/>
          <w:lang w:eastAsia="en-NZ"/>
        </w:rPr>
        <w:t>c</w:t>
      </w:r>
      <w:r w:rsidR="00424FE1" w:rsidRPr="2879582A">
        <w:rPr>
          <w:rStyle w:val="normaltextrun1"/>
          <w:rFonts w:ascii="Calibri" w:hAnsi="Calibri" w:cs="Calibri"/>
          <w:sz w:val="22"/>
          <w:szCs w:val="22"/>
          <w:lang w:eastAsia="en-NZ"/>
        </w:rPr>
        <w:t>arry</w:t>
      </w:r>
      <w:r w:rsidR="587129E6" w:rsidRPr="2879582A">
        <w:rPr>
          <w:rStyle w:val="normaltextrun1"/>
          <w:rFonts w:ascii="Calibri" w:hAnsi="Calibri" w:cs="Calibri"/>
          <w:sz w:val="22"/>
          <w:szCs w:val="22"/>
          <w:lang w:eastAsia="en-NZ"/>
        </w:rPr>
        <w:t xml:space="preserve"> a penalty of</w:t>
      </w:r>
      <w:r w:rsidR="00424FE1" w:rsidRPr="00D57928">
        <w:rPr>
          <w:rStyle w:val="normaltextrun1"/>
          <w:rFonts w:ascii="Calibri" w:hAnsi="Calibri" w:cs="Calibri"/>
          <w:sz w:val="22"/>
          <w:szCs w:val="22"/>
          <w:lang w:eastAsia="en-NZ"/>
        </w:rPr>
        <w:t xml:space="preserve"> 6 months imprisonment or less, or </w:t>
      </w:r>
    </w:p>
    <w:p w14:paraId="5EFFEB2F" w14:textId="4E73F8D0"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be Possess/Uses Utensils (codes 3185, 3284 or 5985), or</w:t>
      </w:r>
    </w:p>
    <w:p w14:paraId="1AEE61E3"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be a non-qualifying offence approved for an exemption (see below)</w:t>
      </w:r>
    </w:p>
    <w:p w14:paraId="462E05F3"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t xml:space="preserve">The offence must not have arisen out of: </w:t>
      </w:r>
    </w:p>
    <w:p w14:paraId="6EA715DD"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family violence-related offending</w:t>
      </w:r>
    </w:p>
    <w:p w14:paraId="1AFEB048"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driving charge with mandatory disqualification</w:t>
      </w:r>
    </w:p>
    <w:p w14:paraId="37BD6A56"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firearm charge</w:t>
      </w:r>
    </w:p>
    <w:p w14:paraId="78A53736" w14:textId="6344B9EE"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second</w:t>
      </w:r>
      <w:r w:rsidR="009B0776">
        <w:rPr>
          <w:rStyle w:val="normaltextrun1"/>
          <w:rFonts w:ascii="Calibri" w:hAnsi="Calibri" w:cs="Calibri"/>
          <w:sz w:val="22"/>
          <w:szCs w:val="22"/>
          <w:lang w:eastAsia="en-NZ"/>
        </w:rPr>
        <w:t>-</w:t>
      </w:r>
      <w:r w:rsidRPr="00D57928">
        <w:rPr>
          <w:rStyle w:val="normaltextrun1"/>
          <w:rFonts w:ascii="Calibri" w:hAnsi="Calibri" w:cs="Calibri"/>
          <w:sz w:val="22"/>
          <w:szCs w:val="22"/>
          <w:lang w:eastAsia="en-NZ"/>
        </w:rPr>
        <w:t>hand dealer offences.</w:t>
      </w:r>
    </w:p>
    <w:p w14:paraId="754407E1" w14:textId="77777777"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sidRPr="004E2A60">
        <w:rPr>
          <w:rStyle w:val="normaltextrun1"/>
          <w:rFonts w:ascii="Calibri" w:hAnsi="Calibri" w:cs="Calibri"/>
          <w:sz w:val="22"/>
          <w:szCs w:val="22"/>
          <w:lang w:eastAsia="en-NZ"/>
        </w:rPr>
        <w:lastRenderedPageBreak/>
        <w:t xml:space="preserve">The participant must not: </w:t>
      </w:r>
    </w:p>
    <w:p w14:paraId="4DEF26EB" w14:textId="77777777" w:rsidR="00424FE1" w:rsidRPr="00D57928" w:rsidRDefault="00424FE1" w:rsidP="00B603EC">
      <w:pPr>
        <w:pStyle w:val="CommentText"/>
        <w:numPr>
          <w:ilvl w:val="1"/>
          <w:numId w:val="7"/>
        </w:numPr>
        <w:textAlignment w:val="baseline"/>
        <w:rPr>
          <w:rStyle w:val="normaltextrun1"/>
          <w:rFonts w:ascii="Calibri" w:hAnsi="Calibri" w:cs="Calibri"/>
          <w:sz w:val="22"/>
          <w:szCs w:val="22"/>
          <w:lang w:eastAsia="en-NZ"/>
        </w:rPr>
      </w:pPr>
      <w:r w:rsidRPr="00D57928">
        <w:rPr>
          <w:rStyle w:val="normaltextrun1"/>
          <w:rFonts w:ascii="Calibri" w:hAnsi="Calibri" w:cs="Calibri"/>
          <w:sz w:val="22"/>
          <w:szCs w:val="22"/>
          <w:lang w:eastAsia="en-NZ"/>
        </w:rPr>
        <w:t>have active charges being pursued through the Court</w:t>
      </w:r>
    </w:p>
    <w:p w14:paraId="6AB4D9AA" w14:textId="77777777" w:rsidR="00424FE1" w:rsidRPr="0069353F" w:rsidRDefault="00424FE1" w:rsidP="00424FE1">
      <w:pPr>
        <w:pStyle w:val="CommentText"/>
        <w:textAlignment w:val="baseline"/>
        <w:rPr>
          <w:rStyle w:val="normaltextrun1"/>
          <w:rFonts w:ascii="Calibri" w:eastAsia="Times New Roman" w:hAnsi="Calibri" w:cs="Calibri"/>
          <w:lang w:eastAsia="en-NZ"/>
        </w:rPr>
      </w:pPr>
      <w:r w:rsidRPr="5E903C6E">
        <w:rPr>
          <w:rStyle w:val="normaltextrun1"/>
          <w:rFonts w:ascii="Calibri" w:hAnsi="Calibri" w:cs="Calibri"/>
          <w:sz w:val="22"/>
          <w:szCs w:val="22"/>
        </w:rPr>
        <w:t>Te Pae Oranga is mainly for people whose offending is related to underlying issues and who need support to get their lives back on track.  The model is designed to help them overcome problems like addiction, abuse, financial stress and difficulties getting employment or education.  Te Pae Oranga is available to people of all ethnicities and from all walks of life. It has a strong restorative justice element and victims are encouraged to take part in the process and its outcomes.</w:t>
      </w:r>
      <w:r w:rsidRPr="0069353F">
        <w:rPr>
          <w:rStyle w:val="normaltextrun1"/>
          <w:rFonts w:eastAsia="Times New Roman"/>
          <w:lang w:eastAsia="en-NZ"/>
        </w:rPr>
        <w:t> </w:t>
      </w:r>
    </w:p>
    <w:p w14:paraId="370F35DC" w14:textId="77777777" w:rsidR="00424FE1" w:rsidRPr="00E2668F" w:rsidRDefault="00424FE1" w:rsidP="00424FE1">
      <w:pPr>
        <w:pStyle w:val="CommentText"/>
        <w:textAlignment w:val="baseline"/>
        <w:rPr>
          <w:rStyle w:val="normaltextrun1"/>
          <w:rFonts w:eastAsia="Times New Roman"/>
          <w:lang w:eastAsia="en-NZ"/>
        </w:rPr>
      </w:pPr>
      <w:r w:rsidRPr="00E2668F">
        <w:rPr>
          <w:rStyle w:val="normaltextrun1"/>
          <w:rFonts w:ascii="Calibri" w:eastAsia="Times New Roman" w:hAnsi="Calibri" w:cs="Calibri"/>
          <w:sz w:val="22"/>
          <w:szCs w:val="22"/>
          <w:lang w:eastAsia="en-NZ"/>
        </w:rPr>
        <w:t xml:space="preserve">The panel helps </w:t>
      </w:r>
      <w:r>
        <w:rPr>
          <w:rStyle w:val="normaltextrun1"/>
          <w:rFonts w:ascii="Calibri" w:eastAsia="Times New Roman" w:hAnsi="Calibri" w:cs="Calibri"/>
          <w:sz w:val="22"/>
          <w:szCs w:val="22"/>
          <w:lang w:eastAsia="en-NZ"/>
        </w:rPr>
        <w:t xml:space="preserve">the person who has been referred </w:t>
      </w:r>
      <w:r w:rsidRPr="00E2668F">
        <w:rPr>
          <w:rStyle w:val="normaltextrun1"/>
          <w:rFonts w:ascii="Calibri" w:eastAsia="Times New Roman" w:hAnsi="Calibri" w:cs="Calibri"/>
          <w:sz w:val="22"/>
          <w:szCs w:val="22"/>
          <w:lang w:eastAsia="en-NZ"/>
        </w:rPr>
        <w:t>to make a plan to put things right and help everyone who takes part. The participant’s</w:t>
      </w:r>
      <w:r w:rsidRPr="7DB93526">
        <w:rPr>
          <w:rStyle w:val="normaltextrun1"/>
          <w:rFonts w:ascii="Calibri" w:hAnsi="Calibri" w:cs="Calibri"/>
          <w:sz w:val="22"/>
          <w:szCs w:val="22"/>
        </w:rPr>
        <w:t xml:space="preserve"> plan can include actions such as:</w:t>
      </w:r>
      <w:r w:rsidRPr="0069353F">
        <w:rPr>
          <w:rStyle w:val="normaltextrun1"/>
          <w:rFonts w:eastAsia="Times New Roman"/>
          <w:lang w:eastAsia="en-NZ"/>
        </w:rPr>
        <w:t> </w:t>
      </w:r>
    </w:p>
    <w:p w14:paraId="5D92105D" w14:textId="5E9DD88C" w:rsidR="00424FE1" w:rsidRPr="00D57928" w:rsidRDefault="00424FE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Pr>
          <w:rStyle w:val="normaltextrun1"/>
          <w:rFonts w:ascii="Calibri" w:hAnsi="Calibri" w:cs="Calibri"/>
          <w:sz w:val="22"/>
          <w:szCs w:val="22"/>
        </w:rPr>
        <w:t xml:space="preserve">getting </w:t>
      </w:r>
      <w:r w:rsidRPr="00873D1F">
        <w:rPr>
          <w:rStyle w:val="normaltextrun1"/>
          <w:rFonts w:ascii="Calibri" w:hAnsi="Calibri" w:cs="Calibri"/>
          <w:sz w:val="22"/>
          <w:szCs w:val="22"/>
        </w:rPr>
        <w:t>support to quit drugs and alcohol</w:t>
      </w:r>
    </w:p>
    <w:p w14:paraId="478A98A6" w14:textId="7710D808" w:rsidR="00424FE1" w:rsidRPr="00D57928" w:rsidRDefault="00424FE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Pr>
          <w:rStyle w:val="normaltextrun1"/>
          <w:rFonts w:ascii="Calibri" w:hAnsi="Calibri" w:cs="Calibri"/>
          <w:sz w:val="22"/>
          <w:szCs w:val="22"/>
        </w:rPr>
        <w:t xml:space="preserve">getting a </w:t>
      </w:r>
      <w:r w:rsidRPr="00873D1F">
        <w:rPr>
          <w:rStyle w:val="normaltextrun1"/>
          <w:rFonts w:ascii="Calibri" w:hAnsi="Calibri" w:cs="Calibri"/>
          <w:sz w:val="22"/>
          <w:szCs w:val="22"/>
        </w:rPr>
        <w:t>driver licence, a job or training</w:t>
      </w:r>
    </w:p>
    <w:p w14:paraId="2B0F027B" w14:textId="5C3CA317" w:rsidR="00424FE1" w:rsidRPr="00D57928" w:rsidRDefault="00424FE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Pr>
          <w:rStyle w:val="normaltextrun1"/>
          <w:rFonts w:ascii="Calibri" w:hAnsi="Calibri" w:cs="Calibri"/>
          <w:sz w:val="22"/>
          <w:szCs w:val="22"/>
        </w:rPr>
        <w:t xml:space="preserve">doing an </w:t>
      </w:r>
      <w:r w:rsidRPr="00873D1F">
        <w:rPr>
          <w:rStyle w:val="normaltextrun1"/>
          <w:rFonts w:ascii="Calibri" w:hAnsi="Calibri" w:cs="Calibri"/>
          <w:sz w:val="22"/>
          <w:szCs w:val="22"/>
        </w:rPr>
        <w:t>anger management</w:t>
      </w:r>
      <w:r>
        <w:rPr>
          <w:rStyle w:val="normaltextrun1"/>
          <w:rFonts w:ascii="Calibri" w:hAnsi="Calibri" w:cs="Calibri"/>
          <w:sz w:val="22"/>
          <w:szCs w:val="22"/>
        </w:rPr>
        <w:t xml:space="preserve"> course</w:t>
      </w:r>
      <w:r w:rsidRPr="00D57928">
        <w:rPr>
          <w:rStyle w:val="normaltextrun1"/>
          <w:rFonts w:ascii="Calibri" w:eastAsia="Times New Roman" w:hAnsi="Calibri" w:cs="Calibri"/>
          <w:sz w:val="22"/>
          <w:szCs w:val="22"/>
          <w:lang w:eastAsia="en-NZ"/>
        </w:rPr>
        <w:t> </w:t>
      </w:r>
    </w:p>
    <w:p w14:paraId="79DEEAEB" w14:textId="7578F6F0" w:rsidR="00424FE1" w:rsidRPr="004E2A60" w:rsidRDefault="00424FE1"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rPr>
        <w:t>paying for damage (</w:t>
      </w:r>
      <w:r w:rsidRPr="00873D1F">
        <w:rPr>
          <w:rStyle w:val="normaltextrun1"/>
          <w:rFonts w:ascii="Calibri" w:hAnsi="Calibri" w:cs="Calibri"/>
          <w:sz w:val="22"/>
          <w:szCs w:val="22"/>
        </w:rPr>
        <w:t>reparation</w:t>
      </w:r>
      <w:r w:rsidRPr="5E903C6E">
        <w:rPr>
          <w:rStyle w:val="normaltextrun1"/>
          <w:rFonts w:ascii="Calibri" w:hAnsi="Calibri" w:cs="Calibri"/>
          <w:sz w:val="22"/>
          <w:szCs w:val="22"/>
        </w:rPr>
        <w:t xml:space="preserve">) </w:t>
      </w:r>
    </w:p>
    <w:p w14:paraId="77E72916" w14:textId="77777777" w:rsidR="00424FE1" w:rsidRPr="00D57928" w:rsidRDefault="00424FE1" w:rsidP="00B603EC">
      <w:pPr>
        <w:pStyle w:val="CommentText"/>
        <w:numPr>
          <w:ilvl w:val="0"/>
          <w:numId w:val="7"/>
        </w:numPr>
        <w:ind w:hanging="720"/>
        <w:textAlignment w:val="baseline"/>
        <w:rPr>
          <w:rStyle w:val="normaltextrun1"/>
          <w:rFonts w:ascii="Calibri" w:eastAsia="Times New Roman" w:hAnsi="Calibri" w:cs="Calibri"/>
          <w:sz w:val="22"/>
          <w:szCs w:val="22"/>
          <w:lang w:eastAsia="en-NZ"/>
        </w:rPr>
      </w:pPr>
      <w:r w:rsidRPr="00873D1F">
        <w:rPr>
          <w:rStyle w:val="normaltextrun1"/>
          <w:rFonts w:ascii="Calibri" w:hAnsi="Calibri" w:cs="Calibri"/>
          <w:sz w:val="22"/>
          <w:szCs w:val="22"/>
        </w:rPr>
        <w:t>hearing how victims were affected</w:t>
      </w:r>
      <w:r>
        <w:rPr>
          <w:rStyle w:val="normaltextrun1"/>
          <w:rFonts w:ascii="Calibri" w:hAnsi="Calibri" w:cs="Calibri"/>
          <w:sz w:val="22"/>
          <w:szCs w:val="22"/>
        </w:rPr>
        <w:t xml:space="preserve"> and </w:t>
      </w:r>
      <w:r w:rsidRPr="00873D1F">
        <w:rPr>
          <w:rStyle w:val="normaltextrun1"/>
          <w:rFonts w:ascii="Calibri" w:hAnsi="Calibri" w:cs="Calibri"/>
          <w:sz w:val="22"/>
          <w:szCs w:val="22"/>
        </w:rPr>
        <w:t>apologising</w:t>
      </w:r>
      <w:r>
        <w:rPr>
          <w:rStyle w:val="normaltextrun1"/>
          <w:rFonts w:ascii="Calibri" w:hAnsi="Calibri" w:cs="Calibri"/>
          <w:sz w:val="22"/>
          <w:szCs w:val="22"/>
        </w:rPr>
        <w:t xml:space="preserve"> to them.</w:t>
      </w:r>
      <w:r w:rsidRPr="00D57928">
        <w:rPr>
          <w:rStyle w:val="normaltextrun1"/>
          <w:rFonts w:ascii="Calibri" w:eastAsia="Times New Roman" w:hAnsi="Calibri" w:cs="Calibri"/>
          <w:sz w:val="22"/>
          <w:szCs w:val="22"/>
          <w:lang w:eastAsia="en-NZ"/>
        </w:rPr>
        <w:t> </w:t>
      </w:r>
    </w:p>
    <w:p w14:paraId="7A202A99" w14:textId="77777777" w:rsidR="00424FE1" w:rsidRDefault="00424FE1" w:rsidP="00424FE1">
      <w:pPr>
        <w:pStyle w:val="paragraph"/>
        <w:ind w:left="1080"/>
        <w:textAlignment w:val="baseline"/>
        <w:rPr>
          <w:rFonts w:ascii="Calibri" w:hAnsi="Calibri" w:cs="Calibri"/>
          <w:sz w:val="22"/>
          <w:szCs w:val="22"/>
          <w:lang w:val="en-US"/>
        </w:rPr>
      </w:pPr>
    </w:p>
    <w:p w14:paraId="3F0F284B" w14:textId="77777777" w:rsidR="00424FE1" w:rsidRPr="0069353F" w:rsidRDefault="00424FE1" w:rsidP="00424FE1">
      <w:pPr>
        <w:pStyle w:val="CommentText"/>
        <w:textAlignment w:val="baseline"/>
        <w:rPr>
          <w:rStyle w:val="normaltextrun1"/>
          <w:rFonts w:ascii="Calibri" w:eastAsia="Times New Roman" w:hAnsi="Calibri" w:cs="Calibri"/>
          <w:sz w:val="22"/>
          <w:szCs w:val="22"/>
          <w:lang w:eastAsia="en-NZ"/>
        </w:rPr>
      </w:pPr>
      <w:r w:rsidRPr="5E903C6E">
        <w:rPr>
          <w:rStyle w:val="normaltextrun1"/>
          <w:rFonts w:ascii="Calibri" w:hAnsi="Calibri" w:cs="Calibri"/>
          <w:sz w:val="22"/>
          <w:szCs w:val="22"/>
        </w:rPr>
        <w:t xml:space="preserve">The provider stays in touch as the participant works through their plan. </w:t>
      </w:r>
      <w:r w:rsidRPr="00E2668F">
        <w:rPr>
          <w:rStyle w:val="normaltextrun1"/>
          <w:rFonts w:ascii="Calibri" w:eastAsia="Times New Roman" w:hAnsi="Calibri" w:cs="Calibri"/>
          <w:sz w:val="22"/>
          <w:szCs w:val="22"/>
          <w:lang w:eastAsia="en-NZ"/>
        </w:rPr>
        <w:t>They tell Police if the person completes it.</w:t>
      </w:r>
      <w:r w:rsidRPr="5E903C6E">
        <w:rPr>
          <w:rStyle w:val="normaltextrun1"/>
          <w:rFonts w:ascii="Calibri" w:hAnsi="Calibri" w:cs="Calibri"/>
          <w:sz w:val="22"/>
          <w:szCs w:val="22"/>
        </w:rPr>
        <w:t xml:space="preserve"> If </w:t>
      </w:r>
      <w:r w:rsidRPr="00E2668F">
        <w:rPr>
          <w:rStyle w:val="normaltextrun1"/>
          <w:rFonts w:ascii="Calibri" w:eastAsia="Times New Roman" w:hAnsi="Calibri" w:cs="Calibri"/>
          <w:sz w:val="22"/>
          <w:szCs w:val="22"/>
          <w:lang w:eastAsia="en-NZ"/>
        </w:rPr>
        <w:t>they do</w:t>
      </w:r>
      <w:r w:rsidRPr="5E903C6E">
        <w:rPr>
          <w:rStyle w:val="normaltextrun1"/>
          <w:rFonts w:ascii="Calibri" w:hAnsi="Calibri" w:cs="Calibri"/>
          <w:sz w:val="22"/>
          <w:szCs w:val="22"/>
        </w:rPr>
        <w:t xml:space="preserve">, Police take no further action. Details about </w:t>
      </w:r>
      <w:r>
        <w:rPr>
          <w:rStyle w:val="normaltextrun1"/>
          <w:rFonts w:ascii="Calibri" w:eastAsia="Times New Roman" w:hAnsi="Calibri" w:cs="Calibri"/>
          <w:sz w:val="22"/>
          <w:szCs w:val="22"/>
          <w:lang w:eastAsia="en-NZ"/>
        </w:rPr>
        <w:t xml:space="preserve">why </w:t>
      </w:r>
      <w:r w:rsidRPr="5E903C6E">
        <w:rPr>
          <w:rStyle w:val="normaltextrun1"/>
          <w:rFonts w:ascii="Calibri" w:hAnsi="Calibri" w:cs="Calibri"/>
          <w:sz w:val="22"/>
          <w:szCs w:val="22"/>
        </w:rPr>
        <w:t xml:space="preserve">the </w:t>
      </w:r>
      <w:r>
        <w:rPr>
          <w:rStyle w:val="normaltextrun1"/>
          <w:rFonts w:ascii="Calibri" w:eastAsia="Times New Roman" w:hAnsi="Calibri" w:cs="Calibri"/>
          <w:sz w:val="22"/>
          <w:szCs w:val="22"/>
          <w:lang w:eastAsia="en-NZ"/>
        </w:rPr>
        <w:t>person was referred</w:t>
      </w:r>
      <w:r w:rsidRPr="00E2668F">
        <w:rPr>
          <w:rStyle w:val="normaltextrun1"/>
          <w:rFonts w:ascii="Calibri" w:eastAsia="Times New Roman" w:hAnsi="Calibri" w:cs="Calibri"/>
          <w:sz w:val="22"/>
          <w:szCs w:val="22"/>
          <w:lang w:eastAsia="en-NZ"/>
        </w:rPr>
        <w:t xml:space="preserve"> stays</w:t>
      </w:r>
      <w:r w:rsidRPr="5E903C6E">
        <w:rPr>
          <w:rStyle w:val="normaltextrun1"/>
          <w:rFonts w:ascii="Calibri" w:hAnsi="Calibri" w:cs="Calibri"/>
          <w:sz w:val="22"/>
          <w:szCs w:val="22"/>
        </w:rPr>
        <w:t xml:space="preserve"> on Police records, but notes the participant successfully completed Te </w:t>
      </w:r>
      <w:r w:rsidRPr="00E2668F">
        <w:rPr>
          <w:rStyle w:val="normaltextrun1"/>
          <w:rFonts w:ascii="Calibri" w:eastAsia="Times New Roman" w:hAnsi="Calibri" w:cs="Calibri"/>
          <w:sz w:val="22"/>
          <w:szCs w:val="22"/>
          <w:lang w:eastAsia="en-NZ"/>
        </w:rPr>
        <w:t>Pae</w:t>
      </w:r>
      <w:r>
        <w:rPr>
          <w:rStyle w:val="normaltextrun1"/>
          <w:rFonts w:ascii="Calibri" w:eastAsia="Times New Roman" w:hAnsi="Calibri" w:cs="Calibri"/>
          <w:sz w:val="22"/>
          <w:szCs w:val="22"/>
          <w:lang w:eastAsia="en-NZ"/>
        </w:rPr>
        <w:t xml:space="preserve"> </w:t>
      </w:r>
      <w:r w:rsidRPr="00E2668F">
        <w:rPr>
          <w:rStyle w:val="normaltextrun1"/>
          <w:rFonts w:ascii="Calibri" w:eastAsia="Times New Roman" w:hAnsi="Calibri" w:cs="Calibri"/>
          <w:sz w:val="22"/>
          <w:szCs w:val="22"/>
          <w:lang w:eastAsia="en-NZ"/>
        </w:rPr>
        <w:t>Oranga.</w:t>
      </w:r>
      <w:r w:rsidRPr="0069353F">
        <w:rPr>
          <w:rStyle w:val="normaltextrun1"/>
          <w:rFonts w:ascii="Calibri" w:eastAsia="Times New Roman" w:hAnsi="Calibri" w:cs="Calibri"/>
          <w:sz w:val="22"/>
          <w:szCs w:val="22"/>
          <w:lang w:eastAsia="en-NZ"/>
        </w:rPr>
        <w:t> </w:t>
      </w:r>
    </w:p>
    <w:p w14:paraId="438990B3" w14:textId="77777777" w:rsidR="00424FE1" w:rsidRDefault="00424FE1" w:rsidP="00424FE1">
      <w:pPr>
        <w:pStyle w:val="CommentText"/>
        <w:textAlignment w:val="baseline"/>
        <w:rPr>
          <w:rStyle w:val="normaltextrun1"/>
          <w:rFonts w:eastAsia="Times New Roman"/>
          <w:lang w:eastAsia="en-NZ"/>
        </w:rPr>
      </w:pPr>
      <w:r w:rsidRPr="7DB93526">
        <w:rPr>
          <w:rStyle w:val="normaltextrun1"/>
          <w:rFonts w:ascii="Calibri" w:hAnsi="Calibri" w:cs="Calibri"/>
          <w:sz w:val="22"/>
          <w:szCs w:val="22"/>
        </w:rPr>
        <w:t xml:space="preserve">If </w:t>
      </w:r>
      <w:r w:rsidRPr="5E903C6E">
        <w:rPr>
          <w:rStyle w:val="normaltextrun1"/>
          <w:rFonts w:ascii="Calibri" w:hAnsi="Calibri" w:cs="Calibri"/>
          <w:sz w:val="22"/>
          <w:szCs w:val="22"/>
        </w:rPr>
        <w:t>a person referred to Te Pae Oranga does not</w:t>
      </w:r>
      <w:r w:rsidRPr="7DB93526">
        <w:rPr>
          <w:rStyle w:val="normaltextrun1"/>
          <w:rFonts w:ascii="Calibri" w:hAnsi="Calibri" w:cs="Calibri"/>
          <w:sz w:val="22"/>
          <w:szCs w:val="22"/>
        </w:rPr>
        <w:t xml:space="preserve"> meet the panel or </w:t>
      </w:r>
      <w:r w:rsidRPr="5E903C6E">
        <w:rPr>
          <w:rStyle w:val="normaltextrun1"/>
          <w:rFonts w:ascii="Calibri" w:hAnsi="Calibri" w:cs="Calibri"/>
          <w:sz w:val="22"/>
          <w:szCs w:val="22"/>
        </w:rPr>
        <w:t xml:space="preserve">fails to </w:t>
      </w:r>
      <w:r w:rsidRPr="7DB93526">
        <w:rPr>
          <w:rStyle w:val="normaltextrun1"/>
          <w:rFonts w:ascii="Calibri" w:hAnsi="Calibri" w:cs="Calibri"/>
          <w:sz w:val="22"/>
          <w:szCs w:val="22"/>
        </w:rPr>
        <w:t xml:space="preserve">complete their plan, Police </w:t>
      </w:r>
      <w:r w:rsidRPr="5E903C6E">
        <w:rPr>
          <w:rStyle w:val="normaltextrun1"/>
          <w:rFonts w:ascii="Calibri" w:hAnsi="Calibri" w:cs="Calibri"/>
          <w:sz w:val="22"/>
          <w:szCs w:val="22"/>
        </w:rPr>
        <w:t xml:space="preserve">will </w:t>
      </w:r>
      <w:r w:rsidRPr="7DB93526">
        <w:rPr>
          <w:rStyle w:val="normaltextrun1"/>
          <w:rFonts w:ascii="Calibri" w:hAnsi="Calibri" w:cs="Calibri"/>
          <w:sz w:val="22"/>
          <w:szCs w:val="22"/>
        </w:rPr>
        <w:t xml:space="preserve">consider whether to </w:t>
      </w:r>
      <w:r w:rsidRPr="5E903C6E">
        <w:rPr>
          <w:rStyle w:val="normaltextrun1"/>
          <w:rFonts w:ascii="Calibri" w:hAnsi="Calibri" w:cs="Calibri"/>
          <w:sz w:val="22"/>
          <w:szCs w:val="22"/>
        </w:rPr>
        <w:t>proceed with prosecution</w:t>
      </w:r>
      <w:r w:rsidRPr="7DB93526">
        <w:rPr>
          <w:rStyle w:val="normaltextrun1"/>
          <w:rFonts w:ascii="Calibri" w:hAnsi="Calibri" w:cs="Calibri"/>
          <w:sz w:val="22"/>
          <w:szCs w:val="22"/>
        </w:rPr>
        <w:t>.</w:t>
      </w:r>
      <w:r w:rsidRPr="0069353F">
        <w:rPr>
          <w:rStyle w:val="normaltextrun1"/>
          <w:rFonts w:eastAsia="Times New Roman"/>
          <w:lang w:eastAsia="en-NZ"/>
        </w:rPr>
        <w:t> </w:t>
      </w:r>
    </w:p>
    <w:p w14:paraId="0F80F97F" w14:textId="0CD9B3AE" w:rsidR="00424FE1" w:rsidRDefault="00424FE1" w:rsidP="00424FE1">
      <w:pPr>
        <w:pStyle w:val="Heading3"/>
        <w:rPr>
          <w:rStyle w:val="normaltextrun1"/>
        </w:rPr>
      </w:pPr>
      <w:bookmarkStart w:id="363" w:name="_Toc75781226"/>
      <w:bookmarkStart w:id="364" w:name="_Toc75952939"/>
      <w:bookmarkStart w:id="365" w:name="_Toc78186520"/>
      <w:r>
        <w:rPr>
          <w:rStyle w:val="normaltextrun1"/>
        </w:rPr>
        <w:t xml:space="preserve">Adult </w:t>
      </w:r>
      <w:r w:rsidR="004B6DC9">
        <w:rPr>
          <w:rStyle w:val="normaltextrun1"/>
        </w:rPr>
        <w:t>D</w:t>
      </w:r>
      <w:r w:rsidRPr="000E2856">
        <w:rPr>
          <w:rStyle w:val="normaltextrun1"/>
        </w:rPr>
        <w:t>iversion</w:t>
      </w:r>
      <w:bookmarkEnd w:id="363"/>
      <w:bookmarkEnd w:id="364"/>
      <w:bookmarkEnd w:id="365"/>
    </w:p>
    <w:p w14:paraId="61F04823" w14:textId="12BC358F" w:rsidR="00424FE1" w:rsidRDefault="00424FE1" w:rsidP="00424FE1">
      <w:r>
        <w:t xml:space="preserve">Adult Diversion is a Police-managed, post-charge resolution pathway, enabling </w:t>
      </w:r>
      <w:r w:rsidR="00FF7054">
        <w:t>some</w:t>
      </w:r>
      <w:r>
        <w:t xml:space="preserve"> offences to be dealt with in an alternative manner to prosecution. </w:t>
      </w:r>
    </w:p>
    <w:p w14:paraId="5A0C6019" w14:textId="77777777" w:rsidR="00424FE1" w:rsidRDefault="00424FE1" w:rsidP="00424FE1">
      <w:r>
        <w:t>The primary purposes of diversion are restoration and rehabilitation. Therefore, diversion is typically accompanied by agreed conditions that enable an offender to make amends for harm caused, and/or to receive the help and support they require to address the underlying conditions of their offending. In its utilisation of specialist service provision, diversion is therefore (in part) a process for the administration of supported resolution within the post charge environment.</w:t>
      </w:r>
    </w:p>
    <w:p w14:paraId="27CF82D0" w14:textId="77777777" w:rsidR="00424FE1" w:rsidRDefault="00424FE1" w:rsidP="00424FE1">
      <w:r>
        <w:t>All cases can be considered for diversion, although there are specific offender and offence-specific considerations to be taken into account in determining whether its use is appropriate in a specific instance. Considerations include:</w:t>
      </w:r>
    </w:p>
    <w:p w14:paraId="5EDA3655" w14:textId="5C79C19D" w:rsidR="00424FE1" w:rsidRPr="004E2A60" w:rsidRDefault="58F33D2E" w:rsidP="00B603EC">
      <w:pPr>
        <w:pStyle w:val="CommentText"/>
        <w:numPr>
          <w:ilvl w:val="0"/>
          <w:numId w:val="7"/>
        </w:numPr>
        <w:ind w:hanging="720"/>
        <w:textAlignment w:val="baseline"/>
        <w:rPr>
          <w:rStyle w:val="normaltextrun1"/>
          <w:rFonts w:ascii="Calibri" w:hAnsi="Calibri" w:cs="Calibri"/>
          <w:sz w:val="22"/>
          <w:szCs w:val="22"/>
          <w:lang w:eastAsia="en-NZ"/>
        </w:rPr>
      </w:pPr>
      <w:r w:rsidRPr="5F7B7FEE">
        <w:rPr>
          <w:rStyle w:val="normaltextrun1"/>
          <w:rFonts w:ascii="Calibri" w:hAnsi="Calibri" w:cs="Calibri"/>
          <w:sz w:val="22"/>
          <w:szCs w:val="22"/>
          <w:lang w:eastAsia="en-NZ"/>
        </w:rPr>
        <w:t>o</w:t>
      </w:r>
      <w:r w:rsidR="00424FE1" w:rsidRPr="004E2A60">
        <w:rPr>
          <w:rStyle w:val="normaltextrun1"/>
          <w:rFonts w:ascii="Calibri" w:hAnsi="Calibri" w:cs="Calibri"/>
          <w:sz w:val="22"/>
          <w:szCs w:val="22"/>
          <w:lang w:eastAsia="en-NZ"/>
        </w:rPr>
        <w:t>ffender factors (such as the nature and extent of an individual’s criminal history, whether diversion has been utilised previously, acceptance of full responsibility, and voluntary agreement to participate in the diversion process</w:t>
      </w:r>
      <w:r w:rsidR="00424FE1" w:rsidRPr="5F7B7FEE">
        <w:rPr>
          <w:rStyle w:val="normaltextrun1"/>
          <w:rFonts w:ascii="Calibri" w:hAnsi="Calibri" w:cs="Calibri"/>
          <w:sz w:val="22"/>
          <w:szCs w:val="22"/>
          <w:lang w:eastAsia="en-NZ"/>
        </w:rPr>
        <w:t>)</w:t>
      </w:r>
      <w:r w:rsidR="00424FE1" w:rsidRPr="004E2A60">
        <w:rPr>
          <w:rStyle w:val="normaltextrun1"/>
          <w:rFonts w:ascii="Calibri" w:hAnsi="Calibri" w:cs="Calibri"/>
          <w:sz w:val="22"/>
          <w:szCs w:val="22"/>
          <w:lang w:eastAsia="en-NZ"/>
        </w:rPr>
        <w:t xml:space="preserve"> </w:t>
      </w:r>
    </w:p>
    <w:p w14:paraId="746353BC" w14:textId="595F6FE9" w:rsidR="00424FE1" w:rsidRPr="004E2A60" w:rsidRDefault="4EA31CB2" w:rsidP="00B603EC">
      <w:pPr>
        <w:pStyle w:val="CommentText"/>
        <w:numPr>
          <w:ilvl w:val="0"/>
          <w:numId w:val="7"/>
        </w:numPr>
        <w:ind w:hanging="720"/>
        <w:textAlignment w:val="baseline"/>
        <w:rPr>
          <w:rStyle w:val="normaltextrun1"/>
          <w:rFonts w:ascii="Calibri" w:hAnsi="Calibri" w:cs="Calibri"/>
          <w:sz w:val="22"/>
          <w:szCs w:val="22"/>
          <w:lang w:eastAsia="en-NZ"/>
        </w:rPr>
      </w:pPr>
      <w:r w:rsidRPr="5F7B7FEE">
        <w:rPr>
          <w:rStyle w:val="normaltextrun1"/>
          <w:rFonts w:ascii="Calibri" w:hAnsi="Calibri" w:cs="Calibri"/>
          <w:sz w:val="22"/>
          <w:szCs w:val="22"/>
          <w:lang w:eastAsia="en-NZ"/>
        </w:rPr>
        <w:t>o</w:t>
      </w:r>
      <w:r w:rsidR="00424FE1" w:rsidRPr="004E2A60">
        <w:rPr>
          <w:rStyle w:val="normaltextrun1"/>
          <w:rFonts w:ascii="Calibri" w:hAnsi="Calibri" w:cs="Calibri"/>
          <w:sz w:val="22"/>
          <w:szCs w:val="22"/>
          <w:lang w:eastAsia="en-NZ"/>
        </w:rPr>
        <w:t>ffence factors (such as severity, nature, and characteristics</w:t>
      </w:r>
      <w:r w:rsidR="00424FE1" w:rsidRPr="5F7B7FEE">
        <w:rPr>
          <w:rStyle w:val="normaltextrun1"/>
          <w:rFonts w:ascii="Calibri" w:hAnsi="Calibri" w:cs="Calibri"/>
          <w:sz w:val="22"/>
          <w:szCs w:val="22"/>
          <w:lang w:eastAsia="en-NZ"/>
        </w:rPr>
        <w:t>)</w:t>
      </w:r>
    </w:p>
    <w:p w14:paraId="219052FA" w14:textId="33256440" w:rsidR="00424FE1" w:rsidRPr="004E2A60" w:rsidRDefault="0DD99395" w:rsidP="00B603EC">
      <w:pPr>
        <w:pStyle w:val="CommentText"/>
        <w:numPr>
          <w:ilvl w:val="0"/>
          <w:numId w:val="7"/>
        </w:numPr>
        <w:ind w:hanging="720"/>
        <w:textAlignment w:val="baseline"/>
        <w:rPr>
          <w:rStyle w:val="normaltextrun1"/>
          <w:rFonts w:ascii="Calibri" w:hAnsi="Calibri" w:cs="Calibri"/>
          <w:sz w:val="22"/>
          <w:szCs w:val="22"/>
          <w:lang w:eastAsia="en-NZ"/>
        </w:rPr>
      </w:pPr>
      <w:r w:rsidRPr="5F7B7FEE">
        <w:rPr>
          <w:rStyle w:val="normaltextrun1"/>
          <w:rFonts w:ascii="Calibri" w:hAnsi="Calibri" w:cs="Calibri"/>
          <w:sz w:val="22"/>
          <w:szCs w:val="22"/>
          <w:lang w:eastAsia="en-NZ"/>
        </w:rPr>
        <w:t>t</w:t>
      </w:r>
      <w:r w:rsidR="00424FE1" w:rsidRPr="004E2A60">
        <w:rPr>
          <w:rStyle w:val="normaltextrun1"/>
          <w:rFonts w:ascii="Calibri" w:hAnsi="Calibri" w:cs="Calibri"/>
          <w:sz w:val="22"/>
          <w:szCs w:val="22"/>
          <w:lang w:eastAsia="en-NZ"/>
        </w:rPr>
        <w:t xml:space="preserve">he views of the victim as to the use of diversion (when a victim is involved). </w:t>
      </w:r>
    </w:p>
    <w:p w14:paraId="38CC0814" w14:textId="63AE2F13" w:rsidR="00424FE1" w:rsidRDefault="00424FE1" w:rsidP="00424FE1">
      <w:r>
        <w:t xml:space="preserve">These collective considerations enable Police to administer diversion through the lens of the Solicitor General’s Prosecution Guidelines, the ‘public interest test’ element.  We note that all police resolutions already rely on the ‘evidential test’ being met, and so any deficiency here would result in the withdrawal of a case, not an alternative resolution response. On the basis of public interest </w:t>
      </w:r>
      <w:r>
        <w:lastRenderedPageBreak/>
        <w:t>considerations, diversion has therefore typically been</w:t>
      </w:r>
      <w:r w:rsidR="008F5DD7">
        <w:t xml:space="preserve">, or </w:t>
      </w:r>
      <w:r>
        <w:t>is</w:t>
      </w:r>
      <w:r w:rsidR="008F5DD7">
        <w:t>,</w:t>
      </w:r>
      <w:r>
        <w:t xml:space="preserve"> utilised as a response to lower levels of offending.</w:t>
      </w:r>
    </w:p>
    <w:p w14:paraId="065EB725" w14:textId="77777777" w:rsidR="00424FE1" w:rsidRDefault="00424FE1" w:rsidP="00424FE1">
      <w:r>
        <w:t xml:space="preserve">The Diversion Scheme is managed by the Police Prosecution Service, on behalf of Police, and is integrated within the prosecutorial area of the resolution process. In instances where a case may be suitable for diversion, a Prosecutor will advise the court of the need to adjourn so as to enable an assessment to be made. Then subsequently, if diversion is a viable option, further adjournment will be sought to enable the individual to undertake the activities outlined in their diversion agreement. </w:t>
      </w:r>
    </w:p>
    <w:p w14:paraId="7AA4ABAD" w14:textId="77777777" w:rsidR="00424FE1" w:rsidRDefault="00424FE1" w:rsidP="00424FE1">
      <w:r>
        <w:t>Diversion conditions will be relevant to the nature of the specific offending, and will vary from case to case, but may include one or more of the following:</w:t>
      </w:r>
    </w:p>
    <w:p w14:paraId="1A5B169E" w14:textId="0432FBC1" w:rsidR="00424FE1" w:rsidRPr="004E2A60" w:rsidRDefault="00D7179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m</w:t>
      </w:r>
      <w:r w:rsidR="00424FE1" w:rsidRPr="004E2A60">
        <w:rPr>
          <w:rStyle w:val="normaltextrun1"/>
          <w:rFonts w:ascii="Calibri" w:hAnsi="Calibri" w:cs="Calibri"/>
          <w:sz w:val="22"/>
          <w:szCs w:val="22"/>
          <w:lang w:eastAsia="en-NZ"/>
        </w:rPr>
        <w:t>aking an apology to the victim</w:t>
      </w:r>
      <w:r w:rsidR="00933337">
        <w:rPr>
          <w:rStyle w:val="normaltextrun1"/>
          <w:rFonts w:ascii="Calibri" w:hAnsi="Calibri" w:cs="Calibri"/>
          <w:sz w:val="22"/>
          <w:szCs w:val="22"/>
          <w:lang w:eastAsia="en-NZ"/>
        </w:rPr>
        <w:t xml:space="preserve"> or victims</w:t>
      </w:r>
    </w:p>
    <w:p w14:paraId="337F6E29" w14:textId="7FE273E2" w:rsidR="00424FE1" w:rsidRPr="004E2A60" w:rsidRDefault="00D7179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r</w:t>
      </w:r>
      <w:r w:rsidR="00424FE1" w:rsidRPr="004E2A60">
        <w:rPr>
          <w:rStyle w:val="normaltextrun1"/>
          <w:rFonts w:ascii="Calibri" w:hAnsi="Calibri" w:cs="Calibri"/>
          <w:sz w:val="22"/>
          <w:szCs w:val="22"/>
          <w:lang w:eastAsia="en-NZ"/>
        </w:rPr>
        <w:t>eparation of expenses incurred by the victim as a result of the offending</w:t>
      </w:r>
    </w:p>
    <w:p w14:paraId="3AB1EEAA" w14:textId="482B77E4" w:rsidR="00424FE1" w:rsidRPr="004E2A60" w:rsidRDefault="00D7179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r</w:t>
      </w:r>
      <w:r w:rsidR="00424FE1" w:rsidRPr="004E2A60">
        <w:rPr>
          <w:rStyle w:val="normaltextrun1"/>
          <w:rFonts w:ascii="Calibri" w:hAnsi="Calibri" w:cs="Calibri"/>
          <w:sz w:val="22"/>
          <w:szCs w:val="22"/>
          <w:lang w:eastAsia="en-NZ"/>
        </w:rPr>
        <w:t>estoration of harm caused through work in the community</w:t>
      </w:r>
    </w:p>
    <w:p w14:paraId="571DCC71" w14:textId="5622435C" w:rsidR="00424FE1" w:rsidRPr="004E2A60" w:rsidRDefault="00D7179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a</w:t>
      </w:r>
      <w:r w:rsidR="00424FE1" w:rsidRPr="004E2A60">
        <w:rPr>
          <w:rStyle w:val="normaltextrun1"/>
          <w:rFonts w:ascii="Calibri" w:hAnsi="Calibri" w:cs="Calibri"/>
          <w:sz w:val="22"/>
          <w:szCs w:val="22"/>
          <w:lang w:eastAsia="en-NZ"/>
        </w:rPr>
        <w:t xml:space="preserve"> Restorative Justice conference (often) involving the victim</w:t>
      </w:r>
    </w:p>
    <w:p w14:paraId="2D38FF57" w14:textId="51454EA8" w:rsidR="00424FE1" w:rsidRPr="004E2A60" w:rsidRDefault="00D71798" w:rsidP="00B603EC">
      <w:pPr>
        <w:pStyle w:val="CommentText"/>
        <w:numPr>
          <w:ilvl w:val="0"/>
          <w:numId w:val="7"/>
        </w:numPr>
        <w:ind w:hanging="720"/>
        <w:textAlignment w:val="baseline"/>
        <w:rPr>
          <w:rStyle w:val="normaltextrun1"/>
          <w:rFonts w:ascii="Calibri" w:hAnsi="Calibri" w:cs="Calibri"/>
          <w:sz w:val="22"/>
          <w:szCs w:val="22"/>
          <w:lang w:eastAsia="en-NZ"/>
        </w:rPr>
      </w:pPr>
      <w:r>
        <w:rPr>
          <w:rStyle w:val="normaltextrun1"/>
          <w:rFonts w:ascii="Calibri" w:hAnsi="Calibri" w:cs="Calibri"/>
          <w:sz w:val="22"/>
          <w:szCs w:val="22"/>
          <w:lang w:eastAsia="en-NZ"/>
        </w:rPr>
        <w:t>r</w:t>
      </w:r>
      <w:r w:rsidR="00424FE1" w:rsidRPr="004E2A60">
        <w:rPr>
          <w:rStyle w:val="normaltextrun1"/>
          <w:rFonts w:ascii="Calibri" w:hAnsi="Calibri" w:cs="Calibri"/>
          <w:sz w:val="22"/>
          <w:szCs w:val="22"/>
          <w:lang w:eastAsia="en-NZ"/>
        </w:rPr>
        <w:t xml:space="preserve">eferral to support services </w:t>
      </w:r>
      <w:r w:rsidR="009B0776">
        <w:rPr>
          <w:rStyle w:val="normaltextrun1"/>
          <w:rFonts w:ascii="Calibri" w:hAnsi="Calibri" w:cs="Calibri"/>
          <w:sz w:val="22"/>
          <w:szCs w:val="22"/>
          <w:lang w:eastAsia="en-NZ"/>
        </w:rPr>
        <w:t>(eg,</w:t>
      </w:r>
      <w:r w:rsidR="00424FE1" w:rsidRPr="004E2A60">
        <w:rPr>
          <w:rStyle w:val="normaltextrun1"/>
          <w:rFonts w:ascii="Calibri" w:hAnsi="Calibri" w:cs="Calibri"/>
          <w:sz w:val="22"/>
          <w:szCs w:val="22"/>
          <w:lang w:eastAsia="en-NZ"/>
        </w:rPr>
        <w:t xml:space="preserve"> educational programmes, counselling, addiction treatment</w:t>
      </w:r>
      <w:r w:rsidR="009B0776">
        <w:rPr>
          <w:rStyle w:val="normaltextrun1"/>
          <w:rFonts w:ascii="Calibri" w:hAnsi="Calibri" w:cs="Calibri"/>
          <w:sz w:val="22"/>
          <w:szCs w:val="22"/>
          <w:lang w:eastAsia="en-NZ"/>
        </w:rPr>
        <w:t>)</w:t>
      </w:r>
      <w:r w:rsidR="00424FE1" w:rsidRPr="004E2A60">
        <w:rPr>
          <w:rStyle w:val="normaltextrun1"/>
          <w:rFonts w:ascii="Calibri" w:hAnsi="Calibri" w:cs="Calibri"/>
          <w:sz w:val="22"/>
          <w:szCs w:val="22"/>
          <w:lang w:eastAsia="en-NZ"/>
        </w:rPr>
        <w:t>.</w:t>
      </w:r>
    </w:p>
    <w:p w14:paraId="7EA882D8" w14:textId="77777777" w:rsidR="00424FE1" w:rsidRDefault="00424FE1" w:rsidP="00424FE1">
      <w:r>
        <w:t xml:space="preserve">In situations where diversion conditions are successfully completed, a prosecutor will make a request to the court to dismiss the charges. Where diversion is not successfully completed, however, the case will progress through its normal resolution pathway. </w:t>
      </w:r>
    </w:p>
    <w:p w14:paraId="21B09B4C" w14:textId="77777777" w:rsidR="00424FE1" w:rsidRPr="00C719CF" w:rsidRDefault="00424FE1" w:rsidP="00424FE1">
      <w:pPr>
        <w:pStyle w:val="Heading3"/>
        <w:rPr>
          <w:rStyle w:val="normaltextrun1"/>
        </w:rPr>
      </w:pPr>
      <w:bookmarkStart w:id="366" w:name="_Toc75781227"/>
      <w:bookmarkStart w:id="367" w:name="_Toc75952940"/>
      <w:bookmarkStart w:id="368" w:name="_Toc78186521"/>
      <w:r w:rsidRPr="00F30B27">
        <w:rPr>
          <w:rStyle w:val="normaltextrun1"/>
        </w:rPr>
        <w:t>AWHI</w:t>
      </w:r>
      <w:bookmarkEnd w:id="366"/>
      <w:bookmarkEnd w:id="367"/>
      <w:bookmarkEnd w:id="368"/>
      <w:r w:rsidRPr="00C719CF">
        <w:rPr>
          <w:rStyle w:val="normaltextrun1"/>
        </w:rPr>
        <w:t> </w:t>
      </w:r>
    </w:p>
    <w:p w14:paraId="0F426BC8" w14:textId="46103F1B" w:rsidR="00424FE1" w:rsidRPr="002A1298" w:rsidRDefault="00424FE1" w:rsidP="00424FE1">
      <w:pPr>
        <w:rPr>
          <w:rStyle w:val="normaltextrun1"/>
          <w:rFonts w:ascii="Calibri" w:hAnsi="Calibri" w:cs="Calibri"/>
        </w:rPr>
      </w:pPr>
      <w:r w:rsidRPr="7DB93526">
        <w:rPr>
          <w:rStyle w:val="normaltextrun1"/>
          <w:rFonts w:ascii="Calibri" w:hAnsi="Calibri" w:cs="Calibri"/>
        </w:rPr>
        <w:t xml:space="preserve">Alternative Pathways for Help Intervention. AWHI is an interactive pdf which allows Police </w:t>
      </w:r>
      <w:r>
        <w:rPr>
          <w:rStyle w:val="normaltextrun1"/>
          <w:rFonts w:ascii="Calibri" w:hAnsi="Calibri" w:cs="Calibri"/>
        </w:rPr>
        <w:t>o</w:t>
      </w:r>
      <w:r w:rsidRPr="7DB93526">
        <w:rPr>
          <w:rStyle w:val="normaltextrun1"/>
          <w:rFonts w:ascii="Calibri" w:hAnsi="Calibri" w:cs="Calibri"/>
        </w:rPr>
        <w:t>fficers to refer people in need of support directly to local agencies who can help them. AWHI referrals are made with the consent of the person and can cover a variety of social issues. AWHI was first developed in the Bay of Plenty district as a way for Police to help people address issues which, if left unattended, could lead them into offending, reoffending or victimisation. </w:t>
      </w:r>
      <w:r w:rsidRPr="002A1298">
        <w:rPr>
          <w:rStyle w:val="normaltextrun1"/>
          <w:rFonts w:ascii="Calibri" w:hAnsi="Calibri" w:cs="Calibri"/>
        </w:rPr>
        <w:t>It is currently in eight out of the 12 Districts and is in the process of being rolled out nationally.</w:t>
      </w:r>
    </w:p>
    <w:p w14:paraId="022DA1D7" w14:textId="77777777" w:rsidR="00424FE1" w:rsidRPr="00F30B27" w:rsidRDefault="00424FE1" w:rsidP="00424FE1">
      <w:pPr>
        <w:pStyle w:val="Heading4"/>
        <w:rPr>
          <w:rStyle w:val="normaltextrun1"/>
          <w:rFonts w:asciiTheme="minorHAnsi" w:eastAsiaTheme="minorEastAsia" w:hAnsiTheme="minorHAnsi" w:cstheme="minorBidi"/>
          <w:color w:val="auto"/>
          <w:sz w:val="22"/>
          <w:szCs w:val="22"/>
        </w:rPr>
      </w:pPr>
      <w:r>
        <w:rPr>
          <w:rStyle w:val="normaltextrun1"/>
        </w:rPr>
        <w:t xml:space="preserve">Changes to Police </w:t>
      </w:r>
      <w:r w:rsidRPr="5E903C6E">
        <w:rPr>
          <w:rStyle w:val="normaltextrun1"/>
        </w:rPr>
        <w:t>Operational Instructions</w:t>
      </w:r>
      <w:r>
        <w:rPr>
          <w:rStyle w:val="normaltextrun1"/>
        </w:rPr>
        <w:t xml:space="preserve"> concerning personal possession/use of methamphetamine</w:t>
      </w:r>
    </w:p>
    <w:p w14:paraId="2BA661D7" w14:textId="22C35B67" w:rsidR="00424FE1" w:rsidRDefault="00424FE1" w:rsidP="00424FE1">
      <w:pPr>
        <w:pStyle w:val="paragraph"/>
        <w:textAlignment w:val="baseline"/>
        <w:rPr>
          <w:rStyle w:val="normaltextrun1"/>
          <w:rFonts w:ascii="Calibri" w:eastAsiaTheme="majorEastAsia" w:hAnsi="Calibri" w:cs="Calibri"/>
          <w:sz w:val="22"/>
          <w:szCs w:val="22"/>
        </w:rPr>
      </w:pPr>
      <w:r w:rsidRPr="3FA91860">
        <w:rPr>
          <w:rStyle w:val="normaltextrun1"/>
          <w:rFonts w:ascii="Calibri" w:eastAsiaTheme="majorEastAsia" w:hAnsi="Calibri" w:cs="Calibri"/>
          <w:sz w:val="22"/>
          <w:szCs w:val="22"/>
        </w:rPr>
        <w:t>In July 2019, Police Instructions</w:t>
      </w:r>
      <w:r>
        <w:rPr>
          <w:rStyle w:val="normaltextrun1"/>
          <w:rFonts w:ascii="Calibri" w:eastAsiaTheme="majorEastAsia" w:hAnsi="Calibri" w:cs="Calibri"/>
          <w:sz w:val="22"/>
          <w:szCs w:val="22"/>
        </w:rPr>
        <w:t xml:space="preserve"> were changed</w:t>
      </w:r>
      <w:r w:rsidRPr="3FA91860">
        <w:rPr>
          <w:rStyle w:val="normaltextrun1"/>
          <w:rFonts w:ascii="Calibri" w:eastAsiaTheme="majorEastAsia" w:hAnsi="Calibri" w:cs="Calibri"/>
          <w:sz w:val="22"/>
          <w:szCs w:val="22"/>
        </w:rPr>
        <w:t xml:space="preserve"> to expand the types of offending that are eligible for a Pre-charge Warning (now Formal Warning) or a Te Pae Oranga referral. This change meant that personal possession</w:t>
      </w:r>
      <w:r w:rsidR="00744906">
        <w:rPr>
          <w:rStyle w:val="normaltextrun1"/>
          <w:rFonts w:ascii="Calibri" w:eastAsiaTheme="majorEastAsia" w:hAnsi="Calibri" w:cs="Calibri"/>
          <w:sz w:val="22"/>
          <w:szCs w:val="22"/>
        </w:rPr>
        <w:t xml:space="preserve"> </w:t>
      </w:r>
      <w:r w:rsidR="003350F5">
        <w:rPr>
          <w:rStyle w:val="normaltextrun1"/>
          <w:rFonts w:ascii="Calibri" w:eastAsiaTheme="majorEastAsia" w:hAnsi="Calibri" w:cs="Calibri"/>
          <w:sz w:val="22"/>
          <w:szCs w:val="22"/>
        </w:rPr>
        <w:t xml:space="preserve">and </w:t>
      </w:r>
      <w:r w:rsidRPr="3FA91860">
        <w:rPr>
          <w:rStyle w:val="normaltextrun1"/>
          <w:rFonts w:ascii="Calibri" w:eastAsiaTheme="majorEastAsia" w:hAnsi="Calibri" w:cs="Calibri"/>
          <w:sz w:val="22"/>
          <w:szCs w:val="22"/>
        </w:rPr>
        <w:t>use of methamphetamine or a drug utensil were eligible for the formal warning pathway.</w:t>
      </w:r>
      <w:r w:rsidRPr="00E2668F">
        <w:rPr>
          <w:rStyle w:val="normaltextrun1"/>
          <w:rFonts w:ascii="Calibri" w:eastAsiaTheme="majorEastAsia" w:hAnsi="Calibri" w:cs="Calibri"/>
          <w:sz w:val="22"/>
          <w:szCs w:val="22"/>
        </w:rPr>
        <w:t> </w:t>
      </w:r>
    </w:p>
    <w:p w14:paraId="4D28DB95" w14:textId="1839C094" w:rsidR="001A4291" w:rsidRDefault="00994429" w:rsidP="001A4291">
      <w:r>
        <w:br w:type="page"/>
      </w:r>
    </w:p>
    <w:p w14:paraId="6D1C639C" w14:textId="3BBFA796" w:rsidR="001C4299" w:rsidRDefault="00437293" w:rsidP="00E87A2A">
      <w:pPr>
        <w:pStyle w:val="Heading2"/>
      </w:pPr>
      <w:bookmarkStart w:id="369" w:name="_Toc75781228"/>
      <w:bookmarkStart w:id="370" w:name="_Toc75952941"/>
      <w:bookmarkStart w:id="371" w:name="_Toc78186522"/>
      <w:r>
        <w:lastRenderedPageBreak/>
        <w:t xml:space="preserve">Appendix </w:t>
      </w:r>
      <w:r w:rsidR="00CA2104">
        <w:t>5</w:t>
      </w:r>
      <w:r>
        <w:t>: Drug seizures</w:t>
      </w:r>
      <w:r w:rsidR="00E87A2A">
        <w:t xml:space="preserve"> 2016 to May 2021</w:t>
      </w:r>
      <w:bookmarkEnd w:id="369"/>
      <w:bookmarkEnd w:id="370"/>
      <w:bookmarkEnd w:id="371"/>
    </w:p>
    <w:p w14:paraId="32AB5F69" w14:textId="77777777" w:rsidR="00E87A2A" w:rsidRPr="00821C18" w:rsidRDefault="00E87A2A" w:rsidP="00E87A2A">
      <w:pPr>
        <w:spacing w:after="120" w:line="240" w:lineRule="auto"/>
        <w:jc w:val="both"/>
        <w:rPr>
          <w:b/>
          <w:bCs/>
          <w:i/>
          <w:iCs/>
        </w:rPr>
      </w:pPr>
      <w:r w:rsidRPr="00821C18">
        <w:rPr>
          <w:b/>
          <w:bCs/>
          <w:i/>
          <w:iCs/>
        </w:rPr>
        <w:t>Seizure volumes</w:t>
      </w:r>
    </w:p>
    <w:p w14:paraId="73780A85" w14:textId="77777777" w:rsidR="00E87A2A" w:rsidRPr="00821C18" w:rsidRDefault="00E87A2A" w:rsidP="00E87A2A">
      <w:pPr>
        <w:spacing w:after="120" w:line="240" w:lineRule="auto"/>
        <w:jc w:val="both"/>
        <w:rPr>
          <w:b/>
          <w:bCs/>
        </w:rPr>
      </w:pPr>
      <w:r w:rsidRPr="00821C18">
        <w:rPr>
          <w:b/>
          <w:bCs/>
        </w:rPr>
        <w:t>Total</w:t>
      </w:r>
    </w:p>
    <w:p w14:paraId="5F38862D" w14:textId="77777777" w:rsidR="00E87A2A" w:rsidRPr="00F34C81" w:rsidRDefault="00E87A2A" w:rsidP="00E87A2A">
      <w:pPr>
        <w:spacing w:after="120" w:line="240" w:lineRule="auto"/>
        <w:jc w:val="both"/>
      </w:pPr>
      <w:r w:rsidRPr="00F34C81">
        <w:t xml:space="preserve">*2021 </w:t>
      </w:r>
      <w:r>
        <w:t xml:space="preserve">only </w:t>
      </w:r>
      <w:r w:rsidRPr="00F34C81">
        <w:t>includes data from January to May</w:t>
      </w:r>
    </w:p>
    <w:p w14:paraId="168061EA" w14:textId="01CA3551" w:rsidR="00E87A2A" w:rsidRPr="00821C18" w:rsidRDefault="007D0115" w:rsidP="007D0115">
      <w:pPr>
        <w:pStyle w:val="Caption"/>
        <w:rPr>
          <w:i/>
          <w:iCs/>
        </w:rPr>
      </w:pPr>
      <w:bookmarkStart w:id="372" w:name="_Toc75943063"/>
      <w:bookmarkStart w:id="373" w:name="_Toc77776105"/>
      <w:r>
        <w:t xml:space="preserve">Table </w:t>
      </w:r>
      <w:fldSimple w:instr=" SEQ Table \* ARABIC ">
        <w:r w:rsidR="00AA3031">
          <w:rPr>
            <w:noProof/>
          </w:rPr>
          <w:t>9</w:t>
        </w:r>
      </w:fldSimple>
      <w:r>
        <w:t xml:space="preserve">. </w:t>
      </w:r>
      <w:r w:rsidR="00E87A2A" w:rsidRPr="007F2528">
        <w:t>Methamphetamine annual seizure quantity (Kilograms)</w:t>
      </w:r>
      <w:bookmarkEnd w:id="372"/>
      <w:bookmarkEnd w:id="373"/>
    </w:p>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340"/>
        <w:gridCol w:w="1340"/>
        <w:gridCol w:w="1340"/>
      </w:tblGrid>
      <w:tr w:rsidR="00E87A2A" w:rsidRPr="00517C7E" w14:paraId="6E14E2D3" w14:textId="77777777" w:rsidTr="007B4BF5">
        <w:trPr>
          <w:trHeight w:val="300"/>
        </w:trPr>
        <w:tc>
          <w:tcPr>
            <w:tcW w:w="920" w:type="dxa"/>
            <w:shd w:val="clear" w:color="auto" w:fill="DDEBF7"/>
            <w:noWrap/>
            <w:vAlign w:val="center"/>
            <w:hideMark/>
          </w:tcPr>
          <w:p w14:paraId="56390142"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Year</w:t>
            </w:r>
          </w:p>
        </w:tc>
        <w:tc>
          <w:tcPr>
            <w:tcW w:w="1340" w:type="dxa"/>
            <w:shd w:val="clear" w:color="auto" w:fill="DDEBF7"/>
            <w:noWrap/>
            <w:vAlign w:val="center"/>
            <w:hideMark/>
          </w:tcPr>
          <w:p w14:paraId="63F2241B"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Customs</w:t>
            </w:r>
          </w:p>
        </w:tc>
        <w:tc>
          <w:tcPr>
            <w:tcW w:w="1340" w:type="dxa"/>
            <w:shd w:val="clear" w:color="auto" w:fill="DDEBF7"/>
            <w:noWrap/>
            <w:vAlign w:val="center"/>
            <w:hideMark/>
          </w:tcPr>
          <w:p w14:paraId="5B60058F"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Police</w:t>
            </w:r>
          </w:p>
        </w:tc>
        <w:tc>
          <w:tcPr>
            <w:tcW w:w="1340" w:type="dxa"/>
            <w:shd w:val="clear" w:color="auto" w:fill="DDEBF7"/>
            <w:noWrap/>
            <w:vAlign w:val="center"/>
            <w:hideMark/>
          </w:tcPr>
          <w:p w14:paraId="0DC2326B"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Total</w:t>
            </w:r>
          </w:p>
        </w:tc>
      </w:tr>
      <w:tr w:rsidR="00E87A2A" w:rsidRPr="00305AE4" w14:paraId="01E29901" w14:textId="77777777" w:rsidTr="007B4BF5">
        <w:trPr>
          <w:trHeight w:val="300"/>
        </w:trPr>
        <w:tc>
          <w:tcPr>
            <w:tcW w:w="920" w:type="dxa"/>
            <w:shd w:val="clear" w:color="auto" w:fill="auto"/>
            <w:noWrap/>
            <w:vAlign w:val="center"/>
            <w:hideMark/>
          </w:tcPr>
          <w:p w14:paraId="324E9C15"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2016</w:t>
            </w:r>
          </w:p>
        </w:tc>
        <w:tc>
          <w:tcPr>
            <w:tcW w:w="1340" w:type="dxa"/>
            <w:shd w:val="clear" w:color="auto" w:fill="auto"/>
            <w:noWrap/>
            <w:vAlign w:val="center"/>
          </w:tcPr>
          <w:p w14:paraId="0CC6ACF8"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390</w:t>
            </w:r>
          </w:p>
        </w:tc>
        <w:tc>
          <w:tcPr>
            <w:tcW w:w="1340" w:type="dxa"/>
            <w:shd w:val="clear" w:color="auto" w:fill="auto"/>
            <w:noWrap/>
            <w:vAlign w:val="center"/>
          </w:tcPr>
          <w:p w14:paraId="3CE669AE"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551</w:t>
            </w:r>
          </w:p>
        </w:tc>
        <w:tc>
          <w:tcPr>
            <w:tcW w:w="1340" w:type="dxa"/>
            <w:shd w:val="clear" w:color="auto" w:fill="auto"/>
            <w:noWrap/>
            <w:vAlign w:val="center"/>
          </w:tcPr>
          <w:p w14:paraId="6E710BE7"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941</w:t>
            </w:r>
          </w:p>
        </w:tc>
      </w:tr>
      <w:tr w:rsidR="00E87A2A" w:rsidRPr="00305AE4" w14:paraId="505B352C" w14:textId="77777777" w:rsidTr="007B4BF5">
        <w:trPr>
          <w:trHeight w:val="300"/>
        </w:trPr>
        <w:tc>
          <w:tcPr>
            <w:tcW w:w="920" w:type="dxa"/>
            <w:shd w:val="clear" w:color="auto" w:fill="auto"/>
            <w:noWrap/>
            <w:vAlign w:val="center"/>
            <w:hideMark/>
          </w:tcPr>
          <w:p w14:paraId="6D14670B"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2017</w:t>
            </w:r>
          </w:p>
        </w:tc>
        <w:tc>
          <w:tcPr>
            <w:tcW w:w="1340" w:type="dxa"/>
            <w:shd w:val="clear" w:color="auto" w:fill="auto"/>
            <w:noWrap/>
            <w:vAlign w:val="center"/>
            <w:hideMark/>
          </w:tcPr>
          <w:p w14:paraId="42C20D3B"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427</w:t>
            </w:r>
          </w:p>
        </w:tc>
        <w:tc>
          <w:tcPr>
            <w:tcW w:w="1340" w:type="dxa"/>
            <w:shd w:val="clear" w:color="auto" w:fill="auto"/>
            <w:noWrap/>
            <w:vAlign w:val="center"/>
            <w:hideMark/>
          </w:tcPr>
          <w:p w14:paraId="29826122"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50</w:t>
            </w:r>
          </w:p>
        </w:tc>
        <w:tc>
          <w:tcPr>
            <w:tcW w:w="1340" w:type="dxa"/>
            <w:shd w:val="clear" w:color="auto" w:fill="auto"/>
            <w:noWrap/>
            <w:vAlign w:val="center"/>
            <w:hideMark/>
          </w:tcPr>
          <w:p w14:paraId="09D520E2"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477</w:t>
            </w:r>
          </w:p>
        </w:tc>
      </w:tr>
      <w:tr w:rsidR="00E87A2A" w:rsidRPr="00305AE4" w14:paraId="13F61688" w14:textId="77777777" w:rsidTr="007B4BF5">
        <w:trPr>
          <w:trHeight w:val="300"/>
        </w:trPr>
        <w:tc>
          <w:tcPr>
            <w:tcW w:w="920" w:type="dxa"/>
            <w:shd w:val="clear" w:color="auto" w:fill="auto"/>
            <w:noWrap/>
            <w:vAlign w:val="center"/>
            <w:hideMark/>
          </w:tcPr>
          <w:p w14:paraId="5613C63B"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2018</w:t>
            </w:r>
          </w:p>
        </w:tc>
        <w:tc>
          <w:tcPr>
            <w:tcW w:w="1340" w:type="dxa"/>
            <w:shd w:val="clear" w:color="auto" w:fill="auto"/>
            <w:noWrap/>
            <w:vAlign w:val="center"/>
            <w:hideMark/>
          </w:tcPr>
          <w:p w14:paraId="4FA898D4"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273</w:t>
            </w:r>
          </w:p>
        </w:tc>
        <w:tc>
          <w:tcPr>
            <w:tcW w:w="1340" w:type="dxa"/>
            <w:shd w:val="clear" w:color="auto" w:fill="auto"/>
            <w:noWrap/>
            <w:vAlign w:val="center"/>
            <w:hideMark/>
          </w:tcPr>
          <w:p w14:paraId="11FBDD3A"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27</w:t>
            </w:r>
          </w:p>
        </w:tc>
        <w:tc>
          <w:tcPr>
            <w:tcW w:w="1340" w:type="dxa"/>
            <w:shd w:val="clear" w:color="auto" w:fill="auto"/>
            <w:noWrap/>
            <w:vAlign w:val="center"/>
            <w:hideMark/>
          </w:tcPr>
          <w:p w14:paraId="0662B63E"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300</w:t>
            </w:r>
          </w:p>
        </w:tc>
      </w:tr>
      <w:tr w:rsidR="00E87A2A" w:rsidRPr="00305AE4" w14:paraId="779ACCD5" w14:textId="77777777" w:rsidTr="007B4BF5">
        <w:trPr>
          <w:trHeight w:val="300"/>
        </w:trPr>
        <w:tc>
          <w:tcPr>
            <w:tcW w:w="920" w:type="dxa"/>
            <w:shd w:val="clear" w:color="auto" w:fill="auto"/>
            <w:noWrap/>
            <w:vAlign w:val="center"/>
            <w:hideMark/>
          </w:tcPr>
          <w:p w14:paraId="62CB271C"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2019</w:t>
            </w:r>
          </w:p>
        </w:tc>
        <w:tc>
          <w:tcPr>
            <w:tcW w:w="1340" w:type="dxa"/>
            <w:shd w:val="clear" w:color="auto" w:fill="auto"/>
            <w:noWrap/>
            <w:vAlign w:val="center"/>
            <w:hideMark/>
          </w:tcPr>
          <w:p w14:paraId="26A856DB"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1,231</w:t>
            </w:r>
          </w:p>
        </w:tc>
        <w:tc>
          <w:tcPr>
            <w:tcW w:w="1340" w:type="dxa"/>
            <w:shd w:val="clear" w:color="auto" w:fill="auto"/>
            <w:noWrap/>
            <w:vAlign w:val="center"/>
            <w:hideMark/>
          </w:tcPr>
          <w:p w14:paraId="2318E8CD"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616</w:t>
            </w:r>
          </w:p>
        </w:tc>
        <w:tc>
          <w:tcPr>
            <w:tcW w:w="1340" w:type="dxa"/>
            <w:shd w:val="clear" w:color="auto" w:fill="auto"/>
            <w:noWrap/>
            <w:vAlign w:val="center"/>
            <w:hideMark/>
          </w:tcPr>
          <w:p w14:paraId="0DA7C0C4"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1,846</w:t>
            </w:r>
          </w:p>
        </w:tc>
      </w:tr>
      <w:tr w:rsidR="00E87A2A" w:rsidRPr="00305AE4" w14:paraId="1B846577" w14:textId="77777777" w:rsidTr="007B4BF5">
        <w:trPr>
          <w:trHeight w:val="300"/>
        </w:trPr>
        <w:tc>
          <w:tcPr>
            <w:tcW w:w="920" w:type="dxa"/>
            <w:shd w:val="clear" w:color="auto" w:fill="auto"/>
            <w:noWrap/>
            <w:vAlign w:val="center"/>
            <w:hideMark/>
          </w:tcPr>
          <w:p w14:paraId="08B0F8F9"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2020</w:t>
            </w:r>
          </w:p>
        </w:tc>
        <w:tc>
          <w:tcPr>
            <w:tcW w:w="1340" w:type="dxa"/>
            <w:shd w:val="clear" w:color="auto" w:fill="auto"/>
            <w:noWrap/>
            <w:vAlign w:val="center"/>
          </w:tcPr>
          <w:p w14:paraId="084C2A06"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2</w:t>
            </w:r>
            <w:r>
              <w:rPr>
                <w:rFonts w:ascii="Calibri" w:eastAsia="Times New Roman" w:hAnsi="Calibri" w:cs="Times New Roman"/>
                <w:color w:val="000000"/>
              </w:rPr>
              <w:t>73</w:t>
            </w:r>
          </w:p>
        </w:tc>
        <w:tc>
          <w:tcPr>
            <w:tcW w:w="1340" w:type="dxa"/>
            <w:shd w:val="clear" w:color="auto" w:fill="auto"/>
            <w:noWrap/>
            <w:vAlign w:val="center"/>
          </w:tcPr>
          <w:p w14:paraId="6CF4D92E" w14:textId="77777777" w:rsidR="00E87A2A" w:rsidRPr="00305AE4" w:rsidRDefault="00E87A2A" w:rsidP="007B4BF5">
            <w:pPr>
              <w:spacing w:after="0" w:line="240" w:lineRule="auto"/>
              <w:jc w:val="center"/>
              <w:rPr>
                <w:rFonts w:ascii="Calibri" w:eastAsia="Times New Roman" w:hAnsi="Calibri" w:cs="Times New Roman"/>
                <w:color w:val="000000"/>
              </w:rPr>
            </w:pPr>
            <w:r w:rsidRPr="00305AE4">
              <w:rPr>
                <w:rFonts w:ascii="Calibri" w:eastAsia="Times New Roman" w:hAnsi="Calibri" w:cs="Times New Roman"/>
                <w:color w:val="000000"/>
              </w:rPr>
              <w:t>31</w:t>
            </w:r>
          </w:p>
        </w:tc>
        <w:tc>
          <w:tcPr>
            <w:tcW w:w="1340" w:type="dxa"/>
            <w:shd w:val="clear" w:color="auto" w:fill="auto"/>
            <w:noWrap/>
            <w:vAlign w:val="center"/>
          </w:tcPr>
          <w:p w14:paraId="083CB1F9"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304</w:t>
            </w:r>
          </w:p>
        </w:tc>
      </w:tr>
      <w:tr w:rsidR="00E87A2A" w:rsidRPr="00305AE4" w14:paraId="313002A2" w14:textId="77777777" w:rsidTr="007B4BF5">
        <w:trPr>
          <w:trHeight w:val="300"/>
        </w:trPr>
        <w:tc>
          <w:tcPr>
            <w:tcW w:w="920" w:type="dxa"/>
            <w:shd w:val="clear" w:color="auto" w:fill="auto"/>
            <w:noWrap/>
            <w:vAlign w:val="center"/>
          </w:tcPr>
          <w:p w14:paraId="41354F10"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2021</w:t>
            </w:r>
            <w:r>
              <w:rPr>
                <w:rFonts w:ascii="Calibri" w:eastAsia="Times New Roman" w:hAnsi="Calibri" w:cs="Times New Roman"/>
                <w:b/>
                <w:bCs/>
                <w:color w:val="000000"/>
              </w:rPr>
              <w:t>*</w:t>
            </w:r>
          </w:p>
        </w:tc>
        <w:tc>
          <w:tcPr>
            <w:tcW w:w="1340" w:type="dxa"/>
            <w:shd w:val="clear" w:color="auto" w:fill="auto"/>
            <w:noWrap/>
            <w:vAlign w:val="center"/>
          </w:tcPr>
          <w:p w14:paraId="3526E192" w14:textId="77777777" w:rsidR="00E87A2A" w:rsidRPr="00305AE4"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333</w:t>
            </w:r>
          </w:p>
        </w:tc>
        <w:tc>
          <w:tcPr>
            <w:tcW w:w="1340" w:type="dxa"/>
            <w:shd w:val="clear" w:color="auto" w:fill="auto"/>
            <w:noWrap/>
            <w:vAlign w:val="center"/>
          </w:tcPr>
          <w:p w14:paraId="2FA85FD4" w14:textId="77777777" w:rsidR="00E87A2A" w:rsidRPr="00305AE4"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1340" w:type="dxa"/>
            <w:shd w:val="clear" w:color="auto" w:fill="auto"/>
            <w:noWrap/>
            <w:vAlign w:val="center"/>
          </w:tcPr>
          <w:p w14:paraId="69710DEC"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340</w:t>
            </w:r>
          </w:p>
        </w:tc>
      </w:tr>
    </w:tbl>
    <w:p w14:paraId="19E1C9E9" w14:textId="77777777" w:rsidR="00E87A2A" w:rsidRDefault="00E87A2A" w:rsidP="00E87A2A"/>
    <w:p w14:paraId="060BA6F2" w14:textId="7CF17EC5" w:rsidR="00E87A2A" w:rsidRPr="007F2528" w:rsidRDefault="007D0115" w:rsidP="007D0115">
      <w:pPr>
        <w:pStyle w:val="Caption"/>
      </w:pPr>
      <w:bookmarkStart w:id="374" w:name="_Toc75943064"/>
      <w:bookmarkStart w:id="375" w:name="_Toc77776106"/>
      <w:r>
        <w:t xml:space="preserve">Table </w:t>
      </w:r>
      <w:fldSimple w:instr=" SEQ Table \* ARABIC ">
        <w:r w:rsidR="00AA3031">
          <w:rPr>
            <w:noProof/>
          </w:rPr>
          <w:t>10</w:t>
        </w:r>
      </w:fldSimple>
      <w:r>
        <w:t xml:space="preserve">. </w:t>
      </w:r>
      <w:r w:rsidR="00E87A2A" w:rsidRPr="007F2528">
        <w:t>Cannabis head/leaf annual seizure quantity (Kilograms)</w:t>
      </w:r>
      <w:bookmarkEnd w:id="374"/>
      <w:bookmarkEnd w:id="375"/>
    </w:p>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340"/>
        <w:gridCol w:w="1340"/>
        <w:gridCol w:w="1340"/>
      </w:tblGrid>
      <w:tr w:rsidR="00E87A2A" w:rsidRPr="007358C8" w14:paraId="2C60F0CE" w14:textId="77777777" w:rsidTr="007B4BF5">
        <w:trPr>
          <w:trHeight w:val="300"/>
        </w:trPr>
        <w:tc>
          <w:tcPr>
            <w:tcW w:w="920" w:type="dxa"/>
            <w:shd w:val="clear" w:color="auto" w:fill="DDEBF7"/>
            <w:noWrap/>
            <w:vAlign w:val="bottom"/>
            <w:hideMark/>
          </w:tcPr>
          <w:p w14:paraId="08104757"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Year</w:t>
            </w:r>
          </w:p>
        </w:tc>
        <w:tc>
          <w:tcPr>
            <w:tcW w:w="1340" w:type="dxa"/>
            <w:shd w:val="clear" w:color="auto" w:fill="DDEBF7"/>
            <w:noWrap/>
            <w:vAlign w:val="center"/>
            <w:hideMark/>
          </w:tcPr>
          <w:p w14:paraId="738D9BA2"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Customs</w:t>
            </w:r>
          </w:p>
        </w:tc>
        <w:tc>
          <w:tcPr>
            <w:tcW w:w="1340" w:type="dxa"/>
            <w:shd w:val="clear" w:color="auto" w:fill="DDEBF7"/>
            <w:noWrap/>
            <w:vAlign w:val="center"/>
            <w:hideMark/>
          </w:tcPr>
          <w:p w14:paraId="1A989D8D"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Police</w:t>
            </w:r>
          </w:p>
        </w:tc>
        <w:tc>
          <w:tcPr>
            <w:tcW w:w="1340" w:type="dxa"/>
            <w:shd w:val="clear" w:color="auto" w:fill="DDEBF7"/>
            <w:noWrap/>
            <w:vAlign w:val="center"/>
            <w:hideMark/>
          </w:tcPr>
          <w:p w14:paraId="6BE0DBE6"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Total</w:t>
            </w:r>
          </w:p>
        </w:tc>
      </w:tr>
      <w:tr w:rsidR="00E87A2A" w:rsidRPr="007358C8" w14:paraId="3E3BA9A1" w14:textId="77777777" w:rsidTr="007B4BF5">
        <w:trPr>
          <w:trHeight w:val="300"/>
        </w:trPr>
        <w:tc>
          <w:tcPr>
            <w:tcW w:w="920" w:type="dxa"/>
            <w:shd w:val="clear" w:color="auto" w:fill="auto"/>
            <w:noWrap/>
            <w:vAlign w:val="bottom"/>
            <w:hideMark/>
          </w:tcPr>
          <w:p w14:paraId="1E02D831"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2016</w:t>
            </w:r>
          </w:p>
        </w:tc>
        <w:tc>
          <w:tcPr>
            <w:tcW w:w="1340" w:type="dxa"/>
            <w:shd w:val="clear" w:color="auto" w:fill="auto"/>
            <w:noWrap/>
            <w:vAlign w:val="bottom"/>
            <w:hideMark/>
          </w:tcPr>
          <w:p w14:paraId="6E2CA2F8"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1</w:t>
            </w:r>
          </w:p>
        </w:tc>
        <w:tc>
          <w:tcPr>
            <w:tcW w:w="1340" w:type="dxa"/>
            <w:shd w:val="clear" w:color="auto" w:fill="auto"/>
            <w:noWrap/>
            <w:vAlign w:val="bottom"/>
            <w:hideMark/>
          </w:tcPr>
          <w:p w14:paraId="4174F5C3"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557</w:t>
            </w:r>
          </w:p>
        </w:tc>
        <w:tc>
          <w:tcPr>
            <w:tcW w:w="1340" w:type="dxa"/>
            <w:shd w:val="clear" w:color="auto" w:fill="auto"/>
            <w:noWrap/>
            <w:vAlign w:val="bottom"/>
            <w:hideMark/>
          </w:tcPr>
          <w:p w14:paraId="3F050272"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559</w:t>
            </w:r>
          </w:p>
        </w:tc>
      </w:tr>
      <w:tr w:rsidR="00E87A2A" w:rsidRPr="007358C8" w14:paraId="40139095" w14:textId="77777777" w:rsidTr="007B4BF5">
        <w:trPr>
          <w:trHeight w:val="300"/>
        </w:trPr>
        <w:tc>
          <w:tcPr>
            <w:tcW w:w="920" w:type="dxa"/>
            <w:shd w:val="clear" w:color="auto" w:fill="auto"/>
            <w:noWrap/>
            <w:vAlign w:val="bottom"/>
            <w:hideMark/>
          </w:tcPr>
          <w:p w14:paraId="11E753A4"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2017</w:t>
            </w:r>
          </w:p>
        </w:tc>
        <w:tc>
          <w:tcPr>
            <w:tcW w:w="1340" w:type="dxa"/>
            <w:shd w:val="clear" w:color="auto" w:fill="auto"/>
            <w:noWrap/>
            <w:vAlign w:val="bottom"/>
            <w:hideMark/>
          </w:tcPr>
          <w:p w14:paraId="72807F5C"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4</w:t>
            </w:r>
          </w:p>
        </w:tc>
        <w:tc>
          <w:tcPr>
            <w:tcW w:w="1340" w:type="dxa"/>
            <w:shd w:val="clear" w:color="auto" w:fill="auto"/>
            <w:noWrap/>
            <w:vAlign w:val="bottom"/>
            <w:hideMark/>
          </w:tcPr>
          <w:p w14:paraId="46A2E2E2"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535</w:t>
            </w:r>
          </w:p>
        </w:tc>
        <w:tc>
          <w:tcPr>
            <w:tcW w:w="1340" w:type="dxa"/>
            <w:shd w:val="clear" w:color="auto" w:fill="auto"/>
            <w:noWrap/>
            <w:vAlign w:val="bottom"/>
            <w:hideMark/>
          </w:tcPr>
          <w:p w14:paraId="71E6D8AE"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539</w:t>
            </w:r>
          </w:p>
        </w:tc>
      </w:tr>
      <w:tr w:rsidR="00E87A2A" w:rsidRPr="007358C8" w14:paraId="3971E6AF" w14:textId="77777777" w:rsidTr="007B4BF5">
        <w:trPr>
          <w:trHeight w:val="300"/>
        </w:trPr>
        <w:tc>
          <w:tcPr>
            <w:tcW w:w="920" w:type="dxa"/>
            <w:shd w:val="clear" w:color="auto" w:fill="auto"/>
            <w:noWrap/>
            <w:vAlign w:val="bottom"/>
            <w:hideMark/>
          </w:tcPr>
          <w:p w14:paraId="499E8A42"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2018</w:t>
            </w:r>
          </w:p>
        </w:tc>
        <w:tc>
          <w:tcPr>
            <w:tcW w:w="1340" w:type="dxa"/>
            <w:shd w:val="clear" w:color="auto" w:fill="auto"/>
            <w:noWrap/>
            <w:vAlign w:val="bottom"/>
            <w:hideMark/>
          </w:tcPr>
          <w:p w14:paraId="622ACF8E"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111</w:t>
            </w:r>
          </w:p>
        </w:tc>
        <w:tc>
          <w:tcPr>
            <w:tcW w:w="1340" w:type="dxa"/>
            <w:shd w:val="clear" w:color="auto" w:fill="auto"/>
            <w:noWrap/>
            <w:vAlign w:val="bottom"/>
            <w:hideMark/>
          </w:tcPr>
          <w:p w14:paraId="1F6962AA"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781</w:t>
            </w:r>
          </w:p>
        </w:tc>
        <w:tc>
          <w:tcPr>
            <w:tcW w:w="1340" w:type="dxa"/>
            <w:shd w:val="clear" w:color="auto" w:fill="auto"/>
            <w:noWrap/>
            <w:vAlign w:val="bottom"/>
            <w:hideMark/>
          </w:tcPr>
          <w:p w14:paraId="28FAD2B3"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892</w:t>
            </w:r>
          </w:p>
        </w:tc>
      </w:tr>
      <w:tr w:rsidR="00E87A2A" w:rsidRPr="007358C8" w14:paraId="4FC414BC" w14:textId="77777777" w:rsidTr="007B4BF5">
        <w:trPr>
          <w:trHeight w:val="300"/>
        </w:trPr>
        <w:tc>
          <w:tcPr>
            <w:tcW w:w="920" w:type="dxa"/>
            <w:shd w:val="clear" w:color="auto" w:fill="auto"/>
            <w:noWrap/>
            <w:vAlign w:val="bottom"/>
            <w:hideMark/>
          </w:tcPr>
          <w:p w14:paraId="61AB9041"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2019</w:t>
            </w:r>
          </w:p>
        </w:tc>
        <w:tc>
          <w:tcPr>
            <w:tcW w:w="1340" w:type="dxa"/>
            <w:shd w:val="clear" w:color="auto" w:fill="auto"/>
            <w:noWrap/>
            <w:vAlign w:val="bottom"/>
            <w:hideMark/>
          </w:tcPr>
          <w:p w14:paraId="0DC9EECC"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4</w:t>
            </w:r>
          </w:p>
        </w:tc>
        <w:tc>
          <w:tcPr>
            <w:tcW w:w="1340" w:type="dxa"/>
            <w:shd w:val="clear" w:color="auto" w:fill="auto"/>
            <w:noWrap/>
            <w:vAlign w:val="bottom"/>
            <w:hideMark/>
          </w:tcPr>
          <w:p w14:paraId="16DAD224"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511</w:t>
            </w:r>
          </w:p>
        </w:tc>
        <w:tc>
          <w:tcPr>
            <w:tcW w:w="1340" w:type="dxa"/>
            <w:shd w:val="clear" w:color="auto" w:fill="auto"/>
            <w:noWrap/>
            <w:vAlign w:val="bottom"/>
            <w:hideMark/>
          </w:tcPr>
          <w:p w14:paraId="63BC743C"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515</w:t>
            </w:r>
          </w:p>
        </w:tc>
      </w:tr>
      <w:tr w:rsidR="00E87A2A" w:rsidRPr="007358C8" w14:paraId="4C332C90" w14:textId="77777777" w:rsidTr="007B4BF5">
        <w:trPr>
          <w:trHeight w:val="300"/>
        </w:trPr>
        <w:tc>
          <w:tcPr>
            <w:tcW w:w="920" w:type="dxa"/>
            <w:shd w:val="clear" w:color="auto" w:fill="auto"/>
            <w:noWrap/>
            <w:vAlign w:val="bottom"/>
          </w:tcPr>
          <w:p w14:paraId="305C6290"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2020</w:t>
            </w:r>
          </w:p>
        </w:tc>
        <w:tc>
          <w:tcPr>
            <w:tcW w:w="1340" w:type="dxa"/>
            <w:shd w:val="clear" w:color="auto" w:fill="auto"/>
            <w:noWrap/>
            <w:vAlign w:val="bottom"/>
          </w:tcPr>
          <w:p w14:paraId="633E083A"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2</w:t>
            </w:r>
          </w:p>
        </w:tc>
        <w:tc>
          <w:tcPr>
            <w:tcW w:w="1340" w:type="dxa"/>
            <w:shd w:val="clear" w:color="auto" w:fill="auto"/>
            <w:noWrap/>
            <w:vAlign w:val="bottom"/>
          </w:tcPr>
          <w:p w14:paraId="5DCE71B6" w14:textId="77777777" w:rsidR="00E87A2A" w:rsidRPr="003B79E2" w:rsidRDefault="00E87A2A" w:rsidP="007B4BF5">
            <w:pPr>
              <w:spacing w:after="0" w:line="240" w:lineRule="auto"/>
              <w:jc w:val="center"/>
              <w:rPr>
                <w:rFonts w:ascii="Calibri" w:eastAsia="Times New Roman" w:hAnsi="Calibri" w:cs="Times New Roman"/>
                <w:color w:val="000000"/>
              </w:rPr>
            </w:pPr>
            <w:r w:rsidRPr="003B79E2">
              <w:rPr>
                <w:rFonts w:ascii="Calibri" w:eastAsia="Times New Roman" w:hAnsi="Calibri" w:cs="Times New Roman"/>
                <w:color w:val="000000"/>
              </w:rPr>
              <w:t>762</w:t>
            </w:r>
          </w:p>
        </w:tc>
        <w:tc>
          <w:tcPr>
            <w:tcW w:w="1340" w:type="dxa"/>
            <w:shd w:val="clear" w:color="auto" w:fill="auto"/>
            <w:noWrap/>
            <w:vAlign w:val="bottom"/>
          </w:tcPr>
          <w:p w14:paraId="53ED2862"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764</w:t>
            </w:r>
          </w:p>
        </w:tc>
      </w:tr>
      <w:tr w:rsidR="00E87A2A" w:rsidRPr="007358C8" w14:paraId="55DAB2C0" w14:textId="77777777" w:rsidTr="007B4BF5">
        <w:trPr>
          <w:trHeight w:val="300"/>
        </w:trPr>
        <w:tc>
          <w:tcPr>
            <w:tcW w:w="920" w:type="dxa"/>
            <w:shd w:val="clear" w:color="auto" w:fill="auto"/>
            <w:noWrap/>
            <w:vAlign w:val="bottom"/>
          </w:tcPr>
          <w:p w14:paraId="62417EE8"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2021</w:t>
            </w:r>
            <w:r>
              <w:rPr>
                <w:rFonts w:ascii="Calibri" w:eastAsia="Times New Roman" w:hAnsi="Calibri" w:cs="Times New Roman"/>
                <w:b/>
                <w:bCs/>
                <w:color w:val="000000"/>
              </w:rPr>
              <w:t>*</w:t>
            </w:r>
          </w:p>
        </w:tc>
        <w:tc>
          <w:tcPr>
            <w:tcW w:w="1340" w:type="dxa"/>
            <w:shd w:val="clear" w:color="auto" w:fill="auto"/>
            <w:noWrap/>
            <w:vAlign w:val="bottom"/>
          </w:tcPr>
          <w:p w14:paraId="05AE6805" w14:textId="77777777" w:rsidR="00E87A2A" w:rsidRPr="003B79E2"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340" w:type="dxa"/>
            <w:shd w:val="clear" w:color="auto" w:fill="auto"/>
            <w:noWrap/>
            <w:vAlign w:val="bottom"/>
          </w:tcPr>
          <w:p w14:paraId="0ED94436" w14:textId="77777777" w:rsidR="00E87A2A" w:rsidRPr="003B79E2"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341</w:t>
            </w:r>
          </w:p>
        </w:tc>
        <w:tc>
          <w:tcPr>
            <w:tcW w:w="1340" w:type="dxa"/>
            <w:shd w:val="clear" w:color="auto" w:fill="auto"/>
            <w:noWrap/>
            <w:vAlign w:val="bottom"/>
          </w:tcPr>
          <w:p w14:paraId="401A8E87" w14:textId="77777777" w:rsidR="00E87A2A" w:rsidRPr="003B79E2" w:rsidRDefault="00E87A2A" w:rsidP="007B4BF5">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343</w:t>
            </w:r>
          </w:p>
        </w:tc>
      </w:tr>
    </w:tbl>
    <w:p w14:paraId="2EE4B460" w14:textId="29EFE256" w:rsidR="17880252" w:rsidRDefault="17880252" w:rsidP="17880252">
      <w:pPr>
        <w:spacing w:after="120" w:line="240" w:lineRule="auto"/>
        <w:jc w:val="both"/>
        <w:rPr>
          <w:i/>
          <w:iCs/>
        </w:rPr>
      </w:pPr>
    </w:p>
    <w:p w14:paraId="42084432" w14:textId="399C8C31" w:rsidR="00E87A2A" w:rsidRPr="007F2528" w:rsidRDefault="007D0115" w:rsidP="007D0115">
      <w:pPr>
        <w:pStyle w:val="Caption"/>
      </w:pPr>
      <w:bookmarkStart w:id="376" w:name="_Toc75943065"/>
      <w:bookmarkStart w:id="377" w:name="_Toc77776107"/>
      <w:r>
        <w:t xml:space="preserve">Table </w:t>
      </w:r>
      <w:fldSimple w:instr=" SEQ Table \* ARABIC ">
        <w:r w:rsidR="00AA3031">
          <w:rPr>
            <w:noProof/>
          </w:rPr>
          <w:t>11</w:t>
        </w:r>
      </w:fldSimple>
      <w:r>
        <w:t xml:space="preserve">. </w:t>
      </w:r>
      <w:r w:rsidR="00E87A2A" w:rsidRPr="007F2528">
        <w:t>Synthetic cannabinoid plant material annual seizure quantity (Grams)</w:t>
      </w:r>
      <w:bookmarkEnd w:id="376"/>
      <w:bookmarkEnd w:id="377"/>
    </w:p>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340"/>
        <w:gridCol w:w="1340"/>
        <w:gridCol w:w="1340"/>
      </w:tblGrid>
      <w:tr w:rsidR="00E87A2A" w:rsidRPr="007A5544" w14:paraId="13F22889" w14:textId="77777777" w:rsidTr="007B4BF5">
        <w:trPr>
          <w:trHeight w:val="300"/>
        </w:trPr>
        <w:tc>
          <w:tcPr>
            <w:tcW w:w="920" w:type="dxa"/>
            <w:shd w:val="clear" w:color="auto" w:fill="DDEBF7"/>
            <w:noWrap/>
            <w:vAlign w:val="center"/>
            <w:hideMark/>
          </w:tcPr>
          <w:p w14:paraId="522D00D7"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Year</w:t>
            </w:r>
          </w:p>
        </w:tc>
        <w:tc>
          <w:tcPr>
            <w:tcW w:w="1340" w:type="dxa"/>
            <w:shd w:val="clear" w:color="auto" w:fill="DDEBF7"/>
            <w:noWrap/>
            <w:vAlign w:val="center"/>
            <w:hideMark/>
          </w:tcPr>
          <w:p w14:paraId="2386074F"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Customs</w:t>
            </w:r>
          </w:p>
        </w:tc>
        <w:tc>
          <w:tcPr>
            <w:tcW w:w="1340" w:type="dxa"/>
            <w:shd w:val="clear" w:color="auto" w:fill="DDEBF7"/>
            <w:noWrap/>
            <w:vAlign w:val="center"/>
            <w:hideMark/>
          </w:tcPr>
          <w:p w14:paraId="67D314F3"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Police</w:t>
            </w:r>
          </w:p>
        </w:tc>
        <w:tc>
          <w:tcPr>
            <w:tcW w:w="1340" w:type="dxa"/>
            <w:shd w:val="clear" w:color="auto" w:fill="DDEBF7"/>
            <w:noWrap/>
            <w:vAlign w:val="center"/>
            <w:hideMark/>
          </w:tcPr>
          <w:p w14:paraId="27D79169"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Total</w:t>
            </w:r>
          </w:p>
        </w:tc>
      </w:tr>
      <w:tr w:rsidR="00E87A2A" w:rsidRPr="00A00532" w14:paraId="6C1AC67A" w14:textId="77777777" w:rsidTr="007B4BF5">
        <w:trPr>
          <w:trHeight w:val="300"/>
        </w:trPr>
        <w:tc>
          <w:tcPr>
            <w:tcW w:w="920" w:type="dxa"/>
            <w:shd w:val="clear" w:color="auto" w:fill="auto"/>
            <w:noWrap/>
            <w:vAlign w:val="center"/>
            <w:hideMark/>
          </w:tcPr>
          <w:p w14:paraId="4C09DCDF"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2016</w:t>
            </w:r>
          </w:p>
        </w:tc>
        <w:tc>
          <w:tcPr>
            <w:tcW w:w="1340" w:type="dxa"/>
            <w:shd w:val="clear" w:color="auto" w:fill="auto"/>
            <w:noWrap/>
            <w:vAlign w:val="center"/>
            <w:hideMark/>
          </w:tcPr>
          <w:p w14:paraId="316B2D55"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71</w:t>
            </w:r>
          </w:p>
        </w:tc>
        <w:tc>
          <w:tcPr>
            <w:tcW w:w="1340" w:type="dxa"/>
            <w:shd w:val="clear" w:color="auto" w:fill="auto"/>
            <w:noWrap/>
            <w:vAlign w:val="center"/>
            <w:hideMark/>
          </w:tcPr>
          <w:p w14:paraId="77B6D2F1"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185,382</w:t>
            </w:r>
          </w:p>
        </w:tc>
        <w:tc>
          <w:tcPr>
            <w:tcW w:w="1340" w:type="dxa"/>
            <w:shd w:val="clear" w:color="auto" w:fill="auto"/>
            <w:noWrap/>
            <w:vAlign w:val="center"/>
            <w:hideMark/>
          </w:tcPr>
          <w:p w14:paraId="3BC7692D"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185,453</w:t>
            </w:r>
          </w:p>
        </w:tc>
      </w:tr>
      <w:tr w:rsidR="00E87A2A" w:rsidRPr="00A00532" w14:paraId="73D322FC" w14:textId="77777777" w:rsidTr="007B4BF5">
        <w:trPr>
          <w:trHeight w:val="300"/>
        </w:trPr>
        <w:tc>
          <w:tcPr>
            <w:tcW w:w="920" w:type="dxa"/>
            <w:shd w:val="clear" w:color="auto" w:fill="auto"/>
            <w:noWrap/>
            <w:vAlign w:val="center"/>
            <w:hideMark/>
          </w:tcPr>
          <w:p w14:paraId="5A3D1C12"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2017</w:t>
            </w:r>
          </w:p>
        </w:tc>
        <w:tc>
          <w:tcPr>
            <w:tcW w:w="1340" w:type="dxa"/>
            <w:shd w:val="clear" w:color="auto" w:fill="auto"/>
            <w:noWrap/>
            <w:vAlign w:val="center"/>
            <w:hideMark/>
          </w:tcPr>
          <w:p w14:paraId="756AD227"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w:t>
            </w:r>
          </w:p>
        </w:tc>
        <w:tc>
          <w:tcPr>
            <w:tcW w:w="1340" w:type="dxa"/>
            <w:shd w:val="clear" w:color="auto" w:fill="auto"/>
            <w:noWrap/>
            <w:vAlign w:val="center"/>
            <w:hideMark/>
          </w:tcPr>
          <w:p w14:paraId="1E0D066D"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51,233</w:t>
            </w:r>
          </w:p>
        </w:tc>
        <w:tc>
          <w:tcPr>
            <w:tcW w:w="1340" w:type="dxa"/>
            <w:shd w:val="clear" w:color="auto" w:fill="auto"/>
            <w:noWrap/>
            <w:vAlign w:val="center"/>
            <w:hideMark/>
          </w:tcPr>
          <w:p w14:paraId="74BC3892"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51,234</w:t>
            </w:r>
          </w:p>
        </w:tc>
      </w:tr>
      <w:tr w:rsidR="00E87A2A" w:rsidRPr="00A00532" w14:paraId="6DFFDB21" w14:textId="77777777" w:rsidTr="007B4BF5">
        <w:trPr>
          <w:trHeight w:val="300"/>
        </w:trPr>
        <w:tc>
          <w:tcPr>
            <w:tcW w:w="920" w:type="dxa"/>
            <w:shd w:val="clear" w:color="auto" w:fill="auto"/>
            <w:noWrap/>
            <w:vAlign w:val="center"/>
            <w:hideMark/>
          </w:tcPr>
          <w:p w14:paraId="05F217C2"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2018</w:t>
            </w:r>
          </w:p>
        </w:tc>
        <w:tc>
          <w:tcPr>
            <w:tcW w:w="1340" w:type="dxa"/>
            <w:shd w:val="clear" w:color="auto" w:fill="auto"/>
            <w:noWrap/>
            <w:vAlign w:val="center"/>
            <w:hideMark/>
          </w:tcPr>
          <w:p w14:paraId="33862AD8"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7</w:t>
            </w:r>
          </w:p>
        </w:tc>
        <w:tc>
          <w:tcPr>
            <w:tcW w:w="1340" w:type="dxa"/>
            <w:shd w:val="clear" w:color="auto" w:fill="auto"/>
            <w:noWrap/>
            <w:vAlign w:val="center"/>
            <w:hideMark/>
          </w:tcPr>
          <w:p w14:paraId="3D26713E"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37,551</w:t>
            </w:r>
          </w:p>
        </w:tc>
        <w:tc>
          <w:tcPr>
            <w:tcW w:w="1340" w:type="dxa"/>
            <w:shd w:val="clear" w:color="auto" w:fill="auto"/>
            <w:noWrap/>
            <w:vAlign w:val="center"/>
            <w:hideMark/>
          </w:tcPr>
          <w:p w14:paraId="06D32A06"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37,558</w:t>
            </w:r>
          </w:p>
        </w:tc>
      </w:tr>
      <w:tr w:rsidR="00E87A2A" w:rsidRPr="00A00532" w14:paraId="153A2B66" w14:textId="77777777" w:rsidTr="007B4BF5">
        <w:trPr>
          <w:trHeight w:val="300"/>
        </w:trPr>
        <w:tc>
          <w:tcPr>
            <w:tcW w:w="920" w:type="dxa"/>
            <w:shd w:val="clear" w:color="auto" w:fill="auto"/>
            <w:noWrap/>
            <w:vAlign w:val="center"/>
            <w:hideMark/>
          </w:tcPr>
          <w:p w14:paraId="0B866E9D"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2019</w:t>
            </w:r>
          </w:p>
        </w:tc>
        <w:tc>
          <w:tcPr>
            <w:tcW w:w="1340" w:type="dxa"/>
            <w:shd w:val="clear" w:color="auto" w:fill="auto"/>
            <w:noWrap/>
            <w:vAlign w:val="center"/>
            <w:hideMark/>
          </w:tcPr>
          <w:p w14:paraId="3F4E269F"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0</w:t>
            </w:r>
          </w:p>
        </w:tc>
        <w:tc>
          <w:tcPr>
            <w:tcW w:w="1340" w:type="dxa"/>
            <w:shd w:val="clear" w:color="auto" w:fill="auto"/>
            <w:noWrap/>
            <w:vAlign w:val="center"/>
            <w:hideMark/>
          </w:tcPr>
          <w:p w14:paraId="342C7455"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13,229</w:t>
            </w:r>
          </w:p>
        </w:tc>
        <w:tc>
          <w:tcPr>
            <w:tcW w:w="1340" w:type="dxa"/>
            <w:shd w:val="clear" w:color="auto" w:fill="auto"/>
            <w:noWrap/>
            <w:vAlign w:val="center"/>
            <w:hideMark/>
          </w:tcPr>
          <w:p w14:paraId="2877C12A"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13,229</w:t>
            </w:r>
          </w:p>
        </w:tc>
      </w:tr>
      <w:tr w:rsidR="00E87A2A" w:rsidRPr="009E3952" w14:paraId="3E572548" w14:textId="77777777" w:rsidTr="007B4BF5">
        <w:trPr>
          <w:trHeight w:val="300"/>
        </w:trPr>
        <w:tc>
          <w:tcPr>
            <w:tcW w:w="920" w:type="dxa"/>
            <w:shd w:val="clear" w:color="auto" w:fill="auto"/>
            <w:noWrap/>
            <w:vAlign w:val="center"/>
            <w:hideMark/>
          </w:tcPr>
          <w:p w14:paraId="739F91F0" w14:textId="77777777" w:rsidR="00E87A2A" w:rsidRPr="000E2856" w:rsidRDefault="00E87A2A" w:rsidP="007B4BF5">
            <w:pPr>
              <w:spacing w:after="0" w:line="240" w:lineRule="auto"/>
              <w:rPr>
                <w:rFonts w:ascii="Calibri" w:eastAsia="Times New Roman" w:hAnsi="Calibri" w:cs="Times New Roman"/>
                <w:b/>
                <w:color w:val="000000"/>
              </w:rPr>
            </w:pPr>
            <w:r w:rsidRPr="003B79E2">
              <w:rPr>
                <w:rFonts w:ascii="Calibri" w:eastAsia="Times New Roman" w:hAnsi="Calibri" w:cs="Times New Roman"/>
                <w:b/>
                <w:bCs/>
                <w:color w:val="000000"/>
              </w:rPr>
              <w:t>2020</w:t>
            </w:r>
          </w:p>
        </w:tc>
        <w:tc>
          <w:tcPr>
            <w:tcW w:w="1340" w:type="dxa"/>
            <w:shd w:val="clear" w:color="auto" w:fill="auto"/>
            <w:noWrap/>
            <w:vAlign w:val="center"/>
          </w:tcPr>
          <w:p w14:paraId="4BAE92A2"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0</w:t>
            </w:r>
          </w:p>
        </w:tc>
        <w:tc>
          <w:tcPr>
            <w:tcW w:w="1340" w:type="dxa"/>
            <w:shd w:val="clear" w:color="auto" w:fill="auto"/>
            <w:noWrap/>
            <w:vAlign w:val="center"/>
          </w:tcPr>
          <w:p w14:paraId="033C20CE"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9,062</w:t>
            </w:r>
          </w:p>
        </w:tc>
        <w:tc>
          <w:tcPr>
            <w:tcW w:w="1340" w:type="dxa"/>
            <w:shd w:val="clear" w:color="auto" w:fill="auto"/>
            <w:noWrap/>
            <w:vAlign w:val="center"/>
          </w:tcPr>
          <w:p w14:paraId="34C32B0B" w14:textId="77777777" w:rsidR="00E87A2A" w:rsidRPr="00281656" w:rsidRDefault="00E87A2A" w:rsidP="007B4BF5">
            <w:pPr>
              <w:spacing w:after="0" w:line="240" w:lineRule="auto"/>
              <w:jc w:val="center"/>
              <w:rPr>
                <w:rFonts w:ascii="Calibri" w:eastAsia="Times New Roman" w:hAnsi="Calibri" w:cs="Times New Roman"/>
                <w:b/>
                <w:bCs/>
                <w:color w:val="000000"/>
              </w:rPr>
            </w:pPr>
            <w:r w:rsidRPr="00281656">
              <w:rPr>
                <w:rFonts w:ascii="Calibri" w:eastAsia="Times New Roman" w:hAnsi="Calibri" w:cs="Times New Roman"/>
                <w:b/>
                <w:bCs/>
                <w:color w:val="000000"/>
              </w:rPr>
              <w:t>9,062</w:t>
            </w:r>
          </w:p>
        </w:tc>
      </w:tr>
    </w:tbl>
    <w:p w14:paraId="303E154C" w14:textId="77777777" w:rsidR="00E87A2A" w:rsidRDefault="00E87A2A" w:rsidP="00E87A2A"/>
    <w:p w14:paraId="58C3CBCA" w14:textId="04040A81" w:rsidR="00E87A2A" w:rsidRPr="007F2528" w:rsidRDefault="007D0115" w:rsidP="007D0115">
      <w:pPr>
        <w:pStyle w:val="Caption"/>
      </w:pPr>
      <w:bookmarkStart w:id="378" w:name="_Toc75943066"/>
      <w:bookmarkStart w:id="379" w:name="_Toc77776108"/>
      <w:r>
        <w:t xml:space="preserve">Table </w:t>
      </w:r>
      <w:fldSimple w:instr=" SEQ Table \* ARABIC ">
        <w:r w:rsidR="00AA3031">
          <w:rPr>
            <w:noProof/>
          </w:rPr>
          <w:t>12</w:t>
        </w:r>
      </w:fldSimple>
      <w:r>
        <w:t xml:space="preserve">. </w:t>
      </w:r>
      <w:r w:rsidR="00E87A2A" w:rsidRPr="007F2528">
        <w:t>Synthetic cannabinoid powder annual seizure quantity (Grams)</w:t>
      </w:r>
      <w:bookmarkEnd w:id="378"/>
      <w:bookmarkEnd w:id="379"/>
    </w:p>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340"/>
        <w:gridCol w:w="1340"/>
        <w:gridCol w:w="1340"/>
      </w:tblGrid>
      <w:tr w:rsidR="00E87A2A" w:rsidRPr="007A5544" w14:paraId="5BC045C4" w14:textId="77777777" w:rsidTr="007B4BF5">
        <w:trPr>
          <w:trHeight w:val="300"/>
        </w:trPr>
        <w:tc>
          <w:tcPr>
            <w:tcW w:w="920" w:type="dxa"/>
            <w:shd w:val="clear" w:color="auto" w:fill="DDEBF7"/>
            <w:noWrap/>
            <w:vAlign w:val="center"/>
            <w:hideMark/>
          </w:tcPr>
          <w:p w14:paraId="6A6DF3A6"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Year</w:t>
            </w:r>
          </w:p>
        </w:tc>
        <w:tc>
          <w:tcPr>
            <w:tcW w:w="1340" w:type="dxa"/>
            <w:shd w:val="clear" w:color="auto" w:fill="DDEBF7"/>
            <w:noWrap/>
            <w:vAlign w:val="center"/>
            <w:hideMark/>
          </w:tcPr>
          <w:p w14:paraId="17291D65"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Customs</w:t>
            </w:r>
          </w:p>
        </w:tc>
        <w:tc>
          <w:tcPr>
            <w:tcW w:w="1340" w:type="dxa"/>
            <w:shd w:val="clear" w:color="auto" w:fill="DDEBF7"/>
            <w:noWrap/>
            <w:vAlign w:val="center"/>
            <w:hideMark/>
          </w:tcPr>
          <w:p w14:paraId="1F59695C"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Police</w:t>
            </w:r>
          </w:p>
        </w:tc>
        <w:tc>
          <w:tcPr>
            <w:tcW w:w="1340" w:type="dxa"/>
            <w:shd w:val="clear" w:color="auto" w:fill="DDEBF7"/>
            <w:noWrap/>
            <w:vAlign w:val="center"/>
            <w:hideMark/>
          </w:tcPr>
          <w:p w14:paraId="442BB4B4"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Total</w:t>
            </w:r>
          </w:p>
        </w:tc>
      </w:tr>
      <w:tr w:rsidR="00E87A2A" w:rsidRPr="009D4255" w14:paraId="47BD885E" w14:textId="77777777" w:rsidTr="007B4BF5">
        <w:trPr>
          <w:trHeight w:val="300"/>
        </w:trPr>
        <w:tc>
          <w:tcPr>
            <w:tcW w:w="920" w:type="dxa"/>
            <w:shd w:val="clear" w:color="auto" w:fill="auto"/>
            <w:noWrap/>
            <w:vAlign w:val="center"/>
            <w:hideMark/>
          </w:tcPr>
          <w:p w14:paraId="7A414B03"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2016</w:t>
            </w:r>
          </w:p>
        </w:tc>
        <w:tc>
          <w:tcPr>
            <w:tcW w:w="1340" w:type="dxa"/>
            <w:shd w:val="clear" w:color="auto" w:fill="auto"/>
            <w:noWrap/>
            <w:vAlign w:val="center"/>
            <w:hideMark/>
          </w:tcPr>
          <w:p w14:paraId="35E7B7FD"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22,748</w:t>
            </w:r>
          </w:p>
        </w:tc>
        <w:tc>
          <w:tcPr>
            <w:tcW w:w="1340" w:type="dxa"/>
            <w:shd w:val="clear" w:color="auto" w:fill="auto"/>
            <w:noWrap/>
            <w:vAlign w:val="center"/>
            <w:hideMark/>
          </w:tcPr>
          <w:p w14:paraId="158A2F2B"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w:t>
            </w:r>
          </w:p>
        </w:tc>
        <w:tc>
          <w:tcPr>
            <w:tcW w:w="1340" w:type="dxa"/>
            <w:shd w:val="clear" w:color="auto" w:fill="auto"/>
            <w:noWrap/>
            <w:vAlign w:val="center"/>
            <w:hideMark/>
          </w:tcPr>
          <w:p w14:paraId="71403852"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22,749</w:t>
            </w:r>
          </w:p>
        </w:tc>
      </w:tr>
      <w:tr w:rsidR="00E87A2A" w:rsidRPr="009D4255" w14:paraId="7188EA84" w14:textId="77777777" w:rsidTr="007B4BF5">
        <w:trPr>
          <w:trHeight w:val="300"/>
        </w:trPr>
        <w:tc>
          <w:tcPr>
            <w:tcW w:w="920" w:type="dxa"/>
            <w:shd w:val="clear" w:color="auto" w:fill="auto"/>
            <w:noWrap/>
            <w:vAlign w:val="center"/>
            <w:hideMark/>
          </w:tcPr>
          <w:p w14:paraId="4D254B40"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2017</w:t>
            </w:r>
          </w:p>
        </w:tc>
        <w:tc>
          <w:tcPr>
            <w:tcW w:w="1340" w:type="dxa"/>
            <w:shd w:val="clear" w:color="auto" w:fill="auto"/>
            <w:noWrap/>
            <w:vAlign w:val="center"/>
            <w:hideMark/>
          </w:tcPr>
          <w:p w14:paraId="2AC4AC92"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11,449</w:t>
            </w:r>
          </w:p>
        </w:tc>
        <w:tc>
          <w:tcPr>
            <w:tcW w:w="1340" w:type="dxa"/>
            <w:shd w:val="clear" w:color="auto" w:fill="auto"/>
            <w:noWrap/>
            <w:vAlign w:val="center"/>
            <w:hideMark/>
          </w:tcPr>
          <w:p w14:paraId="561D1A1B"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2,028</w:t>
            </w:r>
          </w:p>
        </w:tc>
        <w:tc>
          <w:tcPr>
            <w:tcW w:w="1340" w:type="dxa"/>
            <w:shd w:val="clear" w:color="auto" w:fill="auto"/>
            <w:noWrap/>
            <w:vAlign w:val="center"/>
            <w:hideMark/>
          </w:tcPr>
          <w:p w14:paraId="357F5912"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13,477</w:t>
            </w:r>
          </w:p>
        </w:tc>
      </w:tr>
      <w:tr w:rsidR="00E87A2A" w:rsidRPr="009D4255" w14:paraId="5041BA64" w14:textId="77777777" w:rsidTr="007B4BF5">
        <w:trPr>
          <w:trHeight w:val="300"/>
        </w:trPr>
        <w:tc>
          <w:tcPr>
            <w:tcW w:w="920" w:type="dxa"/>
            <w:shd w:val="clear" w:color="auto" w:fill="auto"/>
            <w:noWrap/>
            <w:vAlign w:val="center"/>
            <w:hideMark/>
          </w:tcPr>
          <w:p w14:paraId="2C99C822"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2018</w:t>
            </w:r>
          </w:p>
        </w:tc>
        <w:tc>
          <w:tcPr>
            <w:tcW w:w="1340" w:type="dxa"/>
            <w:shd w:val="clear" w:color="auto" w:fill="auto"/>
            <w:noWrap/>
            <w:vAlign w:val="center"/>
            <w:hideMark/>
          </w:tcPr>
          <w:p w14:paraId="229F95B2"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6,239</w:t>
            </w:r>
          </w:p>
        </w:tc>
        <w:tc>
          <w:tcPr>
            <w:tcW w:w="1340" w:type="dxa"/>
            <w:shd w:val="clear" w:color="auto" w:fill="auto"/>
            <w:noWrap/>
            <w:vAlign w:val="center"/>
            <w:hideMark/>
          </w:tcPr>
          <w:p w14:paraId="5F3EA33B"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0</w:t>
            </w:r>
          </w:p>
        </w:tc>
        <w:tc>
          <w:tcPr>
            <w:tcW w:w="1340" w:type="dxa"/>
            <w:shd w:val="clear" w:color="auto" w:fill="auto"/>
            <w:noWrap/>
            <w:vAlign w:val="center"/>
            <w:hideMark/>
          </w:tcPr>
          <w:p w14:paraId="0108F8E9"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6,239</w:t>
            </w:r>
          </w:p>
        </w:tc>
      </w:tr>
      <w:tr w:rsidR="00E87A2A" w:rsidRPr="009D4255" w14:paraId="2B632865" w14:textId="77777777" w:rsidTr="007B4BF5">
        <w:trPr>
          <w:trHeight w:val="300"/>
        </w:trPr>
        <w:tc>
          <w:tcPr>
            <w:tcW w:w="920" w:type="dxa"/>
            <w:shd w:val="clear" w:color="auto" w:fill="auto"/>
            <w:noWrap/>
            <w:vAlign w:val="center"/>
            <w:hideMark/>
          </w:tcPr>
          <w:p w14:paraId="04986D91"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2019</w:t>
            </w:r>
          </w:p>
        </w:tc>
        <w:tc>
          <w:tcPr>
            <w:tcW w:w="1340" w:type="dxa"/>
            <w:shd w:val="clear" w:color="auto" w:fill="auto"/>
            <w:noWrap/>
            <w:vAlign w:val="center"/>
            <w:hideMark/>
          </w:tcPr>
          <w:p w14:paraId="66B00D72"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10,192</w:t>
            </w:r>
          </w:p>
        </w:tc>
        <w:tc>
          <w:tcPr>
            <w:tcW w:w="1340" w:type="dxa"/>
            <w:shd w:val="clear" w:color="auto" w:fill="auto"/>
            <w:noWrap/>
            <w:vAlign w:val="center"/>
            <w:hideMark/>
          </w:tcPr>
          <w:p w14:paraId="0B00A9FB"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48</w:t>
            </w:r>
          </w:p>
        </w:tc>
        <w:tc>
          <w:tcPr>
            <w:tcW w:w="1340" w:type="dxa"/>
            <w:shd w:val="clear" w:color="auto" w:fill="auto"/>
            <w:noWrap/>
            <w:vAlign w:val="center"/>
            <w:hideMark/>
          </w:tcPr>
          <w:p w14:paraId="3385B450"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10,240</w:t>
            </w:r>
          </w:p>
        </w:tc>
      </w:tr>
      <w:tr w:rsidR="00E87A2A" w:rsidRPr="009D4255" w14:paraId="3CD292F8" w14:textId="77777777" w:rsidTr="007B4BF5">
        <w:trPr>
          <w:trHeight w:val="300"/>
        </w:trPr>
        <w:tc>
          <w:tcPr>
            <w:tcW w:w="920" w:type="dxa"/>
            <w:shd w:val="clear" w:color="auto" w:fill="auto"/>
            <w:noWrap/>
            <w:vAlign w:val="center"/>
            <w:hideMark/>
          </w:tcPr>
          <w:p w14:paraId="16118189" w14:textId="77777777" w:rsidR="00E87A2A" w:rsidRPr="003B79E2" w:rsidRDefault="00E87A2A" w:rsidP="007B4BF5">
            <w:pPr>
              <w:spacing w:after="0" w:line="240" w:lineRule="auto"/>
              <w:rPr>
                <w:rFonts w:ascii="Calibri" w:eastAsia="Times New Roman" w:hAnsi="Calibri" w:cs="Times New Roman"/>
                <w:b/>
                <w:bCs/>
                <w:color w:val="000000"/>
              </w:rPr>
            </w:pPr>
            <w:r w:rsidRPr="003B79E2">
              <w:rPr>
                <w:rFonts w:ascii="Calibri" w:eastAsia="Times New Roman" w:hAnsi="Calibri" w:cs="Times New Roman"/>
                <w:b/>
                <w:bCs/>
                <w:color w:val="000000"/>
              </w:rPr>
              <w:t>2020</w:t>
            </w:r>
          </w:p>
        </w:tc>
        <w:tc>
          <w:tcPr>
            <w:tcW w:w="1340" w:type="dxa"/>
            <w:shd w:val="clear" w:color="auto" w:fill="auto"/>
            <w:noWrap/>
            <w:vAlign w:val="center"/>
          </w:tcPr>
          <w:p w14:paraId="38A32C40"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6,968</w:t>
            </w:r>
          </w:p>
        </w:tc>
        <w:tc>
          <w:tcPr>
            <w:tcW w:w="1340" w:type="dxa"/>
            <w:shd w:val="clear" w:color="auto" w:fill="auto"/>
            <w:noWrap/>
            <w:vAlign w:val="center"/>
          </w:tcPr>
          <w:p w14:paraId="66E57807" w14:textId="77777777" w:rsidR="00E87A2A" w:rsidRPr="00D4540D" w:rsidRDefault="00E87A2A" w:rsidP="007B4BF5">
            <w:pPr>
              <w:spacing w:after="0" w:line="240" w:lineRule="auto"/>
              <w:jc w:val="center"/>
              <w:rPr>
                <w:rFonts w:ascii="Calibri" w:eastAsia="Times New Roman" w:hAnsi="Calibri" w:cs="Times New Roman"/>
                <w:color w:val="000000"/>
              </w:rPr>
            </w:pPr>
            <w:r w:rsidRPr="00D4540D">
              <w:rPr>
                <w:rFonts w:ascii="Calibri" w:eastAsia="Times New Roman" w:hAnsi="Calibri" w:cs="Times New Roman"/>
                <w:color w:val="000000"/>
              </w:rPr>
              <w:t>0</w:t>
            </w:r>
          </w:p>
        </w:tc>
        <w:tc>
          <w:tcPr>
            <w:tcW w:w="1340" w:type="dxa"/>
            <w:shd w:val="clear" w:color="auto" w:fill="auto"/>
            <w:noWrap/>
            <w:vAlign w:val="center"/>
          </w:tcPr>
          <w:p w14:paraId="0C3A8A26" w14:textId="77777777" w:rsidR="00E87A2A" w:rsidRPr="003B79E2" w:rsidRDefault="00E87A2A" w:rsidP="007B4BF5">
            <w:pPr>
              <w:spacing w:after="0" w:line="240" w:lineRule="auto"/>
              <w:jc w:val="center"/>
              <w:rPr>
                <w:rFonts w:ascii="Calibri" w:eastAsia="Times New Roman" w:hAnsi="Calibri" w:cs="Times New Roman"/>
                <w:b/>
                <w:bCs/>
                <w:color w:val="000000"/>
              </w:rPr>
            </w:pPr>
            <w:r w:rsidRPr="003B79E2">
              <w:rPr>
                <w:rFonts w:ascii="Calibri" w:eastAsia="Times New Roman" w:hAnsi="Calibri" w:cs="Times New Roman"/>
                <w:b/>
                <w:bCs/>
                <w:color w:val="000000"/>
              </w:rPr>
              <w:t>6,968</w:t>
            </w:r>
          </w:p>
        </w:tc>
      </w:tr>
    </w:tbl>
    <w:p w14:paraId="770C5CF5" w14:textId="77777777" w:rsidR="00CA2104" w:rsidRDefault="00CA2104" w:rsidP="00E87A2A">
      <w:pPr>
        <w:spacing w:after="120" w:line="240" w:lineRule="auto"/>
        <w:jc w:val="both"/>
        <w:rPr>
          <w:i/>
          <w:iCs/>
        </w:rPr>
      </w:pPr>
    </w:p>
    <w:p w14:paraId="323B0BE2" w14:textId="77777777" w:rsidR="00792994" w:rsidRDefault="00792994" w:rsidP="007D0115">
      <w:pPr>
        <w:pStyle w:val="Caption"/>
      </w:pPr>
    </w:p>
    <w:p w14:paraId="243EAAB6" w14:textId="77777777" w:rsidR="00792994" w:rsidRDefault="00792994" w:rsidP="007D0115">
      <w:pPr>
        <w:pStyle w:val="Caption"/>
      </w:pPr>
    </w:p>
    <w:p w14:paraId="0EA1735A" w14:textId="4180FBFD" w:rsidR="00E87A2A" w:rsidRPr="00821C18" w:rsidRDefault="007D0115" w:rsidP="007D0115">
      <w:pPr>
        <w:pStyle w:val="Caption"/>
        <w:rPr>
          <w:i/>
          <w:iCs/>
        </w:rPr>
      </w:pPr>
      <w:bookmarkStart w:id="380" w:name="_Toc75943067"/>
      <w:bookmarkStart w:id="381" w:name="_Toc77776109"/>
      <w:r>
        <w:lastRenderedPageBreak/>
        <w:t xml:space="preserve">Table </w:t>
      </w:r>
      <w:fldSimple w:instr=" SEQ Table \* ARABIC ">
        <w:r w:rsidR="00AA3031">
          <w:rPr>
            <w:noProof/>
          </w:rPr>
          <w:t>13</w:t>
        </w:r>
      </w:fldSimple>
      <w:r>
        <w:t xml:space="preserve">. </w:t>
      </w:r>
      <w:r w:rsidR="00E87A2A" w:rsidRPr="007F2528">
        <w:t>MDMA annual seizure quantity</w:t>
      </w:r>
      <w:bookmarkEnd w:id="380"/>
      <w:bookmarkEnd w:id="381"/>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415"/>
        <w:gridCol w:w="1265"/>
        <w:gridCol w:w="1415"/>
        <w:gridCol w:w="1265"/>
        <w:gridCol w:w="1415"/>
        <w:gridCol w:w="1265"/>
      </w:tblGrid>
      <w:tr w:rsidR="00E87A2A" w:rsidRPr="00F34C81" w14:paraId="3F22B5B0" w14:textId="77777777" w:rsidTr="007B4BF5">
        <w:trPr>
          <w:trHeight w:val="300"/>
        </w:trPr>
        <w:tc>
          <w:tcPr>
            <w:tcW w:w="920" w:type="dxa"/>
            <w:shd w:val="clear" w:color="auto" w:fill="DDEBF7"/>
            <w:noWrap/>
            <w:vAlign w:val="center"/>
            <w:hideMark/>
          </w:tcPr>
          <w:p w14:paraId="62D2FFB6" w14:textId="77777777" w:rsidR="00E87A2A" w:rsidRPr="00F34C81" w:rsidRDefault="00E87A2A" w:rsidP="007B4BF5">
            <w:pPr>
              <w:spacing w:after="0" w:line="240" w:lineRule="auto"/>
              <w:rPr>
                <w:rFonts w:ascii="Times New Roman" w:eastAsia="Times New Roman" w:hAnsi="Times New Roman" w:cs="Times New Roman"/>
                <w:sz w:val="24"/>
                <w:szCs w:val="24"/>
              </w:rPr>
            </w:pPr>
          </w:p>
        </w:tc>
        <w:tc>
          <w:tcPr>
            <w:tcW w:w="2680" w:type="dxa"/>
            <w:gridSpan w:val="2"/>
            <w:shd w:val="clear" w:color="auto" w:fill="DDEBF7"/>
            <w:noWrap/>
            <w:vAlign w:val="center"/>
            <w:hideMark/>
          </w:tcPr>
          <w:p w14:paraId="53A8D5EA"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rPr>
              <w:t>Customs</w:t>
            </w:r>
          </w:p>
        </w:tc>
        <w:tc>
          <w:tcPr>
            <w:tcW w:w="2680" w:type="dxa"/>
            <w:gridSpan w:val="2"/>
            <w:shd w:val="clear" w:color="auto" w:fill="DDEBF7"/>
            <w:noWrap/>
            <w:vAlign w:val="center"/>
            <w:hideMark/>
          </w:tcPr>
          <w:p w14:paraId="0F2341F6"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Police</w:t>
            </w:r>
          </w:p>
        </w:tc>
        <w:tc>
          <w:tcPr>
            <w:tcW w:w="2680" w:type="dxa"/>
            <w:gridSpan w:val="2"/>
            <w:shd w:val="clear" w:color="auto" w:fill="DDEBF7"/>
            <w:noWrap/>
            <w:vAlign w:val="center"/>
            <w:hideMark/>
          </w:tcPr>
          <w:p w14:paraId="56A62693"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Total</w:t>
            </w:r>
          </w:p>
        </w:tc>
      </w:tr>
      <w:tr w:rsidR="00E87A2A" w:rsidRPr="00F34C81" w14:paraId="047D5CE8" w14:textId="77777777" w:rsidTr="007B4BF5">
        <w:trPr>
          <w:trHeight w:val="600"/>
        </w:trPr>
        <w:tc>
          <w:tcPr>
            <w:tcW w:w="920" w:type="dxa"/>
            <w:shd w:val="clear" w:color="auto" w:fill="DDEBF7"/>
            <w:noWrap/>
            <w:vAlign w:val="center"/>
            <w:hideMark/>
          </w:tcPr>
          <w:p w14:paraId="31A0E413"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Year</w:t>
            </w:r>
          </w:p>
        </w:tc>
        <w:tc>
          <w:tcPr>
            <w:tcW w:w="1415" w:type="dxa"/>
            <w:shd w:val="clear" w:color="auto" w:fill="DDEBF7"/>
            <w:noWrap/>
            <w:vAlign w:val="center"/>
            <w:hideMark/>
          </w:tcPr>
          <w:p w14:paraId="045A7D28"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Powders (Kg)</w:t>
            </w:r>
          </w:p>
        </w:tc>
        <w:tc>
          <w:tcPr>
            <w:tcW w:w="1265" w:type="dxa"/>
            <w:shd w:val="clear" w:color="auto" w:fill="DDEBF7"/>
            <w:vAlign w:val="center"/>
            <w:hideMark/>
          </w:tcPr>
          <w:p w14:paraId="1E800940"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Tablets/</w:t>
            </w:r>
            <w:r w:rsidRPr="00821C18">
              <w:rPr>
                <w:rFonts w:ascii="Calibri" w:eastAsia="Times New Roman" w:hAnsi="Calibri" w:cs="Times New Roman"/>
                <w:b/>
                <w:bCs/>
                <w:color w:val="000000"/>
              </w:rPr>
              <w:br/>
              <w:t>Capsules</w:t>
            </w:r>
          </w:p>
        </w:tc>
        <w:tc>
          <w:tcPr>
            <w:tcW w:w="1415" w:type="dxa"/>
            <w:shd w:val="clear" w:color="auto" w:fill="DDEBF7"/>
            <w:noWrap/>
            <w:vAlign w:val="center"/>
            <w:hideMark/>
          </w:tcPr>
          <w:p w14:paraId="30EFAC0D"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Powders (Kg)</w:t>
            </w:r>
          </w:p>
        </w:tc>
        <w:tc>
          <w:tcPr>
            <w:tcW w:w="1265" w:type="dxa"/>
            <w:shd w:val="clear" w:color="auto" w:fill="DDEBF7"/>
            <w:vAlign w:val="center"/>
            <w:hideMark/>
          </w:tcPr>
          <w:p w14:paraId="75A8335B"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Tablets/</w:t>
            </w:r>
            <w:r w:rsidRPr="00821C18">
              <w:rPr>
                <w:rFonts w:ascii="Calibri" w:eastAsia="Times New Roman" w:hAnsi="Calibri" w:cs="Times New Roman"/>
                <w:b/>
                <w:bCs/>
                <w:color w:val="000000"/>
              </w:rPr>
              <w:br/>
              <w:t>Capsules</w:t>
            </w:r>
          </w:p>
        </w:tc>
        <w:tc>
          <w:tcPr>
            <w:tcW w:w="1415" w:type="dxa"/>
            <w:shd w:val="clear" w:color="auto" w:fill="DDEBF7"/>
            <w:noWrap/>
            <w:vAlign w:val="center"/>
            <w:hideMark/>
          </w:tcPr>
          <w:p w14:paraId="50C71295"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Powders (Kg)</w:t>
            </w:r>
          </w:p>
        </w:tc>
        <w:tc>
          <w:tcPr>
            <w:tcW w:w="1265" w:type="dxa"/>
            <w:shd w:val="clear" w:color="auto" w:fill="DDEBF7"/>
            <w:vAlign w:val="center"/>
            <w:hideMark/>
          </w:tcPr>
          <w:p w14:paraId="0020C6F5" w14:textId="77777777" w:rsidR="00E87A2A" w:rsidRPr="00821C18" w:rsidRDefault="00E87A2A" w:rsidP="007B4BF5">
            <w:pPr>
              <w:spacing w:after="0" w:line="240" w:lineRule="auto"/>
              <w:jc w:val="center"/>
              <w:rPr>
                <w:rFonts w:ascii="Calibri" w:eastAsia="Times New Roman" w:hAnsi="Calibri" w:cs="Times New Roman"/>
                <w:b/>
                <w:bCs/>
                <w:color w:val="000000"/>
              </w:rPr>
            </w:pPr>
            <w:r w:rsidRPr="00821C18">
              <w:rPr>
                <w:rFonts w:ascii="Calibri" w:eastAsia="Times New Roman" w:hAnsi="Calibri" w:cs="Times New Roman"/>
                <w:b/>
                <w:bCs/>
                <w:color w:val="000000"/>
              </w:rPr>
              <w:t>Tablets/</w:t>
            </w:r>
            <w:r w:rsidRPr="00821C18">
              <w:rPr>
                <w:rFonts w:ascii="Calibri" w:eastAsia="Times New Roman" w:hAnsi="Calibri" w:cs="Times New Roman"/>
                <w:b/>
                <w:bCs/>
                <w:color w:val="000000"/>
              </w:rPr>
              <w:br/>
              <w:t>Capsules</w:t>
            </w:r>
          </w:p>
        </w:tc>
      </w:tr>
      <w:tr w:rsidR="00E87A2A" w:rsidRPr="00F34C81" w14:paraId="70DC1EBF" w14:textId="77777777" w:rsidTr="007B4BF5">
        <w:trPr>
          <w:trHeight w:val="300"/>
        </w:trPr>
        <w:tc>
          <w:tcPr>
            <w:tcW w:w="920" w:type="dxa"/>
            <w:shd w:val="clear" w:color="auto" w:fill="auto"/>
            <w:noWrap/>
            <w:vAlign w:val="center"/>
            <w:hideMark/>
          </w:tcPr>
          <w:p w14:paraId="5861D0BA"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2016</w:t>
            </w:r>
          </w:p>
        </w:tc>
        <w:tc>
          <w:tcPr>
            <w:tcW w:w="1415" w:type="dxa"/>
            <w:shd w:val="clear" w:color="auto" w:fill="auto"/>
            <w:noWrap/>
            <w:vAlign w:val="center"/>
            <w:hideMark/>
          </w:tcPr>
          <w:p w14:paraId="3B914A5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w:t>
            </w:r>
          </w:p>
        </w:tc>
        <w:tc>
          <w:tcPr>
            <w:tcW w:w="1265" w:type="dxa"/>
            <w:shd w:val="clear" w:color="auto" w:fill="auto"/>
            <w:noWrap/>
            <w:vAlign w:val="center"/>
            <w:hideMark/>
          </w:tcPr>
          <w:p w14:paraId="4FDEE731"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7,947</w:t>
            </w:r>
          </w:p>
        </w:tc>
        <w:tc>
          <w:tcPr>
            <w:tcW w:w="1415" w:type="dxa"/>
            <w:shd w:val="clear" w:color="auto" w:fill="auto"/>
            <w:noWrap/>
            <w:vAlign w:val="center"/>
            <w:hideMark/>
          </w:tcPr>
          <w:p w14:paraId="355823F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w:t>
            </w:r>
          </w:p>
        </w:tc>
        <w:tc>
          <w:tcPr>
            <w:tcW w:w="1265" w:type="dxa"/>
            <w:shd w:val="clear" w:color="auto" w:fill="auto"/>
            <w:noWrap/>
            <w:vAlign w:val="center"/>
            <w:hideMark/>
          </w:tcPr>
          <w:p w14:paraId="11694494"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324</w:t>
            </w:r>
          </w:p>
        </w:tc>
        <w:tc>
          <w:tcPr>
            <w:tcW w:w="1415" w:type="dxa"/>
            <w:shd w:val="clear" w:color="auto" w:fill="auto"/>
            <w:noWrap/>
            <w:vAlign w:val="center"/>
            <w:hideMark/>
          </w:tcPr>
          <w:p w14:paraId="0E78A6E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w:t>
            </w:r>
          </w:p>
        </w:tc>
        <w:tc>
          <w:tcPr>
            <w:tcW w:w="1265" w:type="dxa"/>
            <w:shd w:val="clear" w:color="auto" w:fill="auto"/>
            <w:noWrap/>
            <w:vAlign w:val="center"/>
            <w:hideMark/>
          </w:tcPr>
          <w:p w14:paraId="45A89EA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8,271</w:t>
            </w:r>
          </w:p>
        </w:tc>
      </w:tr>
      <w:tr w:rsidR="00E87A2A" w:rsidRPr="00F34C81" w14:paraId="53EB4896" w14:textId="77777777" w:rsidTr="007B4BF5">
        <w:trPr>
          <w:trHeight w:val="300"/>
        </w:trPr>
        <w:tc>
          <w:tcPr>
            <w:tcW w:w="920" w:type="dxa"/>
            <w:shd w:val="clear" w:color="auto" w:fill="auto"/>
            <w:noWrap/>
            <w:vAlign w:val="center"/>
            <w:hideMark/>
          </w:tcPr>
          <w:p w14:paraId="479485AA"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2017</w:t>
            </w:r>
          </w:p>
        </w:tc>
        <w:tc>
          <w:tcPr>
            <w:tcW w:w="1415" w:type="dxa"/>
            <w:shd w:val="clear" w:color="auto" w:fill="auto"/>
            <w:noWrap/>
            <w:vAlign w:val="center"/>
            <w:hideMark/>
          </w:tcPr>
          <w:p w14:paraId="27D8A36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39</w:t>
            </w:r>
          </w:p>
        </w:tc>
        <w:tc>
          <w:tcPr>
            <w:tcW w:w="1265" w:type="dxa"/>
            <w:shd w:val="clear" w:color="auto" w:fill="auto"/>
            <w:noWrap/>
            <w:vAlign w:val="center"/>
            <w:hideMark/>
          </w:tcPr>
          <w:p w14:paraId="3D015553"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4,407</w:t>
            </w:r>
          </w:p>
        </w:tc>
        <w:tc>
          <w:tcPr>
            <w:tcW w:w="1415" w:type="dxa"/>
            <w:shd w:val="clear" w:color="auto" w:fill="auto"/>
            <w:noWrap/>
            <w:vAlign w:val="center"/>
            <w:hideMark/>
          </w:tcPr>
          <w:p w14:paraId="77331FC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w:t>
            </w:r>
          </w:p>
        </w:tc>
        <w:tc>
          <w:tcPr>
            <w:tcW w:w="1265" w:type="dxa"/>
            <w:shd w:val="clear" w:color="auto" w:fill="auto"/>
            <w:noWrap/>
            <w:vAlign w:val="center"/>
            <w:hideMark/>
          </w:tcPr>
          <w:p w14:paraId="7F55F757"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1,631</w:t>
            </w:r>
          </w:p>
        </w:tc>
        <w:tc>
          <w:tcPr>
            <w:tcW w:w="1415" w:type="dxa"/>
            <w:shd w:val="clear" w:color="auto" w:fill="auto"/>
            <w:noWrap/>
            <w:vAlign w:val="center"/>
            <w:hideMark/>
          </w:tcPr>
          <w:p w14:paraId="1FFEC8B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40</w:t>
            </w:r>
          </w:p>
        </w:tc>
        <w:tc>
          <w:tcPr>
            <w:tcW w:w="1265" w:type="dxa"/>
            <w:shd w:val="clear" w:color="auto" w:fill="auto"/>
            <w:noWrap/>
            <w:vAlign w:val="center"/>
            <w:hideMark/>
          </w:tcPr>
          <w:p w14:paraId="0C66843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6,037</w:t>
            </w:r>
          </w:p>
        </w:tc>
      </w:tr>
      <w:tr w:rsidR="00E87A2A" w:rsidRPr="00F34C81" w14:paraId="3F246189" w14:textId="77777777" w:rsidTr="007B4BF5">
        <w:trPr>
          <w:trHeight w:val="300"/>
        </w:trPr>
        <w:tc>
          <w:tcPr>
            <w:tcW w:w="920" w:type="dxa"/>
            <w:shd w:val="clear" w:color="auto" w:fill="auto"/>
            <w:noWrap/>
            <w:vAlign w:val="center"/>
            <w:hideMark/>
          </w:tcPr>
          <w:p w14:paraId="044C8015"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2018</w:t>
            </w:r>
          </w:p>
        </w:tc>
        <w:tc>
          <w:tcPr>
            <w:tcW w:w="1415" w:type="dxa"/>
            <w:shd w:val="clear" w:color="auto" w:fill="auto"/>
            <w:noWrap/>
            <w:vAlign w:val="center"/>
            <w:hideMark/>
          </w:tcPr>
          <w:p w14:paraId="05DA5417"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88</w:t>
            </w:r>
          </w:p>
        </w:tc>
        <w:tc>
          <w:tcPr>
            <w:tcW w:w="1265" w:type="dxa"/>
            <w:shd w:val="clear" w:color="auto" w:fill="auto"/>
            <w:noWrap/>
            <w:vAlign w:val="center"/>
            <w:hideMark/>
          </w:tcPr>
          <w:p w14:paraId="23D89B2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23,115</w:t>
            </w:r>
          </w:p>
        </w:tc>
        <w:tc>
          <w:tcPr>
            <w:tcW w:w="1415" w:type="dxa"/>
            <w:shd w:val="clear" w:color="auto" w:fill="auto"/>
            <w:noWrap/>
            <w:vAlign w:val="center"/>
            <w:hideMark/>
          </w:tcPr>
          <w:p w14:paraId="47C4BB6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w:t>
            </w:r>
          </w:p>
        </w:tc>
        <w:tc>
          <w:tcPr>
            <w:tcW w:w="1265" w:type="dxa"/>
            <w:shd w:val="clear" w:color="auto" w:fill="auto"/>
            <w:noWrap/>
            <w:vAlign w:val="center"/>
            <w:hideMark/>
          </w:tcPr>
          <w:p w14:paraId="6156138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1,222</w:t>
            </w:r>
          </w:p>
        </w:tc>
        <w:tc>
          <w:tcPr>
            <w:tcW w:w="1415" w:type="dxa"/>
            <w:shd w:val="clear" w:color="auto" w:fill="auto"/>
            <w:noWrap/>
            <w:vAlign w:val="center"/>
            <w:hideMark/>
          </w:tcPr>
          <w:p w14:paraId="3E388D0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99</w:t>
            </w:r>
          </w:p>
        </w:tc>
        <w:tc>
          <w:tcPr>
            <w:tcW w:w="1265" w:type="dxa"/>
            <w:shd w:val="clear" w:color="auto" w:fill="auto"/>
            <w:noWrap/>
            <w:vAlign w:val="center"/>
            <w:hideMark/>
          </w:tcPr>
          <w:p w14:paraId="1A86C44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24,337</w:t>
            </w:r>
          </w:p>
        </w:tc>
      </w:tr>
      <w:tr w:rsidR="00E87A2A" w:rsidRPr="00F34C81" w14:paraId="32449FBA" w14:textId="77777777" w:rsidTr="007B4BF5">
        <w:trPr>
          <w:trHeight w:val="300"/>
        </w:trPr>
        <w:tc>
          <w:tcPr>
            <w:tcW w:w="920" w:type="dxa"/>
            <w:shd w:val="clear" w:color="auto" w:fill="auto"/>
            <w:noWrap/>
            <w:vAlign w:val="center"/>
            <w:hideMark/>
          </w:tcPr>
          <w:p w14:paraId="71BE8FC5"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2019</w:t>
            </w:r>
          </w:p>
        </w:tc>
        <w:tc>
          <w:tcPr>
            <w:tcW w:w="1415" w:type="dxa"/>
            <w:shd w:val="clear" w:color="auto" w:fill="auto"/>
            <w:noWrap/>
            <w:vAlign w:val="center"/>
            <w:hideMark/>
          </w:tcPr>
          <w:p w14:paraId="369E71F3"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684</w:t>
            </w:r>
          </w:p>
        </w:tc>
        <w:tc>
          <w:tcPr>
            <w:tcW w:w="1265" w:type="dxa"/>
            <w:shd w:val="clear" w:color="auto" w:fill="auto"/>
            <w:noWrap/>
            <w:vAlign w:val="center"/>
            <w:hideMark/>
          </w:tcPr>
          <w:p w14:paraId="77865B01"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6,764</w:t>
            </w:r>
          </w:p>
        </w:tc>
        <w:tc>
          <w:tcPr>
            <w:tcW w:w="1415" w:type="dxa"/>
            <w:shd w:val="clear" w:color="auto" w:fill="auto"/>
            <w:noWrap/>
            <w:vAlign w:val="center"/>
            <w:hideMark/>
          </w:tcPr>
          <w:p w14:paraId="785E2C7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w:t>
            </w:r>
          </w:p>
        </w:tc>
        <w:tc>
          <w:tcPr>
            <w:tcW w:w="1265" w:type="dxa"/>
            <w:shd w:val="clear" w:color="auto" w:fill="auto"/>
            <w:noWrap/>
            <w:vAlign w:val="center"/>
            <w:hideMark/>
          </w:tcPr>
          <w:p w14:paraId="4FDDFD2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3,332</w:t>
            </w:r>
          </w:p>
        </w:tc>
        <w:tc>
          <w:tcPr>
            <w:tcW w:w="1415" w:type="dxa"/>
            <w:shd w:val="clear" w:color="auto" w:fill="auto"/>
            <w:noWrap/>
            <w:vAlign w:val="center"/>
            <w:hideMark/>
          </w:tcPr>
          <w:p w14:paraId="12455BC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692</w:t>
            </w:r>
          </w:p>
        </w:tc>
        <w:tc>
          <w:tcPr>
            <w:tcW w:w="1265" w:type="dxa"/>
            <w:shd w:val="clear" w:color="auto" w:fill="auto"/>
            <w:noWrap/>
            <w:vAlign w:val="center"/>
            <w:hideMark/>
          </w:tcPr>
          <w:p w14:paraId="09DE5A8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10,096</w:t>
            </w:r>
          </w:p>
        </w:tc>
      </w:tr>
      <w:tr w:rsidR="00E87A2A" w:rsidRPr="00F34C81" w14:paraId="273953A0" w14:textId="77777777" w:rsidTr="007B4BF5">
        <w:trPr>
          <w:trHeight w:val="300"/>
        </w:trPr>
        <w:tc>
          <w:tcPr>
            <w:tcW w:w="920" w:type="dxa"/>
            <w:shd w:val="clear" w:color="auto" w:fill="auto"/>
            <w:noWrap/>
            <w:vAlign w:val="center"/>
            <w:hideMark/>
          </w:tcPr>
          <w:p w14:paraId="0DB06782"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2020</w:t>
            </w:r>
          </w:p>
        </w:tc>
        <w:tc>
          <w:tcPr>
            <w:tcW w:w="1415" w:type="dxa"/>
            <w:shd w:val="clear" w:color="auto" w:fill="auto"/>
            <w:noWrap/>
            <w:vAlign w:val="center"/>
          </w:tcPr>
          <w:p w14:paraId="437F9DE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298</w:t>
            </w:r>
          </w:p>
        </w:tc>
        <w:tc>
          <w:tcPr>
            <w:tcW w:w="1265" w:type="dxa"/>
            <w:shd w:val="clear" w:color="auto" w:fill="auto"/>
            <w:noWrap/>
            <w:vAlign w:val="center"/>
          </w:tcPr>
          <w:p w14:paraId="11D958D3"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3,374</w:t>
            </w:r>
          </w:p>
        </w:tc>
        <w:tc>
          <w:tcPr>
            <w:tcW w:w="1415" w:type="dxa"/>
            <w:shd w:val="clear" w:color="auto" w:fill="auto"/>
            <w:noWrap/>
            <w:vAlign w:val="center"/>
          </w:tcPr>
          <w:p w14:paraId="5A314914"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w:t>
            </w:r>
          </w:p>
        </w:tc>
        <w:tc>
          <w:tcPr>
            <w:tcW w:w="1265" w:type="dxa"/>
            <w:shd w:val="clear" w:color="auto" w:fill="auto"/>
            <w:noWrap/>
            <w:vAlign w:val="center"/>
          </w:tcPr>
          <w:p w14:paraId="2FCD677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6,160</w:t>
            </w:r>
          </w:p>
        </w:tc>
        <w:tc>
          <w:tcPr>
            <w:tcW w:w="1415" w:type="dxa"/>
            <w:shd w:val="clear" w:color="auto" w:fill="auto"/>
            <w:noWrap/>
            <w:vAlign w:val="center"/>
          </w:tcPr>
          <w:p w14:paraId="7607535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308</w:t>
            </w:r>
          </w:p>
        </w:tc>
        <w:tc>
          <w:tcPr>
            <w:tcW w:w="1265" w:type="dxa"/>
            <w:shd w:val="clear" w:color="auto" w:fill="auto"/>
            <w:noWrap/>
            <w:vAlign w:val="center"/>
          </w:tcPr>
          <w:p w14:paraId="1214136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9,534</w:t>
            </w:r>
          </w:p>
        </w:tc>
      </w:tr>
      <w:tr w:rsidR="00E87A2A" w:rsidRPr="00F34C81" w14:paraId="09F37E83" w14:textId="77777777" w:rsidTr="007B4BF5">
        <w:trPr>
          <w:trHeight w:val="300"/>
        </w:trPr>
        <w:tc>
          <w:tcPr>
            <w:tcW w:w="920" w:type="dxa"/>
            <w:shd w:val="clear" w:color="auto" w:fill="auto"/>
            <w:noWrap/>
            <w:vAlign w:val="center"/>
          </w:tcPr>
          <w:p w14:paraId="5D49E89B" w14:textId="77777777" w:rsidR="00E87A2A" w:rsidRPr="00F34C81" w:rsidRDefault="00E87A2A" w:rsidP="007B4BF5">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2021*</w:t>
            </w:r>
          </w:p>
        </w:tc>
        <w:tc>
          <w:tcPr>
            <w:tcW w:w="1415" w:type="dxa"/>
            <w:shd w:val="clear" w:color="auto" w:fill="auto"/>
            <w:noWrap/>
            <w:vAlign w:val="center"/>
          </w:tcPr>
          <w:p w14:paraId="776D6716"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w:t>
            </w:r>
          </w:p>
        </w:tc>
        <w:tc>
          <w:tcPr>
            <w:tcW w:w="1265" w:type="dxa"/>
            <w:shd w:val="clear" w:color="auto" w:fill="auto"/>
            <w:noWrap/>
            <w:vAlign w:val="center"/>
          </w:tcPr>
          <w:p w14:paraId="3B189C98"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2,421</w:t>
            </w:r>
          </w:p>
        </w:tc>
        <w:tc>
          <w:tcPr>
            <w:tcW w:w="1415" w:type="dxa"/>
            <w:shd w:val="clear" w:color="auto" w:fill="auto"/>
            <w:noWrap/>
            <w:vAlign w:val="center"/>
          </w:tcPr>
          <w:p w14:paraId="3A3C58BF"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1265" w:type="dxa"/>
            <w:shd w:val="clear" w:color="auto" w:fill="auto"/>
            <w:noWrap/>
            <w:vAlign w:val="center"/>
          </w:tcPr>
          <w:p w14:paraId="382575F2"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6,212</w:t>
            </w:r>
          </w:p>
        </w:tc>
        <w:tc>
          <w:tcPr>
            <w:tcW w:w="1415" w:type="dxa"/>
            <w:shd w:val="clear" w:color="auto" w:fill="auto"/>
            <w:noWrap/>
            <w:vAlign w:val="center"/>
          </w:tcPr>
          <w:p w14:paraId="102AA799"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w:t>
            </w:r>
          </w:p>
        </w:tc>
        <w:tc>
          <w:tcPr>
            <w:tcW w:w="1265" w:type="dxa"/>
            <w:shd w:val="clear" w:color="auto" w:fill="auto"/>
            <w:noWrap/>
            <w:vAlign w:val="center"/>
          </w:tcPr>
          <w:p w14:paraId="4F6C5486" w14:textId="77777777" w:rsidR="00E87A2A" w:rsidRPr="00F34C81" w:rsidRDefault="00E87A2A" w:rsidP="007B4BF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8,633</w:t>
            </w:r>
          </w:p>
        </w:tc>
      </w:tr>
    </w:tbl>
    <w:p w14:paraId="5D49154B" w14:textId="77777777" w:rsidR="00E87A2A" w:rsidRDefault="00E87A2A" w:rsidP="00E87A2A">
      <w:pPr>
        <w:rPr>
          <w:b/>
          <w:i/>
        </w:rPr>
      </w:pPr>
    </w:p>
    <w:p w14:paraId="57C2D6CE" w14:textId="5A4D7C6E" w:rsidR="00E87A2A" w:rsidRPr="007F2528" w:rsidRDefault="00E87A2A" w:rsidP="00E87A2A">
      <w:pPr>
        <w:rPr>
          <w:b/>
        </w:rPr>
      </w:pPr>
      <w:r w:rsidRPr="007F2528">
        <w:rPr>
          <w:b/>
        </w:rPr>
        <w:t>Wastewater testing</w:t>
      </w:r>
    </w:p>
    <w:p w14:paraId="68B780A3" w14:textId="042A2E38" w:rsidR="00E87A2A" w:rsidRPr="00821C18" w:rsidRDefault="007D0115" w:rsidP="007D0115">
      <w:pPr>
        <w:pStyle w:val="Caption"/>
        <w:rPr>
          <w:i/>
          <w:iCs/>
        </w:rPr>
      </w:pPr>
      <w:bookmarkStart w:id="382" w:name="_Toc75943068"/>
      <w:bookmarkStart w:id="383" w:name="_Toc77776110"/>
      <w:r>
        <w:t xml:space="preserve">Table </w:t>
      </w:r>
      <w:fldSimple w:instr=" SEQ Table \* ARABIC ">
        <w:r w:rsidR="00AA3031">
          <w:rPr>
            <w:noProof/>
          </w:rPr>
          <w:t>14</w:t>
        </w:r>
      </w:fldSimple>
      <w:r>
        <w:t xml:space="preserve">. </w:t>
      </w:r>
      <w:r w:rsidR="00E87A2A" w:rsidRPr="007F2528">
        <w:t>Wastewater total load (Grams)</w:t>
      </w:r>
      <w:bookmarkEnd w:id="382"/>
      <w:bookmarkEnd w:id="383"/>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2126"/>
        <w:gridCol w:w="2127"/>
      </w:tblGrid>
      <w:tr w:rsidR="00E87A2A" w:rsidRPr="00F34C81" w14:paraId="3E12A1B9" w14:textId="77777777" w:rsidTr="007B4BF5">
        <w:trPr>
          <w:trHeight w:val="300"/>
        </w:trPr>
        <w:tc>
          <w:tcPr>
            <w:tcW w:w="1838" w:type="dxa"/>
            <w:shd w:val="clear" w:color="auto" w:fill="DDEBF7"/>
            <w:noWrap/>
            <w:vAlign w:val="center"/>
            <w:hideMark/>
          </w:tcPr>
          <w:p w14:paraId="62CEEB51"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Date</w:t>
            </w:r>
          </w:p>
        </w:tc>
        <w:tc>
          <w:tcPr>
            <w:tcW w:w="2126" w:type="dxa"/>
            <w:shd w:val="clear" w:color="auto" w:fill="DDEBF7"/>
            <w:vAlign w:val="center"/>
            <w:hideMark/>
          </w:tcPr>
          <w:p w14:paraId="3726772A" w14:textId="77777777" w:rsidR="00E87A2A" w:rsidRPr="00F34C81" w:rsidRDefault="00E87A2A" w:rsidP="007B4BF5">
            <w:pPr>
              <w:spacing w:after="0" w:line="240" w:lineRule="auto"/>
              <w:jc w:val="center"/>
              <w:rPr>
                <w:rFonts w:ascii="Calibri" w:eastAsia="Times New Roman" w:hAnsi="Calibri" w:cs="Times New Roman"/>
                <w:b/>
                <w:bCs/>
                <w:color w:val="000000"/>
              </w:rPr>
            </w:pPr>
            <w:r w:rsidRPr="00F34C81">
              <w:rPr>
                <w:rFonts w:ascii="Calibri" w:eastAsia="Times New Roman" w:hAnsi="Calibri" w:cs="Times New Roman"/>
                <w:b/>
                <w:bCs/>
                <w:color w:val="000000"/>
              </w:rPr>
              <w:t>Methamphetamine</w:t>
            </w:r>
          </w:p>
        </w:tc>
        <w:tc>
          <w:tcPr>
            <w:tcW w:w="2126" w:type="dxa"/>
            <w:shd w:val="clear" w:color="auto" w:fill="DDEBF7"/>
            <w:vAlign w:val="center"/>
            <w:hideMark/>
          </w:tcPr>
          <w:p w14:paraId="59B65FF2" w14:textId="77777777" w:rsidR="00E87A2A" w:rsidRPr="00F34C81" w:rsidRDefault="00E87A2A" w:rsidP="007B4BF5">
            <w:pPr>
              <w:spacing w:after="0" w:line="240" w:lineRule="auto"/>
              <w:jc w:val="center"/>
              <w:rPr>
                <w:rFonts w:ascii="Calibri" w:eastAsia="Times New Roman" w:hAnsi="Calibri" w:cs="Times New Roman"/>
                <w:b/>
                <w:bCs/>
                <w:color w:val="000000"/>
              </w:rPr>
            </w:pPr>
            <w:r w:rsidRPr="00F34C81">
              <w:rPr>
                <w:rFonts w:ascii="Calibri" w:eastAsia="Times New Roman" w:hAnsi="Calibri" w:cs="Times New Roman"/>
                <w:b/>
                <w:bCs/>
                <w:color w:val="000000"/>
              </w:rPr>
              <w:t>MDMA</w:t>
            </w:r>
          </w:p>
        </w:tc>
        <w:tc>
          <w:tcPr>
            <w:tcW w:w="2127" w:type="dxa"/>
            <w:shd w:val="clear" w:color="auto" w:fill="DDEBF7"/>
            <w:vAlign w:val="center"/>
            <w:hideMark/>
          </w:tcPr>
          <w:p w14:paraId="448BB103" w14:textId="77777777" w:rsidR="00E87A2A" w:rsidRPr="00F34C81" w:rsidRDefault="00E87A2A" w:rsidP="007B4BF5">
            <w:pPr>
              <w:spacing w:after="0" w:line="240" w:lineRule="auto"/>
              <w:jc w:val="center"/>
              <w:rPr>
                <w:rFonts w:ascii="Calibri" w:eastAsia="Times New Roman" w:hAnsi="Calibri" w:cs="Times New Roman"/>
                <w:b/>
                <w:bCs/>
                <w:color w:val="000000"/>
              </w:rPr>
            </w:pPr>
            <w:r w:rsidRPr="00F34C81">
              <w:rPr>
                <w:rFonts w:ascii="Calibri" w:eastAsia="Times New Roman" w:hAnsi="Calibri" w:cs="Times New Roman"/>
                <w:b/>
                <w:bCs/>
                <w:color w:val="000000"/>
              </w:rPr>
              <w:t>Cocaine</w:t>
            </w:r>
          </w:p>
        </w:tc>
      </w:tr>
      <w:tr w:rsidR="00E87A2A" w:rsidRPr="00F34C81" w14:paraId="6334D680" w14:textId="77777777" w:rsidTr="007B4BF5">
        <w:trPr>
          <w:trHeight w:val="300"/>
        </w:trPr>
        <w:tc>
          <w:tcPr>
            <w:tcW w:w="1838" w:type="dxa"/>
            <w:shd w:val="clear" w:color="auto" w:fill="auto"/>
            <w:noWrap/>
            <w:vAlign w:val="center"/>
            <w:hideMark/>
          </w:tcPr>
          <w:p w14:paraId="6BD303AE"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December 2018</w:t>
            </w:r>
          </w:p>
        </w:tc>
        <w:tc>
          <w:tcPr>
            <w:tcW w:w="2126" w:type="dxa"/>
            <w:shd w:val="clear" w:color="auto" w:fill="auto"/>
            <w:noWrap/>
            <w:vAlign w:val="center"/>
            <w:hideMark/>
          </w:tcPr>
          <w:p w14:paraId="1941235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12,214</w:t>
            </w:r>
          </w:p>
        </w:tc>
        <w:tc>
          <w:tcPr>
            <w:tcW w:w="2126" w:type="dxa"/>
            <w:shd w:val="clear" w:color="auto" w:fill="auto"/>
            <w:noWrap/>
            <w:vAlign w:val="center"/>
            <w:hideMark/>
          </w:tcPr>
          <w:p w14:paraId="72F6C26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3,739</w:t>
            </w:r>
          </w:p>
        </w:tc>
        <w:tc>
          <w:tcPr>
            <w:tcW w:w="2127" w:type="dxa"/>
            <w:shd w:val="clear" w:color="auto" w:fill="auto"/>
            <w:noWrap/>
            <w:vAlign w:val="center"/>
            <w:hideMark/>
          </w:tcPr>
          <w:p w14:paraId="7F8D1A3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642</w:t>
            </w:r>
          </w:p>
        </w:tc>
      </w:tr>
      <w:tr w:rsidR="00E87A2A" w:rsidRPr="00F34C81" w14:paraId="1CCAD82B" w14:textId="77777777" w:rsidTr="007B4BF5">
        <w:trPr>
          <w:trHeight w:val="300"/>
        </w:trPr>
        <w:tc>
          <w:tcPr>
            <w:tcW w:w="1838" w:type="dxa"/>
            <w:shd w:val="clear" w:color="auto" w:fill="auto"/>
            <w:noWrap/>
            <w:vAlign w:val="center"/>
            <w:hideMark/>
          </w:tcPr>
          <w:p w14:paraId="7D15D0D3"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January 2019</w:t>
            </w:r>
          </w:p>
        </w:tc>
        <w:tc>
          <w:tcPr>
            <w:tcW w:w="2126" w:type="dxa"/>
            <w:shd w:val="clear" w:color="auto" w:fill="auto"/>
            <w:noWrap/>
            <w:vAlign w:val="center"/>
            <w:hideMark/>
          </w:tcPr>
          <w:p w14:paraId="48F9372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14,546</w:t>
            </w:r>
          </w:p>
        </w:tc>
        <w:tc>
          <w:tcPr>
            <w:tcW w:w="2126" w:type="dxa"/>
            <w:shd w:val="clear" w:color="auto" w:fill="auto"/>
            <w:noWrap/>
            <w:vAlign w:val="center"/>
            <w:hideMark/>
          </w:tcPr>
          <w:p w14:paraId="1BC66B07"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4,168</w:t>
            </w:r>
          </w:p>
        </w:tc>
        <w:tc>
          <w:tcPr>
            <w:tcW w:w="2127" w:type="dxa"/>
            <w:shd w:val="clear" w:color="auto" w:fill="auto"/>
            <w:noWrap/>
            <w:vAlign w:val="center"/>
            <w:hideMark/>
          </w:tcPr>
          <w:p w14:paraId="2604AF6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730</w:t>
            </w:r>
          </w:p>
        </w:tc>
      </w:tr>
      <w:tr w:rsidR="00E87A2A" w:rsidRPr="00F34C81" w14:paraId="07D40190" w14:textId="77777777" w:rsidTr="007B4BF5">
        <w:trPr>
          <w:trHeight w:val="300"/>
        </w:trPr>
        <w:tc>
          <w:tcPr>
            <w:tcW w:w="1838" w:type="dxa"/>
            <w:shd w:val="clear" w:color="auto" w:fill="auto"/>
            <w:noWrap/>
            <w:vAlign w:val="center"/>
            <w:hideMark/>
          </w:tcPr>
          <w:p w14:paraId="2CD3AEDB"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February 2019</w:t>
            </w:r>
          </w:p>
        </w:tc>
        <w:tc>
          <w:tcPr>
            <w:tcW w:w="2126" w:type="dxa"/>
            <w:shd w:val="clear" w:color="auto" w:fill="auto"/>
            <w:noWrap/>
            <w:vAlign w:val="center"/>
            <w:hideMark/>
          </w:tcPr>
          <w:p w14:paraId="4FE7DB1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14,021</w:t>
            </w:r>
          </w:p>
        </w:tc>
        <w:tc>
          <w:tcPr>
            <w:tcW w:w="2126" w:type="dxa"/>
            <w:shd w:val="clear" w:color="auto" w:fill="auto"/>
            <w:noWrap/>
            <w:vAlign w:val="center"/>
            <w:hideMark/>
          </w:tcPr>
          <w:p w14:paraId="0CCD629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6,018</w:t>
            </w:r>
          </w:p>
        </w:tc>
        <w:tc>
          <w:tcPr>
            <w:tcW w:w="2127" w:type="dxa"/>
            <w:shd w:val="clear" w:color="auto" w:fill="auto"/>
            <w:noWrap/>
            <w:vAlign w:val="center"/>
            <w:hideMark/>
          </w:tcPr>
          <w:p w14:paraId="3E4C152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953</w:t>
            </w:r>
          </w:p>
        </w:tc>
      </w:tr>
      <w:tr w:rsidR="00E87A2A" w:rsidRPr="00F34C81" w14:paraId="6997E234" w14:textId="77777777" w:rsidTr="007B4BF5">
        <w:trPr>
          <w:trHeight w:val="300"/>
        </w:trPr>
        <w:tc>
          <w:tcPr>
            <w:tcW w:w="1838" w:type="dxa"/>
            <w:shd w:val="clear" w:color="auto" w:fill="auto"/>
            <w:noWrap/>
            <w:vAlign w:val="center"/>
            <w:hideMark/>
          </w:tcPr>
          <w:p w14:paraId="6B4CB1F9"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March 2019</w:t>
            </w:r>
          </w:p>
        </w:tc>
        <w:tc>
          <w:tcPr>
            <w:tcW w:w="2126" w:type="dxa"/>
            <w:shd w:val="clear" w:color="auto" w:fill="auto"/>
            <w:noWrap/>
            <w:vAlign w:val="center"/>
            <w:hideMark/>
          </w:tcPr>
          <w:p w14:paraId="7854944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13,336</w:t>
            </w:r>
          </w:p>
        </w:tc>
        <w:tc>
          <w:tcPr>
            <w:tcW w:w="2126" w:type="dxa"/>
            <w:shd w:val="clear" w:color="auto" w:fill="auto"/>
            <w:noWrap/>
            <w:vAlign w:val="center"/>
            <w:hideMark/>
          </w:tcPr>
          <w:p w14:paraId="5FC9DE61"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6,018</w:t>
            </w:r>
          </w:p>
        </w:tc>
        <w:tc>
          <w:tcPr>
            <w:tcW w:w="2127" w:type="dxa"/>
            <w:shd w:val="clear" w:color="auto" w:fill="auto"/>
            <w:noWrap/>
            <w:vAlign w:val="center"/>
            <w:hideMark/>
          </w:tcPr>
          <w:p w14:paraId="5E65270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894</w:t>
            </w:r>
          </w:p>
        </w:tc>
      </w:tr>
      <w:tr w:rsidR="00E87A2A" w:rsidRPr="00F34C81" w14:paraId="7653E147" w14:textId="77777777" w:rsidTr="007B4BF5">
        <w:trPr>
          <w:trHeight w:val="300"/>
        </w:trPr>
        <w:tc>
          <w:tcPr>
            <w:tcW w:w="1838" w:type="dxa"/>
            <w:shd w:val="clear" w:color="auto" w:fill="auto"/>
            <w:noWrap/>
            <w:vAlign w:val="center"/>
            <w:hideMark/>
          </w:tcPr>
          <w:p w14:paraId="02CDE5D9"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April 2019</w:t>
            </w:r>
          </w:p>
        </w:tc>
        <w:tc>
          <w:tcPr>
            <w:tcW w:w="2126" w:type="dxa"/>
            <w:shd w:val="clear" w:color="auto" w:fill="auto"/>
            <w:noWrap/>
            <w:vAlign w:val="center"/>
            <w:hideMark/>
          </w:tcPr>
          <w:p w14:paraId="2FF75A1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14,167</w:t>
            </w:r>
          </w:p>
        </w:tc>
        <w:tc>
          <w:tcPr>
            <w:tcW w:w="2126" w:type="dxa"/>
            <w:shd w:val="clear" w:color="auto" w:fill="auto"/>
            <w:noWrap/>
            <w:vAlign w:val="center"/>
            <w:hideMark/>
          </w:tcPr>
          <w:p w14:paraId="3F4847A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4,735</w:t>
            </w:r>
          </w:p>
        </w:tc>
        <w:tc>
          <w:tcPr>
            <w:tcW w:w="2127" w:type="dxa"/>
            <w:shd w:val="clear" w:color="auto" w:fill="auto"/>
            <w:noWrap/>
            <w:vAlign w:val="center"/>
            <w:hideMark/>
          </w:tcPr>
          <w:p w14:paraId="52F0AE1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677</w:t>
            </w:r>
          </w:p>
        </w:tc>
      </w:tr>
      <w:tr w:rsidR="00E87A2A" w:rsidRPr="00F34C81" w14:paraId="527A2DC5" w14:textId="77777777" w:rsidTr="007B4BF5">
        <w:trPr>
          <w:trHeight w:val="300"/>
        </w:trPr>
        <w:tc>
          <w:tcPr>
            <w:tcW w:w="1838" w:type="dxa"/>
            <w:shd w:val="clear" w:color="auto" w:fill="auto"/>
            <w:noWrap/>
            <w:vAlign w:val="center"/>
            <w:hideMark/>
          </w:tcPr>
          <w:p w14:paraId="0AF645BA"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May 2019</w:t>
            </w:r>
          </w:p>
        </w:tc>
        <w:tc>
          <w:tcPr>
            <w:tcW w:w="2126" w:type="dxa"/>
            <w:shd w:val="clear" w:color="auto" w:fill="auto"/>
            <w:noWrap/>
            <w:vAlign w:val="center"/>
            <w:hideMark/>
          </w:tcPr>
          <w:p w14:paraId="24DD977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13,048</w:t>
            </w:r>
          </w:p>
        </w:tc>
        <w:tc>
          <w:tcPr>
            <w:tcW w:w="2126" w:type="dxa"/>
            <w:shd w:val="clear" w:color="auto" w:fill="auto"/>
            <w:noWrap/>
            <w:vAlign w:val="center"/>
            <w:hideMark/>
          </w:tcPr>
          <w:p w14:paraId="640847C2"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4,563</w:t>
            </w:r>
          </w:p>
        </w:tc>
        <w:tc>
          <w:tcPr>
            <w:tcW w:w="2127" w:type="dxa"/>
            <w:shd w:val="clear" w:color="auto" w:fill="auto"/>
            <w:noWrap/>
            <w:vAlign w:val="center"/>
            <w:hideMark/>
          </w:tcPr>
          <w:p w14:paraId="2CB5B8A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616</w:t>
            </w:r>
          </w:p>
        </w:tc>
      </w:tr>
      <w:tr w:rsidR="00E87A2A" w:rsidRPr="00F34C81" w14:paraId="1F0E41F0" w14:textId="77777777" w:rsidTr="007B4BF5">
        <w:trPr>
          <w:trHeight w:val="300"/>
        </w:trPr>
        <w:tc>
          <w:tcPr>
            <w:tcW w:w="1838" w:type="dxa"/>
            <w:shd w:val="clear" w:color="auto" w:fill="auto"/>
            <w:noWrap/>
            <w:vAlign w:val="center"/>
            <w:hideMark/>
          </w:tcPr>
          <w:p w14:paraId="343ABA81"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June 2019</w:t>
            </w:r>
          </w:p>
        </w:tc>
        <w:tc>
          <w:tcPr>
            <w:tcW w:w="2126" w:type="dxa"/>
            <w:shd w:val="clear" w:color="auto" w:fill="auto"/>
            <w:noWrap/>
            <w:vAlign w:val="center"/>
            <w:hideMark/>
          </w:tcPr>
          <w:p w14:paraId="4C11BBD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16,906</w:t>
            </w:r>
          </w:p>
        </w:tc>
        <w:tc>
          <w:tcPr>
            <w:tcW w:w="2126" w:type="dxa"/>
            <w:shd w:val="clear" w:color="auto" w:fill="auto"/>
            <w:noWrap/>
            <w:vAlign w:val="center"/>
            <w:hideMark/>
          </w:tcPr>
          <w:p w14:paraId="5F5FB37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8,852</w:t>
            </w:r>
          </w:p>
        </w:tc>
        <w:tc>
          <w:tcPr>
            <w:tcW w:w="2127" w:type="dxa"/>
            <w:shd w:val="clear" w:color="auto" w:fill="auto"/>
            <w:noWrap/>
            <w:vAlign w:val="center"/>
            <w:hideMark/>
          </w:tcPr>
          <w:p w14:paraId="7574DB4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1,081</w:t>
            </w:r>
          </w:p>
        </w:tc>
      </w:tr>
      <w:tr w:rsidR="00E87A2A" w:rsidRPr="00F34C81" w14:paraId="6324903F" w14:textId="77777777" w:rsidTr="007B4BF5">
        <w:trPr>
          <w:trHeight w:val="300"/>
        </w:trPr>
        <w:tc>
          <w:tcPr>
            <w:tcW w:w="1838" w:type="dxa"/>
            <w:shd w:val="clear" w:color="auto" w:fill="auto"/>
            <w:noWrap/>
            <w:vAlign w:val="center"/>
            <w:hideMark/>
          </w:tcPr>
          <w:p w14:paraId="01045EBF"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July 2019</w:t>
            </w:r>
          </w:p>
        </w:tc>
        <w:tc>
          <w:tcPr>
            <w:tcW w:w="2126" w:type="dxa"/>
            <w:shd w:val="clear" w:color="auto" w:fill="auto"/>
            <w:noWrap/>
            <w:vAlign w:val="center"/>
            <w:hideMark/>
          </w:tcPr>
          <w:p w14:paraId="1FB36E9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16,862</w:t>
            </w:r>
          </w:p>
        </w:tc>
        <w:tc>
          <w:tcPr>
            <w:tcW w:w="2126" w:type="dxa"/>
            <w:shd w:val="clear" w:color="auto" w:fill="auto"/>
            <w:noWrap/>
            <w:vAlign w:val="center"/>
            <w:hideMark/>
          </w:tcPr>
          <w:p w14:paraId="41A6B9A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10,380</w:t>
            </w:r>
          </w:p>
        </w:tc>
        <w:tc>
          <w:tcPr>
            <w:tcW w:w="2127" w:type="dxa"/>
            <w:shd w:val="clear" w:color="auto" w:fill="auto"/>
            <w:noWrap/>
            <w:vAlign w:val="center"/>
            <w:hideMark/>
          </w:tcPr>
          <w:p w14:paraId="342DFBE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1,025</w:t>
            </w:r>
          </w:p>
        </w:tc>
      </w:tr>
      <w:tr w:rsidR="00E87A2A" w:rsidRPr="00F34C81" w14:paraId="32C05B5E" w14:textId="77777777" w:rsidTr="007B4BF5">
        <w:trPr>
          <w:trHeight w:val="300"/>
        </w:trPr>
        <w:tc>
          <w:tcPr>
            <w:tcW w:w="1838" w:type="dxa"/>
            <w:shd w:val="clear" w:color="auto" w:fill="auto"/>
            <w:noWrap/>
            <w:vAlign w:val="center"/>
            <w:hideMark/>
          </w:tcPr>
          <w:p w14:paraId="0CBEB2DB"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August 2019</w:t>
            </w:r>
          </w:p>
        </w:tc>
        <w:tc>
          <w:tcPr>
            <w:tcW w:w="2126" w:type="dxa"/>
            <w:shd w:val="clear" w:color="auto" w:fill="auto"/>
            <w:noWrap/>
            <w:vAlign w:val="center"/>
            <w:hideMark/>
          </w:tcPr>
          <w:p w14:paraId="0AE0399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14,787</w:t>
            </w:r>
          </w:p>
        </w:tc>
        <w:tc>
          <w:tcPr>
            <w:tcW w:w="2126" w:type="dxa"/>
            <w:shd w:val="clear" w:color="auto" w:fill="auto"/>
            <w:noWrap/>
            <w:vAlign w:val="center"/>
            <w:hideMark/>
          </w:tcPr>
          <w:p w14:paraId="570E8BB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7,604</w:t>
            </w:r>
          </w:p>
        </w:tc>
        <w:tc>
          <w:tcPr>
            <w:tcW w:w="2127" w:type="dxa"/>
            <w:shd w:val="clear" w:color="auto" w:fill="auto"/>
            <w:noWrap/>
            <w:vAlign w:val="center"/>
            <w:hideMark/>
          </w:tcPr>
          <w:p w14:paraId="6412728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903</w:t>
            </w:r>
          </w:p>
        </w:tc>
      </w:tr>
      <w:tr w:rsidR="00E87A2A" w:rsidRPr="00F34C81" w14:paraId="49038294" w14:textId="77777777" w:rsidTr="007B4BF5">
        <w:trPr>
          <w:trHeight w:val="300"/>
        </w:trPr>
        <w:tc>
          <w:tcPr>
            <w:tcW w:w="1838" w:type="dxa"/>
            <w:shd w:val="clear" w:color="auto" w:fill="auto"/>
            <w:noWrap/>
            <w:vAlign w:val="center"/>
            <w:hideMark/>
          </w:tcPr>
          <w:p w14:paraId="187DF314"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September 2019</w:t>
            </w:r>
          </w:p>
        </w:tc>
        <w:tc>
          <w:tcPr>
            <w:tcW w:w="2126" w:type="dxa"/>
            <w:shd w:val="clear" w:color="auto" w:fill="auto"/>
            <w:noWrap/>
            <w:vAlign w:val="center"/>
            <w:hideMark/>
          </w:tcPr>
          <w:p w14:paraId="32E2F62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11,339</w:t>
            </w:r>
          </w:p>
        </w:tc>
        <w:tc>
          <w:tcPr>
            <w:tcW w:w="2126" w:type="dxa"/>
            <w:shd w:val="clear" w:color="auto" w:fill="auto"/>
            <w:noWrap/>
            <w:vAlign w:val="center"/>
            <w:hideMark/>
          </w:tcPr>
          <w:p w14:paraId="4809C5E7"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8,114</w:t>
            </w:r>
          </w:p>
        </w:tc>
        <w:tc>
          <w:tcPr>
            <w:tcW w:w="2127" w:type="dxa"/>
            <w:shd w:val="clear" w:color="auto" w:fill="auto"/>
            <w:noWrap/>
            <w:vAlign w:val="center"/>
            <w:hideMark/>
          </w:tcPr>
          <w:p w14:paraId="39FA0E4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1,000</w:t>
            </w:r>
          </w:p>
        </w:tc>
      </w:tr>
      <w:tr w:rsidR="00E87A2A" w:rsidRPr="00F34C81" w14:paraId="35250E9F" w14:textId="77777777" w:rsidTr="007B4BF5">
        <w:trPr>
          <w:trHeight w:val="300"/>
        </w:trPr>
        <w:tc>
          <w:tcPr>
            <w:tcW w:w="1838" w:type="dxa"/>
            <w:shd w:val="clear" w:color="auto" w:fill="auto"/>
            <w:noWrap/>
            <w:vAlign w:val="center"/>
            <w:hideMark/>
          </w:tcPr>
          <w:p w14:paraId="26B5431B"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October 2019</w:t>
            </w:r>
          </w:p>
        </w:tc>
        <w:tc>
          <w:tcPr>
            <w:tcW w:w="2126" w:type="dxa"/>
            <w:shd w:val="clear" w:color="auto" w:fill="auto"/>
            <w:noWrap/>
            <w:vAlign w:val="center"/>
            <w:hideMark/>
          </w:tcPr>
          <w:p w14:paraId="12DC266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14,927</w:t>
            </w:r>
          </w:p>
        </w:tc>
        <w:tc>
          <w:tcPr>
            <w:tcW w:w="2126" w:type="dxa"/>
            <w:shd w:val="clear" w:color="auto" w:fill="auto"/>
            <w:noWrap/>
            <w:vAlign w:val="center"/>
            <w:hideMark/>
          </w:tcPr>
          <w:p w14:paraId="22B9C463"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8,899</w:t>
            </w:r>
          </w:p>
        </w:tc>
        <w:tc>
          <w:tcPr>
            <w:tcW w:w="2127" w:type="dxa"/>
            <w:shd w:val="clear" w:color="auto" w:fill="auto"/>
            <w:noWrap/>
            <w:vAlign w:val="center"/>
            <w:hideMark/>
          </w:tcPr>
          <w:p w14:paraId="4BAFDFA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1,214</w:t>
            </w:r>
          </w:p>
        </w:tc>
      </w:tr>
      <w:tr w:rsidR="00E87A2A" w:rsidRPr="00F34C81" w14:paraId="09A85EF2" w14:textId="77777777" w:rsidTr="007B4BF5">
        <w:trPr>
          <w:trHeight w:val="300"/>
        </w:trPr>
        <w:tc>
          <w:tcPr>
            <w:tcW w:w="1838" w:type="dxa"/>
            <w:shd w:val="clear" w:color="auto" w:fill="auto"/>
            <w:noWrap/>
            <w:vAlign w:val="center"/>
            <w:hideMark/>
          </w:tcPr>
          <w:p w14:paraId="69AEBFA1"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November 2019</w:t>
            </w:r>
          </w:p>
        </w:tc>
        <w:tc>
          <w:tcPr>
            <w:tcW w:w="2126" w:type="dxa"/>
            <w:shd w:val="clear" w:color="auto" w:fill="auto"/>
            <w:noWrap/>
            <w:vAlign w:val="center"/>
            <w:hideMark/>
          </w:tcPr>
          <w:p w14:paraId="6FFA637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13,698</w:t>
            </w:r>
          </w:p>
        </w:tc>
        <w:tc>
          <w:tcPr>
            <w:tcW w:w="2126" w:type="dxa"/>
            <w:shd w:val="clear" w:color="auto" w:fill="auto"/>
            <w:noWrap/>
            <w:vAlign w:val="center"/>
            <w:hideMark/>
          </w:tcPr>
          <w:p w14:paraId="73C6E694"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8,771</w:t>
            </w:r>
          </w:p>
        </w:tc>
        <w:tc>
          <w:tcPr>
            <w:tcW w:w="2127" w:type="dxa"/>
            <w:shd w:val="clear" w:color="auto" w:fill="auto"/>
            <w:noWrap/>
            <w:vAlign w:val="center"/>
            <w:hideMark/>
          </w:tcPr>
          <w:p w14:paraId="3088C2D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1,290</w:t>
            </w:r>
          </w:p>
        </w:tc>
      </w:tr>
      <w:tr w:rsidR="00E87A2A" w:rsidRPr="00F34C81" w14:paraId="4D9A3495" w14:textId="77777777" w:rsidTr="007B4BF5">
        <w:trPr>
          <w:trHeight w:val="300"/>
        </w:trPr>
        <w:tc>
          <w:tcPr>
            <w:tcW w:w="1838" w:type="dxa"/>
            <w:shd w:val="clear" w:color="auto" w:fill="auto"/>
            <w:noWrap/>
            <w:vAlign w:val="center"/>
            <w:hideMark/>
          </w:tcPr>
          <w:p w14:paraId="1B4F2868"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December 2019</w:t>
            </w:r>
          </w:p>
        </w:tc>
        <w:tc>
          <w:tcPr>
            <w:tcW w:w="2126" w:type="dxa"/>
            <w:shd w:val="clear" w:color="auto" w:fill="auto"/>
            <w:noWrap/>
            <w:vAlign w:val="center"/>
            <w:hideMark/>
          </w:tcPr>
          <w:p w14:paraId="46CDE3F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13,354</w:t>
            </w:r>
          </w:p>
        </w:tc>
        <w:tc>
          <w:tcPr>
            <w:tcW w:w="2126" w:type="dxa"/>
            <w:shd w:val="clear" w:color="auto" w:fill="auto"/>
            <w:noWrap/>
            <w:vAlign w:val="center"/>
            <w:hideMark/>
          </w:tcPr>
          <w:p w14:paraId="63B04251"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8,824</w:t>
            </w:r>
          </w:p>
        </w:tc>
        <w:tc>
          <w:tcPr>
            <w:tcW w:w="2127" w:type="dxa"/>
            <w:shd w:val="clear" w:color="auto" w:fill="auto"/>
            <w:noWrap/>
            <w:vAlign w:val="center"/>
            <w:hideMark/>
          </w:tcPr>
          <w:p w14:paraId="7BECFC5B"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1,393</w:t>
            </w:r>
          </w:p>
        </w:tc>
      </w:tr>
      <w:tr w:rsidR="00E87A2A" w:rsidRPr="00F34C81" w14:paraId="33F72721" w14:textId="77777777" w:rsidTr="007B4BF5">
        <w:trPr>
          <w:trHeight w:val="300"/>
        </w:trPr>
        <w:tc>
          <w:tcPr>
            <w:tcW w:w="1838" w:type="dxa"/>
            <w:shd w:val="clear" w:color="auto" w:fill="auto"/>
            <w:noWrap/>
            <w:vAlign w:val="center"/>
            <w:hideMark/>
          </w:tcPr>
          <w:p w14:paraId="2FE005FB"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January 2020</w:t>
            </w:r>
          </w:p>
        </w:tc>
        <w:tc>
          <w:tcPr>
            <w:tcW w:w="2126" w:type="dxa"/>
            <w:shd w:val="clear" w:color="auto" w:fill="auto"/>
            <w:noWrap/>
            <w:vAlign w:val="center"/>
            <w:hideMark/>
          </w:tcPr>
          <w:p w14:paraId="40523D7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12,380</w:t>
            </w:r>
          </w:p>
        </w:tc>
        <w:tc>
          <w:tcPr>
            <w:tcW w:w="2126" w:type="dxa"/>
            <w:shd w:val="clear" w:color="auto" w:fill="auto"/>
            <w:noWrap/>
            <w:vAlign w:val="center"/>
            <w:hideMark/>
          </w:tcPr>
          <w:p w14:paraId="2E0C9217"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8,440</w:t>
            </w:r>
          </w:p>
        </w:tc>
        <w:tc>
          <w:tcPr>
            <w:tcW w:w="2127" w:type="dxa"/>
            <w:shd w:val="clear" w:color="auto" w:fill="auto"/>
            <w:noWrap/>
            <w:vAlign w:val="center"/>
            <w:hideMark/>
          </w:tcPr>
          <w:p w14:paraId="334D3501"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919</w:t>
            </w:r>
          </w:p>
        </w:tc>
      </w:tr>
      <w:tr w:rsidR="00E87A2A" w:rsidRPr="00F34C81" w14:paraId="277A8EB5" w14:textId="77777777" w:rsidTr="007B4BF5">
        <w:trPr>
          <w:trHeight w:val="300"/>
        </w:trPr>
        <w:tc>
          <w:tcPr>
            <w:tcW w:w="1838" w:type="dxa"/>
            <w:shd w:val="clear" w:color="auto" w:fill="auto"/>
            <w:noWrap/>
            <w:vAlign w:val="center"/>
            <w:hideMark/>
          </w:tcPr>
          <w:p w14:paraId="2BA4E692"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February 2020</w:t>
            </w:r>
          </w:p>
        </w:tc>
        <w:tc>
          <w:tcPr>
            <w:tcW w:w="2126" w:type="dxa"/>
            <w:shd w:val="clear" w:color="auto" w:fill="auto"/>
            <w:noWrap/>
            <w:vAlign w:val="center"/>
            <w:hideMark/>
          </w:tcPr>
          <w:p w14:paraId="702E30C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14,836</w:t>
            </w:r>
          </w:p>
        </w:tc>
        <w:tc>
          <w:tcPr>
            <w:tcW w:w="2126" w:type="dxa"/>
            <w:shd w:val="clear" w:color="auto" w:fill="auto"/>
            <w:noWrap/>
            <w:vAlign w:val="center"/>
            <w:hideMark/>
          </w:tcPr>
          <w:p w14:paraId="37111B0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11,834</w:t>
            </w:r>
          </w:p>
        </w:tc>
        <w:tc>
          <w:tcPr>
            <w:tcW w:w="2127" w:type="dxa"/>
            <w:shd w:val="clear" w:color="auto" w:fill="auto"/>
            <w:noWrap/>
            <w:vAlign w:val="center"/>
            <w:hideMark/>
          </w:tcPr>
          <w:p w14:paraId="2647B1B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912</w:t>
            </w:r>
          </w:p>
        </w:tc>
      </w:tr>
      <w:tr w:rsidR="00E87A2A" w:rsidRPr="00F34C81" w14:paraId="79046706" w14:textId="77777777" w:rsidTr="007B4BF5">
        <w:trPr>
          <w:trHeight w:val="300"/>
        </w:trPr>
        <w:tc>
          <w:tcPr>
            <w:tcW w:w="1838" w:type="dxa"/>
            <w:shd w:val="clear" w:color="auto" w:fill="auto"/>
            <w:noWrap/>
            <w:vAlign w:val="center"/>
            <w:hideMark/>
          </w:tcPr>
          <w:p w14:paraId="23C17093"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March 2020</w:t>
            </w:r>
          </w:p>
        </w:tc>
        <w:tc>
          <w:tcPr>
            <w:tcW w:w="2126" w:type="dxa"/>
            <w:shd w:val="clear" w:color="auto" w:fill="auto"/>
            <w:noWrap/>
            <w:vAlign w:val="center"/>
            <w:hideMark/>
          </w:tcPr>
          <w:p w14:paraId="4F08816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18,909</w:t>
            </w:r>
          </w:p>
        </w:tc>
        <w:tc>
          <w:tcPr>
            <w:tcW w:w="2126" w:type="dxa"/>
            <w:shd w:val="clear" w:color="auto" w:fill="auto"/>
            <w:noWrap/>
            <w:vAlign w:val="center"/>
            <w:hideMark/>
          </w:tcPr>
          <w:p w14:paraId="145A447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9,473</w:t>
            </w:r>
          </w:p>
        </w:tc>
        <w:tc>
          <w:tcPr>
            <w:tcW w:w="2127" w:type="dxa"/>
            <w:shd w:val="clear" w:color="auto" w:fill="auto"/>
            <w:noWrap/>
            <w:vAlign w:val="center"/>
            <w:hideMark/>
          </w:tcPr>
          <w:p w14:paraId="6602159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693</w:t>
            </w:r>
          </w:p>
        </w:tc>
      </w:tr>
      <w:tr w:rsidR="00E87A2A" w:rsidRPr="00F34C81" w14:paraId="48F70513" w14:textId="77777777" w:rsidTr="007B4BF5">
        <w:trPr>
          <w:trHeight w:val="300"/>
        </w:trPr>
        <w:tc>
          <w:tcPr>
            <w:tcW w:w="1838" w:type="dxa"/>
            <w:shd w:val="clear" w:color="auto" w:fill="auto"/>
            <w:noWrap/>
            <w:vAlign w:val="center"/>
            <w:hideMark/>
          </w:tcPr>
          <w:p w14:paraId="38F15175"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May 2020</w:t>
            </w:r>
          </w:p>
        </w:tc>
        <w:tc>
          <w:tcPr>
            <w:tcW w:w="2126" w:type="dxa"/>
            <w:shd w:val="clear" w:color="auto" w:fill="auto"/>
            <w:noWrap/>
            <w:vAlign w:val="center"/>
            <w:hideMark/>
          </w:tcPr>
          <w:p w14:paraId="1CCECE2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10,262</w:t>
            </w:r>
          </w:p>
        </w:tc>
        <w:tc>
          <w:tcPr>
            <w:tcW w:w="2126" w:type="dxa"/>
            <w:shd w:val="clear" w:color="auto" w:fill="auto"/>
            <w:noWrap/>
            <w:vAlign w:val="center"/>
            <w:hideMark/>
          </w:tcPr>
          <w:p w14:paraId="44C736B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6,948</w:t>
            </w:r>
          </w:p>
        </w:tc>
        <w:tc>
          <w:tcPr>
            <w:tcW w:w="2127" w:type="dxa"/>
            <w:shd w:val="clear" w:color="auto" w:fill="auto"/>
            <w:noWrap/>
            <w:vAlign w:val="center"/>
            <w:hideMark/>
          </w:tcPr>
          <w:p w14:paraId="298AB2B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128</w:t>
            </w:r>
          </w:p>
        </w:tc>
      </w:tr>
      <w:tr w:rsidR="00E87A2A" w:rsidRPr="00F34C81" w14:paraId="42D70E01" w14:textId="77777777" w:rsidTr="007B4BF5">
        <w:trPr>
          <w:trHeight w:val="300"/>
        </w:trPr>
        <w:tc>
          <w:tcPr>
            <w:tcW w:w="1838" w:type="dxa"/>
            <w:shd w:val="clear" w:color="auto" w:fill="auto"/>
            <w:noWrap/>
            <w:vAlign w:val="center"/>
            <w:hideMark/>
          </w:tcPr>
          <w:p w14:paraId="478A87A3"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June 2020</w:t>
            </w:r>
          </w:p>
        </w:tc>
        <w:tc>
          <w:tcPr>
            <w:tcW w:w="2126" w:type="dxa"/>
            <w:shd w:val="clear" w:color="auto" w:fill="auto"/>
            <w:noWrap/>
            <w:vAlign w:val="center"/>
            <w:hideMark/>
          </w:tcPr>
          <w:p w14:paraId="28825AF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9,440</w:t>
            </w:r>
          </w:p>
        </w:tc>
        <w:tc>
          <w:tcPr>
            <w:tcW w:w="2126" w:type="dxa"/>
            <w:shd w:val="clear" w:color="auto" w:fill="auto"/>
            <w:noWrap/>
            <w:vAlign w:val="center"/>
            <w:hideMark/>
          </w:tcPr>
          <w:p w14:paraId="2BE8C55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7,217</w:t>
            </w:r>
          </w:p>
        </w:tc>
        <w:tc>
          <w:tcPr>
            <w:tcW w:w="2127" w:type="dxa"/>
            <w:shd w:val="clear" w:color="auto" w:fill="auto"/>
            <w:noWrap/>
            <w:vAlign w:val="center"/>
            <w:hideMark/>
          </w:tcPr>
          <w:p w14:paraId="1BE888D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88</w:t>
            </w:r>
          </w:p>
        </w:tc>
      </w:tr>
      <w:tr w:rsidR="00E87A2A" w:rsidRPr="00F34C81" w14:paraId="6949012C" w14:textId="77777777" w:rsidTr="007B4BF5">
        <w:trPr>
          <w:trHeight w:val="300"/>
        </w:trPr>
        <w:tc>
          <w:tcPr>
            <w:tcW w:w="1838" w:type="dxa"/>
            <w:shd w:val="clear" w:color="auto" w:fill="auto"/>
            <w:noWrap/>
            <w:vAlign w:val="center"/>
            <w:hideMark/>
          </w:tcPr>
          <w:p w14:paraId="4F410B0A"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July 2020</w:t>
            </w:r>
          </w:p>
        </w:tc>
        <w:tc>
          <w:tcPr>
            <w:tcW w:w="2126" w:type="dxa"/>
            <w:shd w:val="clear" w:color="auto" w:fill="auto"/>
            <w:noWrap/>
            <w:vAlign w:val="center"/>
            <w:hideMark/>
          </w:tcPr>
          <w:p w14:paraId="0D514DD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10,612</w:t>
            </w:r>
          </w:p>
        </w:tc>
        <w:tc>
          <w:tcPr>
            <w:tcW w:w="2126" w:type="dxa"/>
            <w:shd w:val="clear" w:color="auto" w:fill="auto"/>
            <w:noWrap/>
            <w:vAlign w:val="center"/>
            <w:hideMark/>
          </w:tcPr>
          <w:p w14:paraId="0323BDFF"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8,720</w:t>
            </w:r>
          </w:p>
        </w:tc>
        <w:tc>
          <w:tcPr>
            <w:tcW w:w="2127" w:type="dxa"/>
            <w:shd w:val="clear" w:color="auto" w:fill="auto"/>
            <w:noWrap/>
            <w:vAlign w:val="center"/>
            <w:hideMark/>
          </w:tcPr>
          <w:p w14:paraId="0D3C9C6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367</w:t>
            </w:r>
          </w:p>
        </w:tc>
      </w:tr>
      <w:tr w:rsidR="00E87A2A" w:rsidRPr="00F34C81" w14:paraId="77349683" w14:textId="77777777" w:rsidTr="007B4BF5">
        <w:trPr>
          <w:trHeight w:val="300"/>
        </w:trPr>
        <w:tc>
          <w:tcPr>
            <w:tcW w:w="1838" w:type="dxa"/>
            <w:shd w:val="clear" w:color="auto" w:fill="auto"/>
            <w:noWrap/>
            <w:vAlign w:val="center"/>
            <w:hideMark/>
          </w:tcPr>
          <w:p w14:paraId="30BED915"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August 2020</w:t>
            </w:r>
          </w:p>
        </w:tc>
        <w:tc>
          <w:tcPr>
            <w:tcW w:w="2126" w:type="dxa"/>
            <w:shd w:val="clear" w:color="auto" w:fill="auto"/>
            <w:noWrap/>
            <w:vAlign w:val="center"/>
            <w:hideMark/>
          </w:tcPr>
          <w:p w14:paraId="249AB89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13,402</w:t>
            </w:r>
          </w:p>
        </w:tc>
        <w:tc>
          <w:tcPr>
            <w:tcW w:w="2126" w:type="dxa"/>
            <w:shd w:val="clear" w:color="auto" w:fill="auto"/>
            <w:noWrap/>
            <w:vAlign w:val="center"/>
            <w:hideMark/>
          </w:tcPr>
          <w:p w14:paraId="5EA88160"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7,304</w:t>
            </w:r>
          </w:p>
        </w:tc>
        <w:tc>
          <w:tcPr>
            <w:tcW w:w="2127" w:type="dxa"/>
            <w:shd w:val="clear" w:color="auto" w:fill="auto"/>
            <w:noWrap/>
            <w:vAlign w:val="center"/>
            <w:hideMark/>
          </w:tcPr>
          <w:p w14:paraId="017817C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203</w:t>
            </w:r>
          </w:p>
        </w:tc>
      </w:tr>
      <w:tr w:rsidR="00E87A2A" w:rsidRPr="00F34C81" w14:paraId="149E4688" w14:textId="77777777" w:rsidTr="007B4BF5">
        <w:trPr>
          <w:trHeight w:val="300"/>
        </w:trPr>
        <w:tc>
          <w:tcPr>
            <w:tcW w:w="1838" w:type="dxa"/>
            <w:shd w:val="clear" w:color="auto" w:fill="auto"/>
            <w:noWrap/>
            <w:vAlign w:val="center"/>
            <w:hideMark/>
          </w:tcPr>
          <w:p w14:paraId="377F1767"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September 2020</w:t>
            </w:r>
          </w:p>
        </w:tc>
        <w:tc>
          <w:tcPr>
            <w:tcW w:w="2126" w:type="dxa"/>
            <w:shd w:val="clear" w:color="auto" w:fill="auto"/>
            <w:noWrap/>
            <w:vAlign w:val="center"/>
            <w:hideMark/>
          </w:tcPr>
          <w:p w14:paraId="21B19A8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13,682</w:t>
            </w:r>
          </w:p>
        </w:tc>
        <w:tc>
          <w:tcPr>
            <w:tcW w:w="2126" w:type="dxa"/>
            <w:shd w:val="clear" w:color="auto" w:fill="auto"/>
            <w:noWrap/>
            <w:vAlign w:val="center"/>
            <w:hideMark/>
          </w:tcPr>
          <w:p w14:paraId="35819A7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7,273</w:t>
            </w:r>
          </w:p>
        </w:tc>
        <w:tc>
          <w:tcPr>
            <w:tcW w:w="2127" w:type="dxa"/>
            <w:shd w:val="clear" w:color="auto" w:fill="auto"/>
            <w:noWrap/>
            <w:vAlign w:val="center"/>
            <w:hideMark/>
          </w:tcPr>
          <w:p w14:paraId="480F78E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669</w:t>
            </w:r>
          </w:p>
        </w:tc>
      </w:tr>
      <w:tr w:rsidR="00E87A2A" w:rsidRPr="00F34C81" w14:paraId="3B201037" w14:textId="77777777" w:rsidTr="007B4BF5">
        <w:trPr>
          <w:trHeight w:val="300"/>
        </w:trPr>
        <w:tc>
          <w:tcPr>
            <w:tcW w:w="1838" w:type="dxa"/>
            <w:shd w:val="clear" w:color="auto" w:fill="auto"/>
            <w:noWrap/>
            <w:vAlign w:val="center"/>
            <w:hideMark/>
          </w:tcPr>
          <w:p w14:paraId="1704989D"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October 2020</w:t>
            </w:r>
          </w:p>
        </w:tc>
        <w:tc>
          <w:tcPr>
            <w:tcW w:w="2126" w:type="dxa"/>
            <w:shd w:val="clear" w:color="auto" w:fill="auto"/>
            <w:noWrap/>
            <w:vAlign w:val="center"/>
            <w:hideMark/>
          </w:tcPr>
          <w:p w14:paraId="265F844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12,902</w:t>
            </w:r>
          </w:p>
        </w:tc>
        <w:tc>
          <w:tcPr>
            <w:tcW w:w="2126" w:type="dxa"/>
            <w:shd w:val="clear" w:color="auto" w:fill="auto"/>
            <w:noWrap/>
            <w:vAlign w:val="center"/>
            <w:hideMark/>
          </w:tcPr>
          <w:p w14:paraId="39621E9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9,538</w:t>
            </w:r>
          </w:p>
        </w:tc>
        <w:tc>
          <w:tcPr>
            <w:tcW w:w="2127" w:type="dxa"/>
            <w:shd w:val="clear" w:color="auto" w:fill="auto"/>
            <w:noWrap/>
            <w:vAlign w:val="center"/>
            <w:hideMark/>
          </w:tcPr>
          <w:p w14:paraId="043D34D2"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519</w:t>
            </w:r>
          </w:p>
        </w:tc>
      </w:tr>
      <w:tr w:rsidR="00E87A2A" w:rsidRPr="00F34C81" w14:paraId="533C0EE5" w14:textId="77777777" w:rsidTr="007B4BF5">
        <w:trPr>
          <w:trHeight w:val="300"/>
        </w:trPr>
        <w:tc>
          <w:tcPr>
            <w:tcW w:w="1838" w:type="dxa"/>
            <w:shd w:val="clear" w:color="auto" w:fill="auto"/>
            <w:noWrap/>
            <w:vAlign w:val="center"/>
            <w:hideMark/>
          </w:tcPr>
          <w:p w14:paraId="581AE319"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November 2020</w:t>
            </w:r>
          </w:p>
        </w:tc>
        <w:tc>
          <w:tcPr>
            <w:tcW w:w="2126" w:type="dxa"/>
            <w:shd w:val="clear" w:color="auto" w:fill="auto"/>
            <w:noWrap/>
            <w:vAlign w:val="center"/>
            <w:hideMark/>
          </w:tcPr>
          <w:p w14:paraId="1A871D1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13,156</w:t>
            </w:r>
          </w:p>
        </w:tc>
        <w:tc>
          <w:tcPr>
            <w:tcW w:w="2126" w:type="dxa"/>
            <w:shd w:val="clear" w:color="auto" w:fill="auto"/>
            <w:noWrap/>
            <w:vAlign w:val="center"/>
            <w:hideMark/>
          </w:tcPr>
          <w:p w14:paraId="4C748BA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10,959</w:t>
            </w:r>
          </w:p>
        </w:tc>
        <w:tc>
          <w:tcPr>
            <w:tcW w:w="2127" w:type="dxa"/>
            <w:shd w:val="clear" w:color="auto" w:fill="auto"/>
            <w:noWrap/>
            <w:vAlign w:val="center"/>
            <w:hideMark/>
          </w:tcPr>
          <w:p w14:paraId="2E1E15E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428</w:t>
            </w:r>
          </w:p>
        </w:tc>
      </w:tr>
      <w:tr w:rsidR="00E87A2A" w:rsidRPr="00F34C81" w14:paraId="6F54E443" w14:textId="77777777" w:rsidTr="007B4BF5">
        <w:trPr>
          <w:trHeight w:val="300"/>
        </w:trPr>
        <w:tc>
          <w:tcPr>
            <w:tcW w:w="1838" w:type="dxa"/>
            <w:shd w:val="clear" w:color="auto" w:fill="auto"/>
            <w:noWrap/>
            <w:vAlign w:val="center"/>
            <w:hideMark/>
          </w:tcPr>
          <w:p w14:paraId="42145350"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December 2020</w:t>
            </w:r>
          </w:p>
        </w:tc>
        <w:tc>
          <w:tcPr>
            <w:tcW w:w="2126" w:type="dxa"/>
            <w:shd w:val="clear" w:color="auto" w:fill="auto"/>
            <w:noWrap/>
            <w:vAlign w:val="center"/>
            <w:hideMark/>
          </w:tcPr>
          <w:p w14:paraId="20CD020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11,552</w:t>
            </w:r>
          </w:p>
        </w:tc>
        <w:tc>
          <w:tcPr>
            <w:tcW w:w="2126" w:type="dxa"/>
            <w:shd w:val="clear" w:color="auto" w:fill="auto"/>
            <w:noWrap/>
            <w:vAlign w:val="center"/>
            <w:hideMark/>
          </w:tcPr>
          <w:p w14:paraId="73D37179"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8,731</w:t>
            </w:r>
          </w:p>
        </w:tc>
        <w:tc>
          <w:tcPr>
            <w:tcW w:w="2127" w:type="dxa"/>
            <w:shd w:val="clear" w:color="auto" w:fill="auto"/>
            <w:noWrap/>
            <w:vAlign w:val="center"/>
            <w:hideMark/>
          </w:tcPr>
          <w:p w14:paraId="11B5323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416</w:t>
            </w:r>
          </w:p>
        </w:tc>
      </w:tr>
      <w:tr w:rsidR="00E87A2A" w:rsidRPr="00F34C81" w14:paraId="060E59FE" w14:textId="77777777" w:rsidTr="007B4BF5">
        <w:trPr>
          <w:trHeight w:val="300"/>
        </w:trPr>
        <w:tc>
          <w:tcPr>
            <w:tcW w:w="1838" w:type="dxa"/>
            <w:shd w:val="clear" w:color="auto" w:fill="auto"/>
            <w:noWrap/>
            <w:vAlign w:val="center"/>
            <w:hideMark/>
          </w:tcPr>
          <w:p w14:paraId="26C5CE96"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January 2021</w:t>
            </w:r>
          </w:p>
        </w:tc>
        <w:tc>
          <w:tcPr>
            <w:tcW w:w="2126" w:type="dxa"/>
            <w:shd w:val="clear" w:color="auto" w:fill="auto"/>
            <w:noWrap/>
            <w:vAlign w:val="center"/>
            <w:hideMark/>
          </w:tcPr>
          <w:p w14:paraId="0D9307D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9,513</w:t>
            </w:r>
          </w:p>
        </w:tc>
        <w:tc>
          <w:tcPr>
            <w:tcW w:w="2126" w:type="dxa"/>
            <w:shd w:val="clear" w:color="auto" w:fill="auto"/>
            <w:noWrap/>
            <w:vAlign w:val="center"/>
            <w:hideMark/>
          </w:tcPr>
          <w:p w14:paraId="5CA18C0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3,856</w:t>
            </w:r>
          </w:p>
        </w:tc>
        <w:tc>
          <w:tcPr>
            <w:tcW w:w="2127" w:type="dxa"/>
            <w:shd w:val="clear" w:color="auto" w:fill="auto"/>
            <w:noWrap/>
            <w:vAlign w:val="center"/>
            <w:hideMark/>
          </w:tcPr>
          <w:p w14:paraId="3C8644E8"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337</w:t>
            </w:r>
          </w:p>
        </w:tc>
      </w:tr>
      <w:tr w:rsidR="00E87A2A" w:rsidRPr="00F34C81" w14:paraId="3B7D04A9" w14:textId="77777777" w:rsidTr="007B4BF5">
        <w:trPr>
          <w:trHeight w:val="300"/>
        </w:trPr>
        <w:tc>
          <w:tcPr>
            <w:tcW w:w="1838" w:type="dxa"/>
            <w:shd w:val="clear" w:color="auto" w:fill="auto"/>
            <w:noWrap/>
            <w:vAlign w:val="center"/>
            <w:hideMark/>
          </w:tcPr>
          <w:p w14:paraId="6F9F135A"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February 2021</w:t>
            </w:r>
          </w:p>
        </w:tc>
        <w:tc>
          <w:tcPr>
            <w:tcW w:w="2126" w:type="dxa"/>
            <w:shd w:val="clear" w:color="auto" w:fill="auto"/>
            <w:noWrap/>
            <w:vAlign w:val="center"/>
            <w:hideMark/>
          </w:tcPr>
          <w:p w14:paraId="44B658BC"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11,011</w:t>
            </w:r>
          </w:p>
        </w:tc>
        <w:tc>
          <w:tcPr>
            <w:tcW w:w="2126" w:type="dxa"/>
            <w:shd w:val="clear" w:color="auto" w:fill="auto"/>
            <w:noWrap/>
            <w:vAlign w:val="center"/>
            <w:hideMark/>
          </w:tcPr>
          <w:p w14:paraId="2276F3A6"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4,311</w:t>
            </w:r>
          </w:p>
        </w:tc>
        <w:tc>
          <w:tcPr>
            <w:tcW w:w="2127" w:type="dxa"/>
            <w:shd w:val="clear" w:color="auto" w:fill="auto"/>
            <w:noWrap/>
            <w:vAlign w:val="center"/>
            <w:hideMark/>
          </w:tcPr>
          <w:p w14:paraId="486DE87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427</w:t>
            </w:r>
          </w:p>
        </w:tc>
      </w:tr>
      <w:tr w:rsidR="00E87A2A" w:rsidRPr="00F34C81" w14:paraId="060D420C" w14:textId="77777777" w:rsidTr="007B4BF5">
        <w:trPr>
          <w:trHeight w:val="300"/>
        </w:trPr>
        <w:tc>
          <w:tcPr>
            <w:tcW w:w="1838" w:type="dxa"/>
            <w:shd w:val="clear" w:color="auto" w:fill="auto"/>
            <w:noWrap/>
            <w:vAlign w:val="center"/>
            <w:hideMark/>
          </w:tcPr>
          <w:p w14:paraId="4628ADE5"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March 2021</w:t>
            </w:r>
          </w:p>
        </w:tc>
        <w:tc>
          <w:tcPr>
            <w:tcW w:w="2126" w:type="dxa"/>
            <w:shd w:val="clear" w:color="auto" w:fill="auto"/>
            <w:noWrap/>
            <w:vAlign w:val="center"/>
            <w:hideMark/>
          </w:tcPr>
          <w:p w14:paraId="21A4169D"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11,838</w:t>
            </w:r>
          </w:p>
        </w:tc>
        <w:tc>
          <w:tcPr>
            <w:tcW w:w="2126" w:type="dxa"/>
            <w:shd w:val="clear" w:color="auto" w:fill="auto"/>
            <w:noWrap/>
            <w:vAlign w:val="center"/>
            <w:hideMark/>
          </w:tcPr>
          <w:p w14:paraId="2F045882"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5,211</w:t>
            </w:r>
          </w:p>
        </w:tc>
        <w:tc>
          <w:tcPr>
            <w:tcW w:w="2127" w:type="dxa"/>
            <w:shd w:val="clear" w:color="auto" w:fill="auto"/>
            <w:noWrap/>
            <w:vAlign w:val="center"/>
            <w:hideMark/>
          </w:tcPr>
          <w:p w14:paraId="54C4340A"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729</w:t>
            </w:r>
          </w:p>
        </w:tc>
      </w:tr>
      <w:tr w:rsidR="00E87A2A" w:rsidRPr="00F34C81" w14:paraId="725EAB50" w14:textId="77777777" w:rsidTr="007B4BF5">
        <w:trPr>
          <w:trHeight w:val="300"/>
        </w:trPr>
        <w:tc>
          <w:tcPr>
            <w:tcW w:w="1838" w:type="dxa"/>
            <w:shd w:val="clear" w:color="auto" w:fill="auto"/>
            <w:noWrap/>
            <w:vAlign w:val="center"/>
            <w:hideMark/>
          </w:tcPr>
          <w:p w14:paraId="45AB74BD" w14:textId="77777777" w:rsidR="00E87A2A" w:rsidRPr="00F34C81" w:rsidRDefault="00E87A2A" w:rsidP="007B4BF5">
            <w:pPr>
              <w:spacing w:after="0" w:line="240" w:lineRule="auto"/>
              <w:rPr>
                <w:rFonts w:ascii="Calibri" w:eastAsia="Times New Roman" w:hAnsi="Calibri" w:cs="Times New Roman"/>
                <w:b/>
                <w:bCs/>
                <w:color w:val="000000"/>
              </w:rPr>
            </w:pPr>
            <w:r w:rsidRPr="00F34C81">
              <w:rPr>
                <w:rFonts w:ascii="Calibri" w:eastAsia="Times New Roman" w:hAnsi="Calibri" w:cs="Times New Roman"/>
                <w:b/>
                <w:bCs/>
                <w:color w:val="000000"/>
              </w:rPr>
              <w:t>April 2021</w:t>
            </w:r>
          </w:p>
        </w:tc>
        <w:tc>
          <w:tcPr>
            <w:tcW w:w="2126" w:type="dxa"/>
            <w:shd w:val="clear" w:color="auto" w:fill="auto"/>
            <w:noWrap/>
            <w:vAlign w:val="center"/>
            <w:hideMark/>
          </w:tcPr>
          <w:p w14:paraId="5DAA6135"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10,221</w:t>
            </w:r>
          </w:p>
        </w:tc>
        <w:tc>
          <w:tcPr>
            <w:tcW w:w="2126" w:type="dxa"/>
            <w:shd w:val="clear" w:color="auto" w:fill="auto"/>
            <w:noWrap/>
            <w:vAlign w:val="center"/>
            <w:hideMark/>
          </w:tcPr>
          <w:p w14:paraId="6C601354"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2,740</w:t>
            </w:r>
          </w:p>
        </w:tc>
        <w:tc>
          <w:tcPr>
            <w:tcW w:w="2127" w:type="dxa"/>
            <w:shd w:val="clear" w:color="auto" w:fill="auto"/>
            <w:noWrap/>
            <w:vAlign w:val="center"/>
            <w:hideMark/>
          </w:tcPr>
          <w:p w14:paraId="3CD27EFE" w14:textId="77777777" w:rsidR="00E87A2A" w:rsidRPr="00F34C81" w:rsidRDefault="00E87A2A" w:rsidP="007B4BF5">
            <w:pPr>
              <w:spacing w:after="0" w:line="240" w:lineRule="auto"/>
              <w:jc w:val="center"/>
              <w:rPr>
                <w:rFonts w:ascii="Calibri" w:eastAsia="Times New Roman" w:hAnsi="Calibri" w:cs="Times New Roman"/>
                <w:color w:val="000000"/>
              </w:rPr>
            </w:pPr>
            <w:r w:rsidRPr="00F34C81">
              <w:rPr>
                <w:rFonts w:ascii="Calibri" w:eastAsia="Times New Roman" w:hAnsi="Calibri" w:cs="Times New Roman"/>
                <w:color w:val="000000"/>
              </w:rPr>
              <w:t>606</w:t>
            </w:r>
          </w:p>
        </w:tc>
      </w:tr>
    </w:tbl>
    <w:p w14:paraId="34DF227C" w14:textId="77777777" w:rsidR="00E87A2A" w:rsidRDefault="00E87A2A" w:rsidP="00E87A2A"/>
    <w:p w14:paraId="4F435020" w14:textId="050983BF" w:rsidR="00A40835" w:rsidRDefault="00A40835" w:rsidP="00A40835">
      <w:pPr>
        <w:pStyle w:val="Caption"/>
        <w:keepNext/>
      </w:pPr>
      <w:bookmarkStart w:id="384" w:name="_Toc75943069"/>
      <w:bookmarkStart w:id="385" w:name="_Toc77776111"/>
      <w:r>
        <w:lastRenderedPageBreak/>
        <w:t xml:space="preserve">Table </w:t>
      </w:r>
      <w:r>
        <w:fldChar w:fldCharType="begin"/>
      </w:r>
      <w:r>
        <w:instrText>SEQ Table \* ARABIC</w:instrText>
      </w:r>
      <w:r>
        <w:fldChar w:fldCharType="separate"/>
      </w:r>
      <w:r w:rsidR="00AA3031">
        <w:rPr>
          <w:noProof/>
        </w:rPr>
        <w:t>15</w:t>
      </w:r>
      <w:r>
        <w:fldChar w:fldCharType="end"/>
      </w:r>
      <w:r>
        <w:t>. Seizure frequency</w:t>
      </w:r>
      <w:bookmarkEnd w:id="384"/>
      <w:bookmarkEnd w:id="385"/>
    </w:p>
    <w:tbl>
      <w:tblPr>
        <w:tblW w:w="9168" w:type="dxa"/>
        <w:tblInd w:w="-142" w:type="dxa"/>
        <w:tblLook w:val="04A0" w:firstRow="1" w:lastRow="0" w:firstColumn="1" w:lastColumn="0" w:noHBand="0" w:noVBand="1"/>
      </w:tblPr>
      <w:tblGrid>
        <w:gridCol w:w="787"/>
        <w:gridCol w:w="567"/>
        <w:gridCol w:w="906"/>
        <w:gridCol w:w="715"/>
        <w:gridCol w:w="612"/>
        <w:gridCol w:w="638"/>
        <w:gridCol w:w="602"/>
        <w:gridCol w:w="551"/>
        <w:gridCol w:w="572"/>
        <w:gridCol w:w="551"/>
        <w:gridCol w:w="551"/>
        <w:gridCol w:w="643"/>
        <w:gridCol w:w="754"/>
        <w:gridCol w:w="719"/>
      </w:tblGrid>
      <w:tr w:rsidR="00E87A2A" w:rsidRPr="00821C18" w14:paraId="4C363C60" w14:textId="77777777" w:rsidTr="006A7338">
        <w:trPr>
          <w:trHeight w:val="300"/>
        </w:trPr>
        <w:tc>
          <w:tcPr>
            <w:tcW w:w="4832" w:type="dxa"/>
            <w:gridSpan w:val="7"/>
            <w:tcBorders>
              <w:top w:val="nil"/>
              <w:left w:val="nil"/>
              <w:bottom w:val="nil"/>
              <w:right w:val="nil"/>
            </w:tcBorders>
            <w:shd w:val="clear" w:color="auto" w:fill="auto"/>
            <w:noWrap/>
            <w:vAlign w:val="bottom"/>
            <w:hideMark/>
          </w:tcPr>
          <w:p w14:paraId="670AF21E" w14:textId="77777777" w:rsidR="00E87A2A" w:rsidRPr="00281656" w:rsidRDefault="00E87A2A" w:rsidP="007B4BF5">
            <w:pPr>
              <w:spacing w:after="0" w:line="240" w:lineRule="auto"/>
              <w:rPr>
                <w:rFonts w:ascii="Calibri" w:eastAsia="Times New Roman" w:hAnsi="Calibri" w:cs="Calibri"/>
                <w:i/>
                <w:iCs/>
                <w:color w:val="000000"/>
                <w:lang w:eastAsia="zh-CN"/>
              </w:rPr>
            </w:pPr>
          </w:p>
          <w:p w14:paraId="29F75DB7" w14:textId="7A3C92B8" w:rsidR="00E87A2A" w:rsidRPr="00281656" w:rsidRDefault="00E87A2A" w:rsidP="007B4BF5">
            <w:pPr>
              <w:spacing w:after="0" w:line="240" w:lineRule="auto"/>
              <w:rPr>
                <w:rFonts w:ascii="Calibri" w:eastAsia="Times New Roman" w:hAnsi="Calibri" w:cs="Calibri"/>
                <w:i/>
                <w:iCs/>
                <w:color w:val="000000"/>
                <w:lang w:eastAsia="zh-CN"/>
              </w:rPr>
            </w:pPr>
            <w:r w:rsidRPr="00281656">
              <w:rPr>
                <w:rFonts w:ascii="Calibri" w:eastAsia="Times New Roman" w:hAnsi="Calibri" w:cs="Calibri"/>
                <w:i/>
                <w:iCs/>
                <w:color w:val="000000"/>
                <w:lang w:eastAsia="zh-CN"/>
              </w:rPr>
              <w:t>Number of Synthetic Cannabis Seizures for Supply (56 grams or more)</w:t>
            </w:r>
          </w:p>
        </w:tc>
        <w:tc>
          <w:tcPr>
            <w:tcW w:w="549" w:type="dxa"/>
            <w:tcBorders>
              <w:top w:val="nil"/>
              <w:left w:val="nil"/>
              <w:bottom w:val="nil"/>
              <w:right w:val="nil"/>
            </w:tcBorders>
            <w:shd w:val="clear" w:color="auto" w:fill="auto"/>
            <w:noWrap/>
            <w:vAlign w:val="bottom"/>
            <w:hideMark/>
          </w:tcPr>
          <w:p w14:paraId="11D2EFC7"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70" w:type="dxa"/>
            <w:tcBorders>
              <w:top w:val="nil"/>
              <w:left w:val="nil"/>
              <w:bottom w:val="nil"/>
              <w:right w:val="nil"/>
            </w:tcBorders>
            <w:shd w:val="clear" w:color="auto" w:fill="auto"/>
            <w:noWrap/>
            <w:vAlign w:val="bottom"/>
            <w:hideMark/>
          </w:tcPr>
          <w:p w14:paraId="644564E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553CFA4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1F5AB2D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758BA04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0891545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4A5C264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1C878F8E" w14:textId="77777777" w:rsidTr="006A7338">
        <w:trPr>
          <w:trHeight w:val="300"/>
        </w:trPr>
        <w:tc>
          <w:tcPr>
            <w:tcW w:w="787" w:type="dxa"/>
            <w:tcBorders>
              <w:top w:val="nil"/>
              <w:left w:val="nil"/>
              <w:bottom w:val="nil"/>
              <w:right w:val="nil"/>
            </w:tcBorders>
            <w:shd w:val="clear" w:color="auto" w:fill="auto"/>
            <w:noWrap/>
            <w:vAlign w:val="bottom"/>
            <w:hideMark/>
          </w:tcPr>
          <w:p w14:paraId="57B7180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67" w:type="dxa"/>
            <w:tcBorders>
              <w:top w:val="nil"/>
              <w:left w:val="nil"/>
              <w:bottom w:val="nil"/>
              <w:right w:val="nil"/>
            </w:tcBorders>
            <w:shd w:val="clear" w:color="auto" w:fill="auto"/>
            <w:noWrap/>
            <w:vAlign w:val="bottom"/>
            <w:hideMark/>
          </w:tcPr>
          <w:p w14:paraId="26208BC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907" w:type="dxa"/>
            <w:tcBorders>
              <w:top w:val="nil"/>
              <w:left w:val="nil"/>
              <w:bottom w:val="nil"/>
              <w:right w:val="nil"/>
            </w:tcBorders>
            <w:shd w:val="clear" w:color="auto" w:fill="auto"/>
            <w:noWrap/>
            <w:vAlign w:val="bottom"/>
            <w:hideMark/>
          </w:tcPr>
          <w:p w14:paraId="499EE14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16" w:type="dxa"/>
            <w:tcBorders>
              <w:top w:val="nil"/>
              <w:left w:val="nil"/>
              <w:bottom w:val="nil"/>
              <w:right w:val="nil"/>
            </w:tcBorders>
            <w:shd w:val="clear" w:color="auto" w:fill="auto"/>
            <w:noWrap/>
            <w:vAlign w:val="bottom"/>
            <w:hideMark/>
          </w:tcPr>
          <w:p w14:paraId="6F34488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13" w:type="dxa"/>
            <w:tcBorders>
              <w:top w:val="nil"/>
              <w:left w:val="nil"/>
              <w:bottom w:val="nil"/>
              <w:right w:val="nil"/>
            </w:tcBorders>
            <w:shd w:val="clear" w:color="auto" w:fill="auto"/>
            <w:noWrap/>
            <w:vAlign w:val="bottom"/>
            <w:hideMark/>
          </w:tcPr>
          <w:p w14:paraId="43CFAC6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39" w:type="dxa"/>
            <w:tcBorders>
              <w:top w:val="nil"/>
              <w:left w:val="nil"/>
              <w:bottom w:val="nil"/>
              <w:right w:val="nil"/>
            </w:tcBorders>
            <w:shd w:val="clear" w:color="auto" w:fill="auto"/>
            <w:noWrap/>
            <w:vAlign w:val="bottom"/>
            <w:hideMark/>
          </w:tcPr>
          <w:p w14:paraId="1114BB6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tcBorders>
              <w:top w:val="nil"/>
              <w:left w:val="nil"/>
              <w:bottom w:val="nil"/>
              <w:right w:val="nil"/>
            </w:tcBorders>
            <w:shd w:val="clear" w:color="auto" w:fill="auto"/>
            <w:noWrap/>
            <w:vAlign w:val="bottom"/>
            <w:hideMark/>
          </w:tcPr>
          <w:p w14:paraId="6366917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70E8939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2574167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718F066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16F4C30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46EBC7D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5E5DDE6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52297C0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1013B872" w14:textId="77777777" w:rsidTr="006A7338">
        <w:trPr>
          <w:trHeight w:val="300"/>
        </w:trPr>
        <w:tc>
          <w:tcPr>
            <w:tcW w:w="787"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179AF5DB" w14:textId="77777777" w:rsidR="00E87A2A" w:rsidRPr="007F2528" w:rsidRDefault="00E87A2A" w:rsidP="007B4BF5">
            <w:pPr>
              <w:spacing w:after="0" w:line="240" w:lineRule="auto"/>
              <w:rPr>
                <w:rFonts w:eastAsia="Times New Roman" w:cstheme="minorHAnsi"/>
                <w:b/>
                <w:color w:val="000000"/>
                <w:lang w:eastAsia="zh-CN"/>
              </w:rPr>
            </w:pPr>
            <w:r w:rsidRPr="007F2528">
              <w:rPr>
                <w:rFonts w:eastAsia="Times New Roman" w:cstheme="minorHAnsi"/>
                <w:b/>
                <w:color w:val="000000"/>
                <w:lang w:eastAsia="zh-CN"/>
              </w:rPr>
              <w:t> </w:t>
            </w:r>
          </w:p>
        </w:tc>
        <w:tc>
          <w:tcPr>
            <w:tcW w:w="567" w:type="dxa"/>
            <w:tcBorders>
              <w:top w:val="single" w:sz="4" w:space="0" w:color="auto"/>
              <w:left w:val="nil"/>
              <w:bottom w:val="single" w:sz="4" w:space="0" w:color="auto"/>
              <w:right w:val="single" w:sz="4" w:space="0" w:color="auto"/>
            </w:tcBorders>
            <w:shd w:val="clear" w:color="DDEBF7" w:fill="DDEBF7"/>
            <w:noWrap/>
            <w:vAlign w:val="center"/>
            <w:hideMark/>
          </w:tcPr>
          <w:p w14:paraId="2ED6A009"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Jan</w:t>
            </w:r>
          </w:p>
        </w:tc>
        <w:tc>
          <w:tcPr>
            <w:tcW w:w="907" w:type="dxa"/>
            <w:tcBorders>
              <w:top w:val="single" w:sz="4" w:space="0" w:color="auto"/>
              <w:left w:val="nil"/>
              <w:bottom w:val="single" w:sz="4" w:space="0" w:color="auto"/>
              <w:right w:val="single" w:sz="4" w:space="0" w:color="auto"/>
            </w:tcBorders>
            <w:shd w:val="clear" w:color="DDEBF7" w:fill="DDEBF7"/>
            <w:noWrap/>
            <w:vAlign w:val="center"/>
            <w:hideMark/>
          </w:tcPr>
          <w:p w14:paraId="7AC64C10"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Feb</w:t>
            </w:r>
          </w:p>
        </w:tc>
        <w:tc>
          <w:tcPr>
            <w:tcW w:w="716" w:type="dxa"/>
            <w:tcBorders>
              <w:top w:val="single" w:sz="4" w:space="0" w:color="auto"/>
              <w:left w:val="nil"/>
              <w:bottom w:val="single" w:sz="4" w:space="0" w:color="auto"/>
              <w:right w:val="single" w:sz="4" w:space="0" w:color="auto"/>
            </w:tcBorders>
            <w:shd w:val="clear" w:color="DDEBF7" w:fill="DDEBF7"/>
            <w:noWrap/>
            <w:vAlign w:val="center"/>
            <w:hideMark/>
          </w:tcPr>
          <w:p w14:paraId="2460F701"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Mar</w:t>
            </w:r>
          </w:p>
        </w:tc>
        <w:tc>
          <w:tcPr>
            <w:tcW w:w="613" w:type="dxa"/>
            <w:tcBorders>
              <w:top w:val="single" w:sz="4" w:space="0" w:color="auto"/>
              <w:left w:val="nil"/>
              <w:bottom w:val="single" w:sz="4" w:space="0" w:color="auto"/>
              <w:right w:val="single" w:sz="4" w:space="0" w:color="auto"/>
            </w:tcBorders>
            <w:shd w:val="clear" w:color="DDEBF7" w:fill="DDEBF7"/>
            <w:noWrap/>
            <w:vAlign w:val="center"/>
            <w:hideMark/>
          </w:tcPr>
          <w:p w14:paraId="36F09823"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Apr</w:t>
            </w:r>
          </w:p>
        </w:tc>
        <w:tc>
          <w:tcPr>
            <w:tcW w:w="639" w:type="dxa"/>
            <w:tcBorders>
              <w:top w:val="single" w:sz="4" w:space="0" w:color="auto"/>
              <w:left w:val="nil"/>
              <w:bottom w:val="single" w:sz="4" w:space="0" w:color="auto"/>
              <w:right w:val="single" w:sz="4" w:space="0" w:color="auto"/>
            </w:tcBorders>
            <w:shd w:val="clear" w:color="DDEBF7" w:fill="DDEBF7"/>
            <w:noWrap/>
            <w:vAlign w:val="center"/>
            <w:hideMark/>
          </w:tcPr>
          <w:p w14:paraId="47094816"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May</w:t>
            </w:r>
          </w:p>
        </w:tc>
        <w:tc>
          <w:tcPr>
            <w:tcW w:w="603" w:type="dxa"/>
            <w:tcBorders>
              <w:top w:val="single" w:sz="4" w:space="0" w:color="auto"/>
              <w:left w:val="nil"/>
              <w:bottom w:val="single" w:sz="4" w:space="0" w:color="auto"/>
              <w:right w:val="single" w:sz="4" w:space="0" w:color="auto"/>
            </w:tcBorders>
            <w:shd w:val="clear" w:color="DDEBF7" w:fill="DDEBF7"/>
            <w:noWrap/>
            <w:vAlign w:val="center"/>
            <w:hideMark/>
          </w:tcPr>
          <w:p w14:paraId="4A1F57DF"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Jun</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2F7AE4B9"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Jul</w:t>
            </w:r>
          </w:p>
        </w:tc>
        <w:tc>
          <w:tcPr>
            <w:tcW w:w="570" w:type="dxa"/>
            <w:tcBorders>
              <w:top w:val="single" w:sz="4" w:space="0" w:color="auto"/>
              <w:left w:val="nil"/>
              <w:bottom w:val="single" w:sz="4" w:space="0" w:color="auto"/>
              <w:right w:val="single" w:sz="4" w:space="0" w:color="auto"/>
            </w:tcBorders>
            <w:shd w:val="clear" w:color="DDEBF7" w:fill="DDEBF7"/>
            <w:noWrap/>
            <w:vAlign w:val="center"/>
            <w:hideMark/>
          </w:tcPr>
          <w:p w14:paraId="18A55777"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1A1923EF"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Sep</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51844809"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Oct</w:t>
            </w:r>
          </w:p>
        </w:tc>
        <w:tc>
          <w:tcPr>
            <w:tcW w:w="644" w:type="dxa"/>
            <w:tcBorders>
              <w:top w:val="single" w:sz="4" w:space="0" w:color="auto"/>
              <w:left w:val="nil"/>
              <w:bottom w:val="single" w:sz="4" w:space="0" w:color="auto"/>
              <w:right w:val="single" w:sz="4" w:space="0" w:color="auto"/>
            </w:tcBorders>
            <w:shd w:val="clear" w:color="DDEBF7" w:fill="DDEBF7"/>
            <w:noWrap/>
            <w:vAlign w:val="center"/>
            <w:hideMark/>
          </w:tcPr>
          <w:p w14:paraId="5ACC74A8"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Nov</w:t>
            </w:r>
          </w:p>
        </w:tc>
        <w:tc>
          <w:tcPr>
            <w:tcW w:w="755" w:type="dxa"/>
            <w:tcBorders>
              <w:top w:val="single" w:sz="4" w:space="0" w:color="auto"/>
              <w:left w:val="nil"/>
              <w:bottom w:val="single" w:sz="4" w:space="0" w:color="auto"/>
              <w:right w:val="single" w:sz="4" w:space="0" w:color="auto"/>
            </w:tcBorders>
            <w:shd w:val="clear" w:color="DDEBF7" w:fill="DDEBF7"/>
            <w:noWrap/>
            <w:vAlign w:val="center"/>
            <w:hideMark/>
          </w:tcPr>
          <w:p w14:paraId="70A446BE" w14:textId="77777777" w:rsidR="00E87A2A" w:rsidRPr="007F2528" w:rsidRDefault="00E87A2A" w:rsidP="007B4BF5">
            <w:pPr>
              <w:spacing w:after="0" w:line="240" w:lineRule="auto"/>
              <w:jc w:val="center"/>
              <w:rPr>
                <w:rFonts w:eastAsia="Times New Roman" w:cstheme="minorHAnsi"/>
                <w:b/>
                <w:color w:val="000000"/>
                <w:lang w:eastAsia="zh-CN"/>
              </w:rPr>
            </w:pPr>
            <w:r w:rsidRPr="007F2528">
              <w:rPr>
                <w:rFonts w:eastAsia="Times New Roman" w:cstheme="minorHAnsi"/>
                <w:b/>
                <w:color w:val="000000"/>
                <w:lang w:eastAsia="zh-CN"/>
              </w:rPr>
              <w:t>Dec</w:t>
            </w:r>
          </w:p>
        </w:tc>
        <w:tc>
          <w:tcPr>
            <w:tcW w:w="720" w:type="dxa"/>
            <w:tcBorders>
              <w:top w:val="single" w:sz="4" w:space="0" w:color="auto"/>
              <w:left w:val="nil"/>
              <w:bottom w:val="single" w:sz="4" w:space="0" w:color="auto"/>
              <w:right w:val="single" w:sz="4" w:space="0" w:color="auto"/>
            </w:tcBorders>
            <w:shd w:val="clear" w:color="DDEBF7" w:fill="DDEBF7"/>
            <w:noWrap/>
            <w:vAlign w:val="center"/>
            <w:hideMark/>
          </w:tcPr>
          <w:p w14:paraId="693ACE92"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Total</w:t>
            </w:r>
          </w:p>
        </w:tc>
      </w:tr>
      <w:tr w:rsidR="006A7338" w:rsidRPr="00821C18" w14:paraId="777E2524"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5F979520" w14:textId="77777777" w:rsidR="00E87A2A" w:rsidRPr="007F2528" w:rsidRDefault="00E87A2A" w:rsidP="007B4BF5">
            <w:pPr>
              <w:spacing w:after="0" w:line="240" w:lineRule="auto"/>
              <w:rPr>
                <w:rFonts w:eastAsia="Times New Roman" w:cstheme="minorHAnsi"/>
                <w:b/>
                <w:color w:val="000000"/>
                <w:lang w:eastAsia="zh-CN"/>
              </w:rPr>
            </w:pPr>
            <w:r w:rsidRPr="007F2528">
              <w:rPr>
                <w:rFonts w:eastAsia="Times New Roman" w:cstheme="minorHAnsi"/>
                <w:b/>
                <w:color w:val="000000"/>
                <w:lang w:eastAsia="zh-CN"/>
              </w:rPr>
              <w:t>2018</w:t>
            </w:r>
          </w:p>
        </w:tc>
        <w:tc>
          <w:tcPr>
            <w:tcW w:w="567" w:type="dxa"/>
            <w:tcBorders>
              <w:top w:val="nil"/>
              <w:left w:val="nil"/>
              <w:bottom w:val="single" w:sz="4" w:space="0" w:color="auto"/>
              <w:right w:val="single" w:sz="4" w:space="0" w:color="auto"/>
            </w:tcBorders>
            <w:shd w:val="clear" w:color="auto" w:fill="auto"/>
            <w:noWrap/>
            <w:vAlign w:val="center"/>
            <w:hideMark/>
          </w:tcPr>
          <w:p w14:paraId="5540D0CE"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w:t>
            </w:r>
          </w:p>
        </w:tc>
        <w:tc>
          <w:tcPr>
            <w:tcW w:w="907" w:type="dxa"/>
            <w:tcBorders>
              <w:top w:val="nil"/>
              <w:left w:val="nil"/>
              <w:bottom w:val="single" w:sz="4" w:space="0" w:color="auto"/>
              <w:right w:val="single" w:sz="4" w:space="0" w:color="auto"/>
            </w:tcBorders>
            <w:shd w:val="clear" w:color="auto" w:fill="auto"/>
            <w:noWrap/>
            <w:vAlign w:val="center"/>
            <w:hideMark/>
          </w:tcPr>
          <w:p w14:paraId="3297430E"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3</w:t>
            </w:r>
          </w:p>
        </w:tc>
        <w:tc>
          <w:tcPr>
            <w:tcW w:w="716" w:type="dxa"/>
            <w:tcBorders>
              <w:top w:val="nil"/>
              <w:left w:val="nil"/>
              <w:bottom w:val="single" w:sz="4" w:space="0" w:color="auto"/>
              <w:right w:val="single" w:sz="4" w:space="0" w:color="auto"/>
            </w:tcBorders>
            <w:shd w:val="clear" w:color="auto" w:fill="auto"/>
            <w:noWrap/>
            <w:vAlign w:val="center"/>
            <w:hideMark/>
          </w:tcPr>
          <w:p w14:paraId="6FF4503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5</w:t>
            </w:r>
          </w:p>
        </w:tc>
        <w:tc>
          <w:tcPr>
            <w:tcW w:w="613" w:type="dxa"/>
            <w:tcBorders>
              <w:top w:val="nil"/>
              <w:left w:val="nil"/>
              <w:bottom w:val="single" w:sz="4" w:space="0" w:color="auto"/>
              <w:right w:val="single" w:sz="4" w:space="0" w:color="auto"/>
            </w:tcBorders>
            <w:shd w:val="clear" w:color="auto" w:fill="auto"/>
            <w:noWrap/>
            <w:vAlign w:val="center"/>
            <w:hideMark/>
          </w:tcPr>
          <w:p w14:paraId="0AB64FE9"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7</w:t>
            </w:r>
          </w:p>
        </w:tc>
        <w:tc>
          <w:tcPr>
            <w:tcW w:w="639" w:type="dxa"/>
            <w:tcBorders>
              <w:top w:val="nil"/>
              <w:left w:val="nil"/>
              <w:bottom w:val="single" w:sz="4" w:space="0" w:color="auto"/>
              <w:right w:val="single" w:sz="4" w:space="0" w:color="auto"/>
            </w:tcBorders>
            <w:shd w:val="clear" w:color="auto" w:fill="auto"/>
            <w:noWrap/>
            <w:vAlign w:val="center"/>
            <w:hideMark/>
          </w:tcPr>
          <w:p w14:paraId="0F244FE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603" w:type="dxa"/>
            <w:tcBorders>
              <w:top w:val="nil"/>
              <w:left w:val="nil"/>
              <w:bottom w:val="single" w:sz="4" w:space="0" w:color="auto"/>
              <w:right w:val="single" w:sz="4" w:space="0" w:color="auto"/>
            </w:tcBorders>
            <w:shd w:val="clear" w:color="auto" w:fill="auto"/>
            <w:noWrap/>
            <w:vAlign w:val="center"/>
            <w:hideMark/>
          </w:tcPr>
          <w:p w14:paraId="7F1AE600"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w:t>
            </w:r>
          </w:p>
        </w:tc>
        <w:tc>
          <w:tcPr>
            <w:tcW w:w="549" w:type="dxa"/>
            <w:tcBorders>
              <w:top w:val="nil"/>
              <w:left w:val="nil"/>
              <w:bottom w:val="single" w:sz="4" w:space="0" w:color="auto"/>
              <w:right w:val="single" w:sz="4" w:space="0" w:color="auto"/>
            </w:tcBorders>
            <w:shd w:val="clear" w:color="auto" w:fill="auto"/>
            <w:noWrap/>
            <w:vAlign w:val="center"/>
            <w:hideMark/>
          </w:tcPr>
          <w:p w14:paraId="45F682F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3</w:t>
            </w:r>
          </w:p>
        </w:tc>
        <w:tc>
          <w:tcPr>
            <w:tcW w:w="570" w:type="dxa"/>
            <w:tcBorders>
              <w:top w:val="nil"/>
              <w:left w:val="nil"/>
              <w:bottom w:val="single" w:sz="4" w:space="0" w:color="auto"/>
              <w:right w:val="single" w:sz="4" w:space="0" w:color="auto"/>
            </w:tcBorders>
            <w:shd w:val="clear" w:color="auto" w:fill="auto"/>
            <w:noWrap/>
            <w:vAlign w:val="center"/>
            <w:hideMark/>
          </w:tcPr>
          <w:p w14:paraId="1D0B060A"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7</w:t>
            </w:r>
          </w:p>
        </w:tc>
        <w:tc>
          <w:tcPr>
            <w:tcW w:w="549" w:type="dxa"/>
            <w:tcBorders>
              <w:top w:val="nil"/>
              <w:left w:val="nil"/>
              <w:bottom w:val="single" w:sz="4" w:space="0" w:color="auto"/>
              <w:right w:val="single" w:sz="4" w:space="0" w:color="auto"/>
            </w:tcBorders>
            <w:shd w:val="clear" w:color="auto" w:fill="auto"/>
            <w:noWrap/>
            <w:vAlign w:val="center"/>
            <w:hideMark/>
          </w:tcPr>
          <w:p w14:paraId="4AF36BF9"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w:t>
            </w:r>
          </w:p>
        </w:tc>
        <w:tc>
          <w:tcPr>
            <w:tcW w:w="549" w:type="dxa"/>
            <w:tcBorders>
              <w:top w:val="nil"/>
              <w:left w:val="nil"/>
              <w:bottom w:val="single" w:sz="4" w:space="0" w:color="auto"/>
              <w:right w:val="single" w:sz="4" w:space="0" w:color="auto"/>
            </w:tcBorders>
            <w:shd w:val="clear" w:color="auto" w:fill="auto"/>
            <w:noWrap/>
            <w:vAlign w:val="center"/>
            <w:hideMark/>
          </w:tcPr>
          <w:p w14:paraId="77820E1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w:t>
            </w:r>
          </w:p>
        </w:tc>
        <w:tc>
          <w:tcPr>
            <w:tcW w:w="644" w:type="dxa"/>
            <w:tcBorders>
              <w:top w:val="nil"/>
              <w:left w:val="nil"/>
              <w:bottom w:val="single" w:sz="4" w:space="0" w:color="auto"/>
              <w:right w:val="single" w:sz="4" w:space="0" w:color="auto"/>
            </w:tcBorders>
            <w:shd w:val="clear" w:color="auto" w:fill="auto"/>
            <w:noWrap/>
            <w:vAlign w:val="center"/>
            <w:hideMark/>
          </w:tcPr>
          <w:p w14:paraId="53637201"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5</w:t>
            </w:r>
          </w:p>
        </w:tc>
        <w:tc>
          <w:tcPr>
            <w:tcW w:w="755" w:type="dxa"/>
            <w:tcBorders>
              <w:top w:val="nil"/>
              <w:left w:val="nil"/>
              <w:bottom w:val="single" w:sz="4" w:space="0" w:color="auto"/>
              <w:right w:val="single" w:sz="4" w:space="0" w:color="auto"/>
            </w:tcBorders>
            <w:shd w:val="clear" w:color="auto" w:fill="auto"/>
            <w:noWrap/>
            <w:vAlign w:val="center"/>
            <w:hideMark/>
          </w:tcPr>
          <w:p w14:paraId="29196EB3"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720" w:type="dxa"/>
            <w:tcBorders>
              <w:top w:val="nil"/>
              <w:left w:val="nil"/>
              <w:bottom w:val="single" w:sz="4" w:space="0" w:color="auto"/>
              <w:right w:val="single" w:sz="4" w:space="0" w:color="auto"/>
            </w:tcBorders>
            <w:shd w:val="clear" w:color="auto" w:fill="auto"/>
            <w:noWrap/>
            <w:vAlign w:val="center"/>
            <w:hideMark/>
          </w:tcPr>
          <w:p w14:paraId="4FB896C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49</w:t>
            </w:r>
          </w:p>
        </w:tc>
      </w:tr>
      <w:tr w:rsidR="006A7338" w:rsidRPr="00821C18" w14:paraId="5A733B2C" w14:textId="77777777" w:rsidTr="006A7338">
        <w:trPr>
          <w:trHeight w:val="413"/>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3D63BAC8" w14:textId="77777777" w:rsidR="00E87A2A" w:rsidRPr="007F2528" w:rsidRDefault="00E87A2A" w:rsidP="007B4BF5">
            <w:pPr>
              <w:spacing w:after="0" w:line="240" w:lineRule="auto"/>
              <w:rPr>
                <w:rFonts w:eastAsia="Times New Roman" w:cstheme="minorHAnsi"/>
                <w:b/>
                <w:color w:val="000000"/>
                <w:lang w:eastAsia="zh-CN"/>
              </w:rPr>
            </w:pPr>
            <w:r w:rsidRPr="007F2528">
              <w:rPr>
                <w:rFonts w:eastAsia="Times New Roman" w:cstheme="minorHAnsi"/>
                <w:b/>
                <w:color w:val="000000"/>
                <w:lang w:eastAsia="zh-CN"/>
              </w:rPr>
              <w:t>2019</w:t>
            </w:r>
          </w:p>
        </w:tc>
        <w:tc>
          <w:tcPr>
            <w:tcW w:w="567" w:type="dxa"/>
            <w:tcBorders>
              <w:top w:val="nil"/>
              <w:left w:val="nil"/>
              <w:bottom w:val="single" w:sz="4" w:space="0" w:color="auto"/>
              <w:right w:val="single" w:sz="4" w:space="0" w:color="auto"/>
            </w:tcBorders>
            <w:shd w:val="clear" w:color="auto" w:fill="auto"/>
            <w:noWrap/>
            <w:vAlign w:val="center"/>
            <w:hideMark/>
          </w:tcPr>
          <w:p w14:paraId="3601694B"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907" w:type="dxa"/>
            <w:tcBorders>
              <w:top w:val="nil"/>
              <w:left w:val="nil"/>
              <w:bottom w:val="single" w:sz="4" w:space="0" w:color="auto"/>
              <w:right w:val="single" w:sz="4" w:space="0" w:color="auto"/>
            </w:tcBorders>
            <w:shd w:val="clear" w:color="auto" w:fill="auto"/>
            <w:noWrap/>
            <w:vAlign w:val="center"/>
            <w:hideMark/>
          </w:tcPr>
          <w:p w14:paraId="6F312587" w14:textId="77777777" w:rsidR="00E87A2A" w:rsidRPr="007F2528" w:rsidRDefault="00E87A2A" w:rsidP="007B4BF5">
            <w:pPr>
              <w:spacing w:after="0" w:line="240" w:lineRule="auto"/>
              <w:jc w:val="center"/>
              <w:rPr>
                <w:rFonts w:eastAsia="Times New Roman" w:cstheme="minorHAnsi"/>
                <w:color w:val="000000"/>
                <w:lang w:eastAsia="zh-CN"/>
              </w:rPr>
            </w:pPr>
          </w:p>
        </w:tc>
        <w:tc>
          <w:tcPr>
            <w:tcW w:w="716" w:type="dxa"/>
            <w:tcBorders>
              <w:top w:val="nil"/>
              <w:left w:val="nil"/>
              <w:bottom w:val="single" w:sz="4" w:space="0" w:color="auto"/>
              <w:right w:val="single" w:sz="4" w:space="0" w:color="auto"/>
            </w:tcBorders>
            <w:shd w:val="clear" w:color="auto" w:fill="auto"/>
            <w:noWrap/>
            <w:vAlign w:val="center"/>
            <w:hideMark/>
          </w:tcPr>
          <w:p w14:paraId="4B79B09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3</w:t>
            </w:r>
          </w:p>
        </w:tc>
        <w:tc>
          <w:tcPr>
            <w:tcW w:w="613" w:type="dxa"/>
            <w:tcBorders>
              <w:top w:val="nil"/>
              <w:left w:val="nil"/>
              <w:bottom w:val="single" w:sz="4" w:space="0" w:color="auto"/>
              <w:right w:val="single" w:sz="4" w:space="0" w:color="auto"/>
            </w:tcBorders>
            <w:shd w:val="clear" w:color="auto" w:fill="auto"/>
            <w:noWrap/>
            <w:vAlign w:val="center"/>
            <w:hideMark/>
          </w:tcPr>
          <w:p w14:paraId="16787723"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639" w:type="dxa"/>
            <w:tcBorders>
              <w:top w:val="nil"/>
              <w:left w:val="nil"/>
              <w:bottom w:val="single" w:sz="4" w:space="0" w:color="auto"/>
              <w:right w:val="single" w:sz="4" w:space="0" w:color="auto"/>
            </w:tcBorders>
            <w:shd w:val="clear" w:color="auto" w:fill="auto"/>
            <w:noWrap/>
            <w:vAlign w:val="center"/>
            <w:hideMark/>
          </w:tcPr>
          <w:p w14:paraId="267F2ADF"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603" w:type="dxa"/>
            <w:tcBorders>
              <w:top w:val="nil"/>
              <w:left w:val="nil"/>
              <w:bottom w:val="single" w:sz="4" w:space="0" w:color="auto"/>
              <w:right w:val="single" w:sz="4" w:space="0" w:color="auto"/>
            </w:tcBorders>
            <w:shd w:val="clear" w:color="auto" w:fill="auto"/>
            <w:noWrap/>
            <w:vAlign w:val="center"/>
            <w:hideMark/>
          </w:tcPr>
          <w:p w14:paraId="779C667B"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549" w:type="dxa"/>
            <w:tcBorders>
              <w:top w:val="nil"/>
              <w:left w:val="nil"/>
              <w:bottom w:val="single" w:sz="4" w:space="0" w:color="auto"/>
              <w:right w:val="single" w:sz="4" w:space="0" w:color="auto"/>
            </w:tcBorders>
            <w:shd w:val="clear" w:color="auto" w:fill="auto"/>
            <w:noWrap/>
            <w:vAlign w:val="center"/>
            <w:hideMark/>
          </w:tcPr>
          <w:p w14:paraId="461462BC"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4</w:t>
            </w:r>
          </w:p>
        </w:tc>
        <w:tc>
          <w:tcPr>
            <w:tcW w:w="570" w:type="dxa"/>
            <w:tcBorders>
              <w:top w:val="nil"/>
              <w:left w:val="nil"/>
              <w:bottom w:val="single" w:sz="4" w:space="0" w:color="auto"/>
              <w:right w:val="single" w:sz="4" w:space="0" w:color="auto"/>
            </w:tcBorders>
            <w:shd w:val="clear" w:color="auto" w:fill="auto"/>
            <w:noWrap/>
            <w:vAlign w:val="center"/>
            <w:hideMark/>
          </w:tcPr>
          <w:p w14:paraId="171CAF6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549" w:type="dxa"/>
            <w:tcBorders>
              <w:top w:val="nil"/>
              <w:left w:val="nil"/>
              <w:bottom w:val="single" w:sz="4" w:space="0" w:color="auto"/>
              <w:right w:val="single" w:sz="4" w:space="0" w:color="auto"/>
            </w:tcBorders>
            <w:shd w:val="clear" w:color="auto" w:fill="auto"/>
            <w:noWrap/>
            <w:vAlign w:val="center"/>
            <w:hideMark/>
          </w:tcPr>
          <w:p w14:paraId="42829601"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549" w:type="dxa"/>
            <w:tcBorders>
              <w:top w:val="nil"/>
              <w:left w:val="nil"/>
              <w:bottom w:val="single" w:sz="4" w:space="0" w:color="auto"/>
              <w:right w:val="single" w:sz="4" w:space="0" w:color="auto"/>
            </w:tcBorders>
            <w:shd w:val="clear" w:color="auto" w:fill="auto"/>
            <w:noWrap/>
            <w:vAlign w:val="center"/>
            <w:hideMark/>
          </w:tcPr>
          <w:p w14:paraId="26C1810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644" w:type="dxa"/>
            <w:tcBorders>
              <w:top w:val="nil"/>
              <w:left w:val="nil"/>
              <w:bottom w:val="single" w:sz="4" w:space="0" w:color="auto"/>
              <w:right w:val="single" w:sz="4" w:space="0" w:color="auto"/>
            </w:tcBorders>
            <w:shd w:val="clear" w:color="auto" w:fill="auto"/>
            <w:noWrap/>
            <w:vAlign w:val="center"/>
            <w:hideMark/>
          </w:tcPr>
          <w:p w14:paraId="68809DA5"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755" w:type="dxa"/>
            <w:tcBorders>
              <w:top w:val="nil"/>
              <w:left w:val="nil"/>
              <w:bottom w:val="single" w:sz="4" w:space="0" w:color="auto"/>
              <w:right w:val="single" w:sz="4" w:space="0" w:color="auto"/>
            </w:tcBorders>
            <w:shd w:val="clear" w:color="auto" w:fill="auto"/>
            <w:noWrap/>
            <w:vAlign w:val="center"/>
            <w:hideMark/>
          </w:tcPr>
          <w:p w14:paraId="292CBF8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720" w:type="dxa"/>
            <w:tcBorders>
              <w:top w:val="nil"/>
              <w:left w:val="nil"/>
              <w:bottom w:val="single" w:sz="4" w:space="0" w:color="auto"/>
              <w:right w:val="single" w:sz="4" w:space="0" w:color="auto"/>
            </w:tcBorders>
            <w:shd w:val="clear" w:color="auto" w:fill="auto"/>
            <w:noWrap/>
            <w:vAlign w:val="center"/>
            <w:hideMark/>
          </w:tcPr>
          <w:p w14:paraId="34BD3A52"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19</w:t>
            </w:r>
          </w:p>
        </w:tc>
      </w:tr>
      <w:tr w:rsidR="006A7338" w:rsidRPr="00821C18" w14:paraId="315C1233"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11B1E998" w14:textId="77777777" w:rsidR="00E87A2A" w:rsidRPr="007F2528" w:rsidRDefault="00E87A2A" w:rsidP="007B4BF5">
            <w:pPr>
              <w:spacing w:after="0" w:line="240" w:lineRule="auto"/>
              <w:rPr>
                <w:rFonts w:eastAsia="Times New Roman" w:cstheme="minorHAnsi"/>
                <w:b/>
                <w:color w:val="000000"/>
                <w:lang w:eastAsia="zh-CN"/>
              </w:rPr>
            </w:pPr>
            <w:r w:rsidRPr="007F2528">
              <w:rPr>
                <w:rFonts w:eastAsia="Times New Roman" w:cstheme="minorHAnsi"/>
                <w:b/>
                <w:color w:val="000000"/>
                <w:lang w:eastAsia="zh-CN"/>
              </w:rPr>
              <w:t>2020</w:t>
            </w:r>
          </w:p>
        </w:tc>
        <w:tc>
          <w:tcPr>
            <w:tcW w:w="567" w:type="dxa"/>
            <w:tcBorders>
              <w:top w:val="nil"/>
              <w:left w:val="nil"/>
              <w:bottom w:val="single" w:sz="4" w:space="0" w:color="auto"/>
              <w:right w:val="single" w:sz="4" w:space="0" w:color="auto"/>
            </w:tcBorders>
            <w:shd w:val="clear" w:color="auto" w:fill="auto"/>
            <w:noWrap/>
            <w:vAlign w:val="center"/>
            <w:hideMark/>
          </w:tcPr>
          <w:p w14:paraId="715B2131"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907" w:type="dxa"/>
            <w:tcBorders>
              <w:top w:val="nil"/>
              <w:left w:val="nil"/>
              <w:bottom w:val="single" w:sz="4" w:space="0" w:color="auto"/>
              <w:right w:val="single" w:sz="4" w:space="0" w:color="auto"/>
            </w:tcBorders>
            <w:shd w:val="clear" w:color="auto" w:fill="auto"/>
            <w:noWrap/>
            <w:vAlign w:val="center"/>
            <w:hideMark/>
          </w:tcPr>
          <w:p w14:paraId="50153EC0" w14:textId="77777777" w:rsidR="00E87A2A" w:rsidRPr="007F2528" w:rsidRDefault="00E87A2A" w:rsidP="007B4BF5">
            <w:pPr>
              <w:spacing w:after="0" w:line="240" w:lineRule="auto"/>
              <w:jc w:val="center"/>
              <w:rPr>
                <w:rFonts w:eastAsia="Times New Roman" w:cstheme="minorHAnsi"/>
                <w:color w:val="000000"/>
                <w:lang w:eastAsia="zh-CN"/>
              </w:rPr>
            </w:pPr>
          </w:p>
        </w:tc>
        <w:tc>
          <w:tcPr>
            <w:tcW w:w="716" w:type="dxa"/>
            <w:tcBorders>
              <w:top w:val="nil"/>
              <w:left w:val="nil"/>
              <w:bottom w:val="single" w:sz="4" w:space="0" w:color="auto"/>
              <w:right w:val="single" w:sz="4" w:space="0" w:color="auto"/>
            </w:tcBorders>
            <w:shd w:val="clear" w:color="auto" w:fill="auto"/>
            <w:noWrap/>
            <w:vAlign w:val="center"/>
            <w:hideMark/>
          </w:tcPr>
          <w:p w14:paraId="5A151F98"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613" w:type="dxa"/>
            <w:tcBorders>
              <w:top w:val="nil"/>
              <w:left w:val="nil"/>
              <w:bottom w:val="single" w:sz="4" w:space="0" w:color="auto"/>
              <w:right w:val="single" w:sz="4" w:space="0" w:color="auto"/>
            </w:tcBorders>
            <w:shd w:val="clear" w:color="auto" w:fill="auto"/>
            <w:noWrap/>
            <w:vAlign w:val="center"/>
            <w:hideMark/>
          </w:tcPr>
          <w:p w14:paraId="7769EDDF" w14:textId="77777777" w:rsidR="00E87A2A" w:rsidRPr="007F2528" w:rsidRDefault="00E87A2A" w:rsidP="007B4BF5">
            <w:pPr>
              <w:spacing w:after="0" w:line="240" w:lineRule="auto"/>
              <w:jc w:val="center"/>
              <w:rPr>
                <w:rFonts w:eastAsia="Times New Roman" w:cstheme="minorHAnsi"/>
                <w:color w:val="000000"/>
                <w:lang w:eastAsia="zh-CN"/>
              </w:rPr>
            </w:pPr>
          </w:p>
        </w:tc>
        <w:tc>
          <w:tcPr>
            <w:tcW w:w="639" w:type="dxa"/>
            <w:tcBorders>
              <w:top w:val="nil"/>
              <w:left w:val="nil"/>
              <w:bottom w:val="single" w:sz="4" w:space="0" w:color="auto"/>
              <w:right w:val="single" w:sz="4" w:space="0" w:color="auto"/>
            </w:tcBorders>
            <w:shd w:val="clear" w:color="auto" w:fill="auto"/>
            <w:noWrap/>
            <w:vAlign w:val="center"/>
            <w:hideMark/>
          </w:tcPr>
          <w:p w14:paraId="35D7742E"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3</w:t>
            </w:r>
          </w:p>
        </w:tc>
        <w:tc>
          <w:tcPr>
            <w:tcW w:w="603" w:type="dxa"/>
            <w:tcBorders>
              <w:top w:val="nil"/>
              <w:left w:val="nil"/>
              <w:bottom w:val="single" w:sz="4" w:space="0" w:color="auto"/>
              <w:right w:val="single" w:sz="4" w:space="0" w:color="auto"/>
            </w:tcBorders>
            <w:shd w:val="clear" w:color="auto" w:fill="auto"/>
            <w:noWrap/>
            <w:vAlign w:val="center"/>
            <w:hideMark/>
          </w:tcPr>
          <w:p w14:paraId="2590DF68"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5</w:t>
            </w:r>
          </w:p>
        </w:tc>
        <w:tc>
          <w:tcPr>
            <w:tcW w:w="549" w:type="dxa"/>
            <w:tcBorders>
              <w:top w:val="nil"/>
              <w:left w:val="nil"/>
              <w:bottom w:val="single" w:sz="4" w:space="0" w:color="auto"/>
              <w:right w:val="single" w:sz="4" w:space="0" w:color="auto"/>
            </w:tcBorders>
            <w:shd w:val="clear" w:color="auto" w:fill="auto"/>
            <w:noWrap/>
            <w:vAlign w:val="center"/>
            <w:hideMark/>
          </w:tcPr>
          <w:p w14:paraId="41D75254" w14:textId="77777777" w:rsidR="00E87A2A" w:rsidRPr="007F2528" w:rsidRDefault="00E87A2A" w:rsidP="007B4BF5">
            <w:pPr>
              <w:spacing w:after="0" w:line="240" w:lineRule="auto"/>
              <w:jc w:val="center"/>
              <w:rPr>
                <w:rFonts w:eastAsia="Times New Roman" w:cstheme="minorHAnsi"/>
                <w:color w:val="000000"/>
                <w:lang w:eastAsia="zh-CN"/>
              </w:rPr>
            </w:pPr>
          </w:p>
        </w:tc>
        <w:tc>
          <w:tcPr>
            <w:tcW w:w="570" w:type="dxa"/>
            <w:tcBorders>
              <w:top w:val="nil"/>
              <w:left w:val="nil"/>
              <w:bottom w:val="single" w:sz="4" w:space="0" w:color="auto"/>
              <w:right w:val="single" w:sz="4" w:space="0" w:color="auto"/>
            </w:tcBorders>
            <w:shd w:val="clear" w:color="auto" w:fill="auto"/>
            <w:noWrap/>
            <w:vAlign w:val="center"/>
            <w:hideMark/>
          </w:tcPr>
          <w:p w14:paraId="7C7E272B" w14:textId="77777777" w:rsidR="00E87A2A" w:rsidRPr="007F2528" w:rsidRDefault="00E87A2A" w:rsidP="007B4BF5">
            <w:pPr>
              <w:spacing w:after="0" w:line="240" w:lineRule="auto"/>
              <w:jc w:val="center"/>
              <w:rPr>
                <w:rFonts w:eastAsia="Times New Roman" w:cstheme="minorHAns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0EB1A7D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549" w:type="dxa"/>
            <w:tcBorders>
              <w:top w:val="nil"/>
              <w:left w:val="nil"/>
              <w:bottom w:val="single" w:sz="4" w:space="0" w:color="auto"/>
              <w:right w:val="single" w:sz="4" w:space="0" w:color="auto"/>
            </w:tcBorders>
            <w:shd w:val="clear" w:color="auto" w:fill="auto"/>
            <w:noWrap/>
            <w:vAlign w:val="center"/>
            <w:hideMark/>
          </w:tcPr>
          <w:p w14:paraId="5080A976"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644" w:type="dxa"/>
            <w:tcBorders>
              <w:top w:val="nil"/>
              <w:left w:val="nil"/>
              <w:bottom w:val="single" w:sz="4" w:space="0" w:color="auto"/>
              <w:right w:val="single" w:sz="4" w:space="0" w:color="auto"/>
            </w:tcBorders>
            <w:shd w:val="clear" w:color="auto" w:fill="auto"/>
            <w:noWrap/>
            <w:vAlign w:val="center"/>
            <w:hideMark/>
          </w:tcPr>
          <w:p w14:paraId="72F20335"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755" w:type="dxa"/>
            <w:tcBorders>
              <w:top w:val="nil"/>
              <w:left w:val="nil"/>
              <w:bottom w:val="single" w:sz="4" w:space="0" w:color="auto"/>
              <w:right w:val="single" w:sz="4" w:space="0" w:color="auto"/>
            </w:tcBorders>
            <w:shd w:val="clear" w:color="auto" w:fill="auto"/>
            <w:noWrap/>
            <w:vAlign w:val="center"/>
            <w:hideMark/>
          </w:tcPr>
          <w:p w14:paraId="4972054F"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w:t>
            </w:r>
          </w:p>
        </w:tc>
        <w:tc>
          <w:tcPr>
            <w:tcW w:w="720" w:type="dxa"/>
            <w:tcBorders>
              <w:top w:val="nil"/>
              <w:left w:val="nil"/>
              <w:bottom w:val="single" w:sz="4" w:space="0" w:color="auto"/>
              <w:right w:val="single" w:sz="4" w:space="0" w:color="auto"/>
            </w:tcBorders>
            <w:shd w:val="clear" w:color="auto" w:fill="auto"/>
            <w:noWrap/>
            <w:vAlign w:val="center"/>
            <w:hideMark/>
          </w:tcPr>
          <w:p w14:paraId="364287AF"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16</w:t>
            </w:r>
          </w:p>
        </w:tc>
      </w:tr>
      <w:tr w:rsidR="006A7338" w:rsidRPr="00821C18" w14:paraId="19C66408"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34330F43" w14:textId="77777777" w:rsidR="00E87A2A" w:rsidRPr="007F2528" w:rsidRDefault="00E87A2A" w:rsidP="007B4BF5">
            <w:pPr>
              <w:spacing w:after="0" w:line="240" w:lineRule="auto"/>
              <w:rPr>
                <w:rFonts w:eastAsia="Times New Roman" w:cstheme="minorHAnsi"/>
                <w:b/>
                <w:color w:val="000000"/>
                <w:lang w:eastAsia="zh-CN"/>
              </w:rPr>
            </w:pPr>
            <w:r w:rsidRPr="007F2528">
              <w:rPr>
                <w:rFonts w:eastAsia="Times New Roman" w:cstheme="minorHAnsi"/>
                <w:b/>
                <w:color w:val="000000"/>
                <w:lang w:eastAsia="zh-CN"/>
              </w:rPr>
              <w:t>2021</w:t>
            </w:r>
          </w:p>
        </w:tc>
        <w:tc>
          <w:tcPr>
            <w:tcW w:w="567" w:type="dxa"/>
            <w:tcBorders>
              <w:top w:val="nil"/>
              <w:left w:val="nil"/>
              <w:bottom w:val="single" w:sz="4" w:space="0" w:color="auto"/>
              <w:right w:val="single" w:sz="4" w:space="0" w:color="auto"/>
            </w:tcBorders>
            <w:shd w:val="clear" w:color="auto" w:fill="auto"/>
            <w:noWrap/>
            <w:vAlign w:val="center"/>
            <w:hideMark/>
          </w:tcPr>
          <w:p w14:paraId="25DD43ED" w14:textId="77777777" w:rsidR="00E87A2A" w:rsidRPr="007F2528" w:rsidRDefault="00E87A2A" w:rsidP="007B4BF5">
            <w:pPr>
              <w:spacing w:after="0" w:line="240" w:lineRule="auto"/>
              <w:jc w:val="center"/>
              <w:rPr>
                <w:rFonts w:eastAsia="Times New Roman" w:cstheme="minorHAnsi"/>
                <w:color w:val="000000"/>
                <w:lang w:eastAsia="zh-CN"/>
              </w:rPr>
            </w:pPr>
          </w:p>
        </w:tc>
        <w:tc>
          <w:tcPr>
            <w:tcW w:w="907" w:type="dxa"/>
            <w:tcBorders>
              <w:top w:val="nil"/>
              <w:left w:val="nil"/>
              <w:bottom w:val="single" w:sz="4" w:space="0" w:color="auto"/>
              <w:right w:val="single" w:sz="4" w:space="0" w:color="auto"/>
            </w:tcBorders>
            <w:shd w:val="clear" w:color="auto" w:fill="auto"/>
            <w:noWrap/>
            <w:vAlign w:val="center"/>
            <w:hideMark/>
          </w:tcPr>
          <w:p w14:paraId="3483929F" w14:textId="77777777" w:rsidR="00E87A2A" w:rsidRPr="007F2528" w:rsidRDefault="00E87A2A" w:rsidP="007B4BF5">
            <w:pPr>
              <w:spacing w:after="0" w:line="240" w:lineRule="auto"/>
              <w:jc w:val="center"/>
              <w:rPr>
                <w:rFonts w:eastAsia="Times New Roman" w:cstheme="minorHAnsi"/>
                <w:color w:val="000000"/>
                <w:lang w:eastAsia="zh-CN"/>
              </w:rPr>
            </w:pPr>
          </w:p>
        </w:tc>
        <w:tc>
          <w:tcPr>
            <w:tcW w:w="716" w:type="dxa"/>
            <w:tcBorders>
              <w:top w:val="nil"/>
              <w:left w:val="nil"/>
              <w:bottom w:val="single" w:sz="4" w:space="0" w:color="auto"/>
              <w:right w:val="single" w:sz="4" w:space="0" w:color="auto"/>
            </w:tcBorders>
            <w:shd w:val="clear" w:color="auto" w:fill="auto"/>
            <w:noWrap/>
            <w:vAlign w:val="center"/>
            <w:hideMark/>
          </w:tcPr>
          <w:p w14:paraId="369CA817"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2</w:t>
            </w:r>
          </w:p>
        </w:tc>
        <w:tc>
          <w:tcPr>
            <w:tcW w:w="613" w:type="dxa"/>
            <w:tcBorders>
              <w:top w:val="nil"/>
              <w:left w:val="nil"/>
              <w:bottom w:val="single" w:sz="4" w:space="0" w:color="auto"/>
              <w:right w:val="single" w:sz="4" w:space="0" w:color="auto"/>
            </w:tcBorders>
            <w:shd w:val="clear" w:color="auto" w:fill="auto"/>
            <w:noWrap/>
            <w:vAlign w:val="center"/>
            <w:hideMark/>
          </w:tcPr>
          <w:p w14:paraId="32E95B64"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3</w:t>
            </w:r>
          </w:p>
        </w:tc>
        <w:tc>
          <w:tcPr>
            <w:tcW w:w="639" w:type="dxa"/>
            <w:tcBorders>
              <w:top w:val="nil"/>
              <w:left w:val="nil"/>
              <w:bottom w:val="single" w:sz="4" w:space="0" w:color="auto"/>
              <w:right w:val="single" w:sz="4" w:space="0" w:color="auto"/>
            </w:tcBorders>
            <w:shd w:val="clear" w:color="auto" w:fill="auto"/>
            <w:noWrap/>
            <w:vAlign w:val="center"/>
            <w:hideMark/>
          </w:tcPr>
          <w:p w14:paraId="3D63C76C" w14:textId="77777777" w:rsidR="00E87A2A" w:rsidRPr="007F2528" w:rsidRDefault="00E87A2A" w:rsidP="007B4BF5">
            <w:pPr>
              <w:spacing w:after="0" w:line="240" w:lineRule="auto"/>
              <w:jc w:val="center"/>
              <w:rPr>
                <w:rFonts w:eastAsia="Times New Roman" w:cstheme="minorHAnsi"/>
                <w:color w:val="000000"/>
                <w:lang w:eastAsia="zh-CN"/>
              </w:rPr>
            </w:pPr>
          </w:p>
        </w:tc>
        <w:tc>
          <w:tcPr>
            <w:tcW w:w="603" w:type="dxa"/>
            <w:tcBorders>
              <w:top w:val="nil"/>
              <w:left w:val="nil"/>
              <w:bottom w:val="single" w:sz="4" w:space="0" w:color="auto"/>
              <w:right w:val="single" w:sz="4" w:space="0" w:color="auto"/>
            </w:tcBorders>
            <w:shd w:val="clear" w:color="auto" w:fill="auto"/>
            <w:noWrap/>
            <w:vAlign w:val="center"/>
            <w:hideMark/>
          </w:tcPr>
          <w:p w14:paraId="37E647A3" w14:textId="77777777" w:rsidR="00E87A2A" w:rsidRPr="007F2528" w:rsidRDefault="00E87A2A" w:rsidP="007B4BF5">
            <w:pPr>
              <w:spacing w:after="0" w:line="240" w:lineRule="auto"/>
              <w:jc w:val="center"/>
              <w:rPr>
                <w:rFonts w:eastAsia="Times New Roman" w:cstheme="minorHAns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1857040C" w14:textId="77777777" w:rsidR="00E87A2A" w:rsidRPr="007F2528" w:rsidRDefault="00E87A2A" w:rsidP="007B4BF5">
            <w:pPr>
              <w:spacing w:after="0" w:line="240" w:lineRule="auto"/>
              <w:jc w:val="center"/>
              <w:rPr>
                <w:rFonts w:eastAsia="Times New Roman" w:cstheme="minorHAnsi"/>
                <w:color w:val="000000"/>
                <w:lang w:eastAsia="zh-CN"/>
              </w:rPr>
            </w:pPr>
          </w:p>
        </w:tc>
        <w:tc>
          <w:tcPr>
            <w:tcW w:w="570" w:type="dxa"/>
            <w:tcBorders>
              <w:top w:val="nil"/>
              <w:left w:val="nil"/>
              <w:bottom w:val="single" w:sz="4" w:space="0" w:color="auto"/>
              <w:right w:val="single" w:sz="4" w:space="0" w:color="auto"/>
            </w:tcBorders>
            <w:shd w:val="clear" w:color="auto" w:fill="auto"/>
            <w:noWrap/>
            <w:vAlign w:val="center"/>
            <w:hideMark/>
          </w:tcPr>
          <w:p w14:paraId="5D42ECF1" w14:textId="77777777" w:rsidR="00E87A2A" w:rsidRPr="007F2528" w:rsidRDefault="00E87A2A" w:rsidP="007B4BF5">
            <w:pPr>
              <w:spacing w:after="0" w:line="240" w:lineRule="auto"/>
              <w:jc w:val="center"/>
              <w:rPr>
                <w:rFonts w:eastAsia="Times New Roman" w:cstheme="minorHAns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6B88B64F" w14:textId="77777777" w:rsidR="00E87A2A" w:rsidRPr="007F2528" w:rsidRDefault="00E87A2A" w:rsidP="007B4BF5">
            <w:pPr>
              <w:spacing w:after="0" w:line="240" w:lineRule="auto"/>
              <w:jc w:val="center"/>
              <w:rPr>
                <w:rFonts w:eastAsia="Times New Roman" w:cstheme="minorHAns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76C6EFF4" w14:textId="77777777" w:rsidR="00E87A2A" w:rsidRPr="007F2528" w:rsidRDefault="00E87A2A" w:rsidP="007B4BF5">
            <w:pPr>
              <w:spacing w:after="0" w:line="240" w:lineRule="auto"/>
              <w:jc w:val="center"/>
              <w:rPr>
                <w:rFonts w:eastAsia="Times New Roman" w:cstheme="minorHAnsi"/>
                <w:color w:val="000000"/>
                <w:lang w:eastAsia="zh-CN"/>
              </w:rPr>
            </w:pPr>
          </w:p>
        </w:tc>
        <w:tc>
          <w:tcPr>
            <w:tcW w:w="644" w:type="dxa"/>
            <w:tcBorders>
              <w:top w:val="nil"/>
              <w:left w:val="nil"/>
              <w:bottom w:val="single" w:sz="4" w:space="0" w:color="auto"/>
              <w:right w:val="single" w:sz="4" w:space="0" w:color="auto"/>
            </w:tcBorders>
            <w:shd w:val="clear" w:color="auto" w:fill="auto"/>
            <w:noWrap/>
            <w:vAlign w:val="center"/>
            <w:hideMark/>
          </w:tcPr>
          <w:p w14:paraId="48F05C33" w14:textId="77777777" w:rsidR="00E87A2A" w:rsidRPr="007F2528" w:rsidRDefault="00E87A2A" w:rsidP="007B4BF5">
            <w:pPr>
              <w:spacing w:after="0" w:line="240" w:lineRule="auto"/>
              <w:jc w:val="center"/>
              <w:rPr>
                <w:rFonts w:eastAsia="Times New Roman" w:cstheme="minorHAnsi"/>
                <w:color w:val="000000"/>
                <w:lang w:eastAsia="zh-CN"/>
              </w:rPr>
            </w:pPr>
          </w:p>
        </w:tc>
        <w:tc>
          <w:tcPr>
            <w:tcW w:w="755" w:type="dxa"/>
            <w:tcBorders>
              <w:top w:val="nil"/>
              <w:left w:val="nil"/>
              <w:bottom w:val="single" w:sz="4" w:space="0" w:color="auto"/>
              <w:right w:val="single" w:sz="4" w:space="0" w:color="auto"/>
            </w:tcBorders>
            <w:shd w:val="clear" w:color="auto" w:fill="auto"/>
            <w:noWrap/>
            <w:vAlign w:val="center"/>
            <w:hideMark/>
          </w:tcPr>
          <w:p w14:paraId="480DF468" w14:textId="77777777" w:rsidR="00E87A2A" w:rsidRPr="007F2528" w:rsidRDefault="00E87A2A" w:rsidP="007B4BF5">
            <w:pPr>
              <w:spacing w:after="0" w:line="240" w:lineRule="auto"/>
              <w:jc w:val="center"/>
              <w:rPr>
                <w:rFonts w:eastAsia="Times New Roman" w:cstheme="minorHAnsi"/>
                <w:color w:val="000000"/>
                <w:lang w:eastAsia="zh-CN"/>
              </w:rPr>
            </w:pPr>
          </w:p>
        </w:tc>
        <w:tc>
          <w:tcPr>
            <w:tcW w:w="720" w:type="dxa"/>
            <w:tcBorders>
              <w:top w:val="nil"/>
              <w:left w:val="nil"/>
              <w:bottom w:val="single" w:sz="4" w:space="0" w:color="auto"/>
              <w:right w:val="single" w:sz="4" w:space="0" w:color="auto"/>
            </w:tcBorders>
            <w:shd w:val="clear" w:color="auto" w:fill="auto"/>
            <w:noWrap/>
            <w:vAlign w:val="center"/>
            <w:hideMark/>
          </w:tcPr>
          <w:p w14:paraId="5A66187D" w14:textId="77777777" w:rsidR="00E87A2A" w:rsidRPr="007F2528" w:rsidRDefault="00E87A2A" w:rsidP="007B4BF5">
            <w:pPr>
              <w:spacing w:after="0" w:line="240" w:lineRule="auto"/>
              <w:jc w:val="center"/>
              <w:rPr>
                <w:rFonts w:eastAsia="Times New Roman" w:cstheme="minorHAnsi"/>
                <w:color w:val="000000"/>
                <w:lang w:eastAsia="zh-CN"/>
              </w:rPr>
            </w:pPr>
            <w:r w:rsidRPr="007F2528">
              <w:rPr>
                <w:rFonts w:eastAsia="Times New Roman" w:cstheme="minorHAnsi"/>
                <w:color w:val="000000"/>
                <w:lang w:eastAsia="zh-CN"/>
              </w:rPr>
              <w:t>5</w:t>
            </w:r>
          </w:p>
        </w:tc>
      </w:tr>
      <w:tr w:rsidR="006A7338" w:rsidRPr="00821C18" w14:paraId="618BF384" w14:textId="77777777" w:rsidTr="006A7338">
        <w:trPr>
          <w:trHeight w:val="77"/>
        </w:trPr>
        <w:tc>
          <w:tcPr>
            <w:tcW w:w="787" w:type="dxa"/>
            <w:tcBorders>
              <w:top w:val="nil"/>
              <w:left w:val="nil"/>
              <w:bottom w:val="nil"/>
              <w:right w:val="nil"/>
            </w:tcBorders>
            <w:shd w:val="clear" w:color="auto" w:fill="auto"/>
            <w:noWrap/>
            <w:vAlign w:val="bottom"/>
            <w:hideMark/>
          </w:tcPr>
          <w:p w14:paraId="6AF83A9B"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67" w:type="dxa"/>
            <w:tcBorders>
              <w:top w:val="nil"/>
              <w:left w:val="nil"/>
              <w:bottom w:val="nil"/>
              <w:right w:val="nil"/>
            </w:tcBorders>
            <w:shd w:val="clear" w:color="auto" w:fill="auto"/>
            <w:noWrap/>
            <w:vAlign w:val="bottom"/>
            <w:hideMark/>
          </w:tcPr>
          <w:p w14:paraId="4FED32E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907" w:type="dxa"/>
            <w:tcBorders>
              <w:top w:val="nil"/>
              <w:left w:val="nil"/>
              <w:bottom w:val="nil"/>
              <w:right w:val="nil"/>
            </w:tcBorders>
            <w:shd w:val="clear" w:color="auto" w:fill="auto"/>
            <w:noWrap/>
            <w:vAlign w:val="bottom"/>
            <w:hideMark/>
          </w:tcPr>
          <w:p w14:paraId="59C5FB9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16" w:type="dxa"/>
            <w:tcBorders>
              <w:top w:val="nil"/>
              <w:left w:val="nil"/>
              <w:bottom w:val="nil"/>
              <w:right w:val="nil"/>
            </w:tcBorders>
            <w:shd w:val="clear" w:color="auto" w:fill="auto"/>
            <w:noWrap/>
            <w:vAlign w:val="bottom"/>
            <w:hideMark/>
          </w:tcPr>
          <w:p w14:paraId="1B50BFF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13" w:type="dxa"/>
            <w:tcBorders>
              <w:top w:val="nil"/>
              <w:left w:val="nil"/>
              <w:bottom w:val="nil"/>
              <w:right w:val="nil"/>
            </w:tcBorders>
            <w:shd w:val="clear" w:color="auto" w:fill="auto"/>
            <w:noWrap/>
            <w:vAlign w:val="bottom"/>
            <w:hideMark/>
          </w:tcPr>
          <w:p w14:paraId="03E256B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39" w:type="dxa"/>
            <w:tcBorders>
              <w:top w:val="nil"/>
              <w:left w:val="nil"/>
              <w:bottom w:val="nil"/>
              <w:right w:val="nil"/>
            </w:tcBorders>
            <w:shd w:val="clear" w:color="auto" w:fill="auto"/>
            <w:noWrap/>
            <w:vAlign w:val="bottom"/>
            <w:hideMark/>
          </w:tcPr>
          <w:p w14:paraId="1D2512A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tcBorders>
              <w:top w:val="nil"/>
              <w:left w:val="nil"/>
              <w:bottom w:val="nil"/>
              <w:right w:val="nil"/>
            </w:tcBorders>
            <w:shd w:val="clear" w:color="auto" w:fill="auto"/>
            <w:noWrap/>
            <w:vAlign w:val="bottom"/>
            <w:hideMark/>
          </w:tcPr>
          <w:p w14:paraId="324973A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46E67F1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13A79D9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205618E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220533D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3CA2E9F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50F5A1C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7A4C70A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E87A2A" w:rsidRPr="00821C18" w14:paraId="5DB41137" w14:textId="77777777" w:rsidTr="006A7338">
        <w:trPr>
          <w:trHeight w:val="300"/>
        </w:trPr>
        <w:tc>
          <w:tcPr>
            <w:tcW w:w="5381" w:type="dxa"/>
            <w:gridSpan w:val="8"/>
            <w:tcBorders>
              <w:top w:val="nil"/>
              <w:left w:val="nil"/>
              <w:bottom w:val="nil"/>
              <w:right w:val="nil"/>
            </w:tcBorders>
            <w:shd w:val="clear" w:color="auto" w:fill="auto"/>
            <w:noWrap/>
            <w:vAlign w:val="bottom"/>
            <w:hideMark/>
          </w:tcPr>
          <w:p w14:paraId="6D604CEA" w14:textId="77777777" w:rsidR="00115158" w:rsidRPr="00495B09" w:rsidRDefault="00115158" w:rsidP="007B4BF5">
            <w:pPr>
              <w:spacing w:after="0" w:line="240" w:lineRule="auto"/>
              <w:rPr>
                <w:rFonts w:ascii="Calibri" w:eastAsia="Times New Roman" w:hAnsi="Calibri" w:cs="Calibri"/>
                <w:i/>
                <w:iCs/>
                <w:color w:val="000000"/>
                <w:lang w:eastAsia="zh-CN"/>
              </w:rPr>
            </w:pPr>
          </w:p>
          <w:p w14:paraId="5109F83A" w14:textId="002D8552" w:rsidR="00E87A2A" w:rsidRPr="00821C18" w:rsidRDefault="00E87A2A" w:rsidP="007B4BF5">
            <w:pPr>
              <w:spacing w:after="0" w:line="240" w:lineRule="auto"/>
              <w:rPr>
                <w:rFonts w:ascii="Calibri" w:eastAsia="Times New Roman" w:hAnsi="Calibri" w:cs="Calibri"/>
                <w:b/>
                <w:bCs/>
                <w:color w:val="000000"/>
                <w:u w:val="single"/>
                <w:lang w:eastAsia="zh-CN"/>
              </w:rPr>
            </w:pPr>
            <w:r w:rsidRPr="00281656">
              <w:rPr>
                <w:rFonts w:ascii="Calibri" w:eastAsia="Times New Roman" w:hAnsi="Calibri" w:cs="Calibri"/>
                <w:i/>
                <w:iCs/>
                <w:color w:val="000000"/>
                <w:lang w:eastAsia="zh-CN"/>
              </w:rPr>
              <w:t>Number of Synthetic Cannabis Seizures for Personal Use (Less than 56 grams)</w:t>
            </w:r>
          </w:p>
        </w:tc>
        <w:tc>
          <w:tcPr>
            <w:tcW w:w="570" w:type="dxa"/>
            <w:tcBorders>
              <w:top w:val="nil"/>
              <w:left w:val="nil"/>
              <w:bottom w:val="nil"/>
              <w:right w:val="nil"/>
            </w:tcBorders>
            <w:shd w:val="clear" w:color="auto" w:fill="auto"/>
            <w:noWrap/>
            <w:vAlign w:val="bottom"/>
            <w:hideMark/>
          </w:tcPr>
          <w:p w14:paraId="0684AAC8"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49" w:type="dxa"/>
            <w:tcBorders>
              <w:top w:val="nil"/>
              <w:left w:val="nil"/>
              <w:bottom w:val="nil"/>
              <w:right w:val="nil"/>
            </w:tcBorders>
            <w:shd w:val="clear" w:color="auto" w:fill="auto"/>
            <w:noWrap/>
            <w:vAlign w:val="bottom"/>
            <w:hideMark/>
          </w:tcPr>
          <w:p w14:paraId="2A9868B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33F6E95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2262577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31C163A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631953E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1E94036E" w14:textId="77777777" w:rsidTr="006A7338">
        <w:trPr>
          <w:trHeight w:val="300"/>
        </w:trPr>
        <w:tc>
          <w:tcPr>
            <w:tcW w:w="787" w:type="dxa"/>
            <w:tcBorders>
              <w:top w:val="nil"/>
              <w:left w:val="nil"/>
              <w:bottom w:val="nil"/>
              <w:right w:val="nil"/>
            </w:tcBorders>
            <w:shd w:val="clear" w:color="auto" w:fill="auto"/>
            <w:noWrap/>
            <w:vAlign w:val="bottom"/>
            <w:hideMark/>
          </w:tcPr>
          <w:p w14:paraId="60055E7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67" w:type="dxa"/>
            <w:tcBorders>
              <w:top w:val="nil"/>
              <w:left w:val="nil"/>
              <w:bottom w:val="nil"/>
              <w:right w:val="nil"/>
            </w:tcBorders>
            <w:shd w:val="clear" w:color="auto" w:fill="auto"/>
            <w:noWrap/>
            <w:vAlign w:val="bottom"/>
            <w:hideMark/>
          </w:tcPr>
          <w:p w14:paraId="490511B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907" w:type="dxa"/>
            <w:tcBorders>
              <w:top w:val="nil"/>
              <w:left w:val="nil"/>
              <w:bottom w:val="nil"/>
              <w:right w:val="nil"/>
            </w:tcBorders>
            <w:shd w:val="clear" w:color="auto" w:fill="auto"/>
            <w:noWrap/>
            <w:vAlign w:val="bottom"/>
            <w:hideMark/>
          </w:tcPr>
          <w:p w14:paraId="6286165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16" w:type="dxa"/>
            <w:tcBorders>
              <w:top w:val="nil"/>
              <w:left w:val="nil"/>
              <w:bottom w:val="nil"/>
              <w:right w:val="nil"/>
            </w:tcBorders>
            <w:shd w:val="clear" w:color="auto" w:fill="auto"/>
            <w:noWrap/>
            <w:vAlign w:val="bottom"/>
            <w:hideMark/>
          </w:tcPr>
          <w:p w14:paraId="4D14C90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13" w:type="dxa"/>
            <w:tcBorders>
              <w:top w:val="nil"/>
              <w:left w:val="nil"/>
              <w:bottom w:val="nil"/>
              <w:right w:val="nil"/>
            </w:tcBorders>
            <w:shd w:val="clear" w:color="auto" w:fill="auto"/>
            <w:noWrap/>
            <w:vAlign w:val="bottom"/>
            <w:hideMark/>
          </w:tcPr>
          <w:p w14:paraId="3171B45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39" w:type="dxa"/>
            <w:tcBorders>
              <w:top w:val="nil"/>
              <w:left w:val="nil"/>
              <w:bottom w:val="nil"/>
              <w:right w:val="nil"/>
            </w:tcBorders>
            <w:shd w:val="clear" w:color="auto" w:fill="auto"/>
            <w:noWrap/>
            <w:vAlign w:val="bottom"/>
            <w:hideMark/>
          </w:tcPr>
          <w:p w14:paraId="7220456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tcBorders>
              <w:top w:val="nil"/>
              <w:left w:val="nil"/>
              <w:bottom w:val="nil"/>
              <w:right w:val="nil"/>
            </w:tcBorders>
            <w:shd w:val="clear" w:color="auto" w:fill="auto"/>
            <w:noWrap/>
            <w:vAlign w:val="bottom"/>
            <w:hideMark/>
          </w:tcPr>
          <w:p w14:paraId="5B14159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2C8CA46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2A8C1B3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5BFD33B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1BB5134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0CB1359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05613DB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7E8A66B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56D56A57" w14:textId="77777777" w:rsidTr="006A7338">
        <w:trPr>
          <w:trHeight w:val="300"/>
        </w:trPr>
        <w:tc>
          <w:tcPr>
            <w:tcW w:w="78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54513A"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 </w:t>
            </w:r>
          </w:p>
        </w:tc>
        <w:tc>
          <w:tcPr>
            <w:tcW w:w="567" w:type="dxa"/>
            <w:tcBorders>
              <w:top w:val="single" w:sz="4" w:space="0" w:color="auto"/>
              <w:left w:val="nil"/>
              <w:bottom w:val="single" w:sz="4" w:space="0" w:color="auto"/>
              <w:right w:val="single" w:sz="4" w:space="0" w:color="auto"/>
            </w:tcBorders>
            <w:shd w:val="clear" w:color="DDEBF7" w:fill="DDEBF7"/>
            <w:noWrap/>
            <w:vAlign w:val="center"/>
            <w:hideMark/>
          </w:tcPr>
          <w:p w14:paraId="50BCF5B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907" w:type="dxa"/>
            <w:tcBorders>
              <w:top w:val="single" w:sz="4" w:space="0" w:color="auto"/>
              <w:left w:val="nil"/>
              <w:bottom w:val="single" w:sz="4" w:space="0" w:color="auto"/>
              <w:right w:val="single" w:sz="4" w:space="0" w:color="auto"/>
            </w:tcBorders>
            <w:shd w:val="clear" w:color="DDEBF7" w:fill="DDEBF7"/>
            <w:noWrap/>
            <w:vAlign w:val="center"/>
            <w:hideMark/>
          </w:tcPr>
          <w:p w14:paraId="7C2C1B10"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716" w:type="dxa"/>
            <w:tcBorders>
              <w:top w:val="single" w:sz="4" w:space="0" w:color="auto"/>
              <w:left w:val="nil"/>
              <w:bottom w:val="single" w:sz="4" w:space="0" w:color="auto"/>
              <w:right w:val="single" w:sz="4" w:space="0" w:color="auto"/>
            </w:tcBorders>
            <w:shd w:val="clear" w:color="DDEBF7" w:fill="DDEBF7"/>
            <w:noWrap/>
            <w:vAlign w:val="center"/>
            <w:hideMark/>
          </w:tcPr>
          <w:p w14:paraId="431738F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613" w:type="dxa"/>
            <w:tcBorders>
              <w:top w:val="single" w:sz="4" w:space="0" w:color="auto"/>
              <w:left w:val="nil"/>
              <w:bottom w:val="single" w:sz="4" w:space="0" w:color="auto"/>
              <w:right w:val="single" w:sz="4" w:space="0" w:color="auto"/>
            </w:tcBorders>
            <w:shd w:val="clear" w:color="DDEBF7" w:fill="DDEBF7"/>
            <w:noWrap/>
            <w:vAlign w:val="center"/>
            <w:hideMark/>
          </w:tcPr>
          <w:p w14:paraId="6CF2054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39" w:type="dxa"/>
            <w:tcBorders>
              <w:top w:val="single" w:sz="4" w:space="0" w:color="auto"/>
              <w:left w:val="nil"/>
              <w:bottom w:val="single" w:sz="4" w:space="0" w:color="auto"/>
              <w:right w:val="single" w:sz="4" w:space="0" w:color="auto"/>
            </w:tcBorders>
            <w:shd w:val="clear" w:color="DDEBF7" w:fill="DDEBF7"/>
            <w:noWrap/>
            <w:vAlign w:val="center"/>
            <w:hideMark/>
          </w:tcPr>
          <w:p w14:paraId="1BC10D39"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3" w:type="dxa"/>
            <w:tcBorders>
              <w:top w:val="single" w:sz="4" w:space="0" w:color="auto"/>
              <w:left w:val="nil"/>
              <w:bottom w:val="single" w:sz="4" w:space="0" w:color="auto"/>
              <w:right w:val="single" w:sz="4" w:space="0" w:color="auto"/>
            </w:tcBorders>
            <w:shd w:val="clear" w:color="DDEBF7" w:fill="DDEBF7"/>
            <w:noWrap/>
            <w:vAlign w:val="center"/>
            <w:hideMark/>
          </w:tcPr>
          <w:p w14:paraId="5824FF9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1E6D894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70" w:type="dxa"/>
            <w:tcBorders>
              <w:top w:val="single" w:sz="4" w:space="0" w:color="auto"/>
              <w:left w:val="nil"/>
              <w:bottom w:val="single" w:sz="4" w:space="0" w:color="auto"/>
              <w:right w:val="single" w:sz="4" w:space="0" w:color="auto"/>
            </w:tcBorders>
            <w:shd w:val="clear" w:color="DDEBF7" w:fill="DDEBF7"/>
            <w:noWrap/>
            <w:vAlign w:val="center"/>
            <w:hideMark/>
          </w:tcPr>
          <w:p w14:paraId="6B37A787"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5122DE3A"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41B43E6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644" w:type="dxa"/>
            <w:tcBorders>
              <w:top w:val="single" w:sz="4" w:space="0" w:color="auto"/>
              <w:left w:val="nil"/>
              <w:bottom w:val="single" w:sz="4" w:space="0" w:color="auto"/>
              <w:right w:val="single" w:sz="4" w:space="0" w:color="auto"/>
            </w:tcBorders>
            <w:shd w:val="clear" w:color="DDEBF7" w:fill="DDEBF7"/>
            <w:noWrap/>
            <w:vAlign w:val="center"/>
            <w:hideMark/>
          </w:tcPr>
          <w:p w14:paraId="3ACA950A"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755" w:type="dxa"/>
            <w:tcBorders>
              <w:top w:val="single" w:sz="4" w:space="0" w:color="auto"/>
              <w:left w:val="nil"/>
              <w:bottom w:val="single" w:sz="4" w:space="0" w:color="auto"/>
              <w:right w:val="single" w:sz="4" w:space="0" w:color="auto"/>
            </w:tcBorders>
            <w:shd w:val="clear" w:color="DDEBF7" w:fill="DDEBF7"/>
            <w:noWrap/>
            <w:vAlign w:val="center"/>
            <w:hideMark/>
          </w:tcPr>
          <w:p w14:paraId="08C46D2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720" w:type="dxa"/>
            <w:tcBorders>
              <w:top w:val="single" w:sz="4" w:space="0" w:color="auto"/>
              <w:left w:val="nil"/>
              <w:bottom w:val="single" w:sz="4" w:space="0" w:color="auto"/>
              <w:right w:val="single" w:sz="4" w:space="0" w:color="auto"/>
            </w:tcBorders>
            <w:shd w:val="clear" w:color="DDEBF7" w:fill="DDEBF7"/>
            <w:noWrap/>
            <w:vAlign w:val="center"/>
            <w:hideMark/>
          </w:tcPr>
          <w:p w14:paraId="729B9CA5"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Total</w:t>
            </w:r>
          </w:p>
        </w:tc>
      </w:tr>
      <w:tr w:rsidR="006A7338" w:rsidRPr="00821C18" w14:paraId="33276E94"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545D63F2"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67" w:type="dxa"/>
            <w:tcBorders>
              <w:top w:val="nil"/>
              <w:left w:val="nil"/>
              <w:bottom w:val="single" w:sz="4" w:space="0" w:color="auto"/>
              <w:right w:val="single" w:sz="4" w:space="0" w:color="auto"/>
            </w:tcBorders>
            <w:shd w:val="clear" w:color="auto" w:fill="auto"/>
            <w:noWrap/>
            <w:vAlign w:val="center"/>
            <w:hideMark/>
          </w:tcPr>
          <w:p w14:paraId="1DD01AA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w:t>
            </w:r>
          </w:p>
        </w:tc>
        <w:tc>
          <w:tcPr>
            <w:tcW w:w="907" w:type="dxa"/>
            <w:tcBorders>
              <w:top w:val="nil"/>
              <w:left w:val="nil"/>
              <w:bottom w:val="single" w:sz="4" w:space="0" w:color="auto"/>
              <w:right w:val="single" w:sz="4" w:space="0" w:color="auto"/>
            </w:tcBorders>
            <w:shd w:val="clear" w:color="auto" w:fill="auto"/>
            <w:noWrap/>
            <w:vAlign w:val="center"/>
            <w:hideMark/>
          </w:tcPr>
          <w:p w14:paraId="539C179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28</w:t>
            </w:r>
          </w:p>
        </w:tc>
        <w:tc>
          <w:tcPr>
            <w:tcW w:w="716" w:type="dxa"/>
            <w:tcBorders>
              <w:top w:val="nil"/>
              <w:left w:val="nil"/>
              <w:bottom w:val="single" w:sz="4" w:space="0" w:color="auto"/>
              <w:right w:val="single" w:sz="4" w:space="0" w:color="auto"/>
            </w:tcBorders>
            <w:shd w:val="clear" w:color="auto" w:fill="auto"/>
            <w:noWrap/>
            <w:vAlign w:val="center"/>
            <w:hideMark/>
          </w:tcPr>
          <w:p w14:paraId="264102C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w:t>
            </w:r>
          </w:p>
        </w:tc>
        <w:tc>
          <w:tcPr>
            <w:tcW w:w="613" w:type="dxa"/>
            <w:tcBorders>
              <w:top w:val="nil"/>
              <w:left w:val="nil"/>
              <w:bottom w:val="single" w:sz="4" w:space="0" w:color="auto"/>
              <w:right w:val="single" w:sz="4" w:space="0" w:color="auto"/>
            </w:tcBorders>
            <w:shd w:val="clear" w:color="auto" w:fill="auto"/>
            <w:noWrap/>
            <w:vAlign w:val="center"/>
            <w:hideMark/>
          </w:tcPr>
          <w:p w14:paraId="27142B6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26</w:t>
            </w:r>
          </w:p>
        </w:tc>
        <w:tc>
          <w:tcPr>
            <w:tcW w:w="639" w:type="dxa"/>
            <w:tcBorders>
              <w:top w:val="nil"/>
              <w:left w:val="nil"/>
              <w:bottom w:val="single" w:sz="4" w:space="0" w:color="auto"/>
              <w:right w:val="single" w:sz="4" w:space="0" w:color="auto"/>
            </w:tcBorders>
            <w:shd w:val="clear" w:color="auto" w:fill="auto"/>
            <w:noWrap/>
            <w:vAlign w:val="center"/>
            <w:hideMark/>
          </w:tcPr>
          <w:p w14:paraId="4BD15D6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w:t>
            </w:r>
          </w:p>
        </w:tc>
        <w:tc>
          <w:tcPr>
            <w:tcW w:w="603" w:type="dxa"/>
            <w:tcBorders>
              <w:top w:val="nil"/>
              <w:left w:val="nil"/>
              <w:bottom w:val="single" w:sz="4" w:space="0" w:color="auto"/>
              <w:right w:val="single" w:sz="4" w:space="0" w:color="auto"/>
            </w:tcBorders>
            <w:shd w:val="clear" w:color="auto" w:fill="auto"/>
            <w:noWrap/>
            <w:vAlign w:val="center"/>
            <w:hideMark/>
          </w:tcPr>
          <w:p w14:paraId="39F98D4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30</w:t>
            </w:r>
          </w:p>
        </w:tc>
        <w:tc>
          <w:tcPr>
            <w:tcW w:w="549" w:type="dxa"/>
            <w:tcBorders>
              <w:top w:val="nil"/>
              <w:left w:val="nil"/>
              <w:bottom w:val="single" w:sz="4" w:space="0" w:color="auto"/>
              <w:right w:val="single" w:sz="4" w:space="0" w:color="auto"/>
            </w:tcBorders>
            <w:shd w:val="clear" w:color="auto" w:fill="auto"/>
            <w:noWrap/>
            <w:vAlign w:val="center"/>
            <w:hideMark/>
          </w:tcPr>
          <w:p w14:paraId="35AE2B4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31</w:t>
            </w:r>
          </w:p>
        </w:tc>
        <w:tc>
          <w:tcPr>
            <w:tcW w:w="570" w:type="dxa"/>
            <w:tcBorders>
              <w:top w:val="nil"/>
              <w:left w:val="nil"/>
              <w:bottom w:val="single" w:sz="4" w:space="0" w:color="auto"/>
              <w:right w:val="single" w:sz="4" w:space="0" w:color="auto"/>
            </w:tcBorders>
            <w:shd w:val="clear" w:color="auto" w:fill="auto"/>
            <w:noWrap/>
            <w:vAlign w:val="center"/>
            <w:hideMark/>
          </w:tcPr>
          <w:p w14:paraId="75BFCD2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28</w:t>
            </w:r>
          </w:p>
        </w:tc>
        <w:tc>
          <w:tcPr>
            <w:tcW w:w="549" w:type="dxa"/>
            <w:tcBorders>
              <w:top w:val="nil"/>
              <w:left w:val="nil"/>
              <w:bottom w:val="single" w:sz="4" w:space="0" w:color="auto"/>
              <w:right w:val="single" w:sz="4" w:space="0" w:color="auto"/>
            </w:tcBorders>
            <w:shd w:val="clear" w:color="auto" w:fill="auto"/>
            <w:noWrap/>
            <w:vAlign w:val="center"/>
            <w:hideMark/>
          </w:tcPr>
          <w:p w14:paraId="5A2E93D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27</w:t>
            </w:r>
          </w:p>
        </w:tc>
        <w:tc>
          <w:tcPr>
            <w:tcW w:w="549" w:type="dxa"/>
            <w:tcBorders>
              <w:top w:val="nil"/>
              <w:left w:val="nil"/>
              <w:bottom w:val="single" w:sz="4" w:space="0" w:color="auto"/>
              <w:right w:val="single" w:sz="4" w:space="0" w:color="auto"/>
            </w:tcBorders>
            <w:shd w:val="clear" w:color="auto" w:fill="auto"/>
            <w:noWrap/>
            <w:vAlign w:val="center"/>
            <w:hideMark/>
          </w:tcPr>
          <w:p w14:paraId="47EA289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23</w:t>
            </w:r>
          </w:p>
        </w:tc>
        <w:tc>
          <w:tcPr>
            <w:tcW w:w="644" w:type="dxa"/>
            <w:tcBorders>
              <w:top w:val="nil"/>
              <w:left w:val="nil"/>
              <w:bottom w:val="single" w:sz="4" w:space="0" w:color="auto"/>
              <w:right w:val="single" w:sz="4" w:space="0" w:color="auto"/>
            </w:tcBorders>
            <w:shd w:val="clear" w:color="auto" w:fill="auto"/>
            <w:noWrap/>
            <w:vAlign w:val="center"/>
            <w:hideMark/>
          </w:tcPr>
          <w:p w14:paraId="7D25383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w:t>
            </w:r>
          </w:p>
        </w:tc>
        <w:tc>
          <w:tcPr>
            <w:tcW w:w="755" w:type="dxa"/>
            <w:tcBorders>
              <w:top w:val="nil"/>
              <w:left w:val="nil"/>
              <w:bottom w:val="single" w:sz="4" w:space="0" w:color="auto"/>
              <w:right w:val="single" w:sz="4" w:space="0" w:color="auto"/>
            </w:tcBorders>
            <w:shd w:val="clear" w:color="auto" w:fill="auto"/>
            <w:noWrap/>
            <w:vAlign w:val="center"/>
            <w:hideMark/>
          </w:tcPr>
          <w:p w14:paraId="17EAC21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w:t>
            </w:r>
          </w:p>
        </w:tc>
        <w:tc>
          <w:tcPr>
            <w:tcW w:w="720" w:type="dxa"/>
            <w:tcBorders>
              <w:top w:val="nil"/>
              <w:left w:val="nil"/>
              <w:bottom w:val="single" w:sz="4" w:space="0" w:color="auto"/>
              <w:right w:val="single" w:sz="4" w:space="0" w:color="auto"/>
            </w:tcBorders>
            <w:shd w:val="clear" w:color="auto" w:fill="auto"/>
            <w:noWrap/>
            <w:vAlign w:val="center"/>
            <w:hideMark/>
          </w:tcPr>
          <w:p w14:paraId="2424CF0A"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317</w:t>
            </w:r>
          </w:p>
        </w:tc>
      </w:tr>
      <w:tr w:rsidR="006A7338" w:rsidRPr="00821C18" w14:paraId="1E895A90"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0AC9E33C"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67" w:type="dxa"/>
            <w:tcBorders>
              <w:top w:val="nil"/>
              <w:left w:val="nil"/>
              <w:bottom w:val="single" w:sz="4" w:space="0" w:color="auto"/>
              <w:right w:val="single" w:sz="4" w:space="0" w:color="auto"/>
            </w:tcBorders>
            <w:shd w:val="clear" w:color="auto" w:fill="auto"/>
            <w:noWrap/>
            <w:vAlign w:val="center"/>
            <w:hideMark/>
          </w:tcPr>
          <w:p w14:paraId="7E1F228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33</w:t>
            </w:r>
          </w:p>
        </w:tc>
        <w:tc>
          <w:tcPr>
            <w:tcW w:w="907" w:type="dxa"/>
            <w:tcBorders>
              <w:top w:val="nil"/>
              <w:left w:val="nil"/>
              <w:bottom w:val="single" w:sz="4" w:space="0" w:color="auto"/>
              <w:right w:val="single" w:sz="4" w:space="0" w:color="auto"/>
            </w:tcBorders>
            <w:shd w:val="clear" w:color="auto" w:fill="auto"/>
            <w:noWrap/>
            <w:vAlign w:val="center"/>
            <w:hideMark/>
          </w:tcPr>
          <w:p w14:paraId="0B7B811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w:t>
            </w:r>
          </w:p>
        </w:tc>
        <w:tc>
          <w:tcPr>
            <w:tcW w:w="716" w:type="dxa"/>
            <w:tcBorders>
              <w:top w:val="nil"/>
              <w:left w:val="nil"/>
              <w:bottom w:val="single" w:sz="4" w:space="0" w:color="auto"/>
              <w:right w:val="single" w:sz="4" w:space="0" w:color="auto"/>
            </w:tcBorders>
            <w:shd w:val="clear" w:color="auto" w:fill="auto"/>
            <w:noWrap/>
            <w:vAlign w:val="center"/>
            <w:hideMark/>
          </w:tcPr>
          <w:p w14:paraId="1C13005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w:t>
            </w:r>
          </w:p>
        </w:tc>
        <w:tc>
          <w:tcPr>
            <w:tcW w:w="613" w:type="dxa"/>
            <w:tcBorders>
              <w:top w:val="nil"/>
              <w:left w:val="nil"/>
              <w:bottom w:val="single" w:sz="4" w:space="0" w:color="auto"/>
              <w:right w:val="single" w:sz="4" w:space="0" w:color="auto"/>
            </w:tcBorders>
            <w:shd w:val="clear" w:color="auto" w:fill="auto"/>
            <w:noWrap/>
            <w:vAlign w:val="center"/>
            <w:hideMark/>
          </w:tcPr>
          <w:p w14:paraId="2000753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22</w:t>
            </w:r>
          </w:p>
        </w:tc>
        <w:tc>
          <w:tcPr>
            <w:tcW w:w="639" w:type="dxa"/>
            <w:tcBorders>
              <w:top w:val="nil"/>
              <w:left w:val="nil"/>
              <w:bottom w:val="single" w:sz="4" w:space="0" w:color="auto"/>
              <w:right w:val="single" w:sz="4" w:space="0" w:color="auto"/>
            </w:tcBorders>
            <w:shd w:val="clear" w:color="auto" w:fill="auto"/>
            <w:noWrap/>
            <w:vAlign w:val="center"/>
            <w:hideMark/>
          </w:tcPr>
          <w:p w14:paraId="4C9DFC5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603" w:type="dxa"/>
            <w:tcBorders>
              <w:top w:val="nil"/>
              <w:left w:val="nil"/>
              <w:bottom w:val="single" w:sz="4" w:space="0" w:color="auto"/>
              <w:right w:val="single" w:sz="4" w:space="0" w:color="auto"/>
            </w:tcBorders>
            <w:shd w:val="clear" w:color="auto" w:fill="auto"/>
            <w:noWrap/>
            <w:vAlign w:val="center"/>
            <w:hideMark/>
          </w:tcPr>
          <w:p w14:paraId="63E5D63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w:t>
            </w:r>
          </w:p>
        </w:tc>
        <w:tc>
          <w:tcPr>
            <w:tcW w:w="549" w:type="dxa"/>
            <w:tcBorders>
              <w:top w:val="nil"/>
              <w:left w:val="nil"/>
              <w:bottom w:val="single" w:sz="4" w:space="0" w:color="auto"/>
              <w:right w:val="single" w:sz="4" w:space="0" w:color="auto"/>
            </w:tcBorders>
            <w:shd w:val="clear" w:color="auto" w:fill="auto"/>
            <w:noWrap/>
            <w:vAlign w:val="center"/>
            <w:hideMark/>
          </w:tcPr>
          <w:p w14:paraId="0357E29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570" w:type="dxa"/>
            <w:tcBorders>
              <w:top w:val="nil"/>
              <w:left w:val="nil"/>
              <w:bottom w:val="single" w:sz="4" w:space="0" w:color="auto"/>
              <w:right w:val="single" w:sz="4" w:space="0" w:color="auto"/>
            </w:tcBorders>
            <w:shd w:val="clear" w:color="auto" w:fill="auto"/>
            <w:noWrap/>
            <w:vAlign w:val="center"/>
            <w:hideMark/>
          </w:tcPr>
          <w:p w14:paraId="5D9B54F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w:t>
            </w:r>
          </w:p>
        </w:tc>
        <w:tc>
          <w:tcPr>
            <w:tcW w:w="549" w:type="dxa"/>
            <w:tcBorders>
              <w:top w:val="nil"/>
              <w:left w:val="nil"/>
              <w:bottom w:val="single" w:sz="4" w:space="0" w:color="auto"/>
              <w:right w:val="single" w:sz="4" w:space="0" w:color="auto"/>
            </w:tcBorders>
            <w:shd w:val="clear" w:color="auto" w:fill="auto"/>
            <w:noWrap/>
            <w:vAlign w:val="center"/>
            <w:hideMark/>
          </w:tcPr>
          <w:p w14:paraId="2B17CA2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549" w:type="dxa"/>
            <w:tcBorders>
              <w:top w:val="nil"/>
              <w:left w:val="nil"/>
              <w:bottom w:val="single" w:sz="4" w:space="0" w:color="auto"/>
              <w:right w:val="single" w:sz="4" w:space="0" w:color="auto"/>
            </w:tcBorders>
            <w:shd w:val="clear" w:color="auto" w:fill="auto"/>
            <w:noWrap/>
            <w:vAlign w:val="center"/>
            <w:hideMark/>
          </w:tcPr>
          <w:p w14:paraId="4AB3BB2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644" w:type="dxa"/>
            <w:tcBorders>
              <w:top w:val="nil"/>
              <w:left w:val="nil"/>
              <w:bottom w:val="single" w:sz="4" w:space="0" w:color="auto"/>
              <w:right w:val="single" w:sz="4" w:space="0" w:color="auto"/>
            </w:tcBorders>
            <w:shd w:val="clear" w:color="auto" w:fill="auto"/>
            <w:noWrap/>
            <w:vAlign w:val="center"/>
            <w:hideMark/>
          </w:tcPr>
          <w:p w14:paraId="6C2061D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755" w:type="dxa"/>
            <w:tcBorders>
              <w:top w:val="nil"/>
              <w:left w:val="nil"/>
              <w:bottom w:val="single" w:sz="4" w:space="0" w:color="auto"/>
              <w:right w:val="single" w:sz="4" w:space="0" w:color="auto"/>
            </w:tcBorders>
            <w:shd w:val="clear" w:color="auto" w:fill="auto"/>
            <w:noWrap/>
            <w:vAlign w:val="center"/>
            <w:hideMark/>
          </w:tcPr>
          <w:p w14:paraId="31578E8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720" w:type="dxa"/>
            <w:tcBorders>
              <w:top w:val="nil"/>
              <w:left w:val="nil"/>
              <w:bottom w:val="single" w:sz="4" w:space="0" w:color="auto"/>
              <w:right w:val="single" w:sz="4" w:space="0" w:color="auto"/>
            </w:tcBorders>
            <w:shd w:val="clear" w:color="auto" w:fill="auto"/>
            <w:noWrap/>
            <w:vAlign w:val="center"/>
            <w:hideMark/>
          </w:tcPr>
          <w:p w14:paraId="07032404"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170</w:t>
            </w:r>
          </w:p>
        </w:tc>
      </w:tr>
      <w:tr w:rsidR="006A7338" w:rsidRPr="00821C18" w14:paraId="0BB5ED21"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16640721"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67" w:type="dxa"/>
            <w:tcBorders>
              <w:top w:val="nil"/>
              <w:left w:val="nil"/>
              <w:bottom w:val="single" w:sz="4" w:space="0" w:color="auto"/>
              <w:right w:val="single" w:sz="4" w:space="0" w:color="auto"/>
            </w:tcBorders>
            <w:shd w:val="clear" w:color="auto" w:fill="auto"/>
            <w:noWrap/>
            <w:vAlign w:val="center"/>
            <w:hideMark/>
          </w:tcPr>
          <w:p w14:paraId="1672350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907" w:type="dxa"/>
            <w:tcBorders>
              <w:top w:val="nil"/>
              <w:left w:val="nil"/>
              <w:bottom w:val="single" w:sz="4" w:space="0" w:color="auto"/>
              <w:right w:val="single" w:sz="4" w:space="0" w:color="auto"/>
            </w:tcBorders>
            <w:shd w:val="clear" w:color="auto" w:fill="auto"/>
            <w:noWrap/>
            <w:vAlign w:val="center"/>
            <w:hideMark/>
          </w:tcPr>
          <w:p w14:paraId="36696F0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716" w:type="dxa"/>
            <w:tcBorders>
              <w:top w:val="nil"/>
              <w:left w:val="nil"/>
              <w:bottom w:val="single" w:sz="4" w:space="0" w:color="auto"/>
              <w:right w:val="single" w:sz="4" w:space="0" w:color="auto"/>
            </w:tcBorders>
            <w:shd w:val="clear" w:color="auto" w:fill="auto"/>
            <w:noWrap/>
            <w:vAlign w:val="center"/>
            <w:hideMark/>
          </w:tcPr>
          <w:p w14:paraId="05D4B0A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613" w:type="dxa"/>
            <w:tcBorders>
              <w:top w:val="nil"/>
              <w:left w:val="nil"/>
              <w:bottom w:val="single" w:sz="4" w:space="0" w:color="auto"/>
              <w:right w:val="single" w:sz="4" w:space="0" w:color="auto"/>
            </w:tcBorders>
            <w:shd w:val="clear" w:color="auto" w:fill="auto"/>
            <w:noWrap/>
            <w:vAlign w:val="center"/>
            <w:hideMark/>
          </w:tcPr>
          <w:p w14:paraId="4B89424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w:t>
            </w:r>
          </w:p>
        </w:tc>
        <w:tc>
          <w:tcPr>
            <w:tcW w:w="639" w:type="dxa"/>
            <w:tcBorders>
              <w:top w:val="nil"/>
              <w:left w:val="nil"/>
              <w:bottom w:val="single" w:sz="4" w:space="0" w:color="auto"/>
              <w:right w:val="single" w:sz="4" w:space="0" w:color="auto"/>
            </w:tcBorders>
            <w:shd w:val="clear" w:color="auto" w:fill="auto"/>
            <w:noWrap/>
            <w:vAlign w:val="center"/>
            <w:hideMark/>
          </w:tcPr>
          <w:p w14:paraId="6BC1125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16</w:t>
            </w:r>
          </w:p>
        </w:tc>
        <w:tc>
          <w:tcPr>
            <w:tcW w:w="603" w:type="dxa"/>
            <w:tcBorders>
              <w:top w:val="nil"/>
              <w:left w:val="nil"/>
              <w:bottom w:val="single" w:sz="4" w:space="0" w:color="auto"/>
              <w:right w:val="single" w:sz="4" w:space="0" w:color="auto"/>
            </w:tcBorders>
            <w:shd w:val="clear" w:color="auto" w:fill="auto"/>
            <w:noWrap/>
            <w:vAlign w:val="center"/>
            <w:hideMark/>
          </w:tcPr>
          <w:p w14:paraId="68EA287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549" w:type="dxa"/>
            <w:tcBorders>
              <w:top w:val="nil"/>
              <w:left w:val="nil"/>
              <w:bottom w:val="single" w:sz="4" w:space="0" w:color="auto"/>
              <w:right w:val="single" w:sz="4" w:space="0" w:color="auto"/>
            </w:tcBorders>
            <w:shd w:val="clear" w:color="auto" w:fill="auto"/>
            <w:noWrap/>
            <w:vAlign w:val="center"/>
            <w:hideMark/>
          </w:tcPr>
          <w:p w14:paraId="7A1F3D5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570" w:type="dxa"/>
            <w:tcBorders>
              <w:top w:val="nil"/>
              <w:left w:val="nil"/>
              <w:bottom w:val="single" w:sz="4" w:space="0" w:color="auto"/>
              <w:right w:val="single" w:sz="4" w:space="0" w:color="auto"/>
            </w:tcBorders>
            <w:shd w:val="clear" w:color="auto" w:fill="auto"/>
            <w:noWrap/>
            <w:vAlign w:val="center"/>
            <w:hideMark/>
          </w:tcPr>
          <w:p w14:paraId="1B81F45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549" w:type="dxa"/>
            <w:tcBorders>
              <w:top w:val="nil"/>
              <w:left w:val="nil"/>
              <w:bottom w:val="single" w:sz="4" w:space="0" w:color="auto"/>
              <w:right w:val="single" w:sz="4" w:space="0" w:color="auto"/>
            </w:tcBorders>
            <w:shd w:val="clear" w:color="auto" w:fill="auto"/>
            <w:noWrap/>
            <w:vAlign w:val="center"/>
            <w:hideMark/>
          </w:tcPr>
          <w:p w14:paraId="6387D2F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549" w:type="dxa"/>
            <w:tcBorders>
              <w:top w:val="nil"/>
              <w:left w:val="nil"/>
              <w:bottom w:val="single" w:sz="4" w:space="0" w:color="auto"/>
              <w:right w:val="single" w:sz="4" w:space="0" w:color="auto"/>
            </w:tcBorders>
            <w:shd w:val="clear" w:color="auto" w:fill="auto"/>
            <w:noWrap/>
            <w:vAlign w:val="center"/>
            <w:hideMark/>
          </w:tcPr>
          <w:p w14:paraId="6CB56FB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644" w:type="dxa"/>
            <w:tcBorders>
              <w:top w:val="nil"/>
              <w:left w:val="nil"/>
              <w:bottom w:val="single" w:sz="4" w:space="0" w:color="auto"/>
              <w:right w:val="single" w:sz="4" w:space="0" w:color="auto"/>
            </w:tcBorders>
            <w:shd w:val="clear" w:color="auto" w:fill="auto"/>
            <w:noWrap/>
            <w:vAlign w:val="center"/>
            <w:hideMark/>
          </w:tcPr>
          <w:p w14:paraId="078C012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755" w:type="dxa"/>
            <w:tcBorders>
              <w:top w:val="nil"/>
              <w:left w:val="nil"/>
              <w:bottom w:val="single" w:sz="4" w:space="0" w:color="auto"/>
              <w:right w:val="single" w:sz="4" w:space="0" w:color="auto"/>
            </w:tcBorders>
            <w:shd w:val="clear" w:color="auto" w:fill="auto"/>
            <w:noWrap/>
            <w:vAlign w:val="center"/>
            <w:hideMark/>
          </w:tcPr>
          <w:p w14:paraId="2115BD4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720" w:type="dxa"/>
            <w:tcBorders>
              <w:top w:val="nil"/>
              <w:left w:val="nil"/>
              <w:bottom w:val="single" w:sz="4" w:space="0" w:color="auto"/>
              <w:right w:val="single" w:sz="4" w:space="0" w:color="auto"/>
            </w:tcBorders>
            <w:shd w:val="clear" w:color="auto" w:fill="auto"/>
            <w:noWrap/>
            <w:vAlign w:val="center"/>
            <w:hideMark/>
          </w:tcPr>
          <w:p w14:paraId="5A0BA496"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95</w:t>
            </w:r>
          </w:p>
        </w:tc>
      </w:tr>
      <w:tr w:rsidR="006A7338" w:rsidRPr="00821C18" w14:paraId="385DC5D0"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5D56CE46"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67" w:type="dxa"/>
            <w:tcBorders>
              <w:top w:val="nil"/>
              <w:left w:val="nil"/>
              <w:bottom w:val="single" w:sz="4" w:space="0" w:color="auto"/>
              <w:right w:val="single" w:sz="4" w:space="0" w:color="auto"/>
            </w:tcBorders>
            <w:shd w:val="clear" w:color="auto" w:fill="auto"/>
            <w:noWrap/>
            <w:vAlign w:val="center"/>
            <w:hideMark/>
          </w:tcPr>
          <w:p w14:paraId="6634319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907" w:type="dxa"/>
            <w:tcBorders>
              <w:top w:val="nil"/>
              <w:left w:val="nil"/>
              <w:bottom w:val="single" w:sz="4" w:space="0" w:color="auto"/>
              <w:right w:val="single" w:sz="4" w:space="0" w:color="auto"/>
            </w:tcBorders>
            <w:shd w:val="clear" w:color="auto" w:fill="auto"/>
            <w:noWrap/>
            <w:vAlign w:val="center"/>
            <w:hideMark/>
          </w:tcPr>
          <w:p w14:paraId="7B603A3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716" w:type="dxa"/>
            <w:tcBorders>
              <w:top w:val="nil"/>
              <w:left w:val="nil"/>
              <w:bottom w:val="single" w:sz="4" w:space="0" w:color="auto"/>
              <w:right w:val="single" w:sz="4" w:space="0" w:color="auto"/>
            </w:tcBorders>
            <w:shd w:val="clear" w:color="auto" w:fill="auto"/>
            <w:noWrap/>
            <w:vAlign w:val="center"/>
            <w:hideMark/>
          </w:tcPr>
          <w:p w14:paraId="35A706B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613" w:type="dxa"/>
            <w:tcBorders>
              <w:top w:val="nil"/>
              <w:left w:val="nil"/>
              <w:bottom w:val="single" w:sz="4" w:space="0" w:color="auto"/>
              <w:right w:val="single" w:sz="4" w:space="0" w:color="auto"/>
            </w:tcBorders>
            <w:shd w:val="clear" w:color="auto" w:fill="auto"/>
            <w:noWrap/>
            <w:vAlign w:val="center"/>
            <w:hideMark/>
          </w:tcPr>
          <w:p w14:paraId="63B931C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639" w:type="dxa"/>
            <w:tcBorders>
              <w:top w:val="nil"/>
              <w:left w:val="nil"/>
              <w:bottom w:val="single" w:sz="4" w:space="0" w:color="auto"/>
              <w:right w:val="single" w:sz="4" w:space="0" w:color="auto"/>
            </w:tcBorders>
            <w:shd w:val="clear" w:color="auto" w:fill="auto"/>
            <w:noWrap/>
            <w:vAlign w:val="center"/>
            <w:hideMark/>
          </w:tcPr>
          <w:p w14:paraId="52B7B24D"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3" w:type="dxa"/>
            <w:tcBorders>
              <w:top w:val="nil"/>
              <w:left w:val="nil"/>
              <w:bottom w:val="single" w:sz="4" w:space="0" w:color="auto"/>
              <w:right w:val="single" w:sz="4" w:space="0" w:color="auto"/>
            </w:tcBorders>
            <w:shd w:val="clear" w:color="auto" w:fill="auto"/>
            <w:noWrap/>
            <w:vAlign w:val="center"/>
            <w:hideMark/>
          </w:tcPr>
          <w:p w14:paraId="6C401C58"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728C5D2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0" w:type="dxa"/>
            <w:tcBorders>
              <w:top w:val="nil"/>
              <w:left w:val="nil"/>
              <w:bottom w:val="single" w:sz="4" w:space="0" w:color="auto"/>
              <w:right w:val="single" w:sz="4" w:space="0" w:color="auto"/>
            </w:tcBorders>
            <w:shd w:val="clear" w:color="auto" w:fill="auto"/>
            <w:noWrap/>
            <w:vAlign w:val="center"/>
            <w:hideMark/>
          </w:tcPr>
          <w:p w14:paraId="0DDE33FA"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207CC81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6E145AF7"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44" w:type="dxa"/>
            <w:tcBorders>
              <w:top w:val="nil"/>
              <w:left w:val="nil"/>
              <w:bottom w:val="single" w:sz="4" w:space="0" w:color="auto"/>
              <w:right w:val="single" w:sz="4" w:space="0" w:color="auto"/>
            </w:tcBorders>
            <w:shd w:val="clear" w:color="auto" w:fill="auto"/>
            <w:noWrap/>
            <w:vAlign w:val="center"/>
            <w:hideMark/>
          </w:tcPr>
          <w:p w14:paraId="1DF29C4F"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55" w:type="dxa"/>
            <w:tcBorders>
              <w:top w:val="nil"/>
              <w:left w:val="nil"/>
              <w:bottom w:val="single" w:sz="4" w:space="0" w:color="auto"/>
              <w:right w:val="single" w:sz="4" w:space="0" w:color="auto"/>
            </w:tcBorders>
            <w:shd w:val="clear" w:color="auto" w:fill="auto"/>
            <w:noWrap/>
            <w:vAlign w:val="center"/>
            <w:hideMark/>
          </w:tcPr>
          <w:p w14:paraId="7F634FCC"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20" w:type="dxa"/>
            <w:tcBorders>
              <w:top w:val="nil"/>
              <w:left w:val="nil"/>
              <w:bottom w:val="single" w:sz="4" w:space="0" w:color="auto"/>
              <w:right w:val="single" w:sz="4" w:space="0" w:color="auto"/>
            </w:tcBorders>
            <w:shd w:val="clear" w:color="auto" w:fill="auto"/>
            <w:noWrap/>
            <w:vAlign w:val="center"/>
            <w:hideMark/>
          </w:tcPr>
          <w:p w14:paraId="1FF941CB"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25</w:t>
            </w:r>
          </w:p>
        </w:tc>
      </w:tr>
      <w:tr w:rsidR="006A7338" w:rsidRPr="00821C18" w14:paraId="0F911E28" w14:textId="77777777" w:rsidTr="006A7338">
        <w:trPr>
          <w:trHeight w:val="300"/>
        </w:trPr>
        <w:tc>
          <w:tcPr>
            <w:tcW w:w="787" w:type="dxa"/>
            <w:tcBorders>
              <w:top w:val="nil"/>
              <w:left w:val="nil"/>
              <w:bottom w:val="nil"/>
              <w:right w:val="nil"/>
            </w:tcBorders>
            <w:shd w:val="clear" w:color="auto" w:fill="auto"/>
            <w:noWrap/>
            <w:vAlign w:val="bottom"/>
            <w:hideMark/>
          </w:tcPr>
          <w:p w14:paraId="007A97D4"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67" w:type="dxa"/>
            <w:tcBorders>
              <w:top w:val="nil"/>
              <w:left w:val="nil"/>
              <w:bottom w:val="nil"/>
              <w:right w:val="nil"/>
            </w:tcBorders>
            <w:shd w:val="clear" w:color="auto" w:fill="auto"/>
            <w:noWrap/>
            <w:vAlign w:val="bottom"/>
            <w:hideMark/>
          </w:tcPr>
          <w:p w14:paraId="7A1F5CA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907" w:type="dxa"/>
            <w:tcBorders>
              <w:top w:val="nil"/>
              <w:left w:val="nil"/>
              <w:bottom w:val="nil"/>
              <w:right w:val="nil"/>
            </w:tcBorders>
            <w:shd w:val="clear" w:color="auto" w:fill="auto"/>
            <w:noWrap/>
            <w:vAlign w:val="bottom"/>
            <w:hideMark/>
          </w:tcPr>
          <w:p w14:paraId="20318AA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16" w:type="dxa"/>
            <w:tcBorders>
              <w:top w:val="nil"/>
              <w:left w:val="nil"/>
              <w:bottom w:val="nil"/>
              <w:right w:val="nil"/>
            </w:tcBorders>
            <w:shd w:val="clear" w:color="auto" w:fill="auto"/>
            <w:noWrap/>
            <w:vAlign w:val="bottom"/>
            <w:hideMark/>
          </w:tcPr>
          <w:p w14:paraId="27A1A30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13" w:type="dxa"/>
            <w:tcBorders>
              <w:top w:val="nil"/>
              <w:left w:val="nil"/>
              <w:bottom w:val="nil"/>
              <w:right w:val="nil"/>
            </w:tcBorders>
            <w:shd w:val="clear" w:color="auto" w:fill="auto"/>
            <w:noWrap/>
            <w:vAlign w:val="bottom"/>
            <w:hideMark/>
          </w:tcPr>
          <w:p w14:paraId="7EF731E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39" w:type="dxa"/>
            <w:tcBorders>
              <w:top w:val="nil"/>
              <w:left w:val="nil"/>
              <w:bottom w:val="nil"/>
              <w:right w:val="nil"/>
            </w:tcBorders>
            <w:shd w:val="clear" w:color="auto" w:fill="auto"/>
            <w:noWrap/>
            <w:vAlign w:val="bottom"/>
            <w:hideMark/>
          </w:tcPr>
          <w:p w14:paraId="6C4180B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tcBorders>
              <w:top w:val="nil"/>
              <w:left w:val="nil"/>
              <w:bottom w:val="nil"/>
              <w:right w:val="nil"/>
            </w:tcBorders>
            <w:shd w:val="clear" w:color="auto" w:fill="auto"/>
            <w:noWrap/>
            <w:vAlign w:val="bottom"/>
            <w:hideMark/>
          </w:tcPr>
          <w:p w14:paraId="27F4EA8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79D6912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378BDAB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0B526C0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740748A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567BB93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637C440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314A6F0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E87A2A" w:rsidRPr="00821C18" w14:paraId="73D55479" w14:textId="77777777" w:rsidTr="006A7338">
        <w:trPr>
          <w:trHeight w:val="300"/>
        </w:trPr>
        <w:tc>
          <w:tcPr>
            <w:tcW w:w="4832" w:type="dxa"/>
            <w:gridSpan w:val="7"/>
            <w:tcBorders>
              <w:top w:val="nil"/>
              <w:left w:val="nil"/>
              <w:bottom w:val="nil"/>
              <w:right w:val="nil"/>
            </w:tcBorders>
            <w:shd w:val="clear" w:color="auto" w:fill="auto"/>
            <w:noWrap/>
            <w:vAlign w:val="bottom"/>
            <w:hideMark/>
          </w:tcPr>
          <w:p w14:paraId="4D3E9F20"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r w:rsidRPr="00281656">
              <w:rPr>
                <w:rFonts w:ascii="Calibri" w:eastAsia="Times New Roman" w:hAnsi="Calibri" w:cs="Calibri"/>
                <w:i/>
                <w:iCs/>
                <w:color w:val="000000"/>
                <w:lang w:eastAsia="zh-CN"/>
              </w:rPr>
              <w:t>Number of Cannabis Seizures for Personal Use (Less than 28 grams)</w:t>
            </w:r>
          </w:p>
        </w:tc>
        <w:tc>
          <w:tcPr>
            <w:tcW w:w="549" w:type="dxa"/>
            <w:tcBorders>
              <w:top w:val="nil"/>
              <w:left w:val="nil"/>
              <w:bottom w:val="nil"/>
              <w:right w:val="nil"/>
            </w:tcBorders>
            <w:shd w:val="clear" w:color="auto" w:fill="auto"/>
            <w:noWrap/>
            <w:vAlign w:val="bottom"/>
            <w:hideMark/>
          </w:tcPr>
          <w:p w14:paraId="766B6A1C"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70" w:type="dxa"/>
            <w:tcBorders>
              <w:top w:val="nil"/>
              <w:left w:val="nil"/>
              <w:bottom w:val="nil"/>
              <w:right w:val="nil"/>
            </w:tcBorders>
            <w:shd w:val="clear" w:color="auto" w:fill="auto"/>
            <w:noWrap/>
            <w:vAlign w:val="bottom"/>
            <w:hideMark/>
          </w:tcPr>
          <w:p w14:paraId="11D2AC0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5A1F86E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0687226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093EFAF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502ECF1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2ECC6F4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66EFB84A" w14:textId="77777777" w:rsidTr="006A7338">
        <w:trPr>
          <w:trHeight w:val="300"/>
        </w:trPr>
        <w:tc>
          <w:tcPr>
            <w:tcW w:w="787" w:type="dxa"/>
            <w:tcBorders>
              <w:top w:val="nil"/>
              <w:left w:val="nil"/>
              <w:bottom w:val="nil"/>
              <w:right w:val="nil"/>
            </w:tcBorders>
            <w:shd w:val="clear" w:color="auto" w:fill="auto"/>
            <w:noWrap/>
            <w:vAlign w:val="bottom"/>
            <w:hideMark/>
          </w:tcPr>
          <w:p w14:paraId="5A169ED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67" w:type="dxa"/>
            <w:tcBorders>
              <w:top w:val="nil"/>
              <w:left w:val="nil"/>
              <w:bottom w:val="nil"/>
              <w:right w:val="nil"/>
            </w:tcBorders>
            <w:shd w:val="clear" w:color="auto" w:fill="auto"/>
            <w:noWrap/>
            <w:vAlign w:val="bottom"/>
            <w:hideMark/>
          </w:tcPr>
          <w:p w14:paraId="30D7915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907" w:type="dxa"/>
            <w:tcBorders>
              <w:top w:val="nil"/>
              <w:left w:val="nil"/>
              <w:bottom w:val="nil"/>
              <w:right w:val="nil"/>
            </w:tcBorders>
            <w:shd w:val="clear" w:color="auto" w:fill="auto"/>
            <w:noWrap/>
            <w:vAlign w:val="bottom"/>
            <w:hideMark/>
          </w:tcPr>
          <w:p w14:paraId="58EE9EA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16" w:type="dxa"/>
            <w:tcBorders>
              <w:top w:val="nil"/>
              <w:left w:val="nil"/>
              <w:bottom w:val="nil"/>
              <w:right w:val="nil"/>
            </w:tcBorders>
            <w:shd w:val="clear" w:color="auto" w:fill="auto"/>
            <w:noWrap/>
            <w:vAlign w:val="bottom"/>
            <w:hideMark/>
          </w:tcPr>
          <w:p w14:paraId="5549386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13" w:type="dxa"/>
            <w:tcBorders>
              <w:top w:val="nil"/>
              <w:left w:val="nil"/>
              <w:bottom w:val="nil"/>
              <w:right w:val="nil"/>
            </w:tcBorders>
            <w:shd w:val="clear" w:color="auto" w:fill="auto"/>
            <w:noWrap/>
            <w:vAlign w:val="bottom"/>
            <w:hideMark/>
          </w:tcPr>
          <w:p w14:paraId="7506533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39" w:type="dxa"/>
            <w:tcBorders>
              <w:top w:val="nil"/>
              <w:left w:val="nil"/>
              <w:bottom w:val="nil"/>
              <w:right w:val="nil"/>
            </w:tcBorders>
            <w:shd w:val="clear" w:color="auto" w:fill="auto"/>
            <w:noWrap/>
            <w:vAlign w:val="bottom"/>
            <w:hideMark/>
          </w:tcPr>
          <w:p w14:paraId="0EB31F8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tcBorders>
              <w:top w:val="nil"/>
              <w:left w:val="nil"/>
              <w:bottom w:val="nil"/>
              <w:right w:val="nil"/>
            </w:tcBorders>
            <w:shd w:val="clear" w:color="auto" w:fill="auto"/>
            <w:noWrap/>
            <w:vAlign w:val="bottom"/>
            <w:hideMark/>
          </w:tcPr>
          <w:p w14:paraId="08CC461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1FA9E35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5382FAD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62DDBE1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6FD2EDE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4" w:type="dxa"/>
            <w:tcBorders>
              <w:top w:val="nil"/>
              <w:left w:val="nil"/>
              <w:bottom w:val="nil"/>
              <w:right w:val="nil"/>
            </w:tcBorders>
            <w:shd w:val="clear" w:color="auto" w:fill="auto"/>
            <w:noWrap/>
            <w:vAlign w:val="bottom"/>
            <w:hideMark/>
          </w:tcPr>
          <w:p w14:paraId="09FD4D1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55" w:type="dxa"/>
            <w:tcBorders>
              <w:top w:val="nil"/>
              <w:left w:val="nil"/>
              <w:bottom w:val="nil"/>
              <w:right w:val="nil"/>
            </w:tcBorders>
            <w:shd w:val="clear" w:color="auto" w:fill="auto"/>
            <w:noWrap/>
            <w:vAlign w:val="bottom"/>
            <w:hideMark/>
          </w:tcPr>
          <w:p w14:paraId="558388E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20" w:type="dxa"/>
            <w:tcBorders>
              <w:top w:val="nil"/>
              <w:left w:val="nil"/>
              <w:bottom w:val="nil"/>
              <w:right w:val="nil"/>
            </w:tcBorders>
            <w:shd w:val="clear" w:color="auto" w:fill="auto"/>
            <w:noWrap/>
            <w:vAlign w:val="bottom"/>
            <w:hideMark/>
          </w:tcPr>
          <w:p w14:paraId="3228EBE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6A7338" w:rsidRPr="00821C18" w14:paraId="0357B98F" w14:textId="77777777" w:rsidTr="006A7338">
        <w:trPr>
          <w:trHeight w:val="300"/>
        </w:trPr>
        <w:tc>
          <w:tcPr>
            <w:tcW w:w="78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7DDCE1"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 </w:t>
            </w:r>
          </w:p>
        </w:tc>
        <w:tc>
          <w:tcPr>
            <w:tcW w:w="567" w:type="dxa"/>
            <w:tcBorders>
              <w:top w:val="single" w:sz="4" w:space="0" w:color="auto"/>
              <w:left w:val="nil"/>
              <w:bottom w:val="single" w:sz="4" w:space="0" w:color="auto"/>
              <w:right w:val="single" w:sz="4" w:space="0" w:color="auto"/>
            </w:tcBorders>
            <w:shd w:val="clear" w:color="DDEBF7" w:fill="DDEBF7"/>
            <w:noWrap/>
            <w:vAlign w:val="center"/>
            <w:hideMark/>
          </w:tcPr>
          <w:p w14:paraId="188F7018"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907" w:type="dxa"/>
            <w:tcBorders>
              <w:top w:val="single" w:sz="4" w:space="0" w:color="auto"/>
              <w:left w:val="nil"/>
              <w:bottom w:val="single" w:sz="4" w:space="0" w:color="auto"/>
              <w:right w:val="single" w:sz="4" w:space="0" w:color="auto"/>
            </w:tcBorders>
            <w:shd w:val="clear" w:color="DDEBF7" w:fill="DDEBF7"/>
            <w:noWrap/>
            <w:vAlign w:val="center"/>
            <w:hideMark/>
          </w:tcPr>
          <w:p w14:paraId="51CBFFB7"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716" w:type="dxa"/>
            <w:tcBorders>
              <w:top w:val="single" w:sz="4" w:space="0" w:color="auto"/>
              <w:left w:val="nil"/>
              <w:bottom w:val="single" w:sz="4" w:space="0" w:color="auto"/>
              <w:right w:val="single" w:sz="4" w:space="0" w:color="auto"/>
            </w:tcBorders>
            <w:shd w:val="clear" w:color="DDEBF7" w:fill="DDEBF7"/>
            <w:noWrap/>
            <w:vAlign w:val="center"/>
            <w:hideMark/>
          </w:tcPr>
          <w:p w14:paraId="1A1DF5C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613" w:type="dxa"/>
            <w:tcBorders>
              <w:top w:val="single" w:sz="4" w:space="0" w:color="auto"/>
              <w:left w:val="nil"/>
              <w:bottom w:val="single" w:sz="4" w:space="0" w:color="auto"/>
              <w:right w:val="single" w:sz="4" w:space="0" w:color="auto"/>
            </w:tcBorders>
            <w:shd w:val="clear" w:color="DDEBF7" w:fill="DDEBF7"/>
            <w:noWrap/>
            <w:vAlign w:val="center"/>
            <w:hideMark/>
          </w:tcPr>
          <w:p w14:paraId="0A69EAFF"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39" w:type="dxa"/>
            <w:tcBorders>
              <w:top w:val="single" w:sz="4" w:space="0" w:color="auto"/>
              <w:left w:val="nil"/>
              <w:bottom w:val="single" w:sz="4" w:space="0" w:color="auto"/>
              <w:right w:val="single" w:sz="4" w:space="0" w:color="auto"/>
            </w:tcBorders>
            <w:shd w:val="clear" w:color="DDEBF7" w:fill="DDEBF7"/>
            <w:noWrap/>
            <w:vAlign w:val="center"/>
            <w:hideMark/>
          </w:tcPr>
          <w:p w14:paraId="1C68F21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3" w:type="dxa"/>
            <w:tcBorders>
              <w:top w:val="single" w:sz="4" w:space="0" w:color="auto"/>
              <w:left w:val="nil"/>
              <w:bottom w:val="single" w:sz="4" w:space="0" w:color="auto"/>
              <w:right w:val="single" w:sz="4" w:space="0" w:color="auto"/>
            </w:tcBorders>
            <w:shd w:val="clear" w:color="DDEBF7" w:fill="DDEBF7"/>
            <w:noWrap/>
            <w:vAlign w:val="center"/>
            <w:hideMark/>
          </w:tcPr>
          <w:p w14:paraId="011CDBDD"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4B2B6FE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70" w:type="dxa"/>
            <w:tcBorders>
              <w:top w:val="single" w:sz="4" w:space="0" w:color="auto"/>
              <w:left w:val="nil"/>
              <w:bottom w:val="single" w:sz="4" w:space="0" w:color="auto"/>
              <w:right w:val="single" w:sz="4" w:space="0" w:color="auto"/>
            </w:tcBorders>
            <w:shd w:val="clear" w:color="DDEBF7" w:fill="DDEBF7"/>
            <w:noWrap/>
            <w:vAlign w:val="center"/>
            <w:hideMark/>
          </w:tcPr>
          <w:p w14:paraId="5C70906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6560165B"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32468C9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644" w:type="dxa"/>
            <w:tcBorders>
              <w:top w:val="single" w:sz="4" w:space="0" w:color="auto"/>
              <w:left w:val="nil"/>
              <w:bottom w:val="single" w:sz="4" w:space="0" w:color="auto"/>
              <w:right w:val="single" w:sz="4" w:space="0" w:color="auto"/>
            </w:tcBorders>
            <w:shd w:val="clear" w:color="DDEBF7" w:fill="DDEBF7"/>
            <w:noWrap/>
            <w:vAlign w:val="center"/>
            <w:hideMark/>
          </w:tcPr>
          <w:p w14:paraId="578BFCB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755" w:type="dxa"/>
            <w:tcBorders>
              <w:top w:val="single" w:sz="4" w:space="0" w:color="auto"/>
              <w:left w:val="nil"/>
              <w:bottom w:val="single" w:sz="4" w:space="0" w:color="auto"/>
              <w:right w:val="single" w:sz="4" w:space="0" w:color="auto"/>
            </w:tcBorders>
            <w:shd w:val="clear" w:color="DDEBF7" w:fill="DDEBF7"/>
            <w:noWrap/>
            <w:vAlign w:val="center"/>
            <w:hideMark/>
          </w:tcPr>
          <w:p w14:paraId="306A77A8"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720" w:type="dxa"/>
            <w:tcBorders>
              <w:top w:val="single" w:sz="4" w:space="0" w:color="auto"/>
              <w:left w:val="nil"/>
              <w:bottom w:val="single" w:sz="4" w:space="0" w:color="auto"/>
              <w:right w:val="single" w:sz="4" w:space="0" w:color="auto"/>
            </w:tcBorders>
            <w:shd w:val="clear" w:color="DDEBF7" w:fill="DDEBF7"/>
            <w:noWrap/>
            <w:vAlign w:val="center"/>
            <w:hideMark/>
          </w:tcPr>
          <w:p w14:paraId="7F7D41F1"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Total</w:t>
            </w:r>
          </w:p>
        </w:tc>
      </w:tr>
      <w:tr w:rsidR="006A7338" w:rsidRPr="00821C18" w14:paraId="0C355A98"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577651EE"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67" w:type="dxa"/>
            <w:tcBorders>
              <w:top w:val="nil"/>
              <w:left w:val="nil"/>
              <w:bottom w:val="single" w:sz="4" w:space="0" w:color="auto"/>
              <w:right w:val="single" w:sz="4" w:space="0" w:color="auto"/>
            </w:tcBorders>
            <w:shd w:val="clear" w:color="auto" w:fill="auto"/>
            <w:noWrap/>
            <w:vAlign w:val="center"/>
            <w:hideMark/>
          </w:tcPr>
          <w:p w14:paraId="7131ED0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286</w:t>
            </w:r>
          </w:p>
        </w:tc>
        <w:tc>
          <w:tcPr>
            <w:tcW w:w="907" w:type="dxa"/>
            <w:tcBorders>
              <w:top w:val="nil"/>
              <w:left w:val="nil"/>
              <w:bottom w:val="single" w:sz="4" w:space="0" w:color="auto"/>
              <w:right w:val="single" w:sz="4" w:space="0" w:color="auto"/>
            </w:tcBorders>
            <w:shd w:val="clear" w:color="auto" w:fill="auto"/>
            <w:noWrap/>
            <w:vAlign w:val="center"/>
            <w:hideMark/>
          </w:tcPr>
          <w:p w14:paraId="235F100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304</w:t>
            </w:r>
          </w:p>
        </w:tc>
        <w:tc>
          <w:tcPr>
            <w:tcW w:w="716" w:type="dxa"/>
            <w:tcBorders>
              <w:top w:val="nil"/>
              <w:left w:val="nil"/>
              <w:bottom w:val="single" w:sz="4" w:space="0" w:color="auto"/>
              <w:right w:val="single" w:sz="4" w:space="0" w:color="auto"/>
            </w:tcBorders>
            <w:shd w:val="clear" w:color="auto" w:fill="auto"/>
            <w:noWrap/>
            <w:vAlign w:val="center"/>
            <w:hideMark/>
          </w:tcPr>
          <w:p w14:paraId="10F647A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461</w:t>
            </w:r>
          </w:p>
        </w:tc>
        <w:tc>
          <w:tcPr>
            <w:tcW w:w="613" w:type="dxa"/>
            <w:tcBorders>
              <w:top w:val="nil"/>
              <w:left w:val="nil"/>
              <w:bottom w:val="single" w:sz="4" w:space="0" w:color="auto"/>
              <w:right w:val="single" w:sz="4" w:space="0" w:color="auto"/>
            </w:tcBorders>
            <w:shd w:val="clear" w:color="auto" w:fill="auto"/>
            <w:noWrap/>
            <w:vAlign w:val="center"/>
            <w:hideMark/>
          </w:tcPr>
          <w:p w14:paraId="53271E6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639</w:t>
            </w:r>
          </w:p>
        </w:tc>
        <w:tc>
          <w:tcPr>
            <w:tcW w:w="639" w:type="dxa"/>
            <w:tcBorders>
              <w:top w:val="nil"/>
              <w:left w:val="nil"/>
              <w:bottom w:val="single" w:sz="4" w:space="0" w:color="auto"/>
              <w:right w:val="single" w:sz="4" w:space="0" w:color="auto"/>
            </w:tcBorders>
            <w:shd w:val="clear" w:color="auto" w:fill="auto"/>
            <w:noWrap/>
            <w:vAlign w:val="center"/>
            <w:hideMark/>
          </w:tcPr>
          <w:p w14:paraId="1EC6BF6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630</w:t>
            </w:r>
          </w:p>
        </w:tc>
        <w:tc>
          <w:tcPr>
            <w:tcW w:w="603" w:type="dxa"/>
            <w:tcBorders>
              <w:top w:val="nil"/>
              <w:left w:val="nil"/>
              <w:bottom w:val="single" w:sz="4" w:space="0" w:color="auto"/>
              <w:right w:val="single" w:sz="4" w:space="0" w:color="auto"/>
            </w:tcBorders>
            <w:shd w:val="clear" w:color="auto" w:fill="auto"/>
            <w:noWrap/>
            <w:vAlign w:val="center"/>
            <w:hideMark/>
          </w:tcPr>
          <w:p w14:paraId="49AA4FD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458</w:t>
            </w:r>
          </w:p>
        </w:tc>
        <w:tc>
          <w:tcPr>
            <w:tcW w:w="549" w:type="dxa"/>
            <w:tcBorders>
              <w:top w:val="nil"/>
              <w:left w:val="nil"/>
              <w:bottom w:val="single" w:sz="4" w:space="0" w:color="auto"/>
              <w:right w:val="single" w:sz="4" w:space="0" w:color="auto"/>
            </w:tcBorders>
            <w:shd w:val="clear" w:color="auto" w:fill="auto"/>
            <w:noWrap/>
            <w:vAlign w:val="center"/>
            <w:hideMark/>
          </w:tcPr>
          <w:p w14:paraId="25C5375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468</w:t>
            </w:r>
          </w:p>
        </w:tc>
        <w:tc>
          <w:tcPr>
            <w:tcW w:w="570" w:type="dxa"/>
            <w:tcBorders>
              <w:top w:val="nil"/>
              <w:left w:val="nil"/>
              <w:bottom w:val="single" w:sz="4" w:space="0" w:color="auto"/>
              <w:right w:val="single" w:sz="4" w:space="0" w:color="auto"/>
            </w:tcBorders>
            <w:shd w:val="clear" w:color="auto" w:fill="auto"/>
            <w:noWrap/>
            <w:vAlign w:val="center"/>
            <w:hideMark/>
          </w:tcPr>
          <w:p w14:paraId="19E87E0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483</w:t>
            </w:r>
          </w:p>
        </w:tc>
        <w:tc>
          <w:tcPr>
            <w:tcW w:w="549" w:type="dxa"/>
            <w:tcBorders>
              <w:top w:val="nil"/>
              <w:left w:val="nil"/>
              <w:bottom w:val="single" w:sz="4" w:space="0" w:color="auto"/>
              <w:right w:val="single" w:sz="4" w:space="0" w:color="auto"/>
            </w:tcBorders>
            <w:shd w:val="clear" w:color="auto" w:fill="auto"/>
            <w:noWrap/>
            <w:vAlign w:val="center"/>
            <w:hideMark/>
          </w:tcPr>
          <w:p w14:paraId="0737138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414</w:t>
            </w:r>
          </w:p>
        </w:tc>
        <w:tc>
          <w:tcPr>
            <w:tcW w:w="549" w:type="dxa"/>
            <w:tcBorders>
              <w:top w:val="nil"/>
              <w:left w:val="nil"/>
              <w:bottom w:val="single" w:sz="4" w:space="0" w:color="auto"/>
              <w:right w:val="single" w:sz="4" w:space="0" w:color="auto"/>
            </w:tcBorders>
            <w:shd w:val="clear" w:color="auto" w:fill="auto"/>
            <w:noWrap/>
            <w:vAlign w:val="center"/>
            <w:hideMark/>
          </w:tcPr>
          <w:p w14:paraId="66F5051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386</w:t>
            </w:r>
          </w:p>
        </w:tc>
        <w:tc>
          <w:tcPr>
            <w:tcW w:w="644" w:type="dxa"/>
            <w:tcBorders>
              <w:top w:val="nil"/>
              <w:left w:val="nil"/>
              <w:bottom w:val="single" w:sz="4" w:space="0" w:color="auto"/>
              <w:right w:val="single" w:sz="4" w:space="0" w:color="auto"/>
            </w:tcBorders>
            <w:shd w:val="clear" w:color="auto" w:fill="auto"/>
            <w:noWrap/>
            <w:vAlign w:val="center"/>
            <w:hideMark/>
          </w:tcPr>
          <w:p w14:paraId="60D16ED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421</w:t>
            </w:r>
          </w:p>
        </w:tc>
        <w:tc>
          <w:tcPr>
            <w:tcW w:w="755" w:type="dxa"/>
            <w:tcBorders>
              <w:top w:val="nil"/>
              <w:left w:val="nil"/>
              <w:bottom w:val="single" w:sz="4" w:space="0" w:color="auto"/>
              <w:right w:val="single" w:sz="4" w:space="0" w:color="auto"/>
            </w:tcBorders>
            <w:shd w:val="clear" w:color="auto" w:fill="auto"/>
            <w:noWrap/>
            <w:vAlign w:val="center"/>
            <w:hideMark/>
          </w:tcPr>
          <w:p w14:paraId="5D970BD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458</w:t>
            </w:r>
          </w:p>
        </w:tc>
        <w:tc>
          <w:tcPr>
            <w:tcW w:w="720" w:type="dxa"/>
            <w:tcBorders>
              <w:top w:val="nil"/>
              <w:left w:val="nil"/>
              <w:bottom w:val="single" w:sz="4" w:space="0" w:color="auto"/>
              <w:right w:val="single" w:sz="4" w:space="0" w:color="auto"/>
            </w:tcBorders>
            <w:shd w:val="clear" w:color="auto" w:fill="auto"/>
            <w:noWrap/>
            <w:vAlign w:val="center"/>
            <w:hideMark/>
          </w:tcPr>
          <w:p w14:paraId="06AF3FF5"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5,408</w:t>
            </w:r>
          </w:p>
        </w:tc>
      </w:tr>
      <w:tr w:rsidR="006A7338" w:rsidRPr="00821C18" w14:paraId="04FEBC7D"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75E142B8"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67" w:type="dxa"/>
            <w:tcBorders>
              <w:top w:val="nil"/>
              <w:left w:val="nil"/>
              <w:bottom w:val="single" w:sz="4" w:space="0" w:color="auto"/>
              <w:right w:val="single" w:sz="4" w:space="0" w:color="auto"/>
            </w:tcBorders>
            <w:shd w:val="clear" w:color="auto" w:fill="auto"/>
            <w:noWrap/>
            <w:vAlign w:val="center"/>
            <w:hideMark/>
          </w:tcPr>
          <w:p w14:paraId="5DC9945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346</w:t>
            </w:r>
          </w:p>
        </w:tc>
        <w:tc>
          <w:tcPr>
            <w:tcW w:w="907" w:type="dxa"/>
            <w:tcBorders>
              <w:top w:val="nil"/>
              <w:left w:val="nil"/>
              <w:bottom w:val="single" w:sz="4" w:space="0" w:color="auto"/>
              <w:right w:val="single" w:sz="4" w:space="0" w:color="auto"/>
            </w:tcBorders>
            <w:shd w:val="clear" w:color="auto" w:fill="auto"/>
            <w:noWrap/>
            <w:vAlign w:val="center"/>
            <w:hideMark/>
          </w:tcPr>
          <w:p w14:paraId="194BAA7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357</w:t>
            </w:r>
          </w:p>
        </w:tc>
        <w:tc>
          <w:tcPr>
            <w:tcW w:w="716" w:type="dxa"/>
            <w:tcBorders>
              <w:top w:val="nil"/>
              <w:left w:val="nil"/>
              <w:bottom w:val="single" w:sz="4" w:space="0" w:color="auto"/>
              <w:right w:val="single" w:sz="4" w:space="0" w:color="auto"/>
            </w:tcBorders>
            <w:shd w:val="clear" w:color="auto" w:fill="auto"/>
            <w:noWrap/>
            <w:vAlign w:val="center"/>
            <w:hideMark/>
          </w:tcPr>
          <w:p w14:paraId="06D846B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428</w:t>
            </w:r>
          </w:p>
        </w:tc>
        <w:tc>
          <w:tcPr>
            <w:tcW w:w="613" w:type="dxa"/>
            <w:tcBorders>
              <w:top w:val="nil"/>
              <w:left w:val="nil"/>
              <w:bottom w:val="single" w:sz="4" w:space="0" w:color="auto"/>
              <w:right w:val="single" w:sz="4" w:space="0" w:color="auto"/>
            </w:tcBorders>
            <w:shd w:val="clear" w:color="auto" w:fill="auto"/>
            <w:noWrap/>
            <w:vAlign w:val="center"/>
            <w:hideMark/>
          </w:tcPr>
          <w:p w14:paraId="321CC08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611</w:t>
            </w:r>
          </w:p>
        </w:tc>
        <w:tc>
          <w:tcPr>
            <w:tcW w:w="639" w:type="dxa"/>
            <w:tcBorders>
              <w:top w:val="nil"/>
              <w:left w:val="nil"/>
              <w:bottom w:val="single" w:sz="4" w:space="0" w:color="auto"/>
              <w:right w:val="single" w:sz="4" w:space="0" w:color="auto"/>
            </w:tcBorders>
            <w:shd w:val="clear" w:color="auto" w:fill="auto"/>
            <w:noWrap/>
            <w:vAlign w:val="center"/>
            <w:hideMark/>
          </w:tcPr>
          <w:p w14:paraId="1411E44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675</w:t>
            </w:r>
          </w:p>
        </w:tc>
        <w:tc>
          <w:tcPr>
            <w:tcW w:w="603" w:type="dxa"/>
            <w:tcBorders>
              <w:top w:val="nil"/>
              <w:left w:val="nil"/>
              <w:bottom w:val="single" w:sz="4" w:space="0" w:color="auto"/>
              <w:right w:val="single" w:sz="4" w:space="0" w:color="auto"/>
            </w:tcBorders>
            <w:shd w:val="clear" w:color="auto" w:fill="auto"/>
            <w:noWrap/>
            <w:vAlign w:val="center"/>
            <w:hideMark/>
          </w:tcPr>
          <w:p w14:paraId="0D6FB30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544</w:t>
            </w:r>
          </w:p>
        </w:tc>
        <w:tc>
          <w:tcPr>
            <w:tcW w:w="549" w:type="dxa"/>
            <w:tcBorders>
              <w:top w:val="nil"/>
              <w:left w:val="nil"/>
              <w:bottom w:val="single" w:sz="4" w:space="0" w:color="auto"/>
              <w:right w:val="single" w:sz="4" w:space="0" w:color="auto"/>
            </w:tcBorders>
            <w:shd w:val="clear" w:color="auto" w:fill="auto"/>
            <w:noWrap/>
            <w:vAlign w:val="center"/>
            <w:hideMark/>
          </w:tcPr>
          <w:p w14:paraId="11345D6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546</w:t>
            </w:r>
          </w:p>
        </w:tc>
        <w:tc>
          <w:tcPr>
            <w:tcW w:w="570" w:type="dxa"/>
            <w:tcBorders>
              <w:top w:val="nil"/>
              <w:left w:val="nil"/>
              <w:bottom w:val="single" w:sz="4" w:space="0" w:color="auto"/>
              <w:right w:val="single" w:sz="4" w:space="0" w:color="auto"/>
            </w:tcBorders>
            <w:shd w:val="clear" w:color="auto" w:fill="auto"/>
            <w:noWrap/>
            <w:vAlign w:val="center"/>
            <w:hideMark/>
          </w:tcPr>
          <w:p w14:paraId="20EFF8E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513</w:t>
            </w:r>
          </w:p>
        </w:tc>
        <w:tc>
          <w:tcPr>
            <w:tcW w:w="549" w:type="dxa"/>
            <w:tcBorders>
              <w:top w:val="nil"/>
              <w:left w:val="nil"/>
              <w:bottom w:val="single" w:sz="4" w:space="0" w:color="auto"/>
              <w:right w:val="single" w:sz="4" w:space="0" w:color="auto"/>
            </w:tcBorders>
            <w:shd w:val="clear" w:color="auto" w:fill="auto"/>
            <w:noWrap/>
            <w:vAlign w:val="center"/>
            <w:hideMark/>
          </w:tcPr>
          <w:p w14:paraId="312DAB5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464</w:t>
            </w:r>
          </w:p>
        </w:tc>
        <w:tc>
          <w:tcPr>
            <w:tcW w:w="549" w:type="dxa"/>
            <w:tcBorders>
              <w:top w:val="nil"/>
              <w:left w:val="nil"/>
              <w:bottom w:val="single" w:sz="4" w:space="0" w:color="auto"/>
              <w:right w:val="single" w:sz="4" w:space="0" w:color="auto"/>
            </w:tcBorders>
            <w:shd w:val="clear" w:color="auto" w:fill="auto"/>
            <w:noWrap/>
            <w:vAlign w:val="center"/>
            <w:hideMark/>
          </w:tcPr>
          <w:p w14:paraId="4013CDA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477</w:t>
            </w:r>
          </w:p>
        </w:tc>
        <w:tc>
          <w:tcPr>
            <w:tcW w:w="644" w:type="dxa"/>
            <w:tcBorders>
              <w:top w:val="nil"/>
              <w:left w:val="nil"/>
              <w:bottom w:val="single" w:sz="4" w:space="0" w:color="auto"/>
              <w:right w:val="single" w:sz="4" w:space="0" w:color="auto"/>
            </w:tcBorders>
            <w:shd w:val="clear" w:color="auto" w:fill="auto"/>
            <w:noWrap/>
            <w:vAlign w:val="center"/>
            <w:hideMark/>
          </w:tcPr>
          <w:p w14:paraId="52C5425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390</w:t>
            </w:r>
          </w:p>
        </w:tc>
        <w:tc>
          <w:tcPr>
            <w:tcW w:w="755" w:type="dxa"/>
            <w:tcBorders>
              <w:top w:val="nil"/>
              <w:left w:val="nil"/>
              <w:bottom w:val="single" w:sz="4" w:space="0" w:color="auto"/>
              <w:right w:val="single" w:sz="4" w:space="0" w:color="auto"/>
            </w:tcBorders>
            <w:shd w:val="clear" w:color="auto" w:fill="auto"/>
            <w:noWrap/>
            <w:vAlign w:val="center"/>
            <w:hideMark/>
          </w:tcPr>
          <w:p w14:paraId="748F69D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456</w:t>
            </w:r>
          </w:p>
        </w:tc>
        <w:tc>
          <w:tcPr>
            <w:tcW w:w="720" w:type="dxa"/>
            <w:tcBorders>
              <w:top w:val="nil"/>
              <w:left w:val="nil"/>
              <w:bottom w:val="single" w:sz="4" w:space="0" w:color="auto"/>
              <w:right w:val="single" w:sz="4" w:space="0" w:color="auto"/>
            </w:tcBorders>
            <w:shd w:val="clear" w:color="auto" w:fill="auto"/>
            <w:noWrap/>
            <w:vAlign w:val="center"/>
            <w:hideMark/>
          </w:tcPr>
          <w:p w14:paraId="3CDCFDBB"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5,807</w:t>
            </w:r>
          </w:p>
        </w:tc>
      </w:tr>
      <w:tr w:rsidR="006A7338" w:rsidRPr="00821C18" w14:paraId="2EE4E3BD"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3B91BAD0"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67" w:type="dxa"/>
            <w:tcBorders>
              <w:top w:val="nil"/>
              <w:left w:val="nil"/>
              <w:bottom w:val="single" w:sz="4" w:space="0" w:color="auto"/>
              <w:right w:val="single" w:sz="4" w:space="0" w:color="auto"/>
            </w:tcBorders>
            <w:shd w:val="clear" w:color="auto" w:fill="auto"/>
            <w:noWrap/>
            <w:vAlign w:val="center"/>
            <w:hideMark/>
          </w:tcPr>
          <w:p w14:paraId="60B8884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473</w:t>
            </w:r>
          </w:p>
        </w:tc>
        <w:tc>
          <w:tcPr>
            <w:tcW w:w="907" w:type="dxa"/>
            <w:tcBorders>
              <w:top w:val="nil"/>
              <w:left w:val="nil"/>
              <w:bottom w:val="single" w:sz="4" w:space="0" w:color="auto"/>
              <w:right w:val="single" w:sz="4" w:space="0" w:color="auto"/>
            </w:tcBorders>
            <w:shd w:val="clear" w:color="auto" w:fill="auto"/>
            <w:noWrap/>
            <w:vAlign w:val="center"/>
            <w:hideMark/>
          </w:tcPr>
          <w:p w14:paraId="2250763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406</w:t>
            </w:r>
          </w:p>
        </w:tc>
        <w:tc>
          <w:tcPr>
            <w:tcW w:w="716" w:type="dxa"/>
            <w:tcBorders>
              <w:top w:val="nil"/>
              <w:left w:val="nil"/>
              <w:bottom w:val="single" w:sz="4" w:space="0" w:color="auto"/>
              <w:right w:val="single" w:sz="4" w:space="0" w:color="auto"/>
            </w:tcBorders>
            <w:shd w:val="clear" w:color="auto" w:fill="auto"/>
            <w:noWrap/>
            <w:vAlign w:val="center"/>
            <w:hideMark/>
          </w:tcPr>
          <w:p w14:paraId="03D3E9D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464</w:t>
            </w:r>
          </w:p>
        </w:tc>
        <w:tc>
          <w:tcPr>
            <w:tcW w:w="613" w:type="dxa"/>
            <w:tcBorders>
              <w:top w:val="nil"/>
              <w:left w:val="nil"/>
              <w:bottom w:val="single" w:sz="4" w:space="0" w:color="auto"/>
              <w:right w:val="single" w:sz="4" w:space="0" w:color="auto"/>
            </w:tcBorders>
            <w:shd w:val="clear" w:color="auto" w:fill="auto"/>
            <w:noWrap/>
            <w:vAlign w:val="center"/>
            <w:hideMark/>
          </w:tcPr>
          <w:p w14:paraId="73BE5FA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770</w:t>
            </w:r>
          </w:p>
        </w:tc>
        <w:tc>
          <w:tcPr>
            <w:tcW w:w="639" w:type="dxa"/>
            <w:tcBorders>
              <w:top w:val="nil"/>
              <w:left w:val="nil"/>
              <w:bottom w:val="single" w:sz="4" w:space="0" w:color="auto"/>
              <w:right w:val="single" w:sz="4" w:space="0" w:color="auto"/>
            </w:tcBorders>
            <w:shd w:val="clear" w:color="auto" w:fill="auto"/>
            <w:noWrap/>
            <w:vAlign w:val="center"/>
            <w:hideMark/>
          </w:tcPr>
          <w:p w14:paraId="69686A4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833</w:t>
            </w:r>
          </w:p>
        </w:tc>
        <w:tc>
          <w:tcPr>
            <w:tcW w:w="603" w:type="dxa"/>
            <w:tcBorders>
              <w:top w:val="nil"/>
              <w:left w:val="nil"/>
              <w:bottom w:val="single" w:sz="4" w:space="0" w:color="auto"/>
              <w:right w:val="single" w:sz="4" w:space="0" w:color="auto"/>
            </w:tcBorders>
            <w:shd w:val="clear" w:color="auto" w:fill="auto"/>
            <w:noWrap/>
            <w:vAlign w:val="center"/>
            <w:hideMark/>
          </w:tcPr>
          <w:p w14:paraId="65C0F85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660</w:t>
            </w:r>
          </w:p>
        </w:tc>
        <w:tc>
          <w:tcPr>
            <w:tcW w:w="549" w:type="dxa"/>
            <w:tcBorders>
              <w:top w:val="nil"/>
              <w:left w:val="nil"/>
              <w:bottom w:val="single" w:sz="4" w:space="0" w:color="auto"/>
              <w:right w:val="single" w:sz="4" w:space="0" w:color="auto"/>
            </w:tcBorders>
            <w:shd w:val="clear" w:color="auto" w:fill="auto"/>
            <w:noWrap/>
            <w:vAlign w:val="center"/>
            <w:hideMark/>
          </w:tcPr>
          <w:p w14:paraId="3703C1F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460</w:t>
            </w:r>
          </w:p>
        </w:tc>
        <w:tc>
          <w:tcPr>
            <w:tcW w:w="570" w:type="dxa"/>
            <w:tcBorders>
              <w:top w:val="nil"/>
              <w:left w:val="nil"/>
              <w:bottom w:val="single" w:sz="4" w:space="0" w:color="auto"/>
              <w:right w:val="single" w:sz="4" w:space="0" w:color="auto"/>
            </w:tcBorders>
            <w:shd w:val="clear" w:color="auto" w:fill="auto"/>
            <w:noWrap/>
            <w:vAlign w:val="center"/>
            <w:hideMark/>
          </w:tcPr>
          <w:p w14:paraId="2635594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436</w:t>
            </w:r>
          </w:p>
        </w:tc>
        <w:tc>
          <w:tcPr>
            <w:tcW w:w="549" w:type="dxa"/>
            <w:tcBorders>
              <w:top w:val="nil"/>
              <w:left w:val="nil"/>
              <w:bottom w:val="single" w:sz="4" w:space="0" w:color="auto"/>
              <w:right w:val="single" w:sz="4" w:space="0" w:color="auto"/>
            </w:tcBorders>
            <w:shd w:val="clear" w:color="auto" w:fill="auto"/>
            <w:noWrap/>
            <w:vAlign w:val="center"/>
            <w:hideMark/>
          </w:tcPr>
          <w:p w14:paraId="67AEE13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455</w:t>
            </w:r>
          </w:p>
        </w:tc>
        <w:tc>
          <w:tcPr>
            <w:tcW w:w="549" w:type="dxa"/>
            <w:tcBorders>
              <w:top w:val="nil"/>
              <w:left w:val="nil"/>
              <w:bottom w:val="single" w:sz="4" w:space="0" w:color="auto"/>
              <w:right w:val="single" w:sz="4" w:space="0" w:color="auto"/>
            </w:tcBorders>
            <w:shd w:val="clear" w:color="auto" w:fill="auto"/>
            <w:noWrap/>
            <w:vAlign w:val="center"/>
            <w:hideMark/>
          </w:tcPr>
          <w:p w14:paraId="3B03E94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349</w:t>
            </w:r>
          </w:p>
        </w:tc>
        <w:tc>
          <w:tcPr>
            <w:tcW w:w="644" w:type="dxa"/>
            <w:tcBorders>
              <w:top w:val="nil"/>
              <w:left w:val="nil"/>
              <w:bottom w:val="single" w:sz="4" w:space="0" w:color="auto"/>
              <w:right w:val="single" w:sz="4" w:space="0" w:color="auto"/>
            </w:tcBorders>
            <w:shd w:val="clear" w:color="auto" w:fill="auto"/>
            <w:noWrap/>
            <w:vAlign w:val="center"/>
            <w:hideMark/>
          </w:tcPr>
          <w:p w14:paraId="201A30C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292</w:t>
            </w:r>
          </w:p>
        </w:tc>
        <w:tc>
          <w:tcPr>
            <w:tcW w:w="755" w:type="dxa"/>
            <w:tcBorders>
              <w:top w:val="nil"/>
              <w:left w:val="nil"/>
              <w:bottom w:val="single" w:sz="4" w:space="0" w:color="auto"/>
              <w:right w:val="single" w:sz="4" w:space="0" w:color="auto"/>
            </w:tcBorders>
            <w:shd w:val="clear" w:color="auto" w:fill="auto"/>
            <w:noWrap/>
            <w:vAlign w:val="center"/>
            <w:hideMark/>
          </w:tcPr>
          <w:p w14:paraId="27CD004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403</w:t>
            </w:r>
          </w:p>
        </w:tc>
        <w:tc>
          <w:tcPr>
            <w:tcW w:w="720" w:type="dxa"/>
            <w:tcBorders>
              <w:top w:val="nil"/>
              <w:left w:val="nil"/>
              <w:bottom w:val="single" w:sz="4" w:space="0" w:color="auto"/>
              <w:right w:val="single" w:sz="4" w:space="0" w:color="auto"/>
            </w:tcBorders>
            <w:shd w:val="clear" w:color="auto" w:fill="auto"/>
            <w:noWrap/>
            <w:vAlign w:val="center"/>
            <w:hideMark/>
          </w:tcPr>
          <w:p w14:paraId="7E917FE8"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6,001</w:t>
            </w:r>
          </w:p>
        </w:tc>
      </w:tr>
      <w:tr w:rsidR="006A7338" w:rsidRPr="00821C18" w14:paraId="456D1306" w14:textId="77777777" w:rsidTr="006A7338">
        <w:trPr>
          <w:trHeight w:val="300"/>
        </w:trPr>
        <w:tc>
          <w:tcPr>
            <w:tcW w:w="787" w:type="dxa"/>
            <w:tcBorders>
              <w:top w:val="nil"/>
              <w:left w:val="single" w:sz="4" w:space="0" w:color="auto"/>
              <w:bottom w:val="single" w:sz="4" w:space="0" w:color="auto"/>
              <w:right w:val="single" w:sz="4" w:space="0" w:color="auto"/>
            </w:tcBorders>
            <w:shd w:val="clear" w:color="auto" w:fill="auto"/>
            <w:noWrap/>
            <w:vAlign w:val="center"/>
            <w:hideMark/>
          </w:tcPr>
          <w:p w14:paraId="1E019843"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67" w:type="dxa"/>
            <w:tcBorders>
              <w:top w:val="nil"/>
              <w:left w:val="nil"/>
              <w:bottom w:val="single" w:sz="4" w:space="0" w:color="auto"/>
              <w:right w:val="single" w:sz="4" w:space="0" w:color="auto"/>
            </w:tcBorders>
            <w:shd w:val="clear" w:color="auto" w:fill="auto"/>
            <w:noWrap/>
            <w:vAlign w:val="center"/>
            <w:hideMark/>
          </w:tcPr>
          <w:p w14:paraId="3E3B0A9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248</w:t>
            </w:r>
          </w:p>
        </w:tc>
        <w:tc>
          <w:tcPr>
            <w:tcW w:w="907" w:type="dxa"/>
            <w:tcBorders>
              <w:top w:val="nil"/>
              <w:left w:val="nil"/>
              <w:bottom w:val="single" w:sz="4" w:space="0" w:color="auto"/>
              <w:right w:val="single" w:sz="4" w:space="0" w:color="auto"/>
            </w:tcBorders>
            <w:shd w:val="clear" w:color="auto" w:fill="auto"/>
            <w:noWrap/>
            <w:vAlign w:val="center"/>
            <w:hideMark/>
          </w:tcPr>
          <w:p w14:paraId="7A1160C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246</w:t>
            </w:r>
          </w:p>
        </w:tc>
        <w:tc>
          <w:tcPr>
            <w:tcW w:w="716" w:type="dxa"/>
            <w:tcBorders>
              <w:top w:val="nil"/>
              <w:left w:val="nil"/>
              <w:bottom w:val="single" w:sz="4" w:space="0" w:color="auto"/>
              <w:right w:val="single" w:sz="4" w:space="0" w:color="auto"/>
            </w:tcBorders>
            <w:shd w:val="clear" w:color="auto" w:fill="auto"/>
            <w:noWrap/>
            <w:vAlign w:val="center"/>
            <w:hideMark/>
          </w:tcPr>
          <w:p w14:paraId="07BA6EB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365</w:t>
            </w:r>
          </w:p>
        </w:tc>
        <w:tc>
          <w:tcPr>
            <w:tcW w:w="613" w:type="dxa"/>
            <w:tcBorders>
              <w:top w:val="nil"/>
              <w:left w:val="nil"/>
              <w:bottom w:val="single" w:sz="4" w:space="0" w:color="auto"/>
              <w:right w:val="single" w:sz="4" w:space="0" w:color="auto"/>
            </w:tcBorders>
            <w:shd w:val="clear" w:color="auto" w:fill="auto"/>
            <w:noWrap/>
            <w:vAlign w:val="center"/>
            <w:hideMark/>
          </w:tcPr>
          <w:p w14:paraId="1635190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471</w:t>
            </w:r>
          </w:p>
        </w:tc>
        <w:tc>
          <w:tcPr>
            <w:tcW w:w="639" w:type="dxa"/>
            <w:tcBorders>
              <w:top w:val="nil"/>
              <w:left w:val="nil"/>
              <w:bottom w:val="single" w:sz="4" w:space="0" w:color="auto"/>
              <w:right w:val="single" w:sz="4" w:space="0" w:color="auto"/>
            </w:tcBorders>
            <w:shd w:val="clear" w:color="auto" w:fill="auto"/>
            <w:noWrap/>
            <w:vAlign w:val="center"/>
            <w:hideMark/>
          </w:tcPr>
          <w:p w14:paraId="0E0CDE49"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3" w:type="dxa"/>
            <w:tcBorders>
              <w:top w:val="nil"/>
              <w:left w:val="nil"/>
              <w:bottom w:val="single" w:sz="4" w:space="0" w:color="auto"/>
              <w:right w:val="single" w:sz="4" w:space="0" w:color="auto"/>
            </w:tcBorders>
            <w:shd w:val="clear" w:color="auto" w:fill="auto"/>
            <w:noWrap/>
            <w:vAlign w:val="center"/>
            <w:hideMark/>
          </w:tcPr>
          <w:p w14:paraId="1EB83C5C"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1CF064D9"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0" w:type="dxa"/>
            <w:tcBorders>
              <w:top w:val="nil"/>
              <w:left w:val="nil"/>
              <w:bottom w:val="single" w:sz="4" w:space="0" w:color="auto"/>
              <w:right w:val="single" w:sz="4" w:space="0" w:color="auto"/>
            </w:tcBorders>
            <w:shd w:val="clear" w:color="auto" w:fill="auto"/>
            <w:noWrap/>
            <w:vAlign w:val="center"/>
            <w:hideMark/>
          </w:tcPr>
          <w:p w14:paraId="4D59A0FD"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0281E0AE"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4B9533B9"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44" w:type="dxa"/>
            <w:tcBorders>
              <w:top w:val="nil"/>
              <w:left w:val="nil"/>
              <w:bottom w:val="single" w:sz="4" w:space="0" w:color="auto"/>
              <w:right w:val="single" w:sz="4" w:space="0" w:color="auto"/>
            </w:tcBorders>
            <w:shd w:val="clear" w:color="auto" w:fill="auto"/>
            <w:noWrap/>
            <w:vAlign w:val="center"/>
            <w:hideMark/>
          </w:tcPr>
          <w:p w14:paraId="35EE291C"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55" w:type="dxa"/>
            <w:tcBorders>
              <w:top w:val="nil"/>
              <w:left w:val="nil"/>
              <w:bottom w:val="single" w:sz="4" w:space="0" w:color="auto"/>
              <w:right w:val="single" w:sz="4" w:space="0" w:color="auto"/>
            </w:tcBorders>
            <w:shd w:val="clear" w:color="auto" w:fill="auto"/>
            <w:noWrap/>
            <w:vAlign w:val="center"/>
            <w:hideMark/>
          </w:tcPr>
          <w:p w14:paraId="0CABED0B"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20" w:type="dxa"/>
            <w:tcBorders>
              <w:top w:val="nil"/>
              <w:left w:val="nil"/>
              <w:bottom w:val="single" w:sz="4" w:space="0" w:color="auto"/>
              <w:right w:val="single" w:sz="4" w:space="0" w:color="auto"/>
            </w:tcBorders>
            <w:shd w:val="clear" w:color="auto" w:fill="auto"/>
            <w:noWrap/>
            <w:vAlign w:val="center"/>
            <w:hideMark/>
          </w:tcPr>
          <w:p w14:paraId="3AB1789E" w14:textId="77777777" w:rsidR="00E87A2A" w:rsidRPr="00281656" w:rsidRDefault="00E87A2A" w:rsidP="007B4BF5">
            <w:pPr>
              <w:spacing w:after="0" w:line="240" w:lineRule="auto"/>
              <w:jc w:val="center"/>
              <w:rPr>
                <w:rFonts w:ascii="Calibri" w:eastAsia="Times New Roman" w:hAnsi="Calibri" w:cs="Calibri"/>
                <w:color w:val="000000"/>
                <w:lang w:eastAsia="zh-CN"/>
              </w:rPr>
            </w:pPr>
            <w:r w:rsidRPr="00281656">
              <w:rPr>
                <w:rFonts w:ascii="Calibri" w:eastAsia="Times New Roman" w:hAnsi="Calibri" w:cs="Calibri"/>
                <w:color w:val="000000"/>
                <w:lang w:eastAsia="zh-CN"/>
              </w:rPr>
              <w:t>1,330</w:t>
            </w:r>
          </w:p>
        </w:tc>
      </w:tr>
    </w:tbl>
    <w:p w14:paraId="6E3C2F7C" w14:textId="77777777" w:rsidR="00FD2CC8" w:rsidRPr="000E2856" w:rsidRDefault="00FD2CC8">
      <w:r w:rsidRPr="000E2856">
        <w:br w:type="page"/>
      </w:r>
    </w:p>
    <w:tbl>
      <w:tblPr>
        <w:tblW w:w="9425" w:type="dxa"/>
        <w:tblInd w:w="-142" w:type="dxa"/>
        <w:tblLook w:val="04A0" w:firstRow="1" w:lastRow="0" w:firstColumn="1" w:lastColumn="0" w:noHBand="0" w:noVBand="1"/>
      </w:tblPr>
      <w:tblGrid>
        <w:gridCol w:w="712"/>
        <w:gridCol w:w="217"/>
        <w:gridCol w:w="332"/>
        <w:gridCol w:w="216"/>
        <w:gridCol w:w="294"/>
        <w:gridCol w:w="380"/>
        <w:gridCol w:w="216"/>
        <w:gridCol w:w="484"/>
        <w:gridCol w:w="565"/>
        <w:gridCol w:w="216"/>
        <w:gridCol w:w="622"/>
        <w:gridCol w:w="387"/>
        <w:gridCol w:w="216"/>
        <w:gridCol w:w="672"/>
        <w:gridCol w:w="37"/>
        <w:gridCol w:w="545"/>
        <w:gridCol w:w="549"/>
        <w:gridCol w:w="218"/>
        <w:gridCol w:w="530"/>
        <w:gridCol w:w="584"/>
        <w:gridCol w:w="126"/>
        <w:gridCol w:w="446"/>
        <w:gridCol w:w="276"/>
        <w:gridCol w:w="585"/>
      </w:tblGrid>
      <w:tr w:rsidR="00783227" w:rsidRPr="00821C18" w14:paraId="1E04A597" w14:textId="77777777" w:rsidTr="00414ECC">
        <w:trPr>
          <w:trHeight w:val="300"/>
        </w:trPr>
        <w:tc>
          <w:tcPr>
            <w:tcW w:w="4857" w:type="dxa"/>
            <w:gridSpan w:val="13"/>
            <w:tcBorders>
              <w:top w:val="nil"/>
              <w:left w:val="nil"/>
              <w:bottom w:val="nil"/>
              <w:right w:val="nil"/>
            </w:tcBorders>
            <w:shd w:val="clear" w:color="auto" w:fill="auto"/>
            <w:noWrap/>
            <w:vAlign w:val="bottom"/>
            <w:hideMark/>
          </w:tcPr>
          <w:p w14:paraId="311F32CD" w14:textId="2FE1385E" w:rsidR="00E87A2A" w:rsidRPr="00821C18" w:rsidRDefault="00E87A2A" w:rsidP="007B4BF5">
            <w:pPr>
              <w:spacing w:after="0" w:line="240" w:lineRule="auto"/>
              <w:rPr>
                <w:rFonts w:ascii="Calibri" w:eastAsia="Times New Roman" w:hAnsi="Calibri" w:cs="Calibri"/>
                <w:b/>
                <w:bCs/>
                <w:color w:val="000000"/>
                <w:u w:val="single"/>
                <w:lang w:eastAsia="zh-CN"/>
              </w:rPr>
            </w:pPr>
            <w:r w:rsidRPr="00281656">
              <w:rPr>
                <w:rFonts w:ascii="Calibri" w:eastAsia="Times New Roman" w:hAnsi="Calibri" w:cs="Calibri"/>
                <w:i/>
                <w:iCs/>
                <w:color w:val="000000"/>
                <w:lang w:eastAsia="zh-CN"/>
              </w:rPr>
              <w:lastRenderedPageBreak/>
              <w:t>Number of Cocaine Seizures for Personal Use (Less than 5 grams)</w:t>
            </w:r>
          </w:p>
        </w:tc>
        <w:tc>
          <w:tcPr>
            <w:tcW w:w="672" w:type="dxa"/>
            <w:tcBorders>
              <w:top w:val="nil"/>
              <w:left w:val="nil"/>
              <w:bottom w:val="nil"/>
              <w:right w:val="nil"/>
            </w:tcBorders>
            <w:shd w:val="clear" w:color="auto" w:fill="auto"/>
            <w:noWrap/>
            <w:vAlign w:val="bottom"/>
            <w:hideMark/>
          </w:tcPr>
          <w:p w14:paraId="14ECA9F5"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82" w:type="dxa"/>
            <w:gridSpan w:val="2"/>
            <w:tcBorders>
              <w:top w:val="nil"/>
              <w:left w:val="nil"/>
              <w:bottom w:val="nil"/>
              <w:right w:val="nil"/>
            </w:tcBorders>
            <w:shd w:val="clear" w:color="auto" w:fill="auto"/>
            <w:noWrap/>
            <w:vAlign w:val="bottom"/>
            <w:hideMark/>
          </w:tcPr>
          <w:p w14:paraId="5640DA6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1108207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7FD2A77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4F701E9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1B53032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5AAC45F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21C175B5" w14:textId="77777777" w:rsidTr="00414ECC">
        <w:trPr>
          <w:trHeight w:val="300"/>
        </w:trPr>
        <w:tc>
          <w:tcPr>
            <w:tcW w:w="712" w:type="dxa"/>
            <w:tcBorders>
              <w:top w:val="nil"/>
              <w:left w:val="nil"/>
              <w:bottom w:val="nil"/>
              <w:right w:val="nil"/>
            </w:tcBorders>
            <w:shd w:val="clear" w:color="auto" w:fill="auto"/>
            <w:noWrap/>
            <w:vAlign w:val="bottom"/>
            <w:hideMark/>
          </w:tcPr>
          <w:p w14:paraId="335166A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gridSpan w:val="2"/>
            <w:tcBorders>
              <w:top w:val="nil"/>
              <w:left w:val="nil"/>
              <w:bottom w:val="nil"/>
              <w:right w:val="nil"/>
            </w:tcBorders>
            <w:shd w:val="clear" w:color="auto" w:fill="auto"/>
            <w:noWrap/>
            <w:vAlign w:val="bottom"/>
            <w:hideMark/>
          </w:tcPr>
          <w:p w14:paraId="54DCC60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34A4CEF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31A4687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0B497B4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22" w:type="dxa"/>
            <w:tcBorders>
              <w:top w:val="nil"/>
              <w:left w:val="nil"/>
              <w:bottom w:val="nil"/>
              <w:right w:val="nil"/>
            </w:tcBorders>
            <w:shd w:val="clear" w:color="auto" w:fill="auto"/>
            <w:noWrap/>
            <w:vAlign w:val="bottom"/>
            <w:hideMark/>
          </w:tcPr>
          <w:p w14:paraId="1D0BDE1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gridSpan w:val="2"/>
            <w:tcBorders>
              <w:top w:val="nil"/>
              <w:left w:val="nil"/>
              <w:bottom w:val="nil"/>
              <w:right w:val="nil"/>
            </w:tcBorders>
            <w:shd w:val="clear" w:color="auto" w:fill="auto"/>
            <w:noWrap/>
            <w:vAlign w:val="bottom"/>
            <w:hideMark/>
          </w:tcPr>
          <w:p w14:paraId="6B52E24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72" w:type="dxa"/>
            <w:tcBorders>
              <w:top w:val="nil"/>
              <w:left w:val="nil"/>
              <w:bottom w:val="nil"/>
              <w:right w:val="nil"/>
            </w:tcBorders>
            <w:shd w:val="clear" w:color="auto" w:fill="auto"/>
            <w:noWrap/>
            <w:vAlign w:val="bottom"/>
            <w:hideMark/>
          </w:tcPr>
          <w:p w14:paraId="65BFAF2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05AF8AF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3A73F69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0DC88B5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6195C20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494135F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65C06A7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07F9A4EB" w14:textId="77777777" w:rsidTr="00414ECC">
        <w:trPr>
          <w:trHeight w:val="300"/>
        </w:trPr>
        <w:tc>
          <w:tcPr>
            <w:tcW w:w="71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5CD5AC0" w14:textId="77777777" w:rsidR="00E87A2A" w:rsidRPr="00821C18" w:rsidRDefault="00E87A2A" w:rsidP="007B4BF5">
            <w:pPr>
              <w:spacing w:after="0" w:line="240" w:lineRule="auto"/>
              <w:rPr>
                <w:rFonts w:ascii="Calibri" w:eastAsia="Times New Roman" w:hAnsi="Calibri" w:cs="Calibri"/>
                <w:b/>
                <w:bCs/>
                <w:color w:val="000000"/>
                <w:lang w:eastAsia="zh-CN"/>
              </w:rPr>
            </w:pPr>
          </w:p>
        </w:tc>
        <w:tc>
          <w:tcPr>
            <w:tcW w:w="549"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021F41D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890" w:type="dxa"/>
            <w:gridSpan w:val="3"/>
            <w:tcBorders>
              <w:top w:val="single" w:sz="4" w:space="0" w:color="auto"/>
              <w:left w:val="nil"/>
              <w:bottom w:val="single" w:sz="4" w:space="0" w:color="auto"/>
              <w:right w:val="single" w:sz="4" w:space="0" w:color="auto"/>
            </w:tcBorders>
            <w:shd w:val="clear" w:color="DDEBF7" w:fill="DDEBF7"/>
            <w:noWrap/>
            <w:vAlign w:val="center"/>
            <w:hideMark/>
          </w:tcPr>
          <w:p w14:paraId="042E3AB1"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700"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7C8E3A6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78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776317F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22" w:type="dxa"/>
            <w:tcBorders>
              <w:top w:val="single" w:sz="4" w:space="0" w:color="auto"/>
              <w:left w:val="nil"/>
              <w:bottom w:val="single" w:sz="4" w:space="0" w:color="auto"/>
              <w:right w:val="single" w:sz="4" w:space="0" w:color="auto"/>
            </w:tcBorders>
            <w:shd w:val="clear" w:color="DDEBF7" w:fill="DDEBF7"/>
            <w:noWrap/>
            <w:vAlign w:val="center"/>
            <w:hideMark/>
          </w:tcPr>
          <w:p w14:paraId="2F9B1CD9"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3"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6CAE7AA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672" w:type="dxa"/>
            <w:tcBorders>
              <w:top w:val="single" w:sz="4" w:space="0" w:color="auto"/>
              <w:left w:val="nil"/>
              <w:bottom w:val="single" w:sz="4" w:space="0" w:color="auto"/>
              <w:right w:val="single" w:sz="4" w:space="0" w:color="auto"/>
            </w:tcBorders>
            <w:shd w:val="clear" w:color="DDEBF7" w:fill="DDEBF7"/>
            <w:noWrap/>
            <w:vAlign w:val="center"/>
            <w:hideMark/>
          </w:tcPr>
          <w:p w14:paraId="7CA395D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8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AB7E55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6BE545A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748"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55AD900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584" w:type="dxa"/>
            <w:tcBorders>
              <w:top w:val="single" w:sz="4" w:space="0" w:color="auto"/>
              <w:left w:val="nil"/>
              <w:bottom w:val="single" w:sz="4" w:space="0" w:color="auto"/>
              <w:right w:val="single" w:sz="4" w:space="0" w:color="auto"/>
            </w:tcBorders>
            <w:shd w:val="clear" w:color="DDEBF7" w:fill="DDEBF7"/>
            <w:noWrap/>
            <w:vAlign w:val="center"/>
            <w:hideMark/>
          </w:tcPr>
          <w:p w14:paraId="7E7B224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57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54DFC1EF"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86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71FBF4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Total</w:t>
            </w:r>
          </w:p>
        </w:tc>
      </w:tr>
      <w:tr w:rsidR="00783227" w:rsidRPr="00821C18" w14:paraId="1DD7BB6A"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F387F99"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0583DB3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2E7D7D2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F375FD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2A65968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w:t>
            </w:r>
          </w:p>
        </w:tc>
        <w:tc>
          <w:tcPr>
            <w:tcW w:w="622" w:type="dxa"/>
            <w:tcBorders>
              <w:top w:val="nil"/>
              <w:left w:val="nil"/>
              <w:bottom w:val="single" w:sz="4" w:space="0" w:color="auto"/>
              <w:right w:val="single" w:sz="4" w:space="0" w:color="auto"/>
            </w:tcBorders>
            <w:shd w:val="clear" w:color="auto" w:fill="auto"/>
            <w:noWrap/>
            <w:vAlign w:val="center"/>
            <w:hideMark/>
          </w:tcPr>
          <w:p w14:paraId="164D5CF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30F43CF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672" w:type="dxa"/>
            <w:tcBorders>
              <w:top w:val="nil"/>
              <w:left w:val="nil"/>
              <w:bottom w:val="single" w:sz="4" w:space="0" w:color="auto"/>
              <w:right w:val="single" w:sz="4" w:space="0" w:color="auto"/>
            </w:tcBorders>
            <w:shd w:val="clear" w:color="auto" w:fill="auto"/>
            <w:noWrap/>
            <w:vAlign w:val="center"/>
            <w:hideMark/>
          </w:tcPr>
          <w:p w14:paraId="24D44D7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FAB9CD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549" w:type="dxa"/>
            <w:tcBorders>
              <w:top w:val="nil"/>
              <w:left w:val="nil"/>
              <w:bottom w:val="single" w:sz="4" w:space="0" w:color="auto"/>
              <w:right w:val="single" w:sz="4" w:space="0" w:color="auto"/>
            </w:tcBorders>
            <w:shd w:val="clear" w:color="auto" w:fill="auto"/>
            <w:noWrap/>
            <w:vAlign w:val="center"/>
            <w:hideMark/>
          </w:tcPr>
          <w:p w14:paraId="75AE196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3310C6E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w:t>
            </w:r>
          </w:p>
        </w:tc>
        <w:tc>
          <w:tcPr>
            <w:tcW w:w="584" w:type="dxa"/>
            <w:tcBorders>
              <w:top w:val="nil"/>
              <w:left w:val="nil"/>
              <w:bottom w:val="single" w:sz="4" w:space="0" w:color="auto"/>
              <w:right w:val="single" w:sz="4" w:space="0" w:color="auto"/>
            </w:tcBorders>
            <w:shd w:val="clear" w:color="auto" w:fill="auto"/>
            <w:noWrap/>
            <w:vAlign w:val="center"/>
            <w:hideMark/>
          </w:tcPr>
          <w:p w14:paraId="25AB60F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3AB39D6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17AB333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33</w:t>
            </w:r>
          </w:p>
        </w:tc>
      </w:tr>
      <w:tr w:rsidR="00783227" w:rsidRPr="00821C18" w14:paraId="53EE5D3D"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83D9876"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6E0EE79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4CD78E7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480E91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6079B40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622" w:type="dxa"/>
            <w:tcBorders>
              <w:top w:val="nil"/>
              <w:left w:val="nil"/>
              <w:bottom w:val="single" w:sz="4" w:space="0" w:color="auto"/>
              <w:right w:val="single" w:sz="4" w:space="0" w:color="auto"/>
            </w:tcBorders>
            <w:shd w:val="clear" w:color="auto" w:fill="auto"/>
            <w:noWrap/>
            <w:vAlign w:val="center"/>
            <w:hideMark/>
          </w:tcPr>
          <w:p w14:paraId="37FC204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5E6EEBF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672" w:type="dxa"/>
            <w:tcBorders>
              <w:top w:val="nil"/>
              <w:left w:val="nil"/>
              <w:bottom w:val="single" w:sz="4" w:space="0" w:color="auto"/>
              <w:right w:val="single" w:sz="4" w:space="0" w:color="auto"/>
            </w:tcBorders>
            <w:shd w:val="clear" w:color="auto" w:fill="auto"/>
            <w:noWrap/>
            <w:vAlign w:val="center"/>
            <w:hideMark/>
          </w:tcPr>
          <w:p w14:paraId="605ED74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1752D9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549" w:type="dxa"/>
            <w:tcBorders>
              <w:top w:val="nil"/>
              <w:left w:val="nil"/>
              <w:bottom w:val="single" w:sz="4" w:space="0" w:color="auto"/>
              <w:right w:val="single" w:sz="4" w:space="0" w:color="auto"/>
            </w:tcBorders>
            <w:shd w:val="clear" w:color="auto" w:fill="auto"/>
            <w:noWrap/>
            <w:vAlign w:val="center"/>
            <w:hideMark/>
          </w:tcPr>
          <w:p w14:paraId="7761A95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78A9E84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584" w:type="dxa"/>
            <w:tcBorders>
              <w:top w:val="nil"/>
              <w:left w:val="nil"/>
              <w:bottom w:val="single" w:sz="4" w:space="0" w:color="auto"/>
              <w:right w:val="single" w:sz="4" w:space="0" w:color="auto"/>
            </w:tcBorders>
            <w:shd w:val="clear" w:color="auto" w:fill="auto"/>
            <w:noWrap/>
            <w:vAlign w:val="center"/>
            <w:hideMark/>
          </w:tcPr>
          <w:p w14:paraId="2942150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72CE6B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409CA18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70</w:t>
            </w:r>
          </w:p>
        </w:tc>
      </w:tr>
      <w:tr w:rsidR="00783227" w:rsidRPr="00821C18" w14:paraId="4578F092"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A7BBDC8"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782C8C9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6019EB6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D68759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0B74951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622" w:type="dxa"/>
            <w:tcBorders>
              <w:top w:val="nil"/>
              <w:left w:val="nil"/>
              <w:bottom w:val="single" w:sz="4" w:space="0" w:color="auto"/>
              <w:right w:val="single" w:sz="4" w:space="0" w:color="auto"/>
            </w:tcBorders>
            <w:shd w:val="clear" w:color="auto" w:fill="auto"/>
            <w:noWrap/>
            <w:vAlign w:val="center"/>
            <w:hideMark/>
          </w:tcPr>
          <w:p w14:paraId="1287C49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7D8E4BD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672" w:type="dxa"/>
            <w:tcBorders>
              <w:top w:val="nil"/>
              <w:left w:val="nil"/>
              <w:bottom w:val="single" w:sz="4" w:space="0" w:color="auto"/>
              <w:right w:val="single" w:sz="4" w:space="0" w:color="auto"/>
            </w:tcBorders>
            <w:shd w:val="clear" w:color="auto" w:fill="auto"/>
            <w:noWrap/>
            <w:vAlign w:val="center"/>
            <w:hideMark/>
          </w:tcPr>
          <w:p w14:paraId="56FF852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23A3856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549" w:type="dxa"/>
            <w:tcBorders>
              <w:top w:val="nil"/>
              <w:left w:val="nil"/>
              <w:bottom w:val="single" w:sz="4" w:space="0" w:color="auto"/>
              <w:right w:val="single" w:sz="4" w:space="0" w:color="auto"/>
            </w:tcBorders>
            <w:shd w:val="clear" w:color="auto" w:fill="auto"/>
            <w:noWrap/>
            <w:vAlign w:val="center"/>
            <w:hideMark/>
          </w:tcPr>
          <w:p w14:paraId="53428E2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3B5422B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584" w:type="dxa"/>
            <w:tcBorders>
              <w:top w:val="nil"/>
              <w:left w:val="nil"/>
              <w:bottom w:val="single" w:sz="4" w:space="0" w:color="auto"/>
              <w:right w:val="single" w:sz="4" w:space="0" w:color="auto"/>
            </w:tcBorders>
            <w:shd w:val="clear" w:color="auto" w:fill="auto"/>
            <w:noWrap/>
            <w:vAlign w:val="center"/>
            <w:hideMark/>
          </w:tcPr>
          <w:p w14:paraId="25C3C6C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2AE92E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5E462EA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68</w:t>
            </w:r>
          </w:p>
        </w:tc>
      </w:tr>
      <w:tr w:rsidR="00783227" w:rsidRPr="00821C18" w14:paraId="3D79CE25"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BB1EF73"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043BE38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08944FD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CC8B65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7B08E8E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622" w:type="dxa"/>
            <w:tcBorders>
              <w:top w:val="nil"/>
              <w:left w:val="nil"/>
              <w:bottom w:val="single" w:sz="4" w:space="0" w:color="auto"/>
              <w:right w:val="single" w:sz="4" w:space="0" w:color="auto"/>
            </w:tcBorders>
            <w:shd w:val="clear" w:color="auto" w:fill="auto"/>
            <w:noWrap/>
            <w:vAlign w:val="center"/>
            <w:hideMark/>
          </w:tcPr>
          <w:p w14:paraId="1FDB949A"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45E091B7"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72" w:type="dxa"/>
            <w:tcBorders>
              <w:top w:val="nil"/>
              <w:left w:val="nil"/>
              <w:bottom w:val="single" w:sz="4" w:space="0" w:color="auto"/>
              <w:right w:val="single" w:sz="4" w:space="0" w:color="auto"/>
            </w:tcBorders>
            <w:shd w:val="clear" w:color="auto" w:fill="auto"/>
            <w:noWrap/>
            <w:vAlign w:val="center"/>
            <w:hideMark/>
          </w:tcPr>
          <w:p w14:paraId="5342F50B"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ABF7F7C"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2F8AA5BE"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750540DD"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4" w:type="dxa"/>
            <w:tcBorders>
              <w:top w:val="nil"/>
              <w:left w:val="nil"/>
              <w:bottom w:val="single" w:sz="4" w:space="0" w:color="auto"/>
              <w:right w:val="single" w:sz="4" w:space="0" w:color="auto"/>
            </w:tcBorders>
            <w:shd w:val="clear" w:color="auto" w:fill="auto"/>
            <w:noWrap/>
            <w:vAlign w:val="center"/>
            <w:hideMark/>
          </w:tcPr>
          <w:p w14:paraId="65964C21"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51F372EA"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038C6E8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w:t>
            </w:r>
          </w:p>
        </w:tc>
      </w:tr>
      <w:tr w:rsidR="00783227" w:rsidRPr="00821C18" w14:paraId="49F6F792" w14:textId="77777777" w:rsidTr="00414ECC">
        <w:trPr>
          <w:trHeight w:val="300"/>
        </w:trPr>
        <w:tc>
          <w:tcPr>
            <w:tcW w:w="712" w:type="dxa"/>
            <w:tcBorders>
              <w:top w:val="nil"/>
              <w:left w:val="nil"/>
              <w:bottom w:val="nil"/>
              <w:right w:val="nil"/>
            </w:tcBorders>
            <w:shd w:val="clear" w:color="auto" w:fill="auto"/>
            <w:noWrap/>
            <w:vAlign w:val="bottom"/>
            <w:hideMark/>
          </w:tcPr>
          <w:p w14:paraId="04E640C1"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49" w:type="dxa"/>
            <w:gridSpan w:val="2"/>
            <w:tcBorders>
              <w:top w:val="nil"/>
              <w:left w:val="nil"/>
              <w:bottom w:val="nil"/>
              <w:right w:val="nil"/>
            </w:tcBorders>
            <w:shd w:val="clear" w:color="auto" w:fill="auto"/>
            <w:noWrap/>
            <w:vAlign w:val="bottom"/>
            <w:hideMark/>
          </w:tcPr>
          <w:p w14:paraId="104EE16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3D29726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7A1782C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7302166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22" w:type="dxa"/>
            <w:tcBorders>
              <w:top w:val="nil"/>
              <w:left w:val="nil"/>
              <w:bottom w:val="nil"/>
              <w:right w:val="nil"/>
            </w:tcBorders>
            <w:shd w:val="clear" w:color="auto" w:fill="auto"/>
            <w:noWrap/>
            <w:vAlign w:val="bottom"/>
            <w:hideMark/>
          </w:tcPr>
          <w:p w14:paraId="3222CAD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gridSpan w:val="2"/>
            <w:tcBorders>
              <w:top w:val="nil"/>
              <w:left w:val="nil"/>
              <w:bottom w:val="nil"/>
              <w:right w:val="nil"/>
            </w:tcBorders>
            <w:shd w:val="clear" w:color="auto" w:fill="auto"/>
            <w:noWrap/>
            <w:vAlign w:val="bottom"/>
            <w:hideMark/>
          </w:tcPr>
          <w:p w14:paraId="7BCC1DA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72" w:type="dxa"/>
            <w:tcBorders>
              <w:top w:val="nil"/>
              <w:left w:val="nil"/>
              <w:bottom w:val="nil"/>
              <w:right w:val="nil"/>
            </w:tcBorders>
            <w:shd w:val="clear" w:color="auto" w:fill="auto"/>
            <w:noWrap/>
            <w:vAlign w:val="bottom"/>
            <w:hideMark/>
          </w:tcPr>
          <w:p w14:paraId="6099719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79A6BDF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0CD3657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24E9001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19B64FF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0226CB7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25585D1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4F65A621" w14:textId="77777777" w:rsidTr="00414ECC">
        <w:trPr>
          <w:trHeight w:val="300"/>
        </w:trPr>
        <w:tc>
          <w:tcPr>
            <w:tcW w:w="4857" w:type="dxa"/>
            <w:gridSpan w:val="13"/>
            <w:tcBorders>
              <w:top w:val="nil"/>
              <w:left w:val="nil"/>
              <w:bottom w:val="nil"/>
              <w:right w:val="nil"/>
            </w:tcBorders>
            <w:shd w:val="clear" w:color="auto" w:fill="auto"/>
            <w:noWrap/>
            <w:vAlign w:val="bottom"/>
            <w:hideMark/>
          </w:tcPr>
          <w:p w14:paraId="228474D5" w14:textId="77777777" w:rsidR="00E87A2A" w:rsidRPr="00281656" w:rsidRDefault="00E87A2A" w:rsidP="007B4BF5">
            <w:pPr>
              <w:spacing w:after="0" w:line="240" w:lineRule="auto"/>
              <w:rPr>
                <w:rFonts w:ascii="Calibri" w:eastAsia="Times New Roman" w:hAnsi="Calibri" w:cs="Calibri"/>
                <w:i/>
                <w:iCs/>
                <w:color w:val="000000"/>
                <w:lang w:eastAsia="zh-CN"/>
              </w:rPr>
            </w:pPr>
            <w:r w:rsidRPr="00281656">
              <w:rPr>
                <w:rFonts w:ascii="Calibri" w:eastAsia="Times New Roman" w:hAnsi="Calibri" w:cs="Calibri"/>
                <w:i/>
                <w:iCs/>
                <w:color w:val="000000"/>
                <w:lang w:eastAsia="zh-CN"/>
              </w:rPr>
              <w:t>Number of GHB/GBL Seizures for Personal Use (Less than 56 grams)</w:t>
            </w:r>
          </w:p>
        </w:tc>
        <w:tc>
          <w:tcPr>
            <w:tcW w:w="672" w:type="dxa"/>
            <w:tcBorders>
              <w:top w:val="nil"/>
              <w:left w:val="nil"/>
              <w:bottom w:val="nil"/>
              <w:right w:val="nil"/>
            </w:tcBorders>
            <w:shd w:val="clear" w:color="auto" w:fill="auto"/>
            <w:noWrap/>
            <w:vAlign w:val="bottom"/>
            <w:hideMark/>
          </w:tcPr>
          <w:p w14:paraId="4E82CC38"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82" w:type="dxa"/>
            <w:gridSpan w:val="2"/>
            <w:tcBorders>
              <w:top w:val="nil"/>
              <w:left w:val="nil"/>
              <w:bottom w:val="nil"/>
              <w:right w:val="nil"/>
            </w:tcBorders>
            <w:shd w:val="clear" w:color="auto" w:fill="auto"/>
            <w:noWrap/>
            <w:vAlign w:val="bottom"/>
            <w:hideMark/>
          </w:tcPr>
          <w:p w14:paraId="0AE16D1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0521EE2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01BA4B3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62E4A99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794BD90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6DD2E9F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0F0DB1B1" w14:textId="77777777" w:rsidTr="00414ECC">
        <w:trPr>
          <w:trHeight w:val="300"/>
        </w:trPr>
        <w:tc>
          <w:tcPr>
            <w:tcW w:w="712" w:type="dxa"/>
            <w:tcBorders>
              <w:top w:val="nil"/>
              <w:left w:val="nil"/>
              <w:bottom w:val="nil"/>
              <w:right w:val="nil"/>
            </w:tcBorders>
            <w:shd w:val="clear" w:color="auto" w:fill="auto"/>
            <w:noWrap/>
            <w:vAlign w:val="bottom"/>
            <w:hideMark/>
          </w:tcPr>
          <w:p w14:paraId="09A3294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gridSpan w:val="2"/>
            <w:tcBorders>
              <w:top w:val="nil"/>
              <w:left w:val="nil"/>
              <w:bottom w:val="nil"/>
              <w:right w:val="nil"/>
            </w:tcBorders>
            <w:shd w:val="clear" w:color="auto" w:fill="auto"/>
            <w:noWrap/>
            <w:vAlign w:val="bottom"/>
            <w:hideMark/>
          </w:tcPr>
          <w:p w14:paraId="5372D10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76CA8DC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53AEE68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77CDFEF0" w14:textId="77777777" w:rsidR="00E87A2A" w:rsidRPr="00281656" w:rsidRDefault="00E87A2A" w:rsidP="007B4BF5">
            <w:pPr>
              <w:spacing w:after="0" w:line="240" w:lineRule="auto"/>
              <w:rPr>
                <w:rFonts w:ascii="Calibri" w:eastAsia="Times New Roman" w:hAnsi="Calibri" w:cs="Calibri"/>
                <w:i/>
                <w:iCs/>
                <w:color w:val="000000"/>
                <w:lang w:eastAsia="zh-CN"/>
              </w:rPr>
            </w:pPr>
          </w:p>
        </w:tc>
        <w:tc>
          <w:tcPr>
            <w:tcW w:w="622" w:type="dxa"/>
            <w:tcBorders>
              <w:top w:val="nil"/>
              <w:left w:val="nil"/>
              <w:bottom w:val="nil"/>
              <w:right w:val="nil"/>
            </w:tcBorders>
            <w:shd w:val="clear" w:color="auto" w:fill="auto"/>
            <w:noWrap/>
            <w:vAlign w:val="bottom"/>
            <w:hideMark/>
          </w:tcPr>
          <w:p w14:paraId="34BA24BD" w14:textId="77777777" w:rsidR="00E87A2A" w:rsidRPr="00281656" w:rsidRDefault="00E87A2A" w:rsidP="007B4BF5">
            <w:pPr>
              <w:spacing w:after="0" w:line="240" w:lineRule="auto"/>
              <w:rPr>
                <w:rFonts w:ascii="Calibri" w:eastAsia="Times New Roman" w:hAnsi="Calibri" w:cs="Calibri"/>
                <w:i/>
                <w:iCs/>
                <w:color w:val="000000"/>
                <w:lang w:eastAsia="zh-CN"/>
              </w:rPr>
            </w:pPr>
          </w:p>
        </w:tc>
        <w:tc>
          <w:tcPr>
            <w:tcW w:w="603" w:type="dxa"/>
            <w:gridSpan w:val="2"/>
            <w:tcBorders>
              <w:top w:val="nil"/>
              <w:left w:val="nil"/>
              <w:bottom w:val="nil"/>
              <w:right w:val="nil"/>
            </w:tcBorders>
            <w:shd w:val="clear" w:color="auto" w:fill="auto"/>
            <w:noWrap/>
            <w:vAlign w:val="bottom"/>
            <w:hideMark/>
          </w:tcPr>
          <w:p w14:paraId="642041B2" w14:textId="77777777" w:rsidR="00E87A2A" w:rsidRPr="00281656" w:rsidRDefault="00E87A2A" w:rsidP="007B4BF5">
            <w:pPr>
              <w:spacing w:after="0" w:line="240" w:lineRule="auto"/>
              <w:rPr>
                <w:rFonts w:ascii="Calibri" w:eastAsia="Times New Roman" w:hAnsi="Calibri" w:cs="Calibri"/>
                <w:i/>
                <w:iCs/>
                <w:color w:val="000000"/>
                <w:lang w:eastAsia="zh-CN"/>
              </w:rPr>
            </w:pPr>
          </w:p>
        </w:tc>
        <w:tc>
          <w:tcPr>
            <w:tcW w:w="672" w:type="dxa"/>
            <w:tcBorders>
              <w:top w:val="nil"/>
              <w:left w:val="nil"/>
              <w:bottom w:val="nil"/>
              <w:right w:val="nil"/>
            </w:tcBorders>
            <w:shd w:val="clear" w:color="auto" w:fill="auto"/>
            <w:noWrap/>
            <w:vAlign w:val="bottom"/>
            <w:hideMark/>
          </w:tcPr>
          <w:p w14:paraId="44853E1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46AC4FA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5B77815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12A9ED1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1BF9DA0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5B2D573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7577C6A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431D67AF" w14:textId="77777777" w:rsidTr="00414ECC">
        <w:trPr>
          <w:trHeight w:val="300"/>
        </w:trPr>
        <w:tc>
          <w:tcPr>
            <w:tcW w:w="71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B669ADC" w14:textId="77777777" w:rsidR="00E87A2A" w:rsidRPr="00821C18" w:rsidRDefault="00E87A2A" w:rsidP="007B4BF5">
            <w:pPr>
              <w:spacing w:after="0" w:line="240" w:lineRule="auto"/>
              <w:rPr>
                <w:rFonts w:ascii="Calibri" w:eastAsia="Times New Roman" w:hAnsi="Calibri" w:cs="Calibri"/>
                <w:b/>
                <w:bCs/>
                <w:color w:val="000000"/>
                <w:lang w:eastAsia="zh-CN"/>
              </w:rPr>
            </w:pPr>
          </w:p>
        </w:tc>
        <w:tc>
          <w:tcPr>
            <w:tcW w:w="549"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4A4FAF4E"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890" w:type="dxa"/>
            <w:gridSpan w:val="3"/>
            <w:tcBorders>
              <w:top w:val="single" w:sz="4" w:space="0" w:color="auto"/>
              <w:left w:val="nil"/>
              <w:bottom w:val="single" w:sz="4" w:space="0" w:color="auto"/>
              <w:right w:val="single" w:sz="4" w:space="0" w:color="auto"/>
            </w:tcBorders>
            <w:shd w:val="clear" w:color="DDEBF7" w:fill="DDEBF7"/>
            <w:noWrap/>
            <w:vAlign w:val="center"/>
            <w:hideMark/>
          </w:tcPr>
          <w:p w14:paraId="6E0524D1"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700"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56624BD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78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1403DF0E"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22" w:type="dxa"/>
            <w:tcBorders>
              <w:top w:val="single" w:sz="4" w:space="0" w:color="auto"/>
              <w:left w:val="nil"/>
              <w:bottom w:val="single" w:sz="4" w:space="0" w:color="auto"/>
              <w:right w:val="single" w:sz="4" w:space="0" w:color="auto"/>
            </w:tcBorders>
            <w:shd w:val="clear" w:color="DDEBF7" w:fill="DDEBF7"/>
            <w:noWrap/>
            <w:vAlign w:val="center"/>
            <w:hideMark/>
          </w:tcPr>
          <w:p w14:paraId="7390EA29"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3"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19740B1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672" w:type="dxa"/>
            <w:tcBorders>
              <w:top w:val="single" w:sz="4" w:space="0" w:color="auto"/>
              <w:left w:val="nil"/>
              <w:bottom w:val="single" w:sz="4" w:space="0" w:color="auto"/>
              <w:right w:val="single" w:sz="4" w:space="0" w:color="auto"/>
            </w:tcBorders>
            <w:shd w:val="clear" w:color="DDEBF7" w:fill="DDEBF7"/>
            <w:noWrap/>
            <w:vAlign w:val="center"/>
            <w:hideMark/>
          </w:tcPr>
          <w:p w14:paraId="13D9AC3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8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0AFE14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1661C52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748"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3FD4F54F"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584" w:type="dxa"/>
            <w:tcBorders>
              <w:top w:val="single" w:sz="4" w:space="0" w:color="auto"/>
              <w:left w:val="nil"/>
              <w:bottom w:val="single" w:sz="4" w:space="0" w:color="auto"/>
              <w:right w:val="single" w:sz="4" w:space="0" w:color="auto"/>
            </w:tcBorders>
            <w:shd w:val="clear" w:color="DDEBF7" w:fill="DDEBF7"/>
            <w:noWrap/>
            <w:vAlign w:val="center"/>
            <w:hideMark/>
          </w:tcPr>
          <w:p w14:paraId="67D39B8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57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3C01B2D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86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836385F"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Total</w:t>
            </w:r>
          </w:p>
        </w:tc>
      </w:tr>
      <w:tr w:rsidR="00783227" w:rsidRPr="00821C18" w14:paraId="3B05EBE1"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A1F6FE0"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0313D34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2A9CD15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D16BC5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4C440AA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622" w:type="dxa"/>
            <w:tcBorders>
              <w:top w:val="nil"/>
              <w:left w:val="nil"/>
              <w:bottom w:val="single" w:sz="4" w:space="0" w:color="auto"/>
              <w:right w:val="single" w:sz="4" w:space="0" w:color="auto"/>
            </w:tcBorders>
            <w:shd w:val="clear" w:color="auto" w:fill="auto"/>
            <w:noWrap/>
            <w:vAlign w:val="center"/>
            <w:hideMark/>
          </w:tcPr>
          <w:p w14:paraId="6959999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2D65DF1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672" w:type="dxa"/>
            <w:tcBorders>
              <w:top w:val="nil"/>
              <w:left w:val="nil"/>
              <w:bottom w:val="single" w:sz="4" w:space="0" w:color="auto"/>
              <w:right w:val="single" w:sz="4" w:space="0" w:color="auto"/>
            </w:tcBorders>
            <w:shd w:val="clear" w:color="auto" w:fill="auto"/>
            <w:noWrap/>
            <w:vAlign w:val="center"/>
            <w:hideMark/>
          </w:tcPr>
          <w:p w14:paraId="382B654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3D8D69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549" w:type="dxa"/>
            <w:tcBorders>
              <w:top w:val="nil"/>
              <w:left w:val="nil"/>
              <w:bottom w:val="single" w:sz="4" w:space="0" w:color="auto"/>
              <w:right w:val="single" w:sz="4" w:space="0" w:color="auto"/>
            </w:tcBorders>
            <w:shd w:val="clear" w:color="auto" w:fill="auto"/>
            <w:noWrap/>
            <w:vAlign w:val="center"/>
            <w:hideMark/>
          </w:tcPr>
          <w:p w14:paraId="60AD467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7275BE9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584" w:type="dxa"/>
            <w:tcBorders>
              <w:top w:val="nil"/>
              <w:left w:val="nil"/>
              <w:bottom w:val="single" w:sz="4" w:space="0" w:color="auto"/>
              <w:right w:val="single" w:sz="4" w:space="0" w:color="auto"/>
            </w:tcBorders>
            <w:shd w:val="clear" w:color="auto" w:fill="auto"/>
            <w:noWrap/>
            <w:vAlign w:val="center"/>
            <w:hideMark/>
          </w:tcPr>
          <w:p w14:paraId="2A1E766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DB0766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25BC11D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82</w:t>
            </w:r>
          </w:p>
        </w:tc>
      </w:tr>
      <w:tr w:rsidR="00783227" w:rsidRPr="00821C18" w14:paraId="3A3E951E"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D36F119"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6FCC4E8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0BED9A6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5489FD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3E2970D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622" w:type="dxa"/>
            <w:tcBorders>
              <w:top w:val="nil"/>
              <w:left w:val="nil"/>
              <w:bottom w:val="single" w:sz="4" w:space="0" w:color="auto"/>
              <w:right w:val="single" w:sz="4" w:space="0" w:color="auto"/>
            </w:tcBorders>
            <w:shd w:val="clear" w:color="auto" w:fill="auto"/>
            <w:noWrap/>
            <w:vAlign w:val="center"/>
            <w:hideMark/>
          </w:tcPr>
          <w:p w14:paraId="56DBEC7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4E0B2F5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672" w:type="dxa"/>
            <w:tcBorders>
              <w:top w:val="nil"/>
              <w:left w:val="nil"/>
              <w:bottom w:val="single" w:sz="4" w:space="0" w:color="auto"/>
              <w:right w:val="single" w:sz="4" w:space="0" w:color="auto"/>
            </w:tcBorders>
            <w:shd w:val="clear" w:color="auto" w:fill="auto"/>
            <w:noWrap/>
            <w:vAlign w:val="center"/>
            <w:hideMark/>
          </w:tcPr>
          <w:p w14:paraId="1E246A4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60E3D2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w:t>
            </w:r>
          </w:p>
        </w:tc>
        <w:tc>
          <w:tcPr>
            <w:tcW w:w="549" w:type="dxa"/>
            <w:tcBorders>
              <w:top w:val="nil"/>
              <w:left w:val="nil"/>
              <w:bottom w:val="single" w:sz="4" w:space="0" w:color="auto"/>
              <w:right w:val="single" w:sz="4" w:space="0" w:color="auto"/>
            </w:tcBorders>
            <w:shd w:val="clear" w:color="auto" w:fill="auto"/>
            <w:noWrap/>
            <w:vAlign w:val="center"/>
            <w:hideMark/>
          </w:tcPr>
          <w:p w14:paraId="1B4CB15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683C756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w:t>
            </w:r>
          </w:p>
        </w:tc>
        <w:tc>
          <w:tcPr>
            <w:tcW w:w="584" w:type="dxa"/>
            <w:tcBorders>
              <w:top w:val="nil"/>
              <w:left w:val="nil"/>
              <w:bottom w:val="single" w:sz="4" w:space="0" w:color="auto"/>
              <w:right w:val="single" w:sz="4" w:space="0" w:color="auto"/>
            </w:tcBorders>
            <w:shd w:val="clear" w:color="auto" w:fill="auto"/>
            <w:noWrap/>
            <w:vAlign w:val="center"/>
            <w:hideMark/>
          </w:tcPr>
          <w:p w14:paraId="726FE01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48F54BC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5</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0569787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74</w:t>
            </w:r>
          </w:p>
        </w:tc>
      </w:tr>
      <w:tr w:rsidR="00783227" w:rsidRPr="00821C18" w14:paraId="68C9807C"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DEB625D"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1A2941A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3BC99D6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0A7850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75A741D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622" w:type="dxa"/>
            <w:tcBorders>
              <w:top w:val="nil"/>
              <w:left w:val="nil"/>
              <w:bottom w:val="single" w:sz="4" w:space="0" w:color="auto"/>
              <w:right w:val="single" w:sz="4" w:space="0" w:color="auto"/>
            </w:tcBorders>
            <w:shd w:val="clear" w:color="auto" w:fill="auto"/>
            <w:noWrap/>
            <w:vAlign w:val="center"/>
            <w:hideMark/>
          </w:tcPr>
          <w:p w14:paraId="2C96EA2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34A24BA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672" w:type="dxa"/>
            <w:tcBorders>
              <w:top w:val="nil"/>
              <w:left w:val="nil"/>
              <w:bottom w:val="single" w:sz="4" w:space="0" w:color="auto"/>
              <w:right w:val="single" w:sz="4" w:space="0" w:color="auto"/>
            </w:tcBorders>
            <w:shd w:val="clear" w:color="auto" w:fill="auto"/>
            <w:noWrap/>
            <w:vAlign w:val="center"/>
            <w:hideMark/>
          </w:tcPr>
          <w:p w14:paraId="513D7CA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EE38F2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w:t>
            </w:r>
          </w:p>
        </w:tc>
        <w:tc>
          <w:tcPr>
            <w:tcW w:w="549" w:type="dxa"/>
            <w:tcBorders>
              <w:top w:val="nil"/>
              <w:left w:val="nil"/>
              <w:bottom w:val="single" w:sz="4" w:space="0" w:color="auto"/>
              <w:right w:val="single" w:sz="4" w:space="0" w:color="auto"/>
            </w:tcBorders>
            <w:shd w:val="clear" w:color="auto" w:fill="auto"/>
            <w:noWrap/>
            <w:vAlign w:val="center"/>
            <w:hideMark/>
          </w:tcPr>
          <w:p w14:paraId="3AF76A0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40ABD52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w:t>
            </w:r>
          </w:p>
        </w:tc>
        <w:tc>
          <w:tcPr>
            <w:tcW w:w="584" w:type="dxa"/>
            <w:tcBorders>
              <w:top w:val="nil"/>
              <w:left w:val="nil"/>
              <w:bottom w:val="single" w:sz="4" w:space="0" w:color="auto"/>
              <w:right w:val="single" w:sz="4" w:space="0" w:color="auto"/>
            </w:tcBorders>
            <w:shd w:val="clear" w:color="auto" w:fill="auto"/>
            <w:noWrap/>
            <w:vAlign w:val="center"/>
            <w:hideMark/>
          </w:tcPr>
          <w:p w14:paraId="1B1E0D7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AF8750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58AFBBE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127</w:t>
            </w:r>
          </w:p>
        </w:tc>
      </w:tr>
      <w:tr w:rsidR="00783227" w:rsidRPr="00821C18" w14:paraId="0F10EC22"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5530BE3"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2DFBBA1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2D1EC7C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0E37C8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022C3ED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622" w:type="dxa"/>
            <w:tcBorders>
              <w:top w:val="nil"/>
              <w:left w:val="nil"/>
              <w:bottom w:val="single" w:sz="4" w:space="0" w:color="auto"/>
              <w:right w:val="single" w:sz="4" w:space="0" w:color="auto"/>
            </w:tcBorders>
            <w:shd w:val="clear" w:color="auto" w:fill="auto"/>
            <w:noWrap/>
            <w:vAlign w:val="center"/>
            <w:hideMark/>
          </w:tcPr>
          <w:p w14:paraId="7672F5F2"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33524831"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72" w:type="dxa"/>
            <w:tcBorders>
              <w:top w:val="nil"/>
              <w:left w:val="nil"/>
              <w:bottom w:val="single" w:sz="4" w:space="0" w:color="auto"/>
              <w:right w:val="single" w:sz="4" w:space="0" w:color="auto"/>
            </w:tcBorders>
            <w:shd w:val="clear" w:color="auto" w:fill="auto"/>
            <w:noWrap/>
            <w:vAlign w:val="center"/>
            <w:hideMark/>
          </w:tcPr>
          <w:p w14:paraId="76A85358"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292451D"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307243FA"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2AA68A8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4" w:type="dxa"/>
            <w:tcBorders>
              <w:top w:val="nil"/>
              <w:left w:val="nil"/>
              <w:bottom w:val="single" w:sz="4" w:space="0" w:color="auto"/>
              <w:right w:val="single" w:sz="4" w:space="0" w:color="auto"/>
            </w:tcBorders>
            <w:shd w:val="clear" w:color="auto" w:fill="auto"/>
            <w:noWrap/>
            <w:vAlign w:val="center"/>
            <w:hideMark/>
          </w:tcPr>
          <w:p w14:paraId="521CA260"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2F8E0E19"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77BFAB0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37</w:t>
            </w:r>
          </w:p>
        </w:tc>
      </w:tr>
      <w:tr w:rsidR="00783227" w:rsidRPr="00821C18" w14:paraId="5999DC9D" w14:textId="77777777" w:rsidTr="00414ECC">
        <w:trPr>
          <w:trHeight w:val="300"/>
        </w:trPr>
        <w:tc>
          <w:tcPr>
            <w:tcW w:w="712" w:type="dxa"/>
            <w:tcBorders>
              <w:top w:val="nil"/>
              <w:left w:val="nil"/>
              <w:bottom w:val="nil"/>
              <w:right w:val="nil"/>
            </w:tcBorders>
            <w:shd w:val="clear" w:color="auto" w:fill="auto"/>
            <w:noWrap/>
            <w:vAlign w:val="bottom"/>
            <w:hideMark/>
          </w:tcPr>
          <w:p w14:paraId="173F9E02"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49" w:type="dxa"/>
            <w:gridSpan w:val="2"/>
            <w:tcBorders>
              <w:top w:val="nil"/>
              <w:left w:val="nil"/>
              <w:bottom w:val="nil"/>
              <w:right w:val="nil"/>
            </w:tcBorders>
            <w:shd w:val="clear" w:color="auto" w:fill="auto"/>
            <w:noWrap/>
            <w:vAlign w:val="bottom"/>
            <w:hideMark/>
          </w:tcPr>
          <w:p w14:paraId="7E9D7B6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7A9425F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20813ED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195463F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22" w:type="dxa"/>
            <w:tcBorders>
              <w:top w:val="nil"/>
              <w:left w:val="nil"/>
              <w:bottom w:val="nil"/>
              <w:right w:val="nil"/>
            </w:tcBorders>
            <w:shd w:val="clear" w:color="auto" w:fill="auto"/>
            <w:noWrap/>
            <w:vAlign w:val="bottom"/>
            <w:hideMark/>
          </w:tcPr>
          <w:p w14:paraId="558B0A5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gridSpan w:val="2"/>
            <w:tcBorders>
              <w:top w:val="nil"/>
              <w:left w:val="nil"/>
              <w:bottom w:val="nil"/>
              <w:right w:val="nil"/>
            </w:tcBorders>
            <w:shd w:val="clear" w:color="auto" w:fill="auto"/>
            <w:noWrap/>
            <w:vAlign w:val="bottom"/>
            <w:hideMark/>
          </w:tcPr>
          <w:p w14:paraId="521873C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72" w:type="dxa"/>
            <w:tcBorders>
              <w:top w:val="nil"/>
              <w:left w:val="nil"/>
              <w:bottom w:val="nil"/>
              <w:right w:val="nil"/>
            </w:tcBorders>
            <w:shd w:val="clear" w:color="auto" w:fill="auto"/>
            <w:noWrap/>
            <w:vAlign w:val="bottom"/>
            <w:hideMark/>
          </w:tcPr>
          <w:p w14:paraId="0F1DD69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06BEDF3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6384F6F9"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7F0393A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474589A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51BD8C1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6FB3A3A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495B09" w14:paraId="0A48BEE8" w14:textId="77777777" w:rsidTr="00414ECC">
        <w:trPr>
          <w:gridAfter w:val="1"/>
          <w:wAfter w:w="585" w:type="dxa"/>
          <w:trHeight w:val="300"/>
        </w:trPr>
        <w:tc>
          <w:tcPr>
            <w:tcW w:w="929" w:type="dxa"/>
            <w:gridSpan w:val="2"/>
            <w:tcBorders>
              <w:top w:val="nil"/>
              <w:left w:val="nil"/>
              <w:bottom w:val="nil"/>
              <w:right w:val="nil"/>
            </w:tcBorders>
            <w:shd w:val="clear" w:color="auto" w:fill="auto"/>
            <w:noWrap/>
            <w:vAlign w:val="bottom"/>
          </w:tcPr>
          <w:p w14:paraId="3DCE8F25" w14:textId="77777777" w:rsidR="00792994" w:rsidRPr="00495B09" w:rsidRDefault="00792994" w:rsidP="007B4BF5">
            <w:pPr>
              <w:spacing w:after="0" w:line="240" w:lineRule="auto"/>
              <w:jc w:val="right"/>
              <w:rPr>
                <w:rFonts w:ascii="Calibri" w:eastAsia="Times New Roman" w:hAnsi="Calibri" w:cs="Calibri"/>
                <w:color w:val="000000"/>
                <w:lang w:eastAsia="zh-CN"/>
              </w:rPr>
            </w:pPr>
          </w:p>
        </w:tc>
        <w:tc>
          <w:tcPr>
            <w:tcW w:w="548" w:type="dxa"/>
            <w:gridSpan w:val="2"/>
            <w:tcBorders>
              <w:top w:val="nil"/>
              <w:left w:val="nil"/>
              <w:bottom w:val="nil"/>
              <w:right w:val="nil"/>
            </w:tcBorders>
            <w:shd w:val="clear" w:color="auto" w:fill="auto"/>
            <w:noWrap/>
            <w:vAlign w:val="bottom"/>
          </w:tcPr>
          <w:p w14:paraId="38565642"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294" w:type="dxa"/>
            <w:tcBorders>
              <w:top w:val="nil"/>
              <w:left w:val="nil"/>
              <w:bottom w:val="nil"/>
              <w:right w:val="nil"/>
            </w:tcBorders>
            <w:shd w:val="clear" w:color="auto" w:fill="auto"/>
            <w:noWrap/>
            <w:vAlign w:val="bottom"/>
          </w:tcPr>
          <w:p w14:paraId="6337F751"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596" w:type="dxa"/>
            <w:gridSpan w:val="2"/>
            <w:tcBorders>
              <w:top w:val="nil"/>
              <w:left w:val="nil"/>
              <w:bottom w:val="nil"/>
              <w:right w:val="nil"/>
            </w:tcBorders>
            <w:shd w:val="clear" w:color="auto" w:fill="auto"/>
            <w:noWrap/>
            <w:vAlign w:val="bottom"/>
          </w:tcPr>
          <w:p w14:paraId="7517DA5B"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484" w:type="dxa"/>
            <w:tcBorders>
              <w:top w:val="nil"/>
              <w:left w:val="nil"/>
              <w:bottom w:val="nil"/>
              <w:right w:val="nil"/>
            </w:tcBorders>
            <w:shd w:val="clear" w:color="auto" w:fill="auto"/>
            <w:noWrap/>
            <w:vAlign w:val="bottom"/>
          </w:tcPr>
          <w:p w14:paraId="2F20BF88"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565" w:type="dxa"/>
            <w:tcBorders>
              <w:top w:val="nil"/>
              <w:left w:val="nil"/>
              <w:bottom w:val="nil"/>
              <w:right w:val="nil"/>
            </w:tcBorders>
            <w:shd w:val="clear" w:color="auto" w:fill="auto"/>
            <w:noWrap/>
            <w:vAlign w:val="bottom"/>
          </w:tcPr>
          <w:p w14:paraId="1660A298"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838" w:type="dxa"/>
            <w:gridSpan w:val="2"/>
            <w:tcBorders>
              <w:top w:val="nil"/>
              <w:left w:val="nil"/>
              <w:bottom w:val="nil"/>
              <w:right w:val="nil"/>
            </w:tcBorders>
            <w:shd w:val="clear" w:color="auto" w:fill="auto"/>
            <w:noWrap/>
            <w:vAlign w:val="bottom"/>
          </w:tcPr>
          <w:p w14:paraId="144A6110"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387" w:type="dxa"/>
            <w:tcBorders>
              <w:top w:val="nil"/>
              <w:left w:val="nil"/>
              <w:bottom w:val="nil"/>
              <w:right w:val="nil"/>
            </w:tcBorders>
            <w:shd w:val="clear" w:color="auto" w:fill="auto"/>
            <w:noWrap/>
            <w:vAlign w:val="bottom"/>
          </w:tcPr>
          <w:p w14:paraId="047A4D00"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925" w:type="dxa"/>
            <w:gridSpan w:val="3"/>
            <w:tcBorders>
              <w:top w:val="nil"/>
              <w:left w:val="nil"/>
              <w:bottom w:val="nil"/>
              <w:right w:val="nil"/>
            </w:tcBorders>
            <w:shd w:val="clear" w:color="auto" w:fill="auto"/>
            <w:noWrap/>
            <w:vAlign w:val="bottom"/>
          </w:tcPr>
          <w:p w14:paraId="62E8B697"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545" w:type="dxa"/>
            <w:tcBorders>
              <w:top w:val="nil"/>
              <w:left w:val="nil"/>
              <w:bottom w:val="nil"/>
              <w:right w:val="nil"/>
            </w:tcBorders>
            <w:shd w:val="clear" w:color="auto" w:fill="auto"/>
            <w:noWrap/>
            <w:vAlign w:val="bottom"/>
          </w:tcPr>
          <w:p w14:paraId="14B1A489"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767" w:type="dxa"/>
            <w:gridSpan w:val="2"/>
            <w:tcBorders>
              <w:top w:val="nil"/>
              <w:left w:val="nil"/>
              <w:bottom w:val="nil"/>
              <w:right w:val="nil"/>
            </w:tcBorders>
            <w:shd w:val="clear" w:color="auto" w:fill="auto"/>
            <w:noWrap/>
            <w:vAlign w:val="bottom"/>
          </w:tcPr>
          <w:p w14:paraId="7E01E1E6"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530" w:type="dxa"/>
            <w:tcBorders>
              <w:top w:val="nil"/>
              <w:left w:val="nil"/>
              <w:bottom w:val="nil"/>
              <w:right w:val="nil"/>
            </w:tcBorders>
            <w:shd w:val="clear" w:color="auto" w:fill="auto"/>
            <w:noWrap/>
            <w:vAlign w:val="bottom"/>
          </w:tcPr>
          <w:p w14:paraId="2944355C"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710" w:type="dxa"/>
            <w:gridSpan w:val="2"/>
            <w:tcBorders>
              <w:top w:val="nil"/>
              <w:left w:val="nil"/>
              <w:bottom w:val="nil"/>
              <w:right w:val="nil"/>
            </w:tcBorders>
            <w:shd w:val="clear" w:color="auto" w:fill="auto"/>
            <w:noWrap/>
            <w:vAlign w:val="bottom"/>
          </w:tcPr>
          <w:p w14:paraId="38BFC731"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c>
          <w:tcPr>
            <w:tcW w:w="722" w:type="dxa"/>
            <w:gridSpan w:val="2"/>
            <w:tcBorders>
              <w:top w:val="nil"/>
              <w:left w:val="nil"/>
              <w:bottom w:val="nil"/>
              <w:right w:val="nil"/>
            </w:tcBorders>
            <w:shd w:val="clear" w:color="auto" w:fill="auto"/>
            <w:noWrap/>
            <w:vAlign w:val="bottom"/>
          </w:tcPr>
          <w:p w14:paraId="30496231" w14:textId="77777777" w:rsidR="00792994" w:rsidRPr="00495B09" w:rsidRDefault="00792994" w:rsidP="007B4BF5">
            <w:pPr>
              <w:spacing w:after="0" w:line="240" w:lineRule="auto"/>
              <w:rPr>
                <w:rFonts w:ascii="Times New Roman" w:eastAsia="Times New Roman" w:hAnsi="Times New Roman" w:cs="Times New Roman"/>
                <w:sz w:val="20"/>
                <w:szCs w:val="20"/>
                <w:lang w:eastAsia="zh-CN"/>
              </w:rPr>
            </w:pPr>
          </w:p>
        </w:tc>
      </w:tr>
      <w:tr w:rsidR="00783227" w:rsidRPr="00821C18" w14:paraId="3A723462" w14:textId="77777777" w:rsidTr="00414ECC">
        <w:trPr>
          <w:trHeight w:val="300"/>
        </w:trPr>
        <w:tc>
          <w:tcPr>
            <w:tcW w:w="5529" w:type="dxa"/>
            <w:gridSpan w:val="14"/>
            <w:tcBorders>
              <w:top w:val="nil"/>
              <w:left w:val="nil"/>
              <w:bottom w:val="nil"/>
              <w:right w:val="nil"/>
            </w:tcBorders>
            <w:shd w:val="clear" w:color="auto" w:fill="auto"/>
            <w:noWrap/>
            <w:vAlign w:val="bottom"/>
            <w:hideMark/>
          </w:tcPr>
          <w:p w14:paraId="3AB1D525" w14:textId="1B97D053" w:rsidR="007D0115" w:rsidRDefault="00792994" w:rsidP="007B4BF5">
            <w:pPr>
              <w:spacing w:after="0" w:line="240" w:lineRule="auto"/>
              <w:rPr>
                <w:rFonts w:ascii="Calibri" w:eastAsia="Times New Roman" w:hAnsi="Calibri" w:cs="Calibri"/>
                <w:i/>
                <w:iCs/>
                <w:color w:val="000000"/>
                <w:lang w:eastAsia="zh-CN"/>
              </w:rPr>
            </w:pPr>
            <w:r w:rsidRPr="00495B09">
              <w:rPr>
                <w:rFonts w:ascii="Calibri" w:eastAsia="Times New Roman" w:hAnsi="Calibri" w:cs="Calibri"/>
                <w:i/>
                <w:iCs/>
                <w:color w:val="000000"/>
                <w:lang w:eastAsia="zh-CN"/>
              </w:rPr>
              <w:t>Number of MDMA Seizures for Personal Use (Less than 5 grams or 100 tablets)</w:t>
            </w:r>
          </w:p>
          <w:p w14:paraId="7EB14D9F" w14:textId="7917A813" w:rsidR="00E87A2A" w:rsidRPr="00281656" w:rsidRDefault="00E87A2A" w:rsidP="007B4BF5">
            <w:pPr>
              <w:spacing w:after="0" w:line="240" w:lineRule="auto"/>
              <w:rPr>
                <w:rFonts w:ascii="Calibri" w:eastAsia="Times New Roman" w:hAnsi="Calibri" w:cs="Calibri"/>
                <w:i/>
                <w:iCs/>
                <w:color w:val="000000"/>
                <w:lang w:eastAsia="zh-CN"/>
              </w:rPr>
            </w:pPr>
          </w:p>
        </w:tc>
        <w:tc>
          <w:tcPr>
            <w:tcW w:w="582" w:type="dxa"/>
            <w:gridSpan w:val="2"/>
            <w:tcBorders>
              <w:top w:val="nil"/>
              <w:left w:val="nil"/>
              <w:bottom w:val="nil"/>
              <w:right w:val="nil"/>
            </w:tcBorders>
            <w:shd w:val="clear" w:color="auto" w:fill="auto"/>
            <w:noWrap/>
            <w:vAlign w:val="bottom"/>
            <w:hideMark/>
          </w:tcPr>
          <w:p w14:paraId="72FBBDC0" w14:textId="77777777" w:rsidR="00E87A2A" w:rsidRPr="00281656" w:rsidRDefault="00E87A2A" w:rsidP="007B4BF5">
            <w:pPr>
              <w:spacing w:after="0" w:line="240" w:lineRule="auto"/>
              <w:rPr>
                <w:rFonts w:ascii="Calibri" w:eastAsia="Times New Roman" w:hAnsi="Calibri" w:cs="Calibri"/>
                <w:i/>
                <w:iCs/>
                <w:color w:val="000000"/>
                <w:lang w:eastAsia="zh-CN"/>
              </w:rPr>
            </w:pPr>
          </w:p>
        </w:tc>
        <w:tc>
          <w:tcPr>
            <w:tcW w:w="549" w:type="dxa"/>
            <w:tcBorders>
              <w:top w:val="nil"/>
              <w:left w:val="nil"/>
              <w:bottom w:val="nil"/>
              <w:right w:val="nil"/>
            </w:tcBorders>
            <w:shd w:val="clear" w:color="auto" w:fill="auto"/>
            <w:noWrap/>
            <w:vAlign w:val="bottom"/>
            <w:hideMark/>
          </w:tcPr>
          <w:p w14:paraId="3EAB6BA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514DDE1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334D7B2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3E79A75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5C155BD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4A94B440" w14:textId="77777777" w:rsidTr="00414ECC">
        <w:trPr>
          <w:trHeight w:val="300"/>
        </w:trPr>
        <w:tc>
          <w:tcPr>
            <w:tcW w:w="712" w:type="dxa"/>
            <w:tcBorders>
              <w:top w:val="nil"/>
              <w:left w:val="nil"/>
              <w:bottom w:val="nil"/>
              <w:right w:val="nil"/>
            </w:tcBorders>
            <w:shd w:val="clear" w:color="auto" w:fill="auto"/>
            <w:noWrap/>
            <w:vAlign w:val="bottom"/>
            <w:hideMark/>
          </w:tcPr>
          <w:p w14:paraId="4A505A2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gridSpan w:val="2"/>
            <w:tcBorders>
              <w:top w:val="nil"/>
              <w:left w:val="nil"/>
              <w:bottom w:val="nil"/>
              <w:right w:val="nil"/>
            </w:tcBorders>
            <w:shd w:val="clear" w:color="auto" w:fill="auto"/>
            <w:noWrap/>
            <w:vAlign w:val="bottom"/>
            <w:hideMark/>
          </w:tcPr>
          <w:p w14:paraId="07A09AF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376599B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4FC622B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7F2DE91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22" w:type="dxa"/>
            <w:tcBorders>
              <w:top w:val="nil"/>
              <w:left w:val="nil"/>
              <w:bottom w:val="nil"/>
              <w:right w:val="nil"/>
            </w:tcBorders>
            <w:shd w:val="clear" w:color="auto" w:fill="auto"/>
            <w:noWrap/>
            <w:vAlign w:val="bottom"/>
            <w:hideMark/>
          </w:tcPr>
          <w:p w14:paraId="1F5517A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gridSpan w:val="2"/>
            <w:tcBorders>
              <w:top w:val="nil"/>
              <w:left w:val="nil"/>
              <w:bottom w:val="nil"/>
              <w:right w:val="nil"/>
            </w:tcBorders>
            <w:shd w:val="clear" w:color="auto" w:fill="auto"/>
            <w:noWrap/>
            <w:vAlign w:val="bottom"/>
            <w:hideMark/>
          </w:tcPr>
          <w:p w14:paraId="1E79A0A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72" w:type="dxa"/>
            <w:tcBorders>
              <w:top w:val="nil"/>
              <w:left w:val="nil"/>
              <w:bottom w:val="nil"/>
              <w:right w:val="nil"/>
            </w:tcBorders>
            <w:shd w:val="clear" w:color="auto" w:fill="auto"/>
            <w:noWrap/>
            <w:vAlign w:val="bottom"/>
            <w:hideMark/>
          </w:tcPr>
          <w:p w14:paraId="3B154D4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3B43A85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2D9DE6E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1DAEEDF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5AEC580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37FAC87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2AE9134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783227" w:rsidRPr="00821C18" w14:paraId="1524E09F" w14:textId="77777777" w:rsidTr="00414ECC">
        <w:trPr>
          <w:trHeight w:val="300"/>
        </w:trPr>
        <w:tc>
          <w:tcPr>
            <w:tcW w:w="71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5D3DCF5" w14:textId="77777777" w:rsidR="00E87A2A" w:rsidRPr="00821C18" w:rsidRDefault="00E87A2A" w:rsidP="007B4BF5">
            <w:pPr>
              <w:spacing w:after="0" w:line="240" w:lineRule="auto"/>
              <w:rPr>
                <w:rFonts w:ascii="Calibri" w:eastAsia="Times New Roman" w:hAnsi="Calibri" w:cs="Calibri"/>
                <w:b/>
                <w:bCs/>
                <w:color w:val="000000"/>
                <w:lang w:eastAsia="zh-CN"/>
              </w:rPr>
            </w:pPr>
          </w:p>
        </w:tc>
        <w:tc>
          <w:tcPr>
            <w:tcW w:w="549"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6BD0777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890" w:type="dxa"/>
            <w:gridSpan w:val="3"/>
            <w:tcBorders>
              <w:top w:val="single" w:sz="4" w:space="0" w:color="auto"/>
              <w:left w:val="nil"/>
              <w:bottom w:val="single" w:sz="4" w:space="0" w:color="auto"/>
              <w:right w:val="single" w:sz="4" w:space="0" w:color="auto"/>
            </w:tcBorders>
            <w:shd w:val="clear" w:color="DDEBF7" w:fill="DDEBF7"/>
            <w:noWrap/>
            <w:vAlign w:val="center"/>
            <w:hideMark/>
          </w:tcPr>
          <w:p w14:paraId="3783457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700"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420C427D"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78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6B5F9CF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22" w:type="dxa"/>
            <w:tcBorders>
              <w:top w:val="single" w:sz="4" w:space="0" w:color="auto"/>
              <w:left w:val="nil"/>
              <w:bottom w:val="single" w:sz="4" w:space="0" w:color="auto"/>
              <w:right w:val="single" w:sz="4" w:space="0" w:color="auto"/>
            </w:tcBorders>
            <w:shd w:val="clear" w:color="DDEBF7" w:fill="DDEBF7"/>
            <w:noWrap/>
            <w:vAlign w:val="center"/>
            <w:hideMark/>
          </w:tcPr>
          <w:p w14:paraId="4E156441"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3"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5B3F831"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672" w:type="dxa"/>
            <w:tcBorders>
              <w:top w:val="single" w:sz="4" w:space="0" w:color="auto"/>
              <w:left w:val="nil"/>
              <w:bottom w:val="single" w:sz="4" w:space="0" w:color="auto"/>
              <w:right w:val="single" w:sz="4" w:space="0" w:color="auto"/>
            </w:tcBorders>
            <w:shd w:val="clear" w:color="DDEBF7" w:fill="DDEBF7"/>
            <w:noWrap/>
            <w:vAlign w:val="center"/>
            <w:hideMark/>
          </w:tcPr>
          <w:p w14:paraId="04453CD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8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6F3B605D"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49" w:type="dxa"/>
            <w:tcBorders>
              <w:top w:val="single" w:sz="4" w:space="0" w:color="auto"/>
              <w:left w:val="nil"/>
              <w:bottom w:val="single" w:sz="4" w:space="0" w:color="auto"/>
              <w:right w:val="single" w:sz="4" w:space="0" w:color="auto"/>
            </w:tcBorders>
            <w:shd w:val="clear" w:color="DDEBF7" w:fill="DDEBF7"/>
            <w:noWrap/>
            <w:vAlign w:val="center"/>
            <w:hideMark/>
          </w:tcPr>
          <w:p w14:paraId="53ECB75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748"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3B423948"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584" w:type="dxa"/>
            <w:tcBorders>
              <w:top w:val="single" w:sz="4" w:space="0" w:color="auto"/>
              <w:left w:val="nil"/>
              <w:bottom w:val="single" w:sz="4" w:space="0" w:color="auto"/>
              <w:right w:val="single" w:sz="4" w:space="0" w:color="auto"/>
            </w:tcBorders>
            <w:shd w:val="clear" w:color="DDEBF7" w:fill="DDEBF7"/>
            <w:noWrap/>
            <w:vAlign w:val="center"/>
            <w:hideMark/>
          </w:tcPr>
          <w:p w14:paraId="769C4D3B"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57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654BB49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861"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45CBF55"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Total</w:t>
            </w:r>
          </w:p>
        </w:tc>
      </w:tr>
      <w:tr w:rsidR="00783227" w:rsidRPr="00821C18" w14:paraId="2B9715D1"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2C9E4D7"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565CE4F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44C8E84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A83614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4D38B6B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w:t>
            </w:r>
          </w:p>
        </w:tc>
        <w:tc>
          <w:tcPr>
            <w:tcW w:w="622" w:type="dxa"/>
            <w:tcBorders>
              <w:top w:val="nil"/>
              <w:left w:val="nil"/>
              <w:bottom w:val="single" w:sz="4" w:space="0" w:color="auto"/>
              <w:right w:val="single" w:sz="4" w:space="0" w:color="auto"/>
            </w:tcBorders>
            <w:shd w:val="clear" w:color="auto" w:fill="auto"/>
            <w:noWrap/>
            <w:vAlign w:val="center"/>
            <w:hideMark/>
          </w:tcPr>
          <w:p w14:paraId="13C5777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1985284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w:t>
            </w:r>
          </w:p>
        </w:tc>
        <w:tc>
          <w:tcPr>
            <w:tcW w:w="672" w:type="dxa"/>
            <w:tcBorders>
              <w:top w:val="nil"/>
              <w:left w:val="nil"/>
              <w:bottom w:val="single" w:sz="4" w:space="0" w:color="auto"/>
              <w:right w:val="single" w:sz="4" w:space="0" w:color="auto"/>
            </w:tcBorders>
            <w:shd w:val="clear" w:color="auto" w:fill="auto"/>
            <w:noWrap/>
            <w:vAlign w:val="center"/>
            <w:hideMark/>
          </w:tcPr>
          <w:p w14:paraId="24665AD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5B8F04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w:t>
            </w:r>
          </w:p>
        </w:tc>
        <w:tc>
          <w:tcPr>
            <w:tcW w:w="549" w:type="dxa"/>
            <w:tcBorders>
              <w:top w:val="nil"/>
              <w:left w:val="nil"/>
              <w:bottom w:val="single" w:sz="4" w:space="0" w:color="auto"/>
              <w:right w:val="single" w:sz="4" w:space="0" w:color="auto"/>
            </w:tcBorders>
            <w:shd w:val="clear" w:color="auto" w:fill="auto"/>
            <w:noWrap/>
            <w:vAlign w:val="center"/>
            <w:hideMark/>
          </w:tcPr>
          <w:p w14:paraId="22E5E64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68BEE9A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w:t>
            </w:r>
          </w:p>
        </w:tc>
        <w:tc>
          <w:tcPr>
            <w:tcW w:w="584" w:type="dxa"/>
            <w:tcBorders>
              <w:top w:val="nil"/>
              <w:left w:val="nil"/>
              <w:bottom w:val="single" w:sz="4" w:space="0" w:color="auto"/>
              <w:right w:val="single" w:sz="4" w:space="0" w:color="auto"/>
            </w:tcBorders>
            <w:shd w:val="clear" w:color="auto" w:fill="auto"/>
            <w:noWrap/>
            <w:vAlign w:val="center"/>
            <w:hideMark/>
          </w:tcPr>
          <w:p w14:paraId="7F16CC0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289D843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35</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3DE5952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207</w:t>
            </w:r>
          </w:p>
        </w:tc>
      </w:tr>
      <w:tr w:rsidR="00783227" w:rsidRPr="00821C18" w14:paraId="14A3847E"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E2CABF2"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72CD458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31</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47F0DAA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E0122B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0C9CBAF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22</w:t>
            </w:r>
          </w:p>
        </w:tc>
        <w:tc>
          <w:tcPr>
            <w:tcW w:w="622" w:type="dxa"/>
            <w:tcBorders>
              <w:top w:val="nil"/>
              <w:left w:val="nil"/>
              <w:bottom w:val="single" w:sz="4" w:space="0" w:color="auto"/>
              <w:right w:val="single" w:sz="4" w:space="0" w:color="auto"/>
            </w:tcBorders>
            <w:shd w:val="clear" w:color="auto" w:fill="auto"/>
            <w:noWrap/>
            <w:vAlign w:val="center"/>
            <w:hideMark/>
          </w:tcPr>
          <w:p w14:paraId="73BD677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32</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443793A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22</w:t>
            </w:r>
          </w:p>
        </w:tc>
        <w:tc>
          <w:tcPr>
            <w:tcW w:w="672" w:type="dxa"/>
            <w:tcBorders>
              <w:top w:val="nil"/>
              <w:left w:val="nil"/>
              <w:bottom w:val="single" w:sz="4" w:space="0" w:color="auto"/>
              <w:right w:val="single" w:sz="4" w:space="0" w:color="auto"/>
            </w:tcBorders>
            <w:shd w:val="clear" w:color="auto" w:fill="auto"/>
            <w:noWrap/>
            <w:vAlign w:val="center"/>
            <w:hideMark/>
          </w:tcPr>
          <w:p w14:paraId="2329447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23</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134634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29</w:t>
            </w:r>
          </w:p>
        </w:tc>
        <w:tc>
          <w:tcPr>
            <w:tcW w:w="549" w:type="dxa"/>
            <w:tcBorders>
              <w:top w:val="nil"/>
              <w:left w:val="nil"/>
              <w:bottom w:val="single" w:sz="4" w:space="0" w:color="auto"/>
              <w:right w:val="single" w:sz="4" w:space="0" w:color="auto"/>
            </w:tcBorders>
            <w:shd w:val="clear" w:color="auto" w:fill="auto"/>
            <w:noWrap/>
            <w:vAlign w:val="center"/>
            <w:hideMark/>
          </w:tcPr>
          <w:p w14:paraId="51D21AD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045BDDA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24</w:t>
            </w:r>
          </w:p>
        </w:tc>
        <w:tc>
          <w:tcPr>
            <w:tcW w:w="584" w:type="dxa"/>
            <w:tcBorders>
              <w:top w:val="nil"/>
              <w:left w:val="nil"/>
              <w:bottom w:val="single" w:sz="4" w:space="0" w:color="auto"/>
              <w:right w:val="single" w:sz="4" w:space="0" w:color="auto"/>
            </w:tcBorders>
            <w:shd w:val="clear" w:color="auto" w:fill="auto"/>
            <w:noWrap/>
            <w:vAlign w:val="center"/>
            <w:hideMark/>
          </w:tcPr>
          <w:p w14:paraId="5354370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28</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0CFC0B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62</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1D20F6A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325</w:t>
            </w:r>
          </w:p>
        </w:tc>
      </w:tr>
      <w:tr w:rsidR="00783227" w:rsidRPr="00821C18" w14:paraId="726DB568"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01E9A1B"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110AF0D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46</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6BC5A18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35</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7D2677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30</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7DD8660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24</w:t>
            </w:r>
          </w:p>
        </w:tc>
        <w:tc>
          <w:tcPr>
            <w:tcW w:w="622" w:type="dxa"/>
            <w:tcBorders>
              <w:top w:val="nil"/>
              <w:left w:val="nil"/>
              <w:bottom w:val="single" w:sz="4" w:space="0" w:color="auto"/>
              <w:right w:val="single" w:sz="4" w:space="0" w:color="auto"/>
            </w:tcBorders>
            <w:shd w:val="clear" w:color="auto" w:fill="auto"/>
            <w:noWrap/>
            <w:vAlign w:val="center"/>
            <w:hideMark/>
          </w:tcPr>
          <w:p w14:paraId="71CFB31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28</w:t>
            </w: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4815BC2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24</w:t>
            </w:r>
          </w:p>
        </w:tc>
        <w:tc>
          <w:tcPr>
            <w:tcW w:w="672" w:type="dxa"/>
            <w:tcBorders>
              <w:top w:val="nil"/>
              <w:left w:val="nil"/>
              <w:bottom w:val="single" w:sz="4" w:space="0" w:color="auto"/>
              <w:right w:val="single" w:sz="4" w:space="0" w:color="auto"/>
            </w:tcBorders>
            <w:shd w:val="clear" w:color="auto" w:fill="auto"/>
            <w:noWrap/>
            <w:vAlign w:val="center"/>
            <w:hideMark/>
          </w:tcPr>
          <w:p w14:paraId="04DF7BA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29</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C96C56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31</w:t>
            </w:r>
          </w:p>
        </w:tc>
        <w:tc>
          <w:tcPr>
            <w:tcW w:w="549" w:type="dxa"/>
            <w:tcBorders>
              <w:top w:val="nil"/>
              <w:left w:val="nil"/>
              <w:bottom w:val="single" w:sz="4" w:space="0" w:color="auto"/>
              <w:right w:val="single" w:sz="4" w:space="0" w:color="auto"/>
            </w:tcBorders>
            <w:shd w:val="clear" w:color="auto" w:fill="auto"/>
            <w:noWrap/>
            <w:vAlign w:val="center"/>
            <w:hideMark/>
          </w:tcPr>
          <w:p w14:paraId="0F20BCB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41</w:t>
            </w: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75F3A0D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39</w:t>
            </w:r>
          </w:p>
        </w:tc>
        <w:tc>
          <w:tcPr>
            <w:tcW w:w="584" w:type="dxa"/>
            <w:tcBorders>
              <w:top w:val="nil"/>
              <w:left w:val="nil"/>
              <w:bottom w:val="single" w:sz="4" w:space="0" w:color="auto"/>
              <w:right w:val="single" w:sz="4" w:space="0" w:color="auto"/>
            </w:tcBorders>
            <w:shd w:val="clear" w:color="auto" w:fill="auto"/>
            <w:noWrap/>
            <w:vAlign w:val="center"/>
            <w:hideMark/>
          </w:tcPr>
          <w:p w14:paraId="1E6DA64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w:t>
            </w: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6F90D3B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43</w:t>
            </w: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2217498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391</w:t>
            </w:r>
          </w:p>
        </w:tc>
      </w:tr>
      <w:tr w:rsidR="00783227" w:rsidRPr="00821C18" w14:paraId="48BA0ADA" w14:textId="77777777" w:rsidTr="00414ECC">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5D55B67"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15206BB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23</w:t>
            </w:r>
          </w:p>
        </w:tc>
        <w:tc>
          <w:tcPr>
            <w:tcW w:w="890" w:type="dxa"/>
            <w:gridSpan w:val="3"/>
            <w:tcBorders>
              <w:top w:val="nil"/>
              <w:left w:val="nil"/>
              <w:bottom w:val="single" w:sz="4" w:space="0" w:color="auto"/>
              <w:right w:val="single" w:sz="4" w:space="0" w:color="auto"/>
            </w:tcBorders>
            <w:shd w:val="clear" w:color="auto" w:fill="auto"/>
            <w:noWrap/>
            <w:vAlign w:val="center"/>
            <w:hideMark/>
          </w:tcPr>
          <w:p w14:paraId="17D20C1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026FE2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w:t>
            </w:r>
          </w:p>
        </w:tc>
        <w:tc>
          <w:tcPr>
            <w:tcW w:w="781" w:type="dxa"/>
            <w:gridSpan w:val="2"/>
            <w:tcBorders>
              <w:top w:val="nil"/>
              <w:left w:val="nil"/>
              <w:bottom w:val="single" w:sz="4" w:space="0" w:color="auto"/>
              <w:right w:val="single" w:sz="4" w:space="0" w:color="auto"/>
            </w:tcBorders>
            <w:shd w:val="clear" w:color="auto" w:fill="auto"/>
            <w:noWrap/>
            <w:vAlign w:val="center"/>
            <w:hideMark/>
          </w:tcPr>
          <w:p w14:paraId="22F0638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w:t>
            </w:r>
          </w:p>
        </w:tc>
        <w:tc>
          <w:tcPr>
            <w:tcW w:w="622" w:type="dxa"/>
            <w:tcBorders>
              <w:top w:val="nil"/>
              <w:left w:val="nil"/>
              <w:bottom w:val="single" w:sz="4" w:space="0" w:color="auto"/>
              <w:right w:val="single" w:sz="4" w:space="0" w:color="auto"/>
            </w:tcBorders>
            <w:shd w:val="clear" w:color="auto" w:fill="auto"/>
            <w:noWrap/>
            <w:vAlign w:val="center"/>
            <w:hideMark/>
          </w:tcPr>
          <w:p w14:paraId="7B25F6CB"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3" w:type="dxa"/>
            <w:gridSpan w:val="2"/>
            <w:tcBorders>
              <w:top w:val="nil"/>
              <w:left w:val="nil"/>
              <w:bottom w:val="single" w:sz="4" w:space="0" w:color="auto"/>
              <w:right w:val="single" w:sz="4" w:space="0" w:color="auto"/>
            </w:tcBorders>
            <w:shd w:val="clear" w:color="auto" w:fill="auto"/>
            <w:noWrap/>
            <w:vAlign w:val="center"/>
            <w:hideMark/>
          </w:tcPr>
          <w:p w14:paraId="7A79CD0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72" w:type="dxa"/>
            <w:tcBorders>
              <w:top w:val="nil"/>
              <w:left w:val="nil"/>
              <w:bottom w:val="single" w:sz="4" w:space="0" w:color="auto"/>
              <w:right w:val="single" w:sz="4" w:space="0" w:color="auto"/>
            </w:tcBorders>
            <w:shd w:val="clear" w:color="auto" w:fill="auto"/>
            <w:noWrap/>
            <w:vAlign w:val="center"/>
            <w:hideMark/>
          </w:tcPr>
          <w:p w14:paraId="2DBB1BA6"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E207941"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9" w:type="dxa"/>
            <w:tcBorders>
              <w:top w:val="nil"/>
              <w:left w:val="nil"/>
              <w:bottom w:val="single" w:sz="4" w:space="0" w:color="auto"/>
              <w:right w:val="single" w:sz="4" w:space="0" w:color="auto"/>
            </w:tcBorders>
            <w:shd w:val="clear" w:color="auto" w:fill="auto"/>
            <w:noWrap/>
            <w:vAlign w:val="center"/>
            <w:hideMark/>
          </w:tcPr>
          <w:p w14:paraId="3ED8BD88"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48" w:type="dxa"/>
            <w:gridSpan w:val="2"/>
            <w:tcBorders>
              <w:top w:val="nil"/>
              <w:left w:val="nil"/>
              <w:bottom w:val="single" w:sz="4" w:space="0" w:color="auto"/>
              <w:right w:val="single" w:sz="4" w:space="0" w:color="auto"/>
            </w:tcBorders>
            <w:shd w:val="clear" w:color="auto" w:fill="auto"/>
            <w:noWrap/>
            <w:vAlign w:val="center"/>
            <w:hideMark/>
          </w:tcPr>
          <w:p w14:paraId="1BEBDB42"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84" w:type="dxa"/>
            <w:tcBorders>
              <w:top w:val="nil"/>
              <w:left w:val="nil"/>
              <w:bottom w:val="single" w:sz="4" w:space="0" w:color="auto"/>
              <w:right w:val="single" w:sz="4" w:space="0" w:color="auto"/>
            </w:tcBorders>
            <w:shd w:val="clear" w:color="auto" w:fill="auto"/>
            <w:noWrap/>
            <w:vAlign w:val="center"/>
            <w:hideMark/>
          </w:tcPr>
          <w:p w14:paraId="4247261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2" w:type="dxa"/>
            <w:gridSpan w:val="2"/>
            <w:tcBorders>
              <w:top w:val="nil"/>
              <w:left w:val="nil"/>
              <w:bottom w:val="single" w:sz="4" w:space="0" w:color="auto"/>
              <w:right w:val="single" w:sz="4" w:space="0" w:color="auto"/>
            </w:tcBorders>
            <w:shd w:val="clear" w:color="auto" w:fill="auto"/>
            <w:noWrap/>
            <w:vAlign w:val="center"/>
            <w:hideMark/>
          </w:tcPr>
          <w:p w14:paraId="3E8CA276"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861" w:type="dxa"/>
            <w:gridSpan w:val="2"/>
            <w:tcBorders>
              <w:top w:val="nil"/>
              <w:left w:val="nil"/>
              <w:bottom w:val="single" w:sz="4" w:space="0" w:color="auto"/>
              <w:right w:val="single" w:sz="4" w:space="0" w:color="auto"/>
            </w:tcBorders>
            <w:shd w:val="clear" w:color="auto" w:fill="auto"/>
            <w:noWrap/>
            <w:vAlign w:val="center"/>
            <w:hideMark/>
          </w:tcPr>
          <w:p w14:paraId="3441508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72</w:t>
            </w:r>
          </w:p>
        </w:tc>
      </w:tr>
      <w:tr w:rsidR="00783227" w:rsidRPr="00821C18" w14:paraId="4E92C662" w14:textId="77777777" w:rsidTr="00414ECC">
        <w:trPr>
          <w:trHeight w:val="300"/>
        </w:trPr>
        <w:tc>
          <w:tcPr>
            <w:tcW w:w="712" w:type="dxa"/>
            <w:tcBorders>
              <w:top w:val="nil"/>
              <w:left w:val="nil"/>
              <w:bottom w:val="nil"/>
              <w:right w:val="nil"/>
            </w:tcBorders>
            <w:shd w:val="clear" w:color="auto" w:fill="auto"/>
            <w:noWrap/>
            <w:vAlign w:val="bottom"/>
            <w:hideMark/>
          </w:tcPr>
          <w:p w14:paraId="243F2A8F"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49" w:type="dxa"/>
            <w:gridSpan w:val="2"/>
            <w:tcBorders>
              <w:top w:val="nil"/>
              <w:left w:val="nil"/>
              <w:bottom w:val="nil"/>
              <w:right w:val="nil"/>
            </w:tcBorders>
            <w:shd w:val="clear" w:color="auto" w:fill="auto"/>
            <w:noWrap/>
            <w:vAlign w:val="bottom"/>
            <w:hideMark/>
          </w:tcPr>
          <w:p w14:paraId="26506FD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90" w:type="dxa"/>
            <w:gridSpan w:val="3"/>
            <w:tcBorders>
              <w:top w:val="nil"/>
              <w:left w:val="nil"/>
              <w:bottom w:val="nil"/>
              <w:right w:val="nil"/>
            </w:tcBorders>
            <w:shd w:val="clear" w:color="auto" w:fill="auto"/>
            <w:noWrap/>
            <w:vAlign w:val="bottom"/>
            <w:hideMark/>
          </w:tcPr>
          <w:p w14:paraId="76E048C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00" w:type="dxa"/>
            <w:gridSpan w:val="2"/>
            <w:tcBorders>
              <w:top w:val="nil"/>
              <w:left w:val="nil"/>
              <w:bottom w:val="nil"/>
              <w:right w:val="nil"/>
            </w:tcBorders>
            <w:shd w:val="clear" w:color="auto" w:fill="auto"/>
            <w:noWrap/>
            <w:vAlign w:val="bottom"/>
            <w:hideMark/>
          </w:tcPr>
          <w:p w14:paraId="1555C04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81" w:type="dxa"/>
            <w:gridSpan w:val="2"/>
            <w:tcBorders>
              <w:top w:val="nil"/>
              <w:left w:val="nil"/>
              <w:bottom w:val="nil"/>
              <w:right w:val="nil"/>
            </w:tcBorders>
            <w:shd w:val="clear" w:color="auto" w:fill="auto"/>
            <w:noWrap/>
            <w:vAlign w:val="bottom"/>
            <w:hideMark/>
          </w:tcPr>
          <w:p w14:paraId="15BF567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22" w:type="dxa"/>
            <w:tcBorders>
              <w:top w:val="nil"/>
              <w:left w:val="nil"/>
              <w:bottom w:val="nil"/>
              <w:right w:val="nil"/>
            </w:tcBorders>
            <w:shd w:val="clear" w:color="auto" w:fill="auto"/>
            <w:noWrap/>
            <w:vAlign w:val="bottom"/>
            <w:hideMark/>
          </w:tcPr>
          <w:p w14:paraId="6864DCC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3" w:type="dxa"/>
            <w:gridSpan w:val="2"/>
            <w:tcBorders>
              <w:top w:val="nil"/>
              <w:left w:val="nil"/>
              <w:bottom w:val="nil"/>
              <w:right w:val="nil"/>
            </w:tcBorders>
            <w:shd w:val="clear" w:color="auto" w:fill="auto"/>
            <w:noWrap/>
            <w:vAlign w:val="bottom"/>
            <w:hideMark/>
          </w:tcPr>
          <w:p w14:paraId="0077D94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72" w:type="dxa"/>
            <w:tcBorders>
              <w:top w:val="nil"/>
              <w:left w:val="nil"/>
              <w:bottom w:val="nil"/>
              <w:right w:val="nil"/>
            </w:tcBorders>
            <w:shd w:val="clear" w:color="auto" w:fill="auto"/>
            <w:noWrap/>
            <w:vAlign w:val="bottom"/>
            <w:hideMark/>
          </w:tcPr>
          <w:p w14:paraId="10D737B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2" w:type="dxa"/>
            <w:gridSpan w:val="2"/>
            <w:tcBorders>
              <w:top w:val="nil"/>
              <w:left w:val="nil"/>
              <w:bottom w:val="nil"/>
              <w:right w:val="nil"/>
            </w:tcBorders>
            <w:shd w:val="clear" w:color="auto" w:fill="auto"/>
            <w:noWrap/>
            <w:vAlign w:val="bottom"/>
            <w:hideMark/>
          </w:tcPr>
          <w:p w14:paraId="2B81F0F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9" w:type="dxa"/>
            <w:tcBorders>
              <w:top w:val="nil"/>
              <w:left w:val="nil"/>
              <w:bottom w:val="nil"/>
              <w:right w:val="nil"/>
            </w:tcBorders>
            <w:shd w:val="clear" w:color="auto" w:fill="auto"/>
            <w:noWrap/>
            <w:vAlign w:val="bottom"/>
            <w:hideMark/>
          </w:tcPr>
          <w:p w14:paraId="330594D3"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8" w:type="dxa"/>
            <w:gridSpan w:val="2"/>
            <w:tcBorders>
              <w:top w:val="nil"/>
              <w:left w:val="nil"/>
              <w:bottom w:val="nil"/>
              <w:right w:val="nil"/>
            </w:tcBorders>
            <w:shd w:val="clear" w:color="auto" w:fill="auto"/>
            <w:noWrap/>
            <w:vAlign w:val="bottom"/>
            <w:hideMark/>
          </w:tcPr>
          <w:p w14:paraId="782B2C1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84" w:type="dxa"/>
            <w:tcBorders>
              <w:top w:val="nil"/>
              <w:left w:val="nil"/>
              <w:bottom w:val="nil"/>
              <w:right w:val="nil"/>
            </w:tcBorders>
            <w:shd w:val="clear" w:color="auto" w:fill="auto"/>
            <w:noWrap/>
            <w:vAlign w:val="bottom"/>
            <w:hideMark/>
          </w:tcPr>
          <w:p w14:paraId="2B486BB4"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2" w:type="dxa"/>
            <w:gridSpan w:val="2"/>
            <w:tcBorders>
              <w:top w:val="nil"/>
              <w:left w:val="nil"/>
              <w:bottom w:val="nil"/>
              <w:right w:val="nil"/>
            </w:tcBorders>
            <w:shd w:val="clear" w:color="auto" w:fill="auto"/>
            <w:noWrap/>
            <w:vAlign w:val="bottom"/>
            <w:hideMark/>
          </w:tcPr>
          <w:p w14:paraId="1458B0BC"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861" w:type="dxa"/>
            <w:gridSpan w:val="2"/>
            <w:tcBorders>
              <w:top w:val="nil"/>
              <w:left w:val="nil"/>
              <w:bottom w:val="nil"/>
              <w:right w:val="nil"/>
            </w:tcBorders>
            <w:shd w:val="clear" w:color="auto" w:fill="auto"/>
            <w:noWrap/>
            <w:vAlign w:val="bottom"/>
            <w:hideMark/>
          </w:tcPr>
          <w:p w14:paraId="2980D5B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bl>
    <w:p w14:paraId="2F209959" w14:textId="77777777" w:rsidR="00FD2CC8" w:rsidRPr="000E2856" w:rsidRDefault="00FD2CC8">
      <w:r w:rsidRPr="000E2856">
        <w:br w:type="page"/>
      </w:r>
    </w:p>
    <w:tbl>
      <w:tblPr>
        <w:tblW w:w="9640" w:type="dxa"/>
        <w:tblInd w:w="-142" w:type="dxa"/>
        <w:tblLook w:val="04A0" w:firstRow="1" w:lastRow="0" w:firstColumn="1" w:lastColumn="0" w:noHBand="0" w:noVBand="1"/>
      </w:tblPr>
      <w:tblGrid>
        <w:gridCol w:w="796"/>
        <w:gridCol w:w="565"/>
        <w:gridCol w:w="1072"/>
        <w:gridCol w:w="559"/>
        <w:gridCol w:w="50"/>
        <w:gridCol w:w="551"/>
        <w:gridCol w:w="367"/>
        <w:gridCol w:w="285"/>
        <w:gridCol w:w="602"/>
        <w:gridCol w:w="64"/>
        <w:gridCol w:w="487"/>
        <w:gridCol w:w="572"/>
        <w:gridCol w:w="551"/>
        <w:gridCol w:w="551"/>
        <w:gridCol w:w="642"/>
        <w:gridCol w:w="114"/>
        <w:gridCol w:w="635"/>
        <w:gridCol w:w="192"/>
        <w:gridCol w:w="995"/>
      </w:tblGrid>
      <w:tr w:rsidR="00E87A2A" w:rsidRPr="00821C18" w14:paraId="1E9DB4D2" w14:textId="77777777" w:rsidTr="00FB2741">
        <w:trPr>
          <w:trHeight w:val="300"/>
        </w:trPr>
        <w:tc>
          <w:tcPr>
            <w:tcW w:w="5392" w:type="dxa"/>
            <w:gridSpan w:val="11"/>
            <w:tcBorders>
              <w:top w:val="nil"/>
              <w:left w:val="nil"/>
              <w:bottom w:val="nil"/>
              <w:right w:val="nil"/>
            </w:tcBorders>
            <w:shd w:val="clear" w:color="auto" w:fill="auto"/>
            <w:noWrap/>
            <w:vAlign w:val="bottom"/>
            <w:hideMark/>
          </w:tcPr>
          <w:p w14:paraId="6FD18AB2" w14:textId="15F690E0" w:rsidR="00E87A2A" w:rsidRPr="00281656" w:rsidRDefault="00E87A2A" w:rsidP="007B4BF5">
            <w:pPr>
              <w:spacing w:after="0" w:line="240" w:lineRule="auto"/>
              <w:rPr>
                <w:rFonts w:ascii="Calibri" w:eastAsia="Times New Roman" w:hAnsi="Calibri" w:cs="Calibri"/>
                <w:i/>
                <w:iCs/>
                <w:color w:val="000000"/>
                <w:lang w:eastAsia="zh-CN"/>
              </w:rPr>
            </w:pPr>
            <w:r w:rsidRPr="00281656">
              <w:rPr>
                <w:rFonts w:ascii="Calibri" w:eastAsia="Times New Roman" w:hAnsi="Calibri" w:cs="Calibri"/>
                <w:i/>
                <w:iCs/>
                <w:color w:val="000000"/>
                <w:lang w:eastAsia="zh-CN"/>
              </w:rPr>
              <w:lastRenderedPageBreak/>
              <w:t>Number of Methamphetamine Seizures for Personal Use (Less than 5 grams)</w:t>
            </w:r>
          </w:p>
        </w:tc>
        <w:tc>
          <w:tcPr>
            <w:tcW w:w="570" w:type="dxa"/>
            <w:tcBorders>
              <w:top w:val="nil"/>
              <w:left w:val="nil"/>
              <w:bottom w:val="nil"/>
              <w:right w:val="nil"/>
            </w:tcBorders>
            <w:shd w:val="clear" w:color="auto" w:fill="auto"/>
            <w:noWrap/>
            <w:vAlign w:val="bottom"/>
            <w:hideMark/>
          </w:tcPr>
          <w:p w14:paraId="54C2BA7C" w14:textId="77777777" w:rsidR="00E87A2A" w:rsidRPr="00821C18" w:rsidRDefault="00E87A2A" w:rsidP="007B4BF5">
            <w:pPr>
              <w:spacing w:after="0" w:line="240" w:lineRule="auto"/>
              <w:rPr>
                <w:rFonts w:ascii="Calibri" w:eastAsia="Times New Roman" w:hAnsi="Calibri" w:cs="Calibri"/>
                <w:b/>
                <w:bCs/>
                <w:color w:val="000000"/>
                <w:u w:val="single"/>
                <w:lang w:eastAsia="zh-CN"/>
              </w:rPr>
            </w:pPr>
          </w:p>
        </w:tc>
        <w:tc>
          <w:tcPr>
            <w:tcW w:w="550" w:type="dxa"/>
            <w:tcBorders>
              <w:top w:val="nil"/>
              <w:left w:val="nil"/>
              <w:bottom w:val="nil"/>
              <w:right w:val="nil"/>
            </w:tcBorders>
            <w:shd w:val="clear" w:color="auto" w:fill="auto"/>
            <w:noWrap/>
            <w:vAlign w:val="bottom"/>
            <w:hideMark/>
          </w:tcPr>
          <w:p w14:paraId="4D790F9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38573CC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2" w:type="dxa"/>
            <w:tcBorders>
              <w:top w:val="nil"/>
              <w:left w:val="nil"/>
              <w:bottom w:val="nil"/>
              <w:right w:val="nil"/>
            </w:tcBorders>
            <w:shd w:val="clear" w:color="auto" w:fill="auto"/>
            <w:noWrap/>
            <w:vAlign w:val="bottom"/>
            <w:hideMark/>
          </w:tcPr>
          <w:p w14:paraId="05C3E8A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9" w:type="dxa"/>
            <w:gridSpan w:val="2"/>
            <w:tcBorders>
              <w:top w:val="nil"/>
              <w:left w:val="nil"/>
              <w:bottom w:val="nil"/>
              <w:right w:val="nil"/>
            </w:tcBorders>
            <w:shd w:val="clear" w:color="auto" w:fill="auto"/>
            <w:noWrap/>
            <w:vAlign w:val="bottom"/>
            <w:hideMark/>
          </w:tcPr>
          <w:p w14:paraId="47C1FFC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1187" w:type="dxa"/>
            <w:gridSpan w:val="2"/>
            <w:tcBorders>
              <w:top w:val="nil"/>
              <w:left w:val="nil"/>
              <w:bottom w:val="nil"/>
              <w:right w:val="nil"/>
            </w:tcBorders>
            <w:shd w:val="clear" w:color="auto" w:fill="auto"/>
            <w:noWrap/>
            <w:vAlign w:val="bottom"/>
            <w:hideMark/>
          </w:tcPr>
          <w:p w14:paraId="787E415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E87A2A" w:rsidRPr="00821C18" w14:paraId="5B6C4E82" w14:textId="77777777" w:rsidTr="00FB2741">
        <w:trPr>
          <w:trHeight w:val="300"/>
        </w:trPr>
        <w:tc>
          <w:tcPr>
            <w:tcW w:w="796" w:type="dxa"/>
            <w:tcBorders>
              <w:top w:val="nil"/>
              <w:left w:val="nil"/>
              <w:bottom w:val="nil"/>
              <w:right w:val="nil"/>
            </w:tcBorders>
            <w:shd w:val="clear" w:color="auto" w:fill="auto"/>
            <w:noWrap/>
            <w:vAlign w:val="bottom"/>
            <w:hideMark/>
          </w:tcPr>
          <w:p w14:paraId="232EACD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65" w:type="dxa"/>
            <w:tcBorders>
              <w:top w:val="nil"/>
              <w:left w:val="nil"/>
              <w:bottom w:val="nil"/>
              <w:right w:val="nil"/>
            </w:tcBorders>
            <w:shd w:val="clear" w:color="auto" w:fill="auto"/>
            <w:noWrap/>
            <w:vAlign w:val="bottom"/>
            <w:hideMark/>
          </w:tcPr>
          <w:p w14:paraId="50A971B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1072" w:type="dxa"/>
            <w:tcBorders>
              <w:top w:val="nil"/>
              <w:left w:val="nil"/>
              <w:bottom w:val="nil"/>
              <w:right w:val="nil"/>
            </w:tcBorders>
            <w:shd w:val="clear" w:color="auto" w:fill="auto"/>
            <w:noWrap/>
            <w:vAlign w:val="bottom"/>
            <w:hideMark/>
          </w:tcPr>
          <w:p w14:paraId="0F7B9F5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9" w:type="dxa"/>
            <w:gridSpan w:val="2"/>
            <w:tcBorders>
              <w:top w:val="nil"/>
              <w:left w:val="nil"/>
              <w:bottom w:val="nil"/>
              <w:right w:val="nil"/>
            </w:tcBorders>
            <w:shd w:val="clear" w:color="auto" w:fill="auto"/>
            <w:noWrap/>
            <w:vAlign w:val="bottom"/>
            <w:hideMark/>
          </w:tcPr>
          <w:p w14:paraId="149CB91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5B75F4E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52" w:type="dxa"/>
            <w:gridSpan w:val="2"/>
            <w:tcBorders>
              <w:top w:val="nil"/>
              <w:left w:val="nil"/>
              <w:bottom w:val="nil"/>
              <w:right w:val="nil"/>
            </w:tcBorders>
            <w:shd w:val="clear" w:color="auto" w:fill="auto"/>
            <w:noWrap/>
            <w:vAlign w:val="bottom"/>
            <w:hideMark/>
          </w:tcPr>
          <w:p w14:paraId="5740652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2" w:type="dxa"/>
            <w:tcBorders>
              <w:top w:val="nil"/>
              <w:left w:val="nil"/>
              <w:bottom w:val="nil"/>
              <w:right w:val="nil"/>
            </w:tcBorders>
            <w:shd w:val="clear" w:color="auto" w:fill="auto"/>
            <w:noWrap/>
            <w:vAlign w:val="bottom"/>
            <w:hideMark/>
          </w:tcPr>
          <w:p w14:paraId="5C758E5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6" w:type="dxa"/>
            <w:gridSpan w:val="2"/>
            <w:tcBorders>
              <w:top w:val="nil"/>
              <w:left w:val="nil"/>
              <w:bottom w:val="nil"/>
              <w:right w:val="nil"/>
            </w:tcBorders>
            <w:shd w:val="clear" w:color="auto" w:fill="auto"/>
            <w:noWrap/>
            <w:vAlign w:val="bottom"/>
            <w:hideMark/>
          </w:tcPr>
          <w:p w14:paraId="24E18AA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7B90D83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7EC4CFD6"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5F6634C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2" w:type="dxa"/>
            <w:tcBorders>
              <w:top w:val="nil"/>
              <w:left w:val="nil"/>
              <w:bottom w:val="nil"/>
              <w:right w:val="nil"/>
            </w:tcBorders>
            <w:shd w:val="clear" w:color="auto" w:fill="auto"/>
            <w:noWrap/>
            <w:vAlign w:val="bottom"/>
            <w:hideMark/>
          </w:tcPr>
          <w:p w14:paraId="6F02E598"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9" w:type="dxa"/>
            <w:gridSpan w:val="2"/>
            <w:tcBorders>
              <w:top w:val="nil"/>
              <w:left w:val="nil"/>
              <w:bottom w:val="nil"/>
              <w:right w:val="nil"/>
            </w:tcBorders>
            <w:shd w:val="clear" w:color="auto" w:fill="auto"/>
            <w:noWrap/>
            <w:vAlign w:val="bottom"/>
            <w:hideMark/>
          </w:tcPr>
          <w:p w14:paraId="5D2EE05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1187" w:type="dxa"/>
            <w:gridSpan w:val="2"/>
            <w:tcBorders>
              <w:top w:val="nil"/>
              <w:left w:val="nil"/>
              <w:bottom w:val="nil"/>
              <w:right w:val="nil"/>
            </w:tcBorders>
            <w:shd w:val="clear" w:color="auto" w:fill="auto"/>
            <w:noWrap/>
            <w:vAlign w:val="bottom"/>
            <w:hideMark/>
          </w:tcPr>
          <w:p w14:paraId="6A62629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8E7B42" w:rsidRPr="00821C18" w14:paraId="312DF075" w14:textId="77777777" w:rsidTr="00FB2741">
        <w:trPr>
          <w:trHeight w:val="300"/>
        </w:trPr>
        <w:tc>
          <w:tcPr>
            <w:tcW w:w="79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50CB867" w14:textId="77777777" w:rsidR="00E87A2A" w:rsidRPr="00821C18" w:rsidRDefault="00E87A2A" w:rsidP="007B4BF5">
            <w:pPr>
              <w:spacing w:after="0" w:line="240" w:lineRule="auto"/>
              <w:rPr>
                <w:rFonts w:ascii="Calibri" w:eastAsia="Times New Roman" w:hAnsi="Calibri" w:cs="Calibri"/>
                <w:b/>
                <w:bCs/>
                <w:color w:val="000000"/>
                <w:lang w:eastAsia="zh-CN"/>
              </w:rPr>
            </w:pPr>
          </w:p>
        </w:tc>
        <w:tc>
          <w:tcPr>
            <w:tcW w:w="565" w:type="dxa"/>
            <w:tcBorders>
              <w:top w:val="single" w:sz="4" w:space="0" w:color="auto"/>
              <w:left w:val="nil"/>
              <w:bottom w:val="single" w:sz="4" w:space="0" w:color="auto"/>
              <w:right w:val="single" w:sz="4" w:space="0" w:color="auto"/>
            </w:tcBorders>
            <w:shd w:val="clear" w:color="DDEBF7" w:fill="DDEBF7"/>
            <w:noWrap/>
            <w:vAlign w:val="center"/>
            <w:hideMark/>
          </w:tcPr>
          <w:p w14:paraId="340B25D4"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Jan</w:t>
            </w:r>
          </w:p>
        </w:tc>
        <w:tc>
          <w:tcPr>
            <w:tcW w:w="1072" w:type="dxa"/>
            <w:tcBorders>
              <w:top w:val="single" w:sz="4" w:space="0" w:color="auto"/>
              <w:left w:val="nil"/>
              <w:bottom w:val="single" w:sz="4" w:space="0" w:color="auto"/>
              <w:right w:val="single" w:sz="4" w:space="0" w:color="auto"/>
            </w:tcBorders>
            <w:shd w:val="clear" w:color="DDEBF7" w:fill="DDEBF7"/>
            <w:noWrap/>
            <w:vAlign w:val="center"/>
            <w:hideMark/>
          </w:tcPr>
          <w:p w14:paraId="2AB70AC3"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Feb</w:t>
            </w:r>
          </w:p>
        </w:tc>
        <w:tc>
          <w:tcPr>
            <w:tcW w:w="609"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4B249F0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Mar</w:t>
            </w:r>
          </w:p>
        </w:tc>
        <w:tc>
          <w:tcPr>
            <w:tcW w:w="550" w:type="dxa"/>
            <w:tcBorders>
              <w:top w:val="single" w:sz="4" w:space="0" w:color="auto"/>
              <w:left w:val="nil"/>
              <w:bottom w:val="single" w:sz="4" w:space="0" w:color="auto"/>
              <w:right w:val="single" w:sz="4" w:space="0" w:color="auto"/>
            </w:tcBorders>
            <w:shd w:val="clear" w:color="DDEBF7" w:fill="DDEBF7"/>
            <w:noWrap/>
            <w:vAlign w:val="center"/>
            <w:hideMark/>
          </w:tcPr>
          <w:p w14:paraId="56F58E4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Apr</w:t>
            </w:r>
          </w:p>
        </w:tc>
        <w:tc>
          <w:tcPr>
            <w:tcW w:w="652"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255F5517"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May</w:t>
            </w:r>
          </w:p>
        </w:tc>
        <w:tc>
          <w:tcPr>
            <w:tcW w:w="602" w:type="dxa"/>
            <w:tcBorders>
              <w:top w:val="single" w:sz="4" w:space="0" w:color="auto"/>
              <w:left w:val="nil"/>
              <w:bottom w:val="single" w:sz="4" w:space="0" w:color="auto"/>
              <w:right w:val="single" w:sz="4" w:space="0" w:color="auto"/>
            </w:tcBorders>
            <w:shd w:val="clear" w:color="DDEBF7" w:fill="DDEBF7"/>
            <w:noWrap/>
            <w:vAlign w:val="center"/>
            <w:hideMark/>
          </w:tcPr>
          <w:p w14:paraId="5550286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Jun</w:t>
            </w:r>
          </w:p>
        </w:tc>
        <w:tc>
          <w:tcPr>
            <w:tcW w:w="546"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7F2AB11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Jul</w:t>
            </w:r>
          </w:p>
        </w:tc>
        <w:tc>
          <w:tcPr>
            <w:tcW w:w="570" w:type="dxa"/>
            <w:tcBorders>
              <w:top w:val="single" w:sz="4" w:space="0" w:color="auto"/>
              <w:left w:val="nil"/>
              <w:bottom w:val="single" w:sz="4" w:space="0" w:color="auto"/>
              <w:right w:val="single" w:sz="4" w:space="0" w:color="auto"/>
            </w:tcBorders>
            <w:shd w:val="clear" w:color="DDEBF7" w:fill="DDEBF7"/>
            <w:noWrap/>
            <w:vAlign w:val="center"/>
            <w:hideMark/>
          </w:tcPr>
          <w:p w14:paraId="23D97A2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Aug</w:t>
            </w:r>
          </w:p>
        </w:tc>
        <w:tc>
          <w:tcPr>
            <w:tcW w:w="550" w:type="dxa"/>
            <w:tcBorders>
              <w:top w:val="single" w:sz="4" w:space="0" w:color="auto"/>
              <w:left w:val="nil"/>
              <w:bottom w:val="single" w:sz="4" w:space="0" w:color="auto"/>
              <w:right w:val="single" w:sz="4" w:space="0" w:color="auto"/>
            </w:tcBorders>
            <w:shd w:val="clear" w:color="DDEBF7" w:fill="DDEBF7"/>
            <w:noWrap/>
            <w:vAlign w:val="center"/>
            <w:hideMark/>
          </w:tcPr>
          <w:p w14:paraId="692F20AC"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Sep</w:t>
            </w:r>
          </w:p>
        </w:tc>
        <w:tc>
          <w:tcPr>
            <w:tcW w:w="550" w:type="dxa"/>
            <w:tcBorders>
              <w:top w:val="single" w:sz="4" w:space="0" w:color="auto"/>
              <w:left w:val="nil"/>
              <w:bottom w:val="single" w:sz="4" w:space="0" w:color="auto"/>
              <w:right w:val="single" w:sz="4" w:space="0" w:color="auto"/>
            </w:tcBorders>
            <w:shd w:val="clear" w:color="DDEBF7" w:fill="DDEBF7"/>
            <w:noWrap/>
            <w:vAlign w:val="center"/>
            <w:hideMark/>
          </w:tcPr>
          <w:p w14:paraId="50055AC6"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Oct</w:t>
            </w:r>
          </w:p>
        </w:tc>
        <w:tc>
          <w:tcPr>
            <w:tcW w:w="642" w:type="dxa"/>
            <w:tcBorders>
              <w:top w:val="single" w:sz="4" w:space="0" w:color="auto"/>
              <w:left w:val="nil"/>
              <w:bottom w:val="single" w:sz="4" w:space="0" w:color="auto"/>
              <w:right w:val="single" w:sz="4" w:space="0" w:color="auto"/>
            </w:tcBorders>
            <w:shd w:val="clear" w:color="DDEBF7" w:fill="DDEBF7"/>
            <w:noWrap/>
            <w:vAlign w:val="center"/>
            <w:hideMark/>
          </w:tcPr>
          <w:p w14:paraId="7878342B"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Nov</w:t>
            </w:r>
          </w:p>
        </w:tc>
        <w:tc>
          <w:tcPr>
            <w:tcW w:w="749"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3676587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Dec</w:t>
            </w:r>
          </w:p>
        </w:tc>
        <w:tc>
          <w:tcPr>
            <w:tcW w:w="1187" w:type="dxa"/>
            <w:gridSpan w:val="2"/>
            <w:tcBorders>
              <w:top w:val="single" w:sz="4" w:space="0" w:color="auto"/>
              <w:left w:val="nil"/>
              <w:bottom w:val="single" w:sz="4" w:space="0" w:color="auto"/>
              <w:right w:val="single" w:sz="4" w:space="0" w:color="auto"/>
            </w:tcBorders>
            <w:shd w:val="clear" w:color="DDEBF7" w:fill="DDEBF7"/>
            <w:noWrap/>
            <w:vAlign w:val="center"/>
            <w:hideMark/>
          </w:tcPr>
          <w:p w14:paraId="752BECF2" w14:textId="77777777" w:rsidR="00E87A2A" w:rsidRPr="00821C18" w:rsidRDefault="00E87A2A" w:rsidP="007B4BF5">
            <w:pPr>
              <w:spacing w:after="0" w:line="240" w:lineRule="auto"/>
              <w:jc w:val="center"/>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Total</w:t>
            </w:r>
          </w:p>
        </w:tc>
      </w:tr>
      <w:tr w:rsidR="00E87A2A" w:rsidRPr="00821C18" w14:paraId="66560CF2" w14:textId="77777777" w:rsidTr="00FB2741">
        <w:trPr>
          <w:trHeight w:val="30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A6E8BC0"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2018</w:t>
            </w:r>
          </w:p>
        </w:tc>
        <w:tc>
          <w:tcPr>
            <w:tcW w:w="565" w:type="dxa"/>
            <w:tcBorders>
              <w:top w:val="nil"/>
              <w:left w:val="nil"/>
              <w:bottom w:val="single" w:sz="4" w:space="0" w:color="auto"/>
              <w:right w:val="single" w:sz="4" w:space="0" w:color="auto"/>
            </w:tcBorders>
            <w:shd w:val="clear" w:color="auto" w:fill="auto"/>
            <w:noWrap/>
            <w:vAlign w:val="center"/>
            <w:hideMark/>
          </w:tcPr>
          <w:p w14:paraId="0DF4170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169</w:t>
            </w:r>
          </w:p>
        </w:tc>
        <w:tc>
          <w:tcPr>
            <w:tcW w:w="1072" w:type="dxa"/>
            <w:tcBorders>
              <w:top w:val="nil"/>
              <w:left w:val="nil"/>
              <w:bottom w:val="single" w:sz="4" w:space="0" w:color="auto"/>
              <w:right w:val="single" w:sz="4" w:space="0" w:color="auto"/>
            </w:tcBorders>
            <w:shd w:val="clear" w:color="auto" w:fill="auto"/>
            <w:noWrap/>
            <w:vAlign w:val="center"/>
            <w:hideMark/>
          </w:tcPr>
          <w:p w14:paraId="6824059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146</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48F7457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172</w:t>
            </w:r>
          </w:p>
        </w:tc>
        <w:tc>
          <w:tcPr>
            <w:tcW w:w="550" w:type="dxa"/>
            <w:tcBorders>
              <w:top w:val="nil"/>
              <w:left w:val="nil"/>
              <w:bottom w:val="single" w:sz="4" w:space="0" w:color="auto"/>
              <w:right w:val="single" w:sz="4" w:space="0" w:color="auto"/>
            </w:tcBorders>
            <w:shd w:val="clear" w:color="auto" w:fill="auto"/>
            <w:noWrap/>
            <w:vAlign w:val="center"/>
            <w:hideMark/>
          </w:tcPr>
          <w:p w14:paraId="51312812"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149</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65DB10B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182</w:t>
            </w:r>
          </w:p>
        </w:tc>
        <w:tc>
          <w:tcPr>
            <w:tcW w:w="602" w:type="dxa"/>
            <w:tcBorders>
              <w:top w:val="nil"/>
              <w:left w:val="nil"/>
              <w:bottom w:val="single" w:sz="4" w:space="0" w:color="auto"/>
              <w:right w:val="single" w:sz="4" w:space="0" w:color="auto"/>
            </w:tcBorders>
            <w:shd w:val="clear" w:color="auto" w:fill="auto"/>
            <w:noWrap/>
            <w:vAlign w:val="center"/>
            <w:hideMark/>
          </w:tcPr>
          <w:p w14:paraId="201CC54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181</w:t>
            </w:r>
          </w:p>
        </w:tc>
        <w:tc>
          <w:tcPr>
            <w:tcW w:w="546" w:type="dxa"/>
            <w:gridSpan w:val="2"/>
            <w:tcBorders>
              <w:top w:val="nil"/>
              <w:left w:val="nil"/>
              <w:bottom w:val="single" w:sz="4" w:space="0" w:color="auto"/>
              <w:right w:val="single" w:sz="4" w:space="0" w:color="auto"/>
            </w:tcBorders>
            <w:shd w:val="clear" w:color="auto" w:fill="auto"/>
            <w:noWrap/>
            <w:vAlign w:val="center"/>
            <w:hideMark/>
          </w:tcPr>
          <w:p w14:paraId="0AC7E565"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166</w:t>
            </w:r>
          </w:p>
        </w:tc>
        <w:tc>
          <w:tcPr>
            <w:tcW w:w="570" w:type="dxa"/>
            <w:tcBorders>
              <w:top w:val="nil"/>
              <w:left w:val="nil"/>
              <w:bottom w:val="single" w:sz="4" w:space="0" w:color="auto"/>
              <w:right w:val="single" w:sz="4" w:space="0" w:color="auto"/>
            </w:tcBorders>
            <w:shd w:val="clear" w:color="auto" w:fill="auto"/>
            <w:noWrap/>
            <w:vAlign w:val="center"/>
            <w:hideMark/>
          </w:tcPr>
          <w:p w14:paraId="31B80F8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198</w:t>
            </w:r>
          </w:p>
        </w:tc>
        <w:tc>
          <w:tcPr>
            <w:tcW w:w="550" w:type="dxa"/>
            <w:tcBorders>
              <w:top w:val="nil"/>
              <w:left w:val="nil"/>
              <w:bottom w:val="single" w:sz="4" w:space="0" w:color="auto"/>
              <w:right w:val="single" w:sz="4" w:space="0" w:color="auto"/>
            </w:tcBorders>
            <w:shd w:val="clear" w:color="auto" w:fill="auto"/>
            <w:noWrap/>
            <w:vAlign w:val="center"/>
            <w:hideMark/>
          </w:tcPr>
          <w:p w14:paraId="7D39BFC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139</w:t>
            </w:r>
          </w:p>
        </w:tc>
        <w:tc>
          <w:tcPr>
            <w:tcW w:w="550" w:type="dxa"/>
            <w:tcBorders>
              <w:top w:val="nil"/>
              <w:left w:val="nil"/>
              <w:bottom w:val="single" w:sz="4" w:space="0" w:color="auto"/>
              <w:right w:val="single" w:sz="4" w:space="0" w:color="auto"/>
            </w:tcBorders>
            <w:shd w:val="clear" w:color="auto" w:fill="auto"/>
            <w:noWrap/>
            <w:vAlign w:val="center"/>
            <w:hideMark/>
          </w:tcPr>
          <w:p w14:paraId="2B80406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155</w:t>
            </w:r>
          </w:p>
        </w:tc>
        <w:tc>
          <w:tcPr>
            <w:tcW w:w="642" w:type="dxa"/>
            <w:tcBorders>
              <w:top w:val="nil"/>
              <w:left w:val="nil"/>
              <w:bottom w:val="single" w:sz="4" w:space="0" w:color="auto"/>
              <w:right w:val="single" w:sz="4" w:space="0" w:color="auto"/>
            </w:tcBorders>
            <w:shd w:val="clear" w:color="auto" w:fill="auto"/>
            <w:noWrap/>
            <w:vAlign w:val="center"/>
            <w:hideMark/>
          </w:tcPr>
          <w:p w14:paraId="72330E3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187</w:t>
            </w:r>
          </w:p>
        </w:tc>
        <w:tc>
          <w:tcPr>
            <w:tcW w:w="749" w:type="dxa"/>
            <w:gridSpan w:val="2"/>
            <w:tcBorders>
              <w:top w:val="nil"/>
              <w:left w:val="nil"/>
              <w:bottom w:val="single" w:sz="4" w:space="0" w:color="auto"/>
              <w:right w:val="single" w:sz="4" w:space="0" w:color="auto"/>
            </w:tcBorders>
            <w:shd w:val="clear" w:color="auto" w:fill="auto"/>
            <w:noWrap/>
            <w:vAlign w:val="center"/>
            <w:hideMark/>
          </w:tcPr>
          <w:p w14:paraId="2BB58F0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179</w:t>
            </w:r>
          </w:p>
        </w:tc>
        <w:tc>
          <w:tcPr>
            <w:tcW w:w="1187" w:type="dxa"/>
            <w:gridSpan w:val="2"/>
            <w:tcBorders>
              <w:top w:val="nil"/>
              <w:left w:val="nil"/>
              <w:bottom w:val="single" w:sz="4" w:space="0" w:color="auto"/>
              <w:right w:val="single" w:sz="4" w:space="0" w:color="auto"/>
            </w:tcBorders>
            <w:shd w:val="clear" w:color="auto" w:fill="auto"/>
            <w:noWrap/>
            <w:vAlign w:val="center"/>
            <w:hideMark/>
          </w:tcPr>
          <w:p w14:paraId="6F3BDB3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2,023</w:t>
            </w:r>
          </w:p>
        </w:tc>
      </w:tr>
      <w:tr w:rsidR="00E87A2A" w:rsidRPr="00821C18" w14:paraId="3D83EB38" w14:textId="77777777" w:rsidTr="00FB2741">
        <w:trPr>
          <w:trHeight w:val="30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E3B87D8"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2019</w:t>
            </w:r>
          </w:p>
        </w:tc>
        <w:tc>
          <w:tcPr>
            <w:tcW w:w="565" w:type="dxa"/>
            <w:tcBorders>
              <w:top w:val="nil"/>
              <w:left w:val="nil"/>
              <w:bottom w:val="single" w:sz="4" w:space="0" w:color="auto"/>
              <w:right w:val="single" w:sz="4" w:space="0" w:color="auto"/>
            </w:tcBorders>
            <w:shd w:val="clear" w:color="auto" w:fill="auto"/>
            <w:noWrap/>
            <w:vAlign w:val="center"/>
            <w:hideMark/>
          </w:tcPr>
          <w:p w14:paraId="1CD71A7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158</w:t>
            </w:r>
          </w:p>
        </w:tc>
        <w:tc>
          <w:tcPr>
            <w:tcW w:w="1072" w:type="dxa"/>
            <w:tcBorders>
              <w:top w:val="nil"/>
              <w:left w:val="nil"/>
              <w:bottom w:val="single" w:sz="4" w:space="0" w:color="auto"/>
              <w:right w:val="single" w:sz="4" w:space="0" w:color="auto"/>
            </w:tcBorders>
            <w:shd w:val="clear" w:color="auto" w:fill="auto"/>
            <w:noWrap/>
            <w:vAlign w:val="center"/>
            <w:hideMark/>
          </w:tcPr>
          <w:p w14:paraId="031F65D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140</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66934A7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170</w:t>
            </w:r>
          </w:p>
        </w:tc>
        <w:tc>
          <w:tcPr>
            <w:tcW w:w="550" w:type="dxa"/>
            <w:tcBorders>
              <w:top w:val="nil"/>
              <w:left w:val="nil"/>
              <w:bottom w:val="single" w:sz="4" w:space="0" w:color="auto"/>
              <w:right w:val="single" w:sz="4" w:space="0" w:color="auto"/>
            </w:tcBorders>
            <w:shd w:val="clear" w:color="auto" w:fill="auto"/>
            <w:noWrap/>
            <w:vAlign w:val="center"/>
            <w:hideMark/>
          </w:tcPr>
          <w:p w14:paraId="3B9D85A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197</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251CA219"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238</w:t>
            </w:r>
          </w:p>
        </w:tc>
        <w:tc>
          <w:tcPr>
            <w:tcW w:w="602" w:type="dxa"/>
            <w:tcBorders>
              <w:top w:val="nil"/>
              <w:left w:val="nil"/>
              <w:bottom w:val="single" w:sz="4" w:space="0" w:color="auto"/>
              <w:right w:val="single" w:sz="4" w:space="0" w:color="auto"/>
            </w:tcBorders>
            <w:shd w:val="clear" w:color="auto" w:fill="auto"/>
            <w:noWrap/>
            <w:vAlign w:val="center"/>
            <w:hideMark/>
          </w:tcPr>
          <w:p w14:paraId="5683516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187</w:t>
            </w:r>
          </w:p>
        </w:tc>
        <w:tc>
          <w:tcPr>
            <w:tcW w:w="546" w:type="dxa"/>
            <w:gridSpan w:val="2"/>
            <w:tcBorders>
              <w:top w:val="nil"/>
              <w:left w:val="nil"/>
              <w:bottom w:val="single" w:sz="4" w:space="0" w:color="auto"/>
              <w:right w:val="single" w:sz="4" w:space="0" w:color="auto"/>
            </w:tcBorders>
            <w:shd w:val="clear" w:color="auto" w:fill="auto"/>
            <w:noWrap/>
            <w:vAlign w:val="center"/>
            <w:hideMark/>
          </w:tcPr>
          <w:p w14:paraId="06D7B33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203</w:t>
            </w:r>
          </w:p>
        </w:tc>
        <w:tc>
          <w:tcPr>
            <w:tcW w:w="570" w:type="dxa"/>
            <w:tcBorders>
              <w:top w:val="nil"/>
              <w:left w:val="nil"/>
              <w:bottom w:val="single" w:sz="4" w:space="0" w:color="auto"/>
              <w:right w:val="single" w:sz="4" w:space="0" w:color="auto"/>
            </w:tcBorders>
            <w:shd w:val="clear" w:color="auto" w:fill="auto"/>
            <w:noWrap/>
            <w:vAlign w:val="center"/>
            <w:hideMark/>
          </w:tcPr>
          <w:p w14:paraId="1C031F0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222</w:t>
            </w:r>
          </w:p>
        </w:tc>
        <w:tc>
          <w:tcPr>
            <w:tcW w:w="550" w:type="dxa"/>
            <w:tcBorders>
              <w:top w:val="nil"/>
              <w:left w:val="nil"/>
              <w:bottom w:val="single" w:sz="4" w:space="0" w:color="auto"/>
              <w:right w:val="single" w:sz="4" w:space="0" w:color="auto"/>
            </w:tcBorders>
            <w:shd w:val="clear" w:color="auto" w:fill="auto"/>
            <w:noWrap/>
            <w:vAlign w:val="center"/>
            <w:hideMark/>
          </w:tcPr>
          <w:p w14:paraId="3ECACF9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214</w:t>
            </w:r>
          </w:p>
        </w:tc>
        <w:tc>
          <w:tcPr>
            <w:tcW w:w="550" w:type="dxa"/>
            <w:tcBorders>
              <w:top w:val="nil"/>
              <w:left w:val="nil"/>
              <w:bottom w:val="single" w:sz="4" w:space="0" w:color="auto"/>
              <w:right w:val="single" w:sz="4" w:space="0" w:color="auto"/>
            </w:tcBorders>
            <w:shd w:val="clear" w:color="auto" w:fill="auto"/>
            <w:noWrap/>
            <w:vAlign w:val="center"/>
            <w:hideMark/>
          </w:tcPr>
          <w:p w14:paraId="058A076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250</w:t>
            </w:r>
          </w:p>
        </w:tc>
        <w:tc>
          <w:tcPr>
            <w:tcW w:w="642" w:type="dxa"/>
            <w:tcBorders>
              <w:top w:val="nil"/>
              <w:left w:val="nil"/>
              <w:bottom w:val="single" w:sz="4" w:space="0" w:color="auto"/>
              <w:right w:val="single" w:sz="4" w:space="0" w:color="auto"/>
            </w:tcBorders>
            <w:shd w:val="clear" w:color="auto" w:fill="auto"/>
            <w:noWrap/>
            <w:vAlign w:val="center"/>
            <w:hideMark/>
          </w:tcPr>
          <w:p w14:paraId="1B4BD65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214</w:t>
            </w:r>
          </w:p>
        </w:tc>
        <w:tc>
          <w:tcPr>
            <w:tcW w:w="749" w:type="dxa"/>
            <w:gridSpan w:val="2"/>
            <w:tcBorders>
              <w:top w:val="nil"/>
              <w:left w:val="nil"/>
              <w:bottom w:val="single" w:sz="4" w:space="0" w:color="auto"/>
              <w:right w:val="single" w:sz="4" w:space="0" w:color="auto"/>
            </w:tcBorders>
            <w:shd w:val="clear" w:color="auto" w:fill="auto"/>
            <w:noWrap/>
            <w:vAlign w:val="center"/>
            <w:hideMark/>
          </w:tcPr>
          <w:p w14:paraId="47697C40"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180</w:t>
            </w:r>
          </w:p>
        </w:tc>
        <w:tc>
          <w:tcPr>
            <w:tcW w:w="1187" w:type="dxa"/>
            <w:gridSpan w:val="2"/>
            <w:tcBorders>
              <w:top w:val="nil"/>
              <w:left w:val="nil"/>
              <w:bottom w:val="single" w:sz="4" w:space="0" w:color="auto"/>
              <w:right w:val="single" w:sz="4" w:space="0" w:color="auto"/>
            </w:tcBorders>
            <w:shd w:val="clear" w:color="auto" w:fill="auto"/>
            <w:noWrap/>
            <w:vAlign w:val="center"/>
            <w:hideMark/>
          </w:tcPr>
          <w:p w14:paraId="34D07E2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2,373</w:t>
            </w:r>
          </w:p>
        </w:tc>
      </w:tr>
      <w:tr w:rsidR="00E87A2A" w:rsidRPr="00821C18" w14:paraId="16A79B2C" w14:textId="77777777" w:rsidTr="00FB2741">
        <w:trPr>
          <w:trHeight w:val="30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8E38968"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2020</w:t>
            </w:r>
          </w:p>
        </w:tc>
        <w:tc>
          <w:tcPr>
            <w:tcW w:w="565" w:type="dxa"/>
            <w:tcBorders>
              <w:top w:val="nil"/>
              <w:left w:val="nil"/>
              <w:bottom w:val="single" w:sz="4" w:space="0" w:color="auto"/>
              <w:right w:val="single" w:sz="4" w:space="0" w:color="auto"/>
            </w:tcBorders>
            <w:shd w:val="clear" w:color="auto" w:fill="auto"/>
            <w:noWrap/>
            <w:vAlign w:val="center"/>
            <w:hideMark/>
          </w:tcPr>
          <w:p w14:paraId="1C1B07E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222</w:t>
            </w:r>
          </w:p>
        </w:tc>
        <w:tc>
          <w:tcPr>
            <w:tcW w:w="1072" w:type="dxa"/>
            <w:tcBorders>
              <w:top w:val="nil"/>
              <w:left w:val="nil"/>
              <w:bottom w:val="single" w:sz="4" w:space="0" w:color="auto"/>
              <w:right w:val="single" w:sz="4" w:space="0" w:color="auto"/>
            </w:tcBorders>
            <w:shd w:val="clear" w:color="auto" w:fill="auto"/>
            <w:noWrap/>
            <w:vAlign w:val="center"/>
            <w:hideMark/>
          </w:tcPr>
          <w:p w14:paraId="540A76A4"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183</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30764FFD"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208</w:t>
            </w:r>
          </w:p>
        </w:tc>
        <w:tc>
          <w:tcPr>
            <w:tcW w:w="550" w:type="dxa"/>
            <w:tcBorders>
              <w:top w:val="nil"/>
              <w:left w:val="nil"/>
              <w:bottom w:val="single" w:sz="4" w:space="0" w:color="auto"/>
              <w:right w:val="single" w:sz="4" w:space="0" w:color="auto"/>
            </w:tcBorders>
            <w:shd w:val="clear" w:color="auto" w:fill="auto"/>
            <w:noWrap/>
            <w:vAlign w:val="center"/>
            <w:hideMark/>
          </w:tcPr>
          <w:p w14:paraId="45E771A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274</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AFFFE37"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182</w:t>
            </w:r>
          </w:p>
        </w:tc>
        <w:tc>
          <w:tcPr>
            <w:tcW w:w="602" w:type="dxa"/>
            <w:tcBorders>
              <w:top w:val="nil"/>
              <w:left w:val="nil"/>
              <w:bottom w:val="single" w:sz="4" w:space="0" w:color="auto"/>
              <w:right w:val="single" w:sz="4" w:space="0" w:color="auto"/>
            </w:tcBorders>
            <w:shd w:val="clear" w:color="auto" w:fill="auto"/>
            <w:noWrap/>
            <w:vAlign w:val="center"/>
            <w:hideMark/>
          </w:tcPr>
          <w:p w14:paraId="29C8690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215</w:t>
            </w:r>
          </w:p>
        </w:tc>
        <w:tc>
          <w:tcPr>
            <w:tcW w:w="546" w:type="dxa"/>
            <w:gridSpan w:val="2"/>
            <w:tcBorders>
              <w:top w:val="nil"/>
              <w:left w:val="nil"/>
              <w:bottom w:val="single" w:sz="4" w:space="0" w:color="auto"/>
              <w:right w:val="single" w:sz="4" w:space="0" w:color="auto"/>
            </w:tcBorders>
            <w:shd w:val="clear" w:color="auto" w:fill="auto"/>
            <w:noWrap/>
            <w:vAlign w:val="center"/>
            <w:hideMark/>
          </w:tcPr>
          <w:p w14:paraId="08733F91"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175</w:t>
            </w:r>
          </w:p>
        </w:tc>
        <w:tc>
          <w:tcPr>
            <w:tcW w:w="570" w:type="dxa"/>
            <w:tcBorders>
              <w:top w:val="nil"/>
              <w:left w:val="nil"/>
              <w:bottom w:val="single" w:sz="4" w:space="0" w:color="auto"/>
              <w:right w:val="single" w:sz="4" w:space="0" w:color="auto"/>
            </w:tcBorders>
            <w:shd w:val="clear" w:color="auto" w:fill="auto"/>
            <w:noWrap/>
            <w:vAlign w:val="center"/>
            <w:hideMark/>
          </w:tcPr>
          <w:p w14:paraId="485A4C5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148</w:t>
            </w:r>
          </w:p>
        </w:tc>
        <w:tc>
          <w:tcPr>
            <w:tcW w:w="550" w:type="dxa"/>
            <w:tcBorders>
              <w:top w:val="nil"/>
              <w:left w:val="nil"/>
              <w:bottom w:val="single" w:sz="4" w:space="0" w:color="auto"/>
              <w:right w:val="single" w:sz="4" w:space="0" w:color="auto"/>
            </w:tcBorders>
            <w:shd w:val="clear" w:color="auto" w:fill="auto"/>
            <w:noWrap/>
            <w:vAlign w:val="center"/>
            <w:hideMark/>
          </w:tcPr>
          <w:p w14:paraId="4B301F1E"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153</w:t>
            </w:r>
          </w:p>
        </w:tc>
        <w:tc>
          <w:tcPr>
            <w:tcW w:w="550" w:type="dxa"/>
            <w:tcBorders>
              <w:top w:val="nil"/>
              <w:left w:val="nil"/>
              <w:bottom w:val="single" w:sz="4" w:space="0" w:color="auto"/>
              <w:right w:val="single" w:sz="4" w:space="0" w:color="auto"/>
            </w:tcBorders>
            <w:shd w:val="clear" w:color="auto" w:fill="auto"/>
            <w:noWrap/>
            <w:vAlign w:val="center"/>
            <w:hideMark/>
          </w:tcPr>
          <w:p w14:paraId="1026967F"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135</w:t>
            </w:r>
          </w:p>
        </w:tc>
        <w:tc>
          <w:tcPr>
            <w:tcW w:w="642" w:type="dxa"/>
            <w:tcBorders>
              <w:top w:val="nil"/>
              <w:left w:val="nil"/>
              <w:bottom w:val="single" w:sz="4" w:space="0" w:color="auto"/>
              <w:right w:val="single" w:sz="4" w:space="0" w:color="auto"/>
            </w:tcBorders>
            <w:shd w:val="clear" w:color="auto" w:fill="auto"/>
            <w:noWrap/>
            <w:vAlign w:val="center"/>
            <w:hideMark/>
          </w:tcPr>
          <w:p w14:paraId="33683C6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106</w:t>
            </w:r>
          </w:p>
        </w:tc>
        <w:tc>
          <w:tcPr>
            <w:tcW w:w="749" w:type="dxa"/>
            <w:gridSpan w:val="2"/>
            <w:tcBorders>
              <w:top w:val="nil"/>
              <w:left w:val="nil"/>
              <w:bottom w:val="single" w:sz="4" w:space="0" w:color="auto"/>
              <w:right w:val="single" w:sz="4" w:space="0" w:color="auto"/>
            </w:tcBorders>
            <w:shd w:val="clear" w:color="auto" w:fill="auto"/>
            <w:noWrap/>
            <w:vAlign w:val="center"/>
            <w:hideMark/>
          </w:tcPr>
          <w:p w14:paraId="40E168E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131</w:t>
            </w:r>
          </w:p>
        </w:tc>
        <w:tc>
          <w:tcPr>
            <w:tcW w:w="1187" w:type="dxa"/>
            <w:gridSpan w:val="2"/>
            <w:tcBorders>
              <w:top w:val="nil"/>
              <w:left w:val="nil"/>
              <w:bottom w:val="single" w:sz="4" w:space="0" w:color="auto"/>
              <w:right w:val="single" w:sz="4" w:space="0" w:color="auto"/>
            </w:tcBorders>
            <w:shd w:val="clear" w:color="auto" w:fill="auto"/>
            <w:noWrap/>
            <w:vAlign w:val="center"/>
            <w:hideMark/>
          </w:tcPr>
          <w:p w14:paraId="2283001A"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2,132</w:t>
            </w:r>
          </w:p>
        </w:tc>
      </w:tr>
      <w:tr w:rsidR="00E87A2A" w:rsidRPr="00821C18" w14:paraId="4DC7B6C5" w14:textId="77777777" w:rsidTr="00FB2741">
        <w:trPr>
          <w:trHeight w:val="30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6F8A387" w14:textId="77777777" w:rsidR="00E87A2A" w:rsidRPr="00821C18" w:rsidRDefault="00E87A2A" w:rsidP="007B4BF5">
            <w:pPr>
              <w:spacing w:after="0" w:line="240" w:lineRule="auto"/>
              <w:rPr>
                <w:rFonts w:ascii="Calibri" w:eastAsia="Times New Roman" w:hAnsi="Calibri" w:cs="Calibri"/>
                <w:b/>
                <w:bCs/>
                <w:color w:val="000000"/>
                <w:lang w:eastAsia="zh-CN"/>
              </w:rPr>
            </w:pPr>
            <w:r w:rsidRPr="00821C18">
              <w:rPr>
                <w:rFonts w:ascii="Calibri" w:eastAsia="Times New Roman" w:hAnsi="Calibri" w:cs="Calibri"/>
                <w:b/>
                <w:bCs/>
                <w:color w:val="000000"/>
                <w:lang w:eastAsia="zh-CN"/>
              </w:rPr>
              <w:t>2021</w:t>
            </w:r>
          </w:p>
        </w:tc>
        <w:tc>
          <w:tcPr>
            <w:tcW w:w="565" w:type="dxa"/>
            <w:tcBorders>
              <w:top w:val="nil"/>
              <w:left w:val="nil"/>
              <w:bottom w:val="single" w:sz="4" w:space="0" w:color="auto"/>
              <w:right w:val="single" w:sz="4" w:space="0" w:color="auto"/>
            </w:tcBorders>
            <w:shd w:val="clear" w:color="auto" w:fill="auto"/>
            <w:noWrap/>
            <w:vAlign w:val="center"/>
            <w:hideMark/>
          </w:tcPr>
          <w:p w14:paraId="7BA642E3"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102</w:t>
            </w:r>
          </w:p>
        </w:tc>
        <w:tc>
          <w:tcPr>
            <w:tcW w:w="1072" w:type="dxa"/>
            <w:tcBorders>
              <w:top w:val="nil"/>
              <w:left w:val="nil"/>
              <w:bottom w:val="single" w:sz="4" w:space="0" w:color="auto"/>
              <w:right w:val="single" w:sz="4" w:space="0" w:color="auto"/>
            </w:tcBorders>
            <w:shd w:val="clear" w:color="auto" w:fill="auto"/>
            <w:noWrap/>
            <w:vAlign w:val="center"/>
            <w:hideMark/>
          </w:tcPr>
          <w:p w14:paraId="3460FE4B"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97</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08085898"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113</w:t>
            </w:r>
          </w:p>
        </w:tc>
        <w:tc>
          <w:tcPr>
            <w:tcW w:w="550" w:type="dxa"/>
            <w:tcBorders>
              <w:top w:val="nil"/>
              <w:left w:val="nil"/>
              <w:bottom w:val="single" w:sz="4" w:space="0" w:color="auto"/>
              <w:right w:val="single" w:sz="4" w:space="0" w:color="auto"/>
            </w:tcBorders>
            <w:shd w:val="clear" w:color="auto" w:fill="auto"/>
            <w:noWrap/>
            <w:vAlign w:val="center"/>
            <w:hideMark/>
          </w:tcPr>
          <w:p w14:paraId="433B6E6C"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138</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A080FB5"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02" w:type="dxa"/>
            <w:tcBorders>
              <w:top w:val="nil"/>
              <w:left w:val="nil"/>
              <w:bottom w:val="single" w:sz="4" w:space="0" w:color="auto"/>
              <w:right w:val="single" w:sz="4" w:space="0" w:color="auto"/>
            </w:tcBorders>
            <w:shd w:val="clear" w:color="auto" w:fill="auto"/>
            <w:noWrap/>
            <w:vAlign w:val="center"/>
            <w:hideMark/>
          </w:tcPr>
          <w:p w14:paraId="024F70DE"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46" w:type="dxa"/>
            <w:gridSpan w:val="2"/>
            <w:tcBorders>
              <w:top w:val="nil"/>
              <w:left w:val="nil"/>
              <w:bottom w:val="single" w:sz="4" w:space="0" w:color="auto"/>
              <w:right w:val="single" w:sz="4" w:space="0" w:color="auto"/>
            </w:tcBorders>
            <w:shd w:val="clear" w:color="auto" w:fill="auto"/>
            <w:noWrap/>
            <w:vAlign w:val="center"/>
            <w:hideMark/>
          </w:tcPr>
          <w:p w14:paraId="3CA9AD85"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70" w:type="dxa"/>
            <w:tcBorders>
              <w:top w:val="nil"/>
              <w:left w:val="nil"/>
              <w:bottom w:val="single" w:sz="4" w:space="0" w:color="auto"/>
              <w:right w:val="single" w:sz="4" w:space="0" w:color="auto"/>
            </w:tcBorders>
            <w:shd w:val="clear" w:color="auto" w:fill="auto"/>
            <w:noWrap/>
            <w:vAlign w:val="center"/>
            <w:hideMark/>
          </w:tcPr>
          <w:p w14:paraId="54729BFD"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50" w:type="dxa"/>
            <w:tcBorders>
              <w:top w:val="nil"/>
              <w:left w:val="nil"/>
              <w:bottom w:val="single" w:sz="4" w:space="0" w:color="auto"/>
              <w:right w:val="single" w:sz="4" w:space="0" w:color="auto"/>
            </w:tcBorders>
            <w:shd w:val="clear" w:color="auto" w:fill="auto"/>
            <w:noWrap/>
            <w:vAlign w:val="center"/>
            <w:hideMark/>
          </w:tcPr>
          <w:p w14:paraId="4BD70D21"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550" w:type="dxa"/>
            <w:tcBorders>
              <w:top w:val="nil"/>
              <w:left w:val="nil"/>
              <w:bottom w:val="single" w:sz="4" w:space="0" w:color="auto"/>
              <w:right w:val="single" w:sz="4" w:space="0" w:color="auto"/>
            </w:tcBorders>
            <w:shd w:val="clear" w:color="auto" w:fill="auto"/>
            <w:noWrap/>
            <w:vAlign w:val="center"/>
            <w:hideMark/>
          </w:tcPr>
          <w:p w14:paraId="141F8B20"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642" w:type="dxa"/>
            <w:tcBorders>
              <w:top w:val="nil"/>
              <w:left w:val="nil"/>
              <w:bottom w:val="single" w:sz="4" w:space="0" w:color="auto"/>
              <w:right w:val="single" w:sz="4" w:space="0" w:color="auto"/>
            </w:tcBorders>
            <w:shd w:val="clear" w:color="auto" w:fill="auto"/>
            <w:noWrap/>
            <w:vAlign w:val="center"/>
            <w:hideMark/>
          </w:tcPr>
          <w:p w14:paraId="1928FFD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749" w:type="dxa"/>
            <w:gridSpan w:val="2"/>
            <w:tcBorders>
              <w:top w:val="nil"/>
              <w:left w:val="nil"/>
              <w:bottom w:val="single" w:sz="4" w:space="0" w:color="auto"/>
              <w:right w:val="single" w:sz="4" w:space="0" w:color="auto"/>
            </w:tcBorders>
            <w:shd w:val="clear" w:color="auto" w:fill="auto"/>
            <w:noWrap/>
            <w:vAlign w:val="center"/>
            <w:hideMark/>
          </w:tcPr>
          <w:p w14:paraId="54EB1A24" w14:textId="77777777" w:rsidR="00E87A2A" w:rsidRPr="00821C18" w:rsidRDefault="00E87A2A" w:rsidP="007B4BF5">
            <w:pPr>
              <w:spacing w:after="0" w:line="240" w:lineRule="auto"/>
              <w:jc w:val="center"/>
              <w:rPr>
                <w:rFonts w:ascii="Calibri" w:eastAsia="Times New Roman" w:hAnsi="Calibri" w:cs="Calibri"/>
                <w:color w:val="000000"/>
                <w:lang w:eastAsia="zh-CN"/>
              </w:rPr>
            </w:pPr>
          </w:p>
        </w:tc>
        <w:tc>
          <w:tcPr>
            <w:tcW w:w="1187" w:type="dxa"/>
            <w:gridSpan w:val="2"/>
            <w:tcBorders>
              <w:top w:val="nil"/>
              <w:left w:val="nil"/>
              <w:bottom w:val="single" w:sz="4" w:space="0" w:color="auto"/>
              <w:right w:val="single" w:sz="4" w:space="0" w:color="auto"/>
            </w:tcBorders>
            <w:shd w:val="clear" w:color="auto" w:fill="auto"/>
            <w:noWrap/>
            <w:vAlign w:val="center"/>
            <w:hideMark/>
          </w:tcPr>
          <w:p w14:paraId="5A56C4C6" w14:textId="77777777" w:rsidR="00E87A2A" w:rsidRPr="00821C18" w:rsidRDefault="00E87A2A" w:rsidP="007B4BF5">
            <w:pPr>
              <w:spacing w:after="0" w:line="240" w:lineRule="auto"/>
              <w:jc w:val="center"/>
              <w:rPr>
                <w:rFonts w:ascii="Calibri" w:eastAsia="Times New Roman" w:hAnsi="Calibri" w:cs="Calibri"/>
                <w:color w:val="000000"/>
                <w:lang w:eastAsia="zh-CN"/>
              </w:rPr>
            </w:pPr>
            <w:r w:rsidRPr="00821C18">
              <w:rPr>
                <w:rFonts w:ascii="Calibri" w:eastAsia="Times New Roman" w:hAnsi="Calibri" w:cs="Calibri"/>
                <w:color w:val="000000"/>
                <w:lang w:eastAsia="zh-CN"/>
              </w:rPr>
              <w:t>450</w:t>
            </w:r>
          </w:p>
        </w:tc>
      </w:tr>
      <w:tr w:rsidR="00E87A2A" w:rsidRPr="00821C18" w14:paraId="2C5EF730" w14:textId="77777777" w:rsidTr="00FB2741">
        <w:trPr>
          <w:trHeight w:val="300"/>
        </w:trPr>
        <w:tc>
          <w:tcPr>
            <w:tcW w:w="796" w:type="dxa"/>
            <w:tcBorders>
              <w:top w:val="nil"/>
              <w:left w:val="nil"/>
              <w:bottom w:val="nil"/>
              <w:right w:val="nil"/>
            </w:tcBorders>
            <w:shd w:val="clear" w:color="auto" w:fill="auto"/>
            <w:noWrap/>
            <w:vAlign w:val="bottom"/>
            <w:hideMark/>
          </w:tcPr>
          <w:p w14:paraId="01BB916A" w14:textId="77777777" w:rsidR="00E87A2A" w:rsidRPr="00821C18" w:rsidRDefault="00E87A2A" w:rsidP="007B4BF5">
            <w:pPr>
              <w:spacing w:after="0" w:line="240" w:lineRule="auto"/>
              <w:jc w:val="right"/>
              <w:rPr>
                <w:rFonts w:ascii="Calibri" w:eastAsia="Times New Roman" w:hAnsi="Calibri" w:cs="Calibri"/>
                <w:color w:val="000000"/>
                <w:lang w:eastAsia="zh-CN"/>
              </w:rPr>
            </w:pPr>
          </w:p>
        </w:tc>
        <w:tc>
          <w:tcPr>
            <w:tcW w:w="565" w:type="dxa"/>
            <w:tcBorders>
              <w:top w:val="nil"/>
              <w:left w:val="nil"/>
              <w:bottom w:val="nil"/>
              <w:right w:val="nil"/>
            </w:tcBorders>
            <w:shd w:val="clear" w:color="auto" w:fill="auto"/>
            <w:noWrap/>
            <w:vAlign w:val="bottom"/>
            <w:hideMark/>
          </w:tcPr>
          <w:p w14:paraId="13C64DE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1072" w:type="dxa"/>
            <w:tcBorders>
              <w:top w:val="nil"/>
              <w:left w:val="nil"/>
              <w:bottom w:val="nil"/>
              <w:right w:val="nil"/>
            </w:tcBorders>
            <w:shd w:val="clear" w:color="auto" w:fill="auto"/>
            <w:noWrap/>
            <w:vAlign w:val="bottom"/>
            <w:hideMark/>
          </w:tcPr>
          <w:p w14:paraId="39A83C5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9" w:type="dxa"/>
            <w:gridSpan w:val="2"/>
            <w:tcBorders>
              <w:top w:val="nil"/>
              <w:left w:val="nil"/>
              <w:bottom w:val="nil"/>
              <w:right w:val="nil"/>
            </w:tcBorders>
            <w:shd w:val="clear" w:color="auto" w:fill="auto"/>
            <w:noWrap/>
            <w:vAlign w:val="bottom"/>
            <w:hideMark/>
          </w:tcPr>
          <w:p w14:paraId="061FABC7"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080DA06D"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52" w:type="dxa"/>
            <w:gridSpan w:val="2"/>
            <w:tcBorders>
              <w:top w:val="nil"/>
              <w:left w:val="nil"/>
              <w:bottom w:val="nil"/>
              <w:right w:val="nil"/>
            </w:tcBorders>
            <w:shd w:val="clear" w:color="auto" w:fill="auto"/>
            <w:noWrap/>
            <w:vAlign w:val="bottom"/>
            <w:hideMark/>
          </w:tcPr>
          <w:p w14:paraId="0DD032BE"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02" w:type="dxa"/>
            <w:tcBorders>
              <w:top w:val="nil"/>
              <w:left w:val="nil"/>
              <w:bottom w:val="nil"/>
              <w:right w:val="nil"/>
            </w:tcBorders>
            <w:shd w:val="clear" w:color="auto" w:fill="auto"/>
            <w:noWrap/>
            <w:vAlign w:val="bottom"/>
            <w:hideMark/>
          </w:tcPr>
          <w:p w14:paraId="07375EE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46" w:type="dxa"/>
            <w:gridSpan w:val="2"/>
            <w:tcBorders>
              <w:top w:val="nil"/>
              <w:left w:val="nil"/>
              <w:bottom w:val="nil"/>
              <w:right w:val="nil"/>
            </w:tcBorders>
            <w:shd w:val="clear" w:color="auto" w:fill="auto"/>
            <w:noWrap/>
            <w:vAlign w:val="bottom"/>
            <w:hideMark/>
          </w:tcPr>
          <w:p w14:paraId="72402FAF"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70" w:type="dxa"/>
            <w:tcBorders>
              <w:top w:val="nil"/>
              <w:left w:val="nil"/>
              <w:bottom w:val="nil"/>
              <w:right w:val="nil"/>
            </w:tcBorders>
            <w:shd w:val="clear" w:color="auto" w:fill="auto"/>
            <w:noWrap/>
            <w:vAlign w:val="bottom"/>
            <w:hideMark/>
          </w:tcPr>
          <w:p w14:paraId="23724B21"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72B902E2"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550" w:type="dxa"/>
            <w:tcBorders>
              <w:top w:val="nil"/>
              <w:left w:val="nil"/>
              <w:bottom w:val="nil"/>
              <w:right w:val="nil"/>
            </w:tcBorders>
            <w:shd w:val="clear" w:color="auto" w:fill="auto"/>
            <w:noWrap/>
            <w:vAlign w:val="bottom"/>
            <w:hideMark/>
          </w:tcPr>
          <w:p w14:paraId="3EB08665"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642" w:type="dxa"/>
            <w:tcBorders>
              <w:top w:val="nil"/>
              <w:left w:val="nil"/>
              <w:bottom w:val="nil"/>
              <w:right w:val="nil"/>
            </w:tcBorders>
            <w:shd w:val="clear" w:color="auto" w:fill="auto"/>
            <w:noWrap/>
            <w:vAlign w:val="bottom"/>
            <w:hideMark/>
          </w:tcPr>
          <w:p w14:paraId="1520B8EB"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749" w:type="dxa"/>
            <w:gridSpan w:val="2"/>
            <w:tcBorders>
              <w:top w:val="nil"/>
              <w:left w:val="nil"/>
              <w:bottom w:val="nil"/>
              <w:right w:val="nil"/>
            </w:tcBorders>
            <w:shd w:val="clear" w:color="auto" w:fill="auto"/>
            <w:noWrap/>
            <w:vAlign w:val="bottom"/>
            <w:hideMark/>
          </w:tcPr>
          <w:p w14:paraId="2362DC40"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c>
          <w:tcPr>
            <w:tcW w:w="1187" w:type="dxa"/>
            <w:gridSpan w:val="2"/>
            <w:tcBorders>
              <w:top w:val="nil"/>
              <w:left w:val="nil"/>
              <w:bottom w:val="nil"/>
              <w:right w:val="nil"/>
            </w:tcBorders>
            <w:shd w:val="clear" w:color="auto" w:fill="auto"/>
            <w:noWrap/>
            <w:vAlign w:val="bottom"/>
            <w:hideMark/>
          </w:tcPr>
          <w:p w14:paraId="22A844AA" w14:textId="77777777" w:rsidR="00E87A2A" w:rsidRPr="00821C18" w:rsidRDefault="00E87A2A" w:rsidP="007B4BF5">
            <w:pPr>
              <w:spacing w:after="0" w:line="240" w:lineRule="auto"/>
              <w:rPr>
                <w:rFonts w:ascii="Times New Roman" w:eastAsia="Times New Roman" w:hAnsi="Times New Roman" w:cs="Times New Roman"/>
                <w:sz w:val="20"/>
                <w:szCs w:val="20"/>
                <w:lang w:eastAsia="zh-CN"/>
              </w:rPr>
            </w:pPr>
          </w:p>
        </w:tc>
      </w:tr>
      <w:tr w:rsidR="00844F2F" w:rsidRPr="00821C18" w14:paraId="64C32DF2" w14:textId="77777777" w:rsidTr="00FB2741">
        <w:trPr>
          <w:gridAfter w:val="9"/>
          <w:wAfter w:w="4731" w:type="dxa"/>
          <w:trHeight w:val="300"/>
        </w:trPr>
        <w:tc>
          <w:tcPr>
            <w:tcW w:w="4909" w:type="dxa"/>
            <w:gridSpan w:val="10"/>
            <w:tcBorders>
              <w:top w:val="nil"/>
              <w:left w:val="nil"/>
              <w:bottom w:val="nil"/>
              <w:right w:val="nil"/>
            </w:tcBorders>
            <w:shd w:val="clear" w:color="auto" w:fill="auto"/>
            <w:noWrap/>
            <w:vAlign w:val="center"/>
            <w:hideMark/>
          </w:tcPr>
          <w:p w14:paraId="597E7E61"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2020 data is provisional and subject to change.</w:t>
            </w:r>
          </w:p>
        </w:tc>
      </w:tr>
      <w:tr w:rsidR="00844F2F" w:rsidRPr="00821C18" w14:paraId="12307479" w14:textId="77777777" w:rsidTr="00FB2741">
        <w:trPr>
          <w:gridAfter w:val="1"/>
          <w:wAfter w:w="995" w:type="dxa"/>
          <w:trHeight w:val="300"/>
        </w:trPr>
        <w:tc>
          <w:tcPr>
            <w:tcW w:w="8645" w:type="dxa"/>
            <w:gridSpan w:val="18"/>
            <w:tcBorders>
              <w:top w:val="nil"/>
              <w:left w:val="nil"/>
              <w:bottom w:val="nil"/>
              <w:right w:val="nil"/>
            </w:tcBorders>
            <w:shd w:val="clear" w:color="auto" w:fill="auto"/>
            <w:noWrap/>
            <w:vAlign w:val="center"/>
            <w:hideMark/>
          </w:tcPr>
          <w:p w14:paraId="2EC68D88"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2021 data is year to date 1 January 2020 – 30 April 2021 and provisional and subject to change.</w:t>
            </w:r>
          </w:p>
        </w:tc>
      </w:tr>
      <w:tr w:rsidR="00844F2F" w:rsidRPr="00821C18" w14:paraId="24869303" w14:textId="77777777" w:rsidTr="00FB2741">
        <w:trPr>
          <w:gridAfter w:val="3"/>
          <w:wAfter w:w="1822" w:type="dxa"/>
          <w:trHeight w:val="300"/>
        </w:trPr>
        <w:tc>
          <w:tcPr>
            <w:tcW w:w="7818" w:type="dxa"/>
            <w:gridSpan w:val="16"/>
            <w:tcBorders>
              <w:top w:val="nil"/>
              <w:left w:val="nil"/>
              <w:bottom w:val="nil"/>
              <w:right w:val="nil"/>
            </w:tcBorders>
            <w:shd w:val="clear" w:color="auto" w:fill="auto"/>
            <w:noWrap/>
            <w:vAlign w:val="bottom"/>
            <w:hideMark/>
          </w:tcPr>
          <w:p w14:paraId="67F1062B"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Methamphetamine and cocaine data does not include liquid or pill form.</w:t>
            </w:r>
          </w:p>
        </w:tc>
      </w:tr>
      <w:tr w:rsidR="00844F2F" w:rsidRPr="00821C18" w14:paraId="5AFAD2DC" w14:textId="77777777" w:rsidTr="00FB2741">
        <w:trPr>
          <w:gridAfter w:val="9"/>
          <w:wAfter w:w="4731" w:type="dxa"/>
          <w:trHeight w:val="300"/>
        </w:trPr>
        <w:tc>
          <w:tcPr>
            <w:tcW w:w="2992" w:type="dxa"/>
            <w:gridSpan w:val="4"/>
            <w:tcBorders>
              <w:top w:val="nil"/>
              <w:left w:val="nil"/>
              <w:bottom w:val="nil"/>
              <w:right w:val="nil"/>
            </w:tcBorders>
            <w:shd w:val="clear" w:color="auto" w:fill="auto"/>
            <w:noWrap/>
            <w:vAlign w:val="bottom"/>
            <w:hideMark/>
          </w:tcPr>
          <w:p w14:paraId="59C2A970"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Cannabis is head/leaf only.</w:t>
            </w:r>
          </w:p>
        </w:tc>
        <w:tc>
          <w:tcPr>
            <w:tcW w:w="967" w:type="dxa"/>
            <w:gridSpan w:val="3"/>
            <w:tcBorders>
              <w:top w:val="nil"/>
              <w:left w:val="nil"/>
              <w:bottom w:val="nil"/>
              <w:right w:val="nil"/>
            </w:tcBorders>
            <w:shd w:val="clear" w:color="auto" w:fill="auto"/>
            <w:noWrap/>
            <w:vAlign w:val="bottom"/>
            <w:hideMark/>
          </w:tcPr>
          <w:p w14:paraId="1BEB153E"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 </w:t>
            </w:r>
          </w:p>
        </w:tc>
        <w:tc>
          <w:tcPr>
            <w:tcW w:w="950" w:type="dxa"/>
            <w:gridSpan w:val="3"/>
            <w:tcBorders>
              <w:top w:val="nil"/>
              <w:left w:val="nil"/>
              <w:bottom w:val="nil"/>
              <w:right w:val="nil"/>
            </w:tcBorders>
            <w:shd w:val="clear" w:color="auto" w:fill="auto"/>
            <w:noWrap/>
            <w:vAlign w:val="bottom"/>
            <w:hideMark/>
          </w:tcPr>
          <w:p w14:paraId="249AA00D"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 </w:t>
            </w:r>
          </w:p>
        </w:tc>
      </w:tr>
      <w:tr w:rsidR="00844F2F" w:rsidRPr="00821C18" w14:paraId="54DCD0B2" w14:textId="77777777" w:rsidTr="00FB2741">
        <w:trPr>
          <w:gridAfter w:val="9"/>
          <w:wAfter w:w="4731" w:type="dxa"/>
          <w:trHeight w:val="300"/>
        </w:trPr>
        <w:tc>
          <w:tcPr>
            <w:tcW w:w="2992" w:type="dxa"/>
            <w:gridSpan w:val="4"/>
            <w:tcBorders>
              <w:top w:val="nil"/>
              <w:left w:val="nil"/>
              <w:bottom w:val="nil"/>
              <w:right w:val="nil"/>
            </w:tcBorders>
            <w:shd w:val="clear" w:color="auto" w:fill="auto"/>
            <w:noWrap/>
            <w:vAlign w:val="bottom"/>
            <w:hideMark/>
          </w:tcPr>
          <w:p w14:paraId="63782E57"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Police Seizures only.</w:t>
            </w:r>
          </w:p>
        </w:tc>
        <w:tc>
          <w:tcPr>
            <w:tcW w:w="967" w:type="dxa"/>
            <w:gridSpan w:val="3"/>
            <w:tcBorders>
              <w:top w:val="nil"/>
              <w:left w:val="nil"/>
              <w:bottom w:val="nil"/>
              <w:right w:val="nil"/>
            </w:tcBorders>
            <w:shd w:val="clear" w:color="auto" w:fill="auto"/>
            <w:noWrap/>
            <w:vAlign w:val="bottom"/>
            <w:hideMark/>
          </w:tcPr>
          <w:p w14:paraId="1496B971"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 </w:t>
            </w:r>
          </w:p>
        </w:tc>
        <w:tc>
          <w:tcPr>
            <w:tcW w:w="950" w:type="dxa"/>
            <w:gridSpan w:val="3"/>
            <w:tcBorders>
              <w:top w:val="nil"/>
              <w:left w:val="nil"/>
              <w:bottom w:val="nil"/>
              <w:right w:val="nil"/>
            </w:tcBorders>
            <w:shd w:val="clear" w:color="auto" w:fill="auto"/>
            <w:noWrap/>
            <w:vAlign w:val="bottom"/>
            <w:hideMark/>
          </w:tcPr>
          <w:p w14:paraId="7554E4DC" w14:textId="77777777" w:rsidR="00844F2F" w:rsidRPr="000B3C0D" w:rsidRDefault="00844F2F" w:rsidP="00EA670A">
            <w:pPr>
              <w:spacing w:after="0" w:line="240" w:lineRule="auto"/>
              <w:rPr>
                <w:rFonts w:ascii="Calibri" w:eastAsia="Times New Roman" w:hAnsi="Calibri" w:cs="Calibri"/>
                <w:color w:val="000000"/>
                <w:lang w:eastAsia="zh-CN"/>
              </w:rPr>
            </w:pPr>
            <w:r w:rsidRPr="000B3C0D">
              <w:rPr>
                <w:rFonts w:ascii="Calibri" w:eastAsia="Times New Roman" w:hAnsi="Calibri" w:cs="Calibri"/>
                <w:color w:val="000000"/>
                <w:lang w:eastAsia="zh-CN"/>
              </w:rPr>
              <w:t> </w:t>
            </w:r>
          </w:p>
        </w:tc>
      </w:tr>
    </w:tbl>
    <w:p w14:paraId="2593D050" w14:textId="184F83B5" w:rsidR="005B7997" w:rsidRDefault="005B7997" w:rsidP="00542DFF">
      <w:pPr>
        <w:spacing w:before="240" w:line="276" w:lineRule="auto"/>
      </w:pPr>
    </w:p>
    <w:p w14:paraId="3D7C6D3A" w14:textId="77777777" w:rsidR="005B7997" w:rsidRDefault="005B7997">
      <w:r>
        <w:br w:type="page"/>
      </w:r>
    </w:p>
    <w:p w14:paraId="697725EE" w14:textId="1791A5AE" w:rsidR="005B7997" w:rsidRDefault="005B7997" w:rsidP="005B7997">
      <w:pPr>
        <w:pStyle w:val="Heading1"/>
        <w:rPr>
          <w:rFonts w:eastAsia="Times New Roman"/>
        </w:rPr>
      </w:pPr>
      <w:bookmarkStart w:id="386" w:name="_Toc77166708"/>
      <w:bookmarkStart w:id="387" w:name="_Toc78186523"/>
      <w:r>
        <w:lastRenderedPageBreak/>
        <w:t xml:space="preserve">Appendix 6: </w:t>
      </w:r>
      <w:r>
        <w:rPr>
          <w:rFonts w:eastAsia="Times New Roman"/>
        </w:rPr>
        <w:t>Acute Drug Harm Discretionary Fund agreed by Cabinet in 2018</w:t>
      </w:r>
      <w:bookmarkEnd w:id="386"/>
      <w:bookmarkEnd w:id="387"/>
    </w:p>
    <w:p w14:paraId="1AF70FD4"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 xml:space="preserve">In December 2018, Cabinet [CAB-18-MIN-0620 refers] approved a time-limited discretionary fund of $2.15 million per annum from 1 July 2018 to 30 June 2022 to support local surge responses to acute harm situations caused by synthetic drugs. </w:t>
      </w:r>
    </w:p>
    <w:p w14:paraId="1326EEDE"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This funding was part of a package of solutions implemented in response to the synthetic cannabinoid crisis which caused significant harm in New Zealand. Acute drug harm is defined as a subset of drug harm that is categorised by short-term harms, often geographically isolated, in response to emerging substances and/or adverse reactions to a particular drug. This can also include serious rapid-onset medical events.</w:t>
      </w:r>
    </w:p>
    <w:p w14:paraId="57A66CA0"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 xml:space="preserve">Based off the rapid escalation of the synthetic cannabinoid crisis, the Fund aims to provide urgent funding to support flexible and rapid responses, where need is identified (for example via increases in emergency department presentations).  The Fund was intended to support communities to address sudden or serious increases in synthetic-related acute drug harm, such as overdose, other medical incidents, or deaths. It is not intended in cases where chronic drug harm is occurring (ie, when dependency in the community is evident). </w:t>
      </w:r>
    </w:p>
    <w:p w14:paraId="26A215E3"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Cabinet agreed the Fund was to:</w:t>
      </w:r>
    </w:p>
    <w:p w14:paraId="332E5E30"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enhance the New Zealand Drug Foundation's work with drug-taking communities to develop and disseminate messaging</w:t>
      </w:r>
    </w:p>
    <w:p w14:paraId="14E01E2C"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provide primary prevention and local messaging, led by public health units or other community services/non-governmental organisations (NGOs), and informed by messages developed by the New Zealand Drug Foundation</w:t>
      </w:r>
    </w:p>
    <w:p w14:paraId="74F24371"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provide brief interventions, locally and/or within emergency departments for people presenting with synthetic drug-related harm, provided by district health boards (DHBs) or NGOs</w:t>
      </w:r>
    </w:p>
    <w:p w14:paraId="0D122E81"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support local, more mobile addiction treatment services, provided by DHBs and/or NGOs</w:t>
      </w:r>
    </w:p>
    <w:p w14:paraId="0D8EC66F"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provide social, employment and/or housing support, to enable people who have experienced harm to make a lasting change in their lives, following clinical intervention</w:t>
      </w:r>
    </w:p>
    <w:p w14:paraId="395F5350" w14:textId="77777777" w:rsidR="005B7997" w:rsidRPr="00637C21" w:rsidRDefault="005B7997" w:rsidP="00B603EC">
      <w:pPr>
        <w:pStyle w:val="ReportBody2-MOH"/>
        <w:numPr>
          <w:ilvl w:val="0"/>
          <w:numId w:val="24"/>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provide social managed withdrawal (including detoxification). Clinical experience shows that the detoxification period for synthetic drugs can be longer, and therefore places additional pressure on detoxification services.</w:t>
      </w:r>
    </w:p>
    <w:p w14:paraId="190BE660"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At present, the Fund is administered by the Ministry of Health and is intended to be readily accessible when needed.</w:t>
      </w:r>
    </w:p>
    <w:p w14:paraId="7891C132" w14:textId="77777777" w:rsidR="005B7997" w:rsidRPr="00637C21" w:rsidRDefault="005B7997" w:rsidP="005B7997">
      <w:pPr>
        <w:pStyle w:val="Heading2"/>
        <w:rPr>
          <w:rFonts w:asciiTheme="minorHAnsi" w:eastAsia="Times New Roman" w:hAnsiTheme="minorHAnsi" w:cstheme="minorBidi"/>
          <w:color w:val="auto"/>
          <w:sz w:val="22"/>
          <w:szCs w:val="22"/>
          <w:u w:val="single"/>
        </w:rPr>
      </w:pPr>
      <w:bookmarkStart w:id="388" w:name="_Toc76387215"/>
      <w:bookmarkStart w:id="389" w:name="_Toc77166709"/>
      <w:bookmarkStart w:id="390" w:name="_Toc78186524"/>
      <w:r w:rsidRPr="00637C21">
        <w:rPr>
          <w:rFonts w:asciiTheme="minorHAnsi" w:eastAsia="Times New Roman" w:hAnsiTheme="minorHAnsi" w:cstheme="minorBidi"/>
          <w:color w:val="auto"/>
          <w:sz w:val="22"/>
          <w:szCs w:val="22"/>
          <w:u w:val="single"/>
        </w:rPr>
        <w:t>Current State</w:t>
      </w:r>
      <w:bookmarkEnd w:id="388"/>
      <w:r w:rsidRPr="00637C21">
        <w:rPr>
          <w:rFonts w:asciiTheme="minorHAnsi" w:eastAsia="Times New Roman" w:hAnsiTheme="minorHAnsi" w:cstheme="minorBidi"/>
          <w:color w:val="auto"/>
          <w:sz w:val="22"/>
          <w:szCs w:val="22"/>
          <w:u w:val="single"/>
        </w:rPr>
        <w:t xml:space="preserve"> – as at 8 July 2021</w:t>
      </w:r>
      <w:bookmarkEnd w:id="389"/>
      <w:bookmarkEnd w:id="390"/>
    </w:p>
    <w:p w14:paraId="0AAD9095"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t xml:space="preserve">To date, $2.4 million in funding has been committed for a variety of responses. </w:t>
      </w:r>
      <w:bookmarkStart w:id="391" w:name="_Hlk77061972"/>
      <w:r w:rsidRPr="00637C21">
        <w:rPr>
          <w:rFonts w:asciiTheme="minorHAnsi" w:eastAsia="Times New Roman" w:hAnsiTheme="minorHAnsi" w:cstheme="minorBidi"/>
        </w:rPr>
        <w:t>Examples include:</w:t>
      </w:r>
    </w:p>
    <w:p w14:paraId="3F904985" w14:textId="77777777" w:rsidR="005B7997" w:rsidRPr="00637C21" w:rsidRDefault="005B7997" w:rsidP="00B603EC">
      <w:pPr>
        <w:pStyle w:val="ReportBody2-MOH"/>
        <w:numPr>
          <w:ilvl w:val="0"/>
          <w:numId w:val="25"/>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a crisis recovery café in central Auckland providing support to people using synthetic drugs and experiencing homelessness and mental health issues</w:t>
      </w:r>
    </w:p>
    <w:p w14:paraId="1D613F4C" w14:textId="77777777" w:rsidR="005B7997" w:rsidRPr="00637C21" w:rsidRDefault="005B7997" w:rsidP="00B603EC">
      <w:pPr>
        <w:pStyle w:val="ReportBody2-MOH"/>
        <w:numPr>
          <w:ilvl w:val="0"/>
          <w:numId w:val="25"/>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 xml:space="preserve">a Wellington-based multidisciplinary mobile crisis response team </w:t>
      </w:r>
    </w:p>
    <w:p w14:paraId="36C60121" w14:textId="77777777" w:rsidR="005B7997" w:rsidRPr="00637C21" w:rsidRDefault="005B7997" w:rsidP="00B603EC">
      <w:pPr>
        <w:pStyle w:val="ReportBody2-MOH"/>
        <w:numPr>
          <w:ilvl w:val="0"/>
          <w:numId w:val="25"/>
        </w:numPr>
        <w:spacing w:after="120"/>
        <w:ind w:left="993" w:hanging="284"/>
        <w:rPr>
          <w:rFonts w:asciiTheme="minorHAnsi" w:eastAsia="Times New Roman" w:hAnsiTheme="minorHAnsi" w:cstheme="minorBidi"/>
          <w:lang w:eastAsia="en-US"/>
        </w:rPr>
      </w:pPr>
      <w:r w:rsidRPr="00637C21">
        <w:rPr>
          <w:rFonts w:asciiTheme="minorHAnsi" w:eastAsia="Times New Roman" w:hAnsiTheme="minorHAnsi" w:cstheme="minorBidi"/>
          <w:lang w:eastAsia="en-US"/>
        </w:rPr>
        <w:t>a local outreach and drop-in service, offering AOD and peer support in Taranaki.</w:t>
      </w:r>
    </w:p>
    <w:bookmarkEnd w:id="391"/>
    <w:p w14:paraId="65262381" w14:textId="77777777" w:rsidR="005B7997" w:rsidRPr="00637C21" w:rsidRDefault="005B7997" w:rsidP="005B7997">
      <w:pPr>
        <w:pStyle w:val="ReportBody-MOH"/>
        <w:ind w:left="0" w:firstLine="0"/>
        <w:rPr>
          <w:rFonts w:asciiTheme="minorHAnsi" w:eastAsia="Times New Roman" w:hAnsiTheme="minorHAnsi" w:cstheme="minorBidi"/>
        </w:rPr>
      </w:pPr>
      <w:r w:rsidRPr="00637C21">
        <w:rPr>
          <w:rFonts w:asciiTheme="minorHAnsi" w:eastAsia="Times New Roman" w:hAnsiTheme="minorHAnsi" w:cstheme="minorBidi"/>
        </w:rPr>
        <w:lastRenderedPageBreak/>
        <w:t>The Fund has also supported an acute drug harm community of practice. This is a national network of over 200 people from a range of AOD and social organisations. This community of practice (coordinated by the New Zealand Drug Foundation) shares insights, trends, and innovative responses to reduce acute drug harm in their communities.</w:t>
      </w:r>
    </w:p>
    <w:p w14:paraId="032D07E0" w14:textId="2D37922F" w:rsidR="005B7997" w:rsidRDefault="005B7997" w:rsidP="005B7997">
      <w:pPr>
        <w:rPr>
          <w:rFonts w:eastAsia="Times New Roman"/>
        </w:rPr>
      </w:pPr>
      <w:r w:rsidRPr="00637C21">
        <w:rPr>
          <w:rFonts w:eastAsia="Times New Roman"/>
        </w:rPr>
        <w:t xml:space="preserve">More info here: </w:t>
      </w:r>
      <w:hyperlink r:id="rId40" w:history="1">
        <w:r w:rsidRPr="00637C21">
          <w:rPr>
            <w:rFonts w:eastAsia="Times New Roman"/>
          </w:rPr>
          <w:t>https://www.drugfoundation.org.nz/info/acute-drug-harm/community-of-practice/</w:t>
        </w:r>
      </w:hyperlink>
      <w:r w:rsidR="002E4592">
        <w:rPr>
          <w:rFonts w:eastAsia="Times New Roman"/>
        </w:rPr>
        <w:t xml:space="preserve"> </w:t>
      </w:r>
    </w:p>
    <w:p w14:paraId="3245721D" w14:textId="77777777" w:rsidR="002E4592" w:rsidRPr="00637C21" w:rsidRDefault="002E4592" w:rsidP="005B7997">
      <w:pPr>
        <w:rPr>
          <w:rFonts w:eastAsia="Times New Roman"/>
        </w:rPr>
      </w:pPr>
    </w:p>
    <w:p w14:paraId="7193C116" w14:textId="77777777" w:rsidR="005B7997" w:rsidRPr="00637C21" w:rsidRDefault="005B7997" w:rsidP="005B7997">
      <w:pPr>
        <w:rPr>
          <w:rFonts w:eastAsia="Times New Roman"/>
        </w:rPr>
      </w:pPr>
    </w:p>
    <w:p w14:paraId="57169499" w14:textId="77777777" w:rsidR="004C2E25" w:rsidRPr="004C2E25" w:rsidRDefault="004C2E25" w:rsidP="00542DFF">
      <w:pPr>
        <w:spacing w:before="240" w:line="276" w:lineRule="auto"/>
      </w:pPr>
    </w:p>
    <w:sectPr w:rsidR="004C2E25" w:rsidRPr="004C2E25" w:rsidSect="007D01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258A4" w14:textId="77777777" w:rsidR="00CC743A" w:rsidRDefault="00CC743A" w:rsidP="00E05683">
      <w:pPr>
        <w:spacing w:after="0" w:line="240" w:lineRule="auto"/>
      </w:pPr>
      <w:r>
        <w:separator/>
      </w:r>
    </w:p>
  </w:endnote>
  <w:endnote w:type="continuationSeparator" w:id="0">
    <w:p w14:paraId="31EB4C43" w14:textId="77777777" w:rsidR="00CC743A" w:rsidRDefault="00CC743A" w:rsidP="00E05683">
      <w:pPr>
        <w:spacing w:after="0" w:line="240" w:lineRule="auto"/>
      </w:pPr>
      <w:r>
        <w:continuationSeparator/>
      </w:r>
    </w:p>
  </w:endnote>
  <w:endnote w:type="continuationNotice" w:id="1">
    <w:p w14:paraId="760B8B63" w14:textId="77777777" w:rsidR="00CC743A" w:rsidRDefault="00CC7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ounders Grotes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827926"/>
      <w:docPartObj>
        <w:docPartGallery w:val="Page Numbers (Bottom of Page)"/>
        <w:docPartUnique/>
      </w:docPartObj>
    </w:sdtPr>
    <w:sdtEndPr>
      <w:rPr>
        <w:noProof/>
      </w:rPr>
    </w:sdtEndPr>
    <w:sdtContent>
      <w:p w14:paraId="56EBE0E6" w14:textId="05413D3B" w:rsidR="00F14026" w:rsidRDefault="00F140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A2E051" w14:textId="77777777" w:rsidR="00F14026" w:rsidRDefault="00F14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605126"/>
      <w:docPartObj>
        <w:docPartGallery w:val="Page Numbers (Bottom of Page)"/>
        <w:docPartUnique/>
      </w:docPartObj>
    </w:sdtPr>
    <w:sdtEndPr>
      <w:rPr>
        <w:noProof/>
      </w:rPr>
    </w:sdtEndPr>
    <w:sdtContent>
      <w:p w14:paraId="356E4AB0" w14:textId="5FA1E3E8" w:rsidR="00F14026" w:rsidRDefault="00F140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2CF99C" w14:textId="06CE5130" w:rsidR="00F14026" w:rsidRPr="00926B81" w:rsidRDefault="00F14026" w:rsidP="00926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C33DA" w14:textId="77777777" w:rsidR="00CC743A" w:rsidRDefault="00CC743A" w:rsidP="00E05683">
      <w:pPr>
        <w:spacing w:after="0" w:line="240" w:lineRule="auto"/>
      </w:pPr>
      <w:r>
        <w:separator/>
      </w:r>
    </w:p>
  </w:footnote>
  <w:footnote w:type="continuationSeparator" w:id="0">
    <w:p w14:paraId="3CC79676" w14:textId="77777777" w:rsidR="00CC743A" w:rsidRDefault="00CC743A" w:rsidP="00E05683">
      <w:pPr>
        <w:spacing w:after="0" w:line="240" w:lineRule="auto"/>
      </w:pPr>
      <w:r>
        <w:continuationSeparator/>
      </w:r>
    </w:p>
  </w:footnote>
  <w:footnote w:type="continuationNotice" w:id="1">
    <w:p w14:paraId="792FE771" w14:textId="77777777" w:rsidR="00CC743A" w:rsidRDefault="00CC743A">
      <w:pPr>
        <w:spacing w:after="0" w:line="240" w:lineRule="auto"/>
      </w:pPr>
    </w:p>
  </w:footnote>
  <w:footnote w:id="2">
    <w:p w14:paraId="2EDA4D4F" w14:textId="626EC8AD" w:rsidR="00F14026" w:rsidRDefault="00F14026" w:rsidP="0098627D">
      <w:pPr>
        <w:autoSpaceDE w:val="0"/>
        <w:autoSpaceDN w:val="0"/>
        <w:adjustRightInd w:val="0"/>
        <w:spacing w:after="0" w:line="240" w:lineRule="auto"/>
      </w:pPr>
      <w:r>
        <w:rPr>
          <w:rStyle w:val="FootnoteReference"/>
        </w:rPr>
        <w:footnoteRef/>
      </w:r>
      <w:r>
        <w:t xml:space="preserve"> </w:t>
      </w:r>
      <w:r w:rsidRPr="0098627D">
        <w:rPr>
          <w:rFonts w:ascii="Arial" w:hAnsi="Arial" w:cs="Arial"/>
          <w:sz w:val="16"/>
          <w:szCs w:val="16"/>
        </w:rPr>
        <w:t>Oakley Browne MA, Wells JE, Scott KM. 2006. Executive summary. In: MA Oakley</w:t>
      </w:r>
      <w:r>
        <w:rPr>
          <w:rFonts w:ascii="Arial" w:hAnsi="Arial" w:cs="Arial"/>
          <w:sz w:val="16"/>
          <w:szCs w:val="16"/>
        </w:rPr>
        <w:t xml:space="preserve"> </w:t>
      </w:r>
      <w:r w:rsidRPr="0098627D">
        <w:rPr>
          <w:rFonts w:ascii="Arial" w:hAnsi="Arial" w:cs="Arial"/>
          <w:sz w:val="16"/>
          <w:szCs w:val="16"/>
        </w:rPr>
        <w:t>Browne, JE Wells, KM Scott (eds). Te Rau Hinengaro: The New Zealand Mental Health</w:t>
      </w:r>
      <w:r>
        <w:rPr>
          <w:rFonts w:ascii="Arial" w:hAnsi="Arial" w:cs="Arial"/>
          <w:sz w:val="16"/>
          <w:szCs w:val="16"/>
        </w:rPr>
        <w:t xml:space="preserve"> </w:t>
      </w:r>
      <w:r w:rsidRPr="0098627D">
        <w:rPr>
          <w:rFonts w:ascii="Arial" w:hAnsi="Arial" w:cs="Arial"/>
          <w:sz w:val="16"/>
          <w:szCs w:val="16"/>
        </w:rPr>
        <w:t>Survey. Wellington: Ministry of Health.</w:t>
      </w:r>
    </w:p>
  </w:footnote>
  <w:footnote w:id="3">
    <w:p w14:paraId="7E5D726F" w14:textId="77777777" w:rsidR="00F14026" w:rsidRDefault="00F14026" w:rsidP="0080439D">
      <w:pPr>
        <w:pStyle w:val="FootnoteText"/>
      </w:pPr>
      <w:r>
        <w:rPr>
          <w:rStyle w:val="FootnoteReference"/>
        </w:rPr>
        <w:footnoteRef/>
      </w:r>
      <w:r>
        <w:t xml:space="preserve"> </w:t>
      </w:r>
      <w:r w:rsidRPr="00432CDA">
        <w:rPr>
          <w:rFonts w:ascii="Arial" w:hAnsi="Arial" w:cs="Arial"/>
          <w:sz w:val="16"/>
          <w:szCs w:val="16"/>
        </w:rPr>
        <w:t>Contact numbers do not include where individuals have terminated calls early.</w:t>
      </w:r>
    </w:p>
  </w:footnote>
  <w:footnote w:id="4">
    <w:p w14:paraId="71F423CF" w14:textId="77777777" w:rsidR="00F14026" w:rsidRPr="00432CDA" w:rsidRDefault="00F14026" w:rsidP="008204E5">
      <w:pPr>
        <w:pStyle w:val="FootnoteText"/>
        <w:rPr>
          <w:rFonts w:ascii="Arial" w:hAnsi="Arial" w:cs="Arial"/>
        </w:rPr>
      </w:pPr>
      <w:r>
        <w:rPr>
          <w:rStyle w:val="FootnoteReference"/>
        </w:rPr>
        <w:footnoteRef/>
      </w:r>
      <w:r>
        <w:t xml:space="preserve"> </w:t>
      </w:r>
      <w:r w:rsidRPr="00432CDA">
        <w:rPr>
          <w:rFonts w:ascii="Arial" w:hAnsi="Arial" w:cs="Arial"/>
          <w:sz w:val="16"/>
          <w:szCs w:val="16"/>
        </w:rPr>
        <w:t>Section 2 MoDA</w:t>
      </w:r>
      <w:r w:rsidRPr="00432CDA">
        <w:rPr>
          <w:rFonts w:ascii="Arial" w:eastAsia="Times New Roman" w:hAnsi="Arial" w:cs="Arial"/>
          <w:sz w:val="16"/>
          <w:szCs w:val="16"/>
          <w:lang w:eastAsia="en-NZ"/>
        </w:rPr>
        <w:t>.</w:t>
      </w:r>
      <w:r w:rsidRPr="00432CDA">
        <w:rPr>
          <w:rFonts w:ascii="Arial" w:eastAsia="Times New Roman" w:hAnsi="Arial" w:cs="Arial"/>
          <w:lang w:eastAsia="en-NZ"/>
        </w:rPr>
        <w:t xml:space="preserve"> </w:t>
      </w:r>
    </w:p>
  </w:footnote>
  <w:footnote w:id="5">
    <w:p w14:paraId="52FA7438" w14:textId="2ABA7703" w:rsidR="00F14026" w:rsidRPr="00432CDA" w:rsidRDefault="00F14026" w:rsidP="0094417A">
      <w:pPr>
        <w:rPr>
          <w:rFonts w:ascii="Arial" w:hAnsi="Arial" w:cs="Arial"/>
          <w:sz w:val="16"/>
          <w:szCs w:val="16"/>
        </w:rPr>
      </w:pPr>
      <w:r>
        <w:rPr>
          <w:rStyle w:val="FootnoteReference"/>
        </w:rPr>
        <w:footnoteRef/>
      </w:r>
      <w:r>
        <w:t xml:space="preserve"> </w:t>
      </w:r>
      <w:r w:rsidRPr="00432CDA">
        <w:rPr>
          <w:rFonts w:ascii="Arial" w:hAnsi="Arial" w:cs="Arial"/>
          <w:sz w:val="16"/>
          <w:szCs w:val="16"/>
        </w:rPr>
        <w:t xml:space="preserve">Closed cases have a cause of death that has been determined by a coroner, and a finding or certificate issued.  The data is indicative as not all deaths are investigated by the coroner.  There is also a time lag between when a death happens and when the Coroner’s Inquiry is completed.  The data was extracted from the Ministry of Justice’s case management system on 24 May 2021.  Cases are included based on the date the case was notified to the coroner, which can differ from the date of death. </w:t>
      </w:r>
    </w:p>
  </w:footnote>
  <w:footnote w:id="6">
    <w:p w14:paraId="6D4979A2" w14:textId="73005200" w:rsidR="00F14026" w:rsidRPr="00432CDA" w:rsidRDefault="00F14026" w:rsidP="008204E5">
      <w:pPr>
        <w:rPr>
          <w:rFonts w:ascii="Arial" w:hAnsi="Arial" w:cs="Arial"/>
          <w:i/>
          <w:iCs/>
          <w:sz w:val="16"/>
          <w:szCs w:val="16"/>
        </w:rPr>
      </w:pPr>
      <w:r>
        <w:rPr>
          <w:rStyle w:val="FootnoteReference"/>
        </w:rPr>
        <w:footnoteRef/>
      </w:r>
      <w:r>
        <w:t xml:space="preserve"> </w:t>
      </w:r>
      <w:r w:rsidRPr="00432CDA">
        <w:rPr>
          <w:rFonts w:ascii="Arial" w:hAnsi="Arial" w:cs="Arial"/>
          <w:sz w:val="16"/>
          <w:szCs w:val="16"/>
        </w:rPr>
        <w:t xml:space="preserve">The National Minimum Data Set is a national collection of public and private hospital discharge information, including clinical information, for inpatients and day patients. The National Drug Investigation Bureau is provided with alcohol and other drug National Minimum Data Sets each quarter. This data includes encrypted NHI numbers, age, gender, ethnicity, DHB of domicile, domicile code, length of stay, facility code, agency code, and diagnosis. Every record must have a valid NHI number.  Only instances where the patient was treated for three hours or more are recorded. </w:t>
      </w:r>
      <w:r w:rsidRPr="00432CDA">
        <w:rPr>
          <w:rFonts w:ascii="Arial" w:hAnsi="Arial" w:cs="Arial"/>
          <w:b/>
          <w:bCs/>
          <w:sz w:val="16"/>
          <w:szCs w:val="16"/>
        </w:rPr>
        <w:t>It therefore does not necessarily include emergency department admissions</w:t>
      </w:r>
      <w:r w:rsidRPr="00432CDA">
        <w:rPr>
          <w:rFonts w:ascii="Arial" w:hAnsi="Arial" w:cs="Arial"/>
          <w:i/>
          <w:iCs/>
          <w:sz w:val="16"/>
          <w:szCs w:val="16"/>
        </w:rPr>
        <w:t>.</w:t>
      </w:r>
    </w:p>
  </w:footnote>
  <w:footnote w:id="7">
    <w:p w14:paraId="36CC2E45" w14:textId="77777777" w:rsidR="00F14026" w:rsidRPr="00432CDA" w:rsidRDefault="00F14026" w:rsidP="008204E5">
      <w:pPr>
        <w:rPr>
          <w:rFonts w:ascii="Arial" w:hAnsi="Arial" w:cs="Arial"/>
          <w:sz w:val="20"/>
          <w:szCs w:val="20"/>
        </w:rPr>
      </w:pPr>
      <w:r w:rsidRPr="00432CDA">
        <w:rPr>
          <w:rStyle w:val="FootnoteReference"/>
          <w:rFonts w:ascii="Arial" w:hAnsi="Arial" w:cs="Arial"/>
        </w:rPr>
        <w:footnoteRef/>
      </w:r>
      <w:r w:rsidRPr="00432CDA">
        <w:rPr>
          <w:rFonts w:ascii="Arial" w:hAnsi="Arial" w:cs="Arial"/>
        </w:rPr>
        <w:t xml:space="preserve"> </w:t>
      </w:r>
      <w:r w:rsidRPr="00432CDA">
        <w:rPr>
          <w:rFonts w:ascii="Arial" w:hAnsi="Arial" w:cs="Arial"/>
          <w:sz w:val="16"/>
          <w:szCs w:val="16"/>
        </w:rPr>
        <w:t>The principal diagnosis (refer to ACS 0001 p10) is defined as the diagnosis established after study, to be chiefly responsible for occasioning an episode of admitted patient care, an episode of residential care or attendance at the healthcare establishment, as represented by a code.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w:t>
      </w:r>
      <w:r w:rsidRPr="00432CDA">
        <w:rPr>
          <w:rFonts w:ascii="Arial" w:hAnsi="Arial" w:cs="Arial"/>
          <w:sz w:val="20"/>
          <w:szCs w:val="20"/>
        </w:rPr>
        <w:t>.</w:t>
      </w:r>
    </w:p>
  </w:footnote>
  <w:footnote w:id="8">
    <w:p w14:paraId="5217CEA1" w14:textId="78B11F95" w:rsidR="00F14026" w:rsidRPr="00432CDA" w:rsidRDefault="00F14026" w:rsidP="008204E5">
      <w:pPr>
        <w:pStyle w:val="FootnoteText"/>
        <w:rPr>
          <w:rFonts w:ascii="Arial" w:hAnsi="Arial" w:cs="Arial"/>
          <w:sz w:val="16"/>
          <w:szCs w:val="16"/>
        </w:rPr>
      </w:pPr>
      <w:r>
        <w:rPr>
          <w:rStyle w:val="FootnoteReference"/>
        </w:rPr>
        <w:footnoteRef/>
      </w:r>
      <w:r>
        <w:t xml:space="preserve"> </w:t>
      </w:r>
      <w:hyperlink r:id="rId1" w:history="1">
        <w:r w:rsidRPr="00A34FF9">
          <w:rPr>
            <w:rStyle w:val="Hyperlink"/>
            <w:rFonts w:ascii="Arial" w:hAnsi="Arial" w:cs="Arial"/>
            <w:sz w:val="16"/>
            <w:szCs w:val="16"/>
          </w:rPr>
          <w:t>https://www.drugfoundation.org.nz/assets/uploads/Synthetic-cannabinoid-crisis-insights-and-recommendations-Dec-2018-2.pdf</w:t>
        </w:r>
      </w:hyperlink>
      <w:r>
        <w:rPr>
          <w:rFonts w:ascii="Arial" w:hAnsi="Arial" w:cs="Arial"/>
          <w:sz w:val="16"/>
          <w:szCs w:val="16"/>
        </w:rPr>
        <w:t xml:space="preserve"> </w:t>
      </w:r>
    </w:p>
    <w:p w14:paraId="765ECDDA" w14:textId="77777777" w:rsidR="00F14026" w:rsidRPr="00432CDA" w:rsidRDefault="00F14026" w:rsidP="008204E5">
      <w:pPr>
        <w:pStyle w:val="FootnoteText"/>
        <w:rPr>
          <w:sz w:val="16"/>
          <w:szCs w:val="16"/>
        </w:rPr>
      </w:pPr>
    </w:p>
  </w:footnote>
  <w:footnote w:id="9">
    <w:p w14:paraId="2983EA35" w14:textId="277D90D9" w:rsidR="00F14026" w:rsidRPr="00432CDA" w:rsidRDefault="00F14026">
      <w:pPr>
        <w:pStyle w:val="FootnoteText"/>
        <w:rPr>
          <w:rFonts w:ascii="Arial" w:hAnsi="Arial" w:cs="Arial"/>
          <w:sz w:val="16"/>
          <w:szCs w:val="16"/>
        </w:rPr>
      </w:pPr>
      <w:r>
        <w:rPr>
          <w:rStyle w:val="FootnoteReference"/>
        </w:rPr>
        <w:footnoteRef/>
      </w:r>
      <w:r>
        <w:t xml:space="preserve"> </w:t>
      </w:r>
      <w:r w:rsidRPr="00432CDA">
        <w:rPr>
          <w:rFonts w:ascii="Arial" w:hAnsi="Arial" w:cs="Arial"/>
          <w:sz w:val="16"/>
          <w:szCs w:val="16"/>
        </w:rPr>
        <w:t>This graph depicts the raw ingredient (the cannabinoid powder) which is the way it is imported into New Zealand. It is very rare for police to detect this format of the drug so most seizure data is from Customs.</w:t>
      </w:r>
    </w:p>
  </w:footnote>
  <w:footnote w:id="10">
    <w:p w14:paraId="25C7D91A" w14:textId="66DE3AAC" w:rsidR="00F14026" w:rsidRPr="00432CDA" w:rsidRDefault="00F14026" w:rsidP="00444147">
      <w:pPr>
        <w:pStyle w:val="CommentText"/>
        <w:rPr>
          <w:rFonts w:ascii="Arial" w:hAnsi="Arial" w:cs="Arial"/>
          <w:sz w:val="16"/>
          <w:szCs w:val="16"/>
        </w:rPr>
      </w:pPr>
      <w:r w:rsidRPr="00432CDA">
        <w:rPr>
          <w:rStyle w:val="FootnoteReference"/>
          <w:rFonts w:ascii="Arial" w:hAnsi="Arial" w:cs="Arial"/>
          <w:sz w:val="16"/>
          <w:szCs w:val="16"/>
        </w:rPr>
        <w:footnoteRef/>
      </w:r>
      <w:r w:rsidRPr="00432CDA">
        <w:rPr>
          <w:rFonts w:ascii="Arial" w:hAnsi="Arial" w:cs="Arial"/>
          <w:sz w:val="16"/>
          <w:szCs w:val="16"/>
        </w:rPr>
        <w:t xml:space="preserve"> Customs are unlikely to find the finished product (cannabinoid applied to a leaf material) because it is usually manufactured in New Zealand from imported powder and leaf material so most seizure data is from Police.</w:t>
      </w:r>
    </w:p>
    <w:p w14:paraId="2CCD0617" w14:textId="7EE08EE3" w:rsidR="00F14026" w:rsidRDefault="00F14026">
      <w:pPr>
        <w:pStyle w:val="FootnoteText"/>
      </w:pPr>
    </w:p>
  </w:footnote>
  <w:footnote w:id="11">
    <w:p w14:paraId="67F86A3F" w14:textId="77777777" w:rsidR="00F14026" w:rsidRDefault="00F14026" w:rsidP="00550EB6">
      <w:pPr>
        <w:pStyle w:val="FootnoteText"/>
      </w:pPr>
      <w:r>
        <w:rPr>
          <w:rStyle w:val="FootnoteReference"/>
        </w:rPr>
        <w:footnoteRef/>
      </w:r>
      <w:r>
        <w:t xml:space="preserve"> </w:t>
      </w:r>
      <w:r w:rsidRPr="00432CDA">
        <w:rPr>
          <w:rFonts w:ascii="Arial" w:hAnsi="Arial" w:cs="Arial"/>
          <w:sz w:val="16"/>
          <w:szCs w:val="16"/>
        </w:rPr>
        <w:t>S. 4C(3) MoDA</w:t>
      </w:r>
    </w:p>
  </w:footnote>
  <w:footnote w:id="12">
    <w:p w14:paraId="43D76D78" w14:textId="77777777" w:rsidR="00F14026" w:rsidRPr="002E4592" w:rsidRDefault="00F14026" w:rsidP="0070314A">
      <w:pPr>
        <w:rPr>
          <w:rFonts w:ascii="Arial" w:hAnsi="Arial" w:cs="Arial"/>
          <w:sz w:val="16"/>
          <w:szCs w:val="16"/>
        </w:rPr>
      </w:pPr>
      <w:r>
        <w:rPr>
          <w:rStyle w:val="FootnoteReference"/>
        </w:rPr>
        <w:footnoteRef/>
      </w:r>
      <w:r>
        <w:t xml:space="preserve"> </w:t>
      </w:r>
      <w:r w:rsidRPr="002E4592">
        <w:rPr>
          <w:rFonts w:ascii="Arial" w:hAnsi="Arial" w:cs="Arial"/>
          <w:sz w:val="16"/>
          <w:szCs w:val="16"/>
        </w:rPr>
        <w:t>Stimulants are substances that speed up body functions increasing alertness, euphoria and confidence while reducing inhibitions. High doses of stimulants can result in elevated body temperature and blood pressure, confusion, seizures and in some cases death (from toxicity or stress on the body).</w:t>
      </w:r>
    </w:p>
  </w:footnote>
  <w:footnote w:id="13">
    <w:p w14:paraId="3A8F7999" w14:textId="77777777" w:rsidR="00F14026" w:rsidRPr="002E4592" w:rsidRDefault="00F14026" w:rsidP="0070314A">
      <w:pPr>
        <w:pStyle w:val="FootnoteText"/>
        <w:rPr>
          <w:rFonts w:ascii="Arial" w:hAnsi="Arial" w:cs="Arial"/>
          <w:sz w:val="16"/>
          <w:szCs w:val="16"/>
        </w:rPr>
      </w:pPr>
      <w:r w:rsidRPr="002E4592">
        <w:rPr>
          <w:rStyle w:val="FootnoteReference"/>
          <w:rFonts w:ascii="Arial" w:hAnsi="Arial" w:cs="Arial"/>
          <w:sz w:val="16"/>
          <w:szCs w:val="16"/>
        </w:rPr>
        <w:footnoteRef/>
      </w:r>
      <w:r w:rsidRPr="002E4592">
        <w:rPr>
          <w:rFonts w:ascii="Arial" w:hAnsi="Arial" w:cs="Arial"/>
          <w:sz w:val="16"/>
          <w:szCs w:val="16"/>
        </w:rPr>
        <w:t xml:space="preserve"> Depressants are substances that depress the central nervous system and slow down body functions. High doses of depressants or using multiple depressants within a period of time (including alcohol and medications) can result in respiratory depression, unconsciousness and death.</w:t>
      </w:r>
    </w:p>
  </w:footnote>
  <w:footnote w:id="14">
    <w:p w14:paraId="73C6D6BB" w14:textId="77777777" w:rsidR="00F14026" w:rsidRPr="002E4592" w:rsidRDefault="00F14026" w:rsidP="0070314A">
      <w:pPr>
        <w:rPr>
          <w:rFonts w:ascii="Arial" w:hAnsi="Arial" w:cs="Arial"/>
          <w:sz w:val="16"/>
          <w:szCs w:val="16"/>
        </w:rPr>
      </w:pPr>
      <w:r w:rsidRPr="002E4592">
        <w:rPr>
          <w:rStyle w:val="FootnoteReference"/>
          <w:rFonts w:ascii="Arial" w:hAnsi="Arial" w:cs="Arial"/>
          <w:sz w:val="16"/>
          <w:szCs w:val="16"/>
        </w:rPr>
        <w:footnoteRef/>
      </w:r>
      <w:r w:rsidRPr="002E4592">
        <w:rPr>
          <w:rFonts w:ascii="Arial" w:hAnsi="Arial" w:cs="Arial"/>
          <w:sz w:val="16"/>
          <w:szCs w:val="16"/>
        </w:rPr>
        <w:t xml:space="preserve"> Stimulants are substances that speed up body functions increasing alertness, euphoria and confidence while reducing inhibitions. High doses of stimulants can result in elevated body temperature and blood pressure, confusion, seizures and in some cases death (from toxicity or stress on the body).</w:t>
      </w:r>
    </w:p>
  </w:footnote>
  <w:footnote w:id="15">
    <w:p w14:paraId="2E28C9FB" w14:textId="77777777" w:rsidR="00F14026" w:rsidRPr="002E4592" w:rsidRDefault="00F14026" w:rsidP="0070314A">
      <w:pPr>
        <w:pStyle w:val="FootnoteText"/>
        <w:rPr>
          <w:rFonts w:ascii="Arial" w:hAnsi="Arial" w:cs="Arial"/>
          <w:sz w:val="16"/>
          <w:szCs w:val="16"/>
        </w:rPr>
      </w:pPr>
      <w:r>
        <w:rPr>
          <w:rStyle w:val="FootnoteReference"/>
        </w:rPr>
        <w:footnoteRef/>
      </w:r>
      <w:r>
        <w:t xml:space="preserve"> </w:t>
      </w:r>
      <w:r w:rsidRPr="002E4592">
        <w:rPr>
          <w:rFonts w:ascii="Arial" w:hAnsi="Arial" w:cs="Arial"/>
          <w:sz w:val="16"/>
          <w:szCs w:val="16"/>
        </w:rPr>
        <w:t>Stimulants are substances that speed up body functions increasing alertness, euphoria and confidence while reducing inhibitions. High doses of stimulants can result in elevated body temperature and blood pressure, confusion, seizures and in some cases death (from toxicity or stress on the body).</w:t>
      </w:r>
    </w:p>
  </w:footnote>
  <w:footnote w:id="16">
    <w:p w14:paraId="1D9079C2" w14:textId="5D5F3890" w:rsidR="00F14026" w:rsidRDefault="00F14026">
      <w:pPr>
        <w:pStyle w:val="FootnoteText"/>
      </w:pPr>
      <w:r>
        <w:rPr>
          <w:rStyle w:val="FootnoteReference"/>
        </w:rPr>
        <w:footnoteRef/>
      </w:r>
      <w:r>
        <w:t xml:space="preserve"> </w:t>
      </w:r>
      <w:r w:rsidRPr="002E4592">
        <w:rPr>
          <w:rFonts w:ascii="Arial" w:hAnsi="Arial" w:cs="Arial"/>
          <w:sz w:val="16"/>
          <w:szCs w:val="16"/>
        </w:rPr>
        <w:t>Depressants are substances that depress the central nervous system and slow down body functions. High doses of depressants or using multiple depressants within a period of time (including alcohol and medications) can result in respiratory depression, unconsciousness and death.</w:t>
      </w:r>
    </w:p>
  </w:footnote>
  <w:footnote w:id="17">
    <w:p w14:paraId="6DD97A5F" w14:textId="77777777" w:rsidR="00F14026" w:rsidRPr="002E4592" w:rsidRDefault="00F14026" w:rsidP="0070314A">
      <w:pPr>
        <w:pStyle w:val="FootnoteText"/>
        <w:rPr>
          <w:rFonts w:ascii="Arial" w:hAnsi="Arial" w:cs="Arial"/>
          <w:sz w:val="16"/>
          <w:szCs w:val="16"/>
        </w:rPr>
      </w:pPr>
      <w:r w:rsidRPr="002E4592">
        <w:rPr>
          <w:rStyle w:val="FootnoteReference"/>
          <w:rFonts w:ascii="Arial" w:hAnsi="Arial" w:cs="Arial"/>
          <w:sz w:val="16"/>
          <w:szCs w:val="16"/>
        </w:rPr>
        <w:footnoteRef/>
      </w:r>
      <w:r w:rsidRPr="002E4592">
        <w:rPr>
          <w:rFonts w:ascii="Arial" w:hAnsi="Arial" w:cs="Arial"/>
          <w:sz w:val="16"/>
          <w:szCs w:val="16"/>
        </w:rPr>
        <w:t xml:space="preserve"> Stimulants are substances that speed up body functions increasing alertness, euphoria and confidence while reducing inhibitions. High doses of stimulants can result in elevated body temperature and blood pressure, confusion, seizures and in some cases death (from toxicity or stress on the body).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6986"/>
    <w:multiLevelType w:val="hybridMultilevel"/>
    <w:tmpl w:val="11288E9E"/>
    <w:lvl w:ilvl="0" w:tplc="1409000F">
      <w:start w:val="1"/>
      <w:numFmt w:val="decimal"/>
      <w:lvlText w:val="%1."/>
      <w:lvlJc w:val="left"/>
      <w:pPr>
        <w:ind w:left="720" w:hanging="360"/>
      </w:pPr>
    </w:lvl>
    <w:lvl w:ilvl="1" w:tplc="D0E44688">
      <w:start w:val="1"/>
      <w:numFmt w:val="bullet"/>
      <w:pStyle w:val="bulletpoints"/>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D9B1A27"/>
    <w:multiLevelType w:val="hybridMultilevel"/>
    <w:tmpl w:val="4F726132"/>
    <w:lvl w:ilvl="0" w:tplc="14090001">
      <w:start w:val="1"/>
      <w:numFmt w:val="bullet"/>
      <w:lvlText w:val=""/>
      <w:lvlJc w:val="left"/>
      <w:pPr>
        <w:ind w:left="1571" w:hanging="360"/>
      </w:pPr>
      <w:rPr>
        <w:rFonts w:ascii="Symbol" w:hAnsi="Symbol" w:hint="default"/>
      </w:rPr>
    </w:lvl>
    <w:lvl w:ilvl="1" w:tplc="14090019">
      <w:start w:val="1"/>
      <w:numFmt w:val="lowerLetter"/>
      <w:lvlText w:val="%2."/>
      <w:lvlJc w:val="left"/>
      <w:pPr>
        <w:ind w:left="2291" w:hanging="360"/>
      </w:pPr>
    </w:lvl>
    <w:lvl w:ilvl="2" w:tplc="1409001B">
      <w:start w:val="1"/>
      <w:numFmt w:val="lowerRoman"/>
      <w:lvlText w:val="%3."/>
      <w:lvlJc w:val="right"/>
      <w:pPr>
        <w:ind w:left="3011" w:hanging="180"/>
      </w:pPr>
    </w:lvl>
    <w:lvl w:ilvl="3" w:tplc="1409000F">
      <w:start w:val="1"/>
      <w:numFmt w:val="decimal"/>
      <w:lvlText w:val="%4."/>
      <w:lvlJc w:val="left"/>
      <w:pPr>
        <w:ind w:left="3731" w:hanging="360"/>
      </w:pPr>
    </w:lvl>
    <w:lvl w:ilvl="4" w:tplc="14090019">
      <w:start w:val="1"/>
      <w:numFmt w:val="lowerLetter"/>
      <w:lvlText w:val="%5."/>
      <w:lvlJc w:val="left"/>
      <w:pPr>
        <w:ind w:left="4451" w:hanging="360"/>
      </w:pPr>
    </w:lvl>
    <w:lvl w:ilvl="5" w:tplc="1409001B">
      <w:start w:val="1"/>
      <w:numFmt w:val="lowerRoman"/>
      <w:lvlText w:val="%6."/>
      <w:lvlJc w:val="right"/>
      <w:pPr>
        <w:ind w:left="5171" w:hanging="180"/>
      </w:pPr>
    </w:lvl>
    <w:lvl w:ilvl="6" w:tplc="1409000F">
      <w:start w:val="1"/>
      <w:numFmt w:val="decimal"/>
      <w:lvlText w:val="%7."/>
      <w:lvlJc w:val="left"/>
      <w:pPr>
        <w:ind w:left="5891" w:hanging="360"/>
      </w:pPr>
    </w:lvl>
    <w:lvl w:ilvl="7" w:tplc="14090019">
      <w:start w:val="1"/>
      <w:numFmt w:val="lowerLetter"/>
      <w:lvlText w:val="%8."/>
      <w:lvlJc w:val="left"/>
      <w:pPr>
        <w:ind w:left="6611" w:hanging="360"/>
      </w:pPr>
    </w:lvl>
    <w:lvl w:ilvl="8" w:tplc="1409001B">
      <w:start w:val="1"/>
      <w:numFmt w:val="lowerRoman"/>
      <w:lvlText w:val="%9."/>
      <w:lvlJc w:val="right"/>
      <w:pPr>
        <w:ind w:left="7331" w:hanging="180"/>
      </w:pPr>
    </w:lvl>
  </w:abstractNum>
  <w:abstractNum w:abstractNumId="2" w15:restartNumberingAfterBreak="0">
    <w:nsid w:val="0DF76853"/>
    <w:multiLevelType w:val="hybridMultilevel"/>
    <w:tmpl w:val="0CA8C69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3" w15:restartNumberingAfterBreak="0">
    <w:nsid w:val="0F527283"/>
    <w:multiLevelType w:val="hybridMultilevel"/>
    <w:tmpl w:val="B76AF3D4"/>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 w15:restartNumberingAfterBreak="0">
    <w:nsid w:val="108A43C0"/>
    <w:multiLevelType w:val="hybridMultilevel"/>
    <w:tmpl w:val="8FB0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15600B"/>
    <w:multiLevelType w:val="hybridMultilevel"/>
    <w:tmpl w:val="C192A2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12753569"/>
    <w:multiLevelType w:val="hybridMultilevel"/>
    <w:tmpl w:val="979A8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9092791"/>
    <w:multiLevelType w:val="hybridMultilevel"/>
    <w:tmpl w:val="03C02B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5F72C0C"/>
    <w:multiLevelType w:val="hybridMultilevel"/>
    <w:tmpl w:val="3126EF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732742D"/>
    <w:multiLevelType w:val="hybridMultilevel"/>
    <w:tmpl w:val="5F94284E"/>
    <w:lvl w:ilvl="0" w:tplc="90D013B0">
      <w:start w:val="1"/>
      <w:numFmt w:val="decimal"/>
      <w:pStyle w:val="Style1"/>
      <w:lvlText w:val="%1."/>
      <w:lvlJc w:val="left"/>
      <w:pPr>
        <w:ind w:left="502" w:hanging="360"/>
      </w:pPr>
      <w:rPr>
        <w:rFonts w:ascii="Arial" w:hAnsi="Arial" w:cs="Arial" w:hint="default"/>
        <w:b w:val="0"/>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2E8C744C"/>
    <w:multiLevelType w:val="hybridMultilevel"/>
    <w:tmpl w:val="2048A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74597C"/>
    <w:multiLevelType w:val="multilevel"/>
    <w:tmpl w:val="6F6619B2"/>
    <w:lvl w:ilvl="0">
      <w:start w:val="1"/>
      <w:numFmt w:val="decimal"/>
      <w:pStyle w:val="NumberedParagraphs-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lvl>
    <w:lvl w:ilvl="2">
      <w:start w:val="1"/>
      <w:numFmt w:val="decimal"/>
      <w:pStyle w:val="SecondLevelBullets-MOH"/>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2" w15:restartNumberingAfterBreak="0">
    <w:nsid w:val="31AC5BCC"/>
    <w:multiLevelType w:val="multilevel"/>
    <w:tmpl w:val="B33C8C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3" w15:restartNumberingAfterBreak="0">
    <w:nsid w:val="3BA7427F"/>
    <w:multiLevelType w:val="hybridMultilevel"/>
    <w:tmpl w:val="7BDC3F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CAB22B2"/>
    <w:multiLevelType w:val="hybridMultilevel"/>
    <w:tmpl w:val="7678648C"/>
    <w:lvl w:ilvl="0" w:tplc="7BC26732">
      <w:start w:val="21"/>
      <w:numFmt w:val="bullet"/>
      <w:lvlText w:val="-"/>
      <w:lvlJc w:val="left"/>
      <w:pPr>
        <w:ind w:left="720" w:hanging="360"/>
      </w:pPr>
      <w:rPr>
        <w:rFonts w:ascii="Calibri" w:eastAsia="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413F5F9A"/>
    <w:multiLevelType w:val="hybridMultilevel"/>
    <w:tmpl w:val="A2562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463881"/>
    <w:multiLevelType w:val="hybridMultilevel"/>
    <w:tmpl w:val="AC1AF5FA"/>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17" w15:restartNumberingAfterBreak="0">
    <w:nsid w:val="438E68F8"/>
    <w:multiLevelType w:val="hybridMultilevel"/>
    <w:tmpl w:val="849E2EC0"/>
    <w:lvl w:ilvl="0" w:tplc="14090019">
      <w:start w:val="1"/>
      <w:numFmt w:val="lowerLetter"/>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4D0202AD"/>
    <w:multiLevelType w:val="hybridMultilevel"/>
    <w:tmpl w:val="BBE82F72"/>
    <w:lvl w:ilvl="0" w:tplc="1409000F">
      <w:start w:val="1"/>
      <w:numFmt w:val="decimal"/>
      <w:lvlText w:val="%1."/>
      <w:lvlJc w:val="left"/>
      <w:pPr>
        <w:ind w:left="720" w:hanging="360"/>
      </w:pPr>
    </w:lvl>
    <w:lvl w:ilvl="1" w:tplc="D0E44688">
      <w:start w:val="1"/>
      <w:numFmt w:val="bullet"/>
      <w:lvlText w:val=""/>
      <w:lvlJc w:val="left"/>
      <w:pPr>
        <w:ind w:left="1440" w:hanging="360"/>
      </w:pPr>
      <w:rPr>
        <w:rFonts w:ascii="Symbol" w:hAnsi="Symbol" w:hint="default"/>
      </w:rPr>
    </w:lvl>
    <w:lvl w:ilvl="2" w:tplc="14090003">
      <w:start w:val="1"/>
      <w:numFmt w:val="bullet"/>
      <w:lvlText w:val="o"/>
      <w:lvlJc w:val="left"/>
      <w:pPr>
        <w:ind w:left="2160" w:hanging="180"/>
      </w:pPr>
      <w:rPr>
        <w:rFonts w:ascii="Courier New" w:hAnsi="Courier New" w:cs="Courier New" w:hint="default"/>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7E3F36"/>
    <w:multiLevelType w:val="hybridMultilevel"/>
    <w:tmpl w:val="94669A48"/>
    <w:lvl w:ilvl="0" w:tplc="14090001">
      <w:start w:val="1"/>
      <w:numFmt w:val="bullet"/>
      <w:lvlText w:val=""/>
      <w:lvlJc w:val="left"/>
      <w:pPr>
        <w:ind w:left="1485" w:hanging="360"/>
      </w:pPr>
      <w:rPr>
        <w:rFonts w:ascii="Symbol" w:hAnsi="Symbol"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20" w15:restartNumberingAfterBreak="0">
    <w:nsid w:val="51CD770C"/>
    <w:multiLevelType w:val="hybridMultilevel"/>
    <w:tmpl w:val="F3A6D2F0"/>
    <w:lvl w:ilvl="0" w:tplc="B7FA9DA0">
      <w:start w:val="1"/>
      <w:numFmt w:val="decimal"/>
      <w:lvlText w:val="%1."/>
      <w:lvlJc w:val="left"/>
      <w:pPr>
        <w:ind w:left="720" w:hanging="360"/>
      </w:pPr>
      <w:rPr>
        <w:b w:val="0"/>
        <w:b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F882772"/>
    <w:multiLevelType w:val="hybridMultilevel"/>
    <w:tmpl w:val="849E2EC0"/>
    <w:lvl w:ilvl="0" w:tplc="14090019">
      <w:start w:val="1"/>
      <w:numFmt w:val="lowerLetter"/>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635801AE"/>
    <w:multiLevelType w:val="hybridMultilevel"/>
    <w:tmpl w:val="551452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63CA0B4B"/>
    <w:multiLevelType w:val="hybridMultilevel"/>
    <w:tmpl w:val="63B69EC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669B065F"/>
    <w:multiLevelType w:val="hybridMultilevel"/>
    <w:tmpl w:val="39A0FF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79474EC"/>
    <w:multiLevelType w:val="hybridMultilevel"/>
    <w:tmpl w:val="A2900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BF55CF2"/>
    <w:multiLevelType w:val="hybridMultilevel"/>
    <w:tmpl w:val="DB18A2C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3455F16"/>
    <w:multiLevelType w:val="hybridMultilevel"/>
    <w:tmpl w:val="41189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7C6429F"/>
    <w:multiLevelType w:val="hybridMultilevel"/>
    <w:tmpl w:val="04E06C86"/>
    <w:lvl w:ilvl="0" w:tplc="C150D2F0">
      <w:start w:val="1"/>
      <w:numFmt w:val="bullet"/>
      <w:pStyle w:val="Tablebulle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9D24E48A">
      <w:start w:val="1"/>
      <w:numFmt w:val="bullet"/>
      <w:lvlText w:val=""/>
      <w:lvlJc w:val="left"/>
      <w:pPr>
        <w:ind w:left="1077" w:hanging="357"/>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84835DB"/>
    <w:multiLevelType w:val="hybridMultilevel"/>
    <w:tmpl w:val="B6AA27C4"/>
    <w:lvl w:ilvl="0" w:tplc="D87A64E2">
      <w:start w:val="1"/>
      <w:numFmt w:val="bullet"/>
      <w:lvlText w:val=""/>
      <w:lvlJc w:val="left"/>
      <w:pPr>
        <w:ind w:left="720" w:hanging="360"/>
      </w:pPr>
      <w:rPr>
        <w:rFonts w:ascii="Symbol" w:hAnsi="Symbol" w:hint="default"/>
      </w:rPr>
    </w:lvl>
    <w:lvl w:ilvl="1" w:tplc="C04CD8EC">
      <w:start w:val="1"/>
      <w:numFmt w:val="bullet"/>
      <w:lvlText w:val="o"/>
      <w:lvlJc w:val="left"/>
      <w:pPr>
        <w:ind w:left="1440" w:hanging="360"/>
      </w:pPr>
      <w:rPr>
        <w:rFonts w:ascii="Courier New" w:hAnsi="Courier New" w:hint="default"/>
      </w:rPr>
    </w:lvl>
    <w:lvl w:ilvl="2" w:tplc="7960F8C0">
      <w:start w:val="1"/>
      <w:numFmt w:val="bullet"/>
      <w:lvlText w:val=""/>
      <w:lvlJc w:val="left"/>
      <w:pPr>
        <w:ind w:left="2160" w:hanging="360"/>
      </w:pPr>
      <w:rPr>
        <w:rFonts w:ascii="Wingdings" w:hAnsi="Wingdings" w:hint="default"/>
      </w:rPr>
    </w:lvl>
    <w:lvl w:ilvl="3" w:tplc="9C780C9C">
      <w:start w:val="1"/>
      <w:numFmt w:val="bullet"/>
      <w:lvlText w:val=""/>
      <w:lvlJc w:val="left"/>
      <w:pPr>
        <w:ind w:left="2880" w:hanging="360"/>
      </w:pPr>
      <w:rPr>
        <w:rFonts w:ascii="Symbol" w:hAnsi="Symbol" w:hint="default"/>
      </w:rPr>
    </w:lvl>
    <w:lvl w:ilvl="4" w:tplc="3BD6D306">
      <w:start w:val="1"/>
      <w:numFmt w:val="bullet"/>
      <w:lvlText w:val="o"/>
      <w:lvlJc w:val="left"/>
      <w:pPr>
        <w:ind w:left="3600" w:hanging="360"/>
      </w:pPr>
      <w:rPr>
        <w:rFonts w:ascii="Courier New" w:hAnsi="Courier New" w:hint="default"/>
      </w:rPr>
    </w:lvl>
    <w:lvl w:ilvl="5" w:tplc="1756B23C">
      <w:start w:val="1"/>
      <w:numFmt w:val="bullet"/>
      <w:lvlText w:val=""/>
      <w:lvlJc w:val="left"/>
      <w:pPr>
        <w:ind w:left="4320" w:hanging="360"/>
      </w:pPr>
      <w:rPr>
        <w:rFonts w:ascii="Wingdings" w:hAnsi="Wingdings" w:hint="default"/>
      </w:rPr>
    </w:lvl>
    <w:lvl w:ilvl="6" w:tplc="598E1F1C">
      <w:start w:val="1"/>
      <w:numFmt w:val="bullet"/>
      <w:lvlText w:val=""/>
      <w:lvlJc w:val="left"/>
      <w:pPr>
        <w:ind w:left="5040" w:hanging="360"/>
      </w:pPr>
      <w:rPr>
        <w:rFonts w:ascii="Symbol" w:hAnsi="Symbol" w:hint="default"/>
      </w:rPr>
    </w:lvl>
    <w:lvl w:ilvl="7" w:tplc="F548753C">
      <w:start w:val="1"/>
      <w:numFmt w:val="bullet"/>
      <w:lvlText w:val="o"/>
      <w:lvlJc w:val="left"/>
      <w:pPr>
        <w:ind w:left="5760" w:hanging="360"/>
      </w:pPr>
      <w:rPr>
        <w:rFonts w:ascii="Courier New" w:hAnsi="Courier New" w:hint="default"/>
      </w:rPr>
    </w:lvl>
    <w:lvl w:ilvl="8" w:tplc="DD3014C0">
      <w:start w:val="1"/>
      <w:numFmt w:val="bullet"/>
      <w:lvlText w:val=""/>
      <w:lvlJc w:val="left"/>
      <w:pPr>
        <w:ind w:left="6480" w:hanging="360"/>
      </w:pPr>
      <w:rPr>
        <w:rFonts w:ascii="Wingdings" w:hAnsi="Wingdings" w:hint="default"/>
      </w:rPr>
    </w:lvl>
  </w:abstractNum>
  <w:abstractNum w:abstractNumId="30" w15:restartNumberingAfterBreak="0">
    <w:nsid w:val="7E05605A"/>
    <w:multiLevelType w:val="hybridMultilevel"/>
    <w:tmpl w:val="5CEC29C4"/>
    <w:lvl w:ilvl="0" w:tplc="E59E603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8"/>
  </w:num>
  <w:num w:numId="2">
    <w:abstractNumId w:val="23"/>
  </w:num>
  <w:num w:numId="3">
    <w:abstractNumId w:val="3"/>
  </w:num>
  <w:num w:numId="4">
    <w:abstractNumId w:val="11"/>
    <w:lvlOverride w:ilvl="0">
      <w:lvl w:ilvl="0">
        <w:start w:val="1"/>
        <w:numFmt w:val="decimal"/>
        <w:pStyle w:val="NumberedParagraphs-MOH"/>
        <w:lvlText w:val="%1."/>
        <w:lvlJc w:val="left"/>
        <w:pPr>
          <w:ind w:left="851" w:hanging="851"/>
        </w:pPr>
        <w:rPr>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5">
    <w:abstractNumId w:val="0"/>
  </w:num>
  <w:num w:numId="6">
    <w:abstractNumId w:val="18"/>
  </w:num>
  <w:num w:numId="7">
    <w:abstractNumId w:val="29"/>
  </w:num>
  <w:num w:numId="8">
    <w:abstractNumId w:val="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num>
  <w:num w:numId="12">
    <w:abstractNumId w:val="27"/>
  </w:num>
  <w:num w:numId="13">
    <w:abstractNumId w:val="20"/>
  </w:num>
  <w:num w:numId="14">
    <w:abstractNumId w:val="17"/>
  </w:num>
  <w:num w:numId="15">
    <w:abstractNumId w:val="21"/>
  </w:num>
  <w:num w:numId="16">
    <w:abstractNumId w:val="15"/>
  </w:num>
  <w:num w:numId="17">
    <w:abstractNumId w:val="25"/>
  </w:num>
  <w:num w:numId="18">
    <w:abstractNumId w:val="14"/>
  </w:num>
  <w:num w:numId="19">
    <w:abstractNumId w:val="19"/>
  </w:num>
  <w:num w:numId="20">
    <w:abstractNumId w:val="5"/>
  </w:num>
  <w:num w:numId="21">
    <w:abstractNumId w:val="6"/>
  </w:num>
  <w:num w:numId="22">
    <w:abstractNumId w:val="30"/>
  </w:num>
  <w:num w:numId="23">
    <w:abstractNumId w:val="1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
  </w:num>
  <w:num w:numId="27">
    <w:abstractNumId w:val="7"/>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2"/>
  </w:num>
  <w:num w:numId="31">
    <w:abstractNumId w:val="26"/>
  </w:num>
  <w:num w:numId="3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99"/>
    <w:rsid w:val="0000001A"/>
    <w:rsid w:val="00000257"/>
    <w:rsid w:val="000002F6"/>
    <w:rsid w:val="000004DD"/>
    <w:rsid w:val="000005E0"/>
    <w:rsid w:val="00000702"/>
    <w:rsid w:val="000007F9"/>
    <w:rsid w:val="00000824"/>
    <w:rsid w:val="00000A48"/>
    <w:rsid w:val="00000F5E"/>
    <w:rsid w:val="00000FBC"/>
    <w:rsid w:val="00000FF0"/>
    <w:rsid w:val="00001015"/>
    <w:rsid w:val="000010BF"/>
    <w:rsid w:val="00001354"/>
    <w:rsid w:val="000013B0"/>
    <w:rsid w:val="000013F4"/>
    <w:rsid w:val="000014DE"/>
    <w:rsid w:val="00001634"/>
    <w:rsid w:val="000016F7"/>
    <w:rsid w:val="000018EC"/>
    <w:rsid w:val="00001937"/>
    <w:rsid w:val="00001BE3"/>
    <w:rsid w:val="00001CE7"/>
    <w:rsid w:val="00001E65"/>
    <w:rsid w:val="0000207B"/>
    <w:rsid w:val="000024CD"/>
    <w:rsid w:val="00002564"/>
    <w:rsid w:val="000025AE"/>
    <w:rsid w:val="000026A9"/>
    <w:rsid w:val="0000288D"/>
    <w:rsid w:val="00002996"/>
    <w:rsid w:val="00002A07"/>
    <w:rsid w:val="00002AAE"/>
    <w:rsid w:val="00002BA1"/>
    <w:rsid w:val="00002BF7"/>
    <w:rsid w:val="00002E06"/>
    <w:rsid w:val="000030BD"/>
    <w:rsid w:val="0000313A"/>
    <w:rsid w:val="0000317D"/>
    <w:rsid w:val="000032FA"/>
    <w:rsid w:val="000033D3"/>
    <w:rsid w:val="00003584"/>
    <w:rsid w:val="000035DE"/>
    <w:rsid w:val="00003625"/>
    <w:rsid w:val="000036D6"/>
    <w:rsid w:val="0000373E"/>
    <w:rsid w:val="00003874"/>
    <w:rsid w:val="00003C4B"/>
    <w:rsid w:val="00003CCC"/>
    <w:rsid w:val="00003D73"/>
    <w:rsid w:val="00003F0E"/>
    <w:rsid w:val="00004152"/>
    <w:rsid w:val="000043DD"/>
    <w:rsid w:val="0000446D"/>
    <w:rsid w:val="00004604"/>
    <w:rsid w:val="0000478E"/>
    <w:rsid w:val="0000499D"/>
    <w:rsid w:val="000049BE"/>
    <w:rsid w:val="00004A73"/>
    <w:rsid w:val="00004B34"/>
    <w:rsid w:val="00004C4F"/>
    <w:rsid w:val="00004DA5"/>
    <w:rsid w:val="000052D6"/>
    <w:rsid w:val="0000562E"/>
    <w:rsid w:val="000058B9"/>
    <w:rsid w:val="000059EC"/>
    <w:rsid w:val="00005A46"/>
    <w:rsid w:val="00005CCA"/>
    <w:rsid w:val="00005E87"/>
    <w:rsid w:val="00005ECF"/>
    <w:rsid w:val="0000604D"/>
    <w:rsid w:val="0000628C"/>
    <w:rsid w:val="00006529"/>
    <w:rsid w:val="0000653E"/>
    <w:rsid w:val="000066B4"/>
    <w:rsid w:val="000067F0"/>
    <w:rsid w:val="00006849"/>
    <w:rsid w:val="00006873"/>
    <w:rsid w:val="00006E68"/>
    <w:rsid w:val="00007063"/>
    <w:rsid w:val="0000734E"/>
    <w:rsid w:val="00007352"/>
    <w:rsid w:val="000073E2"/>
    <w:rsid w:val="000075FA"/>
    <w:rsid w:val="000079CC"/>
    <w:rsid w:val="00007AFA"/>
    <w:rsid w:val="000100F9"/>
    <w:rsid w:val="000101CD"/>
    <w:rsid w:val="00010292"/>
    <w:rsid w:val="00010753"/>
    <w:rsid w:val="00010754"/>
    <w:rsid w:val="00010BDB"/>
    <w:rsid w:val="00011428"/>
    <w:rsid w:val="000116E2"/>
    <w:rsid w:val="00011705"/>
    <w:rsid w:val="0001189A"/>
    <w:rsid w:val="00011929"/>
    <w:rsid w:val="00011A4F"/>
    <w:rsid w:val="00011AFA"/>
    <w:rsid w:val="00011B70"/>
    <w:rsid w:val="00012067"/>
    <w:rsid w:val="000120A0"/>
    <w:rsid w:val="0001232E"/>
    <w:rsid w:val="00012371"/>
    <w:rsid w:val="00012C63"/>
    <w:rsid w:val="00012CD2"/>
    <w:rsid w:val="00012FE9"/>
    <w:rsid w:val="00013057"/>
    <w:rsid w:val="000131EA"/>
    <w:rsid w:val="000131FF"/>
    <w:rsid w:val="000132D5"/>
    <w:rsid w:val="00013416"/>
    <w:rsid w:val="00013A7F"/>
    <w:rsid w:val="00013B0A"/>
    <w:rsid w:val="00013B57"/>
    <w:rsid w:val="000140EE"/>
    <w:rsid w:val="00014126"/>
    <w:rsid w:val="00014142"/>
    <w:rsid w:val="0001465C"/>
    <w:rsid w:val="000146D9"/>
    <w:rsid w:val="0001480F"/>
    <w:rsid w:val="000149F9"/>
    <w:rsid w:val="00014CD6"/>
    <w:rsid w:val="00015029"/>
    <w:rsid w:val="0001528E"/>
    <w:rsid w:val="00015551"/>
    <w:rsid w:val="000155E3"/>
    <w:rsid w:val="0001571A"/>
    <w:rsid w:val="00015DAE"/>
    <w:rsid w:val="00015EE2"/>
    <w:rsid w:val="0001617B"/>
    <w:rsid w:val="000161C9"/>
    <w:rsid w:val="00016416"/>
    <w:rsid w:val="000166DC"/>
    <w:rsid w:val="00016762"/>
    <w:rsid w:val="000167BF"/>
    <w:rsid w:val="000169A4"/>
    <w:rsid w:val="00016A2C"/>
    <w:rsid w:val="00016FB9"/>
    <w:rsid w:val="0001705C"/>
    <w:rsid w:val="00017111"/>
    <w:rsid w:val="00017145"/>
    <w:rsid w:val="00017181"/>
    <w:rsid w:val="000171D0"/>
    <w:rsid w:val="000171D4"/>
    <w:rsid w:val="0001722A"/>
    <w:rsid w:val="00017296"/>
    <w:rsid w:val="0001773C"/>
    <w:rsid w:val="00017863"/>
    <w:rsid w:val="0001791C"/>
    <w:rsid w:val="00017B3F"/>
    <w:rsid w:val="00017DE8"/>
    <w:rsid w:val="00017E3B"/>
    <w:rsid w:val="00017E75"/>
    <w:rsid w:val="00017F0D"/>
    <w:rsid w:val="00017FC6"/>
    <w:rsid w:val="00020042"/>
    <w:rsid w:val="00020188"/>
    <w:rsid w:val="0002054A"/>
    <w:rsid w:val="000205B4"/>
    <w:rsid w:val="0002071D"/>
    <w:rsid w:val="00020B70"/>
    <w:rsid w:val="00020C9B"/>
    <w:rsid w:val="00020F79"/>
    <w:rsid w:val="0002103A"/>
    <w:rsid w:val="0002124C"/>
    <w:rsid w:val="0002137F"/>
    <w:rsid w:val="0002139F"/>
    <w:rsid w:val="00021530"/>
    <w:rsid w:val="000216A0"/>
    <w:rsid w:val="000216D8"/>
    <w:rsid w:val="0002179D"/>
    <w:rsid w:val="000218E6"/>
    <w:rsid w:val="00021928"/>
    <w:rsid w:val="00021BAD"/>
    <w:rsid w:val="00021D27"/>
    <w:rsid w:val="00021E90"/>
    <w:rsid w:val="00021EA4"/>
    <w:rsid w:val="00021FE0"/>
    <w:rsid w:val="00022429"/>
    <w:rsid w:val="0002244D"/>
    <w:rsid w:val="00022468"/>
    <w:rsid w:val="000224B9"/>
    <w:rsid w:val="00022556"/>
    <w:rsid w:val="0002290F"/>
    <w:rsid w:val="0002295F"/>
    <w:rsid w:val="0002299E"/>
    <w:rsid w:val="00022BCC"/>
    <w:rsid w:val="00022D57"/>
    <w:rsid w:val="000230A6"/>
    <w:rsid w:val="000231E0"/>
    <w:rsid w:val="000232AB"/>
    <w:rsid w:val="000233B3"/>
    <w:rsid w:val="00023766"/>
    <w:rsid w:val="00023D14"/>
    <w:rsid w:val="00023F9B"/>
    <w:rsid w:val="000241BE"/>
    <w:rsid w:val="00024265"/>
    <w:rsid w:val="000243DB"/>
    <w:rsid w:val="000244DB"/>
    <w:rsid w:val="0002485D"/>
    <w:rsid w:val="00024862"/>
    <w:rsid w:val="00024AB6"/>
    <w:rsid w:val="00024B2A"/>
    <w:rsid w:val="00024B71"/>
    <w:rsid w:val="00024BE2"/>
    <w:rsid w:val="00024BEA"/>
    <w:rsid w:val="00024D30"/>
    <w:rsid w:val="00024EE9"/>
    <w:rsid w:val="0002519E"/>
    <w:rsid w:val="0002520B"/>
    <w:rsid w:val="00025255"/>
    <w:rsid w:val="00025275"/>
    <w:rsid w:val="000253EF"/>
    <w:rsid w:val="000259FA"/>
    <w:rsid w:val="00025AB9"/>
    <w:rsid w:val="00025B9C"/>
    <w:rsid w:val="00025BB0"/>
    <w:rsid w:val="00025DA8"/>
    <w:rsid w:val="0002634F"/>
    <w:rsid w:val="000267BB"/>
    <w:rsid w:val="000269F2"/>
    <w:rsid w:val="00026B88"/>
    <w:rsid w:val="00026C38"/>
    <w:rsid w:val="00026DB4"/>
    <w:rsid w:val="00026E2B"/>
    <w:rsid w:val="000273F3"/>
    <w:rsid w:val="0002759A"/>
    <w:rsid w:val="00027657"/>
    <w:rsid w:val="00027697"/>
    <w:rsid w:val="000278CA"/>
    <w:rsid w:val="00027ACA"/>
    <w:rsid w:val="00027B4A"/>
    <w:rsid w:val="00027DDF"/>
    <w:rsid w:val="00027E4F"/>
    <w:rsid w:val="00030138"/>
    <w:rsid w:val="00030511"/>
    <w:rsid w:val="000307E4"/>
    <w:rsid w:val="00031207"/>
    <w:rsid w:val="0003134C"/>
    <w:rsid w:val="000316FA"/>
    <w:rsid w:val="00031ACD"/>
    <w:rsid w:val="00031AF9"/>
    <w:rsid w:val="00031C4A"/>
    <w:rsid w:val="00031C79"/>
    <w:rsid w:val="00031DB1"/>
    <w:rsid w:val="00031E8A"/>
    <w:rsid w:val="00032016"/>
    <w:rsid w:val="0003212D"/>
    <w:rsid w:val="00032441"/>
    <w:rsid w:val="000325F3"/>
    <w:rsid w:val="00032679"/>
    <w:rsid w:val="000326C3"/>
    <w:rsid w:val="0003285C"/>
    <w:rsid w:val="000328B0"/>
    <w:rsid w:val="00032ACA"/>
    <w:rsid w:val="00032AED"/>
    <w:rsid w:val="00032B43"/>
    <w:rsid w:val="00032C2B"/>
    <w:rsid w:val="00032D45"/>
    <w:rsid w:val="00032D96"/>
    <w:rsid w:val="00032F8A"/>
    <w:rsid w:val="000334A2"/>
    <w:rsid w:val="0003360D"/>
    <w:rsid w:val="00033C3C"/>
    <w:rsid w:val="00033CC7"/>
    <w:rsid w:val="00033D89"/>
    <w:rsid w:val="00033DE4"/>
    <w:rsid w:val="00033E0A"/>
    <w:rsid w:val="00033E95"/>
    <w:rsid w:val="0003407A"/>
    <w:rsid w:val="00034090"/>
    <w:rsid w:val="0003414D"/>
    <w:rsid w:val="000342E8"/>
    <w:rsid w:val="0003457B"/>
    <w:rsid w:val="000346A7"/>
    <w:rsid w:val="000346CB"/>
    <w:rsid w:val="00034959"/>
    <w:rsid w:val="00034987"/>
    <w:rsid w:val="00034B2C"/>
    <w:rsid w:val="00034B84"/>
    <w:rsid w:val="00034C83"/>
    <w:rsid w:val="00034DB4"/>
    <w:rsid w:val="00034F04"/>
    <w:rsid w:val="00035038"/>
    <w:rsid w:val="0003507F"/>
    <w:rsid w:val="0003513A"/>
    <w:rsid w:val="00035298"/>
    <w:rsid w:val="00035633"/>
    <w:rsid w:val="0003578C"/>
    <w:rsid w:val="00035D34"/>
    <w:rsid w:val="00035E9B"/>
    <w:rsid w:val="000361CF"/>
    <w:rsid w:val="00036266"/>
    <w:rsid w:val="0003626D"/>
    <w:rsid w:val="00036364"/>
    <w:rsid w:val="0003658C"/>
    <w:rsid w:val="00036601"/>
    <w:rsid w:val="00036622"/>
    <w:rsid w:val="0003674B"/>
    <w:rsid w:val="0003674C"/>
    <w:rsid w:val="000369A9"/>
    <w:rsid w:val="000369C2"/>
    <w:rsid w:val="00036AAB"/>
    <w:rsid w:val="00036B9D"/>
    <w:rsid w:val="00037206"/>
    <w:rsid w:val="00037490"/>
    <w:rsid w:val="00037782"/>
    <w:rsid w:val="00037AEC"/>
    <w:rsid w:val="00040061"/>
    <w:rsid w:val="000403CA"/>
    <w:rsid w:val="00040667"/>
    <w:rsid w:val="000406F0"/>
    <w:rsid w:val="00040750"/>
    <w:rsid w:val="00040773"/>
    <w:rsid w:val="00040A02"/>
    <w:rsid w:val="0004112C"/>
    <w:rsid w:val="000411BC"/>
    <w:rsid w:val="00041439"/>
    <w:rsid w:val="00041A1C"/>
    <w:rsid w:val="00041AED"/>
    <w:rsid w:val="00041B7F"/>
    <w:rsid w:val="00041BE5"/>
    <w:rsid w:val="00041C41"/>
    <w:rsid w:val="00042726"/>
    <w:rsid w:val="00042B30"/>
    <w:rsid w:val="00042B81"/>
    <w:rsid w:val="00042CA8"/>
    <w:rsid w:val="00042F22"/>
    <w:rsid w:val="00043267"/>
    <w:rsid w:val="0004327A"/>
    <w:rsid w:val="00043393"/>
    <w:rsid w:val="000434A9"/>
    <w:rsid w:val="00043511"/>
    <w:rsid w:val="0004358F"/>
    <w:rsid w:val="000439CB"/>
    <w:rsid w:val="00043C47"/>
    <w:rsid w:val="00043DAF"/>
    <w:rsid w:val="00043FB1"/>
    <w:rsid w:val="00043FC5"/>
    <w:rsid w:val="00043FE0"/>
    <w:rsid w:val="000440B3"/>
    <w:rsid w:val="0004427F"/>
    <w:rsid w:val="000442AA"/>
    <w:rsid w:val="000442E9"/>
    <w:rsid w:val="0004440B"/>
    <w:rsid w:val="0004463D"/>
    <w:rsid w:val="0004473B"/>
    <w:rsid w:val="00044AB4"/>
    <w:rsid w:val="00044B9D"/>
    <w:rsid w:val="00044DD4"/>
    <w:rsid w:val="00044E71"/>
    <w:rsid w:val="000453D3"/>
    <w:rsid w:val="0004540E"/>
    <w:rsid w:val="00045518"/>
    <w:rsid w:val="00045698"/>
    <w:rsid w:val="000459CF"/>
    <w:rsid w:val="000459DE"/>
    <w:rsid w:val="00045B71"/>
    <w:rsid w:val="00045BE9"/>
    <w:rsid w:val="00045E0F"/>
    <w:rsid w:val="00046103"/>
    <w:rsid w:val="0004625A"/>
    <w:rsid w:val="00046266"/>
    <w:rsid w:val="00046360"/>
    <w:rsid w:val="00046AAE"/>
    <w:rsid w:val="00046C8F"/>
    <w:rsid w:val="00046D41"/>
    <w:rsid w:val="00046D8E"/>
    <w:rsid w:val="00046EF9"/>
    <w:rsid w:val="00046F2C"/>
    <w:rsid w:val="00046F3D"/>
    <w:rsid w:val="000470E5"/>
    <w:rsid w:val="00047164"/>
    <w:rsid w:val="00047226"/>
    <w:rsid w:val="000472C7"/>
    <w:rsid w:val="00047557"/>
    <w:rsid w:val="00047793"/>
    <w:rsid w:val="00047B25"/>
    <w:rsid w:val="00047D05"/>
    <w:rsid w:val="00047D76"/>
    <w:rsid w:val="000500D1"/>
    <w:rsid w:val="00050220"/>
    <w:rsid w:val="000504CB"/>
    <w:rsid w:val="000505CA"/>
    <w:rsid w:val="00050B61"/>
    <w:rsid w:val="00050BD4"/>
    <w:rsid w:val="00050C64"/>
    <w:rsid w:val="00050C65"/>
    <w:rsid w:val="00050E95"/>
    <w:rsid w:val="00050EB4"/>
    <w:rsid w:val="000511AB"/>
    <w:rsid w:val="00051488"/>
    <w:rsid w:val="000515B5"/>
    <w:rsid w:val="00051603"/>
    <w:rsid w:val="0005186D"/>
    <w:rsid w:val="00051913"/>
    <w:rsid w:val="00051A06"/>
    <w:rsid w:val="00051A54"/>
    <w:rsid w:val="00051C10"/>
    <w:rsid w:val="00051FA6"/>
    <w:rsid w:val="00052085"/>
    <w:rsid w:val="000521C3"/>
    <w:rsid w:val="000522A5"/>
    <w:rsid w:val="000526F5"/>
    <w:rsid w:val="00052B5B"/>
    <w:rsid w:val="00052CCB"/>
    <w:rsid w:val="00052E1E"/>
    <w:rsid w:val="00052E6E"/>
    <w:rsid w:val="00052F8B"/>
    <w:rsid w:val="00053164"/>
    <w:rsid w:val="00053172"/>
    <w:rsid w:val="00053207"/>
    <w:rsid w:val="0005388E"/>
    <w:rsid w:val="00053910"/>
    <w:rsid w:val="00053962"/>
    <w:rsid w:val="00053975"/>
    <w:rsid w:val="00053AFB"/>
    <w:rsid w:val="00053B71"/>
    <w:rsid w:val="00054249"/>
    <w:rsid w:val="00054251"/>
    <w:rsid w:val="00054322"/>
    <w:rsid w:val="000544C5"/>
    <w:rsid w:val="000544D4"/>
    <w:rsid w:val="000545FF"/>
    <w:rsid w:val="0005465F"/>
    <w:rsid w:val="00054666"/>
    <w:rsid w:val="00054CF1"/>
    <w:rsid w:val="00054E69"/>
    <w:rsid w:val="00054E87"/>
    <w:rsid w:val="000554B5"/>
    <w:rsid w:val="00055628"/>
    <w:rsid w:val="0005569D"/>
    <w:rsid w:val="000556D3"/>
    <w:rsid w:val="00055C64"/>
    <w:rsid w:val="00055DBF"/>
    <w:rsid w:val="00055E63"/>
    <w:rsid w:val="00055E80"/>
    <w:rsid w:val="00055F93"/>
    <w:rsid w:val="0005600A"/>
    <w:rsid w:val="0005601C"/>
    <w:rsid w:val="0005625F"/>
    <w:rsid w:val="000562C1"/>
    <w:rsid w:val="00056301"/>
    <w:rsid w:val="00056348"/>
    <w:rsid w:val="0005636E"/>
    <w:rsid w:val="0005651D"/>
    <w:rsid w:val="00056562"/>
    <w:rsid w:val="00056676"/>
    <w:rsid w:val="00056C3C"/>
    <w:rsid w:val="00056CD4"/>
    <w:rsid w:val="00057445"/>
    <w:rsid w:val="0005761C"/>
    <w:rsid w:val="0005764F"/>
    <w:rsid w:val="0005772E"/>
    <w:rsid w:val="000577C2"/>
    <w:rsid w:val="00057BEA"/>
    <w:rsid w:val="00057C77"/>
    <w:rsid w:val="00057FA8"/>
    <w:rsid w:val="00060267"/>
    <w:rsid w:val="00060385"/>
    <w:rsid w:val="00060474"/>
    <w:rsid w:val="00060527"/>
    <w:rsid w:val="00060587"/>
    <w:rsid w:val="00060642"/>
    <w:rsid w:val="0006076F"/>
    <w:rsid w:val="00060C45"/>
    <w:rsid w:val="00060DA0"/>
    <w:rsid w:val="00060E7D"/>
    <w:rsid w:val="00061016"/>
    <w:rsid w:val="0006106A"/>
    <w:rsid w:val="00061125"/>
    <w:rsid w:val="000613E7"/>
    <w:rsid w:val="00061897"/>
    <w:rsid w:val="00061D5F"/>
    <w:rsid w:val="00061E83"/>
    <w:rsid w:val="00062074"/>
    <w:rsid w:val="00062186"/>
    <w:rsid w:val="000621FA"/>
    <w:rsid w:val="00062570"/>
    <w:rsid w:val="00062617"/>
    <w:rsid w:val="00062734"/>
    <w:rsid w:val="00062960"/>
    <w:rsid w:val="000629E2"/>
    <w:rsid w:val="00062A19"/>
    <w:rsid w:val="00062B42"/>
    <w:rsid w:val="00062BC8"/>
    <w:rsid w:val="00062C67"/>
    <w:rsid w:val="00062ECE"/>
    <w:rsid w:val="00062F52"/>
    <w:rsid w:val="00062FB1"/>
    <w:rsid w:val="000633BE"/>
    <w:rsid w:val="000634CC"/>
    <w:rsid w:val="000637A5"/>
    <w:rsid w:val="00063813"/>
    <w:rsid w:val="000638A9"/>
    <w:rsid w:val="000639A8"/>
    <w:rsid w:val="00063C59"/>
    <w:rsid w:val="00063D38"/>
    <w:rsid w:val="00064287"/>
    <w:rsid w:val="0006439C"/>
    <w:rsid w:val="000643E6"/>
    <w:rsid w:val="0006475E"/>
    <w:rsid w:val="0006483C"/>
    <w:rsid w:val="000648A6"/>
    <w:rsid w:val="000648C5"/>
    <w:rsid w:val="00064B48"/>
    <w:rsid w:val="00064C58"/>
    <w:rsid w:val="00064CAB"/>
    <w:rsid w:val="00064CEE"/>
    <w:rsid w:val="00064DDD"/>
    <w:rsid w:val="00064F1B"/>
    <w:rsid w:val="0006533A"/>
    <w:rsid w:val="000655FF"/>
    <w:rsid w:val="00065ABC"/>
    <w:rsid w:val="00065AF0"/>
    <w:rsid w:val="00065BAC"/>
    <w:rsid w:val="00065E2A"/>
    <w:rsid w:val="00065ED1"/>
    <w:rsid w:val="00065ED5"/>
    <w:rsid w:val="00065EF8"/>
    <w:rsid w:val="00065F53"/>
    <w:rsid w:val="000660CA"/>
    <w:rsid w:val="0006668E"/>
    <w:rsid w:val="0006698B"/>
    <w:rsid w:val="00066A7C"/>
    <w:rsid w:val="00066D77"/>
    <w:rsid w:val="00066EA7"/>
    <w:rsid w:val="000672D7"/>
    <w:rsid w:val="000677D6"/>
    <w:rsid w:val="000678BB"/>
    <w:rsid w:val="000679A4"/>
    <w:rsid w:val="00067C14"/>
    <w:rsid w:val="00067D3F"/>
    <w:rsid w:val="00067EA4"/>
    <w:rsid w:val="00067EA9"/>
    <w:rsid w:val="0007003B"/>
    <w:rsid w:val="0007004D"/>
    <w:rsid w:val="000702C9"/>
    <w:rsid w:val="00070646"/>
    <w:rsid w:val="0007070B"/>
    <w:rsid w:val="00070B16"/>
    <w:rsid w:val="00070D1B"/>
    <w:rsid w:val="00070D1F"/>
    <w:rsid w:val="00070F16"/>
    <w:rsid w:val="00071100"/>
    <w:rsid w:val="00071180"/>
    <w:rsid w:val="00071316"/>
    <w:rsid w:val="0007133D"/>
    <w:rsid w:val="00071375"/>
    <w:rsid w:val="000713B8"/>
    <w:rsid w:val="000715BD"/>
    <w:rsid w:val="00071BD1"/>
    <w:rsid w:val="00071C89"/>
    <w:rsid w:val="00071E22"/>
    <w:rsid w:val="00071F3F"/>
    <w:rsid w:val="00072195"/>
    <w:rsid w:val="0007235E"/>
    <w:rsid w:val="0007237A"/>
    <w:rsid w:val="000723A8"/>
    <w:rsid w:val="00072639"/>
    <w:rsid w:val="00072A16"/>
    <w:rsid w:val="00072ACB"/>
    <w:rsid w:val="00072B4F"/>
    <w:rsid w:val="00072BDC"/>
    <w:rsid w:val="00072E2E"/>
    <w:rsid w:val="00072EFA"/>
    <w:rsid w:val="00072F46"/>
    <w:rsid w:val="0007314D"/>
    <w:rsid w:val="000731F7"/>
    <w:rsid w:val="0007322E"/>
    <w:rsid w:val="00073286"/>
    <w:rsid w:val="00073439"/>
    <w:rsid w:val="000735A6"/>
    <w:rsid w:val="00073659"/>
    <w:rsid w:val="0007373B"/>
    <w:rsid w:val="00073D3E"/>
    <w:rsid w:val="00073D6E"/>
    <w:rsid w:val="00073DEE"/>
    <w:rsid w:val="00074064"/>
    <w:rsid w:val="00074261"/>
    <w:rsid w:val="000744B6"/>
    <w:rsid w:val="00074734"/>
    <w:rsid w:val="00074AE0"/>
    <w:rsid w:val="00074D4F"/>
    <w:rsid w:val="00074E8E"/>
    <w:rsid w:val="00075085"/>
    <w:rsid w:val="00075104"/>
    <w:rsid w:val="0007510B"/>
    <w:rsid w:val="000751C4"/>
    <w:rsid w:val="0007522E"/>
    <w:rsid w:val="000758A5"/>
    <w:rsid w:val="00076287"/>
    <w:rsid w:val="000762C7"/>
    <w:rsid w:val="000765CE"/>
    <w:rsid w:val="000765FB"/>
    <w:rsid w:val="000766AB"/>
    <w:rsid w:val="0007690B"/>
    <w:rsid w:val="0007690C"/>
    <w:rsid w:val="00076913"/>
    <w:rsid w:val="000769A6"/>
    <w:rsid w:val="000770D4"/>
    <w:rsid w:val="000771CC"/>
    <w:rsid w:val="0007722F"/>
    <w:rsid w:val="0007727B"/>
    <w:rsid w:val="000774F5"/>
    <w:rsid w:val="00077657"/>
    <w:rsid w:val="00077668"/>
    <w:rsid w:val="00077A86"/>
    <w:rsid w:val="00077B4B"/>
    <w:rsid w:val="00077BC3"/>
    <w:rsid w:val="00077E9C"/>
    <w:rsid w:val="00077FE4"/>
    <w:rsid w:val="0008066B"/>
    <w:rsid w:val="00080A3C"/>
    <w:rsid w:val="00080B71"/>
    <w:rsid w:val="00080C50"/>
    <w:rsid w:val="00080F8C"/>
    <w:rsid w:val="00081007"/>
    <w:rsid w:val="00081349"/>
    <w:rsid w:val="0008145C"/>
    <w:rsid w:val="000814EE"/>
    <w:rsid w:val="00081549"/>
    <w:rsid w:val="000816C0"/>
    <w:rsid w:val="00081BEC"/>
    <w:rsid w:val="00081F9B"/>
    <w:rsid w:val="0008217B"/>
    <w:rsid w:val="000821D6"/>
    <w:rsid w:val="00082459"/>
    <w:rsid w:val="000824F9"/>
    <w:rsid w:val="00082511"/>
    <w:rsid w:val="0008283F"/>
    <w:rsid w:val="0008285C"/>
    <w:rsid w:val="000829FC"/>
    <w:rsid w:val="00082A9E"/>
    <w:rsid w:val="00082BFA"/>
    <w:rsid w:val="00083591"/>
    <w:rsid w:val="00083859"/>
    <w:rsid w:val="00083DCD"/>
    <w:rsid w:val="00083E46"/>
    <w:rsid w:val="0008467A"/>
    <w:rsid w:val="00084680"/>
    <w:rsid w:val="00084D72"/>
    <w:rsid w:val="00084F6E"/>
    <w:rsid w:val="0008556A"/>
    <w:rsid w:val="00085C62"/>
    <w:rsid w:val="00085D71"/>
    <w:rsid w:val="00085F75"/>
    <w:rsid w:val="00085FDD"/>
    <w:rsid w:val="000860BA"/>
    <w:rsid w:val="000860CF"/>
    <w:rsid w:val="000861AB"/>
    <w:rsid w:val="000861D9"/>
    <w:rsid w:val="00086261"/>
    <w:rsid w:val="00086287"/>
    <w:rsid w:val="000865D5"/>
    <w:rsid w:val="00086AB5"/>
    <w:rsid w:val="00086DC9"/>
    <w:rsid w:val="00087164"/>
    <w:rsid w:val="00087247"/>
    <w:rsid w:val="00087299"/>
    <w:rsid w:val="00087305"/>
    <w:rsid w:val="000876B3"/>
    <w:rsid w:val="000879A2"/>
    <w:rsid w:val="00087B97"/>
    <w:rsid w:val="00090620"/>
    <w:rsid w:val="00090B10"/>
    <w:rsid w:val="00090B46"/>
    <w:rsid w:val="00090BC7"/>
    <w:rsid w:val="00090C7C"/>
    <w:rsid w:val="00090CA4"/>
    <w:rsid w:val="00090D4F"/>
    <w:rsid w:val="00091118"/>
    <w:rsid w:val="00091608"/>
    <w:rsid w:val="000916A6"/>
    <w:rsid w:val="000916C6"/>
    <w:rsid w:val="00091A35"/>
    <w:rsid w:val="00091B6E"/>
    <w:rsid w:val="0009200F"/>
    <w:rsid w:val="0009204A"/>
    <w:rsid w:val="00092155"/>
    <w:rsid w:val="0009270D"/>
    <w:rsid w:val="00092804"/>
    <w:rsid w:val="00092AE6"/>
    <w:rsid w:val="00092B2E"/>
    <w:rsid w:val="00092BFE"/>
    <w:rsid w:val="00092C00"/>
    <w:rsid w:val="00092CFC"/>
    <w:rsid w:val="0009373A"/>
    <w:rsid w:val="00093834"/>
    <w:rsid w:val="00093921"/>
    <w:rsid w:val="00093B2B"/>
    <w:rsid w:val="00093DE2"/>
    <w:rsid w:val="00093EE3"/>
    <w:rsid w:val="00093F6A"/>
    <w:rsid w:val="000940CE"/>
    <w:rsid w:val="00094487"/>
    <w:rsid w:val="00094A37"/>
    <w:rsid w:val="00094A90"/>
    <w:rsid w:val="00094BC8"/>
    <w:rsid w:val="00094C82"/>
    <w:rsid w:val="00094CCB"/>
    <w:rsid w:val="00094DB2"/>
    <w:rsid w:val="00094EC1"/>
    <w:rsid w:val="00094F60"/>
    <w:rsid w:val="00095003"/>
    <w:rsid w:val="000950B5"/>
    <w:rsid w:val="000951CA"/>
    <w:rsid w:val="000956F9"/>
    <w:rsid w:val="00095AE7"/>
    <w:rsid w:val="00095C04"/>
    <w:rsid w:val="00095D6D"/>
    <w:rsid w:val="00095FC5"/>
    <w:rsid w:val="000964BF"/>
    <w:rsid w:val="000966F9"/>
    <w:rsid w:val="0009677B"/>
    <w:rsid w:val="000968D1"/>
    <w:rsid w:val="00096A89"/>
    <w:rsid w:val="00096DF5"/>
    <w:rsid w:val="000977A8"/>
    <w:rsid w:val="000977D8"/>
    <w:rsid w:val="00097A0E"/>
    <w:rsid w:val="00097BD9"/>
    <w:rsid w:val="00097D78"/>
    <w:rsid w:val="00097DEA"/>
    <w:rsid w:val="00097F99"/>
    <w:rsid w:val="000A0140"/>
    <w:rsid w:val="000A0182"/>
    <w:rsid w:val="000A01CD"/>
    <w:rsid w:val="000A02FE"/>
    <w:rsid w:val="000A031D"/>
    <w:rsid w:val="000A04BA"/>
    <w:rsid w:val="000A0800"/>
    <w:rsid w:val="000A0A03"/>
    <w:rsid w:val="000A0BED"/>
    <w:rsid w:val="000A0C42"/>
    <w:rsid w:val="000A0CFD"/>
    <w:rsid w:val="000A0DF9"/>
    <w:rsid w:val="000A0F73"/>
    <w:rsid w:val="000A0FD0"/>
    <w:rsid w:val="000A127A"/>
    <w:rsid w:val="000A1336"/>
    <w:rsid w:val="000A1574"/>
    <w:rsid w:val="000A1682"/>
    <w:rsid w:val="000A1A60"/>
    <w:rsid w:val="000A1F58"/>
    <w:rsid w:val="000A1FC0"/>
    <w:rsid w:val="000A2086"/>
    <w:rsid w:val="000A20DD"/>
    <w:rsid w:val="000A247B"/>
    <w:rsid w:val="000A26A7"/>
    <w:rsid w:val="000A278C"/>
    <w:rsid w:val="000A2A2D"/>
    <w:rsid w:val="000A2E19"/>
    <w:rsid w:val="000A30AE"/>
    <w:rsid w:val="000A30D0"/>
    <w:rsid w:val="000A31FE"/>
    <w:rsid w:val="000A3521"/>
    <w:rsid w:val="000A366F"/>
    <w:rsid w:val="000A3862"/>
    <w:rsid w:val="000A3900"/>
    <w:rsid w:val="000A3949"/>
    <w:rsid w:val="000A3AD1"/>
    <w:rsid w:val="000A3ADA"/>
    <w:rsid w:val="000A3CDA"/>
    <w:rsid w:val="000A3F90"/>
    <w:rsid w:val="000A4203"/>
    <w:rsid w:val="000A451B"/>
    <w:rsid w:val="000A466B"/>
    <w:rsid w:val="000A4852"/>
    <w:rsid w:val="000A4882"/>
    <w:rsid w:val="000A49AC"/>
    <w:rsid w:val="000A4C1D"/>
    <w:rsid w:val="000A4EBC"/>
    <w:rsid w:val="000A5034"/>
    <w:rsid w:val="000A51FF"/>
    <w:rsid w:val="000A557D"/>
    <w:rsid w:val="000A5B13"/>
    <w:rsid w:val="000A5B3C"/>
    <w:rsid w:val="000A5C95"/>
    <w:rsid w:val="000A5CBB"/>
    <w:rsid w:val="000A5D29"/>
    <w:rsid w:val="000A5F9D"/>
    <w:rsid w:val="000A63EC"/>
    <w:rsid w:val="000A6466"/>
    <w:rsid w:val="000A6910"/>
    <w:rsid w:val="000A6955"/>
    <w:rsid w:val="000A69E6"/>
    <w:rsid w:val="000A6B04"/>
    <w:rsid w:val="000A6B63"/>
    <w:rsid w:val="000A6BE0"/>
    <w:rsid w:val="000A6E08"/>
    <w:rsid w:val="000A7100"/>
    <w:rsid w:val="000A729A"/>
    <w:rsid w:val="000A72B2"/>
    <w:rsid w:val="000A763E"/>
    <w:rsid w:val="000A7776"/>
    <w:rsid w:val="000A7B6C"/>
    <w:rsid w:val="000A7CB5"/>
    <w:rsid w:val="000A7E29"/>
    <w:rsid w:val="000A7E87"/>
    <w:rsid w:val="000B01AD"/>
    <w:rsid w:val="000B0247"/>
    <w:rsid w:val="000B02EA"/>
    <w:rsid w:val="000B0414"/>
    <w:rsid w:val="000B04A2"/>
    <w:rsid w:val="000B072B"/>
    <w:rsid w:val="000B0BDC"/>
    <w:rsid w:val="000B0D35"/>
    <w:rsid w:val="000B0D69"/>
    <w:rsid w:val="000B0DC1"/>
    <w:rsid w:val="000B11AF"/>
    <w:rsid w:val="000B130C"/>
    <w:rsid w:val="000B15F1"/>
    <w:rsid w:val="000B1743"/>
    <w:rsid w:val="000B178D"/>
    <w:rsid w:val="000B188E"/>
    <w:rsid w:val="000B1D3B"/>
    <w:rsid w:val="000B1F62"/>
    <w:rsid w:val="000B23BE"/>
    <w:rsid w:val="000B2930"/>
    <w:rsid w:val="000B298C"/>
    <w:rsid w:val="000B2D49"/>
    <w:rsid w:val="000B3180"/>
    <w:rsid w:val="000B31B5"/>
    <w:rsid w:val="000B3396"/>
    <w:rsid w:val="000B348E"/>
    <w:rsid w:val="000B3697"/>
    <w:rsid w:val="000B3764"/>
    <w:rsid w:val="000B3902"/>
    <w:rsid w:val="000B394F"/>
    <w:rsid w:val="000B39D6"/>
    <w:rsid w:val="000B3C0D"/>
    <w:rsid w:val="000B3C3B"/>
    <w:rsid w:val="000B3C65"/>
    <w:rsid w:val="000B3D0B"/>
    <w:rsid w:val="000B3EEE"/>
    <w:rsid w:val="000B418E"/>
    <w:rsid w:val="000B41F1"/>
    <w:rsid w:val="000B44A8"/>
    <w:rsid w:val="000B450B"/>
    <w:rsid w:val="000B46E5"/>
    <w:rsid w:val="000B4718"/>
    <w:rsid w:val="000B47C2"/>
    <w:rsid w:val="000B4B97"/>
    <w:rsid w:val="000B4E38"/>
    <w:rsid w:val="000B4E78"/>
    <w:rsid w:val="000B4F75"/>
    <w:rsid w:val="000B4F7C"/>
    <w:rsid w:val="000B5253"/>
    <w:rsid w:val="000B5345"/>
    <w:rsid w:val="000B5385"/>
    <w:rsid w:val="000B5476"/>
    <w:rsid w:val="000B56B0"/>
    <w:rsid w:val="000B5738"/>
    <w:rsid w:val="000B582D"/>
    <w:rsid w:val="000B58A6"/>
    <w:rsid w:val="000B5D4C"/>
    <w:rsid w:val="000B5D8E"/>
    <w:rsid w:val="000B5EDB"/>
    <w:rsid w:val="000B628D"/>
    <w:rsid w:val="000B629D"/>
    <w:rsid w:val="000B6617"/>
    <w:rsid w:val="000B6778"/>
    <w:rsid w:val="000B67B4"/>
    <w:rsid w:val="000B6B45"/>
    <w:rsid w:val="000B7134"/>
    <w:rsid w:val="000B725C"/>
    <w:rsid w:val="000B740B"/>
    <w:rsid w:val="000B7481"/>
    <w:rsid w:val="000B77DB"/>
    <w:rsid w:val="000B792E"/>
    <w:rsid w:val="000B7B93"/>
    <w:rsid w:val="000B7F5A"/>
    <w:rsid w:val="000C00D9"/>
    <w:rsid w:val="000C01B5"/>
    <w:rsid w:val="000C0201"/>
    <w:rsid w:val="000C0228"/>
    <w:rsid w:val="000C022D"/>
    <w:rsid w:val="000C024F"/>
    <w:rsid w:val="000C0291"/>
    <w:rsid w:val="000C0306"/>
    <w:rsid w:val="000C03D7"/>
    <w:rsid w:val="000C07A8"/>
    <w:rsid w:val="000C0878"/>
    <w:rsid w:val="000C0969"/>
    <w:rsid w:val="000C09D6"/>
    <w:rsid w:val="000C09DB"/>
    <w:rsid w:val="000C0A57"/>
    <w:rsid w:val="000C0F72"/>
    <w:rsid w:val="000C11C9"/>
    <w:rsid w:val="000C1369"/>
    <w:rsid w:val="000C1454"/>
    <w:rsid w:val="000C1611"/>
    <w:rsid w:val="000C1733"/>
    <w:rsid w:val="000C195F"/>
    <w:rsid w:val="000C1DE9"/>
    <w:rsid w:val="000C1E13"/>
    <w:rsid w:val="000C1F72"/>
    <w:rsid w:val="000C1F83"/>
    <w:rsid w:val="000C209F"/>
    <w:rsid w:val="000C20C8"/>
    <w:rsid w:val="000C21E2"/>
    <w:rsid w:val="000C234E"/>
    <w:rsid w:val="000C23EF"/>
    <w:rsid w:val="000C2402"/>
    <w:rsid w:val="000C259A"/>
    <w:rsid w:val="000C259B"/>
    <w:rsid w:val="000C2604"/>
    <w:rsid w:val="000C2BF1"/>
    <w:rsid w:val="000C2C8D"/>
    <w:rsid w:val="000C2CD6"/>
    <w:rsid w:val="000C2E99"/>
    <w:rsid w:val="000C2ED0"/>
    <w:rsid w:val="000C2EEB"/>
    <w:rsid w:val="000C3306"/>
    <w:rsid w:val="000C35B5"/>
    <w:rsid w:val="000C3832"/>
    <w:rsid w:val="000C3D68"/>
    <w:rsid w:val="000C40A2"/>
    <w:rsid w:val="000C435C"/>
    <w:rsid w:val="000C43C7"/>
    <w:rsid w:val="000C44D4"/>
    <w:rsid w:val="000C45D5"/>
    <w:rsid w:val="000C47E2"/>
    <w:rsid w:val="000C4867"/>
    <w:rsid w:val="000C49DF"/>
    <w:rsid w:val="000C4BC0"/>
    <w:rsid w:val="000C4CB2"/>
    <w:rsid w:val="000C507D"/>
    <w:rsid w:val="000C51E8"/>
    <w:rsid w:val="000C52F2"/>
    <w:rsid w:val="000C537E"/>
    <w:rsid w:val="000C57DB"/>
    <w:rsid w:val="000C58C8"/>
    <w:rsid w:val="000C5A35"/>
    <w:rsid w:val="000C5CAF"/>
    <w:rsid w:val="000C5DE5"/>
    <w:rsid w:val="000C5E01"/>
    <w:rsid w:val="000C5EF9"/>
    <w:rsid w:val="000C60FF"/>
    <w:rsid w:val="000C6730"/>
    <w:rsid w:val="000C680D"/>
    <w:rsid w:val="000C69BD"/>
    <w:rsid w:val="000C6BB6"/>
    <w:rsid w:val="000C6C69"/>
    <w:rsid w:val="000C6DA4"/>
    <w:rsid w:val="000C6DE7"/>
    <w:rsid w:val="000C6F3C"/>
    <w:rsid w:val="000C712E"/>
    <w:rsid w:val="000C72AE"/>
    <w:rsid w:val="000C7379"/>
    <w:rsid w:val="000C739F"/>
    <w:rsid w:val="000C73AC"/>
    <w:rsid w:val="000C7503"/>
    <w:rsid w:val="000C76D9"/>
    <w:rsid w:val="000C7719"/>
    <w:rsid w:val="000C7A62"/>
    <w:rsid w:val="000C7CA8"/>
    <w:rsid w:val="000D01AA"/>
    <w:rsid w:val="000D0326"/>
    <w:rsid w:val="000D03BB"/>
    <w:rsid w:val="000D044D"/>
    <w:rsid w:val="000D04FC"/>
    <w:rsid w:val="000D0588"/>
    <w:rsid w:val="000D07CA"/>
    <w:rsid w:val="000D0986"/>
    <w:rsid w:val="000D0B47"/>
    <w:rsid w:val="000D0C90"/>
    <w:rsid w:val="000D0CCD"/>
    <w:rsid w:val="000D108A"/>
    <w:rsid w:val="000D117D"/>
    <w:rsid w:val="000D121A"/>
    <w:rsid w:val="000D14F3"/>
    <w:rsid w:val="000D1648"/>
    <w:rsid w:val="000D1A9E"/>
    <w:rsid w:val="000D1D8C"/>
    <w:rsid w:val="000D2088"/>
    <w:rsid w:val="000D2163"/>
    <w:rsid w:val="000D21C6"/>
    <w:rsid w:val="000D282F"/>
    <w:rsid w:val="000D2A3A"/>
    <w:rsid w:val="000D2EF4"/>
    <w:rsid w:val="000D2F2B"/>
    <w:rsid w:val="000D2F33"/>
    <w:rsid w:val="000D3254"/>
    <w:rsid w:val="000D34CE"/>
    <w:rsid w:val="000D374D"/>
    <w:rsid w:val="000D3C09"/>
    <w:rsid w:val="000D3CFF"/>
    <w:rsid w:val="000D3DD5"/>
    <w:rsid w:val="000D3F26"/>
    <w:rsid w:val="000D4137"/>
    <w:rsid w:val="000D413A"/>
    <w:rsid w:val="000D43E6"/>
    <w:rsid w:val="000D44C3"/>
    <w:rsid w:val="000D44FC"/>
    <w:rsid w:val="000D45A4"/>
    <w:rsid w:val="000D4698"/>
    <w:rsid w:val="000D46C9"/>
    <w:rsid w:val="000D4AE0"/>
    <w:rsid w:val="000D4BCD"/>
    <w:rsid w:val="000D4DAD"/>
    <w:rsid w:val="000D4DC7"/>
    <w:rsid w:val="000D4FFC"/>
    <w:rsid w:val="000D525B"/>
    <w:rsid w:val="000D5378"/>
    <w:rsid w:val="000D53BE"/>
    <w:rsid w:val="000D53DB"/>
    <w:rsid w:val="000D5722"/>
    <w:rsid w:val="000D572F"/>
    <w:rsid w:val="000D584B"/>
    <w:rsid w:val="000D58D9"/>
    <w:rsid w:val="000D5A6B"/>
    <w:rsid w:val="000D5E1B"/>
    <w:rsid w:val="000D5E7D"/>
    <w:rsid w:val="000D5FD7"/>
    <w:rsid w:val="000D606D"/>
    <w:rsid w:val="000D61E9"/>
    <w:rsid w:val="000D628F"/>
    <w:rsid w:val="000D63A0"/>
    <w:rsid w:val="000D65A1"/>
    <w:rsid w:val="000D6653"/>
    <w:rsid w:val="000D6717"/>
    <w:rsid w:val="000D683C"/>
    <w:rsid w:val="000D6949"/>
    <w:rsid w:val="000D6A3B"/>
    <w:rsid w:val="000D6CDC"/>
    <w:rsid w:val="000D6F65"/>
    <w:rsid w:val="000D7403"/>
    <w:rsid w:val="000D7468"/>
    <w:rsid w:val="000D7509"/>
    <w:rsid w:val="000D76E1"/>
    <w:rsid w:val="000D7746"/>
    <w:rsid w:val="000D77DE"/>
    <w:rsid w:val="000D7BB8"/>
    <w:rsid w:val="000D7CBB"/>
    <w:rsid w:val="000D7E20"/>
    <w:rsid w:val="000E01DB"/>
    <w:rsid w:val="000E02AC"/>
    <w:rsid w:val="000E050F"/>
    <w:rsid w:val="000E051C"/>
    <w:rsid w:val="000E0545"/>
    <w:rsid w:val="000E090D"/>
    <w:rsid w:val="000E0B63"/>
    <w:rsid w:val="000E0E8A"/>
    <w:rsid w:val="000E0F0A"/>
    <w:rsid w:val="000E0F46"/>
    <w:rsid w:val="000E107A"/>
    <w:rsid w:val="000E130D"/>
    <w:rsid w:val="000E1338"/>
    <w:rsid w:val="000E13BA"/>
    <w:rsid w:val="000E13DC"/>
    <w:rsid w:val="000E144F"/>
    <w:rsid w:val="000E1708"/>
    <w:rsid w:val="000E19B6"/>
    <w:rsid w:val="000E1BD9"/>
    <w:rsid w:val="000E1F39"/>
    <w:rsid w:val="000E218B"/>
    <w:rsid w:val="000E22AE"/>
    <w:rsid w:val="000E282C"/>
    <w:rsid w:val="000E2856"/>
    <w:rsid w:val="000E2951"/>
    <w:rsid w:val="000E2E32"/>
    <w:rsid w:val="000E2F7E"/>
    <w:rsid w:val="000E3047"/>
    <w:rsid w:val="000E306C"/>
    <w:rsid w:val="000E3074"/>
    <w:rsid w:val="000E32B9"/>
    <w:rsid w:val="000E3350"/>
    <w:rsid w:val="000E36D0"/>
    <w:rsid w:val="000E38C3"/>
    <w:rsid w:val="000E39E9"/>
    <w:rsid w:val="000E3A73"/>
    <w:rsid w:val="000E3AD5"/>
    <w:rsid w:val="000E3BD8"/>
    <w:rsid w:val="000E3C0C"/>
    <w:rsid w:val="000E3E1F"/>
    <w:rsid w:val="000E3FC7"/>
    <w:rsid w:val="000E411E"/>
    <w:rsid w:val="000E461C"/>
    <w:rsid w:val="000E4668"/>
    <w:rsid w:val="000E4870"/>
    <w:rsid w:val="000E4988"/>
    <w:rsid w:val="000E4B23"/>
    <w:rsid w:val="000E4D1B"/>
    <w:rsid w:val="000E4DBC"/>
    <w:rsid w:val="000E4EFD"/>
    <w:rsid w:val="000E4FB2"/>
    <w:rsid w:val="000E51A0"/>
    <w:rsid w:val="000E52A6"/>
    <w:rsid w:val="000E538D"/>
    <w:rsid w:val="000E5491"/>
    <w:rsid w:val="000E553B"/>
    <w:rsid w:val="000E583E"/>
    <w:rsid w:val="000E59D0"/>
    <w:rsid w:val="000E5A54"/>
    <w:rsid w:val="000E5BAA"/>
    <w:rsid w:val="000E6106"/>
    <w:rsid w:val="000E6174"/>
    <w:rsid w:val="000E629D"/>
    <w:rsid w:val="000E664B"/>
    <w:rsid w:val="000E6A14"/>
    <w:rsid w:val="000E6AB2"/>
    <w:rsid w:val="000E6BE5"/>
    <w:rsid w:val="000E6C9B"/>
    <w:rsid w:val="000E6D9D"/>
    <w:rsid w:val="000E72F5"/>
    <w:rsid w:val="000E75AF"/>
    <w:rsid w:val="000E772D"/>
    <w:rsid w:val="000E7909"/>
    <w:rsid w:val="000E7A86"/>
    <w:rsid w:val="000E7D4E"/>
    <w:rsid w:val="000E7DA3"/>
    <w:rsid w:val="000F0070"/>
    <w:rsid w:val="000F01E2"/>
    <w:rsid w:val="000F0362"/>
    <w:rsid w:val="000F054A"/>
    <w:rsid w:val="000F0637"/>
    <w:rsid w:val="000F0839"/>
    <w:rsid w:val="000F08C0"/>
    <w:rsid w:val="000F0B51"/>
    <w:rsid w:val="000F0BCA"/>
    <w:rsid w:val="000F0EDC"/>
    <w:rsid w:val="000F101B"/>
    <w:rsid w:val="000F1171"/>
    <w:rsid w:val="000F135B"/>
    <w:rsid w:val="000F1561"/>
    <w:rsid w:val="000F1659"/>
    <w:rsid w:val="000F1819"/>
    <w:rsid w:val="000F189D"/>
    <w:rsid w:val="000F19BF"/>
    <w:rsid w:val="000F1A8A"/>
    <w:rsid w:val="000F1C4E"/>
    <w:rsid w:val="000F1F1E"/>
    <w:rsid w:val="000F2182"/>
    <w:rsid w:val="000F2305"/>
    <w:rsid w:val="000F245E"/>
    <w:rsid w:val="000F2723"/>
    <w:rsid w:val="000F2746"/>
    <w:rsid w:val="000F2BFE"/>
    <w:rsid w:val="000F2D02"/>
    <w:rsid w:val="000F2E0D"/>
    <w:rsid w:val="000F2EC1"/>
    <w:rsid w:val="000F2ED4"/>
    <w:rsid w:val="000F2FEE"/>
    <w:rsid w:val="000F3012"/>
    <w:rsid w:val="000F315B"/>
    <w:rsid w:val="000F3163"/>
    <w:rsid w:val="000F320F"/>
    <w:rsid w:val="000F3763"/>
    <w:rsid w:val="000F3A9D"/>
    <w:rsid w:val="000F3D11"/>
    <w:rsid w:val="000F4541"/>
    <w:rsid w:val="000F463F"/>
    <w:rsid w:val="000F471D"/>
    <w:rsid w:val="000F48D0"/>
    <w:rsid w:val="000F4930"/>
    <w:rsid w:val="000F4AB4"/>
    <w:rsid w:val="000F4B2E"/>
    <w:rsid w:val="000F4F16"/>
    <w:rsid w:val="000F4FCF"/>
    <w:rsid w:val="000F5452"/>
    <w:rsid w:val="000F550F"/>
    <w:rsid w:val="000F5759"/>
    <w:rsid w:val="000F5BB4"/>
    <w:rsid w:val="000F5CF8"/>
    <w:rsid w:val="000F62A2"/>
    <w:rsid w:val="000F6460"/>
    <w:rsid w:val="000F681C"/>
    <w:rsid w:val="000F69A1"/>
    <w:rsid w:val="000F6BED"/>
    <w:rsid w:val="000F6CE7"/>
    <w:rsid w:val="000F6E23"/>
    <w:rsid w:val="000F6F58"/>
    <w:rsid w:val="000F73AB"/>
    <w:rsid w:val="000F74A7"/>
    <w:rsid w:val="000F75BE"/>
    <w:rsid w:val="000F76C3"/>
    <w:rsid w:val="000F7810"/>
    <w:rsid w:val="000F791E"/>
    <w:rsid w:val="00100063"/>
    <w:rsid w:val="00100089"/>
    <w:rsid w:val="00100101"/>
    <w:rsid w:val="0010028B"/>
    <w:rsid w:val="0010029E"/>
    <w:rsid w:val="00100356"/>
    <w:rsid w:val="00100389"/>
    <w:rsid w:val="001003C2"/>
    <w:rsid w:val="001003E1"/>
    <w:rsid w:val="001005FB"/>
    <w:rsid w:val="001006CA"/>
    <w:rsid w:val="0010074B"/>
    <w:rsid w:val="0010087B"/>
    <w:rsid w:val="0010090D"/>
    <w:rsid w:val="001009AF"/>
    <w:rsid w:val="00100B25"/>
    <w:rsid w:val="00100B4E"/>
    <w:rsid w:val="00100BC9"/>
    <w:rsid w:val="001011B8"/>
    <w:rsid w:val="001012EA"/>
    <w:rsid w:val="001015AB"/>
    <w:rsid w:val="0010174D"/>
    <w:rsid w:val="001017AE"/>
    <w:rsid w:val="00101B18"/>
    <w:rsid w:val="00101CFF"/>
    <w:rsid w:val="00101D21"/>
    <w:rsid w:val="00101E52"/>
    <w:rsid w:val="00101F17"/>
    <w:rsid w:val="00101F49"/>
    <w:rsid w:val="00101F98"/>
    <w:rsid w:val="00102074"/>
    <w:rsid w:val="0010215B"/>
    <w:rsid w:val="00102165"/>
    <w:rsid w:val="00102230"/>
    <w:rsid w:val="0010239C"/>
    <w:rsid w:val="0010266F"/>
    <w:rsid w:val="001026BB"/>
    <w:rsid w:val="001027CD"/>
    <w:rsid w:val="0010299C"/>
    <w:rsid w:val="00102E37"/>
    <w:rsid w:val="001031C3"/>
    <w:rsid w:val="001032EA"/>
    <w:rsid w:val="0010350B"/>
    <w:rsid w:val="0010379E"/>
    <w:rsid w:val="00103B2D"/>
    <w:rsid w:val="00103BDC"/>
    <w:rsid w:val="00103C2F"/>
    <w:rsid w:val="0010407D"/>
    <w:rsid w:val="001040E3"/>
    <w:rsid w:val="00104169"/>
    <w:rsid w:val="00104189"/>
    <w:rsid w:val="001043D0"/>
    <w:rsid w:val="001043F7"/>
    <w:rsid w:val="00104548"/>
    <w:rsid w:val="00104656"/>
    <w:rsid w:val="0010494D"/>
    <w:rsid w:val="00104E9B"/>
    <w:rsid w:val="001050DA"/>
    <w:rsid w:val="00105156"/>
    <w:rsid w:val="00105195"/>
    <w:rsid w:val="001051C8"/>
    <w:rsid w:val="0010527D"/>
    <w:rsid w:val="00105283"/>
    <w:rsid w:val="001052FE"/>
    <w:rsid w:val="001053A7"/>
    <w:rsid w:val="001053DB"/>
    <w:rsid w:val="00105627"/>
    <w:rsid w:val="001058DB"/>
    <w:rsid w:val="00105C0F"/>
    <w:rsid w:val="00105C44"/>
    <w:rsid w:val="00106071"/>
    <w:rsid w:val="001060EA"/>
    <w:rsid w:val="001061F9"/>
    <w:rsid w:val="0010635F"/>
    <w:rsid w:val="00106389"/>
    <w:rsid w:val="001064C0"/>
    <w:rsid w:val="001065C5"/>
    <w:rsid w:val="001066C6"/>
    <w:rsid w:val="00106799"/>
    <w:rsid w:val="001067E6"/>
    <w:rsid w:val="00106B24"/>
    <w:rsid w:val="00106C29"/>
    <w:rsid w:val="00106D40"/>
    <w:rsid w:val="00106FC8"/>
    <w:rsid w:val="00107465"/>
    <w:rsid w:val="001074B8"/>
    <w:rsid w:val="001078CD"/>
    <w:rsid w:val="0010791C"/>
    <w:rsid w:val="001079CF"/>
    <w:rsid w:val="00107AC4"/>
    <w:rsid w:val="00107AD8"/>
    <w:rsid w:val="00107F09"/>
    <w:rsid w:val="0011003B"/>
    <w:rsid w:val="00110148"/>
    <w:rsid w:val="001103FE"/>
    <w:rsid w:val="0011062B"/>
    <w:rsid w:val="00110C0F"/>
    <w:rsid w:val="0011112A"/>
    <w:rsid w:val="00111156"/>
    <w:rsid w:val="001111D3"/>
    <w:rsid w:val="001113B6"/>
    <w:rsid w:val="00111587"/>
    <w:rsid w:val="00111613"/>
    <w:rsid w:val="00111637"/>
    <w:rsid w:val="0011172E"/>
    <w:rsid w:val="0011198D"/>
    <w:rsid w:val="00111A69"/>
    <w:rsid w:val="00111D0A"/>
    <w:rsid w:val="00111DD8"/>
    <w:rsid w:val="00111EA9"/>
    <w:rsid w:val="00112069"/>
    <w:rsid w:val="001120A2"/>
    <w:rsid w:val="00112318"/>
    <w:rsid w:val="0011238C"/>
    <w:rsid w:val="001127B4"/>
    <w:rsid w:val="00112A5B"/>
    <w:rsid w:val="00112A7A"/>
    <w:rsid w:val="00112C8E"/>
    <w:rsid w:val="00112EC1"/>
    <w:rsid w:val="0011308A"/>
    <w:rsid w:val="00113143"/>
    <w:rsid w:val="00113256"/>
    <w:rsid w:val="0011336C"/>
    <w:rsid w:val="0011345C"/>
    <w:rsid w:val="00113889"/>
    <w:rsid w:val="0011398F"/>
    <w:rsid w:val="00113A8A"/>
    <w:rsid w:val="00114140"/>
    <w:rsid w:val="001141E9"/>
    <w:rsid w:val="0011441C"/>
    <w:rsid w:val="0011454A"/>
    <w:rsid w:val="00114595"/>
    <w:rsid w:val="001145A0"/>
    <w:rsid w:val="001146B5"/>
    <w:rsid w:val="0011472A"/>
    <w:rsid w:val="0011484B"/>
    <w:rsid w:val="001148E8"/>
    <w:rsid w:val="00114A84"/>
    <w:rsid w:val="00114BE0"/>
    <w:rsid w:val="00114D19"/>
    <w:rsid w:val="00114FE0"/>
    <w:rsid w:val="00115158"/>
    <w:rsid w:val="001152FE"/>
    <w:rsid w:val="00115486"/>
    <w:rsid w:val="00115586"/>
    <w:rsid w:val="001155C0"/>
    <w:rsid w:val="001155D9"/>
    <w:rsid w:val="00115668"/>
    <w:rsid w:val="0011566E"/>
    <w:rsid w:val="0011572B"/>
    <w:rsid w:val="00115A1F"/>
    <w:rsid w:val="00115B9F"/>
    <w:rsid w:val="00115D9B"/>
    <w:rsid w:val="00115E7A"/>
    <w:rsid w:val="001161A7"/>
    <w:rsid w:val="00116283"/>
    <w:rsid w:val="00116299"/>
    <w:rsid w:val="00116540"/>
    <w:rsid w:val="0011698C"/>
    <w:rsid w:val="00116A65"/>
    <w:rsid w:val="00116BF4"/>
    <w:rsid w:val="00116EAC"/>
    <w:rsid w:val="00117193"/>
    <w:rsid w:val="00117330"/>
    <w:rsid w:val="00117335"/>
    <w:rsid w:val="00117513"/>
    <w:rsid w:val="00117719"/>
    <w:rsid w:val="001179B0"/>
    <w:rsid w:val="00117E1A"/>
    <w:rsid w:val="00117E7B"/>
    <w:rsid w:val="00117E7C"/>
    <w:rsid w:val="001201F1"/>
    <w:rsid w:val="001204F1"/>
    <w:rsid w:val="0012062B"/>
    <w:rsid w:val="001206DE"/>
    <w:rsid w:val="00120854"/>
    <w:rsid w:val="001209C5"/>
    <w:rsid w:val="00120B6F"/>
    <w:rsid w:val="00120BAF"/>
    <w:rsid w:val="00120D8D"/>
    <w:rsid w:val="00120E2A"/>
    <w:rsid w:val="00120F60"/>
    <w:rsid w:val="00121416"/>
    <w:rsid w:val="00121434"/>
    <w:rsid w:val="00121685"/>
    <w:rsid w:val="00121750"/>
    <w:rsid w:val="001217D7"/>
    <w:rsid w:val="001219A6"/>
    <w:rsid w:val="00121AB7"/>
    <w:rsid w:val="00121D04"/>
    <w:rsid w:val="00121DE9"/>
    <w:rsid w:val="00122154"/>
    <w:rsid w:val="00122200"/>
    <w:rsid w:val="001227F0"/>
    <w:rsid w:val="0012283B"/>
    <w:rsid w:val="00122DCD"/>
    <w:rsid w:val="00123172"/>
    <w:rsid w:val="001233B7"/>
    <w:rsid w:val="00123562"/>
    <w:rsid w:val="0012359A"/>
    <w:rsid w:val="001238C9"/>
    <w:rsid w:val="00123931"/>
    <w:rsid w:val="00123ABC"/>
    <w:rsid w:val="00123B2C"/>
    <w:rsid w:val="00123C59"/>
    <w:rsid w:val="00123D37"/>
    <w:rsid w:val="0012435A"/>
    <w:rsid w:val="001243DC"/>
    <w:rsid w:val="001247D8"/>
    <w:rsid w:val="001248CB"/>
    <w:rsid w:val="00124CA1"/>
    <w:rsid w:val="00124CCC"/>
    <w:rsid w:val="00124D86"/>
    <w:rsid w:val="00124FA2"/>
    <w:rsid w:val="00125386"/>
    <w:rsid w:val="00125549"/>
    <w:rsid w:val="00125962"/>
    <w:rsid w:val="0012599F"/>
    <w:rsid w:val="00125A0B"/>
    <w:rsid w:val="00125A25"/>
    <w:rsid w:val="00125BA5"/>
    <w:rsid w:val="00125BF2"/>
    <w:rsid w:val="00125F0A"/>
    <w:rsid w:val="00126266"/>
    <w:rsid w:val="00126491"/>
    <w:rsid w:val="001264F3"/>
    <w:rsid w:val="001268F1"/>
    <w:rsid w:val="00126B62"/>
    <w:rsid w:val="00126BEB"/>
    <w:rsid w:val="0012711F"/>
    <w:rsid w:val="0012712A"/>
    <w:rsid w:val="001271F0"/>
    <w:rsid w:val="001272E3"/>
    <w:rsid w:val="0012735A"/>
    <w:rsid w:val="00127393"/>
    <w:rsid w:val="0012743F"/>
    <w:rsid w:val="00127460"/>
    <w:rsid w:val="001275A3"/>
    <w:rsid w:val="00127971"/>
    <w:rsid w:val="00127B98"/>
    <w:rsid w:val="00127D00"/>
    <w:rsid w:val="00127E78"/>
    <w:rsid w:val="00127E9D"/>
    <w:rsid w:val="00127F54"/>
    <w:rsid w:val="001302F3"/>
    <w:rsid w:val="001303EA"/>
    <w:rsid w:val="001304FB"/>
    <w:rsid w:val="0013051C"/>
    <w:rsid w:val="00130567"/>
    <w:rsid w:val="00130EEB"/>
    <w:rsid w:val="00130F8F"/>
    <w:rsid w:val="001311DF"/>
    <w:rsid w:val="001314EB"/>
    <w:rsid w:val="00131506"/>
    <w:rsid w:val="00131672"/>
    <w:rsid w:val="00131B62"/>
    <w:rsid w:val="00131BD6"/>
    <w:rsid w:val="00131C54"/>
    <w:rsid w:val="00131F5D"/>
    <w:rsid w:val="001320C5"/>
    <w:rsid w:val="0013216A"/>
    <w:rsid w:val="00132293"/>
    <w:rsid w:val="001322C1"/>
    <w:rsid w:val="00132360"/>
    <w:rsid w:val="00132694"/>
    <w:rsid w:val="00132945"/>
    <w:rsid w:val="00132A2D"/>
    <w:rsid w:val="00132AF1"/>
    <w:rsid w:val="00132CD7"/>
    <w:rsid w:val="00132DE2"/>
    <w:rsid w:val="001331F5"/>
    <w:rsid w:val="0013320A"/>
    <w:rsid w:val="001339BD"/>
    <w:rsid w:val="00133BBB"/>
    <w:rsid w:val="001340E6"/>
    <w:rsid w:val="0013413F"/>
    <w:rsid w:val="0013416B"/>
    <w:rsid w:val="001341BD"/>
    <w:rsid w:val="00134341"/>
    <w:rsid w:val="00134342"/>
    <w:rsid w:val="001346B3"/>
    <w:rsid w:val="0013473B"/>
    <w:rsid w:val="001347DB"/>
    <w:rsid w:val="001351BB"/>
    <w:rsid w:val="0013540A"/>
    <w:rsid w:val="0013565B"/>
    <w:rsid w:val="00135674"/>
    <w:rsid w:val="00135978"/>
    <w:rsid w:val="001359B7"/>
    <w:rsid w:val="00135A6D"/>
    <w:rsid w:val="00135AF3"/>
    <w:rsid w:val="00135CD4"/>
    <w:rsid w:val="00135DE5"/>
    <w:rsid w:val="00135DEF"/>
    <w:rsid w:val="00135FE0"/>
    <w:rsid w:val="00136082"/>
    <w:rsid w:val="001362C3"/>
    <w:rsid w:val="001363F7"/>
    <w:rsid w:val="001364B1"/>
    <w:rsid w:val="001366D0"/>
    <w:rsid w:val="00136843"/>
    <w:rsid w:val="001369A6"/>
    <w:rsid w:val="00136AAE"/>
    <w:rsid w:val="00136B3A"/>
    <w:rsid w:val="00136CFF"/>
    <w:rsid w:val="00136DDA"/>
    <w:rsid w:val="00136E6A"/>
    <w:rsid w:val="00136F19"/>
    <w:rsid w:val="00137084"/>
    <w:rsid w:val="001371F9"/>
    <w:rsid w:val="0013723D"/>
    <w:rsid w:val="001375B7"/>
    <w:rsid w:val="0013764D"/>
    <w:rsid w:val="00137692"/>
    <w:rsid w:val="0013769D"/>
    <w:rsid w:val="001376A6"/>
    <w:rsid w:val="0013772C"/>
    <w:rsid w:val="00137738"/>
    <w:rsid w:val="00137B1D"/>
    <w:rsid w:val="00137E92"/>
    <w:rsid w:val="00140183"/>
    <w:rsid w:val="00140336"/>
    <w:rsid w:val="001403A6"/>
    <w:rsid w:val="00140407"/>
    <w:rsid w:val="001405C4"/>
    <w:rsid w:val="001405E6"/>
    <w:rsid w:val="0014092F"/>
    <w:rsid w:val="00140B05"/>
    <w:rsid w:val="00140E56"/>
    <w:rsid w:val="0014118F"/>
    <w:rsid w:val="0014172C"/>
    <w:rsid w:val="001418C3"/>
    <w:rsid w:val="00141D19"/>
    <w:rsid w:val="00141E6A"/>
    <w:rsid w:val="00141E9C"/>
    <w:rsid w:val="00141F12"/>
    <w:rsid w:val="00141F29"/>
    <w:rsid w:val="00141F2C"/>
    <w:rsid w:val="00141FF4"/>
    <w:rsid w:val="0014201A"/>
    <w:rsid w:val="00142044"/>
    <w:rsid w:val="00142050"/>
    <w:rsid w:val="001421AB"/>
    <w:rsid w:val="0014233A"/>
    <w:rsid w:val="00142828"/>
    <w:rsid w:val="00142829"/>
    <w:rsid w:val="001428EC"/>
    <w:rsid w:val="00142A18"/>
    <w:rsid w:val="00142B2B"/>
    <w:rsid w:val="00142BF1"/>
    <w:rsid w:val="00142CE6"/>
    <w:rsid w:val="00142DA4"/>
    <w:rsid w:val="001430DE"/>
    <w:rsid w:val="00143133"/>
    <w:rsid w:val="001431F5"/>
    <w:rsid w:val="0014328F"/>
    <w:rsid w:val="00143301"/>
    <w:rsid w:val="00143434"/>
    <w:rsid w:val="00143717"/>
    <w:rsid w:val="00143974"/>
    <w:rsid w:val="00143AF1"/>
    <w:rsid w:val="00143DAF"/>
    <w:rsid w:val="00143DBB"/>
    <w:rsid w:val="00143E57"/>
    <w:rsid w:val="00143EB9"/>
    <w:rsid w:val="0014408F"/>
    <w:rsid w:val="001442C6"/>
    <w:rsid w:val="001442FD"/>
    <w:rsid w:val="00144424"/>
    <w:rsid w:val="0014474B"/>
    <w:rsid w:val="00144796"/>
    <w:rsid w:val="001448C2"/>
    <w:rsid w:val="00144960"/>
    <w:rsid w:val="00144B0C"/>
    <w:rsid w:val="00144BA1"/>
    <w:rsid w:val="00144F58"/>
    <w:rsid w:val="00144FCD"/>
    <w:rsid w:val="001450B8"/>
    <w:rsid w:val="00145241"/>
    <w:rsid w:val="001453E2"/>
    <w:rsid w:val="001458AA"/>
    <w:rsid w:val="00145939"/>
    <w:rsid w:val="001459AA"/>
    <w:rsid w:val="00146036"/>
    <w:rsid w:val="001460E1"/>
    <w:rsid w:val="001463BD"/>
    <w:rsid w:val="001463CF"/>
    <w:rsid w:val="0014641D"/>
    <w:rsid w:val="0014694E"/>
    <w:rsid w:val="00146A98"/>
    <w:rsid w:val="00146B4F"/>
    <w:rsid w:val="00146B56"/>
    <w:rsid w:val="00146CFC"/>
    <w:rsid w:val="00146E58"/>
    <w:rsid w:val="0014708F"/>
    <w:rsid w:val="001471A1"/>
    <w:rsid w:val="00147809"/>
    <w:rsid w:val="001479DC"/>
    <w:rsid w:val="00147F5F"/>
    <w:rsid w:val="00147F6D"/>
    <w:rsid w:val="001500B9"/>
    <w:rsid w:val="001500D9"/>
    <w:rsid w:val="00150353"/>
    <w:rsid w:val="00150415"/>
    <w:rsid w:val="001504A2"/>
    <w:rsid w:val="001506C9"/>
    <w:rsid w:val="0015081B"/>
    <w:rsid w:val="0015087A"/>
    <w:rsid w:val="00150A01"/>
    <w:rsid w:val="00150AEC"/>
    <w:rsid w:val="00150E32"/>
    <w:rsid w:val="00151354"/>
    <w:rsid w:val="001515A5"/>
    <w:rsid w:val="00151769"/>
    <w:rsid w:val="00151AFD"/>
    <w:rsid w:val="00151DCD"/>
    <w:rsid w:val="00151E23"/>
    <w:rsid w:val="00151E97"/>
    <w:rsid w:val="00151EB9"/>
    <w:rsid w:val="00151EF3"/>
    <w:rsid w:val="00151F07"/>
    <w:rsid w:val="0015206A"/>
    <w:rsid w:val="00152167"/>
    <w:rsid w:val="001521D5"/>
    <w:rsid w:val="001524E0"/>
    <w:rsid w:val="0015251F"/>
    <w:rsid w:val="0015274C"/>
    <w:rsid w:val="001528E7"/>
    <w:rsid w:val="00152944"/>
    <w:rsid w:val="00152AA4"/>
    <w:rsid w:val="00152D75"/>
    <w:rsid w:val="00152E29"/>
    <w:rsid w:val="00152E2F"/>
    <w:rsid w:val="00153171"/>
    <w:rsid w:val="00153213"/>
    <w:rsid w:val="001539B0"/>
    <w:rsid w:val="00153A79"/>
    <w:rsid w:val="00154127"/>
    <w:rsid w:val="00154315"/>
    <w:rsid w:val="0015436F"/>
    <w:rsid w:val="00154455"/>
    <w:rsid w:val="0015465A"/>
    <w:rsid w:val="00154801"/>
    <w:rsid w:val="00154959"/>
    <w:rsid w:val="001549E8"/>
    <w:rsid w:val="00154AFC"/>
    <w:rsid w:val="00154C9F"/>
    <w:rsid w:val="00154D11"/>
    <w:rsid w:val="00154D68"/>
    <w:rsid w:val="00154DE4"/>
    <w:rsid w:val="00154DEE"/>
    <w:rsid w:val="00154FD8"/>
    <w:rsid w:val="001550C7"/>
    <w:rsid w:val="0015513C"/>
    <w:rsid w:val="001557F1"/>
    <w:rsid w:val="00155880"/>
    <w:rsid w:val="00155EA5"/>
    <w:rsid w:val="00156001"/>
    <w:rsid w:val="0015666E"/>
    <w:rsid w:val="001566AD"/>
    <w:rsid w:val="001567B5"/>
    <w:rsid w:val="001568A5"/>
    <w:rsid w:val="00156923"/>
    <w:rsid w:val="00156A86"/>
    <w:rsid w:val="00156B78"/>
    <w:rsid w:val="001570A5"/>
    <w:rsid w:val="0015715C"/>
    <w:rsid w:val="001571BF"/>
    <w:rsid w:val="0015720A"/>
    <w:rsid w:val="0015736C"/>
    <w:rsid w:val="0015736E"/>
    <w:rsid w:val="0015741B"/>
    <w:rsid w:val="001574E9"/>
    <w:rsid w:val="00157564"/>
    <w:rsid w:val="00157F41"/>
    <w:rsid w:val="001601E2"/>
    <w:rsid w:val="001603AF"/>
    <w:rsid w:val="00160792"/>
    <w:rsid w:val="00160842"/>
    <w:rsid w:val="001608C4"/>
    <w:rsid w:val="00160B99"/>
    <w:rsid w:val="00160BB3"/>
    <w:rsid w:val="00160E6D"/>
    <w:rsid w:val="0016104A"/>
    <w:rsid w:val="0016126F"/>
    <w:rsid w:val="00161315"/>
    <w:rsid w:val="001613A9"/>
    <w:rsid w:val="0016147A"/>
    <w:rsid w:val="001616E5"/>
    <w:rsid w:val="001619A8"/>
    <w:rsid w:val="00161AC6"/>
    <w:rsid w:val="00161D08"/>
    <w:rsid w:val="00161EB9"/>
    <w:rsid w:val="0016217C"/>
    <w:rsid w:val="00162258"/>
    <w:rsid w:val="00162477"/>
    <w:rsid w:val="00162774"/>
    <w:rsid w:val="00162837"/>
    <w:rsid w:val="00162A85"/>
    <w:rsid w:val="00162BB4"/>
    <w:rsid w:val="00162C90"/>
    <w:rsid w:val="00162CD8"/>
    <w:rsid w:val="00162D16"/>
    <w:rsid w:val="00162F56"/>
    <w:rsid w:val="00163094"/>
    <w:rsid w:val="001630BA"/>
    <w:rsid w:val="0016315E"/>
    <w:rsid w:val="001631AE"/>
    <w:rsid w:val="0016321F"/>
    <w:rsid w:val="0016344C"/>
    <w:rsid w:val="0016348D"/>
    <w:rsid w:val="001634C0"/>
    <w:rsid w:val="00163628"/>
    <w:rsid w:val="00163730"/>
    <w:rsid w:val="001637A6"/>
    <w:rsid w:val="00163E8E"/>
    <w:rsid w:val="00164411"/>
    <w:rsid w:val="00164531"/>
    <w:rsid w:val="001645CC"/>
    <w:rsid w:val="00164835"/>
    <w:rsid w:val="0016492B"/>
    <w:rsid w:val="00164F94"/>
    <w:rsid w:val="00164F9F"/>
    <w:rsid w:val="00164FAA"/>
    <w:rsid w:val="001653CA"/>
    <w:rsid w:val="00165429"/>
    <w:rsid w:val="001654CA"/>
    <w:rsid w:val="00165754"/>
    <w:rsid w:val="001657A9"/>
    <w:rsid w:val="001658CD"/>
    <w:rsid w:val="00165DE2"/>
    <w:rsid w:val="00165E2F"/>
    <w:rsid w:val="0016678D"/>
    <w:rsid w:val="001668F4"/>
    <w:rsid w:val="00166AA4"/>
    <w:rsid w:val="00166AA7"/>
    <w:rsid w:val="00166BF5"/>
    <w:rsid w:val="00166D8C"/>
    <w:rsid w:val="00167094"/>
    <w:rsid w:val="00167206"/>
    <w:rsid w:val="001672BD"/>
    <w:rsid w:val="0016748A"/>
    <w:rsid w:val="00167620"/>
    <w:rsid w:val="00167672"/>
    <w:rsid w:val="001676BA"/>
    <w:rsid w:val="00167737"/>
    <w:rsid w:val="00167892"/>
    <w:rsid w:val="00167964"/>
    <w:rsid w:val="00167A6C"/>
    <w:rsid w:val="00167BA8"/>
    <w:rsid w:val="00167C17"/>
    <w:rsid w:val="00167F08"/>
    <w:rsid w:val="00167F53"/>
    <w:rsid w:val="00167F69"/>
    <w:rsid w:val="00167F6D"/>
    <w:rsid w:val="0017006B"/>
    <w:rsid w:val="001700C1"/>
    <w:rsid w:val="0017011C"/>
    <w:rsid w:val="0017011E"/>
    <w:rsid w:val="0017030D"/>
    <w:rsid w:val="0017057E"/>
    <w:rsid w:val="001705D8"/>
    <w:rsid w:val="00170803"/>
    <w:rsid w:val="0017082F"/>
    <w:rsid w:val="00170877"/>
    <w:rsid w:val="001708C9"/>
    <w:rsid w:val="00170941"/>
    <w:rsid w:val="001709A6"/>
    <w:rsid w:val="00170A2F"/>
    <w:rsid w:val="00170AEE"/>
    <w:rsid w:val="00170B89"/>
    <w:rsid w:val="00170BE0"/>
    <w:rsid w:val="00170EE4"/>
    <w:rsid w:val="00170F2E"/>
    <w:rsid w:val="00170FAE"/>
    <w:rsid w:val="00171125"/>
    <w:rsid w:val="001712F8"/>
    <w:rsid w:val="0017140F"/>
    <w:rsid w:val="00171B5F"/>
    <w:rsid w:val="00171C0A"/>
    <w:rsid w:val="00171C90"/>
    <w:rsid w:val="001722CC"/>
    <w:rsid w:val="0017245A"/>
    <w:rsid w:val="0017268B"/>
    <w:rsid w:val="001727FB"/>
    <w:rsid w:val="001728B6"/>
    <w:rsid w:val="00172940"/>
    <w:rsid w:val="00172B0A"/>
    <w:rsid w:val="00172B62"/>
    <w:rsid w:val="00172DFD"/>
    <w:rsid w:val="00172E76"/>
    <w:rsid w:val="00172FC4"/>
    <w:rsid w:val="001732E3"/>
    <w:rsid w:val="001736E9"/>
    <w:rsid w:val="00173A8A"/>
    <w:rsid w:val="00173E18"/>
    <w:rsid w:val="00174011"/>
    <w:rsid w:val="00174162"/>
    <w:rsid w:val="00174227"/>
    <w:rsid w:val="0017429D"/>
    <w:rsid w:val="00174452"/>
    <w:rsid w:val="0017447F"/>
    <w:rsid w:val="00174481"/>
    <w:rsid w:val="0017460E"/>
    <w:rsid w:val="001746B0"/>
    <w:rsid w:val="00174805"/>
    <w:rsid w:val="0017491A"/>
    <w:rsid w:val="00174A69"/>
    <w:rsid w:val="00174AB1"/>
    <w:rsid w:val="00174ACE"/>
    <w:rsid w:val="0017502C"/>
    <w:rsid w:val="00175070"/>
    <w:rsid w:val="001750F5"/>
    <w:rsid w:val="00175164"/>
    <w:rsid w:val="001754F8"/>
    <w:rsid w:val="00175600"/>
    <w:rsid w:val="00175677"/>
    <w:rsid w:val="0017592E"/>
    <w:rsid w:val="00175943"/>
    <w:rsid w:val="001759C3"/>
    <w:rsid w:val="00175A63"/>
    <w:rsid w:val="00175E3E"/>
    <w:rsid w:val="00176032"/>
    <w:rsid w:val="00176088"/>
    <w:rsid w:val="001760D9"/>
    <w:rsid w:val="001760F1"/>
    <w:rsid w:val="00176190"/>
    <w:rsid w:val="0017658B"/>
    <w:rsid w:val="00176591"/>
    <w:rsid w:val="00176726"/>
    <w:rsid w:val="001769AD"/>
    <w:rsid w:val="00176A3E"/>
    <w:rsid w:val="00176C32"/>
    <w:rsid w:val="0017748C"/>
    <w:rsid w:val="00177508"/>
    <w:rsid w:val="001775B9"/>
    <w:rsid w:val="001777AB"/>
    <w:rsid w:val="0017788A"/>
    <w:rsid w:val="00177CAC"/>
    <w:rsid w:val="00177D12"/>
    <w:rsid w:val="00177FBB"/>
    <w:rsid w:val="0018006D"/>
    <w:rsid w:val="001808B5"/>
    <w:rsid w:val="00180D38"/>
    <w:rsid w:val="00180D51"/>
    <w:rsid w:val="00180DD3"/>
    <w:rsid w:val="0018120B"/>
    <w:rsid w:val="0018133B"/>
    <w:rsid w:val="001813E7"/>
    <w:rsid w:val="00181434"/>
    <w:rsid w:val="0018164A"/>
    <w:rsid w:val="001817D8"/>
    <w:rsid w:val="001818B4"/>
    <w:rsid w:val="00181942"/>
    <w:rsid w:val="00181C43"/>
    <w:rsid w:val="00181E20"/>
    <w:rsid w:val="00181EA9"/>
    <w:rsid w:val="00181F8A"/>
    <w:rsid w:val="00181FB0"/>
    <w:rsid w:val="00182238"/>
    <w:rsid w:val="00182599"/>
    <w:rsid w:val="001826DE"/>
    <w:rsid w:val="00182832"/>
    <w:rsid w:val="00182949"/>
    <w:rsid w:val="00182A87"/>
    <w:rsid w:val="00182BF0"/>
    <w:rsid w:val="00182D90"/>
    <w:rsid w:val="00182EA3"/>
    <w:rsid w:val="001834B4"/>
    <w:rsid w:val="00183592"/>
    <w:rsid w:val="00183686"/>
    <w:rsid w:val="00183694"/>
    <w:rsid w:val="001836D8"/>
    <w:rsid w:val="00183AF1"/>
    <w:rsid w:val="00183C72"/>
    <w:rsid w:val="00183C74"/>
    <w:rsid w:val="00183C79"/>
    <w:rsid w:val="00184120"/>
    <w:rsid w:val="00184489"/>
    <w:rsid w:val="00184594"/>
    <w:rsid w:val="00184852"/>
    <w:rsid w:val="00184972"/>
    <w:rsid w:val="00184973"/>
    <w:rsid w:val="001849E1"/>
    <w:rsid w:val="00184BD4"/>
    <w:rsid w:val="00184EFB"/>
    <w:rsid w:val="00185130"/>
    <w:rsid w:val="00185131"/>
    <w:rsid w:val="0018530D"/>
    <w:rsid w:val="00185B1C"/>
    <w:rsid w:val="00185D17"/>
    <w:rsid w:val="00185D27"/>
    <w:rsid w:val="00186099"/>
    <w:rsid w:val="001861A4"/>
    <w:rsid w:val="0018628E"/>
    <w:rsid w:val="00186A71"/>
    <w:rsid w:val="00186B81"/>
    <w:rsid w:val="00186BB6"/>
    <w:rsid w:val="00186EE4"/>
    <w:rsid w:val="00186F51"/>
    <w:rsid w:val="00186F7C"/>
    <w:rsid w:val="00186FDC"/>
    <w:rsid w:val="001870B2"/>
    <w:rsid w:val="001870CF"/>
    <w:rsid w:val="00187230"/>
    <w:rsid w:val="00187402"/>
    <w:rsid w:val="001874E0"/>
    <w:rsid w:val="00187A74"/>
    <w:rsid w:val="00187B2A"/>
    <w:rsid w:val="00187CA4"/>
    <w:rsid w:val="00187FA0"/>
    <w:rsid w:val="00190102"/>
    <w:rsid w:val="001902F4"/>
    <w:rsid w:val="00190445"/>
    <w:rsid w:val="00190619"/>
    <w:rsid w:val="00190A1E"/>
    <w:rsid w:val="00190B07"/>
    <w:rsid w:val="00190B32"/>
    <w:rsid w:val="00190C9B"/>
    <w:rsid w:val="001912D5"/>
    <w:rsid w:val="00191690"/>
    <w:rsid w:val="001916B1"/>
    <w:rsid w:val="00191B18"/>
    <w:rsid w:val="00191BFD"/>
    <w:rsid w:val="00191BFF"/>
    <w:rsid w:val="00191D3A"/>
    <w:rsid w:val="00191D4D"/>
    <w:rsid w:val="00191FCF"/>
    <w:rsid w:val="001922F3"/>
    <w:rsid w:val="001923F6"/>
    <w:rsid w:val="00192546"/>
    <w:rsid w:val="0019257B"/>
    <w:rsid w:val="001929F1"/>
    <w:rsid w:val="00192BC1"/>
    <w:rsid w:val="00192D9B"/>
    <w:rsid w:val="00192E85"/>
    <w:rsid w:val="00192F74"/>
    <w:rsid w:val="001931D1"/>
    <w:rsid w:val="00193346"/>
    <w:rsid w:val="001935BD"/>
    <w:rsid w:val="0019371F"/>
    <w:rsid w:val="00193E6D"/>
    <w:rsid w:val="00193F82"/>
    <w:rsid w:val="00194235"/>
    <w:rsid w:val="0019436C"/>
    <w:rsid w:val="001943B2"/>
    <w:rsid w:val="001944DF"/>
    <w:rsid w:val="001945BA"/>
    <w:rsid w:val="00194B25"/>
    <w:rsid w:val="00194E61"/>
    <w:rsid w:val="00194E7E"/>
    <w:rsid w:val="001951E2"/>
    <w:rsid w:val="00195251"/>
    <w:rsid w:val="0019528D"/>
    <w:rsid w:val="001953C5"/>
    <w:rsid w:val="001958AE"/>
    <w:rsid w:val="001958DE"/>
    <w:rsid w:val="00195A17"/>
    <w:rsid w:val="00195A85"/>
    <w:rsid w:val="00195C86"/>
    <w:rsid w:val="00195C9C"/>
    <w:rsid w:val="00195DBF"/>
    <w:rsid w:val="0019606D"/>
    <w:rsid w:val="001962B3"/>
    <w:rsid w:val="00196535"/>
    <w:rsid w:val="001965E7"/>
    <w:rsid w:val="0019669A"/>
    <w:rsid w:val="001969A4"/>
    <w:rsid w:val="00196C5E"/>
    <w:rsid w:val="00196C67"/>
    <w:rsid w:val="00196CF8"/>
    <w:rsid w:val="00196D6B"/>
    <w:rsid w:val="00196E7F"/>
    <w:rsid w:val="001971A3"/>
    <w:rsid w:val="0019729B"/>
    <w:rsid w:val="00197388"/>
    <w:rsid w:val="0019742C"/>
    <w:rsid w:val="001976D9"/>
    <w:rsid w:val="00197B24"/>
    <w:rsid w:val="00197B8D"/>
    <w:rsid w:val="00197C4E"/>
    <w:rsid w:val="001A0412"/>
    <w:rsid w:val="001A041E"/>
    <w:rsid w:val="001A0641"/>
    <w:rsid w:val="001A06A6"/>
    <w:rsid w:val="001A0992"/>
    <w:rsid w:val="001A09D1"/>
    <w:rsid w:val="001A0ABF"/>
    <w:rsid w:val="001A0ADC"/>
    <w:rsid w:val="001A0D21"/>
    <w:rsid w:val="001A0F63"/>
    <w:rsid w:val="001A101C"/>
    <w:rsid w:val="001A1518"/>
    <w:rsid w:val="001A1529"/>
    <w:rsid w:val="001A180F"/>
    <w:rsid w:val="001A1825"/>
    <w:rsid w:val="001A1C3C"/>
    <w:rsid w:val="001A203E"/>
    <w:rsid w:val="001A23F3"/>
    <w:rsid w:val="001A2468"/>
    <w:rsid w:val="001A2642"/>
    <w:rsid w:val="001A281D"/>
    <w:rsid w:val="001A29D3"/>
    <w:rsid w:val="001A2B6C"/>
    <w:rsid w:val="001A2BBC"/>
    <w:rsid w:val="001A2BC1"/>
    <w:rsid w:val="001A31EC"/>
    <w:rsid w:val="001A3324"/>
    <w:rsid w:val="001A3525"/>
    <w:rsid w:val="001A3584"/>
    <w:rsid w:val="001A3A23"/>
    <w:rsid w:val="001A3A5C"/>
    <w:rsid w:val="001A3ED8"/>
    <w:rsid w:val="001A4291"/>
    <w:rsid w:val="001A44F3"/>
    <w:rsid w:val="001A48AF"/>
    <w:rsid w:val="001A4B1D"/>
    <w:rsid w:val="001A4CEB"/>
    <w:rsid w:val="001A5052"/>
    <w:rsid w:val="001A50A2"/>
    <w:rsid w:val="001A5209"/>
    <w:rsid w:val="001A53E1"/>
    <w:rsid w:val="001A5451"/>
    <w:rsid w:val="001A55E7"/>
    <w:rsid w:val="001A57AA"/>
    <w:rsid w:val="001A5A90"/>
    <w:rsid w:val="001A5A9A"/>
    <w:rsid w:val="001A5AC1"/>
    <w:rsid w:val="001A5B74"/>
    <w:rsid w:val="001A5BE5"/>
    <w:rsid w:val="001A5C67"/>
    <w:rsid w:val="001A5D3C"/>
    <w:rsid w:val="001A6041"/>
    <w:rsid w:val="001A60AD"/>
    <w:rsid w:val="001A6245"/>
    <w:rsid w:val="001A6819"/>
    <w:rsid w:val="001A69F2"/>
    <w:rsid w:val="001A6A93"/>
    <w:rsid w:val="001A70B4"/>
    <w:rsid w:val="001A713D"/>
    <w:rsid w:val="001A7269"/>
    <w:rsid w:val="001A782A"/>
    <w:rsid w:val="001A7D0B"/>
    <w:rsid w:val="001A7F64"/>
    <w:rsid w:val="001B0430"/>
    <w:rsid w:val="001B053B"/>
    <w:rsid w:val="001B0667"/>
    <w:rsid w:val="001B0829"/>
    <w:rsid w:val="001B0A08"/>
    <w:rsid w:val="001B0B74"/>
    <w:rsid w:val="001B10AD"/>
    <w:rsid w:val="001B1269"/>
    <w:rsid w:val="001B15CE"/>
    <w:rsid w:val="001B1974"/>
    <w:rsid w:val="001B1C70"/>
    <w:rsid w:val="001B1E36"/>
    <w:rsid w:val="001B1E6F"/>
    <w:rsid w:val="001B1EC9"/>
    <w:rsid w:val="001B211B"/>
    <w:rsid w:val="001B240B"/>
    <w:rsid w:val="001B2488"/>
    <w:rsid w:val="001B2745"/>
    <w:rsid w:val="001B28FE"/>
    <w:rsid w:val="001B29C5"/>
    <w:rsid w:val="001B2B6A"/>
    <w:rsid w:val="001B2C6D"/>
    <w:rsid w:val="001B3248"/>
    <w:rsid w:val="001B32C5"/>
    <w:rsid w:val="001B342E"/>
    <w:rsid w:val="001B351C"/>
    <w:rsid w:val="001B3787"/>
    <w:rsid w:val="001B3833"/>
    <w:rsid w:val="001B3AB6"/>
    <w:rsid w:val="001B3C46"/>
    <w:rsid w:val="001B3DAF"/>
    <w:rsid w:val="001B410B"/>
    <w:rsid w:val="001B410C"/>
    <w:rsid w:val="001B4426"/>
    <w:rsid w:val="001B4968"/>
    <w:rsid w:val="001B4ADB"/>
    <w:rsid w:val="001B4B2C"/>
    <w:rsid w:val="001B4B74"/>
    <w:rsid w:val="001B4BA5"/>
    <w:rsid w:val="001B4C06"/>
    <w:rsid w:val="001B51C8"/>
    <w:rsid w:val="001B550F"/>
    <w:rsid w:val="001B5543"/>
    <w:rsid w:val="001B55DD"/>
    <w:rsid w:val="001B5601"/>
    <w:rsid w:val="001B57D3"/>
    <w:rsid w:val="001B5965"/>
    <w:rsid w:val="001B5A2A"/>
    <w:rsid w:val="001B5B7D"/>
    <w:rsid w:val="001B5E0C"/>
    <w:rsid w:val="001B5E28"/>
    <w:rsid w:val="001B5EBA"/>
    <w:rsid w:val="001B6025"/>
    <w:rsid w:val="001B608E"/>
    <w:rsid w:val="001B60F4"/>
    <w:rsid w:val="001B65F1"/>
    <w:rsid w:val="001B6715"/>
    <w:rsid w:val="001B6928"/>
    <w:rsid w:val="001B6B2E"/>
    <w:rsid w:val="001B6BD4"/>
    <w:rsid w:val="001B6BFA"/>
    <w:rsid w:val="001B6CAB"/>
    <w:rsid w:val="001B6DF8"/>
    <w:rsid w:val="001B6EA7"/>
    <w:rsid w:val="001B6F44"/>
    <w:rsid w:val="001B7177"/>
    <w:rsid w:val="001B71D9"/>
    <w:rsid w:val="001B727D"/>
    <w:rsid w:val="001B72DA"/>
    <w:rsid w:val="001B7425"/>
    <w:rsid w:val="001B74D9"/>
    <w:rsid w:val="001B77B5"/>
    <w:rsid w:val="001B7B7B"/>
    <w:rsid w:val="001B7DF9"/>
    <w:rsid w:val="001C0150"/>
    <w:rsid w:val="001C015A"/>
    <w:rsid w:val="001C0380"/>
    <w:rsid w:val="001C03C6"/>
    <w:rsid w:val="001C067F"/>
    <w:rsid w:val="001C0705"/>
    <w:rsid w:val="001C0719"/>
    <w:rsid w:val="001C0921"/>
    <w:rsid w:val="001C0953"/>
    <w:rsid w:val="001C09DC"/>
    <w:rsid w:val="001C1366"/>
    <w:rsid w:val="001C1484"/>
    <w:rsid w:val="001C14BD"/>
    <w:rsid w:val="001C1803"/>
    <w:rsid w:val="001C1887"/>
    <w:rsid w:val="001C1BA3"/>
    <w:rsid w:val="001C1BA7"/>
    <w:rsid w:val="001C1F7A"/>
    <w:rsid w:val="001C22E1"/>
    <w:rsid w:val="001C2372"/>
    <w:rsid w:val="001C2407"/>
    <w:rsid w:val="001C2605"/>
    <w:rsid w:val="001C29E5"/>
    <w:rsid w:val="001C2E8A"/>
    <w:rsid w:val="001C2FA0"/>
    <w:rsid w:val="001C300F"/>
    <w:rsid w:val="001C3224"/>
    <w:rsid w:val="001C323E"/>
    <w:rsid w:val="001C34F7"/>
    <w:rsid w:val="001C3762"/>
    <w:rsid w:val="001C3856"/>
    <w:rsid w:val="001C387B"/>
    <w:rsid w:val="001C3A65"/>
    <w:rsid w:val="001C3AE3"/>
    <w:rsid w:val="001C3D12"/>
    <w:rsid w:val="001C3DFB"/>
    <w:rsid w:val="001C4297"/>
    <w:rsid w:val="001C4299"/>
    <w:rsid w:val="001C4519"/>
    <w:rsid w:val="001C45CF"/>
    <w:rsid w:val="001C47B5"/>
    <w:rsid w:val="001C47BB"/>
    <w:rsid w:val="001C484B"/>
    <w:rsid w:val="001C485D"/>
    <w:rsid w:val="001C4EBA"/>
    <w:rsid w:val="001C5028"/>
    <w:rsid w:val="001C5046"/>
    <w:rsid w:val="001C51A9"/>
    <w:rsid w:val="001C5341"/>
    <w:rsid w:val="001C553A"/>
    <w:rsid w:val="001C558C"/>
    <w:rsid w:val="001C57CE"/>
    <w:rsid w:val="001C5982"/>
    <w:rsid w:val="001C5DB7"/>
    <w:rsid w:val="001C5E0C"/>
    <w:rsid w:val="001C6046"/>
    <w:rsid w:val="001C6058"/>
    <w:rsid w:val="001C6298"/>
    <w:rsid w:val="001C6353"/>
    <w:rsid w:val="001C64C4"/>
    <w:rsid w:val="001C6569"/>
    <w:rsid w:val="001C6785"/>
    <w:rsid w:val="001C6AC2"/>
    <w:rsid w:val="001C6C31"/>
    <w:rsid w:val="001C6DFD"/>
    <w:rsid w:val="001C6FDC"/>
    <w:rsid w:val="001C7087"/>
    <w:rsid w:val="001C72A1"/>
    <w:rsid w:val="001C72BD"/>
    <w:rsid w:val="001C76C3"/>
    <w:rsid w:val="001C7844"/>
    <w:rsid w:val="001C7A3D"/>
    <w:rsid w:val="001C7CBA"/>
    <w:rsid w:val="001D033D"/>
    <w:rsid w:val="001D05A8"/>
    <w:rsid w:val="001D08E8"/>
    <w:rsid w:val="001D09A2"/>
    <w:rsid w:val="001D09EE"/>
    <w:rsid w:val="001D09F5"/>
    <w:rsid w:val="001D0AB0"/>
    <w:rsid w:val="001D0ABD"/>
    <w:rsid w:val="001D0BDA"/>
    <w:rsid w:val="001D0C5D"/>
    <w:rsid w:val="001D0DBD"/>
    <w:rsid w:val="001D0DCE"/>
    <w:rsid w:val="001D0E6C"/>
    <w:rsid w:val="001D116B"/>
    <w:rsid w:val="001D1296"/>
    <w:rsid w:val="001D1387"/>
    <w:rsid w:val="001D13D7"/>
    <w:rsid w:val="001D154D"/>
    <w:rsid w:val="001D180C"/>
    <w:rsid w:val="001D18CB"/>
    <w:rsid w:val="001D1A98"/>
    <w:rsid w:val="001D1C21"/>
    <w:rsid w:val="001D1C25"/>
    <w:rsid w:val="001D2168"/>
    <w:rsid w:val="001D236F"/>
    <w:rsid w:val="001D24A6"/>
    <w:rsid w:val="001D2841"/>
    <w:rsid w:val="001D2B06"/>
    <w:rsid w:val="001D2CEF"/>
    <w:rsid w:val="001D2E5A"/>
    <w:rsid w:val="001D31B1"/>
    <w:rsid w:val="001D35A7"/>
    <w:rsid w:val="001D3915"/>
    <w:rsid w:val="001D398D"/>
    <w:rsid w:val="001D3A11"/>
    <w:rsid w:val="001D3A4F"/>
    <w:rsid w:val="001D3BC2"/>
    <w:rsid w:val="001D3D38"/>
    <w:rsid w:val="001D3DB6"/>
    <w:rsid w:val="001D4099"/>
    <w:rsid w:val="001D44B5"/>
    <w:rsid w:val="001D4574"/>
    <w:rsid w:val="001D4591"/>
    <w:rsid w:val="001D45C1"/>
    <w:rsid w:val="001D4716"/>
    <w:rsid w:val="001D47E9"/>
    <w:rsid w:val="001D490A"/>
    <w:rsid w:val="001D4A58"/>
    <w:rsid w:val="001D4B0D"/>
    <w:rsid w:val="001D4C63"/>
    <w:rsid w:val="001D4C9F"/>
    <w:rsid w:val="001D4DC2"/>
    <w:rsid w:val="001D4FB8"/>
    <w:rsid w:val="001D4FCC"/>
    <w:rsid w:val="001D530D"/>
    <w:rsid w:val="001D5644"/>
    <w:rsid w:val="001D56DC"/>
    <w:rsid w:val="001D57BE"/>
    <w:rsid w:val="001D5CD9"/>
    <w:rsid w:val="001D5D3B"/>
    <w:rsid w:val="001D5E26"/>
    <w:rsid w:val="001D5F29"/>
    <w:rsid w:val="001D5FEB"/>
    <w:rsid w:val="001D604B"/>
    <w:rsid w:val="001D6593"/>
    <w:rsid w:val="001D68DF"/>
    <w:rsid w:val="001D6AC0"/>
    <w:rsid w:val="001D6B57"/>
    <w:rsid w:val="001D6D31"/>
    <w:rsid w:val="001D713D"/>
    <w:rsid w:val="001D735A"/>
    <w:rsid w:val="001D744B"/>
    <w:rsid w:val="001D7AAA"/>
    <w:rsid w:val="001D7E7E"/>
    <w:rsid w:val="001E0259"/>
    <w:rsid w:val="001E034C"/>
    <w:rsid w:val="001E09B6"/>
    <w:rsid w:val="001E0B53"/>
    <w:rsid w:val="001E0D01"/>
    <w:rsid w:val="001E0EB8"/>
    <w:rsid w:val="001E104A"/>
    <w:rsid w:val="001E11D9"/>
    <w:rsid w:val="001E137F"/>
    <w:rsid w:val="001E13C8"/>
    <w:rsid w:val="001E18D7"/>
    <w:rsid w:val="001E19AD"/>
    <w:rsid w:val="001E19C8"/>
    <w:rsid w:val="001E1E07"/>
    <w:rsid w:val="001E1E5D"/>
    <w:rsid w:val="001E1EB5"/>
    <w:rsid w:val="001E1F87"/>
    <w:rsid w:val="001E21E9"/>
    <w:rsid w:val="001E22BE"/>
    <w:rsid w:val="001E235D"/>
    <w:rsid w:val="001E236E"/>
    <w:rsid w:val="001E238C"/>
    <w:rsid w:val="001E271C"/>
    <w:rsid w:val="001E28AE"/>
    <w:rsid w:val="001E28FD"/>
    <w:rsid w:val="001E2D25"/>
    <w:rsid w:val="001E2E01"/>
    <w:rsid w:val="001E2F50"/>
    <w:rsid w:val="001E3040"/>
    <w:rsid w:val="001E3456"/>
    <w:rsid w:val="001E3521"/>
    <w:rsid w:val="001E357E"/>
    <w:rsid w:val="001E38A6"/>
    <w:rsid w:val="001E38F7"/>
    <w:rsid w:val="001E3B3C"/>
    <w:rsid w:val="001E3D07"/>
    <w:rsid w:val="001E422C"/>
    <w:rsid w:val="001E4280"/>
    <w:rsid w:val="001E42C7"/>
    <w:rsid w:val="001E439B"/>
    <w:rsid w:val="001E4533"/>
    <w:rsid w:val="001E481D"/>
    <w:rsid w:val="001E4861"/>
    <w:rsid w:val="001E4A2E"/>
    <w:rsid w:val="001E4A86"/>
    <w:rsid w:val="001E4D4E"/>
    <w:rsid w:val="001E5155"/>
    <w:rsid w:val="001E5388"/>
    <w:rsid w:val="001E541A"/>
    <w:rsid w:val="001E5656"/>
    <w:rsid w:val="001E58EF"/>
    <w:rsid w:val="001E5948"/>
    <w:rsid w:val="001E5C3E"/>
    <w:rsid w:val="001E6006"/>
    <w:rsid w:val="001E61BA"/>
    <w:rsid w:val="001E620C"/>
    <w:rsid w:val="001E67FF"/>
    <w:rsid w:val="001E6A02"/>
    <w:rsid w:val="001E6AEC"/>
    <w:rsid w:val="001E6B7B"/>
    <w:rsid w:val="001E6B8D"/>
    <w:rsid w:val="001E6BB5"/>
    <w:rsid w:val="001E6CA8"/>
    <w:rsid w:val="001E6F14"/>
    <w:rsid w:val="001E72F4"/>
    <w:rsid w:val="001E73EB"/>
    <w:rsid w:val="001E766E"/>
    <w:rsid w:val="001E7AAC"/>
    <w:rsid w:val="001E7B71"/>
    <w:rsid w:val="001E7D9F"/>
    <w:rsid w:val="001E7E6B"/>
    <w:rsid w:val="001F002A"/>
    <w:rsid w:val="001F0169"/>
    <w:rsid w:val="001F01DE"/>
    <w:rsid w:val="001F023B"/>
    <w:rsid w:val="001F031B"/>
    <w:rsid w:val="001F0326"/>
    <w:rsid w:val="001F07A3"/>
    <w:rsid w:val="001F09FB"/>
    <w:rsid w:val="001F11B7"/>
    <w:rsid w:val="001F1678"/>
    <w:rsid w:val="001F186E"/>
    <w:rsid w:val="001F1BA3"/>
    <w:rsid w:val="001F1C06"/>
    <w:rsid w:val="001F1DE8"/>
    <w:rsid w:val="001F1EA4"/>
    <w:rsid w:val="001F1FDE"/>
    <w:rsid w:val="001F247A"/>
    <w:rsid w:val="001F2532"/>
    <w:rsid w:val="001F259A"/>
    <w:rsid w:val="001F263C"/>
    <w:rsid w:val="001F2AD9"/>
    <w:rsid w:val="001F2C8C"/>
    <w:rsid w:val="001F2D58"/>
    <w:rsid w:val="001F2F6D"/>
    <w:rsid w:val="001F2FC9"/>
    <w:rsid w:val="001F328B"/>
    <w:rsid w:val="001F32CE"/>
    <w:rsid w:val="001F341D"/>
    <w:rsid w:val="001F373D"/>
    <w:rsid w:val="001F374D"/>
    <w:rsid w:val="001F3B41"/>
    <w:rsid w:val="001F3C33"/>
    <w:rsid w:val="001F3CBB"/>
    <w:rsid w:val="001F3EE2"/>
    <w:rsid w:val="001F3F95"/>
    <w:rsid w:val="001F4067"/>
    <w:rsid w:val="001F40C8"/>
    <w:rsid w:val="001F42A0"/>
    <w:rsid w:val="001F451B"/>
    <w:rsid w:val="001F4639"/>
    <w:rsid w:val="001F4816"/>
    <w:rsid w:val="001F4E1B"/>
    <w:rsid w:val="001F4E57"/>
    <w:rsid w:val="001F4E67"/>
    <w:rsid w:val="001F4F64"/>
    <w:rsid w:val="001F4F72"/>
    <w:rsid w:val="001F4F96"/>
    <w:rsid w:val="001F503D"/>
    <w:rsid w:val="001F51FE"/>
    <w:rsid w:val="001F53A3"/>
    <w:rsid w:val="001F5788"/>
    <w:rsid w:val="001F5C8F"/>
    <w:rsid w:val="001F6057"/>
    <w:rsid w:val="001F6442"/>
    <w:rsid w:val="001F6737"/>
    <w:rsid w:val="001F6980"/>
    <w:rsid w:val="001F69FB"/>
    <w:rsid w:val="001F6C15"/>
    <w:rsid w:val="001F6C1F"/>
    <w:rsid w:val="001F6C39"/>
    <w:rsid w:val="001F6CCE"/>
    <w:rsid w:val="001F71A7"/>
    <w:rsid w:val="001F7212"/>
    <w:rsid w:val="001F7335"/>
    <w:rsid w:val="001F7389"/>
    <w:rsid w:val="001F7481"/>
    <w:rsid w:val="001F7872"/>
    <w:rsid w:val="001F788F"/>
    <w:rsid w:val="001F7957"/>
    <w:rsid w:val="001F7C6D"/>
    <w:rsid w:val="001F7F76"/>
    <w:rsid w:val="002003E3"/>
    <w:rsid w:val="002007D7"/>
    <w:rsid w:val="002009B5"/>
    <w:rsid w:val="00200BD3"/>
    <w:rsid w:val="00200C1C"/>
    <w:rsid w:val="00200D4D"/>
    <w:rsid w:val="00200F2B"/>
    <w:rsid w:val="00200F6C"/>
    <w:rsid w:val="00200F90"/>
    <w:rsid w:val="00201051"/>
    <w:rsid w:val="002013C3"/>
    <w:rsid w:val="00201646"/>
    <w:rsid w:val="00201717"/>
    <w:rsid w:val="0020178B"/>
    <w:rsid w:val="0020190B"/>
    <w:rsid w:val="00201E99"/>
    <w:rsid w:val="00201EDE"/>
    <w:rsid w:val="00201EF0"/>
    <w:rsid w:val="00202025"/>
    <w:rsid w:val="00202033"/>
    <w:rsid w:val="002023BA"/>
    <w:rsid w:val="002025A3"/>
    <w:rsid w:val="00202852"/>
    <w:rsid w:val="00202A99"/>
    <w:rsid w:val="00202B0D"/>
    <w:rsid w:val="00202B5B"/>
    <w:rsid w:val="00202BFE"/>
    <w:rsid w:val="00202E35"/>
    <w:rsid w:val="00202E65"/>
    <w:rsid w:val="0020314B"/>
    <w:rsid w:val="0020322D"/>
    <w:rsid w:val="002032CC"/>
    <w:rsid w:val="00203360"/>
    <w:rsid w:val="002035B0"/>
    <w:rsid w:val="002036A3"/>
    <w:rsid w:val="00203744"/>
    <w:rsid w:val="002037E6"/>
    <w:rsid w:val="00203941"/>
    <w:rsid w:val="00203973"/>
    <w:rsid w:val="002039FF"/>
    <w:rsid w:val="00203A7A"/>
    <w:rsid w:val="00203FF2"/>
    <w:rsid w:val="0020403C"/>
    <w:rsid w:val="00204481"/>
    <w:rsid w:val="0020493E"/>
    <w:rsid w:val="00204A37"/>
    <w:rsid w:val="00204AE8"/>
    <w:rsid w:val="00204D8A"/>
    <w:rsid w:val="00204E5B"/>
    <w:rsid w:val="002057FD"/>
    <w:rsid w:val="00205AE8"/>
    <w:rsid w:val="00205BC6"/>
    <w:rsid w:val="00205D13"/>
    <w:rsid w:val="00205EAF"/>
    <w:rsid w:val="00205EC2"/>
    <w:rsid w:val="00205F9D"/>
    <w:rsid w:val="00205FA8"/>
    <w:rsid w:val="0020600A"/>
    <w:rsid w:val="00206191"/>
    <w:rsid w:val="00206305"/>
    <w:rsid w:val="00206322"/>
    <w:rsid w:val="0020635F"/>
    <w:rsid w:val="002068C9"/>
    <w:rsid w:val="0020691B"/>
    <w:rsid w:val="00206A26"/>
    <w:rsid w:val="00206B7B"/>
    <w:rsid w:val="00206B80"/>
    <w:rsid w:val="00206D29"/>
    <w:rsid w:val="00206DE7"/>
    <w:rsid w:val="00206DE8"/>
    <w:rsid w:val="00206EF0"/>
    <w:rsid w:val="00206FF1"/>
    <w:rsid w:val="0020710A"/>
    <w:rsid w:val="002072A2"/>
    <w:rsid w:val="002072D1"/>
    <w:rsid w:val="00207320"/>
    <w:rsid w:val="002073C5"/>
    <w:rsid w:val="002074A7"/>
    <w:rsid w:val="0020764F"/>
    <w:rsid w:val="0020765A"/>
    <w:rsid w:val="0020766C"/>
    <w:rsid w:val="002078B3"/>
    <w:rsid w:val="00207BF0"/>
    <w:rsid w:val="00207C79"/>
    <w:rsid w:val="00207E86"/>
    <w:rsid w:val="00210404"/>
    <w:rsid w:val="0021047B"/>
    <w:rsid w:val="00210495"/>
    <w:rsid w:val="00210699"/>
    <w:rsid w:val="00210726"/>
    <w:rsid w:val="00210805"/>
    <w:rsid w:val="00210853"/>
    <w:rsid w:val="002108EF"/>
    <w:rsid w:val="00210AC6"/>
    <w:rsid w:val="00210F6B"/>
    <w:rsid w:val="00211141"/>
    <w:rsid w:val="002112B0"/>
    <w:rsid w:val="002115F8"/>
    <w:rsid w:val="0021164B"/>
    <w:rsid w:val="00211AF8"/>
    <w:rsid w:val="00211C1C"/>
    <w:rsid w:val="00211C4C"/>
    <w:rsid w:val="00211CB0"/>
    <w:rsid w:val="00211DC2"/>
    <w:rsid w:val="00211F58"/>
    <w:rsid w:val="00211FD7"/>
    <w:rsid w:val="002121D5"/>
    <w:rsid w:val="002122BE"/>
    <w:rsid w:val="00212735"/>
    <w:rsid w:val="00212897"/>
    <w:rsid w:val="00212CC4"/>
    <w:rsid w:val="00212D8B"/>
    <w:rsid w:val="00212F7E"/>
    <w:rsid w:val="00213568"/>
    <w:rsid w:val="002138C0"/>
    <w:rsid w:val="00213A37"/>
    <w:rsid w:val="00213CD7"/>
    <w:rsid w:val="00213DBF"/>
    <w:rsid w:val="002140F4"/>
    <w:rsid w:val="0021428D"/>
    <w:rsid w:val="0021452C"/>
    <w:rsid w:val="00214531"/>
    <w:rsid w:val="002145D6"/>
    <w:rsid w:val="0021472B"/>
    <w:rsid w:val="00214831"/>
    <w:rsid w:val="00214906"/>
    <w:rsid w:val="00214A8C"/>
    <w:rsid w:val="00214CD9"/>
    <w:rsid w:val="00214CFA"/>
    <w:rsid w:val="00214E32"/>
    <w:rsid w:val="00214F9B"/>
    <w:rsid w:val="00215022"/>
    <w:rsid w:val="0021519E"/>
    <w:rsid w:val="002151A2"/>
    <w:rsid w:val="002151F5"/>
    <w:rsid w:val="00215609"/>
    <w:rsid w:val="00215718"/>
    <w:rsid w:val="00215BED"/>
    <w:rsid w:val="00215DAD"/>
    <w:rsid w:val="00215DE6"/>
    <w:rsid w:val="00216263"/>
    <w:rsid w:val="0021641B"/>
    <w:rsid w:val="00216853"/>
    <w:rsid w:val="0021689C"/>
    <w:rsid w:val="002168E1"/>
    <w:rsid w:val="002169C6"/>
    <w:rsid w:val="00216A8B"/>
    <w:rsid w:val="00216EA5"/>
    <w:rsid w:val="00216F08"/>
    <w:rsid w:val="00216F70"/>
    <w:rsid w:val="0021716B"/>
    <w:rsid w:val="002174FD"/>
    <w:rsid w:val="00217697"/>
    <w:rsid w:val="002178F1"/>
    <w:rsid w:val="00217976"/>
    <w:rsid w:val="002179A8"/>
    <w:rsid w:val="00217D16"/>
    <w:rsid w:val="00217D39"/>
    <w:rsid w:val="00217D9C"/>
    <w:rsid w:val="00217DAC"/>
    <w:rsid w:val="00220099"/>
    <w:rsid w:val="0022016D"/>
    <w:rsid w:val="0022028C"/>
    <w:rsid w:val="002204AD"/>
    <w:rsid w:val="00220703"/>
    <w:rsid w:val="00220771"/>
    <w:rsid w:val="00220983"/>
    <w:rsid w:val="002209F8"/>
    <w:rsid w:val="00220BA4"/>
    <w:rsid w:val="00220C0C"/>
    <w:rsid w:val="00220CF6"/>
    <w:rsid w:val="00220D6F"/>
    <w:rsid w:val="00220EF5"/>
    <w:rsid w:val="002211ED"/>
    <w:rsid w:val="00221240"/>
    <w:rsid w:val="00221332"/>
    <w:rsid w:val="00221604"/>
    <w:rsid w:val="002216D9"/>
    <w:rsid w:val="00221895"/>
    <w:rsid w:val="002218BA"/>
    <w:rsid w:val="00221B70"/>
    <w:rsid w:val="00221CF5"/>
    <w:rsid w:val="00221D3F"/>
    <w:rsid w:val="00221D5E"/>
    <w:rsid w:val="00222679"/>
    <w:rsid w:val="002227A6"/>
    <w:rsid w:val="002227F3"/>
    <w:rsid w:val="00222D0F"/>
    <w:rsid w:val="00222DD2"/>
    <w:rsid w:val="00223318"/>
    <w:rsid w:val="0022336A"/>
    <w:rsid w:val="00223525"/>
    <w:rsid w:val="0022369A"/>
    <w:rsid w:val="0022379D"/>
    <w:rsid w:val="00223886"/>
    <w:rsid w:val="002238E3"/>
    <w:rsid w:val="002239F6"/>
    <w:rsid w:val="00223AC2"/>
    <w:rsid w:val="00223C82"/>
    <w:rsid w:val="00223DEF"/>
    <w:rsid w:val="0022470B"/>
    <w:rsid w:val="0022471E"/>
    <w:rsid w:val="00224B97"/>
    <w:rsid w:val="00224D19"/>
    <w:rsid w:val="00224D8D"/>
    <w:rsid w:val="00224E31"/>
    <w:rsid w:val="00225037"/>
    <w:rsid w:val="0022521B"/>
    <w:rsid w:val="00225317"/>
    <w:rsid w:val="00225382"/>
    <w:rsid w:val="00225405"/>
    <w:rsid w:val="0022567B"/>
    <w:rsid w:val="00225BD4"/>
    <w:rsid w:val="00225BEB"/>
    <w:rsid w:val="00225F37"/>
    <w:rsid w:val="0022632F"/>
    <w:rsid w:val="0022642F"/>
    <w:rsid w:val="00226564"/>
    <w:rsid w:val="0022664B"/>
    <w:rsid w:val="0022677A"/>
    <w:rsid w:val="00226B0E"/>
    <w:rsid w:val="00226BDD"/>
    <w:rsid w:val="00226D7A"/>
    <w:rsid w:val="00226DDB"/>
    <w:rsid w:val="0022734D"/>
    <w:rsid w:val="0022779B"/>
    <w:rsid w:val="00227882"/>
    <w:rsid w:val="00227B2A"/>
    <w:rsid w:val="00227CFA"/>
    <w:rsid w:val="00227DE5"/>
    <w:rsid w:val="00227E65"/>
    <w:rsid w:val="002301F4"/>
    <w:rsid w:val="00230205"/>
    <w:rsid w:val="002303CA"/>
    <w:rsid w:val="002303CE"/>
    <w:rsid w:val="002303E4"/>
    <w:rsid w:val="002308BF"/>
    <w:rsid w:val="00230943"/>
    <w:rsid w:val="00230957"/>
    <w:rsid w:val="002309F5"/>
    <w:rsid w:val="00230C19"/>
    <w:rsid w:val="00230C4D"/>
    <w:rsid w:val="00230F7D"/>
    <w:rsid w:val="00231270"/>
    <w:rsid w:val="0023133B"/>
    <w:rsid w:val="0023176F"/>
    <w:rsid w:val="00231D2E"/>
    <w:rsid w:val="00231F62"/>
    <w:rsid w:val="00232079"/>
    <w:rsid w:val="00232A60"/>
    <w:rsid w:val="00232A9B"/>
    <w:rsid w:val="00232B35"/>
    <w:rsid w:val="00232BAB"/>
    <w:rsid w:val="00232C74"/>
    <w:rsid w:val="00232C98"/>
    <w:rsid w:val="0023338A"/>
    <w:rsid w:val="0023374D"/>
    <w:rsid w:val="00233861"/>
    <w:rsid w:val="002338CB"/>
    <w:rsid w:val="00233DBF"/>
    <w:rsid w:val="00233E79"/>
    <w:rsid w:val="00233EE9"/>
    <w:rsid w:val="00234167"/>
    <w:rsid w:val="002343B0"/>
    <w:rsid w:val="00234521"/>
    <w:rsid w:val="0023489F"/>
    <w:rsid w:val="002349AB"/>
    <w:rsid w:val="00234E04"/>
    <w:rsid w:val="00234EB1"/>
    <w:rsid w:val="002351AA"/>
    <w:rsid w:val="0023546E"/>
    <w:rsid w:val="002354A3"/>
    <w:rsid w:val="0023599C"/>
    <w:rsid w:val="00235A53"/>
    <w:rsid w:val="00235C98"/>
    <w:rsid w:val="00235CD9"/>
    <w:rsid w:val="00235E10"/>
    <w:rsid w:val="00235E21"/>
    <w:rsid w:val="0023608C"/>
    <w:rsid w:val="0023637B"/>
    <w:rsid w:val="00236744"/>
    <w:rsid w:val="00236A4E"/>
    <w:rsid w:val="00236A7E"/>
    <w:rsid w:val="00236EE1"/>
    <w:rsid w:val="0023709E"/>
    <w:rsid w:val="00237128"/>
    <w:rsid w:val="00237198"/>
    <w:rsid w:val="002371FB"/>
    <w:rsid w:val="00237261"/>
    <w:rsid w:val="0023736C"/>
    <w:rsid w:val="002373E4"/>
    <w:rsid w:val="002375EF"/>
    <w:rsid w:val="0023766B"/>
    <w:rsid w:val="00237737"/>
    <w:rsid w:val="00237759"/>
    <w:rsid w:val="00237830"/>
    <w:rsid w:val="00237942"/>
    <w:rsid w:val="00237C61"/>
    <w:rsid w:val="00240145"/>
    <w:rsid w:val="00240477"/>
    <w:rsid w:val="00240546"/>
    <w:rsid w:val="002405B1"/>
    <w:rsid w:val="002405BD"/>
    <w:rsid w:val="002406A6"/>
    <w:rsid w:val="002406D7"/>
    <w:rsid w:val="00240988"/>
    <w:rsid w:val="00240A23"/>
    <w:rsid w:val="00240D3E"/>
    <w:rsid w:val="0024106A"/>
    <w:rsid w:val="0024110C"/>
    <w:rsid w:val="002412C2"/>
    <w:rsid w:val="002412D3"/>
    <w:rsid w:val="0024131E"/>
    <w:rsid w:val="00241500"/>
    <w:rsid w:val="002415A0"/>
    <w:rsid w:val="0024170D"/>
    <w:rsid w:val="0024189E"/>
    <w:rsid w:val="00241955"/>
    <w:rsid w:val="0024198E"/>
    <w:rsid w:val="00241B43"/>
    <w:rsid w:val="00241BED"/>
    <w:rsid w:val="00241D49"/>
    <w:rsid w:val="00241E61"/>
    <w:rsid w:val="00241FA0"/>
    <w:rsid w:val="002420D1"/>
    <w:rsid w:val="00242111"/>
    <w:rsid w:val="002422BA"/>
    <w:rsid w:val="002423EF"/>
    <w:rsid w:val="00242694"/>
    <w:rsid w:val="00242C7D"/>
    <w:rsid w:val="00242CF8"/>
    <w:rsid w:val="00242CFD"/>
    <w:rsid w:val="0024319E"/>
    <w:rsid w:val="002431BA"/>
    <w:rsid w:val="0024332C"/>
    <w:rsid w:val="002434BD"/>
    <w:rsid w:val="0024355B"/>
    <w:rsid w:val="002435AC"/>
    <w:rsid w:val="00243E86"/>
    <w:rsid w:val="00243EB9"/>
    <w:rsid w:val="00243EC0"/>
    <w:rsid w:val="00243EC8"/>
    <w:rsid w:val="00243EC9"/>
    <w:rsid w:val="00243F4B"/>
    <w:rsid w:val="00243F64"/>
    <w:rsid w:val="0024402C"/>
    <w:rsid w:val="0024404D"/>
    <w:rsid w:val="00244466"/>
    <w:rsid w:val="0024446E"/>
    <w:rsid w:val="00244585"/>
    <w:rsid w:val="0024462F"/>
    <w:rsid w:val="0024468E"/>
    <w:rsid w:val="0024481E"/>
    <w:rsid w:val="00244A5D"/>
    <w:rsid w:val="00244A92"/>
    <w:rsid w:val="00244BAA"/>
    <w:rsid w:val="00244C1B"/>
    <w:rsid w:val="00244C64"/>
    <w:rsid w:val="00244D80"/>
    <w:rsid w:val="00244E1F"/>
    <w:rsid w:val="00244EF9"/>
    <w:rsid w:val="00244FB8"/>
    <w:rsid w:val="002457FA"/>
    <w:rsid w:val="002459D2"/>
    <w:rsid w:val="00245A4A"/>
    <w:rsid w:val="00245C69"/>
    <w:rsid w:val="002461AD"/>
    <w:rsid w:val="002461C0"/>
    <w:rsid w:val="002461EB"/>
    <w:rsid w:val="00246260"/>
    <w:rsid w:val="00246277"/>
    <w:rsid w:val="00246516"/>
    <w:rsid w:val="00246524"/>
    <w:rsid w:val="00246566"/>
    <w:rsid w:val="002466FF"/>
    <w:rsid w:val="002467D0"/>
    <w:rsid w:val="002468AD"/>
    <w:rsid w:val="00246A29"/>
    <w:rsid w:val="00246AC8"/>
    <w:rsid w:val="00246B22"/>
    <w:rsid w:val="00246B42"/>
    <w:rsid w:val="00246BBB"/>
    <w:rsid w:val="00246E75"/>
    <w:rsid w:val="00246EAD"/>
    <w:rsid w:val="002471F9"/>
    <w:rsid w:val="0024732E"/>
    <w:rsid w:val="0024740D"/>
    <w:rsid w:val="00247466"/>
    <w:rsid w:val="00247475"/>
    <w:rsid w:val="0024783B"/>
    <w:rsid w:val="00247A85"/>
    <w:rsid w:val="00247BAD"/>
    <w:rsid w:val="00247CC9"/>
    <w:rsid w:val="00247F35"/>
    <w:rsid w:val="00247F8D"/>
    <w:rsid w:val="0025013A"/>
    <w:rsid w:val="002501E5"/>
    <w:rsid w:val="002504EB"/>
    <w:rsid w:val="00250826"/>
    <w:rsid w:val="00250907"/>
    <w:rsid w:val="00250CE5"/>
    <w:rsid w:val="00250E38"/>
    <w:rsid w:val="00251140"/>
    <w:rsid w:val="00251173"/>
    <w:rsid w:val="00251174"/>
    <w:rsid w:val="00251198"/>
    <w:rsid w:val="002512D2"/>
    <w:rsid w:val="00251317"/>
    <w:rsid w:val="002518E2"/>
    <w:rsid w:val="00251A43"/>
    <w:rsid w:val="00251AEA"/>
    <w:rsid w:val="00251B33"/>
    <w:rsid w:val="00251C59"/>
    <w:rsid w:val="00251E29"/>
    <w:rsid w:val="00251E67"/>
    <w:rsid w:val="00251FCB"/>
    <w:rsid w:val="002520ED"/>
    <w:rsid w:val="002526B9"/>
    <w:rsid w:val="00252711"/>
    <w:rsid w:val="002527F8"/>
    <w:rsid w:val="00252853"/>
    <w:rsid w:val="00252A24"/>
    <w:rsid w:val="00252B43"/>
    <w:rsid w:val="00252CF1"/>
    <w:rsid w:val="00252E7F"/>
    <w:rsid w:val="00253088"/>
    <w:rsid w:val="0025315F"/>
    <w:rsid w:val="002531B6"/>
    <w:rsid w:val="00253470"/>
    <w:rsid w:val="0025349A"/>
    <w:rsid w:val="002536D9"/>
    <w:rsid w:val="00253927"/>
    <w:rsid w:val="002539BD"/>
    <w:rsid w:val="00253AD1"/>
    <w:rsid w:val="00253B73"/>
    <w:rsid w:val="00253C09"/>
    <w:rsid w:val="00253EE1"/>
    <w:rsid w:val="00253F56"/>
    <w:rsid w:val="00253FA0"/>
    <w:rsid w:val="00254013"/>
    <w:rsid w:val="002540C8"/>
    <w:rsid w:val="00254216"/>
    <w:rsid w:val="00254AF8"/>
    <w:rsid w:val="00254B9D"/>
    <w:rsid w:val="00254BEA"/>
    <w:rsid w:val="00254E27"/>
    <w:rsid w:val="00255138"/>
    <w:rsid w:val="002552B7"/>
    <w:rsid w:val="0025531C"/>
    <w:rsid w:val="0025581B"/>
    <w:rsid w:val="002558CC"/>
    <w:rsid w:val="00255A58"/>
    <w:rsid w:val="00255B7C"/>
    <w:rsid w:val="002560B6"/>
    <w:rsid w:val="0025611B"/>
    <w:rsid w:val="002561FA"/>
    <w:rsid w:val="00256201"/>
    <w:rsid w:val="0025622C"/>
    <w:rsid w:val="00256231"/>
    <w:rsid w:val="00256316"/>
    <w:rsid w:val="002563B6"/>
    <w:rsid w:val="00256417"/>
    <w:rsid w:val="002564FC"/>
    <w:rsid w:val="002565DA"/>
    <w:rsid w:val="002566E3"/>
    <w:rsid w:val="00256750"/>
    <w:rsid w:val="00256952"/>
    <w:rsid w:val="00256ABC"/>
    <w:rsid w:val="00256B5F"/>
    <w:rsid w:val="00256C68"/>
    <w:rsid w:val="00256DED"/>
    <w:rsid w:val="00256EE6"/>
    <w:rsid w:val="00257038"/>
    <w:rsid w:val="002576C9"/>
    <w:rsid w:val="0025791D"/>
    <w:rsid w:val="002579A8"/>
    <w:rsid w:val="00257A3E"/>
    <w:rsid w:val="00257AD8"/>
    <w:rsid w:val="00257B82"/>
    <w:rsid w:val="00257CB1"/>
    <w:rsid w:val="00260096"/>
    <w:rsid w:val="00260438"/>
    <w:rsid w:val="002604C3"/>
    <w:rsid w:val="0026055A"/>
    <w:rsid w:val="00260571"/>
    <w:rsid w:val="00260647"/>
    <w:rsid w:val="002606FE"/>
    <w:rsid w:val="0026096C"/>
    <w:rsid w:val="00260A74"/>
    <w:rsid w:val="00260C26"/>
    <w:rsid w:val="00260CC4"/>
    <w:rsid w:val="00260EB1"/>
    <w:rsid w:val="00260EDB"/>
    <w:rsid w:val="002610EA"/>
    <w:rsid w:val="00261207"/>
    <w:rsid w:val="002612B4"/>
    <w:rsid w:val="002613D3"/>
    <w:rsid w:val="002614E3"/>
    <w:rsid w:val="002617F2"/>
    <w:rsid w:val="0026187D"/>
    <w:rsid w:val="002619C3"/>
    <w:rsid w:val="00261B0A"/>
    <w:rsid w:val="00261C05"/>
    <w:rsid w:val="00261C76"/>
    <w:rsid w:val="002622C8"/>
    <w:rsid w:val="0026275A"/>
    <w:rsid w:val="00262862"/>
    <w:rsid w:val="002629EC"/>
    <w:rsid w:val="00262A28"/>
    <w:rsid w:val="00262DC1"/>
    <w:rsid w:val="00262DE3"/>
    <w:rsid w:val="00262E5D"/>
    <w:rsid w:val="00262E6D"/>
    <w:rsid w:val="00262E88"/>
    <w:rsid w:val="0026362C"/>
    <w:rsid w:val="002636F1"/>
    <w:rsid w:val="00263722"/>
    <w:rsid w:val="00263802"/>
    <w:rsid w:val="002639D8"/>
    <w:rsid w:val="00263A0C"/>
    <w:rsid w:val="002640AC"/>
    <w:rsid w:val="00264193"/>
    <w:rsid w:val="002646A7"/>
    <w:rsid w:val="002647A0"/>
    <w:rsid w:val="002649AC"/>
    <w:rsid w:val="002649C9"/>
    <w:rsid w:val="00264A1A"/>
    <w:rsid w:val="00264B4E"/>
    <w:rsid w:val="00264BFF"/>
    <w:rsid w:val="00264EC4"/>
    <w:rsid w:val="002650A7"/>
    <w:rsid w:val="002650A9"/>
    <w:rsid w:val="00265103"/>
    <w:rsid w:val="00265268"/>
    <w:rsid w:val="00265A61"/>
    <w:rsid w:val="00265A65"/>
    <w:rsid w:val="00265C0B"/>
    <w:rsid w:val="002660D6"/>
    <w:rsid w:val="00266146"/>
    <w:rsid w:val="0026633E"/>
    <w:rsid w:val="002663CB"/>
    <w:rsid w:val="0026664A"/>
    <w:rsid w:val="00266779"/>
    <w:rsid w:val="00266793"/>
    <w:rsid w:val="00266974"/>
    <w:rsid w:val="002669D3"/>
    <w:rsid w:val="00266B30"/>
    <w:rsid w:val="00266C81"/>
    <w:rsid w:val="00266CE8"/>
    <w:rsid w:val="00266E67"/>
    <w:rsid w:val="00266E87"/>
    <w:rsid w:val="002671C9"/>
    <w:rsid w:val="002672D7"/>
    <w:rsid w:val="0026736D"/>
    <w:rsid w:val="002673B1"/>
    <w:rsid w:val="002673F8"/>
    <w:rsid w:val="0026749F"/>
    <w:rsid w:val="002677E3"/>
    <w:rsid w:val="002678E6"/>
    <w:rsid w:val="00267C82"/>
    <w:rsid w:val="00267CF8"/>
    <w:rsid w:val="00267D31"/>
    <w:rsid w:val="00267D76"/>
    <w:rsid w:val="0027020B"/>
    <w:rsid w:val="00270339"/>
    <w:rsid w:val="00270513"/>
    <w:rsid w:val="0027055C"/>
    <w:rsid w:val="00270757"/>
    <w:rsid w:val="00270CFC"/>
    <w:rsid w:val="00270EB3"/>
    <w:rsid w:val="002715B7"/>
    <w:rsid w:val="00271769"/>
    <w:rsid w:val="00271C49"/>
    <w:rsid w:val="00271CBF"/>
    <w:rsid w:val="00271DC9"/>
    <w:rsid w:val="00271E53"/>
    <w:rsid w:val="002720D6"/>
    <w:rsid w:val="002720FE"/>
    <w:rsid w:val="00272268"/>
    <w:rsid w:val="00272349"/>
    <w:rsid w:val="002723AC"/>
    <w:rsid w:val="002724C0"/>
    <w:rsid w:val="002724E4"/>
    <w:rsid w:val="00272751"/>
    <w:rsid w:val="00272954"/>
    <w:rsid w:val="00272A23"/>
    <w:rsid w:val="00272C4B"/>
    <w:rsid w:val="00272D36"/>
    <w:rsid w:val="00272D94"/>
    <w:rsid w:val="00272E7A"/>
    <w:rsid w:val="00272EE8"/>
    <w:rsid w:val="00272FC9"/>
    <w:rsid w:val="002730FB"/>
    <w:rsid w:val="002738BC"/>
    <w:rsid w:val="00273ADE"/>
    <w:rsid w:val="00273B27"/>
    <w:rsid w:val="00273CA4"/>
    <w:rsid w:val="00273CE8"/>
    <w:rsid w:val="0027400A"/>
    <w:rsid w:val="0027431A"/>
    <w:rsid w:val="00274366"/>
    <w:rsid w:val="00274369"/>
    <w:rsid w:val="0027438D"/>
    <w:rsid w:val="00274471"/>
    <w:rsid w:val="002745B2"/>
    <w:rsid w:val="0027477F"/>
    <w:rsid w:val="002747C3"/>
    <w:rsid w:val="00274A27"/>
    <w:rsid w:val="00274CF0"/>
    <w:rsid w:val="00274D1D"/>
    <w:rsid w:val="00274E19"/>
    <w:rsid w:val="002751E9"/>
    <w:rsid w:val="0027526D"/>
    <w:rsid w:val="00275331"/>
    <w:rsid w:val="00275401"/>
    <w:rsid w:val="00275926"/>
    <w:rsid w:val="00275B1B"/>
    <w:rsid w:val="002761E6"/>
    <w:rsid w:val="002764DA"/>
    <w:rsid w:val="002765E9"/>
    <w:rsid w:val="0027669B"/>
    <w:rsid w:val="00276886"/>
    <w:rsid w:val="0027688A"/>
    <w:rsid w:val="00276BF1"/>
    <w:rsid w:val="00276C48"/>
    <w:rsid w:val="00276EDD"/>
    <w:rsid w:val="00276F51"/>
    <w:rsid w:val="00277309"/>
    <w:rsid w:val="0027745A"/>
    <w:rsid w:val="002776A5"/>
    <w:rsid w:val="00277850"/>
    <w:rsid w:val="00277A09"/>
    <w:rsid w:val="00277A99"/>
    <w:rsid w:val="00277B23"/>
    <w:rsid w:val="00277C0D"/>
    <w:rsid w:val="00277ED0"/>
    <w:rsid w:val="002801A5"/>
    <w:rsid w:val="00280216"/>
    <w:rsid w:val="0028028E"/>
    <w:rsid w:val="00280345"/>
    <w:rsid w:val="002803B8"/>
    <w:rsid w:val="002804B9"/>
    <w:rsid w:val="00280589"/>
    <w:rsid w:val="00280647"/>
    <w:rsid w:val="00280730"/>
    <w:rsid w:val="00280761"/>
    <w:rsid w:val="00280858"/>
    <w:rsid w:val="00280885"/>
    <w:rsid w:val="00280993"/>
    <w:rsid w:val="00280BD8"/>
    <w:rsid w:val="00280FD1"/>
    <w:rsid w:val="00281073"/>
    <w:rsid w:val="00281348"/>
    <w:rsid w:val="0028151F"/>
    <w:rsid w:val="002815D0"/>
    <w:rsid w:val="0028179E"/>
    <w:rsid w:val="00281865"/>
    <w:rsid w:val="00281975"/>
    <w:rsid w:val="0028244B"/>
    <w:rsid w:val="0028283F"/>
    <w:rsid w:val="00282906"/>
    <w:rsid w:val="00282962"/>
    <w:rsid w:val="00282ED1"/>
    <w:rsid w:val="00282F0D"/>
    <w:rsid w:val="00282F94"/>
    <w:rsid w:val="00283120"/>
    <w:rsid w:val="002831A3"/>
    <w:rsid w:val="0028324C"/>
    <w:rsid w:val="002832E0"/>
    <w:rsid w:val="0028335A"/>
    <w:rsid w:val="002835BD"/>
    <w:rsid w:val="00283A1C"/>
    <w:rsid w:val="00283B46"/>
    <w:rsid w:val="00283C6F"/>
    <w:rsid w:val="00283CEA"/>
    <w:rsid w:val="00283D9C"/>
    <w:rsid w:val="002840C5"/>
    <w:rsid w:val="002841B7"/>
    <w:rsid w:val="00284485"/>
    <w:rsid w:val="002844A3"/>
    <w:rsid w:val="002846D7"/>
    <w:rsid w:val="00284B94"/>
    <w:rsid w:val="002852B5"/>
    <w:rsid w:val="00285530"/>
    <w:rsid w:val="00285767"/>
    <w:rsid w:val="0028596B"/>
    <w:rsid w:val="00285DC7"/>
    <w:rsid w:val="00285E3D"/>
    <w:rsid w:val="0028611B"/>
    <w:rsid w:val="00286384"/>
    <w:rsid w:val="002868C6"/>
    <w:rsid w:val="00286946"/>
    <w:rsid w:val="00286B7F"/>
    <w:rsid w:val="00286C89"/>
    <w:rsid w:val="00286EDF"/>
    <w:rsid w:val="0028764E"/>
    <w:rsid w:val="0028771C"/>
    <w:rsid w:val="00287A35"/>
    <w:rsid w:val="00287AAB"/>
    <w:rsid w:val="00287AEA"/>
    <w:rsid w:val="00287C05"/>
    <w:rsid w:val="00287D31"/>
    <w:rsid w:val="00287D64"/>
    <w:rsid w:val="00287E3E"/>
    <w:rsid w:val="00287F9F"/>
    <w:rsid w:val="0029010B"/>
    <w:rsid w:val="0029049D"/>
    <w:rsid w:val="002904EE"/>
    <w:rsid w:val="00290583"/>
    <w:rsid w:val="002905DF"/>
    <w:rsid w:val="00290606"/>
    <w:rsid w:val="0029062F"/>
    <w:rsid w:val="00290851"/>
    <w:rsid w:val="00290A8F"/>
    <w:rsid w:val="00290B4B"/>
    <w:rsid w:val="00290C1B"/>
    <w:rsid w:val="00290DA7"/>
    <w:rsid w:val="00290DFE"/>
    <w:rsid w:val="002911EB"/>
    <w:rsid w:val="00291262"/>
    <w:rsid w:val="0029164D"/>
    <w:rsid w:val="00291735"/>
    <w:rsid w:val="00291924"/>
    <w:rsid w:val="00291A50"/>
    <w:rsid w:val="00291CC8"/>
    <w:rsid w:val="00291D6F"/>
    <w:rsid w:val="00291DD7"/>
    <w:rsid w:val="00291EBB"/>
    <w:rsid w:val="002920CB"/>
    <w:rsid w:val="002921A1"/>
    <w:rsid w:val="0029233E"/>
    <w:rsid w:val="0029268B"/>
    <w:rsid w:val="00292924"/>
    <w:rsid w:val="0029298E"/>
    <w:rsid w:val="00292B34"/>
    <w:rsid w:val="00292B36"/>
    <w:rsid w:val="00292D92"/>
    <w:rsid w:val="00292E54"/>
    <w:rsid w:val="00292E91"/>
    <w:rsid w:val="00293337"/>
    <w:rsid w:val="00293454"/>
    <w:rsid w:val="002936FB"/>
    <w:rsid w:val="002938BC"/>
    <w:rsid w:val="00293A3D"/>
    <w:rsid w:val="00293F6D"/>
    <w:rsid w:val="00294138"/>
    <w:rsid w:val="00294349"/>
    <w:rsid w:val="002943A6"/>
    <w:rsid w:val="0029465F"/>
    <w:rsid w:val="00294725"/>
    <w:rsid w:val="002948AA"/>
    <w:rsid w:val="00294B20"/>
    <w:rsid w:val="00294D57"/>
    <w:rsid w:val="00294DF3"/>
    <w:rsid w:val="00294E2E"/>
    <w:rsid w:val="002950BB"/>
    <w:rsid w:val="0029521E"/>
    <w:rsid w:val="00295314"/>
    <w:rsid w:val="0029535E"/>
    <w:rsid w:val="002957AD"/>
    <w:rsid w:val="002959A4"/>
    <w:rsid w:val="00295B8E"/>
    <w:rsid w:val="00295EFE"/>
    <w:rsid w:val="00296048"/>
    <w:rsid w:val="00296058"/>
    <w:rsid w:val="002960B0"/>
    <w:rsid w:val="00296125"/>
    <w:rsid w:val="00296468"/>
    <w:rsid w:val="0029662D"/>
    <w:rsid w:val="0029667B"/>
    <w:rsid w:val="002966C0"/>
    <w:rsid w:val="00296880"/>
    <w:rsid w:val="00296B83"/>
    <w:rsid w:val="00296BBD"/>
    <w:rsid w:val="00296D91"/>
    <w:rsid w:val="00296E67"/>
    <w:rsid w:val="00296EE5"/>
    <w:rsid w:val="00297539"/>
    <w:rsid w:val="00297592"/>
    <w:rsid w:val="002977AB"/>
    <w:rsid w:val="00297C42"/>
    <w:rsid w:val="00297C96"/>
    <w:rsid w:val="00297F8D"/>
    <w:rsid w:val="00297F91"/>
    <w:rsid w:val="00297F96"/>
    <w:rsid w:val="002A0264"/>
    <w:rsid w:val="002A0819"/>
    <w:rsid w:val="002A0D24"/>
    <w:rsid w:val="002A102C"/>
    <w:rsid w:val="002A1298"/>
    <w:rsid w:val="002A133C"/>
    <w:rsid w:val="002A13CC"/>
    <w:rsid w:val="002A15F6"/>
    <w:rsid w:val="002A174E"/>
    <w:rsid w:val="002A1C78"/>
    <w:rsid w:val="002A251E"/>
    <w:rsid w:val="002A26B7"/>
    <w:rsid w:val="002A2793"/>
    <w:rsid w:val="002A27EE"/>
    <w:rsid w:val="002A27FE"/>
    <w:rsid w:val="002A2A91"/>
    <w:rsid w:val="002A2C84"/>
    <w:rsid w:val="002A2E7F"/>
    <w:rsid w:val="002A2F00"/>
    <w:rsid w:val="002A2F92"/>
    <w:rsid w:val="002A2FD5"/>
    <w:rsid w:val="002A30BE"/>
    <w:rsid w:val="002A37F2"/>
    <w:rsid w:val="002A398A"/>
    <w:rsid w:val="002A3B24"/>
    <w:rsid w:val="002A3F38"/>
    <w:rsid w:val="002A3F8D"/>
    <w:rsid w:val="002A3FDB"/>
    <w:rsid w:val="002A415F"/>
    <w:rsid w:val="002A4167"/>
    <w:rsid w:val="002A4191"/>
    <w:rsid w:val="002A4556"/>
    <w:rsid w:val="002A48EB"/>
    <w:rsid w:val="002A49C7"/>
    <w:rsid w:val="002A4A5C"/>
    <w:rsid w:val="002A4AE7"/>
    <w:rsid w:val="002A4D7C"/>
    <w:rsid w:val="002A4EEB"/>
    <w:rsid w:val="002A51B5"/>
    <w:rsid w:val="002A522E"/>
    <w:rsid w:val="002A54C7"/>
    <w:rsid w:val="002A5747"/>
    <w:rsid w:val="002A58ED"/>
    <w:rsid w:val="002A58EE"/>
    <w:rsid w:val="002A5CAD"/>
    <w:rsid w:val="002A5DD0"/>
    <w:rsid w:val="002A5EA4"/>
    <w:rsid w:val="002A5F88"/>
    <w:rsid w:val="002A6039"/>
    <w:rsid w:val="002A6054"/>
    <w:rsid w:val="002A60B5"/>
    <w:rsid w:val="002A6136"/>
    <w:rsid w:val="002A6296"/>
    <w:rsid w:val="002A63B8"/>
    <w:rsid w:val="002A64CD"/>
    <w:rsid w:val="002A6AA2"/>
    <w:rsid w:val="002A6CA9"/>
    <w:rsid w:val="002A6D6D"/>
    <w:rsid w:val="002A6E7D"/>
    <w:rsid w:val="002A6F89"/>
    <w:rsid w:val="002A70B9"/>
    <w:rsid w:val="002A7258"/>
    <w:rsid w:val="002A72CF"/>
    <w:rsid w:val="002A73BF"/>
    <w:rsid w:val="002A73E0"/>
    <w:rsid w:val="002A7444"/>
    <w:rsid w:val="002A746A"/>
    <w:rsid w:val="002A7612"/>
    <w:rsid w:val="002A764A"/>
    <w:rsid w:val="002A774D"/>
    <w:rsid w:val="002A7950"/>
    <w:rsid w:val="002A796F"/>
    <w:rsid w:val="002A7C60"/>
    <w:rsid w:val="002A7DA6"/>
    <w:rsid w:val="002B005B"/>
    <w:rsid w:val="002B01E9"/>
    <w:rsid w:val="002B02AF"/>
    <w:rsid w:val="002B02B3"/>
    <w:rsid w:val="002B03C7"/>
    <w:rsid w:val="002B0420"/>
    <w:rsid w:val="002B07D2"/>
    <w:rsid w:val="002B0C2A"/>
    <w:rsid w:val="002B0CAB"/>
    <w:rsid w:val="002B0E38"/>
    <w:rsid w:val="002B1591"/>
    <w:rsid w:val="002B1BFD"/>
    <w:rsid w:val="002B1CF3"/>
    <w:rsid w:val="002B1F13"/>
    <w:rsid w:val="002B211D"/>
    <w:rsid w:val="002B218D"/>
    <w:rsid w:val="002B22DF"/>
    <w:rsid w:val="002B26CA"/>
    <w:rsid w:val="002B277E"/>
    <w:rsid w:val="002B28F0"/>
    <w:rsid w:val="002B29F2"/>
    <w:rsid w:val="002B2A78"/>
    <w:rsid w:val="002B372A"/>
    <w:rsid w:val="002B383F"/>
    <w:rsid w:val="002B3898"/>
    <w:rsid w:val="002B3C73"/>
    <w:rsid w:val="002B3DA4"/>
    <w:rsid w:val="002B3FFC"/>
    <w:rsid w:val="002B4131"/>
    <w:rsid w:val="002B4170"/>
    <w:rsid w:val="002B4241"/>
    <w:rsid w:val="002B4259"/>
    <w:rsid w:val="002B428E"/>
    <w:rsid w:val="002B438B"/>
    <w:rsid w:val="002B466A"/>
    <w:rsid w:val="002B4671"/>
    <w:rsid w:val="002B471E"/>
    <w:rsid w:val="002B4825"/>
    <w:rsid w:val="002B4A11"/>
    <w:rsid w:val="002B4FCB"/>
    <w:rsid w:val="002B5023"/>
    <w:rsid w:val="002B50C6"/>
    <w:rsid w:val="002B523E"/>
    <w:rsid w:val="002B5332"/>
    <w:rsid w:val="002B540B"/>
    <w:rsid w:val="002B5485"/>
    <w:rsid w:val="002B5714"/>
    <w:rsid w:val="002B5A04"/>
    <w:rsid w:val="002B5AF4"/>
    <w:rsid w:val="002B5DBB"/>
    <w:rsid w:val="002B5EE0"/>
    <w:rsid w:val="002B5F35"/>
    <w:rsid w:val="002B61FB"/>
    <w:rsid w:val="002B62A7"/>
    <w:rsid w:val="002B6304"/>
    <w:rsid w:val="002B6323"/>
    <w:rsid w:val="002B6547"/>
    <w:rsid w:val="002B66D1"/>
    <w:rsid w:val="002B6758"/>
    <w:rsid w:val="002B6791"/>
    <w:rsid w:val="002B6793"/>
    <w:rsid w:val="002B6D16"/>
    <w:rsid w:val="002B6E12"/>
    <w:rsid w:val="002B6F20"/>
    <w:rsid w:val="002B6F54"/>
    <w:rsid w:val="002B6FB6"/>
    <w:rsid w:val="002B7189"/>
    <w:rsid w:val="002B7777"/>
    <w:rsid w:val="002B7B25"/>
    <w:rsid w:val="002B7B6C"/>
    <w:rsid w:val="002B7CBF"/>
    <w:rsid w:val="002B7DC0"/>
    <w:rsid w:val="002B7E70"/>
    <w:rsid w:val="002B7FD5"/>
    <w:rsid w:val="002C0642"/>
    <w:rsid w:val="002C06A5"/>
    <w:rsid w:val="002C0A7D"/>
    <w:rsid w:val="002C0B5F"/>
    <w:rsid w:val="002C0D17"/>
    <w:rsid w:val="002C0E17"/>
    <w:rsid w:val="002C1103"/>
    <w:rsid w:val="002C11B0"/>
    <w:rsid w:val="002C1476"/>
    <w:rsid w:val="002C15A6"/>
    <w:rsid w:val="002C1625"/>
    <w:rsid w:val="002C1C35"/>
    <w:rsid w:val="002C1D63"/>
    <w:rsid w:val="002C1F1F"/>
    <w:rsid w:val="002C1F7C"/>
    <w:rsid w:val="002C1FE3"/>
    <w:rsid w:val="002C229D"/>
    <w:rsid w:val="002C2EF8"/>
    <w:rsid w:val="002C2F31"/>
    <w:rsid w:val="002C312B"/>
    <w:rsid w:val="002C343C"/>
    <w:rsid w:val="002C3492"/>
    <w:rsid w:val="002C358C"/>
    <w:rsid w:val="002C37AD"/>
    <w:rsid w:val="002C3B0B"/>
    <w:rsid w:val="002C3F5A"/>
    <w:rsid w:val="002C4076"/>
    <w:rsid w:val="002C40B4"/>
    <w:rsid w:val="002C42EA"/>
    <w:rsid w:val="002C45C7"/>
    <w:rsid w:val="002C48B1"/>
    <w:rsid w:val="002C4901"/>
    <w:rsid w:val="002C4968"/>
    <w:rsid w:val="002C49F7"/>
    <w:rsid w:val="002C4D18"/>
    <w:rsid w:val="002C4D49"/>
    <w:rsid w:val="002C4D72"/>
    <w:rsid w:val="002C4E12"/>
    <w:rsid w:val="002C4F0C"/>
    <w:rsid w:val="002C4FCE"/>
    <w:rsid w:val="002C4FE0"/>
    <w:rsid w:val="002C4FF1"/>
    <w:rsid w:val="002C50F6"/>
    <w:rsid w:val="002C51BD"/>
    <w:rsid w:val="002C51FE"/>
    <w:rsid w:val="002C52A9"/>
    <w:rsid w:val="002C5662"/>
    <w:rsid w:val="002C5C6A"/>
    <w:rsid w:val="002C5D0E"/>
    <w:rsid w:val="002C6104"/>
    <w:rsid w:val="002C63C0"/>
    <w:rsid w:val="002C64F7"/>
    <w:rsid w:val="002C6600"/>
    <w:rsid w:val="002C67F0"/>
    <w:rsid w:val="002C6A40"/>
    <w:rsid w:val="002C6AB8"/>
    <w:rsid w:val="002C6ACC"/>
    <w:rsid w:val="002C6D8D"/>
    <w:rsid w:val="002C70D7"/>
    <w:rsid w:val="002C733D"/>
    <w:rsid w:val="002C765A"/>
    <w:rsid w:val="002C7849"/>
    <w:rsid w:val="002C78F4"/>
    <w:rsid w:val="002C7A58"/>
    <w:rsid w:val="002C7AA1"/>
    <w:rsid w:val="002C7C59"/>
    <w:rsid w:val="002C7CAF"/>
    <w:rsid w:val="002C7F78"/>
    <w:rsid w:val="002C7FC9"/>
    <w:rsid w:val="002D04C8"/>
    <w:rsid w:val="002D06F9"/>
    <w:rsid w:val="002D0784"/>
    <w:rsid w:val="002D0C4E"/>
    <w:rsid w:val="002D0C90"/>
    <w:rsid w:val="002D0D63"/>
    <w:rsid w:val="002D0D83"/>
    <w:rsid w:val="002D0EA0"/>
    <w:rsid w:val="002D0EF9"/>
    <w:rsid w:val="002D13FD"/>
    <w:rsid w:val="002D1E05"/>
    <w:rsid w:val="002D2117"/>
    <w:rsid w:val="002D228C"/>
    <w:rsid w:val="002D230B"/>
    <w:rsid w:val="002D261C"/>
    <w:rsid w:val="002D266C"/>
    <w:rsid w:val="002D284B"/>
    <w:rsid w:val="002D293E"/>
    <w:rsid w:val="002D2945"/>
    <w:rsid w:val="002D299B"/>
    <w:rsid w:val="002D29B2"/>
    <w:rsid w:val="002D2AFF"/>
    <w:rsid w:val="002D2D74"/>
    <w:rsid w:val="002D30A6"/>
    <w:rsid w:val="002D34F3"/>
    <w:rsid w:val="002D35A7"/>
    <w:rsid w:val="002D382E"/>
    <w:rsid w:val="002D3835"/>
    <w:rsid w:val="002D3AF5"/>
    <w:rsid w:val="002D3D46"/>
    <w:rsid w:val="002D3E58"/>
    <w:rsid w:val="002D40AB"/>
    <w:rsid w:val="002D431F"/>
    <w:rsid w:val="002D46CC"/>
    <w:rsid w:val="002D48AC"/>
    <w:rsid w:val="002D48D5"/>
    <w:rsid w:val="002D49E3"/>
    <w:rsid w:val="002D4A50"/>
    <w:rsid w:val="002D4BD1"/>
    <w:rsid w:val="002D4CBD"/>
    <w:rsid w:val="002D506B"/>
    <w:rsid w:val="002D525D"/>
    <w:rsid w:val="002D5477"/>
    <w:rsid w:val="002D59D6"/>
    <w:rsid w:val="002D5D20"/>
    <w:rsid w:val="002D5F87"/>
    <w:rsid w:val="002D61F5"/>
    <w:rsid w:val="002D65DC"/>
    <w:rsid w:val="002D672A"/>
    <w:rsid w:val="002D679E"/>
    <w:rsid w:val="002D681E"/>
    <w:rsid w:val="002D6A40"/>
    <w:rsid w:val="002D6AD6"/>
    <w:rsid w:val="002D6B04"/>
    <w:rsid w:val="002D6BCD"/>
    <w:rsid w:val="002D6C0F"/>
    <w:rsid w:val="002D6C93"/>
    <w:rsid w:val="002D6F5D"/>
    <w:rsid w:val="002D716A"/>
    <w:rsid w:val="002D73B7"/>
    <w:rsid w:val="002D7437"/>
    <w:rsid w:val="002D754B"/>
    <w:rsid w:val="002D7967"/>
    <w:rsid w:val="002D7B14"/>
    <w:rsid w:val="002E00DE"/>
    <w:rsid w:val="002E039B"/>
    <w:rsid w:val="002E03DA"/>
    <w:rsid w:val="002E0836"/>
    <w:rsid w:val="002E085C"/>
    <w:rsid w:val="002E08FC"/>
    <w:rsid w:val="002E0A66"/>
    <w:rsid w:val="002E0D04"/>
    <w:rsid w:val="002E1233"/>
    <w:rsid w:val="002E14C9"/>
    <w:rsid w:val="002E172F"/>
    <w:rsid w:val="002E199F"/>
    <w:rsid w:val="002E1C0D"/>
    <w:rsid w:val="002E1F88"/>
    <w:rsid w:val="002E24FB"/>
    <w:rsid w:val="002E2523"/>
    <w:rsid w:val="002E261D"/>
    <w:rsid w:val="002E2D3B"/>
    <w:rsid w:val="002E2E88"/>
    <w:rsid w:val="002E3301"/>
    <w:rsid w:val="002E35D3"/>
    <w:rsid w:val="002E3734"/>
    <w:rsid w:val="002E3924"/>
    <w:rsid w:val="002E3CB1"/>
    <w:rsid w:val="002E3D74"/>
    <w:rsid w:val="002E3F8B"/>
    <w:rsid w:val="002E4084"/>
    <w:rsid w:val="002E42DC"/>
    <w:rsid w:val="002E42FE"/>
    <w:rsid w:val="002E431B"/>
    <w:rsid w:val="002E44B3"/>
    <w:rsid w:val="002E4592"/>
    <w:rsid w:val="002E471B"/>
    <w:rsid w:val="002E4778"/>
    <w:rsid w:val="002E4FBF"/>
    <w:rsid w:val="002E5241"/>
    <w:rsid w:val="002E5394"/>
    <w:rsid w:val="002E5453"/>
    <w:rsid w:val="002E5620"/>
    <w:rsid w:val="002E5787"/>
    <w:rsid w:val="002E5804"/>
    <w:rsid w:val="002E5A00"/>
    <w:rsid w:val="002E5B9A"/>
    <w:rsid w:val="002E5D10"/>
    <w:rsid w:val="002E5EAE"/>
    <w:rsid w:val="002E5FC5"/>
    <w:rsid w:val="002E6076"/>
    <w:rsid w:val="002E625D"/>
    <w:rsid w:val="002E62A8"/>
    <w:rsid w:val="002E64D6"/>
    <w:rsid w:val="002E6F76"/>
    <w:rsid w:val="002E704D"/>
    <w:rsid w:val="002E70D6"/>
    <w:rsid w:val="002E752B"/>
    <w:rsid w:val="002E75DC"/>
    <w:rsid w:val="002E7740"/>
    <w:rsid w:val="002E77B6"/>
    <w:rsid w:val="002E7844"/>
    <w:rsid w:val="002E7AD5"/>
    <w:rsid w:val="002E7C03"/>
    <w:rsid w:val="002E7C67"/>
    <w:rsid w:val="002E7CB8"/>
    <w:rsid w:val="002E7E25"/>
    <w:rsid w:val="002E7E9E"/>
    <w:rsid w:val="002E7F73"/>
    <w:rsid w:val="002F00D1"/>
    <w:rsid w:val="002F0158"/>
    <w:rsid w:val="002F0302"/>
    <w:rsid w:val="002F0314"/>
    <w:rsid w:val="002F03C9"/>
    <w:rsid w:val="002F0628"/>
    <w:rsid w:val="002F0779"/>
    <w:rsid w:val="002F0790"/>
    <w:rsid w:val="002F0796"/>
    <w:rsid w:val="002F07AB"/>
    <w:rsid w:val="002F08C9"/>
    <w:rsid w:val="002F0977"/>
    <w:rsid w:val="002F0CD4"/>
    <w:rsid w:val="002F11C4"/>
    <w:rsid w:val="002F122A"/>
    <w:rsid w:val="002F1496"/>
    <w:rsid w:val="002F1960"/>
    <w:rsid w:val="002F19A0"/>
    <w:rsid w:val="002F1A06"/>
    <w:rsid w:val="002F1B3B"/>
    <w:rsid w:val="002F20B5"/>
    <w:rsid w:val="002F2184"/>
    <w:rsid w:val="002F25D3"/>
    <w:rsid w:val="002F2782"/>
    <w:rsid w:val="002F285E"/>
    <w:rsid w:val="002F2CC3"/>
    <w:rsid w:val="002F2D6C"/>
    <w:rsid w:val="002F30FD"/>
    <w:rsid w:val="002F31AF"/>
    <w:rsid w:val="002F3463"/>
    <w:rsid w:val="002F3684"/>
    <w:rsid w:val="002F368A"/>
    <w:rsid w:val="002F37DB"/>
    <w:rsid w:val="002F3F75"/>
    <w:rsid w:val="002F41A6"/>
    <w:rsid w:val="002F43DF"/>
    <w:rsid w:val="002F4507"/>
    <w:rsid w:val="002F4582"/>
    <w:rsid w:val="002F45D9"/>
    <w:rsid w:val="002F45DE"/>
    <w:rsid w:val="002F4BC2"/>
    <w:rsid w:val="002F4C81"/>
    <w:rsid w:val="002F4D3B"/>
    <w:rsid w:val="002F4DC9"/>
    <w:rsid w:val="002F5073"/>
    <w:rsid w:val="002F5150"/>
    <w:rsid w:val="002F5517"/>
    <w:rsid w:val="002F58B7"/>
    <w:rsid w:val="002F596D"/>
    <w:rsid w:val="002F5AE2"/>
    <w:rsid w:val="002F5B5B"/>
    <w:rsid w:val="002F5EF9"/>
    <w:rsid w:val="002F62D6"/>
    <w:rsid w:val="002F638A"/>
    <w:rsid w:val="002F65E7"/>
    <w:rsid w:val="002F6921"/>
    <w:rsid w:val="002F6BA0"/>
    <w:rsid w:val="002F7038"/>
    <w:rsid w:val="002F70F4"/>
    <w:rsid w:val="002F7180"/>
    <w:rsid w:val="002F73E4"/>
    <w:rsid w:val="002F75F6"/>
    <w:rsid w:val="002F7874"/>
    <w:rsid w:val="002F7BA0"/>
    <w:rsid w:val="002F7C62"/>
    <w:rsid w:val="002F7E6A"/>
    <w:rsid w:val="002F7F60"/>
    <w:rsid w:val="002F7FB2"/>
    <w:rsid w:val="002F7FE2"/>
    <w:rsid w:val="0030024A"/>
    <w:rsid w:val="00300304"/>
    <w:rsid w:val="003004DE"/>
    <w:rsid w:val="003006A2"/>
    <w:rsid w:val="003006C4"/>
    <w:rsid w:val="00300AF6"/>
    <w:rsid w:val="00300C14"/>
    <w:rsid w:val="00300C9F"/>
    <w:rsid w:val="0030100E"/>
    <w:rsid w:val="0030100F"/>
    <w:rsid w:val="00301140"/>
    <w:rsid w:val="0030114B"/>
    <w:rsid w:val="003013FE"/>
    <w:rsid w:val="003014F2"/>
    <w:rsid w:val="00301709"/>
    <w:rsid w:val="0030184F"/>
    <w:rsid w:val="00301BD3"/>
    <w:rsid w:val="00301CCC"/>
    <w:rsid w:val="00302024"/>
    <w:rsid w:val="0030227F"/>
    <w:rsid w:val="003022BC"/>
    <w:rsid w:val="00302301"/>
    <w:rsid w:val="003024BE"/>
    <w:rsid w:val="003029C0"/>
    <w:rsid w:val="00302B40"/>
    <w:rsid w:val="00302B6C"/>
    <w:rsid w:val="00302D45"/>
    <w:rsid w:val="00302E14"/>
    <w:rsid w:val="00302E58"/>
    <w:rsid w:val="00302F66"/>
    <w:rsid w:val="00303203"/>
    <w:rsid w:val="00303252"/>
    <w:rsid w:val="00303281"/>
    <w:rsid w:val="00303456"/>
    <w:rsid w:val="00303818"/>
    <w:rsid w:val="00303F54"/>
    <w:rsid w:val="0030400E"/>
    <w:rsid w:val="00304153"/>
    <w:rsid w:val="00304674"/>
    <w:rsid w:val="00304691"/>
    <w:rsid w:val="003048A0"/>
    <w:rsid w:val="00304A94"/>
    <w:rsid w:val="00304AF2"/>
    <w:rsid w:val="00304CC1"/>
    <w:rsid w:val="00304E4B"/>
    <w:rsid w:val="00305143"/>
    <w:rsid w:val="0030517D"/>
    <w:rsid w:val="003051C9"/>
    <w:rsid w:val="003054B6"/>
    <w:rsid w:val="003054F0"/>
    <w:rsid w:val="003055C9"/>
    <w:rsid w:val="00305646"/>
    <w:rsid w:val="003059F2"/>
    <w:rsid w:val="00305A60"/>
    <w:rsid w:val="00305D9B"/>
    <w:rsid w:val="00305F05"/>
    <w:rsid w:val="00305F72"/>
    <w:rsid w:val="0030630F"/>
    <w:rsid w:val="00306410"/>
    <w:rsid w:val="00306467"/>
    <w:rsid w:val="0030673D"/>
    <w:rsid w:val="003067AD"/>
    <w:rsid w:val="00306915"/>
    <w:rsid w:val="00306959"/>
    <w:rsid w:val="00306D0D"/>
    <w:rsid w:val="00306DF5"/>
    <w:rsid w:val="00307051"/>
    <w:rsid w:val="0030765E"/>
    <w:rsid w:val="0030767E"/>
    <w:rsid w:val="00307CD0"/>
    <w:rsid w:val="00307D09"/>
    <w:rsid w:val="00307DBC"/>
    <w:rsid w:val="00307EA5"/>
    <w:rsid w:val="00307F60"/>
    <w:rsid w:val="00310021"/>
    <w:rsid w:val="00310386"/>
    <w:rsid w:val="00310643"/>
    <w:rsid w:val="0031067C"/>
    <w:rsid w:val="0031067E"/>
    <w:rsid w:val="003107A2"/>
    <w:rsid w:val="0031094A"/>
    <w:rsid w:val="00310AAE"/>
    <w:rsid w:val="00310BAD"/>
    <w:rsid w:val="00310F1F"/>
    <w:rsid w:val="00310FB3"/>
    <w:rsid w:val="00310FFE"/>
    <w:rsid w:val="00311088"/>
    <w:rsid w:val="003116B7"/>
    <w:rsid w:val="00311806"/>
    <w:rsid w:val="00311E54"/>
    <w:rsid w:val="00312263"/>
    <w:rsid w:val="003122C5"/>
    <w:rsid w:val="0031237B"/>
    <w:rsid w:val="003124A9"/>
    <w:rsid w:val="00312594"/>
    <w:rsid w:val="00312686"/>
    <w:rsid w:val="003126CC"/>
    <w:rsid w:val="0031286B"/>
    <w:rsid w:val="00312F77"/>
    <w:rsid w:val="00312FEB"/>
    <w:rsid w:val="0031317B"/>
    <w:rsid w:val="003131BC"/>
    <w:rsid w:val="00313273"/>
    <w:rsid w:val="003133F9"/>
    <w:rsid w:val="00313679"/>
    <w:rsid w:val="00313AC2"/>
    <w:rsid w:val="00313B60"/>
    <w:rsid w:val="00313B6E"/>
    <w:rsid w:val="00313D80"/>
    <w:rsid w:val="00313D91"/>
    <w:rsid w:val="00313DFB"/>
    <w:rsid w:val="00313E4B"/>
    <w:rsid w:val="00313F4D"/>
    <w:rsid w:val="0031409F"/>
    <w:rsid w:val="0031413E"/>
    <w:rsid w:val="0031415E"/>
    <w:rsid w:val="0031432E"/>
    <w:rsid w:val="0031455B"/>
    <w:rsid w:val="003148C5"/>
    <w:rsid w:val="003149D6"/>
    <w:rsid w:val="00314AFD"/>
    <w:rsid w:val="00314B80"/>
    <w:rsid w:val="00314C12"/>
    <w:rsid w:val="00314F3C"/>
    <w:rsid w:val="003151B5"/>
    <w:rsid w:val="00315384"/>
    <w:rsid w:val="00315674"/>
    <w:rsid w:val="00315690"/>
    <w:rsid w:val="00315AAF"/>
    <w:rsid w:val="00315AF5"/>
    <w:rsid w:val="00315D1B"/>
    <w:rsid w:val="00315D2D"/>
    <w:rsid w:val="00315D47"/>
    <w:rsid w:val="0031640F"/>
    <w:rsid w:val="00316592"/>
    <w:rsid w:val="003169EF"/>
    <w:rsid w:val="00316B4C"/>
    <w:rsid w:val="00316D10"/>
    <w:rsid w:val="00316DB0"/>
    <w:rsid w:val="003170C4"/>
    <w:rsid w:val="0031724E"/>
    <w:rsid w:val="00317303"/>
    <w:rsid w:val="003175C9"/>
    <w:rsid w:val="003175EE"/>
    <w:rsid w:val="003176FD"/>
    <w:rsid w:val="003178BF"/>
    <w:rsid w:val="00317A4E"/>
    <w:rsid w:val="00317C64"/>
    <w:rsid w:val="00317EA7"/>
    <w:rsid w:val="0032000A"/>
    <w:rsid w:val="00320152"/>
    <w:rsid w:val="0032016E"/>
    <w:rsid w:val="0032038A"/>
    <w:rsid w:val="003208A2"/>
    <w:rsid w:val="003208B1"/>
    <w:rsid w:val="003214E5"/>
    <w:rsid w:val="0032159D"/>
    <w:rsid w:val="003216A6"/>
    <w:rsid w:val="0032188A"/>
    <w:rsid w:val="00321A40"/>
    <w:rsid w:val="00321D6E"/>
    <w:rsid w:val="00321E28"/>
    <w:rsid w:val="00321E8A"/>
    <w:rsid w:val="00322103"/>
    <w:rsid w:val="00322135"/>
    <w:rsid w:val="0032251A"/>
    <w:rsid w:val="00322773"/>
    <w:rsid w:val="0032279C"/>
    <w:rsid w:val="0032280A"/>
    <w:rsid w:val="00322857"/>
    <w:rsid w:val="00322892"/>
    <w:rsid w:val="003228B3"/>
    <w:rsid w:val="00322C14"/>
    <w:rsid w:val="0032307E"/>
    <w:rsid w:val="00323135"/>
    <w:rsid w:val="0032318D"/>
    <w:rsid w:val="003231EE"/>
    <w:rsid w:val="0032335F"/>
    <w:rsid w:val="003235AD"/>
    <w:rsid w:val="00323853"/>
    <w:rsid w:val="00323B4B"/>
    <w:rsid w:val="00323E0B"/>
    <w:rsid w:val="00323E59"/>
    <w:rsid w:val="00324183"/>
    <w:rsid w:val="0032418D"/>
    <w:rsid w:val="003241D8"/>
    <w:rsid w:val="003242A5"/>
    <w:rsid w:val="003245B6"/>
    <w:rsid w:val="003247DD"/>
    <w:rsid w:val="00324D9C"/>
    <w:rsid w:val="00325231"/>
    <w:rsid w:val="003252D8"/>
    <w:rsid w:val="00325367"/>
    <w:rsid w:val="003253AB"/>
    <w:rsid w:val="003253EF"/>
    <w:rsid w:val="0032543D"/>
    <w:rsid w:val="00325482"/>
    <w:rsid w:val="003254E7"/>
    <w:rsid w:val="0032557F"/>
    <w:rsid w:val="0032587E"/>
    <w:rsid w:val="003258D4"/>
    <w:rsid w:val="00325927"/>
    <w:rsid w:val="00325C19"/>
    <w:rsid w:val="00325C59"/>
    <w:rsid w:val="00325E83"/>
    <w:rsid w:val="0032608E"/>
    <w:rsid w:val="00326196"/>
    <w:rsid w:val="00326309"/>
    <w:rsid w:val="00326449"/>
    <w:rsid w:val="00326481"/>
    <w:rsid w:val="003264AD"/>
    <w:rsid w:val="003267F9"/>
    <w:rsid w:val="003268A9"/>
    <w:rsid w:val="00326CA1"/>
    <w:rsid w:val="00326CC9"/>
    <w:rsid w:val="00326DB2"/>
    <w:rsid w:val="00326FD0"/>
    <w:rsid w:val="00326FDC"/>
    <w:rsid w:val="00327117"/>
    <w:rsid w:val="0032753C"/>
    <w:rsid w:val="003276F1"/>
    <w:rsid w:val="00327706"/>
    <w:rsid w:val="00327754"/>
    <w:rsid w:val="003277B9"/>
    <w:rsid w:val="00327884"/>
    <w:rsid w:val="003278FD"/>
    <w:rsid w:val="0032799F"/>
    <w:rsid w:val="00327E38"/>
    <w:rsid w:val="00327E45"/>
    <w:rsid w:val="00327E7A"/>
    <w:rsid w:val="00327EA5"/>
    <w:rsid w:val="003301AF"/>
    <w:rsid w:val="003304C1"/>
    <w:rsid w:val="00330624"/>
    <w:rsid w:val="00330C05"/>
    <w:rsid w:val="00330C9F"/>
    <w:rsid w:val="00330ECB"/>
    <w:rsid w:val="003310C4"/>
    <w:rsid w:val="003314F9"/>
    <w:rsid w:val="00331517"/>
    <w:rsid w:val="003316C0"/>
    <w:rsid w:val="003319E9"/>
    <w:rsid w:val="00331C58"/>
    <w:rsid w:val="00331FE1"/>
    <w:rsid w:val="00332092"/>
    <w:rsid w:val="00332306"/>
    <w:rsid w:val="003323A5"/>
    <w:rsid w:val="003324B9"/>
    <w:rsid w:val="003325F4"/>
    <w:rsid w:val="00332B0E"/>
    <w:rsid w:val="00332B91"/>
    <w:rsid w:val="00332CA7"/>
    <w:rsid w:val="00332CB3"/>
    <w:rsid w:val="00332DD4"/>
    <w:rsid w:val="00333386"/>
    <w:rsid w:val="00333724"/>
    <w:rsid w:val="003338D9"/>
    <w:rsid w:val="00333ADA"/>
    <w:rsid w:val="00333AFC"/>
    <w:rsid w:val="00333F3A"/>
    <w:rsid w:val="0033446F"/>
    <w:rsid w:val="003344AF"/>
    <w:rsid w:val="00334789"/>
    <w:rsid w:val="003348FD"/>
    <w:rsid w:val="003349F7"/>
    <w:rsid w:val="00334B66"/>
    <w:rsid w:val="00334C9A"/>
    <w:rsid w:val="00334CA6"/>
    <w:rsid w:val="00334D21"/>
    <w:rsid w:val="00334E5E"/>
    <w:rsid w:val="00335038"/>
    <w:rsid w:val="00335086"/>
    <w:rsid w:val="003350F5"/>
    <w:rsid w:val="00335349"/>
    <w:rsid w:val="00335379"/>
    <w:rsid w:val="0033540A"/>
    <w:rsid w:val="003356FB"/>
    <w:rsid w:val="003357A0"/>
    <w:rsid w:val="0033598D"/>
    <w:rsid w:val="00335D4E"/>
    <w:rsid w:val="00335D6C"/>
    <w:rsid w:val="003364B8"/>
    <w:rsid w:val="0033655D"/>
    <w:rsid w:val="00336592"/>
    <w:rsid w:val="003365CA"/>
    <w:rsid w:val="003365D4"/>
    <w:rsid w:val="00336817"/>
    <w:rsid w:val="0033695D"/>
    <w:rsid w:val="00336C22"/>
    <w:rsid w:val="00336EBF"/>
    <w:rsid w:val="0033715E"/>
    <w:rsid w:val="003371E2"/>
    <w:rsid w:val="003371FD"/>
    <w:rsid w:val="003372FD"/>
    <w:rsid w:val="00337476"/>
    <w:rsid w:val="00337A6D"/>
    <w:rsid w:val="00337CA2"/>
    <w:rsid w:val="00337CCE"/>
    <w:rsid w:val="00337D67"/>
    <w:rsid w:val="00337D8E"/>
    <w:rsid w:val="00337EB9"/>
    <w:rsid w:val="00337EF1"/>
    <w:rsid w:val="00337FB3"/>
    <w:rsid w:val="00340315"/>
    <w:rsid w:val="003406CE"/>
    <w:rsid w:val="00340E7C"/>
    <w:rsid w:val="003411DF"/>
    <w:rsid w:val="003412D5"/>
    <w:rsid w:val="00341405"/>
    <w:rsid w:val="00341601"/>
    <w:rsid w:val="00341619"/>
    <w:rsid w:val="0034188A"/>
    <w:rsid w:val="00341A0E"/>
    <w:rsid w:val="00341BD6"/>
    <w:rsid w:val="00341F5D"/>
    <w:rsid w:val="00341FE3"/>
    <w:rsid w:val="003422EB"/>
    <w:rsid w:val="003424A7"/>
    <w:rsid w:val="00342643"/>
    <w:rsid w:val="003428B1"/>
    <w:rsid w:val="0034295A"/>
    <w:rsid w:val="00342A90"/>
    <w:rsid w:val="00342DE8"/>
    <w:rsid w:val="00343015"/>
    <w:rsid w:val="003431CF"/>
    <w:rsid w:val="003433C6"/>
    <w:rsid w:val="0034354C"/>
    <w:rsid w:val="00343580"/>
    <w:rsid w:val="003436CD"/>
    <w:rsid w:val="00343817"/>
    <w:rsid w:val="00343866"/>
    <w:rsid w:val="00343E98"/>
    <w:rsid w:val="00343F83"/>
    <w:rsid w:val="00344090"/>
    <w:rsid w:val="003442BF"/>
    <w:rsid w:val="00344A09"/>
    <w:rsid w:val="00344B9A"/>
    <w:rsid w:val="00344D03"/>
    <w:rsid w:val="00344EBE"/>
    <w:rsid w:val="00344F9E"/>
    <w:rsid w:val="00345130"/>
    <w:rsid w:val="00345883"/>
    <w:rsid w:val="00345885"/>
    <w:rsid w:val="003458E4"/>
    <w:rsid w:val="0034591A"/>
    <w:rsid w:val="00345BBF"/>
    <w:rsid w:val="00345BF0"/>
    <w:rsid w:val="00345D4E"/>
    <w:rsid w:val="00345E61"/>
    <w:rsid w:val="00346382"/>
    <w:rsid w:val="0034673C"/>
    <w:rsid w:val="00346877"/>
    <w:rsid w:val="00346CC7"/>
    <w:rsid w:val="00346CE1"/>
    <w:rsid w:val="00346D7D"/>
    <w:rsid w:val="00346FD0"/>
    <w:rsid w:val="0034718B"/>
    <w:rsid w:val="00347541"/>
    <w:rsid w:val="003475AC"/>
    <w:rsid w:val="003475D8"/>
    <w:rsid w:val="003477DC"/>
    <w:rsid w:val="00347926"/>
    <w:rsid w:val="00347AA8"/>
    <w:rsid w:val="00347CAA"/>
    <w:rsid w:val="00347CB3"/>
    <w:rsid w:val="00347D53"/>
    <w:rsid w:val="00347E91"/>
    <w:rsid w:val="003500A8"/>
    <w:rsid w:val="00350127"/>
    <w:rsid w:val="0035019E"/>
    <w:rsid w:val="00350698"/>
    <w:rsid w:val="00350CC4"/>
    <w:rsid w:val="00350D11"/>
    <w:rsid w:val="00351040"/>
    <w:rsid w:val="00351073"/>
    <w:rsid w:val="0035132F"/>
    <w:rsid w:val="0035154B"/>
    <w:rsid w:val="00351567"/>
    <w:rsid w:val="003518B7"/>
    <w:rsid w:val="00351968"/>
    <w:rsid w:val="00351C37"/>
    <w:rsid w:val="00351DF4"/>
    <w:rsid w:val="00351E4E"/>
    <w:rsid w:val="00351F7A"/>
    <w:rsid w:val="00352185"/>
    <w:rsid w:val="00352324"/>
    <w:rsid w:val="00352698"/>
    <w:rsid w:val="003527C0"/>
    <w:rsid w:val="00352A4D"/>
    <w:rsid w:val="00352BF5"/>
    <w:rsid w:val="00352F56"/>
    <w:rsid w:val="00353003"/>
    <w:rsid w:val="00353247"/>
    <w:rsid w:val="003532B3"/>
    <w:rsid w:val="00353533"/>
    <w:rsid w:val="003536C9"/>
    <w:rsid w:val="0035371C"/>
    <w:rsid w:val="00353806"/>
    <w:rsid w:val="00353A3C"/>
    <w:rsid w:val="00353A4D"/>
    <w:rsid w:val="00353A87"/>
    <w:rsid w:val="00353B49"/>
    <w:rsid w:val="00353F2E"/>
    <w:rsid w:val="00353F91"/>
    <w:rsid w:val="00354024"/>
    <w:rsid w:val="00354452"/>
    <w:rsid w:val="00354A3C"/>
    <w:rsid w:val="00354B26"/>
    <w:rsid w:val="00354CF4"/>
    <w:rsid w:val="00354E27"/>
    <w:rsid w:val="00354EBB"/>
    <w:rsid w:val="003551C5"/>
    <w:rsid w:val="003551DE"/>
    <w:rsid w:val="00355651"/>
    <w:rsid w:val="00355A33"/>
    <w:rsid w:val="00355A98"/>
    <w:rsid w:val="00355C71"/>
    <w:rsid w:val="00355C92"/>
    <w:rsid w:val="00355CDB"/>
    <w:rsid w:val="00355F0B"/>
    <w:rsid w:val="00355FDC"/>
    <w:rsid w:val="00356328"/>
    <w:rsid w:val="00356423"/>
    <w:rsid w:val="003564E3"/>
    <w:rsid w:val="003567D2"/>
    <w:rsid w:val="00356AE1"/>
    <w:rsid w:val="00356F0E"/>
    <w:rsid w:val="00356F7C"/>
    <w:rsid w:val="003570BA"/>
    <w:rsid w:val="00357357"/>
    <w:rsid w:val="0035758F"/>
    <w:rsid w:val="003575DC"/>
    <w:rsid w:val="00357730"/>
    <w:rsid w:val="00357C86"/>
    <w:rsid w:val="00357EBC"/>
    <w:rsid w:val="00357EC0"/>
    <w:rsid w:val="00357F82"/>
    <w:rsid w:val="00360178"/>
    <w:rsid w:val="003601C3"/>
    <w:rsid w:val="0036025C"/>
    <w:rsid w:val="0036038B"/>
    <w:rsid w:val="00360403"/>
    <w:rsid w:val="003606D2"/>
    <w:rsid w:val="0036092F"/>
    <w:rsid w:val="00360AA1"/>
    <w:rsid w:val="00361084"/>
    <w:rsid w:val="0036112E"/>
    <w:rsid w:val="00361149"/>
    <w:rsid w:val="0036116B"/>
    <w:rsid w:val="003611C5"/>
    <w:rsid w:val="0036132C"/>
    <w:rsid w:val="00361364"/>
    <w:rsid w:val="00361AE3"/>
    <w:rsid w:val="00361B2D"/>
    <w:rsid w:val="00361C2E"/>
    <w:rsid w:val="00361C61"/>
    <w:rsid w:val="00361DAA"/>
    <w:rsid w:val="003621FA"/>
    <w:rsid w:val="003622F1"/>
    <w:rsid w:val="003626BE"/>
    <w:rsid w:val="00362B98"/>
    <w:rsid w:val="00362EEB"/>
    <w:rsid w:val="00362F6A"/>
    <w:rsid w:val="0036362F"/>
    <w:rsid w:val="003636B2"/>
    <w:rsid w:val="003637F4"/>
    <w:rsid w:val="00363B8D"/>
    <w:rsid w:val="00363B9B"/>
    <w:rsid w:val="00363BB1"/>
    <w:rsid w:val="00363FE0"/>
    <w:rsid w:val="00364096"/>
    <w:rsid w:val="00364132"/>
    <w:rsid w:val="003644AA"/>
    <w:rsid w:val="003645B3"/>
    <w:rsid w:val="0036486B"/>
    <w:rsid w:val="003648AD"/>
    <w:rsid w:val="00364ADB"/>
    <w:rsid w:val="00364C48"/>
    <w:rsid w:val="00364C83"/>
    <w:rsid w:val="00364D73"/>
    <w:rsid w:val="00364ED6"/>
    <w:rsid w:val="00365008"/>
    <w:rsid w:val="00365018"/>
    <w:rsid w:val="00365057"/>
    <w:rsid w:val="003650A1"/>
    <w:rsid w:val="003651D7"/>
    <w:rsid w:val="00365342"/>
    <w:rsid w:val="003654B9"/>
    <w:rsid w:val="0036550D"/>
    <w:rsid w:val="003655A9"/>
    <w:rsid w:val="00365655"/>
    <w:rsid w:val="00365681"/>
    <w:rsid w:val="0036591C"/>
    <w:rsid w:val="0036607B"/>
    <w:rsid w:val="0036608E"/>
    <w:rsid w:val="003661A0"/>
    <w:rsid w:val="003664F4"/>
    <w:rsid w:val="00366635"/>
    <w:rsid w:val="003666CB"/>
    <w:rsid w:val="00366947"/>
    <w:rsid w:val="00366B3D"/>
    <w:rsid w:val="00366B55"/>
    <w:rsid w:val="00366C31"/>
    <w:rsid w:val="00366CC1"/>
    <w:rsid w:val="00366DF6"/>
    <w:rsid w:val="00366F4B"/>
    <w:rsid w:val="00367691"/>
    <w:rsid w:val="003677F5"/>
    <w:rsid w:val="00367860"/>
    <w:rsid w:val="00367964"/>
    <w:rsid w:val="0036796A"/>
    <w:rsid w:val="00367D1B"/>
    <w:rsid w:val="00367D78"/>
    <w:rsid w:val="00367D98"/>
    <w:rsid w:val="00367DAF"/>
    <w:rsid w:val="00367E9D"/>
    <w:rsid w:val="00370052"/>
    <w:rsid w:val="003705C4"/>
    <w:rsid w:val="0037095A"/>
    <w:rsid w:val="00370985"/>
    <w:rsid w:val="0037099A"/>
    <w:rsid w:val="003709D3"/>
    <w:rsid w:val="00370A09"/>
    <w:rsid w:val="00370D14"/>
    <w:rsid w:val="00370D29"/>
    <w:rsid w:val="00370E61"/>
    <w:rsid w:val="00371295"/>
    <w:rsid w:val="003712B4"/>
    <w:rsid w:val="00371511"/>
    <w:rsid w:val="003715ED"/>
    <w:rsid w:val="00372205"/>
    <w:rsid w:val="00372241"/>
    <w:rsid w:val="003726F8"/>
    <w:rsid w:val="003727E3"/>
    <w:rsid w:val="0037288A"/>
    <w:rsid w:val="00372971"/>
    <w:rsid w:val="00372A38"/>
    <w:rsid w:val="00372AFC"/>
    <w:rsid w:val="00372C02"/>
    <w:rsid w:val="00372D36"/>
    <w:rsid w:val="003730E0"/>
    <w:rsid w:val="00373101"/>
    <w:rsid w:val="0037319C"/>
    <w:rsid w:val="0037319F"/>
    <w:rsid w:val="003731AF"/>
    <w:rsid w:val="003732F3"/>
    <w:rsid w:val="0037338E"/>
    <w:rsid w:val="0037350B"/>
    <w:rsid w:val="003735C2"/>
    <w:rsid w:val="003737E2"/>
    <w:rsid w:val="003737FF"/>
    <w:rsid w:val="003738E9"/>
    <w:rsid w:val="00373CAA"/>
    <w:rsid w:val="00373E54"/>
    <w:rsid w:val="00373E90"/>
    <w:rsid w:val="00373F5C"/>
    <w:rsid w:val="00374037"/>
    <w:rsid w:val="00374674"/>
    <w:rsid w:val="003748B0"/>
    <w:rsid w:val="0037499B"/>
    <w:rsid w:val="00374A28"/>
    <w:rsid w:val="00374CC3"/>
    <w:rsid w:val="00374E1F"/>
    <w:rsid w:val="00374E94"/>
    <w:rsid w:val="00374EBB"/>
    <w:rsid w:val="00374F8B"/>
    <w:rsid w:val="003750E2"/>
    <w:rsid w:val="00375627"/>
    <w:rsid w:val="003757CF"/>
    <w:rsid w:val="00375D9A"/>
    <w:rsid w:val="00375E7A"/>
    <w:rsid w:val="00375EA6"/>
    <w:rsid w:val="00375EED"/>
    <w:rsid w:val="00375F0C"/>
    <w:rsid w:val="003761A2"/>
    <w:rsid w:val="0037622D"/>
    <w:rsid w:val="003765FA"/>
    <w:rsid w:val="00376697"/>
    <w:rsid w:val="003767D9"/>
    <w:rsid w:val="0037692B"/>
    <w:rsid w:val="00376B4E"/>
    <w:rsid w:val="00376CF2"/>
    <w:rsid w:val="00377057"/>
    <w:rsid w:val="003770D4"/>
    <w:rsid w:val="003771E3"/>
    <w:rsid w:val="00377461"/>
    <w:rsid w:val="00377660"/>
    <w:rsid w:val="0037779A"/>
    <w:rsid w:val="0037796A"/>
    <w:rsid w:val="00377F6E"/>
    <w:rsid w:val="003806BE"/>
    <w:rsid w:val="00380A96"/>
    <w:rsid w:val="00380B5B"/>
    <w:rsid w:val="00380CB9"/>
    <w:rsid w:val="00380ED0"/>
    <w:rsid w:val="00380FFD"/>
    <w:rsid w:val="0038104C"/>
    <w:rsid w:val="0038119D"/>
    <w:rsid w:val="003813BA"/>
    <w:rsid w:val="003814F9"/>
    <w:rsid w:val="0038182E"/>
    <w:rsid w:val="00381948"/>
    <w:rsid w:val="0038194E"/>
    <w:rsid w:val="0038195E"/>
    <w:rsid w:val="00381A05"/>
    <w:rsid w:val="00381B61"/>
    <w:rsid w:val="00381BD9"/>
    <w:rsid w:val="00381F91"/>
    <w:rsid w:val="0038255C"/>
    <w:rsid w:val="00382684"/>
    <w:rsid w:val="0038294B"/>
    <w:rsid w:val="00382AB2"/>
    <w:rsid w:val="00382B32"/>
    <w:rsid w:val="00382B6E"/>
    <w:rsid w:val="00382B89"/>
    <w:rsid w:val="00382B98"/>
    <w:rsid w:val="00382D0B"/>
    <w:rsid w:val="00382E8D"/>
    <w:rsid w:val="0038301C"/>
    <w:rsid w:val="003831A3"/>
    <w:rsid w:val="0038338E"/>
    <w:rsid w:val="003834CB"/>
    <w:rsid w:val="003836E7"/>
    <w:rsid w:val="0038383D"/>
    <w:rsid w:val="00383967"/>
    <w:rsid w:val="00383976"/>
    <w:rsid w:val="00383A1F"/>
    <w:rsid w:val="00383AD2"/>
    <w:rsid w:val="00383F56"/>
    <w:rsid w:val="00383F5A"/>
    <w:rsid w:val="00383F9D"/>
    <w:rsid w:val="003840B5"/>
    <w:rsid w:val="0038412A"/>
    <w:rsid w:val="00384273"/>
    <w:rsid w:val="003842FC"/>
    <w:rsid w:val="003845FF"/>
    <w:rsid w:val="00384964"/>
    <w:rsid w:val="003849E2"/>
    <w:rsid w:val="00385B14"/>
    <w:rsid w:val="00385B4A"/>
    <w:rsid w:val="00385DD9"/>
    <w:rsid w:val="00385E3E"/>
    <w:rsid w:val="00385E7A"/>
    <w:rsid w:val="00385F7D"/>
    <w:rsid w:val="00386062"/>
    <w:rsid w:val="00386131"/>
    <w:rsid w:val="00386254"/>
    <w:rsid w:val="00386282"/>
    <w:rsid w:val="003862C9"/>
    <w:rsid w:val="003862FB"/>
    <w:rsid w:val="00386356"/>
    <w:rsid w:val="003863BF"/>
    <w:rsid w:val="00386417"/>
    <w:rsid w:val="003866F7"/>
    <w:rsid w:val="00386785"/>
    <w:rsid w:val="0038698D"/>
    <w:rsid w:val="003869DE"/>
    <w:rsid w:val="00386A8B"/>
    <w:rsid w:val="00386B68"/>
    <w:rsid w:val="00386BD6"/>
    <w:rsid w:val="00386BDE"/>
    <w:rsid w:val="00386FB9"/>
    <w:rsid w:val="00387036"/>
    <w:rsid w:val="003870E4"/>
    <w:rsid w:val="0038740B"/>
    <w:rsid w:val="003874FA"/>
    <w:rsid w:val="00387750"/>
    <w:rsid w:val="003877A4"/>
    <w:rsid w:val="00387C33"/>
    <w:rsid w:val="00387CF8"/>
    <w:rsid w:val="00387E2E"/>
    <w:rsid w:val="00387FC9"/>
    <w:rsid w:val="00390018"/>
    <w:rsid w:val="00390475"/>
    <w:rsid w:val="00390476"/>
    <w:rsid w:val="003905B1"/>
    <w:rsid w:val="003905CD"/>
    <w:rsid w:val="00390661"/>
    <w:rsid w:val="003908C4"/>
    <w:rsid w:val="00390BB0"/>
    <w:rsid w:val="00390D0D"/>
    <w:rsid w:val="00390E43"/>
    <w:rsid w:val="00390EE5"/>
    <w:rsid w:val="00390F10"/>
    <w:rsid w:val="00391214"/>
    <w:rsid w:val="00391351"/>
    <w:rsid w:val="00391551"/>
    <w:rsid w:val="00391571"/>
    <w:rsid w:val="00391728"/>
    <w:rsid w:val="00391755"/>
    <w:rsid w:val="0039176C"/>
    <w:rsid w:val="0039178D"/>
    <w:rsid w:val="003919B0"/>
    <w:rsid w:val="00391E15"/>
    <w:rsid w:val="0039207E"/>
    <w:rsid w:val="0039208E"/>
    <w:rsid w:val="0039248B"/>
    <w:rsid w:val="003928B0"/>
    <w:rsid w:val="0039292F"/>
    <w:rsid w:val="003929EA"/>
    <w:rsid w:val="00392AD4"/>
    <w:rsid w:val="00392BF2"/>
    <w:rsid w:val="00392BFD"/>
    <w:rsid w:val="00392E18"/>
    <w:rsid w:val="00392E78"/>
    <w:rsid w:val="00392F1B"/>
    <w:rsid w:val="003933E3"/>
    <w:rsid w:val="0039346F"/>
    <w:rsid w:val="003935FE"/>
    <w:rsid w:val="00393848"/>
    <w:rsid w:val="0039392E"/>
    <w:rsid w:val="00393AEA"/>
    <w:rsid w:val="00393B25"/>
    <w:rsid w:val="003940F3"/>
    <w:rsid w:val="00394149"/>
    <w:rsid w:val="00394167"/>
    <w:rsid w:val="0039423C"/>
    <w:rsid w:val="003944E7"/>
    <w:rsid w:val="00394547"/>
    <w:rsid w:val="00394648"/>
    <w:rsid w:val="00394653"/>
    <w:rsid w:val="0039477A"/>
    <w:rsid w:val="00394B15"/>
    <w:rsid w:val="00394D93"/>
    <w:rsid w:val="00394EB4"/>
    <w:rsid w:val="00394FA3"/>
    <w:rsid w:val="0039526A"/>
    <w:rsid w:val="00395345"/>
    <w:rsid w:val="003955BB"/>
    <w:rsid w:val="00395626"/>
    <w:rsid w:val="0039572D"/>
    <w:rsid w:val="00395A2B"/>
    <w:rsid w:val="00395BA0"/>
    <w:rsid w:val="00396417"/>
    <w:rsid w:val="003964D3"/>
    <w:rsid w:val="003969DA"/>
    <w:rsid w:val="00396B79"/>
    <w:rsid w:val="0039704E"/>
    <w:rsid w:val="00397498"/>
    <w:rsid w:val="00397777"/>
    <w:rsid w:val="003978DC"/>
    <w:rsid w:val="00397B39"/>
    <w:rsid w:val="00397CE9"/>
    <w:rsid w:val="00397D9C"/>
    <w:rsid w:val="00397E1F"/>
    <w:rsid w:val="0039EA89"/>
    <w:rsid w:val="003A0299"/>
    <w:rsid w:val="003A05C8"/>
    <w:rsid w:val="003A06A7"/>
    <w:rsid w:val="003A0849"/>
    <w:rsid w:val="003A0902"/>
    <w:rsid w:val="003A09F5"/>
    <w:rsid w:val="003A0AC2"/>
    <w:rsid w:val="003A0D5D"/>
    <w:rsid w:val="003A0E17"/>
    <w:rsid w:val="003A13A5"/>
    <w:rsid w:val="003A1411"/>
    <w:rsid w:val="003A1720"/>
    <w:rsid w:val="003A1797"/>
    <w:rsid w:val="003A1A95"/>
    <w:rsid w:val="003A1C7D"/>
    <w:rsid w:val="003A1D67"/>
    <w:rsid w:val="003A1D9F"/>
    <w:rsid w:val="003A1F15"/>
    <w:rsid w:val="003A20F9"/>
    <w:rsid w:val="003A22C9"/>
    <w:rsid w:val="003A2458"/>
    <w:rsid w:val="003A2461"/>
    <w:rsid w:val="003A24C0"/>
    <w:rsid w:val="003A2683"/>
    <w:rsid w:val="003A2883"/>
    <w:rsid w:val="003A2DA4"/>
    <w:rsid w:val="003A2DF2"/>
    <w:rsid w:val="003A308C"/>
    <w:rsid w:val="003A30BE"/>
    <w:rsid w:val="003A3331"/>
    <w:rsid w:val="003A3364"/>
    <w:rsid w:val="003A3924"/>
    <w:rsid w:val="003A395A"/>
    <w:rsid w:val="003A3C39"/>
    <w:rsid w:val="003A3E0A"/>
    <w:rsid w:val="003A3E5C"/>
    <w:rsid w:val="003A3FD3"/>
    <w:rsid w:val="003A4440"/>
    <w:rsid w:val="003A472D"/>
    <w:rsid w:val="003A4999"/>
    <w:rsid w:val="003A4A16"/>
    <w:rsid w:val="003A4A20"/>
    <w:rsid w:val="003A4A46"/>
    <w:rsid w:val="003A4CAF"/>
    <w:rsid w:val="003A5019"/>
    <w:rsid w:val="003A5196"/>
    <w:rsid w:val="003A51D5"/>
    <w:rsid w:val="003A5216"/>
    <w:rsid w:val="003A5345"/>
    <w:rsid w:val="003A5800"/>
    <w:rsid w:val="003A5945"/>
    <w:rsid w:val="003A5B61"/>
    <w:rsid w:val="003A5CA3"/>
    <w:rsid w:val="003A5CDC"/>
    <w:rsid w:val="003A5ECD"/>
    <w:rsid w:val="003A608B"/>
    <w:rsid w:val="003A6132"/>
    <w:rsid w:val="003A650B"/>
    <w:rsid w:val="003A6676"/>
    <w:rsid w:val="003A6953"/>
    <w:rsid w:val="003A6982"/>
    <w:rsid w:val="003A6A02"/>
    <w:rsid w:val="003A6D88"/>
    <w:rsid w:val="003A6D8C"/>
    <w:rsid w:val="003A7454"/>
    <w:rsid w:val="003A745A"/>
    <w:rsid w:val="003A749B"/>
    <w:rsid w:val="003A7546"/>
    <w:rsid w:val="003A78B7"/>
    <w:rsid w:val="003A7C44"/>
    <w:rsid w:val="003B0067"/>
    <w:rsid w:val="003B03B2"/>
    <w:rsid w:val="003B0783"/>
    <w:rsid w:val="003B0B0F"/>
    <w:rsid w:val="003B0BCF"/>
    <w:rsid w:val="003B0E93"/>
    <w:rsid w:val="003B1015"/>
    <w:rsid w:val="003B1136"/>
    <w:rsid w:val="003B1142"/>
    <w:rsid w:val="003B1147"/>
    <w:rsid w:val="003B1429"/>
    <w:rsid w:val="003B150B"/>
    <w:rsid w:val="003B1809"/>
    <w:rsid w:val="003B1A03"/>
    <w:rsid w:val="003B222A"/>
    <w:rsid w:val="003B2298"/>
    <w:rsid w:val="003B24FC"/>
    <w:rsid w:val="003B29D9"/>
    <w:rsid w:val="003B2EB4"/>
    <w:rsid w:val="003B3003"/>
    <w:rsid w:val="003B311B"/>
    <w:rsid w:val="003B316C"/>
    <w:rsid w:val="003B33EE"/>
    <w:rsid w:val="003B3493"/>
    <w:rsid w:val="003B35B8"/>
    <w:rsid w:val="003B383A"/>
    <w:rsid w:val="003B3BCC"/>
    <w:rsid w:val="003B3C7C"/>
    <w:rsid w:val="003B415B"/>
    <w:rsid w:val="003B417F"/>
    <w:rsid w:val="003B42F7"/>
    <w:rsid w:val="003B4672"/>
    <w:rsid w:val="003B474A"/>
    <w:rsid w:val="003B4974"/>
    <w:rsid w:val="003B4A24"/>
    <w:rsid w:val="003B4A81"/>
    <w:rsid w:val="003B4CEC"/>
    <w:rsid w:val="003B4E86"/>
    <w:rsid w:val="003B5370"/>
    <w:rsid w:val="003B5635"/>
    <w:rsid w:val="003B56DD"/>
    <w:rsid w:val="003B56EF"/>
    <w:rsid w:val="003B582F"/>
    <w:rsid w:val="003B591B"/>
    <w:rsid w:val="003B5C20"/>
    <w:rsid w:val="003B5C5E"/>
    <w:rsid w:val="003B5EB0"/>
    <w:rsid w:val="003B611E"/>
    <w:rsid w:val="003B6518"/>
    <w:rsid w:val="003B65C4"/>
    <w:rsid w:val="003B6641"/>
    <w:rsid w:val="003B668A"/>
    <w:rsid w:val="003B66E4"/>
    <w:rsid w:val="003B68D2"/>
    <w:rsid w:val="003B68F5"/>
    <w:rsid w:val="003B6908"/>
    <w:rsid w:val="003B6A08"/>
    <w:rsid w:val="003B6C46"/>
    <w:rsid w:val="003B6E9B"/>
    <w:rsid w:val="003B7138"/>
    <w:rsid w:val="003B75F6"/>
    <w:rsid w:val="003B79DE"/>
    <w:rsid w:val="003B7A56"/>
    <w:rsid w:val="003B7B38"/>
    <w:rsid w:val="003B7BD4"/>
    <w:rsid w:val="003B7CF0"/>
    <w:rsid w:val="003C033D"/>
    <w:rsid w:val="003C03EE"/>
    <w:rsid w:val="003C084C"/>
    <w:rsid w:val="003C0924"/>
    <w:rsid w:val="003C0FF3"/>
    <w:rsid w:val="003C1075"/>
    <w:rsid w:val="003C10D6"/>
    <w:rsid w:val="003C11D3"/>
    <w:rsid w:val="003C12CC"/>
    <w:rsid w:val="003C1602"/>
    <w:rsid w:val="003C181E"/>
    <w:rsid w:val="003C1827"/>
    <w:rsid w:val="003C1AC4"/>
    <w:rsid w:val="003C1B2A"/>
    <w:rsid w:val="003C1E92"/>
    <w:rsid w:val="003C1FFE"/>
    <w:rsid w:val="003C2237"/>
    <w:rsid w:val="003C22A7"/>
    <w:rsid w:val="003C28A8"/>
    <w:rsid w:val="003C2BF4"/>
    <w:rsid w:val="003C2C67"/>
    <w:rsid w:val="003C2CAF"/>
    <w:rsid w:val="003C2E46"/>
    <w:rsid w:val="003C2F81"/>
    <w:rsid w:val="003C3895"/>
    <w:rsid w:val="003C3A0E"/>
    <w:rsid w:val="003C3A8C"/>
    <w:rsid w:val="003C3F6F"/>
    <w:rsid w:val="003C432F"/>
    <w:rsid w:val="003C4348"/>
    <w:rsid w:val="003C43BB"/>
    <w:rsid w:val="003C45FC"/>
    <w:rsid w:val="003C47F3"/>
    <w:rsid w:val="003C4840"/>
    <w:rsid w:val="003C4A3F"/>
    <w:rsid w:val="003C4E4C"/>
    <w:rsid w:val="003C5001"/>
    <w:rsid w:val="003C5183"/>
    <w:rsid w:val="003C52A1"/>
    <w:rsid w:val="003C52DF"/>
    <w:rsid w:val="003C545B"/>
    <w:rsid w:val="003C5773"/>
    <w:rsid w:val="003C577A"/>
    <w:rsid w:val="003C5F40"/>
    <w:rsid w:val="003C5FF1"/>
    <w:rsid w:val="003C61AA"/>
    <w:rsid w:val="003C6202"/>
    <w:rsid w:val="003C63C7"/>
    <w:rsid w:val="003C6548"/>
    <w:rsid w:val="003C67F2"/>
    <w:rsid w:val="003C6878"/>
    <w:rsid w:val="003C6D1F"/>
    <w:rsid w:val="003C6D2A"/>
    <w:rsid w:val="003C6FE2"/>
    <w:rsid w:val="003C73E7"/>
    <w:rsid w:val="003C7563"/>
    <w:rsid w:val="003C76DB"/>
    <w:rsid w:val="003C7991"/>
    <w:rsid w:val="003C7AA0"/>
    <w:rsid w:val="003C7C9D"/>
    <w:rsid w:val="003C7EBF"/>
    <w:rsid w:val="003D0052"/>
    <w:rsid w:val="003D03AC"/>
    <w:rsid w:val="003D0704"/>
    <w:rsid w:val="003D082C"/>
    <w:rsid w:val="003D083E"/>
    <w:rsid w:val="003D09BF"/>
    <w:rsid w:val="003D09D1"/>
    <w:rsid w:val="003D0A51"/>
    <w:rsid w:val="003D0B93"/>
    <w:rsid w:val="003D0DC7"/>
    <w:rsid w:val="003D0EF4"/>
    <w:rsid w:val="003D1281"/>
    <w:rsid w:val="003D162A"/>
    <w:rsid w:val="003D1856"/>
    <w:rsid w:val="003D1889"/>
    <w:rsid w:val="003D18FA"/>
    <w:rsid w:val="003D1ADF"/>
    <w:rsid w:val="003D1B11"/>
    <w:rsid w:val="003D21E8"/>
    <w:rsid w:val="003D24BA"/>
    <w:rsid w:val="003D26E5"/>
    <w:rsid w:val="003D2875"/>
    <w:rsid w:val="003D2A74"/>
    <w:rsid w:val="003D2AAA"/>
    <w:rsid w:val="003D2C18"/>
    <w:rsid w:val="003D2C31"/>
    <w:rsid w:val="003D2D44"/>
    <w:rsid w:val="003D2D77"/>
    <w:rsid w:val="003D2D86"/>
    <w:rsid w:val="003D309F"/>
    <w:rsid w:val="003D3520"/>
    <w:rsid w:val="003D3590"/>
    <w:rsid w:val="003D36A9"/>
    <w:rsid w:val="003D3737"/>
    <w:rsid w:val="003D379B"/>
    <w:rsid w:val="003D3941"/>
    <w:rsid w:val="003D3AA1"/>
    <w:rsid w:val="003D3D0A"/>
    <w:rsid w:val="003D3DCA"/>
    <w:rsid w:val="003D3E58"/>
    <w:rsid w:val="003D4006"/>
    <w:rsid w:val="003D41DA"/>
    <w:rsid w:val="003D43D5"/>
    <w:rsid w:val="003D45C0"/>
    <w:rsid w:val="003D45D4"/>
    <w:rsid w:val="003D45F8"/>
    <w:rsid w:val="003D4644"/>
    <w:rsid w:val="003D4713"/>
    <w:rsid w:val="003D4821"/>
    <w:rsid w:val="003D4D78"/>
    <w:rsid w:val="003D4E06"/>
    <w:rsid w:val="003D54E7"/>
    <w:rsid w:val="003D54ED"/>
    <w:rsid w:val="003D5BB9"/>
    <w:rsid w:val="003D5C46"/>
    <w:rsid w:val="003D5CFD"/>
    <w:rsid w:val="003D5DC8"/>
    <w:rsid w:val="003D5F15"/>
    <w:rsid w:val="003D6001"/>
    <w:rsid w:val="003D6290"/>
    <w:rsid w:val="003D645C"/>
    <w:rsid w:val="003D671C"/>
    <w:rsid w:val="003D6857"/>
    <w:rsid w:val="003D697E"/>
    <w:rsid w:val="003D699D"/>
    <w:rsid w:val="003D69F0"/>
    <w:rsid w:val="003D6DC6"/>
    <w:rsid w:val="003D6EB3"/>
    <w:rsid w:val="003D6ECC"/>
    <w:rsid w:val="003D700C"/>
    <w:rsid w:val="003D7368"/>
    <w:rsid w:val="003D74E3"/>
    <w:rsid w:val="003D75EE"/>
    <w:rsid w:val="003D784B"/>
    <w:rsid w:val="003D78B4"/>
    <w:rsid w:val="003D795F"/>
    <w:rsid w:val="003D7AE3"/>
    <w:rsid w:val="003E0474"/>
    <w:rsid w:val="003E0856"/>
    <w:rsid w:val="003E0A0F"/>
    <w:rsid w:val="003E0ADB"/>
    <w:rsid w:val="003E0C7C"/>
    <w:rsid w:val="003E0F2D"/>
    <w:rsid w:val="003E0F6A"/>
    <w:rsid w:val="003E1089"/>
    <w:rsid w:val="003E10D9"/>
    <w:rsid w:val="003E1438"/>
    <w:rsid w:val="003E189A"/>
    <w:rsid w:val="003E1A27"/>
    <w:rsid w:val="003E1CB1"/>
    <w:rsid w:val="003E1D23"/>
    <w:rsid w:val="003E1F7A"/>
    <w:rsid w:val="003E20C9"/>
    <w:rsid w:val="003E2AEA"/>
    <w:rsid w:val="003E2E48"/>
    <w:rsid w:val="003E2EFA"/>
    <w:rsid w:val="003E3169"/>
    <w:rsid w:val="003E31D3"/>
    <w:rsid w:val="003E32B2"/>
    <w:rsid w:val="003E352B"/>
    <w:rsid w:val="003E3836"/>
    <w:rsid w:val="003E3A20"/>
    <w:rsid w:val="003E3A8C"/>
    <w:rsid w:val="003E3C1D"/>
    <w:rsid w:val="003E3D07"/>
    <w:rsid w:val="003E3D0F"/>
    <w:rsid w:val="003E401F"/>
    <w:rsid w:val="003E40D9"/>
    <w:rsid w:val="003E4482"/>
    <w:rsid w:val="003E45F2"/>
    <w:rsid w:val="003E45F7"/>
    <w:rsid w:val="003E4E0A"/>
    <w:rsid w:val="003E4E3F"/>
    <w:rsid w:val="003E4ECA"/>
    <w:rsid w:val="003E4F51"/>
    <w:rsid w:val="003E5075"/>
    <w:rsid w:val="003E50BC"/>
    <w:rsid w:val="003E5111"/>
    <w:rsid w:val="003E531A"/>
    <w:rsid w:val="003E5479"/>
    <w:rsid w:val="003E567E"/>
    <w:rsid w:val="003E58C3"/>
    <w:rsid w:val="003E58DD"/>
    <w:rsid w:val="003E58F2"/>
    <w:rsid w:val="003E5A64"/>
    <w:rsid w:val="003E5CC0"/>
    <w:rsid w:val="003E5EA9"/>
    <w:rsid w:val="003E5FBA"/>
    <w:rsid w:val="003E61BE"/>
    <w:rsid w:val="003E660F"/>
    <w:rsid w:val="003E66E4"/>
    <w:rsid w:val="003E67AA"/>
    <w:rsid w:val="003E6AEE"/>
    <w:rsid w:val="003E6B94"/>
    <w:rsid w:val="003E6BF7"/>
    <w:rsid w:val="003E6F72"/>
    <w:rsid w:val="003E708A"/>
    <w:rsid w:val="003E7090"/>
    <w:rsid w:val="003E7115"/>
    <w:rsid w:val="003E713A"/>
    <w:rsid w:val="003E718A"/>
    <w:rsid w:val="003E71B5"/>
    <w:rsid w:val="003E7334"/>
    <w:rsid w:val="003E7549"/>
    <w:rsid w:val="003E783A"/>
    <w:rsid w:val="003E78D3"/>
    <w:rsid w:val="003E78DC"/>
    <w:rsid w:val="003E7BD6"/>
    <w:rsid w:val="003E7DC9"/>
    <w:rsid w:val="003E7E54"/>
    <w:rsid w:val="003E7F4F"/>
    <w:rsid w:val="003F0048"/>
    <w:rsid w:val="003F022F"/>
    <w:rsid w:val="003F062D"/>
    <w:rsid w:val="003F067B"/>
    <w:rsid w:val="003F06BF"/>
    <w:rsid w:val="003F08A4"/>
    <w:rsid w:val="003F098B"/>
    <w:rsid w:val="003F0A71"/>
    <w:rsid w:val="003F0AC5"/>
    <w:rsid w:val="003F1009"/>
    <w:rsid w:val="003F11EB"/>
    <w:rsid w:val="003F12E2"/>
    <w:rsid w:val="003F1627"/>
    <w:rsid w:val="003F1CD3"/>
    <w:rsid w:val="003F1CFB"/>
    <w:rsid w:val="003F1EE0"/>
    <w:rsid w:val="003F228D"/>
    <w:rsid w:val="003F230E"/>
    <w:rsid w:val="003F289E"/>
    <w:rsid w:val="003F2CF8"/>
    <w:rsid w:val="003F2D3A"/>
    <w:rsid w:val="003F2E9B"/>
    <w:rsid w:val="003F32B1"/>
    <w:rsid w:val="003F3553"/>
    <w:rsid w:val="003F37C7"/>
    <w:rsid w:val="003F3A81"/>
    <w:rsid w:val="003F3C74"/>
    <w:rsid w:val="003F3FD8"/>
    <w:rsid w:val="003F3FE4"/>
    <w:rsid w:val="003F420F"/>
    <w:rsid w:val="003F43D6"/>
    <w:rsid w:val="003F4411"/>
    <w:rsid w:val="003F449B"/>
    <w:rsid w:val="003F459F"/>
    <w:rsid w:val="003F480C"/>
    <w:rsid w:val="003F4927"/>
    <w:rsid w:val="003F4B49"/>
    <w:rsid w:val="003F4D3E"/>
    <w:rsid w:val="003F4D50"/>
    <w:rsid w:val="003F5047"/>
    <w:rsid w:val="003F50FA"/>
    <w:rsid w:val="003F528D"/>
    <w:rsid w:val="003F542F"/>
    <w:rsid w:val="003F55B3"/>
    <w:rsid w:val="003F5A90"/>
    <w:rsid w:val="003F5BEA"/>
    <w:rsid w:val="003F5CF5"/>
    <w:rsid w:val="003F5F57"/>
    <w:rsid w:val="003F61A1"/>
    <w:rsid w:val="003F6438"/>
    <w:rsid w:val="003F6733"/>
    <w:rsid w:val="003F673A"/>
    <w:rsid w:val="003F6A20"/>
    <w:rsid w:val="003F7597"/>
    <w:rsid w:val="003F7651"/>
    <w:rsid w:val="003F7877"/>
    <w:rsid w:val="003F79C2"/>
    <w:rsid w:val="003F7A1B"/>
    <w:rsid w:val="003F7B12"/>
    <w:rsid w:val="003F7D02"/>
    <w:rsid w:val="003F7D29"/>
    <w:rsid w:val="003F7F9F"/>
    <w:rsid w:val="003F7FA5"/>
    <w:rsid w:val="0040009A"/>
    <w:rsid w:val="0040020A"/>
    <w:rsid w:val="004002BE"/>
    <w:rsid w:val="0040060C"/>
    <w:rsid w:val="004006F3"/>
    <w:rsid w:val="0040074E"/>
    <w:rsid w:val="00400B8B"/>
    <w:rsid w:val="00400BBF"/>
    <w:rsid w:val="00400BE0"/>
    <w:rsid w:val="00400D23"/>
    <w:rsid w:val="004013BE"/>
    <w:rsid w:val="00401536"/>
    <w:rsid w:val="00401B34"/>
    <w:rsid w:val="00401BA8"/>
    <w:rsid w:val="00401C69"/>
    <w:rsid w:val="00401DCD"/>
    <w:rsid w:val="00401E90"/>
    <w:rsid w:val="00401F73"/>
    <w:rsid w:val="004020AB"/>
    <w:rsid w:val="00402393"/>
    <w:rsid w:val="0040253C"/>
    <w:rsid w:val="00402560"/>
    <w:rsid w:val="004026BD"/>
    <w:rsid w:val="004026CE"/>
    <w:rsid w:val="00402780"/>
    <w:rsid w:val="004028FB"/>
    <w:rsid w:val="00402E53"/>
    <w:rsid w:val="00402FDB"/>
    <w:rsid w:val="004030CF"/>
    <w:rsid w:val="0040349A"/>
    <w:rsid w:val="004039C6"/>
    <w:rsid w:val="00403AD9"/>
    <w:rsid w:val="00403C8F"/>
    <w:rsid w:val="00403CF6"/>
    <w:rsid w:val="00404333"/>
    <w:rsid w:val="00404969"/>
    <w:rsid w:val="00404CF3"/>
    <w:rsid w:val="00404EF1"/>
    <w:rsid w:val="00405436"/>
    <w:rsid w:val="0040557E"/>
    <w:rsid w:val="004055BB"/>
    <w:rsid w:val="004058BE"/>
    <w:rsid w:val="004058C6"/>
    <w:rsid w:val="00405B08"/>
    <w:rsid w:val="00405CA7"/>
    <w:rsid w:val="00405D2D"/>
    <w:rsid w:val="00405D55"/>
    <w:rsid w:val="0040634F"/>
    <w:rsid w:val="00406986"/>
    <w:rsid w:val="00406F35"/>
    <w:rsid w:val="00406F5E"/>
    <w:rsid w:val="00406F7E"/>
    <w:rsid w:val="004076CD"/>
    <w:rsid w:val="0040784E"/>
    <w:rsid w:val="00407CD1"/>
    <w:rsid w:val="00407D0A"/>
    <w:rsid w:val="00410016"/>
    <w:rsid w:val="0041001D"/>
    <w:rsid w:val="00410397"/>
    <w:rsid w:val="00410578"/>
    <w:rsid w:val="00410776"/>
    <w:rsid w:val="004107C3"/>
    <w:rsid w:val="00410858"/>
    <w:rsid w:val="00410A79"/>
    <w:rsid w:val="00410CD6"/>
    <w:rsid w:val="00410E2C"/>
    <w:rsid w:val="00410EF4"/>
    <w:rsid w:val="00411050"/>
    <w:rsid w:val="004110F4"/>
    <w:rsid w:val="004114DA"/>
    <w:rsid w:val="0041155B"/>
    <w:rsid w:val="0041159E"/>
    <w:rsid w:val="00411692"/>
    <w:rsid w:val="00411822"/>
    <w:rsid w:val="00411843"/>
    <w:rsid w:val="004119CA"/>
    <w:rsid w:val="00411C71"/>
    <w:rsid w:val="00411EAF"/>
    <w:rsid w:val="00411F8A"/>
    <w:rsid w:val="00412182"/>
    <w:rsid w:val="004123BD"/>
    <w:rsid w:val="00412458"/>
    <w:rsid w:val="0041256B"/>
    <w:rsid w:val="0041270A"/>
    <w:rsid w:val="0041273B"/>
    <w:rsid w:val="00412778"/>
    <w:rsid w:val="004127B6"/>
    <w:rsid w:val="004129A5"/>
    <w:rsid w:val="00412B07"/>
    <w:rsid w:val="00412BA9"/>
    <w:rsid w:val="00412BB8"/>
    <w:rsid w:val="00412DE9"/>
    <w:rsid w:val="00412F01"/>
    <w:rsid w:val="0041308F"/>
    <w:rsid w:val="004132F0"/>
    <w:rsid w:val="00413379"/>
    <w:rsid w:val="00413483"/>
    <w:rsid w:val="004137CA"/>
    <w:rsid w:val="00413A66"/>
    <w:rsid w:val="00413E33"/>
    <w:rsid w:val="00413ED5"/>
    <w:rsid w:val="00414032"/>
    <w:rsid w:val="0041439A"/>
    <w:rsid w:val="00414496"/>
    <w:rsid w:val="004144D8"/>
    <w:rsid w:val="00414517"/>
    <w:rsid w:val="0041461D"/>
    <w:rsid w:val="00414658"/>
    <w:rsid w:val="004146FB"/>
    <w:rsid w:val="00414B06"/>
    <w:rsid w:val="00414DB5"/>
    <w:rsid w:val="00414E04"/>
    <w:rsid w:val="00414ECC"/>
    <w:rsid w:val="0041503D"/>
    <w:rsid w:val="004152DB"/>
    <w:rsid w:val="004152E5"/>
    <w:rsid w:val="00415345"/>
    <w:rsid w:val="00415368"/>
    <w:rsid w:val="004154BF"/>
    <w:rsid w:val="00415526"/>
    <w:rsid w:val="0041569B"/>
    <w:rsid w:val="00415797"/>
    <w:rsid w:val="004157AE"/>
    <w:rsid w:val="004157CD"/>
    <w:rsid w:val="00415812"/>
    <w:rsid w:val="00415817"/>
    <w:rsid w:val="0041594A"/>
    <w:rsid w:val="00415B8A"/>
    <w:rsid w:val="00415BD4"/>
    <w:rsid w:val="00415CC0"/>
    <w:rsid w:val="00415F91"/>
    <w:rsid w:val="004160CE"/>
    <w:rsid w:val="00416142"/>
    <w:rsid w:val="004163FA"/>
    <w:rsid w:val="00416540"/>
    <w:rsid w:val="00416638"/>
    <w:rsid w:val="0041677E"/>
    <w:rsid w:val="004167DE"/>
    <w:rsid w:val="00416808"/>
    <w:rsid w:val="00416AE5"/>
    <w:rsid w:val="00416B6C"/>
    <w:rsid w:val="00416DEB"/>
    <w:rsid w:val="00416E1D"/>
    <w:rsid w:val="00417296"/>
    <w:rsid w:val="00417B24"/>
    <w:rsid w:val="00417D1A"/>
    <w:rsid w:val="00417E43"/>
    <w:rsid w:val="00417F43"/>
    <w:rsid w:val="00420186"/>
    <w:rsid w:val="0042052D"/>
    <w:rsid w:val="004208AD"/>
    <w:rsid w:val="00420C19"/>
    <w:rsid w:val="00420D69"/>
    <w:rsid w:val="00420E85"/>
    <w:rsid w:val="00420ED0"/>
    <w:rsid w:val="0042127B"/>
    <w:rsid w:val="0042136B"/>
    <w:rsid w:val="004214A5"/>
    <w:rsid w:val="00421571"/>
    <w:rsid w:val="00421631"/>
    <w:rsid w:val="004217B5"/>
    <w:rsid w:val="00421E0D"/>
    <w:rsid w:val="00421ECD"/>
    <w:rsid w:val="00421F01"/>
    <w:rsid w:val="004222FA"/>
    <w:rsid w:val="0042236B"/>
    <w:rsid w:val="004223CB"/>
    <w:rsid w:val="004225B9"/>
    <w:rsid w:val="00422B87"/>
    <w:rsid w:val="00422BF7"/>
    <w:rsid w:val="00422D3C"/>
    <w:rsid w:val="00422F87"/>
    <w:rsid w:val="0042305E"/>
    <w:rsid w:val="004236BC"/>
    <w:rsid w:val="00423AB1"/>
    <w:rsid w:val="00423AEC"/>
    <w:rsid w:val="00423CE1"/>
    <w:rsid w:val="00423E2B"/>
    <w:rsid w:val="00423F61"/>
    <w:rsid w:val="0042404F"/>
    <w:rsid w:val="00424153"/>
    <w:rsid w:val="00424280"/>
    <w:rsid w:val="00424786"/>
    <w:rsid w:val="004248CF"/>
    <w:rsid w:val="00424C3D"/>
    <w:rsid w:val="00424C69"/>
    <w:rsid w:val="00424D81"/>
    <w:rsid w:val="00424DF1"/>
    <w:rsid w:val="00424F49"/>
    <w:rsid w:val="00424FE1"/>
    <w:rsid w:val="00425059"/>
    <w:rsid w:val="00425230"/>
    <w:rsid w:val="004255D3"/>
    <w:rsid w:val="00425B9C"/>
    <w:rsid w:val="00425E0A"/>
    <w:rsid w:val="00425E5E"/>
    <w:rsid w:val="00425EEA"/>
    <w:rsid w:val="00426140"/>
    <w:rsid w:val="00426195"/>
    <w:rsid w:val="00426224"/>
    <w:rsid w:val="004265AE"/>
    <w:rsid w:val="00426707"/>
    <w:rsid w:val="00426853"/>
    <w:rsid w:val="004269CC"/>
    <w:rsid w:val="00426A03"/>
    <w:rsid w:val="00426A36"/>
    <w:rsid w:val="00426A92"/>
    <w:rsid w:val="00426FEB"/>
    <w:rsid w:val="00427160"/>
    <w:rsid w:val="004273C5"/>
    <w:rsid w:val="004277F0"/>
    <w:rsid w:val="00427C77"/>
    <w:rsid w:val="00427EFE"/>
    <w:rsid w:val="00430237"/>
    <w:rsid w:val="00430375"/>
    <w:rsid w:val="004306B2"/>
    <w:rsid w:val="00430708"/>
    <w:rsid w:val="00430781"/>
    <w:rsid w:val="004307A9"/>
    <w:rsid w:val="00430B0E"/>
    <w:rsid w:val="00430C33"/>
    <w:rsid w:val="00430EB4"/>
    <w:rsid w:val="004311B0"/>
    <w:rsid w:val="004311F1"/>
    <w:rsid w:val="00431530"/>
    <w:rsid w:val="00431542"/>
    <w:rsid w:val="00431584"/>
    <w:rsid w:val="00431636"/>
    <w:rsid w:val="00431661"/>
    <w:rsid w:val="00431BEB"/>
    <w:rsid w:val="004321F6"/>
    <w:rsid w:val="0043222E"/>
    <w:rsid w:val="0043238C"/>
    <w:rsid w:val="004328F3"/>
    <w:rsid w:val="00432960"/>
    <w:rsid w:val="00432CDA"/>
    <w:rsid w:val="0043342F"/>
    <w:rsid w:val="00433719"/>
    <w:rsid w:val="0043388A"/>
    <w:rsid w:val="00433C65"/>
    <w:rsid w:val="00433DBF"/>
    <w:rsid w:val="00433E9A"/>
    <w:rsid w:val="00434110"/>
    <w:rsid w:val="0043420F"/>
    <w:rsid w:val="00434211"/>
    <w:rsid w:val="00434263"/>
    <w:rsid w:val="00434326"/>
    <w:rsid w:val="004344DA"/>
    <w:rsid w:val="00434938"/>
    <w:rsid w:val="00434C0D"/>
    <w:rsid w:val="00434E17"/>
    <w:rsid w:val="00435024"/>
    <w:rsid w:val="00435308"/>
    <w:rsid w:val="0043530F"/>
    <w:rsid w:val="00435977"/>
    <w:rsid w:val="004359AA"/>
    <w:rsid w:val="00436198"/>
    <w:rsid w:val="0043627C"/>
    <w:rsid w:val="00436580"/>
    <w:rsid w:val="004365DF"/>
    <w:rsid w:val="00436637"/>
    <w:rsid w:val="004368AA"/>
    <w:rsid w:val="00436BC7"/>
    <w:rsid w:val="00436E46"/>
    <w:rsid w:val="00436EC8"/>
    <w:rsid w:val="00436F59"/>
    <w:rsid w:val="00436FFA"/>
    <w:rsid w:val="00437042"/>
    <w:rsid w:val="004371F4"/>
    <w:rsid w:val="00437293"/>
    <w:rsid w:val="004372EC"/>
    <w:rsid w:val="0043750D"/>
    <w:rsid w:val="00437775"/>
    <w:rsid w:val="004377CE"/>
    <w:rsid w:val="00437979"/>
    <w:rsid w:val="00437C82"/>
    <w:rsid w:val="00437CF1"/>
    <w:rsid w:val="00437E4F"/>
    <w:rsid w:val="00437FFC"/>
    <w:rsid w:val="00440567"/>
    <w:rsid w:val="004405BB"/>
    <w:rsid w:val="004408E5"/>
    <w:rsid w:val="0044092D"/>
    <w:rsid w:val="0044096B"/>
    <w:rsid w:val="00440B51"/>
    <w:rsid w:val="00440B86"/>
    <w:rsid w:val="00440B92"/>
    <w:rsid w:val="00440BE2"/>
    <w:rsid w:val="00440D99"/>
    <w:rsid w:val="00440E46"/>
    <w:rsid w:val="00440ED0"/>
    <w:rsid w:val="00441610"/>
    <w:rsid w:val="00441907"/>
    <w:rsid w:val="00441993"/>
    <w:rsid w:val="00441A25"/>
    <w:rsid w:val="00441BD8"/>
    <w:rsid w:val="00441BE8"/>
    <w:rsid w:val="00441C57"/>
    <w:rsid w:val="00441C7E"/>
    <w:rsid w:val="004421AA"/>
    <w:rsid w:val="004421D8"/>
    <w:rsid w:val="004421E8"/>
    <w:rsid w:val="00442323"/>
    <w:rsid w:val="004425F3"/>
    <w:rsid w:val="00442628"/>
    <w:rsid w:val="004429E8"/>
    <w:rsid w:val="00442F0B"/>
    <w:rsid w:val="00443033"/>
    <w:rsid w:val="0044309C"/>
    <w:rsid w:val="0044334D"/>
    <w:rsid w:val="00443556"/>
    <w:rsid w:val="0044385B"/>
    <w:rsid w:val="004439AE"/>
    <w:rsid w:val="00443A20"/>
    <w:rsid w:val="00443A5F"/>
    <w:rsid w:val="00443C08"/>
    <w:rsid w:val="00443E0A"/>
    <w:rsid w:val="00443FE1"/>
    <w:rsid w:val="00444147"/>
    <w:rsid w:val="00444285"/>
    <w:rsid w:val="00444506"/>
    <w:rsid w:val="0044451B"/>
    <w:rsid w:val="004445C2"/>
    <w:rsid w:val="004445C5"/>
    <w:rsid w:val="00444894"/>
    <w:rsid w:val="00444964"/>
    <w:rsid w:val="00444A5E"/>
    <w:rsid w:val="00444AB0"/>
    <w:rsid w:val="00444CC2"/>
    <w:rsid w:val="00444CCA"/>
    <w:rsid w:val="00444D2C"/>
    <w:rsid w:val="00444F67"/>
    <w:rsid w:val="004454DF"/>
    <w:rsid w:val="00445527"/>
    <w:rsid w:val="00445581"/>
    <w:rsid w:val="00445B4F"/>
    <w:rsid w:val="0044626A"/>
    <w:rsid w:val="004462B3"/>
    <w:rsid w:val="0044639B"/>
    <w:rsid w:val="00446500"/>
    <w:rsid w:val="0044656F"/>
    <w:rsid w:val="0044663E"/>
    <w:rsid w:val="004466DC"/>
    <w:rsid w:val="004467CF"/>
    <w:rsid w:val="0044683B"/>
    <w:rsid w:val="00446D23"/>
    <w:rsid w:val="00446D40"/>
    <w:rsid w:val="0044701D"/>
    <w:rsid w:val="00447245"/>
    <w:rsid w:val="0044727A"/>
    <w:rsid w:val="00447490"/>
    <w:rsid w:val="004474FD"/>
    <w:rsid w:val="004475BA"/>
    <w:rsid w:val="004476C3"/>
    <w:rsid w:val="004477F4"/>
    <w:rsid w:val="004479C1"/>
    <w:rsid w:val="00447E00"/>
    <w:rsid w:val="00447E65"/>
    <w:rsid w:val="00450042"/>
    <w:rsid w:val="0045012F"/>
    <w:rsid w:val="00450518"/>
    <w:rsid w:val="004506D1"/>
    <w:rsid w:val="004508AE"/>
    <w:rsid w:val="00450952"/>
    <w:rsid w:val="00450C43"/>
    <w:rsid w:val="00450C92"/>
    <w:rsid w:val="00450EA9"/>
    <w:rsid w:val="00450EE7"/>
    <w:rsid w:val="00450FC1"/>
    <w:rsid w:val="004510D2"/>
    <w:rsid w:val="0045112B"/>
    <w:rsid w:val="004512BF"/>
    <w:rsid w:val="00451845"/>
    <w:rsid w:val="00451C2F"/>
    <w:rsid w:val="00451EA9"/>
    <w:rsid w:val="00451FDA"/>
    <w:rsid w:val="0045207E"/>
    <w:rsid w:val="00452213"/>
    <w:rsid w:val="0045221B"/>
    <w:rsid w:val="00452286"/>
    <w:rsid w:val="004522F0"/>
    <w:rsid w:val="00452308"/>
    <w:rsid w:val="00452370"/>
    <w:rsid w:val="00452A79"/>
    <w:rsid w:val="00452ADF"/>
    <w:rsid w:val="00452B89"/>
    <w:rsid w:val="00452CF9"/>
    <w:rsid w:val="0045332D"/>
    <w:rsid w:val="0045343B"/>
    <w:rsid w:val="004535B0"/>
    <w:rsid w:val="004535C4"/>
    <w:rsid w:val="00453609"/>
    <w:rsid w:val="004539B4"/>
    <w:rsid w:val="00453A2B"/>
    <w:rsid w:val="00453B07"/>
    <w:rsid w:val="00453C17"/>
    <w:rsid w:val="00453C8E"/>
    <w:rsid w:val="00454064"/>
    <w:rsid w:val="0045414D"/>
    <w:rsid w:val="004541B2"/>
    <w:rsid w:val="0045461E"/>
    <w:rsid w:val="00454878"/>
    <w:rsid w:val="00454ADA"/>
    <w:rsid w:val="00454B24"/>
    <w:rsid w:val="00454B68"/>
    <w:rsid w:val="00454BA5"/>
    <w:rsid w:val="00454C59"/>
    <w:rsid w:val="00454DD7"/>
    <w:rsid w:val="0045531B"/>
    <w:rsid w:val="004554BD"/>
    <w:rsid w:val="004554F6"/>
    <w:rsid w:val="004554FD"/>
    <w:rsid w:val="004555A2"/>
    <w:rsid w:val="0045563B"/>
    <w:rsid w:val="0045563E"/>
    <w:rsid w:val="00455735"/>
    <w:rsid w:val="00455ED9"/>
    <w:rsid w:val="004560B8"/>
    <w:rsid w:val="00456135"/>
    <w:rsid w:val="0045640D"/>
    <w:rsid w:val="00456689"/>
    <w:rsid w:val="004566BA"/>
    <w:rsid w:val="00456952"/>
    <w:rsid w:val="00456A15"/>
    <w:rsid w:val="00456C5B"/>
    <w:rsid w:val="00456E39"/>
    <w:rsid w:val="00456F87"/>
    <w:rsid w:val="004572AC"/>
    <w:rsid w:val="00457410"/>
    <w:rsid w:val="00457B48"/>
    <w:rsid w:val="00457D18"/>
    <w:rsid w:val="00457DDC"/>
    <w:rsid w:val="00457F5F"/>
    <w:rsid w:val="00457F60"/>
    <w:rsid w:val="0046036B"/>
    <w:rsid w:val="0046069D"/>
    <w:rsid w:val="0046072F"/>
    <w:rsid w:val="00460A66"/>
    <w:rsid w:val="00460ABB"/>
    <w:rsid w:val="00460EB7"/>
    <w:rsid w:val="00460F5F"/>
    <w:rsid w:val="004612D5"/>
    <w:rsid w:val="00461512"/>
    <w:rsid w:val="004618A7"/>
    <w:rsid w:val="004618B4"/>
    <w:rsid w:val="00461913"/>
    <w:rsid w:val="004619F2"/>
    <w:rsid w:val="00461ABB"/>
    <w:rsid w:val="00461BB8"/>
    <w:rsid w:val="00461D24"/>
    <w:rsid w:val="004621D7"/>
    <w:rsid w:val="004625B5"/>
    <w:rsid w:val="00462D87"/>
    <w:rsid w:val="00462EFC"/>
    <w:rsid w:val="004630A6"/>
    <w:rsid w:val="004630C5"/>
    <w:rsid w:val="004632E3"/>
    <w:rsid w:val="0046394E"/>
    <w:rsid w:val="004639D9"/>
    <w:rsid w:val="00463CD7"/>
    <w:rsid w:val="00463E9A"/>
    <w:rsid w:val="00464256"/>
    <w:rsid w:val="0046443E"/>
    <w:rsid w:val="004646BB"/>
    <w:rsid w:val="004649EB"/>
    <w:rsid w:val="00464B32"/>
    <w:rsid w:val="00464B60"/>
    <w:rsid w:val="00464D4F"/>
    <w:rsid w:val="00464F9F"/>
    <w:rsid w:val="0046506C"/>
    <w:rsid w:val="004650A5"/>
    <w:rsid w:val="004651A4"/>
    <w:rsid w:val="0046536E"/>
    <w:rsid w:val="004654DD"/>
    <w:rsid w:val="004655D0"/>
    <w:rsid w:val="004656E4"/>
    <w:rsid w:val="004657D5"/>
    <w:rsid w:val="00465D0D"/>
    <w:rsid w:val="00465DD2"/>
    <w:rsid w:val="0046604A"/>
    <w:rsid w:val="00466176"/>
    <w:rsid w:val="004664D5"/>
    <w:rsid w:val="00466567"/>
    <w:rsid w:val="004666AE"/>
    <w:rsid w:val="004667AC"/>
    <w:rsid w:val="004669E4"/>
    <w:rsid w:val="00466C28"/>
    <w:rsid w:val="00466CB7"/>
    <w:rsid w:val="00466F28"/>
    <w:rsid w:val="00466FAE"/>
    <w:rsid w:val="0046716F"/>
    <w:rsid w:val="0046745A"/>
    <w:rsid w:val="00467997"/>
    <w:rsid w:val="00467A26"/>
    <w:rsid w:val="00467AC1"/>
    <w:rsid w:val="00467BEB"/>
    <w:rsid w:val="00467CA5"/>
    <w:rsid w:val="00467ECC"/>
    <w:rsid w:val="00470033"/>
    <w:rsid w:val="004709F4"/>
    <w:rsid w:val="00470D2F"/>
    <w:rsid w:val="00470EEE"/>
    <w:rsid w:val="004710A5"/>
    <w:rsid w:val="004711C4"/>
    <w:rsid w:val="00471284"/>
    <w:rsid w:val="004712BB"/>
    <w:rsid w:val="004713BB"/>
    <w:rsid w:val="0047147C"/>
    <w:rsid w:val="00471519"/>
    <w:rsid w:val="00471555"/>
    <w:rsid w:val="004715E0"/>
    <w:rsid w:val="00471613"/>
    <w:rsid w:val="00471963"/>
    <w:rsid w:val="00471A83"/>
    <w:rsid w:val="00471B66"/>
    <w:rsid w:val="00471DD2"/>
    <w:rsid w:val="00471FFA"/>
    <w:rsid w:val="0047207B"/>
    <w:rsid w:val="004722C7"/>
    <w:rsid w:val="00472516"/>
    <w:rsid w:val="00472654"/>
    <w:rsid w:val="00472956"/>
    <w:rsid w:val="0047296C"/>
    <w:rsid w:val="00472A3C"/>
    <w:rsid w:val="00472CDA"/>
    <w:rsid w:val="00472CFE"/>
    <w:rsid w:val="00472DF6"/>
    <w:rsid w:val="00472FF9"/>
    <w:rsid w:val="004730F3"/>
    <w:rsid w:val="00473554"/>
    <w:rsid w:val="00473617"/>
    <w:rsid w:val="0047370A"/>
    <w:rsid w:val="00473758"/>
    <w:rsid w:val="00473970"/>
    <w:rsid w:val="00473B7A"/>
    <w:rsid w:val="00473B94"/>
    <w:rsid w:val="00473C0A"/>
    <w:rsid w:val="00473CAC"/>
    <w:rsid w:val="00473DAA"/>
    <w:rsid w:val="00473DFD"/>
    <w:rsid w:val="00473E33"/>
    <w:rsid w:val="0047421B"/>
    <w:rsid w:val="004742ED"/>
    <w:rsid w:val="00474330"/>
    <w:rsid w:val="004743DA"/>
    <w:rsid w:val="004744B9"/>
    <w:rsid w:val="00474857"/>
    <w:rsid w:val="00474C50"/>
    <w:rsid w:val="004750ED"/>
    <w:rsid w:val="00475179"/>
    <w:rsid w:val="004752E1"/>
    <w:rsid w:val="00475384"/>
    <w:rsid w:val="0047556A"/>
    <w:rsid w:val="00475869"/>
    <w:rsid w:val="00475900"/>
    <w:rsid w:val="00475944"/>
    <w:rsid w:val="00475A0C"/>
    <w:rsid w:val="00475AFF"/>
    <w:rsid w:val="00475B43"/>
    <w:rsid w:val="00475CBB"/>
    <w:rsid w:val="00475D2A"/>
    <w:rsid w:val="00475F29"/>
    <w:rsid w:val="00476246"/>
    <w:rsid w:val="0047625D"/>
    <w:rsid w:val="004763B9"/>
    <w:rsid w:val="004765DD"/>
    <w:rsid w:val="0047663B"/>
    <w:rsid w:val="00476956"/>
    <w:rsid w:val="004769F0"/>
    <w:rsid w:val="00476B27"/>
    <w:rsid w:val="00476C6C"/>
    <w:rsid w:val="00477110"/>
    <w:rsid w:val="004771EE"/>
    <w:rsid w:val="004775A0"/>
    <w:rsid w:val="0047762A"/>
    <w:rsid w:val="0047764F"/>
    <w:rsid w:val="004777B9"/>
    <w:rsid w:val="00477896"/>
    <w:rsid w:val="00477E17"/>
    <w:rsid w:val="00477F71"/>
    <w:rsid w:val="00480207"/>
    <w:rsid w:val="004805E0"/>
    <w:rsid w:val="004806B2"/>
    <w:rsid w:val="00480865"/>
    <w:rsid w:val="00480908"/>
    <w:rsid w:val="00480C3A"/>
    <w:rsid w:val="00480D84"/>
    <w:rsid w:val="00480D90"/>
    <w:rsid w:val="004810B7"/>
    <w:rsid w:val="004811F9"/>
    <w:rsid w:val="00481672"/>
    <w:rsid w:val="00481714"/>
    <w:rsid w:val="0048179A"/>
    <w:rsid w:val="00481C6B"/>
    <w:rsid w:val="00481CDE"/>
    <w:rsid w:val="0048226B"/>
    <w:rsid w:val="00482D0F"/>
    <w:rsid w:val="00482F64"/>
    <w:rsid w:val="00482F87"/>
    <w:rsid w:val="00483068"/>
    <w:rsid w:val="00483074"/>
    <w:rsid w:val="004832DD"/>
    <w:rsid w:val="00483463"/>
    <w:rsid w:val="00483504"/>
    <w:rsid w:val="00483549"/>
    <w:rsid w:val="004837FA"/>
    <w:rsid w:val="00483FC6"/>
    <w:rsid w:val="0048427E"/>
    <w:rsid w:val="004842E3"/>
    <w:rsid w:val="004844FE"/>
    <w:rsid w:val="004846CF"/>
    <w:rsid w:val="00484A3B"/>
    <w:rsid w:val="00484B98"/>
    <w:rsid w:val="00484E9D"/>
    <w:rsid w:val="00484FFE"/>
    <w:rsid w:val="00485247"/>
    <w:rsid w:val="004852FB"/>
    <w:rsid w:val="00485596"/>
    <w:rsid w:val="00485605"/>
    <w:rsid w:val="00485647"/>
    <w:rsid w:val="004856FA"/>
    <w:rsid w:val="004858EA"/>
    <w:rsid w:val="004858F3"/>
    <w:rsid w:val="00485A5E"/>
    <w:rsid w:val="00485AF7"/>
    <w:rsid w:val="00485B3A"/>
    <w:rsid w:val="00485C18"/>
    <w:rsid w:val="00485D93"/>
    <w:rsid w:val="00485DDA"/>
    <w:rsid w:val="00486132"/>
    <w:rsid w:val="00486440"/>
    <w:rsid w:val="0048645A"/>
    <w:rsid w:val="00486482"/>
    <w:rsid w:val="0048649D"/>
    <w:rsid w:val="004865C4"/>
    <w:rsid w:val="004865C7"/>
    <w:rsid w:val="0048661E"/>
    <w:rsid w:val="00486666"/>
    <w:rsid w:val="00486705"/>
    <w:rsid w:val="0048676F"/>
    <w:rsid w:val="004868C5"/>
    <w:rsid w:val="004868F7"/>
    <w:rsid w:val="00486999"/>
    <w:rsid w:val="00486B2E"/>
    <w:rsid w:val="00486B3D"/>
    <w:rsid w:val="00486E1A"/>
    <w:rsid w:val="00486F39"/>
    <w:rsid w:val="004870D6"/>
    <w:rsid w:val="004871AE"/>
    <w:rsid w:val="004871B9"/>
    <w:rsid w:val="004872A5"/>
    <w:rsid w:val="004875D2"/>
    <w:rsid w:val="0048770D"/>
    <w:rsid w:val="004877D0"/>
    <w:rsid w:val="0048785B"/>
    <w:rsid w:val="00487968"/>
    <w:rsid w:val="00487B3A"/>
    <w:rsid w:val="00487E83"/>
    <w:rsid w:val="00487F36"/>
    <w:rsid w:val="00487F6A"/>
    <w:rsid w:val="004900ED"/>
    <w:rsid w:val="00490213"/>
    <w:rsid w:val="0049041B"/>
    <w:rsid w:val="00490437"/>
    <w:rsid w:val="00490772"/>
    <w:rsid w:val="00490B1F"/>
    <w:rsid w:val="00490C16"/>
    <w:rsid w:val="0049119B"/>
    <w:rsid w:val="00491279"/>
    <w:rsid w:val="004912F2"/>
    <w:rsid w:val="00491723"/>
    <w:rsid w:val="004918B0"/>
    <w:rsid w:val="00491A24"/>
    <w:rsid w:val="00491C91"/>
    <w:rsid w:val="00491ED6"/>
    <w:rsid w:val="004920DB"/>
    <w:rsid w:val="0049213F"/>
    <w:rsid w:val="00492186"/>
    <w:rsid w:val="00492280"/>
    <w:rsid w:val="004922C5"/>
    <w:rsid w:val="004924AC"/>
    <w:rsid w:val="00492567"/>
    <w:rsid w:val="00492733"/>
    <w:rsid w:val="00492AB8"/>
    <w:rsid w:val="00492C3D"/>
    <w:rsid w:val="00492D45"/>
    <w:rsid w:val="00493206"/>
    <w:rsid w:val="0049354E"/>
    <w:rsid w:val="00493D21"/>
    <w:rsid w:val="00493E01"/>
    <w:rsid w:val="0049419E"/>
    <w:rsid w:val="004944D9"/>
    <w:rsid w:val="004944F0"/>
    <w:rsid w:val="004945AD"/>
    <w:rsid w:val="004945DB"/>
    <w:rsid w:val="00494731"/>
    <w:rsid w:val="00494B28"/>
    <w:rsid w:val="00494C30"/>
    <w:rsid w:val="00494D8C"/>
    <w:rsid w:val="00494EAC"/>
    <w:rsid w:val="00494F65"/>
    <w:rsid w:val="00495240"/>
    <w:rsid w:val="004953FC"/>
    <w:rsid w:val="00495413"/>
    <w:rsid w:val="004955BE"/>
    <w:rsid w:val="004958A9"/>
    <w:rsid w:val="004958D8"/>
    <w:rsid w:val="00495B09"/>
    <w:rsid w:val="00495F08"/>
    <w:rsid w:val="00496121"/>
    <w:rsid w:val="0049619A"/>
    <w:rsid w:val="00496483"/>
    <w:rsid w:val="004965BB"/>
    <w:rsid w:val="004966A1"/>
    <w:rsid w:val="004969CD"/>
    <w:rsid w:val="00496F75"/>
    <w:rsid w:val="00497123"/>
    <w:rsid w:val="00497365"/>
    <w:rsid w:val="004979F5"/>
    <w:rsid w:val="00497AF7"/>
    <w:rsid w:val="00497B57"/>
    <w:rsid w:val="00497D6D"/>
    <w:rsid w:val="00497DB8"/>
    <w:rsid w:val="00497F7C"/>
    <w:rsid w:val="004A0378"/>
    <w:rsid w:val="004A03DF"/>
    <w:rsid w:val="004A0539"/>
    <w:rsid w:val="004A05D3"/>
    <w:rsid w:val="004A0817"/>
    <w:rsid w:val="004A0ACF"/>
    <w:rsid w:val="004A0BF8"/>
    <w:rsid w:val="004A0C0A"/>
    <w:rsid w:val="004A0DE4"/>
    <w:rsid w:val="004A0E88"/>
    <w:rsid w:val="004A0E95"/>
    <w:rsid w:val="004A10D2"/>
    <w:rsid w:val="004A10DA"/>
    <w:rsid w:val="004A12B3"/>
    <w:rsid w:val="004A199B"/>
    <w:rsid w:val="004A1A4F"/>
    <w:rsid w:val="004A1AC2"/>
    <w:rsid w:val="004A1BDA"/>
    <w:rsid w:val="004A1C66"/>
    <w:rsid w:val="004A201F"/>
    <w:rsid w:val="004A2113"/>
    <w:rsid w:val="004A218A"/>
    <w:rsid w:val="004A21B4"/>
    <w:rsid w:val="004A2563"/>
    <w:rsid w:val="004A2714"/>
    <w:rsid w:val="004A27AE"/>
    <w:rsid w:val="004A2B0A"/>
    <w:rsid w:val="004A2D92"/>
    <w:rsid w:val="004A3135"/>
    <w:rsid w:val="004A3681"/>
    <w:rsid w:val="004A39C3"/>
    <w:rsid w:val="004A39E4"/>
    <w:rsid w:val="004A3A18"/>
    <w:rsid w:val="004A3B6E"/>
    <w:rsid w:val="004A3CC4"/>
    <w:rsid w:val="004A3CE7"/>
    <w:rsid w:val="004A41BB"/>
    <w:rsid w:val="004A41F2"/>
    <w:rsid w:val="004A435D"/>
    <w:rsid w:val="004A43A3"/>
    <w:rsid w:val="004A457E"/>
    <w:rsid w:val="004A48AD"/>
    <w:rsid w:val="004A491A"/>
    <w:rsid w:val="004A4C58"/>
    <w:rsid w:val="004A4C90"/>
    <w:rsid w:val="004A4CA3"/>
    <w:rsid w:val="004A4CA4"/>
    <w:rsid w:val="004A51C6"/>
    <w:rsid w:val="004A5268"/>
    <w:rsid w:val="004A539B"/>
    <w:rsid w:val="004A556F"/>
    <w:rsid w:val="004A55AE"/>
    <w:rsid w:val="004A56B7"/>
    <w:rsid w:val="004A597D"/>
    <w:rsid w:val="004A5E08"/>
    <w:rsid w:val="004A5FD2"/>
    <w:rsid w:val="004A68FC"/>
    <w:rsid w:val="004A6ABD"/>
    <w:rsid w:val="004A6ACF"/>
    <w:rsid w:val="004A6C3B"/>
    <w:rsid w:val="004A6D7E"/>
    <w:rsid w:val="004A7226"/>
    <w:rsid w:val="004A7B53"/>
    <w:rsid w:val="004B0028"/>
    <w:rsid w:val="004B0079"/>
    <w:rsid w:val="004B02E6"/>
    <w:rsid w:val="004B03AF"/>
    <w:rsid w:val="004B0690"/>
    <w:rsid w:val="004B08E5"/>
    <w:rsid w:val="004B0A03"/>
    <w:rsid w:val="004B0ADF"/>
    <w:rsid w:val="004B0B2D"/>
    <w:rsid w:val="004B0B42"/>
    <w:rsid w:val="004B0B50"/>
    <w:rsid w:val="004B0EEB"/>
    <w:rsid w:val="004B13DE"/>
    <w:rsid w:val="004B16AE"/>
    <w:rsid w:val="004B1863"/>
    <w:rsid w:val="004B1A81"/>
    <w:rsid w:val="004B1ABD"/>
    <w:rsid w:val="004B1CD4"/>
    <w:rsid w:val="004B2138"/>
    <w:rsid w:val="004B21DF"/>
    <w:rsid w:val="004B22B9"/>
    <w:rsid w:val="004B241F"/>
    <w:rsid w:val="004B2739"/>
    <w:rsid w:val="004B2A48"/>
    <w:rsid w:val="004B3111"/>
    <w:rsid w:val="004B32D2"/>
    <w:rsid w:val="004B34F6"/>
    <w:rsid w:val="004B3519"/>
    <w:rsid w:val="004B3628"/>
    <w:rsid w:val="004B3718"/>
    <w:rsid w:val="004B37DE"/>
    <w:rsid w:val="004B3BD8"/>
    <w:rsid w:val="004B3DA6"/>
    <w:rsid w:val="004B405D"/>
    <w:rsid w:val="004B4177"/>
    <w:rsid w:val="004B453B"/>
    <w:rsid w:val="004B49BB"/>
    <w:rsid w:val="004B4AB2"/>
    <w:rsid w:val="004B4CFC"/>
    <w:rsid w:val="004B4FCE"/>
    <w:rsid w:val="004B4FDC"/>
    <w:rsid w:val="004B520A"/>
    <w:rsid w:val="004B52D7"/>
    <w:rsid w:val="004B5306"/>
    <w:rsid w:val="004B54F9"/>
    <w:rsid w:val="004B554B"/>
    <w:rsid w:val="004B57B2"/>
    <w:rsid w:val="004B5942"/>
    <w:rsid w:val="004B5ACA"/>
    <w:rsid w:val="004B5CD2"/>
    <w:rsid w:val="004B5CD3"/>
    <w:rsid w:val="004B5CEA"/>
    <w:rsid w:val="004B5D99"/>
    <w:rsid w:val="004B5E69"/>
    <w:rsid w:val="004B5E71"/>
    <w:rsid w:val="004B5F2C"/>
    <w:rsid w:val="004B6022"/>
    <w:rsid w:val="004B6234"/>
    <w:rsid w:val="004B6257"/>
    <w:rsid w:val="004B6293"/>
    <w:rsid w:val="004B6496"/>
    <w:rsid w:val="004B649A"/>
    <w:rsid w:val="004B652A"/>
    <w:rsid w:val="004B660F"/>
    <w:rsid w:val="004B6619"/>
    <w:rsid w:val="004B6C62"/>
    <w:rsid w:val="004B6CB8"/>
    <w:rsid w:val="004B6D02"/>
    <w:rsid w:val="004B6DC9"/>
    <w:rsid w:val="004B6DDD"/>
    <w:rsid w:val="004B7056"/>
    <w:rsid w:val="004B7080"/>
    <w:rsid w:val="004B70C8"/>
    <w:rsid w:val="004B71BF"/>
    <w:rsid w:val="004B72D4"/>
    <w:rsid w:val="004B77B1"/>
    <w:rsid w:val="004B7946"/>
    <w:rsid w:val="004B7B17"/>
    <w:rsid w:val="004B7B6A"/>
    <w:rsid w:val="004B7E9E"/>
    <w:rsid w:val="004B7EE6"/>
    <w:rsid w:val="004B7FF3"/>
    <w:rsid w:val="004C0279"/>
    <w:rsid w:val="004C0369"/>
    <w:rsid w:val="004C0656"/>
    <w:rsid w:val="004C0737"/>
    <w:rsid w:val="004C08E3"/>
    <w:rsid w:val="004C0A0C"/>
    <w:rsid w:val="004C0AE9"/>
    <w:rsid w:val="004C0B86"/>
    <w:rsid w:val="004C0C8E"/>
    <w:rsid w:val="004C1476"/>
    <w:rsid w:val="004C1958"/>
    <w:rsid w:val="004C1983"/>
    <w:rsid w:val="004C1A45"/>
    <w:rsid w:val="004C1D08"/>
    <w:rsid w:val="004C1D79"/>
    <w:rsid w:val="004C21B3"/>
    <w:rsid w:val="004C225A"/>
    <w:rsid w:val="004C2417"/>
    <w:rsid w:val="004C257F"/>
    <w:rsid w:val="004C2597"/>
    <w:rsid w:val="004C27B5"/>
    <w:rsid w:val="004C27CE"/>
    <w:rsid w:val="004C28E7"/>
    <w:rsid w:val="004C2C4B"/>
    <w:rsid w:val="004C2D85"/>
    <w:rsid w:val="004C2DDB"/>
    <w:rsid w:val="004C2E25"/>
    <w:rsid w:val="004C2E70"/>
    <w:rsid w:val="004C322E"/>
    <w:rsid w:val="004C359C"/>
    <w:rsid w:val="004C37FA"/>
    <w:rsid w:val="004C3A0B"/>
    <w:rsid w:val="004C3A60"/>
    <w:rsid w:val="004C3CEA"/>
    <w:rsid w:val="004C3DBE"/>
    <w:rsid w:val="004C40D9"/>
    <w:rsid w:val="004C40FA"/>
    <w:rsid w:val="004C4457"/>
    <w:rsid w:val="004C457B"/>
    <w:rsid w:val="004C4617"/>
    <w:rsid w:val="004C4901"/>
    <w:rsid w:val="004C49B2"/>
    <w:rsid w:val="004C4CF2"/>
    <w:rsid w:val="004C4E94"/>
    <w:rsid w:val="004C4FE9"/>
    <w:rsid w:val="004C512B"/>
    <w:rsid w:val="004C53FF"/>
    <w:rsid w:val="004C569F"/>
    <w:rsid w:val="004C573C"/>
    <w:rsid w:val="004C58FC"/>
    <w:rsid w:val="004C59E5"/>
    <w:rsid w:val="004C5A2B"/>
    <w:rsid w:val="004C5A52"/>
    <w:rsid w:val="004C5A80"/>
    <w:rsid w:val="004C5DBA"/>
    <w:rsid w:val="004C5E7D"/>
    <w:rsid w:val="004C62A8"/>
    <w:rsid w:val="004C6356"/>
    <w:rsid w:val="004C64D3"/>
    <w:rsid w:val="004C66FC"/>
    <w:rsid w:val="004C67D9"/>
    <w:rsid w:val="004C67EC"/>
    <w:rsid w:val="004C696E"/>
    <w:rsid w:val="004C6DCC"/>
    <w:rsid w:val="004C6E08"/>
    <w:rsid w:val="004C7133"/>
    <w:rsid w:val="004C717C"/>
    <w:rsid w:val="004C7222"/>
    <w:rsid w:val="004C732F"/>
    <w:rsid w:val="004C76C6"/>
    <w:rsid w:val="004C78BC"/>
    <w:rsid w:val="004C7ABE"/>
    <w:rsid w:val="004D0040"/>
    <w:rsid w:val="004D00FB"/>
    <w:rsid w:val="004D01CD"/>
    <w:rsid w:val="004D081B"/>
    <w:rsid w:val="004D0A77"/>
    <w:rsid w:val="004D0AA9"/>
    <w:rsid w:val="004D0B39"/>
    <w:rsid w:val="004D0DF6"/>
    <w:rsid w:val="004D1051"/>
    <w:rsid w:val="004D1053"/>
    <w:rsid w:val="004D1293"/>
    <w:rsid w:val="004D12F5"/>
    <w:rsid w:val="004D13E1"/>
    <w:rsid w:val="004D13EF"/>
    <w:rsid w:val="004D14B7"/>
    <w:rsid w:val="004D152A"/>
    <w:rsid w:val="004D1609"/>
    <w:rsid w:val="004D1711"/>
    <w:rsid w:val="004D184F"/>
    <w:rsid w:val="004D18A1"/>
    <w:rsid w:val="004D1B5A"/>
    <w:rsid w:val="004D1B7E"/>
    <w:rsid w:val="004D1C9C"/>
    <w:rsid w:val="004D1DB3"/>
    <w:rsid w:val="004D1E03"/>
    <w:rsid w:val="004D20DE"/>
    <w:rsid w:val="004D20F7"/>
    <w:rsid w:val="004D2197"/>
    <w:rsid w:val="004D232F"/>
    <w:rsid w:val="004D256F"/>
    <w:rsid w:val="004D260B"/>
    <w:rsid w:val="004D2725"/>
    <w:rsid w:val="004D283D"/>
    <w:rsid w:val="004D28E5"/>
    <w:rsid w:val="004D2A2B"/>
    <w:rsid w:val="004D2C58"/>
    <w:rsid w:val="004D321E"/>
    <w:rsid w:val="004D3278"/>
    <w:rsid w:val="004D35D0"/>
    <w:rsid w:val="004D3C12"/>
    <w:rsid w:val="004D3CB4"/>
    <w:rsid w:val="004D41BE"/>
    <w:rsid w:val="004D41C6"/>
    <w:rsid w:val="004D43A5"/>
    <w:rsid w:val="004D44FF"/>
    <w:rsid w:val="004D4537"/>
    <w:rsid w:val="004D4551"/>
    <w:rsid w:val="004D45E5"/>
    <w:rsid w:val="004D497F"/>
    <w:rsid w:val="004D4A00"/>
    <w:rsid w:val="004D4A65"/>
    <w:rsid w:val="004D4A71"/>
    <w:rsid w:val="004D5286"/>
    <w:rsid w:val="004D5342"/>
    <w:rsid w:val="004D57BF"/>
    <w:rsid w:val="004D57D9"/>
    <w:rsid w:val="004D584B"/>
    <w:rsid w:val="004D58F2"/>
    <w:rsid w:val="004D592F"/>
    <w:rsid w:val="004D5A15"/>
    <w:rsid w:val="004D5B2C"/>
    <w:rsid w:val="004D639E"/>
    <w:rsid w:val="004D63C6"/>
    <w:rsid w:val="004D659E"/>
    <w:rsid w:val="004D6B37"/>
    <w:rsid w:val="004D6DCB"/>
    <w:rsid w:val="004D6E83"/>
    <w:rsid w:val="004D6F26"/>
    <w:rsid w:val="004D7225"/>
    <w:rsid w:val="004D72AC"/>
    <w:rsid w:val="004D72EE"/>
    <w:rsid w:val="004D741B"/>
    <w:rsid w:val="004D7443"/>
    <w:rsid w:val="004D754C"/>
    <w:rsid w:val="004D7635"/>
    <w:rsid w:val="004D773C"/>
    <w:rsid w:val="004D789A"/>
    <w:rsid w:val="004D7AAE"/>
    <w:rsid w:val="004D7C4A"/>
    <w:rsid w:val="004D7EEC"/>
    <w:rsid w:val="004E0048"/>
    <w:rsid w:val="004E01A4"/>
    <w:rsid w:val="004E0615"/>
    <w:rsid w:val="004E06C6"/>
    <w:rsid w:val="004E090A"/>
    <w:rsid w:val="004E0925"/>
    <w:rsid w:val="004E0AAC"/>
    <w:rsid w:val="004E0B99"/>
    <w:rsid w:val="004E0C86"/>
    <w:rsid w:val="004E0DD8"/>
    <w:rsid w:val="004E12AD"/>
    <w:rsid w:val="004E130B"/>
    <w:rsid w:val="004E169A"/>
    <w:rsid w:val="004E17C9"/>
    <w:rsid w:val="004E19E9"/>
    <w:rsid w:val="004E1B11"/>
    <w:rsid w:val="004E1C11"/>
    <w:rsid w:val="004E1C37"/>
    <w:rsid w:val="004E1F44"/>
    <w:rsid w:val="004E1FA9"/>
    <w:rsid w:val="004E205C"/>
    <w:rsid w:val="004E20F0"/>
    <w:rsid w:val="004E213F"/>
    <w:rsid w:val="004E2226"/>
    <w:rsid w:val="004E2290"/>
    <w:rsid w:val="004E22EC"/>
    <w:rsid w:val="004E241E"/>
    <w:rsid w:val="004E246D"/>
    <w:rsid w:val="004E25B5"/>
    <w:rsid w:val="004E287C"/>
    <w:rsid w:val="004E28F3"/>
    <w:rsid w:val="004E2A60"/>
    <w:rsid w:val="004E2AD9"/>
    <w:rsid w:val="004E32BB"/>
    <w:rsid w:val="004E32C0"/>
    <w:rsid w:val="004E38C1"/>
    <w:rsid w:val="004E3CAC"/>
    <w:rsid w:val="004E3D66"/>
    <w:rsid w:val="004E42C0"/>
    <w:rsid w:val="004E4341"/>
    <w:rsid w:val="004E455D"/>
    <w:rsid w:val="004E4612"/>
    <w:rsid w:val="004E472A"/>
    <w:rsid w:val="004E49B4"/>
    <w:rsid w:val="004E4A86"/>
    <w:rsid w:val="004E4B8E"/>
    <w:rsid w:val="004E4BA7"/>
    <w:rsid w:val="004E4CA9"/>
    <w:rsid w:val="004E4E1D"/>
    <w:rsid w:val="004E5204"/>
    <w:rsid w:val="004E53CC"/>
    <w:rsid w:val="004E5468"/>
    <w:rsid w:val="004E5533"/>
    <w:rsid w:val="004E5618"/>
    <w:rsid w:val="004E577B"/>
    <w:rsid w:val="004E57E1"/>
    <w:rsid w:val="004E5960"/>
    <w:rsid w:val="004E59D2"/>
    <w:rsid w:val="004E5CE7"/>
    <w:rsid w:val="004E5EB3"/>
    <w:rsid w:val="004E5F13"/>
    <w:rsid w:val="004E5FEE"/>
    <w:rsid w:val="004E64BB"/>
    <w:rsid w:val="004E6596"/>
    <w:rsid w:val="004E683C"/>
    <w:rsid w:val="004E68C2"/>
    <w:rsid w:val="004E69C5"/>
    <w:rsid w:val="004E6D43"/>
    <w:rsid w:val="004E6DC8"/>
    <w:rsid w:val="004E70B0"/>
    <w:rsid w:val="004E70B1"/>
    <w:rsid w:val="004E71B1"/>
    <w:rsid w:val="004E738D"/>
    <w:rsid w:val="004E742B"/>
    <w:rsid w:val="004E7988"/>
    <w:rsid w:val="004E7AD0"/>
    <w:rsid w:val="004F0093"/>
    <w:rsid w:val="004F01D9"/>
    <w:rsid w:val="004F02FF"/>
    <w:rsid w:val="004F05BF"/>
    <w:rsid w:val="004F05E3"/>
    <w:rsid w:val="004F079D"/>
    <w:rsid w:val="004F07E0"/>
    <w:rsid w:val="004F07F0"/>
    <w:rsid w:val="004F0926"/>
    <w:rsid w:val="004F0927"/>
    <w:rsid w:val="004F0D93"/>
    <w:rsid w:val="004F0EE7"/>
    <w:rsid w:val="004F1BBC"/>
    <w:rsid w:val="004F1BEE"/>
    <w:rsid w:val="004F1E8A"/>
    <w:rsid w:val="004F1F9F"/>
    <w:rsid w:val="004F2275"/>
    <w:rsid w:val="004F253E"/>
    <w:rsid w:val="004F25E2"/>
    <w:rsid w:val="004F2788"/>
    <w:rsid w:val="004F2AA9"/>
    <w:rsid w:val="004F2DE9"/>
    <w:rsid w:val="004F2E9E"/>
    <w:rsid w:val="004F313A"/>
    <w:rsid w:val="004F3353"/>
    <w:rsid w:val="004F33A2"/>
    <w:rsid w:val="004F33CF"/>
    <w:rsid w:val="004F36C5"/>
    <w:rsid w:val="004F39F5"/>
    <w:rsid w:val="004F3A22"/>
    <w:rsid w:val="004F3C32"/>
    <w:rsid w:val="004F3C65"/>
    <w:rsid w:val="004F3CFA"/>
    <w:rsid w:val="004F3DA8"/>
    <w:rsid w:val="004F3EFF"/>
    <w:rsid w:val="004F3F94"/>
    <w:rsid w:val="004F4072"/>
    <w:rsid w:val="004F40E3"/>
    <w:rsid w:val="004F4483"/>
    <w:rsid w:val="004F457F"/>
    <w:rsid w:val="004F4667"/>
    <w:rsid w:val="004F469B"/>
    <w:rsid w:val="004F48D5"/>
    <w:rsid w:val="004F4A42"/>
    <w:rsid w:val="004F4B2F"/>
    <w:rsid w:val="004F4B39"/>
    <w:rsid w:val="004F4CD3"/>
    <w:rsid w:val="004F4D9D"/>
    <w:rsid w:val="004F4EDC"/>
    <w:rsid w:val="004F5029"/>
    <w:rsid w:val="004F515D"/>
    <w:rsid w:val="004F5626"/>
    <w:rsid w:val="004F5771"/>
    <w:rsid w:val="004F578F"/>
    <w:rsid w:val="004F57A4"/>
    <w:rsid w:val="004F57C0"/>
    <w:rsid w:val="004F59CC"/>
    <w:rsid w:val="004F5C1C"/>
    <w:rsid w:val="004F5C68"/>
    <w:rsid w:val="004F5E0F"/>
    <w:rsid w:val="004F5E88"/>
    <w:rsid w:val="004F60EB"/>
    <w:rsid w:val="004F6108"/>
    <w:rsid w:val="004F64A1"/>
    <w:rsid w:val="004F6556"/>
    <w:rsid w:val="004F65C7"/>
    <w:rsid w:val="004F6810"/>
    <w:rsid w:val="004F69E7"/>
    <w:rsid w:val="004F6A65"/>
    <w:rsid w:val="004F6B43"/>
    <w:rsid w:val="004F6B51"/>
    <w:rsid w:val="004F6F5B"/>
    <w:rsid w:val="004F718B"/>
    <w:rsid w:val="004F73F8"/>
    <w:rsid w:val="004F7437"/>
    <w:rsid w:val="004F76CA"/>
    <w:rsid w:val="004F76E8"/>
    <w:rsid w:val="004F79FF"/>
    <w:rsid w:val="004F7B54"/>
    <w:rsid w:val="004F7DFE"/>
    <w:rsid w:val="004F7FDA"/>
    <w:rsid w:val="005000BB"/>
    <w:rsid w:val="005001EB"/>
    <w:rsid w:val="005004B6"/>
    <w:rsid w:val="005004D1"/>
    <w:rsid w:val="0050053F"/>
    <w:rsid w:val="0050092D"/>
    <w:rsid w:val="00500DAC"/>
    <w:rsid w:val="00501077"/>
    <w:rsid w:val="0050107A"/>
    <w:rsid w:val="005010BC"/>
    <w:rsid w:val="005010D3"/>
    <w:rsid w:val="0050137D"/>
    <w:rsid w:val="0050174C"/>
    <w:rsid w:val="005018AD"/>
    <w:rsid w:val="00501B11"/>
    <w:rsid w:val="00501F8B"/>
    <w:rsid w:val="005020E5"/>
    <w:rsid w:val="00502140"/>
    <w:rsid w:val="0050228B"/>
    <w:rsid w:val="005022BF"/>
    <w:rsid w:val="0050265A"/>
    <w:rsid w:val="00502725"/>
    <w:rsid w:val="005027DC"/>
    <w:rsid w:val="00502956"/>
    <w:rsid w:val="00502A7F"/>
    <w:rsid w:val="00503148"/>
    <w:rsid w:val="005036A0"/>
    <w:rsid w:val="00503733"/>
    <w:rsid w:val="00503759"/>
    <w:rsid w:val="005038FC"/>
    <w:rsid w:val="0050391B"/>
    <w:rsid w:val="0050395F"/>
    <w:rsid w:val="00503B36"/>
    <w:rsid w:val="00504306"/>
    <w:rsid w:val="005047E0"/>
    <w:rsid w:val="00504887"/>
    <w:rsid w:val="00504932"/>
    <w:rsid w:val="005049CA"/>
    <w:rsid w:val="00504BDC"/>
    <w:rsid w:val="00504C19"/>
    <w:rsid w:val="00504C3B"/>
    <w:rsid w:val="00504D69"/>
    <w:rsid w:val="00504DBF"/>
    <w:rsid w:val="00504DCF"/>
    <w:rsid w:val="00504E20"/>
    <w:rsid w:val="00504F8E"/>
    <w:rsid w:val="00504FC9"/>
    <w:rsid w:val="005050C3"/>
    <w:rsid w:val="00505211"/>
    <w:rsid w:val="0050550B"/>
    <w:rsid w:val="005056AB"/>
    <w:rsid w:val="00505A5B"/>
    <w:rsid w:val="00505E76"/>
    <w:rsid w:val="00505FE3"/>
    <w:rsid w:val="005061AF"/>
    <w:rsid w:val="005063AC"/>
    <w:rsid w:val="005066C1"/>
    <w:rsid w:val="005069E6"/>
    <w:rsid w:val="00506A72"/>
    <w:rsid w:val="00506AE4"/>
    <w:rsid w:val="00506CE3"/>
    <w:rsid w:val="00506F81"/>
    <w:rsid w:val="00507456"/>
    <w:rsid w:val="00507494"/>
    <w:rsid w:val="0050771C"/>
    <w:rsid w:val="00507907"/>
    <w:rsid w:val="00507A15"/>
    <w:rsid w:val="00507B34"/>
    <w:rsid w:val="00507B7C"/>
    <w:rsid w:val="00507E84"/>
    <w:rsid w:val="00510056"/>
    <w:rsid w:val="005101E0"/>
    <w:rsid w:val="00510533"/>
    <w:rsid w:val="0051064A"/>
    <w:rsid w:val="00510716"/>
    <w:rsid w:val="005107B2"/>
    <w:rsid w:val="005107F8"/>
    <w:rsid w:val="00510B92"/>
    <w:rsid w:val="00511021"/>
    <w:rsid w:val="005110B2"/>
    <w:rsid w:val="005112B9"/>
    <w:rsid w:val="005118DA"/>
    <w:rsid w:val="00511ABF"/>
    <w:rsid w:val="00511B7C"/>
    <w:rsid w:val="00511BAE"/>
    <w:rsid w:val="00512336"/>
    <w:rsid w:val="00512468"/>
    <w:rsid w:val="0051284D"/>
    <w:rsid w:val="0051287B"/>
    <w:rsid w:val="0051290F"/>
    <w:rsid w:val="0051292A"/>
    <w:rsid w:val="00512C67"/>
    <w:rsid w:val="00512DAE"/>
    <w:rsid w:val="00512E36"/>
    <w:rsid w:val="00513199"/>
    <w:rsid w:val="0051335F"/>
    <w:rsid w:val="00513364"/>
    <w:rsid w:val="0051339A"/>
    <w:rsid w:val="005133FB"/>
    <w:rsid w:val="0051347B"/>
    <w:rsid w:val="0051397F"/>
    <w:rsid w:val="00513A2A"/>
    <w:rsid w:val="00513D8E"/>
    <w:rsid w:val="00513E5C"/>
    <w:rsid w:val="00513FAA"/>
    <w:rsid w:val="0051416A"/>
    <w:rsid w:val="0051433E"/>
    <w:rsid w:val="00514672"/>
    <w:rsid w:val="0051490F"/>
    <w:rsid w:val="00514964"/>
    <w:rsid w:val="00514B00"/>
    <w:rsid w:val="005152B8"/>
    <w:rsid w:val="005153D8"/>
    <w:rsid w:val="00515452"/>
    <w:rsid w:val="005155B2"/>
    <w:rsid w:val="005156F2"/>
    <w:rsid w:val="005158AF"/>
    <w:rsid w:val="005159C3"/>
    <w:rsid w:val="00515A81"/>
    <w:rsid w:val="00515BEC"/>
    <w:rsid w:val="00515C42"/>
    <w:rsid w:val="00515C8C"/>
    <w:rsid w:val="00515F14"/>
    <w:rsid w:val="0051611B"/>
    <w:rsid w:val="00516145"/>
    <w:rsid w:val="0051619E"/>
    <w:rsid w:val="005162E9"/>
    <w:rsid w:val="0051634E"/>
    <w:rsid w:val="005164E0"/>
    <w:rsid w:val="00516627"/>
    <w:rsid w:val="005166D2"/>
    <w:rsid w:val="0051672D"/>
    <w:rsid w:val="0051679F"/>
    <w:rsid w:val="00516A83"/>
    <w:rsid w:val="00516C15"/>
    <w:rsid w:val="00516C3B"/>
    <w:rsid w:val="00516E22"/>
    <w:rsid w:val="00517142"/>
    <w:rsid w:val="005173F4"/>
    <w:rsid w:val="005175EE"/>
    <w:rsid w:val="0051773E"/>
    <w:rsid w:val="00517BD4"/>
    <w:rsid w:val="00517C48"/>
    <w:rsid w:val="00517D0B"/>
    <w:rsid w:val="00517EAB"/>
    <w:rsid w:val="00517F04"/>
    <w:rsid w:val="00520013"/>
    <w:rsid w:val="005200CE"/>
    <w:rsid w:val="0052057B"/>
    <w:rsid w:val="0052073D"/>
    <w:rsid w:val="00520A03"/>
    <w:rsid w:val="00520C7B"/>
    <w:rsid w:val="00520E6E"/>
    <w:rsid w:val="00520F38"/>
    <w:rsid w:val="00521042"/>
    <w:rsid w:val="00521202"/>
    <w:rsid w:val="00521293"/>
    <w:rsid w:val="005213ED"/>
    <w:rsid w:val="0052144D"/>
    <w:rsid w:val="005218F4"/>
    <w:rsid w:val="00521A50"/>
    <w:rsid w:val="00521BD8"/>
    <w:rsid w:val="00521D66"/>
    <w:rsid w:val="00521F94"/>
    <w:rsid w:val="00522078"/>
    <w:rsid w:val="0052207F"/>
    <w:rsid w:val="00522422"/>
    <w:rsid w:val="0052257D"/>
    <w:rsid w:val="00522638"/>
    <w:rsid w:val="00522695"/>
    <w:rsid w:val="005227F1"/>
    <w:rsid w:val="0052284D"/>
    <w:rsid w:val="005228FF"/>
    <w:rsid w:val="005229D7"/>
    <w:rsid w:val="00522BAA"/>
    <w:rsid w:val="00522C00"/>
    <w:rsid w:val="00522F67"/>
    <w:rsid w:val="00522FCD"/>
    <w:rsid w:val="00523224"/>
    <w:rsid w:val="0052341B"/>
    <w:rsid w:val="005234B9"/>
    <w:rsid w:val="005235BB"/>
    <w:rsid w:val="0052398C"/>
    <w:rsid w:val="00523B4F"/>
    <w:rsid w:val="00523BE7"/>
    <w:rsid w:val="00523CA3"/>
    <w:rsid w:val="00523FF2"/>
    <w:rsid w:val="005242CD"/>
    <w:rsid w:val="00524319"/>
    <w:rsid w:val="005243CF"/>
    <w:rsid w:val="005244A2"/>
    <w:rsid w:val="0052453C"/>
    <w:rsid w:val="005249E0"/>
    <w:rsid w:val="00524AF1"/>
    <w:rsid w:val="00524C16"/>
    <w:rsid w:val="00524F33"/>
    <w:rsid w:val="00524FE1"/>
    <w:rsid w:val="005250EF"/>
    <w:rsid w:val="0052511C"/>
    <w:rsid w:val="0052529C"/>
    <w:rsid w:val="0052532E"/>
    <w:rsid w:val="005254CE"/>
    <w:rsid w:val="00525AC1"/>
    <w:rsid w:val="00525F0F"/>
    <w:rsid w:val="00525F96"/>
    <w:rsid w:val="005260B4"/>
    <w:rsid w:val="0052634E"/>
    <w:rsid w:val="0052658A"/>
    <w:rsid w:val="005265E8"/>
    <w:rsid w:val="005266B6"/>
    <w:rsid w:val="00526732"/>
    <w:rsid w:val="0052690B"/>
    <w:rsid w:val="00526984"/>
    <w:rsid w:val="00526B44"/>
    <w:rsid w:val="00526BAC"/>
    <w:rsid w:val="00526C4B"/>
    <w:rsid w:val="00526C88"/>
    <w:rsid w:val="00526FF8"/>
    <w:rsid w:val="0052706C"/>
    <w:rsid w:val="005270CE"/>
    <w:rsid w:val="00527202"/>
    <w:rsid w:val="005276FE"/>
    <w:rsid w:val="00527745"/>
    <w:rsid w:val="00527814"/>
    <w:rsid w:val="00527A11"/>
    <w:rsid w:val="00527CF3"/>
    <w:rsid w:val="00527EB6"/>
    <w:rsid w:val="00527EE2"/>
    <w:rsid w:val="00527FAF"/>
    <w:rsid w:val="005306FE"/>
    <w:rsid w:val="0053070C"/>
    <w:rsid w:val="0053072F"/>
    <w:rsid w:val="005307BF"/>
    <w:rsid w:val="005308A1"/>
    <w:rsid w:val="00530B98"/>
    <w:rsid w:val="00530BFD"/>
    <w:rsid w:val="00530EB8"/>
    <w:rsid w:val="00530F88"/>
    <w:rsid w:val="0053102B"/>
    <w:rsid w:val="00531031"/>
    <w:rsid w:val="00531076"/>
    <w:rsid w:val="00531403"/>
    <w:rsid w:val="005314FD"/>
    <w:rsid w:val="00531847"/>
    <w:rsid w:val="005319A1"/>
    <w:rsid w:val="00531C0E"/>
    <w:rsid w:val="00531CA1"/>
    <w:rsid w:val="00531F2B"/>
    <w:rsid w:val="00531FFE"/>
    <w:rsid w:val="0053203B"/>
    <w:rsid w:val="00532234"/>
    <w:rsid w:val="00532288"/>
    <w:rsid w:val="005322A7"/>
    <w:rsid w:val="005322B9"/>
    <w:rsid w:val="00532754"/>
    <w:rsid w:val="0053276F"/>
    <w:rsid w:val="00532C95"/>
    <w:rsid w:val="00532FD5"/>
    <w:rsid w:val="0053307C"/>
    <w:rsid w:val="005333EF"/>
    <w:rsid w:val="0053347B"/>
    <w:rsid w:val="005336B5"/>
    <w:rsid w:val="005338AD"/>
    <w:rsid w:val="005338F9"/>
    <w:rsid w:val="00533CA0"/>
    <w:rsid w:val="00533E1E"/>
    <w:rsid w:val="0053400F"/>
    <w:rsid w:val="005340D4"/>
    <w:rsid w:val="00534102"/>
    <w:rsid w:val="00534330"/>
    <w:rsid w:val="00534566"/>
    <w:rsid w:val="005347F1"/>
    <w:rsid w:val="00534908"/>
    <w:rsid w:val="00534D92"/>
    <w:rsid w:val="00534F6E"/>
    <w:rsid w:val="00534F91"/>
    <w:rsid w:val="0053525A"/>
    <w:rsid w:val="005352A3"/>
    <w:rsid w:val="005352CD"/>
    <w:rsid w:val="005353B0"/>
    <w:rsid w:val="005353EA"/>
    <w:rsid w:val="005354D0"/>
    <w:rsid w:val="0053558C"/>
    <w:rsid w:val="005356BE"/>
    <w:rsid w:val="00535AD9"/>
    <w:rsid w:val="00535C4A"/>
    <w:rsid w:val="00535CEE"/>
    <w:rsid w:val="00535FCB"/>
    <w:rsid w:val="005363BF"/>
    <w:rsid w:val="0053652C"/>
    <w:rsid w:val="0053658A"/>
    <w:rsid w:val="00536727"/>
    <w:rsid w:val="00536746"/>
    <w:rsid w:val="0053678D"/>
    <w:rsid w:val="0053691E"/>
    <w:rsid w:val="00536A79"/>
    <w:rsid w:val="00536B0E"/>
    <w:rsid w:val="00536DBD"/>
    <w:rsid w:val="00537107"/>
    <w:rsid w:val="005371FE"/>
    <w:rsid w:val="005372D6"/>
    <w:rsid w:val="005377C8"/>
    <w:rsid w:val="00537D62"/>
    <w:rsid w:val="0054009C"/>
    <w:rsid w:val="0054024A"/>
    <w:rsid w:val="00540512"/>
    <w:rsid w:val="0054058F"/>
    <w:rsid w:val="005405B8"/>
    <w:rsid w:val="005406E7"/>
    <w:rsid w:val="00540BBE"/>
    <w:rsid w:val="00540DD9"/>
    <w:rsid w:val="00540E37"/>
    <w:rsid w:val="00540EEA"/>
    <w:rsid w:val="00540F15"/>
    <w:rsid w:val="00540F67"/>
    <w:rsid w:val="005410DE"/>
    <w:rsid w:val="0054121E"/>
    <w:rsid w:val="005413D1"/>
    <w:rsid w:val="005414C7"/>
    <w:rsid w:val="005416A8"/>
    <w:rsid w:val="00541896"/>
    <w:rsid w:val="00541CC3"/>
    <w:rsid w:val="00541ED3"/>
    <w:rsid w:val="00542279"/>
    <w:rsid w:val="005422AE"/>
    <w:rsid w:val="0054254A"/>
    <w:rsid w:val="005428E9"/>
    <w:rsid w:val="00542DFF"/>
    <w:rsid w:val="00542FF9"/>
    <w:rsid w:val="00543089"/>
    <w:rsid w:val="00543178"/>
    <w:rsid w:val="005435BC"/>
    <w:rsid w:val="0054362B"/>
    <w:rsid w:val="00543803"/>
    <w:rsid w:val="005439B0"/>
    <w:rsid w:val="00543AA6"/>
    <w:rsid w:val="00543C49"/>
    <w:rsid w:val="00543D7B"/>
    <w:rsid w:val="00543E9B"/>
    <w:rsid w:val="00543FA3"/>
    <w:rsid w:val="005440FA"/>
    <w:rsid w:val="00544114"/>
    <w:rsid w:val="00544222"/>
    <w:rsid w:val="005444F2"/>
    <w:rsid w:val="0054460A"/>
    <w:rsid w:val="00544ABE"/>
    <w:rsid w:val="00544CDD"/>
    <w:rsid w:val="00544D32"/>
    <w:rsid w:val="00544FE8"/>
    <w:rsid w:val="005452CD"/>
    <w:rsid w:val="005456A2"/>
    <w:rsid w:val="00545A11"/>
    <w:rsid w:val="00545B73"/>
    <w:rsid w:val="00545ED9"/>
    <w:rsid w:val="00545F3F"/>
    <w:rsid w:val="00546004"/>
    <w:rsid w:val="0054604C"/>
    <w:rsid w:val="0054649A"/>
    <w:rsid w:val="00546524"/>
    <w:rsid w:val="005466DC"/>
    <w:rsid w:val="005468BB"/>
    <w:rsid w:val="00546CD7"/>
    <w:rsid w:val="00546DF2"/>
    <w:rsid w:val="00546F02"/>
    <w:rsid w:val="00547358"/>
    <w:rsid w:val="005473DB"/>
    <w:rsid w:val="00547788"/>
    <w:rsid w:val="0054787A"/>
    <w:rsid w:val="005479CB"/>
    <w:rsid w:val="0055004B"/>
    <w:rsid w:val="005500B7"/>
    <w:rsid w:val="00550244"/>
    <w:rsid w:val="00550441"/>
    <w:rsid w:val="005504CA"/>
    <w:rsid w:val="00550596"/>
    <w:rsid w:val="00550775"/>
    <w:rsid w:val="00550A1C"/>
    <w:rsid w:val="00550AE3"/>
    <w:rsid w:val="00550EB6"/>
    <w:rsid w:val="00551034"/>
    <w:rsid w:val="00551195"/>
    <w:rsid w:val="0055135A"/>
    <w:rsid w:val="005514D5"/>
    <w:rsid w:val="0055158C"/>
    <w:rsid w:val="0055176A"/>
    <w:rsid w:val="0055179E"/>
    <w:rsid w:val="005517D7"/>
    <w:rsid w:val="005519B0"/>
    <w:rsid w:val="00551A7A"/>
    <w:rsid w:val="00551C59"/>
    <w:rsid w:val="00551E73"/>
    <w:rsid w:val="00551F0E"/>
    <w:rsid w:val="00552752"/>
    <w:rsid w:val="00552E03"/>
    <w:rsid w:val="0055321C"/>
    <w:rsid w:val="005532FE"/>
    <w:rsid w:val="005533C9"/>
    <w:rsid w:val="00553734"/>
    <w:rsid w:val="0055373C"/>
    <w:rsid w:val="00553AE8"/>
    <w:rsid w:val="00553BCF"/>
    <w:rsid w:val="00553E58"/>
    <w:rsid w:val="00553FBD"/>
    <w:rsid w:val="00554030"/>
    <w:rsid w:val="00554138"/>
    <w:rsid w:val="005542EA"/>
    <w:rsid w:val="00554405"/>
    <w:rsid w:val="005544D3"/>
    <w:rsid w:val="00554583"/>
    <w:rsid w:val="00554700"/>
    <w:rsid w:val="00554900"/>
    <w:rsid w:val="00554AA7"/>
    <w:rsid w:val="00554E10"/>
    <w:rsid w:val="00554E72"/>
    <w:rsid w:val="00554F83"/>
    <w:rsid w:val="005552EC"/>
    <w:rsid w:val="005553EE"/>
    <w:rsid w:val="005556F6"/>
    <w:rsid w:val="00555B4D"/>
    <w:rsid w:val="00555C3F"/>
    <w:rsid w:val="00555E5B"/>
    <w:rsid w:val="00555EFF"/>
    <w:rsid w:val="00556094"/>
    <w:rsid w:val="00556108"/>
    <w:rsid w:val="0055611C"/>
    <w:rsid w:val="00556476"/>
    <w:rsid w:val="005569C7"/>
    <w:rsid w:val="00556A2C"/>
    <w:rsid w:val="00556E49"/>
    <w:rsid w:val="00556ED2"/>
    <w:rsid w:val="0055724D"/>
    <w:rsid w:val="00557578"/>
    <w:rsid w:val="005578D2"/>
    <w:rsid w:val="00557B32"/>
    <w:rsid w:val="00557BED"/>
    <w:rsid w:val="00557C81"/>
    <w:rsid w:val="00557D45"/>
    <w:rsid w:val="00557ED5"/>
    <w:rsid w:val="00557F2A"/>
    <w:rsid w:val="00560805"/>
    <w:rsid w:val="00560822"/>
    <w:rsid w:val="00560944"/>
    <w:rsid w:val="00560BDB"/>
    <w:rsid w:val="005611A2"/>
    <w:rsid w:val="00561340"/>
    <w:rsid w:val="00561736"/>
    <w:rsid w:val="00561878"/>
    <w:rsid w:val="00561D2D"/>
    <w:rsid w:val="00561E5E"/>
    <w:rsid w:val="00561E7C"/>
    <w:rsid w:val="00562242"/>
    <w:rsid w:val="0056256A"/>
    <w:rsid w:val="0056282E"/>
    <w:rsid w:val="005628FB"/>
    <w:rsid w:val="00562A0C"/>
    <w:rsid w:val="00562EF0"/>
    <w:rsid w:val="00562FA9"/>
    <w:rsid w:val="005634EC"/>
    <w:rsid w:val="005635F5"/>
    <w:rsid w:val="00563791"/>
    <w:rsid w:val="005638DC"/>
    <w:rsid w:val="00563D64"/>
    <w:rsid w:val="00563D98"/>
    <w:rsid w:val="00563EB1"/>
    <w:rsid w:val="005645B3"/>
    <w:rsid w:val="00564691"/>
    <w:rsid w:val="005646B8"/>
    <w:rsid w:val="005646CF"/>
    <w:rsid w:val="00564771"/>
    <w:rsid w:val="005647EB"/>
    <w:rsid w:val="00564938"/>
    <w:rsid w:val="00564D5F"/>
    <w:rsid w:val="00565073"/>
    <w:rsid w:val="00565232"/>
    <w:rsid w:val="005652EB"/>
    <w:rsid w:val="0056540D"/>
    <w:rsid w:val="00565418"/>
    <w:rsid w:val="0056553E"/>
    <w:rsid w:val="005657D5"/>
    <w:rsid w:val="00565816"/>
    <w:rsid w:val="00565903"/>
    <w:rsid w:val="005659BA"/>
    <w:rsid w:val="00565A37"/>
    <w:rsid w:val="00565B4C"/>
    <w:rsid w:val="00565C62"/>
    <w:rsid w:val="00565D53"/>
    <w:rsid w:val="00565E4F"/>
    <w:rsid w:val="00565F3B"/>
    <w:rsid w:val="00565FDD"/>
    <w:rsid w:val="00565FF5"/>
    <w:rsid w:val="005661C8"/>
    <w:rsid w:val="005661E9"/>
    <w:rsid w:val="00566520"/>
    <w:rsid w:val="005666CC"/>
    <w:rsid w:val="005666D0"/>
    <w:rsid w:val="00566724"/>
    <w:rsid w:val="00567382"/>
    <w:rsid w:val="0056741B"/>
    <w:rsid w:val="0056784D"/>
    <w:rsid w:val="00567B78"/>
    <w:rsid w:val="00567BE2"/>
    <w:rsid w:val="00567C34"/>
    <w:rsid w:val="00567C52"/>
    <w:rsid w:val="00567F66"/>
    <w:rsid w:val="00570024"/>
    <w:rsid w:val="005701EE"/>
    <w:rsid w:val="00570284"/>
    <w:rsid w:val="00570394"/>
    <w:rsid w:val="005705EB"/>
    <w:rsid w:val="0057066D"/>
    <w:rsid w:val="00570AB1"/>
    <w:rsid w:val="00570CBE"/>
    <w:rsid w:val="0057115E"/>
    <w:rsid w:val="0057129B"/>
    <w:rsid w:val="00571407"/>
    <w:rsid w:val="005715AE"/>
    <w:rsid w:val="00571894"/>
    <w:rsid w:val="00571965"/>
    <w:rsid w:val="005719E9"/>
    <w:rsid w:val="00571AEA"/>
    <w:rsid w:val="00571D34"/>
    <w:rsid w:val="00571D6C"/>
    <w:rsid w:val="00571E37"/>
    <w:rsid w:val="00571F5B"/>
    <w:rsid w:val="00572184"/>
    <w:rsid w:val="0057237E"/>
    <w:rsid w:val="005723F5"/>
    <w:rsid w:val="00572662"/>
    <w:rsid w:val="00572713"/>
    <w:rsid w:val="0057288E"/>
    <w:rsid w:val="00572A7E"/>
    <w:rsid w:val="00572CC6"/>
    <w:rsid w:val="00572D88"/>
    <w:rsid w:val="00572F49"/>
    <w:rsid w:val="0057301E"/>
    <w:rsid w:val="0057306D"/>
    <w:rsid w:val="00573272"/>
    <w:rsid w:val="00573321"/>
    <w:rsid w:val="0057356B"/>
    <w:rsid w:val="005735F6"/>
    <w:rsid w:val="00573A19"/>
    <w:rsid w:val="00573C04"/>
    <w:rsid w:val="00573CD5"/>
    <w:rsid w:val="00573F83"/>
    <w:rsid w:val="00573FDD"/>
    <w:rsid w:val="00574634"/>
    <w:rsid w:val="00574A81"/>
    <w:rsid w:val="00574C1D"/>
    <w:rsid w:val="00574D70"/>
    <w:rsid w:val="00574F23"/>
    <w:rsid w:val="00574F37"/>
    <w:rsid w:val="005752AC"/>
    <w:rsid w:val="00575365"/>
    <w:rsid w:val="00575369"/>
    <w:rsid w:val="005755A8"/>
    <w:rsid w:val="00575857"/>
    <w:rsid w:val="00575868"/>
    <w:rsid w:val="005758E0"/>
    <w:rsid w:val="00575DCD"/>
    <w:rsid w:val="0057656A"/>
    <w:rsid w:val="00576831"/>
    <w:rsid w:val="005768DC"/>
    <w:rsid w:val="00576C8D"/>
    <w:rsid w:val="00576CA4"/>
    <w:rsid w:val="00576CB1"/>
    <w:rsid w:val="00576CCA"/>
    <w:rsid w:val="005771B9"/>
    <w:rsid w:val="00577283"/>
    <w:rsid w:val="00577308"/>
    <w:rsid w:val="0057744A"/>
    <w:rsid w:val="00577CFD"/>
    <w:rsid w:val="00577DE1"/>
    <w:rsid w:val="00577DEB"/>
    <w:rsid w:val="00577EA2"/>
    <w:rsid w:val="00577F0A"/>
    <w:rsid w:val="00580315"/>
    <w:rsid w:val="00580416"/>
    <w:rsid w:val="0058043F"/>
    <w:rsid w:val="0058049E"/>
    <w:rsid w:val="00580553"/>
    <w:rsid w:val="0058062B"/>
    <w:rsid w:val="00580C02"/>
    <w:rsid w:val="00580CBE"/>
    <w:rsid w:val="0058103E"/>
    <w:rsid w:val="00581066"/>
    <w:rsid w:val="00581201"/>
    <w:rsid w:val="00581266"/>
    <w:rsid w:val="00581318"/>
    <w:rsid w:val="00581331"/>
    <w:rsid w:val="005816E6"/>
    <w:rsid w:val="005818B2"/>
    <w:rsid w:val="005819A0"/>
    <w:rsid w:val="00581A46"/>
    <w:rsid w:val="00581A4F"/>
    <w:rsid w:val="00581A64"/>
    <w:rsid w:val="00581AAE"/>
    <w:rsid w:val="00581DCF"/>
    <w:rsid w:val="00581DD8"/>
    <w:rsid w:val="00582227"/>
    <w:rsid w:val="00582711"/>
    <w:rsid w:val="00582875"/>
    <w:rsid w:val="005828A3"/>
    <w:rsid w:val="00582ADD"/>
    <w:rsid w:val="00582C9B"/>
    <w:rsid w:val="00582E72"/>
    <w:rsid w:val="005831BD"/>
    <w:rsid w:val="00583430"/>
    <w:rsid w:val="005835A7"/>
    <w:rsid w:val="0058381F"/>
    <w:rsid w:val="00583B0F"/>
    <w:rsid w:val="00583BB8"/>
    <w:rsid w:val="00583C74"/>
    <w:rsid w:val="00583D1A"/>
    <w:rsid w:val="00583D1D"/>
    <w:rsid w:val="00583D80"/>
    <w:rsid w:val="00583E2D"/>
    <w:rsid w:val="00583EA1"/>
    <w:rsid w:val="00584354"/>
    <w:rsid w:val="0058482F"/>
    <w:rsid w:val="00584981"/>
    <w:rsid w:val="005849F8"/>
    <w:rsid w:val="00584E24"/>
    <w:rsid w:val="00584EAF"/>
    <w:rsid w:val="00584FB6"/>
    <w:rsid w:val="00585145"/>
    <w:rsid w:val="005851CB"/>
    <w:rsid w:val="005854B7"/>
    <w:rsid w:val="005856B7"/>
    <w:rsid w:val="0058583C"/>
    <w:rsid w:val="00585BFC"/>
    <w:rsid w:val="00585F37"/>
    <w:rsid w:val="005860A9"/>
    <w:rsid w:val="00586184"/>
    <w:rsid w:val="00586453"/>
    <w:rsid w:val="0058665C"/>
    <w:rsid w:val="00586740"/>
    <w:rsid w:val="0058681E"/>
    <w:rsid w:val="00586A64"/>
    <w:rsid w:val="00586B81"/>
    <w:rsid w:val="00586B8A"/>
    <w:rsid w:val="00586CA4"/>
    <w:rsid w:val="00586E95"/>
    <w:rsid w:val="00586FD4"/>
    <w:rsid w:val="005870C0"/>
    <w:rsid w:val="00587372"/>
    <w:rsid w:val="005873AD"/>
    <w:rsid w:val="0058745E"/>
    <w:rsid w:val="0058752B"/>
    <w:rsid w:val="00587681"/>
    <w:rsid w:val="005876F5"/>
    <w:rsid w:val="005877B3"/>
    <w:rsid w:val="00587852"/>
    <w:rsid w:val="0058798C"/>
    <w:rsid w:val="00587AEA"/>
    <w:rsid w:val="00587C24"/>
    <w:rsid w:val="00587EA4"/>
    <w:rsid w:val="00590190"/>
    <w:rsid w:val="005901CF"/>
    <w:rsid w:val="0059028A"/>
    <w:rsid w:val="0059047D"/>
    <w:rsid w:val="00590646"/>
    <w:rsid w:val="005907AA"/>
    <w:rsid w:val="0059086B"/>
    <w:rsid w:val="0059096C"/>
    <w:rsid w:val="00590A6F"/>
    <w:rsid w:val="00590C2B"/>
    <w:rsid w:val="00590CC5"/>
    <w:rsid w:val="00590DD4"/>
    <w:rsid w:val="00590E92"/>
    <w:rsid w:val="00590FCC"/>
    <w:rsid w:val="0059103A"/>
    <w:rsid w:val="005912D7"/>
    <w:rsid w:val="005914B5"/>
    <w:rsid w:val="00591725"/>
    <w:rsid w:val="005918B0"/>
    <w:rsid w:val="00591BBE"/>
    <w:rsid w:val="00591F83"/>
    <w:rsid w:val="005923A8"/>
    <w:rsid w:val="00592AFB"/>
    <w:rsid w:val="00592DD3"/>
    <w:rsid w:val="00592DF5"/>
    <w:rsid w:val="00592FC9"/>
    <w:rsid w:val="00592FDF"/>
    <w:rsid w:val="005931BA"/>
    <w:rsid w:val="005932F6"/>
    <w:rsid w:val="005934BA"/>
    <w:rsid w:val="00593F2D"/>
    <w:rsid w:val="00593F60"/>
    <w:rsid w:val="00593FF7"/>
    <w:rsid w:val="005945AD"/>
    <w:rsid w:val="005947F8"/>
    <w:rsid w:val="00594830"/>
    <w:rsid w:val="00594A1E"/>
    <w:rsid w:val="00594D81"/>
    <w:rsid w:val="005950C2"/>
    <w:rsid w:val="00595122"/>
    <w:rsid w:val="00595327"/>
    <w:rsid w:val="00595542"/>
    <w:rsid w:val="0059599C"/>
    <w:rsid w:val="005959E5"/>
    <w:rsid w:val="00595B76"/>
    <w:rsid w:val="00595FD8"/>
    <w:rsid w:val="00596313"/>
    <w:rsid w:val="00596349"/>
    <w:rsid w:val="00596888"/>
    <w:rsid w:val="00596B97"/>
    <w:rsid w:val="00596F0D"/>
    <w:rsid w:val="0059704F"/>
    <w:rsid w:val="00597257"/>
    <w:rsid w:val="0059728C"/>
    <w:rsid w:val="00597329"/>
    <w:rsid w:val="00597336"/>
    <w:rsid w:val="0059783B"/>
    <w:rsid w:val="00597BD0"/>
    <w:rsid w:val="00597CEB"/>
    <w:rsid w:val="00597CEF"/>
    <w:rsid w:val="00597D6D"/>
    <w:rsid w:val="00597E8C"/>
    <w:rsid w:val="00597EA5"/>
    <w:rsid w:val="00597EF7"/>
    <w:rsid w:val="005A001B"/>
    <w:rsid w:val="005A0045"/>
    <w:rsid w:val="005A0068"/>
    <w:rsid w:val="005A050A"/>
    <w:rsid w:val="005A06F3"/>
    <w:rsid w:val="005A075A"/>
    <w:rsid w:val="005A082F"/>
    <w:rsid w:val="005A0D9C"/>
    <w:rsid w:val="005A0DEE"/>
    <w:rsid w:val="005A0E2A"/>
    <w:rsid w:val="005A0ECA"/>
    <w:rsid w:val="005A0F79"/>
    <w:rsid w:val="005A1035"/>
    <w:rsid w:val="005A1162"/>
    <w:rsid w:val="005A13A8"/>
    <w:rsid w:val="005A147B"/>
    <w:rsid w:val="005A164E"/>
    <w:rsid w:val="005A17DF"/>
    <w:rsid w:val="005A1850"/>
    <w:rsid w:val="005A18CA"/>
    <w:rsid w:val="005A19DF"/>
    <w:rsid w:val="005A1B5B"/>
    <w:rsid w:val="005A1BE6"/>
    <w:rsid w:val="005A1EBA"/>
    <w:rsid w:val="005A2628"/>
    <w:rsid w:val="005A2657"/>
    <w:rsid w:val="005A27A6"/>
    <w:rsid w:val="005A27C1"/>
    <w:rsid w:val="005A282C"/>
    <w:rsid w:val="005A28CE"/>
    <w:rsid w:val="005A2A05"/>
    <w:rsid w:val="005A2E26"/>
    <w:rsid w:val="005A2ED6"/>
    <w:rsid w:val="005A3390"/>
    <w:rsid w:val="005A3407"/>
    <w:rsid w:val="005A3A84"/>
    <w:rsid w:val="005A3C2B"/>
    <w:rsid w:val="005A3CF4"/>
    <w:rsid w:val="005A3DDB"/>
    <w:rsid w:val="005A3E30"/>
    <w:rsid w:val="005A4077"/>
    <w:rsid w:val="005A44B3"/>
    <w:rsid w:val="005A4785"/>
    <w:rsid w:val="005A485B"/>
    <w:rsid w:val="005A48F6"/>
    <w:rsid w:val="005A4952"/>
    <w:rsid w:val="005A4A54"/>
    <w:rsid w:val="005A4BD6"/>
    <w:rsid w:val="005A4C7D"/>
    <w:rsid w:val="005A5041"/>
    <w:rsid w:val="005A51F1"/>
    <w:rsid w:val="005A5480"/>
    <w:rsid w:val="005A5503"/>
    <w:rsid w:val="005A5545"/>
    <w:rsid w:val="005A557A"/>
    <w:rsid w:val="005A55E7"/>
    <w:rsid w:val="005A5630"/>
    <w:rsid w:val="005A5685"/>
    <w:rsid w:val="005A5689"/>
    <w:rsid w:val="005A56C1"/>
    <w:rsid w:val="005A5836"/>
    <w:rsid w:val="005A5C28"/>
    <w:rsid w:val="005A5EAB"/>
    <w:rsid w:val="005A605D"/>
    <w:rsid w:val="005A60E7"/>
    <w:rsid w:val="005A6141"/>
    <w:rsid w:val="005A68E4"/>
    <w:rsid w:val="005A6E04"/>
    <w:rsid w:val="005A7064"/>
    <w:rsid w:val="005A751F"/>
    <w:rsid w:val="005A7648"/>
    <w:rsid w:val="005A7BA6"/>
    <w:rsid w:val="005A7C7E"/>
    <w:rsid w:val="005A7E91"/>
    <w:rsid w:val="005A7FD3"/>
    <w:rsid w:val="005B0075"/>
    <w:rsid w:val="005B00CA"/>
    <w:rsid w:val="005B01B0"/>
    <w:rsid w:val="005B032B"/>
    <w:rsid w:val="005B03B1"/>
    <w:rsid w:val="005B042C"/>
    <w:rsid w:val="005B0612"/>
    <w:rsid w:val="005B07D9"/>
    <w:rsid w:val="005B0819"/>
    <w:rsid w:val="005B0B8F"/>
    <w:rsid w:val="005B0D56"/>
    <w:rsid w:val="005B0DCF"/>
    <w:rsid w:val="005B0EDF"/>
    <w:rsid w:val="005B104F"/>
    <w:rsid w:val="005B1141"/>
    <w:rsid w:val="005B14AE"/>
    <w:rsid w:val="005B1630"/>
    <w:rsid w:val="005B16BB"/>
    <w:rsid w:val="005B1B22"/>
    <w:rsid w:val="005B1B31"/>
    <w:rsid w:val="005B20F3"/>
    <w:rsid w:val="005B2227"/>
    <w:rsid w:val="005B234F"/>
    <w:rsid w:val="005B2478"/>
    <w:rsid w:val="005B281A"/>
    <w:rsid w:val="005B2997"/>
    <w:rsid w:val="005B2C0A"/>
    <w:rsid w:val="005B2C48"/>
    <w:rsid w:val="005B2F8F"/>
    <w:rsid w:val="005B35CB"/>
    <w:rsid w:val="005B3796"/>
    <w:rsid w:val="005B3B89"/>
    <w:rsid w:val="005B3C73"/>
    <w:rsid w:val="005B3CF3"/>
    <w:rsid w:val="005B450B"/>
    <w:rsid w:val="005B46B3"/>
    <w:rsid w:val="005B46CA"/>
    <w:rsid w:val="005B47CF"/>
    <w:rsid w:val="005B4A3E"/>
    <w:rsid w:val="005B4A49"/>
    <w:rsid w:val="005B4A60"/>
    <w:rsid w:val="005B4B7E"/>
    <w:rsid w:val="005B4BEC"/>
    <w:rsid w:val="005B4DB7"/>
    <w:rsid w:val="005B4DC8"/>
    <w:rsid w:val="005B4EE2"/>
    <w:rsid w:val="005B526D"/>
    <w:rsid w:val="005B5486"/>
    <w:rsid w:val="005B5A0C"/>
    <w:rsid w:val="005B5A26"/>
    <w:rsid w:val="005B5A70"/>
    <w:rsid w:val="005B5CA2"/>
    <w:rsid w:val="005B5DCB"/>
    <w:rsid w:val="005B5DD0"/>
    <w:rsid w:val="005B5DF5"/>
    <w:rsid w:val="005B5F7F"/>
    <w:rsid w:val="005B6388"/>
    <w:rsid w:val="005B67F5"/>
    <w:rsid w:val="005B6C77"/>
    <w:rsid w:val="005B71B8"/>
    <w:rsid w:val="005B754F"/>
    <w:rsid w:val="005B777C"/>
    <w:rsid w:val="005B7862"/>
    <w:rsid w:val="005B7997"/>
    <w:rsid w:val="005B7AEA"/>
    <w:rsid w:val="005B7F32"/>
    <w:rsid w:val="005BE631"/>
    <w:rsid w:val="005C0162"/>
    <w:rsid w:val="005C017C"/>
    <w:rsid w:val="005C01AF"/>
    <w:rsid w:val="005C01FA"/>
    <w:rsid w:val="005C0753"/>
    <w:rsid w:val="005C0861"/>
    <w:rsid w:val="005C090C"/>
    <w:rsid w:val="005C0A7E"/>
    <w:rsid w:val="005C0C38"/>
    <w:rsid w:val="005C0C48"/>
    <w:rsid w:val="005C0CA4"/>
    <w:rsid w:val="005C0D84"/>
    <w:rsid w:val="005C0DC9"/>
    <w:rsid w:val="005C0EF0"/>
    <w:rsid w:val="005C0F66"/>
    <w:rsid w:val="005C1022"/>
    <w:rsid w:val="005C109B"/>
    <w:rsid w:val="005C1142"/>
    <w:rsid w:val="005C1200"/>
    <w:rsid w:val="005C12DD"/>
    <w:rsid w:val="005C13C5"/>
    <w:rsid w:val="005C1635"/>
    <w:rsid w:val="005C17E2"/>
    <w:rsid w:val="005C17FE"/>
    <w:rsid w:val="005C18E0"/>
    <w:rsid w:val="005C1901"/>
    <w:rsid w:val="005C1913"/>
    <w:rsid w:val="005C1C8A"/>
    <w:rsid w:val="005C1DCE"/>
    <w:rsid w:val="005C1F45"/>
    <w:rsid w:val="005C204A"/>
    <w:rsid w:val="005C208B"/>
    <w:rsid w:val="005C2320"/>
    <w:rsid w:val="005C240F"/>
    <w:rsid w:val="005C25B9"/>
    <w:rsid w:val="005C26C3"/>
    <w:rsid w:val="005C28C6"/>
    <w:rsid w:val="005C2996"/>
    <w:rsid w:val="005C29F6"/>
    <w:rsid w:val="005C2BC7"/>
    <w:rsid w:val="005C2E8B"/>
    <w:rsid w:val="005C3114"/>
    <w:rsid w:val="005C3182"/>
    <w:rsid w:val="005C31E2"/>
    <w:rsid w:val="005C348F"/>
    <w:rsid w:val="005C3957"/>
    <w:rsid w:val="005C3E38"/>
    <w:rsid w:val="005C3E9B"/>
    <w:rsid w:val="005C405C"/>
    <w:rsid w:val="005C41EB"/>
    <w:rsid w:val="005C4580"/>
    <w:rsid w:val="005C4611"/>
    <w:rsid w:val="005C4687"/>
    <w:rsid w:val="005C4CE7"/>
    <w:rsid w:val="005C4EA8"/>
    <w:rsid w:val="005C4F46"/>
    <w:rsid w:val="005C526C"/>
    <w:rsid w:val="005C5362"/>
    <w:rsid w:val="005C54B6"/>
    <w:rsid w:val="005C5512"/>
    <w:rsid w:val="005C569D"/>
    <w:rsid w:val="005C585C"/>
    <w:rsid w:val="005C59C8"/>
    <w:rsid w:val="005C5B71"/>
    <w:rsid w:val="005C5E10"/>
    <w:rsid w:val="005C5F12"/>
    <w:rsid w:val="005C6113"/>
    <w:rsid w:val="005C616C"/>
    <w:rsid w:val="005C62CA"/>
    <w:rsid w:val="005C6394"/>
    <w:rsid w:val="005C63D9"/>
    <w:rsid w:val="005C6682"/>
    <w:rsid w:val="005C6791"/>
    <w:rsid w:val="005C6D21"/>
    <w:rsid w:val="005C6FB1"/>
    <w:rsid w:val="005C717B"/>
    <w:rsid w:val="005C7282"/>
    <w:rsid w:val="005C7406"/>
    <w:rsid w:val="005C7503"/>
    <w:rsid w:val="005C75A1"/>
    <w:rsid w:val="005C784E"/>
    <w:rsid w:val="005C78BA"/>
    <w:rsid w:val="005C78E3"/>
    <w:rsid w:val="005C7E1E"/>
    <w:rsid w:val="005D01B6"/>
    <w:rsid w:val="005D02E1"/>
    <w:rsid w:val="005D038C"/>
    <w:rsid w:val="005D0478"/>
    <w:rsid w:val="005D0494"/>
    <w:rsid w:val="005D074D"/>
    <w:rsid w:val="005D0855"/>
    <w:rsid w:val="005D0B0B"/>
    <w:rsid w:val="005D0C7E"/>
    <w:rsid w:val="005D0F55"/>
    <w:rsid w:val="005D0F7D"/>
    <w:rsid w:val="005D10EF"/>
    <w:rsid w:val="005D133D"/>
    <w:rsid w:val="005D14C0"/>
    <w:rsid w:val="005D1548"/>
    <w:rsid w:val="005D1696"/>
    <w:rsid w:val="005D16B5"/>
    <w:rsid w:val="005D16E3"/>
    <w:rsid w:val="005D171D"/>
    <w:rsid w:val="005D1A04"/>
    <w:rsid w:val="005D1ABD"/>
    <w:rsid w:val="005D1BD2"/>
    <w:rsid w:val="005D1C43"/>
    <w:rsid w:val="005D1C8C"/>
    <w:rsid w:val="005D1CAF"/>
    <w:rsid w:val="005D1F24"/>
    <w:rsid w:val="005D203E"/>
    <w:rsid w:val="005D2087"/>
    <w:rsid w:val="005D247E"/>
    <w:rsid w:val="005D25FB"/>
    <w:rsid w:val="005D263A"/>
    <w:rsid w:val="005D2701"/>
    <w:rsid w:val="005D285E"/>
    <w:rsid w:val="005D28F5"/>
    <w:rsid w:val="005D2A28"/>
    <w:rsid w:val="005D2CCE"/>
    <w:rsid w:val="005D30E9"/>
    <w:rsid w:val="005D30F2"/>
    <w:rsid w:val="005D31F2"/>
    <w:rsid w:val="005D3461"/>
    <w:rsid w:val="005D3462"/>
    <w:rsid w:val="005D3522"/>
    <w:rsid w:val="005D3540"/>
    <w:rsid w:val="005D3610"/>
    <w:rsid w:val="005D363D"/>
    <w:rsid w:val="005D364C"/>
    <w:rsid w:val="005D378B"/>
    <w:rsid w:val="005D381A"/>
    <w:rsid w:val="005D398E"/>
    <w:rsid w:val="005D39B4"/>
    <w:rsid w:val="005D3A2B"/>
    <w:rsid w:val="005D3B68"/>
    <w:rsid w:val="005D3D46"/>
    <w:rsid w:val="005D3F3B"/>
    <w:rsid w:val="005D3F98"/>
    <w:rsid w:val="005D3FE9"/>
    <w:rsid w:val="005D4089"/>
    <w:rsid w:val="005D4390"/>
    <w:rsid w:val="005D43F8"/>
    <w:rsid w:val="005D47A5"/>
    <w:rsid w:val="005D4B0E"/>
    <w:rsid w:val="005D5442"/>
    <w:rsid w:val="005D547B"/>
    <w:rsid w:val="005D579F"/>
    <w:rsid w:val="005D5841"/>
    <w:rsid w:val="005D5892"/>
    <w:rsid w:val="005D59BB"/>
    <w:rsid w:val="005D5AAA"/>
    <w:rsid w:val="005D5ACC"/>
    <w:rsid w:val="005D6044"/>
    <w:rsid w:val="005D6092"/>
    <w:rsid w:val="005D6296"/>
    <w:rsid w:val="005D62F7"/>
    <w:rsid w:val="005D6444"/>
    <w:rsid w:val="005D64E3"/>
    <w:rsid w:val="005D650E"/>
    <w:rsid w:val="005D67AC"/>
    <w:rsid w:val="005D69C9"/>
    <w:rsid w:val="005D6B45"/>
    <w:rsid w:val="005D6BE4"/>
    <w:rsid w:val="005D6C86"/>
    <w:rsid w:val="005D74D1"/>
    <w:rsid w:val="005D7579"/>
    <w:rsid w:val="005D767E"/>
    <w:rsid w:val="005D7781"/>
    <w:rsid w:val="005D78D9"/>
    <w:rsid w:val="005D7E1C"/>
    <w:rsid w:val="005D7EC6"/>
    <w:rsid w:val="005E00E9"/>
    <w:rsid w:val="005E01DD"/>
    <w:rsid w:val="005E0390"/>
    <w:rsid w:val="005E0397"/>
    <w:rsid w:val="005E0468"/>
    <w:rsid w:val="005E05B7"/>
    <w:rsid w:val="005E05E0"/>
    <w:rsid w:val="005E079B"/>
    <w:rsid w:val="005E0826"/>
    <w:rsid w:val="005E0993"/>
    <w:rsid w:val="005E0AEF"/>
    <w:rsid w:val="005E0D4A"/>
    <w:rsid w:val="005E1018"/>
    <w:rsid w:val="005E1087"/>
    <w:rsid w:val="005E1523"/>
    <w:rsid w:val="005E1813"/>
    <w:rsid w:val="005E18A0"/>
    <w:rsid w:val="005E195F"/>
    <w:rsid w:val="005E1A77"/>
    <w:rsid w:val="005E1DD6"/>
    <w:rsid w:val="005E1EFB"/>
    <w:rsid w:val="005E22F3"/>
    <w:rsid w:val="005E2403"/>
    <w:rsid w:val="005E29C3"/>
    <w:rsid w:val="005E2A0F"/>
    <w:rsid w:val="005E2A32"/>
    <w:rsid w:val="005E2B3E"/>
    <w:rsid w:val="005E2B75"/>
    <w:rsid w:val="005E2D05"/>
    <w:rsid w:val="005E2DB2"/>
    <w:rsid w:val="005E2FED"/>
    <w:rsid w:val="005E3449"/>
    <w:rsid w:val="005E3514"/>
    <w:rsid w:val="005E35CA"/>
    <w:rsid w:val="005E3731"/>
    <w:rsid w:val="005E3839"/>
    <w:rsid w:val="005E3917"/>
    <w:rsid w:val="005E3AA9"/>
    <w:rsid w:val="005E4034"/>
    <w:rsid w:val="005E44DC"/>
    <w:rsid w:val="005E4860"/>
    <w:rsid w:val="005E4ADB"/>
    <w:rsid w:val="005E4CF0"/>
    <w:rsid w:val="005E4FCD"/>
    <w:rsid w:val="005E519C"/>
    <w:rsid w:val="005E52C0"/>
    <w:rsid w:val="005E5819"/>
    <w:rsid w:val="005E599C"/>
    <w:rsid w:val="005E59C1"/>
    <w:rsid w:val="005E5B2D"/>
    <w:rsid w:val="005E5D02"/>
    <w:rsid w:val="005E5DC0"/>
    <w:rsid w:val="005E626D"/>
    <w:rsid w:val="005E62E6"/>
    <w:rsid w:val="005E63DC"/>
    <w:rsid w:val="005E646F"/>
    <w:rsid w:val="005E6721"/>
    <w:rsid w:val="005E6A7F"/>
    <w:rsid w:val="005E6B16"/>
    <w:rsid w:val="005E6C81"/>
    <w:rsid w:val="005E6CEB"/>
    <w:rsid w:val="005E6EEF"/>
    <w:rsid w:val="005E6F08"/>
    <w:rsid w:val="005E6F20"/>
    <w:rsid w:val="005E71E6"/>
    <w:rsid w:val="005E723B"/>
    <w:rsid w:val="005E7353"/>
    <w:rsid w:val="005E7398"/>
    <w:rsid w:val="005E74C1"/>
    <w:rsid w:val="005E75BE"/>
    <w:rsid w:val="005E7766"/>
    <w:rsid w:val="005E77CE"/>
    <w:rsid w:val="005E7B76"/>
    <w:rsid w:val="005E7C22"/>
    <w:rsid w:val="005E7C52"/>
    <w:rsid w:val="005E7C9B"/>
    <w:rsid w:val="005E7F0A"/>
    <w:rsid w:val="005E7F48"/>
    <w:rsid w:val="005F066C"/>
    <w:rsid w:val="005F07F8"/>
    <w:rsid w:val="005F0D86"/>
    <w:rsid w:val="005F0DAD"/>
    <w:rsid w:val="005F148B"/>
    <w:rsid w:val="005F16AC"/>
    <w:rsid w:val="005F194B"/>
    <w:rsid w:val="005F19AB"/>
    <w:rsid w:val="005F19E1"/>
    <w:rsid w:val="005F1A02"/>
    <w:rsid w:val="005F1CAA"/>
    <w:rsid w:val="005F232F"/>
    <w:rsid w:val="005F23EF"/>
    <w:rsid w:val="005F27BB"/>
    <w:rsid w:val="005F287E"/>
    <w:rsid w:val="005F2A26"/>
    <w:rsid w:val="005F2A27"/>
    <w:rsid w:val="005F31B0"/>
    <w:rsid w:val="005F33B1"/>
    <w:rsid w:val="005F33B5"/>
    <w:rsid w:val="005F341B"/>
    <w:rsid w:val="005F34AB"/>
    <w:rsid w:val="005F382F"/>
    <w:rsid w:val="005F3913"/>
    <w:rsid w:val="005F3A17"/>
    <w:rsid w:val="005F3A46"/>
    <w:rsid w:val="005F3D17"/>
    <w:rsid w:val="005F3E0F"/>
    <w:rsid w:val="005F4034"/>
    <w:rsid w:val="005F41A7"/>
    <w:rsid w:val="005F42C0"/>
    <w:rsid w:val="005F4495"/>
    <w:rsid w:val="005F4757"/>
    <w:rsid w:val="005F4ACE"/>
    <w:rsid w:val="005F4C7C"/>
    <w:rsid w:val="005F4CF9"/>
    <w:rsid w:val="005F4D69"/>
    <w:rsid w:val="005F4D6B"/>
    <w:rsid w:val="005F4F6B"/>
    <w:rsid w:val="005F5121"/>
    <w:rsid w:val="005F5243"/>
    <w:rsid w:val="005F52B2"/>
    <w:rsid w:val="005F5A3A"/>
    <w:rsid w:val="005F620C"/>
    <w:rsid w:val="005F68AC"/>
    <w:rsid w:val="005F6B5A"/>
    <w:rsid w:val="005F6BD2"/>
    <w:rsid w:val="005F6C79"/>
    <w:rsid w:val="005F70D9"/>
    <w:rsid w:val="005F7394"/>
    <w:rsid w:val="005F7940"/>
    <w:rsid w:val="005F7B9F"/>
    <w:rsid w:val="005F7C40"/>
    <w:rsid w:val="006000EC"/>
    <w:rsid w:val="0060020F"/>
    <w:rsid w:val="00600569"/>
    <w:rsid w:val="006005E5"/>
    <w:rsid w:val="00600617"/>
    <w:rsid w:val="006008A3"/>
    <w:rsid w:val="00600A78"/>
    <w:rsid w:val="00600BE8"/>
    <w:rsid w:val="00600D88"/>
    <w:rsid w:val="00600E16"/>
    <w:rsid w:val="00600E4A"/>
    <w:rsid w:val="006011F3"/>
    <w:rsid w:val="006012BA"/>
    <w:rsid w:val="006012E3"/>
    <w:rsid w:val="00601323"/>
    <w:rsid w:val="00601407"/>
    <w:rsid w:val="0060140B"/>
    <w:rsid w:val="00601466"/>
    <w:rsid w:val="006015D8"/>
    <w:rsid w:val="0060177F"/>
    <w:rsid w:val="00601816"/>
    <w:rsid w:val="0060187D"/>
    <w:rsid w:val="00601C9C"/>
    <w:rsid w:val="00601D83"/>
    <w:rsid w:val="00601E17"/>
    <w:rsid w:val="00601E33"/>
    <w:rsid w:val="00601FAB"/>
    <w:rsid w:val="00602312"/>
    <w:rsid w:val="00602B6E"/>
    <w:rsid w:val="00602B9F"/>
    <w:rsid w:val="00602D9D"/>
    <w:rsid w:val="00602E0B"/>
    <w:rsid w:val="00602EEF"/>
    <w:rsid w:val="00603318"/>
    <w:rsid w:val="00603785"/>
    <w:rsid w:val="00603D50"/>
    <w:rsid w:val="00603D81"/>
    <w:rsid w:val="00604027"/>
    <w:rsid w:val="00604488"/>
    <w:rsid w:val="0060448B"/>
    <w:rsid w:val="006046DF"/>
    <w:rsid w:val="0060477C"/>
    <w:rsid w:val="006047FE"/>
    <w:rsid w:val="00604821"/>
    <w:rsid w:val="00604871"/>
    <w:rsid w:val="0060495F"/>
    <w:rsid w:val="00604C3C"/>
    <w:rsid w:val="00605000"/>
    <w:rsid w:val="00605189"/>
    <w:rsid w:val="006052E4"/>
    <w:rsid w:val="00605384"/>
    <w:rsid w:val="0060541C"/>
    <w:rsid w:val="00605727"/>
    <w:rsid w:val="00605769"/>
    <w:rsid w:val="00605812"/>
    <w:rsid w:val="006058DB"/>
    <w:rsid w:val="006059E8"/>
    <w:rsid w:val="00605A16"/>
    <w:rsid w:val="00605AF2"/>
    <w:rsid w:val="00605B58"/>
    <w:rsid w:val="00605D61"/>
    <w:rsid w:val="0060602A"/>
    <w:rsid w:val="0060623D"/>
    <w:rsid w:val="00606300"/>
    <w:rsid w:val="006064A7"/>
    <w:rsid w:val="00606560"/>
    <w:rsid w:val="006066D5"/>
    <w:rsid w:val="006069B0"/>
    <w:rsid w:val="00606A37"/>
    <w:rsid w:val="00606F2F"/>
    <w:rsid w:val="006072CD"/>
    <w:rsid w:val="006074E1"/>
    <w:rsid w:val="0060774C"/>
    <w:rsid w:val="00607A19"/>
    <w:rsid w:val="00607A56"/>
    <w:rsid w:val="00607B63"/>
    <w:rsid w:val="00607F66"/>
    <w:rsid w:val="00610524"/>
    <w:rsid w:val="00610AA4"/>
    <w:rsid w:val="00610AAA"/>
    <w:rsid w:val="00610AD7"/>
    <w:rsid w:val="00610CD7"/>
    <w:rsid w:val="00610D59"/>
    <w:rsid w:val="00610E23"/>
    <w:rsid w:val="00610E39"/>
    <w:rsid w:val="00610E56"/>
    <w:rsid w:val="006111F2"/>
    <w:rsid w:val="006113D2"/>
    <w:rsid w:val="006116C6"/>
    <w:rsid w:val="00611D72"/>
    <w:rsid w:val="00611D9B"/>
    <w:rsid w:val="00611E08"/>
    <w:rsid w:val="00611F60"/>
    <w:rsid w:val="00611F86"/>
    <w:rsid w:val="00612586"/>
    <w:rsid w:val="0061263E"/>
    <w:rsid w:val="0061272D"/>
    <w:rsid w:val="006128A0"/>
    <w:rsid w:val="00612C24"/>
    <w:rsid w:val="00612ECE"/>
    <w:rsid w:val="006130CB"/>
    <w:rsid w:val="006131F8"/>
    <w:rsid w:val="00613430"/>
    <w:rsid w:val="0061360A"/>
    <w:rsid w:val="006137D2"/>
    <w:rsid w:val="006137FA"/>
    <w:rsid w:val="00613940"/>
    <w:rsid w:val="00613BEE"/>
    <w:rsid w:val="00613DCC"/>
    <w:rsid w:val="0061400C"/>
    <w:rsid w:val="00614050"/>
    <w:rsid w:val="006143DD"/>
    <w:rsid w:val="006145F3"/>
    <w:rsid w:val="00614605"/>
    <w:rsid w:val="006146EE"/>
    <w:rsid w:val="006147A5"/>
    <w:rsid w:val="00614809"/>
    <w:rsid w:val="0061480E"/>
    <w:rsid w:val="006149B3"/>
    <w:rsid w:val="00614A19"/>
    <w:rsid w:val="00614DF4"/>
    <w:rsid w:val="00614EE4"/>
    <w:rsid w:val="00614F52"/>
    <w:rsid w:val="00614F5F"/>
    <w:rsid w:val="00614F61"/>
    <w:rsid w:val="006150EB"/>
    <w:rsid w:val="0061535E"/>
    <w:rsid w:val="0061541F"/>
    <w:rsid w:val="00615531"/>
    <w:rsid w:val="006155A0"/>
    <w:rsid w:val="00615808"/>
    <w:rsid w:val="006158D4"/>
    <w:rsid w:val="00615AC2"/>
    <w:rsid w:val="00615ADA"/>
    <w:rsid w:val="00615B1B"/>
    <w:rsid w:val="00615DF0"/>
    <w:rsid w:val="00615E80"/>
    <w:rsid w:val="00615EF1"/>
    <w:rsid w:val="00615FD1"/>
    <w:rsid w:val="0061643D"/>
    <w:rsid w:val="006167A8"/>
    <w:rsid w:val="00616BAB"/>
    <w:rsid w:val="00616BB2"/>
    <w:rsid w:val="00616C9C"/>
    <w:rsid w:val="00616DB2"/>
    <w:rsid w:val="00616DFB"/>
    <w:rsid w:val="00616EF0"/>
    <w:rsid w:val="00616F59"/>
    <w:rsid w:val="00617071"/>
    <w:rsid w:val="00617178"/>
    <w:rsid w:val="00617416"/>
    <w:rsid w:val="00617580"/>
    <w:rsid w:val="00617970"/>
    <w:rsid w:val="00617A56"/>
    <w:rsid w:val="00617A64"/>
    <w:rsid w:val="00617B43"/>
    <w:rsid w:val="00617DF9"/>
    <w:rsid w:val="00617F7A"/>
    <w:rsid w:val="006203F4"/>
    <w:rsid w:val="00620523"/>
    <w:rsid w:val="006205BD"/>
    <w:rsid w:val="00620955"/>
    <w:rsid w:val="0062095C"/>
    <w:rsid w:val="006209CB"/>
    <w:rsid w:val="00620A2E"/>
    <w:rsid w:val="00620AE0"/>
    <w:rsid w:val="00620D1F"/>
    <w:rsid w:val="00620D95"/>
    <w:rsid w:val="0062158C"/>
    <w:rsid w:val="006215A0"/>
    <w:rsid w:val="006216AB"/>
    <w:rsid w:val="006216FA"/>
    <w:rsid w:val="0062198A"/>
    <w:rsid w:val="00621E69"/>
    <w:rsid w:val="00621F1C"/>
    <w:rsid w:val="00621F98"/>
    <w:rsid w:val="006222AE"/>
    <w:rsid w:val="006222E5"/>
    <w:rsid w:val="00622943"/>
    <w:rsid w:val="00622BF5"/>
    <w:rsid w:val="00622C0E"/>
    <w:rsid w:val="00622CD4"/>
    <w:rsid w:val="00622D39"/>
    <w:rsid w:val="00622DEF"/>
    <w:rsid w:val="00622F25"/>
    <w:rsid w:val="00622F28"/>
    <w:rsid w:val="00622F55"/>
    <w:rsid w:val="0062334D"/>
    <w:rsid w:val="006237DF"/>
    <w:rsid w:val="006239FD"/>
    <w:rsid w:val="00623C36"/>
    <w:rsid w:val="00623D24"/>
    <w:rsid w:val="00623EF0"/>
    <w:rsid w:val="006243FF"/>
    <w:rsid w:val="0062454E"/>
    <w:rsid w:val="00624667"/>
    <w:rsid w:val="006246C0"/>
    <w:rsid w:val="0062475B"/>
    <w:rsid w:val="006248B0"/>
    <w:rsid w:val="006248B8"/>
    <w:rsid w:val="00624AC3"/>
    <w:rsid w:val="00624DE1"/>
    <w:rsid w:val="00624F8D"/>
    <w:rsid w:val="00624FF9"/>
    <w:rsid w:val="006251D4"/>
    <w:rsid w:val="00625487"/>
    <w:rsid w:val="006255B2"/>
    <w:rsid w:val="00625678"/>
    <w:rsid w:val="00625826"/>
    <w:rsid w:val="00625B90"/>
    <w:rsid w:val="00625D22"/>
    <w:rsid w:val="00625DDD"/>
    <w:rsid w:val="00626241"/>
    <w:rsid w:val="006262E1"/>
    <w:rsid w:val="00626714"/>
    <w:rsid w:val="00626807"/>
    <w:rsid w:val="006268C6"/>
    <w:rsid w:val="0062694D"/>
    <w:rsid w:val="00626B0B"/>
    <w:rsid w:val="00626B7B"/>
    <w:rsid w:val="00626C03"/>
    <w:rsid w:val="00626CB7"/>
    <w:rsid w:val="00626D18"/>
    <w:rsid w:val="00626E19"/>
    <w:rsid w:val="00626EAC"/>
    <w:rsid w:val="00626F16"/>
    <w:rsid w:val="00627157"/>
    <w:rsid w:val="00627754"/>
    <w:rsid w:val="00627B81"/>
    <w:rsid w:val="00627CE0"/>
    <w:rsid w:val="00627DDE"/>
    <w:rsid w:val="00627E86"/>
    <w:rsid w:val="00627FBD"/>
    <w:rsid w:val="00630164"/>
    <w:rsid w:val="0063067F"/>
    <w:rsid w:val="00630875"/>
    <w:rsid w:val="00630D24"/>
    <w:rsid w:val="00630E5A"/>
    <w:rsid w:val="00631323"/>
    <w:rsid w:val="006313F3"/>
    <w:rsid w:val="0063147F"/>
    <w:rsid w:val="00631526"/>
    <w:rsid w:val="00631637"/>
    <w:rsid w:val="006316A4"/>
    <w:rsid w:val="00631B3D"/>
    <w:rsid w:val="00631F41"/>
    <w:rsid w:val="0063223F"/>
    <w:rsid w:val="00632322"/>
    <w:rsid w:val="00632428"/>
    <w:rsid w:val="00632692"/>
    <w:rsid w:val="0063290E"/>
    <w:rsid w:val="006329B6"/>
    <w:rsid w:val="00632A7E"/>
    <w:rsid w:val="00632B0B"/>
    <w:rsid w:val="00632E7F"/>
    <w:rsid w:val="0063300D"/>
    <w:rsid w:val="0063324E"/>
    <w:rsid w:val="00633319"/>
    <w:rsid w:val="006334FD"/>
    <w:rsid w:val="0063353A"/>
    <w:rsid w:val="006335F9"/>
    <w:rsid w:val="00633642"/>
    <w:rsid w:val="0063366D"/>
    <w:rsid w:val="00633A64"/>
    <w:rsid w:val="00634354"/>
    <w:rsid w:val="00634412"/>
    <w:rsid w:val="0063457D"/>
    <w:rsid w:val="0063477B"/>
    <w:rsid w:val="006348C1"/>
    <w:rsid w:val="006349BF"/>
    <w:rsid w:val="00634AB2"/>
    <w:rsid w:val="00634AF6"/>
    <w:rsid w:val="00634DBB"/>
    <w:rsid w:val="00634DD9"/>
    <w:rsid w:val="00634FE9"/>
    <w:rsid w:val="00635278"/>
    <w:rsid w:val="00635435"/>
    <w:rsid w:val="006355C8"/>
    <w:rsid w:val="006356E3"/>
    <w:rsid w:val="0063590F"/>
    <w:rsid w:val="006359A8"/>
    <w:rsid w:val="00635A1E"/>
    <w:rsid w:val="00635A89"/>
    <w:rsid w:val="00635B02"/>
    <w:rsid w:val="00636009"/>
    <w:rsid w:val="006361C3"/>
    <w:rsid w:val="006363A8"/>
    <w:rsid w:val="006364D6"/>
    <w:rsid w:val="00636AFF"/>
    <w:rsid w:val="00636B29"/>
    <w:rsid w:val="00636CD4"/>
    <w:rsid w:val="00636E94"/>
    <w:rsid w:val="0063714A"/>
    <w:rsid w:val="00637387"/>
    <w:rsid w:val="006374F0"/>
    <w:rsid w:val="0063750B"/>
    <w:rsid w:val="0063761A"/>
    <w:rsid w:val="0063763F"/>
    <w:rsid w:val="0063773F"/>
    <w:rsid w:val="00637782"/>
    <w:rsid w:val="00637A9A"/>
    <w:rsid w:val="00637C7B"/>
    <w:rsid w:val="00637C85"/>
    <w:rsid w:val="00637EAF"/>
    <w:rsid w:val="006400DE"/>
    <w:rsid w:val="00640254"/>
    <w:rsid w:val="00640312"/>
    <w:rsid w:val="006405BE"/>
    <w:rsid w:val="006406A9"/>
    <w:rsid w:val="00640A32"/>
    <w:rsid w:val="00640A96"/>
    <w:rsid w:val="00640AB8"/>
    <w:rsid w:val="00640B21"/>
    <w:rsid w:val="0064118C"/>
    <w:rsid w:val="006411FE"/>
    <w:rsid w:val="00641357"/>
    <w:rsid w:val="0064164C"/>
    <w:rsid w:val="00641CB4"/>
    <w:rsid w:val="00641E02"/>
    <w:rsid w:val="00641EB8"/>
    <w:rsid w:val="00641F4F"/>
    <w:rsid w:val="006420D6"/>
    <w:rsid w:val="006422ED"/>
    <w:rsid w:val="006423F1"/>
    <w:rsid w:val="006424B1"/>
    <w:rsid w:val="0064255B"/>
    <w:rsid w:val="0064255C"/>
    <w:rsid w:val="00642654"/>
    <w:rsid w:val="006426BD"/>
    <w:rsid w:val="006428E5"/>
    <w:rsid w:val="00642A70"/>
    <w:rsid w:val="00642DEF"/>
    <w:rsid w:val="00642E46"/>
    <w:rsid w:val="00643285"/>
    <w:rsid w:val="0064342E"/>
    <w:rsid w:val="006435A7"/>
    <w:rsid w:val="006437DB"/>
    <w:rsid w:val="006437F3"/>
    <w:rsid w:val="00643E93"/>
    <w:rsid w:val="00644161"/>
    <w:rsid w:val="006441EB"/>
    <w:rsid w:val="00644206"/>
    <w:rsid w:val="0064425F"/>
    <w:rsid w:val="006447F4"/>
    <w:rsid w:val="00644C48"/>
    <w:rsid w:val="00644C63"/>
    <w:rsid w:val="00644CB1"/>
    <w:rsid w:val="00644D05"/>
    <w:rsid w:val="00644DB6"/>
    <w:rsid w:val="00644EA6"/>
    <w:rsid w:val="00644F83"/>
    <w:rsid w:val="006452D2"/>
    <w:rsid w:val="006454C1"/>
    <w:rsid w:val="006456EC"/>
    <w:rsid w:val="00645878"/>
    <w:rsid w:val="00645907"/>
    <w:rsid w:val="00645DE2"/>
    <w:rsid w:val="00645E09"/>
    <w:rsid w:val="00645F98"/>
    <w:rsid w:val="006460BA"/>
    <w:rsid w:val="0064611D"/>
    <w:rsid w:val="0064621B"/>
    <w:rsid w:val="006463A6"/>
    <w:rsid w:val="006464A4"/>
    <w:rsid w:val="006464C9"/>
    <w:rsid w:val="0064669A"/>
    <w:rsid w:val="00646751"/>
    <w:rsid w:val="00646887"/>
    <w:rsid w:val="00646923"/>
    <w:rsid w:val="0064692A"/>
    <w:rsid w:val="00646A93"/>
    <w:rsid w:val="00646E35"/>
    <w:rsid w:val="00647633"/>
    <w:rsid w:val="00647656"/>
    <w:rsid w:val="006478E2"/>
    <w:rsid w:val="00647A11"/>
    <w:rsid w:val="00647BBF"/>
    <w:rsid w:val="00647BD3"/>
    <w:rsid w:val="00647E61"/>
    <w:rsid w:val="0065010E"/>
    <w:rsid w:val="006503DE"/>
    <w:rsid w:val="006503EA"/>
    <w:rsid w:val="00650494"/>
    <w:rsid w:val="00650656"/>
    <w:rsid w:val="00650707"/>
    <w:rsid w:val="0065077A"/>
    <w:rsid w:val="00650AC4"/>
    <w:rsid w:val="00650CC8"/>
    <w:rsid w:val="00650E09"/>
    <w:rsid w:val="00650E60"/>
    <w:rsid w:val="00651264"/>
    <w:rsid w:val="006513BF"/>
    <w:rsid w:val="00651D69"/>
    <w:rsid w:val="00651D7A"/>
    <w:rsid w:val="00652025"/>
    <w:rsid w:val="0065208C"/>
    <w:rsid w:val="006521B0"/>
    <w:rsid w:val="00652257"/>
    <w:rsid w:val="006523BA"/>
    <w:rsid w:val="00652732"/>
    <w:rsid w:val="00652750"/>
    <w:rsid w:val="006527D8"/>
    <w:rsid w:val="00652A8D"/>
    <w:rsid w:val="00652C7B"/>
    <w:rsid w:val="00652D36"/>
    <w:rsid w:val="00652DFE"/>
    <w:rsid w:val="00653015"/>
    <w:rsid w:val="006531C1"/>
    <w:rsid w:val="006536B9"/>
    <w:rsid w:val="006537F1"/>
    <w:rsid w:val="0065390C"/>
    <w:rsid w:val="00653B61"/>
    <w:rsid w:val="00653DD1"/>
    <w:rsid w:val="00653F71"/>
    <w:rsid w:val="0065403E"/>
    <w:rsid w:val="00654391"/>
    <w:rsid w:val="006543CD"/>
    <w:rsid w:val="006548EB"/>
    <w:rsid w:val="00654975"/>
    <w:rsid w:val="00654BA5"/>
    <w:rsid w:val="00654CCE"/>
    <w:rsid w:val="00654D39"/>
    <w:rsid w:val="00654E31"/>
    <w:rsid w:val="00654FC5"/>
    <w:rsid w:val="00655217"/>
    <w:rsid w:val="00655222"/>
    <w:rsid w:val="006552B6"/>
    <w:rsid w:val="00655361"/>
    <w:rsid w:val="0065572E"/>
    <w:rsid w:val="00655777"/>
    <w:rsid w:val="006557C2"/>
    <w:rsid w:val="00655815"/>
    <w:rsid w:val="00655BEB"/>
    <w:rsid w:val="00655C19"/>
    <w:rsid w:val="00656021"/>
    <w:rsid w:val="00656084"/>
    <w:rsid w:val="0065610A"/>
    <w:rsid w:val="0065636E"/>
    <w:rsid w:val="00656454"/>
    <w:rsid w:val="00656591"/>
    <w:rsid w:val="006566F5"/>
    <w:rsid w:val="006567E9"/>
    <w:rsid w:val="00656A43"/>
    <w:rsid w:val="00656B59"/>
    <w:rsid w:val="00656CB5"/>
    <w:rsid w:val="00656D96"/>
    <w:rsid w:val="00656E24"/>
    <w:rsid w:val="00656E92"/>
    <w:rsid w:val="00656ED4"/>
    <w:rsid w:val="0065718F"/>
    <w:rsid w:val="006571E0"/>
    <w:rsid w:val="0065720F"/>
    <w:rsid w:val="0065723C"/>
    <w:rsid w:val="00657258"/>
    <w:rsid w:val="0065745D"/>
    <w:rsid w:val="006575E2"/>
    <w:rsid w:val="0065789E"/>
    <w:rsid w:val="006578B4"/>
    <w:rsid w:val="00657A1E"/>
    <w:rsid w:val="00657AD4"/>
    <w:rsid w:val="00657B13"/>
    <w:rsid w:val="00657B6B"/>
    <w:rsid w:val="00660022"/>
    <w:rsid w:val="006600C5"/>
    <w:rsid w:val="006604E8"/>
    <w:rsid w:val="0066080E"/>
    <w:rsid w:val="00660B27"/>
    <w:rsid w:val="00660BAA"/>
    <w:rsid w:val="00661162"/>
    <w:rsid w:val="00661164"/>
    <w:rsid w:val="0066134B"/>
    <w:rsid w:val="0066162E"/>
    <w:rsid w:val="0066167A"/>
    <w:rsid w:val="00661720"/>
    <w:rsid w:val="0066180D"/>
    <w:rsid w:val="0066184D"/>
    <w:rsid w:val="006618D7"/>
    <w:rsid w:val="00661DFE"/>
    <w:rsid w:val="00662080"/>
    <w:rsid w:val="006620AD"/>
    <w:rsid w:val="0066230F"/>
    <w:rsid w:val="006623F3"/>
    <w:rsid w:val="00662708"/>
    <w:rsid w:val="00662901"/>
    <w:rsid w:val="006629DD"/>
    <w:rsid w:val="00662C58"/>
    <w:rsid w:val="00662E00"/>
    <w:rsid w:val="00662EB3"/>
    <w:rsid w:val="00662F03"/>
    <w:rsid w:val="006630C5"/>
    <w:rsid w:val="00663134"/>
    <w:rsid w:val="00663997"/>
    <w:rsid w:val="006639F6"/>
    <w:rsid w:val="00663DE7"/>
    <w:rsid w:val="00663E5A"/>
    <w:rsid w:val="00663E7F"/>
    <w:rsid w:val="00663E82"/>
    <w:rsid w:val="00663F3E"/>
    <w:rsid w:val="00663F53"/>
    <w:rsid w:val="0066405E"/>
    <w:rsid w:val="00664472"/>
    <w:rsid w:val="006644D9"/>
    <w:rsid w:val="006646BA"/>
    <w:rsid w:val="006648DD"/>
    <w:rsid w:val="00664991"/>
    <w:rsid w:val="00664B8C"/>
    <w:rsid w:val="00664BA8"/>
    <w:rsid w:val="00664CB5"/>
    <w:rsid w:val="00664CCB"/>
    <w:rsid w:val="00664CF2"/>
    <w:rsid w:val="00664DF1"/>
    <w:rsid w:val="00664E26"/>
    <w:rsid w:val="0066501B"/>
    <w:rsid w:val="00665131"/>
    <w:rsid w:val="00665208"/>
    <w:rsid w:val="0066539A"/>
    <w:rsid w:val="006655EE"/>
    <w:rsid w:val="00665CB0"/>
    <w:rsid w:val="00665E0B"/>
    <w:rsid w:val="00665FDA"/>
    <w:rsid w:val="006666E7"/>
    <w:rsid w:val="00666711"/>
    <w:rsid w:val="00666CBA"/>
    <w:rsid w:val="00666E38"/>
    <w:rsid w:val="00666F90"/>
    <w:rsid w:val="00666F94"/>
    <w:rsid w:val="0066704A"/>
    <w:rsid w:val="006671F8"/>
    <w:rsid w:val="00667209"/>
    <w:rsid w:val="0066743D"/>
    <w:rsid w:val="006677F1"/>
    <w:rsid w:val="00667D6B"/>
    <w:rsid w:val="006700A6"/>
    <w:rsid w:val="00670305"/>
    <w:rsid w:val="0067044D"/>
    <w:rsid w:val="0067073F"/>
    <w:rsid w:val="006707EE"/>
    <w:rsid w:val="00670936"/>
    <w:rsid w:val="0067097B"/>
    <w:rsid w:val="00670A25"/>
    <w:rsid w:val="00670BE0"/>
    <w:rsid w:val="00670BE2"/>
    <w:rsid w:val="00670C2F"/>
    <w:rsid w:val="00670D0A"/>
    <w:rsid w:val="00670E08"/>
    <w:rsid w:val="0067138B"/>
    <w:rsid w:val="00671453"/>
    <w:rsid w:val="00671581"/>
    <w:rsid w:val="006715AE"/>
    <w:rsid w:val="006716AD"/>
    <w:rsid w:val="006717D0"/>
    <w:rsid w:val="006717F1"/>
    <w:rsid w:val="006717F8"/>
    <w:rsid w:val="006718BF"/>
    <w:rsid w:val="006719B5"/>
    <w:rsid w:val="00671A73"/>
    <w:rsid w:val="00671C89"/>
    <w:rsid w:val="00671D0B"/>
    <w:rsid w:val="00671FB6"/>
    <w:rsid w:val="006720CF"/>
    <w:rsid w:val="006721BC"/>
    <w:rsid w:val="0067221E"/>
    <w:rsid w:val="00672261"/>
    <w:rsid w:val="006723C3"/>
    <w:rsid w:val="00672481"/>
    <w:rsid w:val="006726E8"/>
    <w:rsid w:val="006727C8"/>
    <w:rsid w:val="00672AF6"/>
    <w:rsid w:val="00673023"/>
    <w:rsid w:val="00673098"/>
    <w:rsid w:val="00673470"/>
    <w:rsid w:val="006734EA"/>
    <w:rsid w:val="00673616"/>
    <w:rsid w:val="00673AE0"/>
    <w:rsid w:val="006743B4"/>
    <w:rsid w:val="0067457B"/>
    <w:rsid w:val="006747F1"/>
    <w:rsid w:val="00674B6B"/>
    <w:rsid w:val="00674CEA"/>
    <w:rsid w:val="00674D72"/>
    <w:rsid w:val="00674F14"/>
    <w:rsid w:val="00675382"/>
    <w:rsid w:val="006753BF"/>
    <w:rsid w:val="006756E4"/>
    <w:rsid w:val="00675757"/>
    <w:rsid w:val="006757F2"/>
    <w:rsid w:val="00675C84"/>
    <w:rsid w:val="00675CF7"/>
    <w:rsid w:val="00675D0A"/>
    <w:rsid w:val="0067627F"/>
    <w:rsid w:val="00676397"/>
    <w:rsid w:val="00676429"/>
    <w:rsid w:val="006768D2"/>
    <w:rsid w:val="00676909"/>
    <w:rsid w:val="00676925"/>
    <w:rsid w:val="00676A61"/>
    <w:rsid w:val="00676BB1"/>
    <w:rsid w:val="006771CE"/>
    <w:rsid w:val="00677270"/>
    <w:rsid w:val="00677569"/>
    <w:rsid w:val="0067766E"/>
    <w:rsid w:val="00677A26"/>
    <w:rsid w:val="00677BB7"/>
    <w:rsid w:val="00677C3B"/>
    <w:rsid w:val="00677E01"/>
    <w:rsid w:val="00677E53"/>
    <w:rsid w:val="00677EB5"/>
    <w:rsid w:val="00680466"/>
    <w:rsid w:val="00680567"/>
    <w:rsid w:val="006807A5"/>
    <w:rsid w:val="00680D1A"/>
    <w:rsid w:val="00680E66"/>
    <w:rsid w:val="00680F2C"/>
    <w:rsid w:val="00680F56"/>
    <w:rsid w:val="00681139"/>
    <w:rsid w:val="00681285"/>
    <w:rsid w:val="00681291"/>
    <w:rsid w:val="0068146F"/>
    <w:rsid w:val="006817E6"/>
    <w:rsid w:val="006818AB"/>
    <w:rsid w:val="006819E3"/>
    <w:rsid w:val="00681A73"/>
    <w:rsid w:val="00681BD2"/>
    <w:rsid w:val="00681C6E"/>
    <w:rsid w:val="00681D5C"/>
    <w:rsid w:val="00681D5D"/>
    <w:rsid w:val="00682016"/>
    <w:rsid w:val="00682099"/>
    <w:rsid w:val="006820BB"/>
    <w:rsid w:val="0068225A"/>
    <w:rsid w:val="00682348"/>
    <w:rsid w:val="006825B2"/>
    <w:rsid w:val="0068298C"/>
    <w:rsid w:val="00682A1A"/>
    <w:rsid w:val="00682DC2"/>
    <w:rsid w:val="006830A8"/>
    <w:rsid w:val="006832D6"/>
    <w:rsid w:val="00683311"/>
    <w:rsid w:val="00683443"/>
    <w:rsid w:val="006834EE"/>
    <w:rsid w:val="0068355B"/>
    <w:rsid w:val="00683654"/>
    <w:rsid w:val="006839FB"/>
    <w:rsid w:val="00683A20"/>
    <w:rsid w:val="00683D29"/>
    <w:rsid w:val="0068407B"/>
    <w:rsid w:val="00684119"/>
    <w:rsid w:val="00684460"/>
    <w:rsid w:val="006844DB"/>
    <w:rsid w:val="00684799"/>
    <w:rsid w:val="00684888"/>
    <w:rsid w:val="00684B90"/>
    <w:rsid w:val="00684D06"/>
    <w:rsid w:val="00684EBC"/>
    <w:rsid w:val="00684EF6"/>
    <w:rsid w:val="00684F38"/>
    <w:rsid w:val="00685100"/>
    <w:rsid w:val="00685430"/>
    <w:rsid w:val="006855BB"/>
    <w:rsid w:val="00685677"/>
    <w:rsid w:val="00685753"/>
    <w:rsid w:val="0068592E"/>
    <w:rsid w:val="00685A68"/>
    <w:rsid w:val="00685DB7"/>
    <w:rsid w:val="00685DBF"/>
    <w:rsid w:val="00685DF0"/>
    <w:rsid w:val="00685EC5"/>
    <w:rsid w:val="00685FCF"/>
    <w:rsid w:val="00685FDD"/>
    <w:rsid w:val="006861A6"/>
    <w:rsid w:val="0068667F"/>
    <w:rsid w:val="0068668F"/>
    <w:rsid w:val="00686730"/>
    <w:rsid w:val="0068678F"/>
    <w:rsid w:val="006867C7"/>
    <w:rsid w:val="006867EC"/>
    <w:rsid w:val="00686A7E"/>
    <w:rsid w:val="00686AA3"/>
    <w:rsid w:val="00686AE3"/>
    <w:rsid w:val="00686BC0"/>
    <w:rsid w:val="00686C86"/>
    <w:rsid w:val="00686DA3"/>
    <w:rsid w:val="00686E0A"/>
    <w:rsid w:val="00686E21"/>
    <w:rsid w:val="006872F0"/>
    <w:rsid w:val="006878C0"/>
    <w:rsid w:val="006878E4"/>
    <w:rsid w:val="00687ADB"/>
    <w:rsid w:val="00687E8E"/>
    <w:rsid w:val="00687FD5"/>
    <w:rsid w:val="00690004"/>
    <w:rsid w:val="00690007"/>
    <w:rsid w:val="00690145"/>
    <w:rsid w:val="006901EF"/>
    <w:rsid w:val="00690212"/>
    <w:rsid w:val="0069055D"/>
    <w:rsid w:val="0069071E"/>
    <w:rsid w:val="0069074C"/>
    <w:rsid w:val="00690788"/>
    <w:rsid w:val="0069096D"/>
    <w:rsid w:val="00690A7E"/>
    <w:rsid w:val="00690B90"/>
    <w:rsid w:val="00690BF1"/>
    <w:rsid w:val="00690D9E"/>
    <w:rsid w:val="00690F73"/>
    <w:rsid w:val="0069111C"/>
    <w:rsid w:val="006914A9"/>
    <w:rsid w:val="006918E8"/>
    <w:rsid w:val="00691A8D"/>
    <w:rsid w:val="00691BCA"/>
    <w:rsid w:val="00691CC0"/>
    <w:rsid w:val="00691E5A"/>
    <w:rsid w:val="0069201B"/>
    <w:rsid w:val="00692419"/>
    <w:rsid w:val="00692464"/>
    <w:rsid w:val="00692A84"/>
    <w:rsid w:val="00692CF2"/>
    <w:rsid w:val="00692D24"/>
    <w:rsid w:val="00692DF2"/>
    <w:rsid w:val="00692E70"/>
    <w:rsid w:val="00692F4D"/>
    <w:rsid w:val="00693167"/>
    <w:rsid w:val="00693178"/>
    <w:rsid w:val="006934C8"/>
    <w:rsid w:val="0069352D"/>
    <w:rsid w:val="0069353C"/>
    <w:rsid w:val="0069353F"/>
    <w:rsid w:val="006935B5"/>
    <w:rsid w:val="006935C6"/>
    <w:rsid w:val="006938A5"/>
    <w:rsid w:val="00693C2D"/>
    <w:rsid w:val="006944A0"/>
    <w:rsid w:val="00694540"/>
    <w:rsid w:val="006945EC"/>
    <w:rsid w:val="006946CD"/>
    <w:rsid w:val="00694916"/>
    <w:rsid w:val="006949FC"/>
    <w:rsid w:val="00694A51"/>
    <w:rsid w:val="00694C7A"/>
    <w:rsid w:val="00694F5A"/>
    <w:rsid w:val="00694F81"/>
    <w:rsid w:val="00694F8A"/>
    <w:rsid w:val="006951ED"/>
    <w:rsid w:val="006952B7"/>
    <w:rsid w:val="006954D6"/>
    <w:rsid w:val="00695619"/>
    <w:rsid w:val="0069564B"/>
    <w:rsid w:val="006958B5"/>
    <w:rsid w:val="006959D5"/>
    <w:rsid w:val="00695AC6"/>
    <w:rsid w:val="00695F58"/>
    <w:rsid w:val="00696000"/>
    <w:rsid w:val="006960BB"/>
    <w:rsid w:val="00696202"/>
    <w:rsid w:val="0069629C"/>
    <w:rsid w:val="006963AB"/>
    <w:rsid w:val="00696639"/>
    <w:rsid w:val="006966A8"/>
    <w:rsid w:val="006967AB"/>
    <w:rsid w:val="006967FA"/>
    <w:rsid w:val="00696930"/>
    <w:rsid w:val="0069695B"/>
    <w:rsid w:val="00696CB1"/>
    <w:rsid w:val="00696E8C"/>
    <w:rsid w:val="00696EB6"/>
    <w:rsid w:val="00697022"/>
    <w:rsid w:val="0069708B"/>
    <w:rsid w:val="006972D4"/>
    <w:rsid w:val="00697332"/>
    <w:rsid w:val="0069738B"/>
    <w:rsid w:val="006974C7"/>
    <w:rsid w:val="00697537"/>
    <w:rsid w:val="00697617"/>
    <w:rsid w:val="006977AF"/>
    <w:rsid w:val="00697A36"/>
    <w:rsid w:val="00697C72"/>
    <w:rsid w:val="00697E7C"/>
    <w:rsid w:val="006A02D1"/>
    <w:rsid w:val="006A040D"/>
    <w:rsid w:val="006A05ED"/>
    <w:rsid w:val="006A0828"/>
    <w:rsid w:val="006A0936"/>
    <w:rsid w:val="006A0966"/>
    <w:rsid w:val="006A0AE0"/>
    <w:rsid w:val="006A0BC1"/>
    <w:rsid w:val="006A0CE1"/>
    <w:rsid w:val="006A0FDA"/>
    <w:rsid w:val="006A1049"/>
    <w:rsid w:val="006A1589"/>
    <w:rsid w:val="006A179C"/>
    <w:rsid w:val="006A19AE"/>
    <w:rsid w:val="006A1A7E"/>
    <w:rsid w:val="006A1D92"/>
    <w:rsid w:val="006A1DAA"/>
    <w:rsid w:val="006A1F3D"/>
    <w:rsid w:val="006A2108"/>
    <w:rsid w:val="006A210B"/>
    <w:rsid w:val="006A231E"/>
    <w:rsid w:val="006A25A6"/>
    <w:rsid w:val="006A27BD"/>
    <w:rsid w:val="006A2816"/>
    <w:rsid w:val="006A2AB1"/>
    <w:rsid w:val="006A2E4F"/>
    <w:rsid w:val="006A2EC7"/>
    <w:rsid w:val="006A2F3A"/>
    <w:rsid w:val="006A3215"/>
    <w:rsid w:val="006A3435"/>
    <w:rsid w:val="006A3AF8"/>
    <w:rsid w:val="006A3DBF"/>
    <w:rsid w:val="006A408C"/>
    <w:rsid w:val="006A45FE"/>
    <w:rsid w:val="006A478C"/>
    <w:rsid w:val="006A4838"/>
    <w:rsid w:val="006A49CA"/>
    <w:rsid w:val="006A4B78"/>
    <w:rsid w:val="006A4CF5"/>
    <w:rsid w:val="006A4E73"/>
    <w:rsid w:val="006A4F3A"/>
    <w:rsid w:val="006A4F9B"/>
    <w:rsid w:val="006A50EA"/>
    <w:rsid w:val="006A55A7"/>
    <w:rsid w:val="006A57DB"/>
    <w:rsid w:val="006A58A4"/>
    <w:rsid w:val="006A5A2C"/>
    <w:rsid w:val="006A5ADE"/>
    <w:rsid w:val="006A5F16"/>
    <w:rsid w:val="006A5F81"/>
    <w:rsid w:val="006A5F82"/>
    <w:rsid w:val="006A612C"/>
    <w:rsid w:val="006A61B2"/>
    <w:rsid w:val="006A62A6"/>
    <w:rsid w:val="006A6481"/>
    <w:rsid w:val="006A6754"/>
    <w:rsid w:val="006A68DC"/>
    <w:rsid w:val="006A6A09"/>
    <w:rsid w:val="006A6BBD"/>
    <w:rsid w:val="006A6CBD"/>
    <w:rsid w:val="006A6ED9"/>
    <w:rsid w:val="006A7338"/>
    <w:rsid w:val="006A75BB"/>
    <w:rsid w:val="006A75FC"/>
    <w:rsid w:val="006A75FF"/>
    <w:rsid w:val="006A7646"/>
    <w:rsid w:val="006A7D4A"/>
    <w:rsid w:val="006A7E03"/>
    <w:rsid w:val="006A7E8C"/>
    <w:rsid w:val="006B0074"/>
    <w:rsid w:val="006B0089"/>
    <w:rsid w:val="006B01C6"/>
    <w:rsid w:val="006B0C1E"/>
    <w:rsid w:val="006B0C44"/>
    <w:rsid w:val="006B1020"/>
    <w:rsid w:val="006B10B4"/>
    <w:rsid w:val="006B1506"/>
    <w:rsid w:val="006B16B0"/>
    <w:rsid w:val="006B171D"/>
    <w:rsid w:val="006B1AD4"/>
    <w:rsid w:val="006B1AFF"/>
    <w:rsid w:val="006B1B39"/>
    <w:rsid w:val="006B1C01"/>
    <w:rsid w:val="006B1D59"/>
    <w:rsid w:val="006B1F0C"/>
    <w:rsid w:val="006B22ED"/>
    <w:rsid w:val="006B2360"/>
    <w:rsid w:val="006B2528"/>
    <w:rsid w:val="006B25C0"/>
    <w:rsid w:val="006B26C5"/>
    <w:rsid w:val="006B2837"/>
    <w:rsid w:val="006B2991"/>
    <w:rsid w:val="006B2BB9"/>
    <w:rsid w:val="006B2D24"/>
    <w:rsid w:val="006B2E29"/>
    <w:rsid w:val="006B3568"/>
    <w:rsid w:val="006B360E"/>
    <w:rsid w:val="006B369D"/>
    <w:rsid w:val="006B3786"/>
    <w:rsid w:val="006B3995"/>
    <w:rsid w:val="006B39DB"/>
    <w:rsid w:val="006B3C1B"/>
    <w:rsid w:val="006B3C44"/>
    <w:rsid w:val="006B3FCA"/>
    <w:rsid w:val="006B4236"/>
    <w:rsid w:val="006B44ED"/>
    <w:rsid w:val="006B452B"/>
    <w:rsid w:val="006B47C5"/>
    <w:rsid w:val="006B4971"/>
    <w:rsid w:val="006B4A21"/>
    <w:rsid w:val="006B4F62"/>
    <w:rsid w:val="006B504E"/>
    <w:rsid w:val="006B5379"/>
    <w:rsid w:val="006B57B8"/>
    <w:rsid w:val="006B57D0"/>
    <w:rsid w:val="006B5835"/>
    <w:rsid w:val="006B5C3D"/>
    <w:rsid w:val="006B5CCC"/>
    <w:rsid w:val="006B5F3D"/>
    <w:rsid w:val="006B5FF9"/>
    <w:rsid w:val="006B656B"/>
    <w:rsid w:val="006B68E8"/>
    <w:rsid w:val="006B6ACD"/>
    <w:rsid w:val="006B6CE4"/>
    <w:rsid w:val="006B6D88"/>
    <w:rsid w:val="006B732E"/>
    <w:rsid w:val="006B73C2"/>
    <w:rsid w:val="006B74E0"/>
    <w:rsid w:val="006B7726"/>
    <w:rsid w:val="006B77F4"/>
    <w:rsid w:val="006B7B5C"/>
    <w:rsid w:val="006B7DDA"/>
    <w:rsid w:val="006B7E26"/>
    <w:rsid w:val="006C0122"/>
    <w:rsid w:val="006C041D"/>
    <w:rsid w:val="006C04FE"/>
    <w:rsid w:val="006C0522"/>
    <w:rsid w:val="006C065B"/>
    <w:rsid w:val="006C071A"/>
    <w:rsid w:val="006C0BEB"/>
    <w:rsid w:val="006C0E66"/>
    <w:rsid w:val="006C0EE7"/>
    <w:rsid w:val="006C11C7"/>
    <w:rsid w:val="006C130F"/>
    <w:rsid w:val="006C13F9"/>
    <w:rsid w:val="006C180B"/>
    <w:rsid w:val="006C18BC"/>
    <w:rsid w:val="006C1C76"/>
    <w:rsid w:val="006C1DE5"/>
    <w:rsid w:val="006C1DF3"/>
    <w:rsid w:val="006C1F36"/>
    <w:rsid w:val="006C2124"/>
    <w:rsid w:val="006C23EC"/>
    <w:rsid w:val="006C2754"/>
    <w:rsid w:val="006C2925"/>
    <w:rsid w:val="006C2B33"/>
    <w:rsid w:val="006C2ED9"/>
    <w:rsid w:val="006C39F6"/>
    <w:rsid w:val="006C3D95"/>
    <w:rsid w:val="006C3DB4"/>
    <w:rsid w:val="006C3E39"/>
    <w:rsid w:val="006C40AD"/>
    <w:rsid w:val="006C41BF"/>
    <w:rsid w:val="006C4472"/>
    <w:rsid w:val="006C462A"/>
    <w:rsid w:val="006C4B70"/>
    <w:rsid w:val="006C4F65"/>
    <w:rsid w:val="006C54EA"/>
    <w:rsid w:val="006C58FA"/>
    <w:rsid w:val="006C5909"/>
    <w:rsid w:val="006C5922"/>
    <w:rsid w:val="006C5CE7"/>
    <w:rsid w:val="006C5DCF"/>
    <w:rsid w:val="006C5FC2"/>
    <w:rsid w:val="006C6023"/>
    <w:rsid w:val="006C615E"/>
    <w:rsid w:val="006C61EF"/>
    <w:rsid w:val="006C667A"/>
    <w:rsid w:val="006C671B"/>
    <w:rsid w:val="006C67D1"/>
    <w:rsid w:val="006C6A9D"/>
    <w:rsid w:val="006C6D39"/>
    <w:rsid w:val="006C7008"/>
    <w:rsid w:val="006C7171"/>
    <w:rsid w:val="006C71D4"/>
    <w:rsid w:val="006C754E"/>
    <w:rsid w:val="006C778D"/>
    <w:rsid w:val="006C79B7"/>
    <w:rsid w:val="006C79BB"/>
    <w:rsid w:val="006C7AFA"/>
    <w:rsid w:val="006D0127"/>
    <w:rsid w:val="006D055C"/>
    <w:rsid w:val="006D0617"/>
    <w:rsid w:val="006D0620"/>
    <w:rsid w:val="006D079A"/>
    <w:rsid w:val="006D0B5B"/>
    <w:rsid w:val="006D0DF6"/>
    <w:rsid w:val="006D0F81"/>
    <w:rsid w:val="006D0FD7"/>
    <w:rsid w:val="006D1070"/>
    <w:rsid w:val="006D117C"/>
    <w:rsid w:val="006D12EC"/>
    <w:rsid w:val="006D141F"/>
    <w:rsid w:val="006D15C2"/>
    <w:rsid w:val="006D180B"/>
    <w:rsid w:val="006D194C"/>
    <w:rsid w:val="006D1C34"/>
    <w:rsid w:val="006D1D5A"/>
    <w:rsid w:val="006D1DC0"/>
    <w:rsid w:val="006D1E1F"/>
    <w:rsid w:val="006D20FF"/>
    <w:rsid w:val="006D238B"/>
    <w:rsid w:val="006D26E9"/>
    <w:rsid w:val="006D2884"/>
    <w:rsid w:val="006D2987"/>
    <w:rsid w:val="006D298C"/>
    <w:rsid w:val="006D2A71"/>
    <w:rsid w:val="006D2AE6"/>
    <w:rsid w:val="006D2C69"/>
    <w:rsid w:val="006D2C85"/>
    <w:rsid w:val="006D2DEB"/>
    <w:rsid w:val="006D3079"/>
    <w:rsid w:val="006D32A5"/>
    <w:rsid w:val="006D3CE6"/>
    <w:rsid w:val="006D40CB"/>
    <w:rsid w:val="006D42B4"/>
    <w:rsid w:val="006D4A13"/>
    <w:rsid w:val="006D4BAE"/>
    <w:rsid w:val="006D584C"/>
    <w:rsid w:val="006D5AF9"/>
    <w:rsid w:val="006D5BE1"/>
    <w:rsid w:val="006D5E85"/>
    <w:rsid w:val="006D6230"/>
    <w:rsid w:val="006D6404"/>
    <w:rsid w:val="006D67E1"/>
    <w:rsid w:val="006D68FC"/>
    <w:rsid w:val="006D6A53"/>
    <w:rsid w:val="006D6E67"/>
    <w:rsid w:val="006D6E8C"/>
    <w:rsid w:val="006D6EF7"/>
    <w:rsid w:val="006D6F84"/>
    <w:rsid w:val="006D7087"/>
    <w:rsid w:val="006D72C1"/>
    <w:rsid w:val="006D74E0"/>
    <w:rsid w:val="006D74EC"/>
    <w:rsid w:val="006D78CF"/>
    <w:rsid w:val="006D78F8"/>
    <w:rsid w:val="006D79BD"/>
    <w:rsid w:val="006D7A48"/>
    <w:rsid w:val="006D7C38"/>
    <w:rsid w:val="006D7C42"/>
    <w:rsid w:val="006D7E7B"/>
    <w:rsid w:val="006D7F32"/>
    <w:rsid w:val="006E002A"/>
    <w:rsid w:val="006E018D"/>
    <w:rsid w:val="006E0251"/>
    <w:rsid w:val="006E0260"/>
    <w:rsid w:val="006E027C"/>
    <w:rsid w:val="006E04EC"/>
    <w:rsid w:val="006E0625"/>
    <w:rsid w:val="006E077A"/>
    <w:rsid w:val="006E0BFA"/>
    <w:rsid w:val="006E0ED6"/>
    <w:rsid w:val="006E0F34"/>
    <w:rsid w:val="006E13EB"/>
    <w:rsid w:val="006E1494"/>
    <w:rsid w:val="006E14C9"/>
    <w:rsid w:val="006E154F"/>
    <w:rsid w:val="006E1679"/>
    <w:rsid w:val="006E168F"/>
    <w:rsid w:val="006E1BA0"/>
    <w:rsid w:val="006E1D61"/>
    <w:rsid w:val="006E1DA4"/>
    <w:rsid w:val="006E20DF"/>
    <w:rsid w:val="006E23E6"/>
    <w:rsid w:val="006E25DA"/>
    <w:rsid w:val="006E272B"/>
    <w:rsid w:val="006E284C"/>
    <w:rsid w:val="006E28DD"/>
    <w:rsid w:val="006E2A63"/>
    <w:rsid w:val="006E2AD5"/>
    <w:rsid w:val="006E2B02"/>
    <w:rsid w:val="006E2FE4"/>
    <w:rsid w:val="006E3207"/>
    <w:rsid w:val="006E328B"/>
    <w:rsid w:val="006E32B6"/>
    <w:rsid w:val="006E33D6"/>
    <w:rsid w:val="006E344E"/>
    <w:rsid w:val="006E3491"/>
    <w:rsid w:val="006E3935"/>
    <w:rsid w:val="006E39F4"/>
    <w:rsid w:val="006E3A59"/>
    <w:rsid w:val="006E3B65"/>
    <w:rsid w:val="006E3F9C"/>
    <w:rsid w:val="006E409C"/>
    <w:rsid w:val="006E43D5"/>
    <w:rsid w:val="006E444D"/>
    <w:rsid w:val="006E44C2"/>
    <w:rsid w:val="006E44CF"/>
    <w:rsid w:val="006E44E6"/>
    <w:rsid w:val="006E4509"/>
    <w:rsid w:val="006E45AD"/>
    <w:rsid w:val="006E460B"/>
    <w:rsid w:val="006E47EB"/>
    <w:rsid w:val="006E490F"/>
    <w:rsid w:val="006E4A49"/>
    <w:rsid w:val="006E4AA3"/>
    <w:rsid w:val="006E4C8A"/>
    <w:rsid w:val="006E4D00"/>
    <w:rsid w:val="006E4FA6"/>
    <w:rsid w:val="006E4FD8"/>
    <w:rsid w:val="006E5439"/>
    <w:rsid w:val="006E56EF"/>
    <w:rsid w:val="006E59DA"/>
    <w:rsid w:val="006E5B2B"/>
    <w:rsid w:val="006E5F41"/>
    <w:rsid w:val="006E5F92"/>
    <w:rsid w:val="006E60B9"/>
    <w:rsid w:val="006E60E2"/>
    <w:rsid w:val="006E60F9"/>
    <w:rsid w:val="006E6358"/>
    <w:rsid w:val="006E6512"/>
    <w:rsid w:val="006E659C"/>
    <w:rsid w:val="006E6625"/>
    <w:rsid w:val="006E6792"/>
    <w:rsid w:val="006E69A0"/>
    <w:rsid w:val="006E69E8"/>
    <w:rsid w:val="006E6AA7"/>
    <w:rsid w:val="006E6ABC"/>
    <w:rsid w:val="006E6DBC"/>
    <w:rsid w:val="006E6E05"/>
    <w:rsid w:val="006E7081"/>
    <w:rsid w:val="006E71A6"/>
    <w:rsid w:val="006E7356"/>
    <w:rsid w:val="006E75D9"/>
    <w:rsid w:val="006E7665"/>
    <w:rsid w:val="006E774C"/>
    <w:rsid w:val="006E7834"/>
    <w:rsid w:val="006E7A98"/>
    <w:rsid w:val="006E7F47"/>
    <w:rsid w:val="006F00EF"/>
    <w:rsid w:val="006F0220"/>
    <w:rsid w:val="006F025A"/>
    <w:rsid w:val="006F04D4"/>
    <w:rsid w:val="006F0558"/>
    <w:rsid w:val="006F067F"/>
    <w:rsid w:val="006F074F"/>
    <w:rsid w:val="006F097E"/>
    <w:rsid w:val="006F0AE3"/>
    <w:rsid w:val="006F0C19"/>
    <w:rsid w:val="006F0EDE"/>
    <w:rsid w:val="006F1392"/>
    <w:rsid w:val="006F1690"/>
    <w:rsid w:val="006F1BD7"/>
    <w:rsid w:val="006F2217"/>
    <w:rsid w:val="006F230B"/>
    <w:rsid w:val="006F25EF"/>
    <w:rsid w:val="006F27C3"/>
    <w:rsid w:val="006F2928"/>
    <w:rsid w:val="006F2C08"/>
    <w:rsid w:val="006F2FF2"/>
    <w:rsid w:val="006F300A"/>
    <w:rsid w:val="006F32E6"/>
    <w:rsid w:val="006F35D4"/>
    <w:rsid w:val="006F3789"/>
    <w:rsid w:val="006F3BFF"/>
    <w:rsid w:val="006F3C74"/>
    <w:rsid w:val="006F3CC0"/>
    <w:rsid w:val="006F412D"/>
    <w:rsid w:val="006F435D"/>
    <w:rsid w:val="006F4621"/>
    <w:rsid w:val="006F486A"/>
    <w:rsid w:val="006F4910"/>
    <w:rsid w:val="006F4BF6"/>
    <w:rsid w:val="006F4D8C"/>
    <w:rsid w:val="006F4FD3"/>
    <w:rsid w:val="006F4FD6"/>
    <w:rsid w:val="006F5055"/>
    <w:rsid w:val="006F5060"/>
    <w:rsid w:val="006F5066"/>
    <w:rsid w:val="006F5123"/>
    <w:rsid w:val="006F5716"/>
    <w:rsid w:val="006F5726"/>
    <w:rsid w:val="006F5A1A"/>
    <w:rsid w:val="006F5AB6"/>
    <w:rsid w:val="006F5CCA"/>
    <w:rsid w:val="006F5E99"/>
    <w:rsid w:val="006F6072"/>
    <w:rsid w:val="006F6146"/>
    <w:rsid w:val="006F6391"/>
    <w:rsid w:val="006F6407"/>
    <w:rsid w:val="006F64E3"/>
    <w:rsid w:val="006F66F8"/>
    <w:rsid w:val="006F67CF"/>
    <w:rsid w:val="006F67F8"/>
    <w:rsid w:val="006F6CEC"/>
    <w:rsid w:val="006F6D82"/>
    <w:rsid w:val="006F718C"/>
    <w:rsid w:val="006F7702"/>
    <w:rsid w:val="006F79EC"/>
    <w:rsid w:val="006F7A04"/>
    <w:rsid w:val="006F7A38"/>
    <w:rsid w:val="006F7D8F"/>
    <w:rsid w:val="006F7FB3"/>
    <w:rsid w:val="00700124"/>
    <w:rsid w:val="0070012D"/>
    <w:rsid w:val="00700147"/>
    <w:rsid w:val="007002EB"/>
    <w:rsid w:val="00700300"/>
    <w:rsid w:val="00700779"/>
    <w:rsid w:val="0070080A"/>
    <w:rsid w:val="0070091F"/>
    <w:rsid w:val="007009B2"/>
    <w:rsid w:val="00700CC2"/>
    <w:rsid w:val="00700D52"/>
    <w:rsid w:val="00700D64"/>
    <w:rsid w:val="00700F66"/>
    <w:rsid w:val="00700F8E"/>
    <w:rsid w:val="00701161"/>
    <w:rsid w:val="007013CA"/>
    <w:rsid w:val="00701461"/>
    <w:rsid w:val="0070155C"/>
    <w:rsid w:val="00701563"/>
    <w:rsid w:val="007015B6"/>
    <w:rsid w:val="007016DB"/>
    <w:rsid w:val="00701AEF"/>
    <w:rsid w:val="00701BCB"/>
    <w:rsid w:val="00701F22"/>
    <w:rsid w:val="00701FF6"/>
    <w:rsid w:val="0070204F"/>
    <w:rsid w:val="007022DA"/>
    <w:rsid w:val="007023C6"/>
    <w:rsid w:val="007024D1"/>
    <w:rsid w:val="007027CD"/>
    <w:rsid w:val="00702918"/>
    <w:rsid w:val="00702A97"/>
    <w:rsid w:val="00702C77"/>
    <w:rsid w:val="0070314A"/>
    <w:rsid w:val="0070316D"/>
    <w:rsid w:val="007031B8"/>
    <w:rsid w:val="0070321F"/>
    <w:rsid w:val="007032A7"/>
    <w:rsid w:val="00703361"/>
    <w:rsid w:val="00703711"/>
    <w:rsid w:val="00703811"/>
    <w:rsid w:val="00703B38"/>
    <w:rsid w:val="00703C85"/>
    <w:rsid w:val="00703CE6"/>
    <w:rsid w:val="00703E31"/>
    <w:rsid w:val="00703E46"/>
    <w:rsid w:val="00703FCC"/>
    <w:rsid w:val="00704012"/>
    <w:rsid w:val="00704343"/>
    <w:rsid w:val="0070452F"/>
    <w:rsid w:val="0070454B"/>
    <w:rsid w:val="007046EB"/>
    <w:rsid w:val="00704A33"/>
    <w:rsid w:val="00704B06"/>
    <w:rsid w:val="00704C96"/>
    <w:rsid w:val="00704D67"/>
    <w:rsid w:val="007050EA"/>
    <w:rsid w:val="0070528A"/>
    <w:rsid w:val="00705660"/>
    <w:rsid w:val="00705AD8"/>
    <w:rsid w:val="00705C8E"/>
    <w:rsid w:val="00705CE0"/>
    <w:rsid w:val="0070636A"/>
    <w:rsid w:val="00706377"/>
    <w:rsid w:val="007063B8"/>
    <w:rsid w:val="007063D3"/>
    <w:rsid w:val="00706459"/>
    <w:rsid w:val="007066F5"/>
    <w:rsid w:val="00706744"/>
    <w:rsid w:val="00706864"/>
    <w:rsid w:val="00706875"/>
    <w:rsid w:val="0070695A"/>
    <w:rsid w:val="00706B7C"/>
    <w:rsid w:val="00706C76"/>
    <w:rsid w:val="00706CA0"/>
    <w:rsid w:val="00706F36"/>
    <w:rsid w:val="007070C4"/>
    <w:rsid w:val="00707208"/>
    <w:rsid w:val="0070749A"/>
    <w:rsid w:val="0070768F"/>
    <w:rsid w:val="007076B4"/>
    <w:rsid w:val="00707733"/>
    <w:rsid w:val="007078DA"/>
    <w:rsid w:val="00707AF9"/>
    <w:rsid w:val="00707DE9"/>
    <w:rsid w:val="00707E42"/>
    <w:rsid w:val="00707FA8"/>
    <w:rsid w:val="00710406"/>
    <w:rsid w:val="00710487"/>
    <w:rsid w:val="00710595"/>
    <w:rsid w:val="0071065B"/>
    <w:rsid w:val="007106B1"/>
    <w:rsid w:val="0071080F"/>
    <w:rsid w:val="00710C65"/>
    <w:rsid w:val="00710D8F"/>
    <w:rsid w:val="00710D9E"/>
    <w:rsid w:val="007110DB"/>
    <w:rsid w:val="007115E5"/>
    <w:rsid w:val="00711614"/>
    <w:rsid w:val="007116D9"/>
    <w:rsid w:val="007118D1"/>
    <w:rsid w:val="007118EE"/>
    <w:rsid w:val="00711A4A"/>
    <w:rsid w:val="00711B35"/>
    <w:rsid w:val="00711D86"/>
    <w:rsid w:val="007123F9"/>
    <w:rsid w:val="00712555"/>
    <w:rsid w:val="00712557"/>
    <w:rsid w:val="00712719"/>
    <w:rsid w:val="00712767"/>
    <w:rsid w:val="0071283A"/>
    <w:rsid w:val="00712B5C"/>
    <w:rsid w:val="0071300C"/>
    <w:rsid w:val="007131D4"/>
    <w:rsid w:val="00713298"/>
    <w:rsid w:val="007132E4"/>
    <w:rsid w:val="00713585"/>
    <w:rsid w:val="00713951"/>
    <w:rsid w:val="00713A6A"/>
    <w:rsid w:val="00713BD9"/>
    <w:rsid w:val="007140F4"/>
    <w:rsid w:val="007141E8"/>
    <w:rsid w:val="007142B8"/>
    <w:rsid w:val="00714520"/>
    <w:rsid w:val="0071465C"/>
    <w:rsid w:val="00714705"/>
    <w:rsid w:val="0071496C"/>
    <w:rsid w:val="00714AFE"/>
    <w:rsid w:val="00714CE7"/>
    <w:rsid w:val="00714FF8"/>
    <w:rsid w:val="00715073"/>
    <w:rsid w:val="0071537D"/>
    <w:rsid w:val="00715834"/>
    <w:rsid w:val="00715AF9"/>
    <w:rsid w:val="00715C44"/>
    <w:rsid w:val="00715C52"/>
    <w:rsid w:val="0071607E"/>
    <w:rsid w:val="0071613E"/>
    <w:rsid w:val="007163A1"/>
    <w:rsid w:val="007163E3"/>
    <w:rsid w:val="00716854"/>
    <w:rsid w:val="007168A3"/>
    <w:rsid w:val="00716C27"/>
    <w:rsid w:val="00716F2B"/>
    <w:rsid w:val="007170D2"/>
    <w:rsid w:val="00717205"/>
    <w:rsid w:val="007173A2"/>
    <w:rsid w:val="0071744B"/>
    <w:rsid w:val="007174EF"/>
    <w:rsid w:val="0071770D"/>
    <w:rsid w:val="00717C53"/>
    <w:rsid w:val="00717F5A"/>
    <w:rsid w:val="00717F9A"/>
    <w:rsid w:val="00717FAC"/>
    <w:rsid w:val="0072060B"/>
    <w:rsid w:val="00720680"/>
    <w:rsid w:val="0072070D"/>
    <w:rsid w:val="007209EA"/>
    <w:rsid w:val="00720C37"/>
    <w:rsid w:val="00720C6F"/>
    <w:rsid w:val="0072104F"/>
    <w:rsid w:val="00721107"/>
    <w:rsid w:val="00721149"/>
    <w:rsid w:val="00721520"/>
    <w:rsid w:val="00721B6C"/>
    <w:rsid w:val="00721B82"/>
    <w:rsid w:val="00721DE3"/>
    <w:rsid w:val="00722297"/>
    <w:rsid w:val="0072250A"/>
    <w:rsid w:val="0072265A"/>
    <w:rsid w:val="00722739"/>
    <w:rsid w:val="00722B65"/>
    <w:rsid w:val="00722C92"/>
    <w:rsid w:val="00722E8F"/>
    <w:rsid w:val="00722F1C"/>
    <w:rsid w:val="00723196"/>
    <w:rsid w:val="007231DC"/>
    <w:rsid w:val="00723381"/>
    <w:rsid w:val="007233CD"/>
    <w:rsid w:val="007236CD"/>
    <w:rsid w:val="00723930"/>
    <w:rsid w:val="00723C23"/>
    <w:rsid w:val="00723EC1"/>
    <w:rsid w:val="0072417E"/>
    <w:rsid w:val="007241D0"/>
    <w:rsid w:val="00724556"/>
    <w:rsid w:val="00724719"/>
    <w:rsid w:val="007247C4"/>
    <w:rsid w:val="00724832"/>
    <w:rsid w:val="00724A5E"/>
    <w:rsid w:val="00724CA4"/>
    <w:rsid w:val="00724FFC"/>
    <w:rsid w:val="007252A6"/>
    <w:rsid w:val="007253A9"/>
    <w:rsid w:val="00725913"/>
    <w:rsid w:val="0072598B"/>
    <w:rsid w:val="00725BA9"/>
    <w:rsid w:val="00725F2F"/>
    <w:rsid w:val="00725FD5"/>
    <w:rsid w:val="00726162"/>
    <w:rsid w:val="007262B9"/>
    <w:rsid w:val="007263A2"/>
    <w:rsid w:val="0072660C"/>
    <w:rsid w:val="007266A3"/>
    <w:rsid w:val="007266AF"/>
    <w:rsid w:val="007266ED"/>
    <w:rsid w:val="00727003"/>
    <w:rsid w:val="0072701F"/>
    <w:rsid w:val="007270A8"/>
    <w:rsid w:val="0072745D"/>
    <w:rsid w:val="007278BC"/>
    <w:rsid w:val="00727CB8"/>
    <w:rsid w:val="00727D5E"/>
    <w:rsid w:val="00730159"/>
    <w:rsid w:val="007305D7"/>
    <w:rsid w:val="0073082D"/>
    <w:rsid w:val="007309A1"/>
    <w:rsid w:val="00730A01"/>
    <w:rsid w:val="00730D24"/>
    <w:rsid w:val="00730D47"/>
    <w:rsid w:val="00730E23"/>
    <w:rsid w:val="00730F8E"/>
    <w:rsid w:val="00731418"/>
    <w:rsid w:val="00731507"/>
    <w:rsid w:val="007315B2"/>
    <w:rsid w:val="00731D9B"/>
    <w:rsid w:val="00731ED1"/>
    <w:rsid w:val="00731F17"/>
    <w:rsid w:val="0073202B"/>
    <w:rsid w:val="007320BE"/>
    <w:rsid w:val="0073213D"/>
    <w:rsid w:val="007322AB"/>
    <w:rsid w:val="00732422"/>
    <w:rsid w:val="0073251B"/>
    <w:rsid w:val="007327C1"/>
    <w:rsid w:val="00732951"/>
    <w:rsid w:val="00732A44"/>
    <w:rsid w:val="00732AB8"/>
    <w:rsid w:val="00732C18"/>
    <w:rsid w:val="00732C2E"/>
    <w:rsid w:val="00732C95"/>
    <w:rsid w:val="00732DD0"/>
    <w:rsid w:val="00732F42"/>
    <w:rsid w:val="00732FB4"/>
    <w:rsid w:val="00733195"/>
    <w:rsid w:val="007332C8"/>
    <w:rsid w:val="007334DA"/>
    <w:rsid w:val="00733631"/>
    <w:rsid w:val="0073375D"/>
    <w:rsid w:val="00733C10"/>
    <w:rsid w:val="00733C51"/>
    <w:rsid w:val="00734129"/>
    <w:rsid w:val="00734279"/>
    <w:rsid w:val="007343A3"/>
    <w:rsid w:val="00734409"/>
    <w:rsid w:val="0073446B"/>
    <w:rsid w:val="0073450C"/>
    <w:rsid w:val="00734663"/>
    <w:rsid w:val="0073492A"/>
    <w:rsid w:val="00734D61"/>
    <w:rsid w:val="00734E17"/>
    <w:rsid w:val="00734FDC"/>
    <w:rsid w:val="00735173"/>
    <w:rsid w:val="007351D3"/>
    <w:rsid w:val="00735796"/>
    <w:rsid w:val="007358BE"/>
    <w:rsid w:val="0073590D"/>
    <w:rsid w:val="007359BE"/>
    <w:rsid w:val="00735D89"/>
    <w:rsid w:val="00735F80"/>
    <w:rsid w:val="00736278"/>
    <w:rsid w:val="00736450"/>
    <w:rsid w:val="00736469"/>
    <w:rsid w:val="00736695"/>
    <w:rsid w:val="00736805"/>
    <w:rsid w:val="00736C7A"/>
    <w:rsid w:val="00736CD7"/>
    <w:rsid w:val="00736DA9"/>
    <w:rsid w:val="0073738B"/>
    <w:rsid w:val="0073766B"/>
    <w:rsid w:val="00737726"/>
    <w:rsid w:val="007377FC"/>
    <w:rsid w:val="007378FC"/>
    <w:rsid w:val="007379BF"/>
    <w:rsid w:val="00737A44"/>
    <w:rsid w:val="00737A45"/>
    <w:rsid w:val="00737CBE"/>
    <w:rsid w:val="00737EE4"/>
    <w:rsid w:val="00737FB6"/>
    <w:rsid w:val="007400E1"/>
    <w:rsid w:val="00740211"/>
    <w:rsid w:val="00740288"/>
    <w:rsid w:val="00740370"/>
    <w:rsid w:val="007404B1"/>
    <w:rsid w:val="00740508"/>
    <w:rsid w:val="0074051A"/>
    <w:rsid w:val="0074054A"/>
    <w:rsid w:val="00740657"/>
    <w:rsid w:val="0074098C"/>
    <w:rsid w:val="00740ABA"/>
    <w:rsid w:val="00740AD7"/>
    <w:rsid w:val="00740B40"/>
    <w:rsid w:val="00740CB4"/>
    <w:rsid w:val="00740CDC"/>
    <w:rsid w:val="00740CFE"/>
    <w:rsid w:val="00740DA4"/>
    <w:rsid w:val="00740F54"/>
    <w:rsid w:val="00740FEB"/>
    <w:rsid w:val="007418C9"/>
    <w:rsid w:val="00741944"/>
    <w:rsid w:val="00741ABD"/>
    <w:rsid w:val="00741C36"/>
    <w:rsid w:val="00741D9B"/>
    <w:rsid w:val="00741DBC"/>
    <w:rsid w:val="00741F29"/>
    <w:rsid w:val="00741F42"/>
    <w:rsid w:val="0074235C"/>
    <w:rsid w:val="00742827"/>
    <w:rsid w:val="00742A4F"/>
    <w:rsid w:val="00742AC7"/>
    <w:rsid w:val="00742ACB"/>
    <w:rsid w:val="00742C3A"/>
    <w:rsid w:val="00742FA4"/>
    <w:rsid w:val="0074306A"/>
    <w:rsid w:val="007430C8"/>
    <w:rsid w:val="00743160"/>
    <w:rsid w:val="007432F7"/>
    <w:rsid w:val="0074338C"/>
    <w:rsid w:val="00743655"/>
    <w:rsid w:val="00743E38"/>
    <w:rsid w:val="00743FA8"/>
    <w:rsid w:val="00744034"/>
    <w:rsid w:val="00744817"/>
    <w:rsid w:val="007448C2"/>
    <w:rsid w:val="00744906"/>
    <w:rsid w:val="007451D3"/>
    <w:rsid w:val="0074533A"/>
    <w:rsid w:val="00745364"/>
    <w:rsid w:val="0074539A"/>
    <w:rsid w:val="007453E4"/>
    <w:rsid w:val="007454EB"/>
    <w:rsid w:val="007456A3"/>
    <w:rsid w:val="007457B8"/>
    <w:rsid w:val="0074581B"/>
    <w:rsid w:val="00745A29"/>
    <w:rsid w:val="00745D7E"/>
    <w:rsid w:val="00745E1D"/>
    <w:rsid w:val="00745E4F"/>
    <w:rsid w:val="00746324"/>
    <w:rsid w:val="00746478"/>
    <w:rsid w:val="00746559"/>
    <w:rsid w:val="00746574"/>
    <w:rsid w:val="00746779"/>
    <w:rsid w:val="0074683A"/>
    <w:rsid w:val="007469CD"/>
    <w:rsid w:val="00746C4E"/>
    <w:rsid w:val="00746C85"/>
    <w:rsid w:val="00746D39"/>
    <w:rsid w:val="00746D62"/>
    <w:rsid w:val="00746D74"/>
    <w:rsid w:val="00746DFB"/>
    <w:rsid w:val="00747159"/>
    <w:rsid w:val="00747228"/>
    <w:rsid w:val="0074731F"/>
    <w:rsid w:val="00747588"/>
    <w:rsid w:val="0074789C"/>
    <w:rsid w:val="00747B81"/>
    <w:rsid w:val="00747EC0"/>
    <w:rsid w:val="00750124"/>
    <w:rsid w:val="00750163"/>
    <w:rsid w:val="007503A5"/>
    <w:rsid w:val="0075061F"/>
    <w:rsid w:val="0075098E"/>
    <w:rsid w:val="00750CD8"/>
    <w:rsid w:val="00750ED5"/>
    <w:rsid w:val="0075114E"/>
    <w:rsid w:val="0075134E"/>
    <w:rsid w:val="0075136F"/>
    <w:rsid w:val="0075173C"/>
    <w:rsid w:val="007518F5"/>
    <w:rsid w:val="007519F9"/>
    <w:rsid w:val="00751B66"/>
    <w:rsid w:val="00751B71"/>
    <w:rsid w:val="00751D35"/>
    <w:rsid w:val="00751F04"/>
    <w:rsid w:val="0075209B"/>
    <w:rsid w:val="0075215D"/>
    <w:rsid w:val="00752728"/>
    <w:rsid w:val="0075278D"/>
    <w:rsid w:val="007527BF"/>
    <w:rsid w:val="00752848"/>
    <w:rsid w:val="007528A1"/>
    <w:rsid w:val="007528AA"/>
    <w:rsid w:val="00752A10"/>
    <w:rsid w:val="00752BA9"/>
    <w:rsid w:val="00752BF7"/>
    <w:rsid w:val="00752C05"/>
    <w:rsid w:val="00752CBE"/>
    <w:rsid w:val="007531D7"/>
    <w:rsid w:val="007531F3"/>
    <w:rsid w:val="007532D4"/>
    <w:rsid w:val="00753A4B"/>
    <w:rsid w:val="00753A6C"/>
    <w:rsid w:val="00753AB6"/>
    <w:rsid w:val="00753C46"/>
    <w:rsid w:val="0075437F"/>
    <w:rsid w:val="00754702"/>
    <w:rsid w:val="0075472B"/>
    <w:rsid w:val="00754735"/>
    <w:rsid w:val="007548D1"/>
    <w:rsid w:val="00754905"/>
    <w:rsid w:val="0075494C"/>
    <w:rsid w:val="007549BD"/>
    <w:rsid w:val="00754C76"/>
    <w:rsid w:val="00754C8A"/>
    <w:rsid w:val="00754CB5"/>
    <w:rsid w:val="00754D98"/>
    <w:rsid w:val="00754E9A"/>
    <w:rsid w:val="007550C2"/>
    <w:rsid w:val="0075510F"/>
    <w:rsid w:val="0075514F"/>
    <w:rsid w:val="0075516B"/>
    <w:rsid w:val="0075516F"/>
    <w:rsid w:val="00755278"/>
    <w:rsid w:val="007552C7"/>
    <w:rsid w:val="007552E4"/>
    <w:rsid w:val="00755358"/>
    <w:rsid w:val="00755446"/>
    <w:rsid w:val="007555E9"/>
    <w:rsid w:val="00755601"/>
    <w:rsid w:val="007556CC"/>
    <w:rsid w:val="00755747"/>
    <w:rsid w:val="00755795"/>
    <w:rsid w:val="007557F0"/>
    <w:rsid w:val="007558BC"/>
    <w:rsid w:val="007559A3"/>
    <w:rsid w:val="007559F0"/>
    <w:rsid w:val="00755B3D"/>
    <w:rsid w:val="00755B4B"/>
    <w:rsid w:val="00755F24"/>
    <w:rsid w:val="007561B2"/>
    <w:rsid w:val="00756390"/>
    <w:rsid w:val="007565C2"/>
    <w:rsid w:val="00756747"/>
    <w:rsid w:val="007569D8"/>
    <w:rsid w:val="00756A51"/>
    <w:rsid w:val="00756EE7"/>
    <w:rsid w:val="00756F25"/>
    <w:rsid w:val="00756FA0"/>
    <w:rsid w:val="00757062"/>
    <w:rsid w:val="00757133"/>
    <w:rsid w:val="00757138"/>
    <w:rsid w:val="007578F0"/>
    <w:rsid w:val="00757D96"/>
    <w:rsid w:val="007600F3"/>
    <w:rsid w:val="0076010B"/>
    <w:rsid w:val="0076073F"/>
    <w:rsid w:val="007607F3"/>
    <w:rsid w:val="00760C98"/>
    <w:rsid w:val="00760D38"/>
    <w:rsid w:val="00760FB5"/>
    <w:rsid w:val="00761151"/>
    <w:rsid w:val="007611C1"/>
    <w:rsid w:val="0076145E"/>
    <w:rsid w:val="007616B8"/>
    <w:rsid w:val="00761901"/>
    <w:rsid w:val="00761D32"/>
    <w:rsid w:val="00761DB9"/>
    <w:rsid w:val="00761E64"/>
    <w:rsid w:val="00761FE5"/>
    <w:rsid w:val="0076209A"/>
    <w:rsid w:val="007620CC"/>
    <w:rsid w:val="00762193"/>
    <w:rsid w:val="00762238"/>
    <w:rsid w:val="00762332"/>
    <w:rsid w:val="007625DA"/>
    <w:rsid w:val="00762668"/>
    <w:rsid w:val="007627D3"/>
    <w:rsid w:val="007627E2"/>
    <w:rsid w:val="00762B86"/>
    <w:rsid w:val="00762C66"/>
    <w:rsid w:val="00762D1D"/>
    <w:rsid w:val="00762E43"/>
    <w:rsid w:val="00762EC3"/>
    <w:rsid w:val="00762FE9"/>
    <w:rsid w:val="00763BB2"/>
    <w:rsid w:val="00763BB5"/>
    <w:rsid w:val="00763CCF"/>
    <w:rsid w:val="0076420C"/>
    <w:rsid w:val="0076494F"/>
    <w:rsid w:val="00764993"/>
    <w:rsid w:val="00764BC7"/>
    <w:rsid w:val="00764BDE"/>
    <w:rsid w:val="00764DBA"/>
    <w:rsid w:val="00764F85"/>
    <w:rsid w:val="00765488"/>
    <w:rsid w:val="007655FF"/>
    <w:rsid w:val="00765674"/>
    <w:rsid w:val="00765AC2"/>
    <w:rsid w:val="00765C0F"/>
    <w:rsid w:val="00765C9F"/>
    <w:rsid w:val="00765E1B"/>
    <w:rsid w:val="00765E28"/>
    <w:rsid w:val="00765E2C"/>
    <w:rsid w:val="00765ECF"/>
    <w:rsid w:val="00765EF1"/>
    <w:rsid w:val="00765FD9"/>
    <w:rsid w:val="0076626A"/>
    <w:rsid w:val="0076655C"/>
    <w:rsid w:val="0076660A"/>
    <w:rsid w:val="007668F7"/>
    <w:rsid w:val="00766976"/>
    <w:rsid w:val="007669F3"/>
    <w:rsid w:val="00766B7A"/>
    <w:rsid w:val="00766CA4"/>
    <w:rsid w:val="00766F20"/>
    <w:rsid w:val="0076709C"/>
    <w:rsid w:val="007672C1"/>
    <w:rsid w:val="007673AD"/>
    <w:rsid w:val="007675FC"/>
    <w:rsid w:val="00767670"/>
    <w:rsid w:val="00767835"/>
    <w:rsid w:val="00767843"/>
    <w:rsid w:val="007679EE"/>
    <w:rsid w:val="00767E22"/>
    <w:rsid w:val="00767EDE"/>
    <w:rsid w:val="007700F5"/>
    <w:rsid w:val="007701A5"/>
    <w:rsid w:val="007701DE"/>
    <w:rsid w:val="00770AF4"/>
    <w:rsid w:val="00770DE8"/>
    <w:rsid w:val="00770E3C"/>
    <w:rsid w:val="007711D4"/>
    <w:rsid w:val="00771306"/>
    <w:rsid w:val="00771314"/>
    <w:rsid w:val="007713AD"/>
    <w:rsid w:val="007718CD"/>
    <w:rsid w:val="007719DD"/>
    <w:rsid w:val="00771A9A"/>
    <w:rsid w:val="00771AF5"/>
    <w:rsid w:val="00771B89"/>
    <w:rsid w:val="00771EA5"/>
    <w:rsid w:val="00772492"/>
    <w:rsid w:val="00772865"/>
    <w:rsid w:val="00772963"/>
    <w:rsid w:val="00772A6B"/>
    <w:rsid w:val="00772A6E"/>
    <w:rsid w:val="00772A7E"/>
    <w:rsid w:val="00772BDC"/>
    <w:rsid w:val="00772C31"/>
    <w:rsid w:val="00772E39"/>
    <w:rsid w:val="00772E59"/>
    <w:rsid w:val="00772ED1"/>
    <w:rsid w:val="00772EEB"/>
    <w:rsid w:val="00772F41"/>
    <w:rsid w:val="00772F83"/>
    <w:rsid w:val="007730D1"/>
    <w:rsid w:val="0077318B"/>
    <w:rsid w:val="00773249"/>
    <w:rsid w:val="00773923"/>
    <w:rsid w:val="0077393D"/>
    <w:rsid w:val="007739C9"/>
    <w:rsid w:val="00773B1B"/>
    <w:rsid w:val="00773ECE"/>
    <w:rsid w:val="00773EFF"/>
    <w:rsid w:val="00773F52"/>
    <w:rsid w:val="00773F55"/>
    <w:rsid w:val="00774320"/>
    <w:rsid w:val="00774450"/>
    <w:rsid w:val="007749A9"/>
    <w:rsid w:val="00774AD3"/>
    <w:rsid w:val="00774AE0"/>
    <w:rsid w:val="00774C57"/>
    <w:rsid w:val="00774CB5"/>
    <w:rsid w:val="00774F5D"/>
    <w:rsid w:val="00774FA6"/>
    <w:rsid w:val="00774FD2"/>
    <w:rsid w:val="0077511A"/>
    <w:rsid w:val="0077521E"/>
    <w:rsid w:val="007752A7"/>
    <w:rsid w:val="007752E8"/>
    <w:rsid w:val="0077535F"/>
    <w:rsid w:val="0077550E"/>
    <w:rsid w:val="007756C9"/>
    <w:rsid w:val="00775A4C"/>
    <w:rsid w:val="00775C07"/>
    <w:rsid w:val="00775C80"/>
    <w:rsid w:val="00775F00"/>
    <w:rsid w:val="00775F96"/>
    <w:rsid w:val="00776009"/>
    <w:rsid w:val="007760A3"/>
    <w:rsid w:val="0077641E"/>
    <w:rsid w:val="007764FB"/>
    <w:rsid w:val="00776584"/>
    <w:rsid w:val="0077658B"/>
    <w:rsid w:val="007765AA"/>
    <w:rsid w:val="0077662F"/>
    <w:rsid w:val="007766E3"/>
    <w:rsid w:val="00776B71"/>
    <w:rsid w:val="00776CAA"/>
    <w:rsid w:val="00776D01"/>
    <w:rsid w:val="00776E1D"/>
    <w:rsid w:val="00777215"/>
    <w:rsid w:val="007774DF"/>
    <w:rsid w:val="0077754B"/>
    <w:rsid w:val="007775AA"/>
    <w:rsid w:val="00777832"/>
    <w:rsid w:val="00777949"/>
    <w:rsid w:val="0077798B"/>
    <w:rsid w:val="00777C75"/>
    <w:rsid w:val="00777FB5"/>
    <w:rsid w:val="007800F1"/>
    <w:rsid w:val="007804CC"/>
    <w:rsid w:val="0078055A"/>
    <w:rsid w:val="007809AD"/>
    <w:rsid w:val="00780B0C"/>
    <w:rsid w:val="00780E93"/>
    <w:rsid w:val="00780FBC"/>
    <w:rsid w:val="00780FC2"/>
    <w:rsid w:val="007811DF"/>
    <w:rsid w:val="007816EB"/>
    <w:rsid w:val="00781936"/>
    <w:rsid w:val="00781B4D"/>
    <w:rsid w:val="00781B59"/>
    <w:rsid w:val="00781B6C"/>
    <w:rsid w:val="00781E95"/>
    <w:rsid w:val="00781ECA"/>
    <w:rsid w:val="007820A1"/>
    <w:rsid w:val="00782199"/>
    <w:rsid w:val="0078283A"/>
    <w:rsid w:val="00782D8A"/>
    <w:rsid w:val="00782DE2"/>
    <w:rsid w:val="007830E7"/>
    <w:rsid w:val="00783114"/>
    <w:rsid w:val="00783227"/>
    <w:rsid w:val="007832C8"/>
    <w:rsid w:val="0078334D"/>
    <w:rsid w:val="007833B6"/>
    <w:rsid w:val="00783637"/>
    <w:rsid w:val="0078366D"/>
    <w:rsid w:val="00783917"/>
    <w:rsid w:val="00783B66"/>
    <w:rsid w:val="00783C73"/>
    <w:rsid w:val="00783F5A"/>
    <w:rsid w:val="0078400D"/>
    <w:rsid w:val="00784233"/>
    <w:rsid w:val="007843C4"/>
    <w:rsid w:val="007843CD"/>
    <w:rsid w:val="0078496B"/>
    <w:rsid w:val="00784A0C"/>
    <w:rsid w:val="00784B5B"/>
    <w:rsid w:val="00784E24"/>
    <w:rsid w:val="00784E2D"/>
    <w:rsid w:val="00784F3B"/>
    <w:rsid w:val="007851BD"/>
    <w:rsid w:val="00785341"/>
    <w:rsid w:val="00785426"/>
    <w:rsid w:val="007857E6"/>
    <w:rsid w:val="00785D28"/>
    <w:rsid w:val="00785DA6"/>
    <w:rsid w:val="00786131"/>
    <w:rsid w:val="007863BC"/>
    <w:rsid w:val="0078697F"/>
    <w:rsid w:val="00786ADE"/>
    <w:rsid w:val="00786B4E"/>
    <w:rsid w:val="00786CD3"/>
    <w:rsid w:val="00786D10"/>
    <w:rsid w:val="00786EEF"/>
    <w:rsid w:val="00786F3C"/>
    <w:rsid w:val="00786F73"/>
    <w:rsid w:val="0078707F"/>
    <w:rsid w:val="00787228"/>
    <w:rsid w:val="007876A6"/>
    <w:rsid w:val="00787925"/>
    <w:rsid w:val="00787A2F"/>
    <w:rsid w:val="00787B5B"/>
    <w:rsid w:val="00787C10"/>
    <w:rsid w:val="00787DA1"/>
    <w:rsid w:val="00787FC4"/>
    <w:rsid w:val="00790093"/>
    <w:rsid w:val="007900AC"/>
    <w:rsid w:val="007901B3"/>
    <w:rsid w:val="00790783"/>
    <w:rsid w:val="00790922"/>
    <w:rsid w:val="00790F19"/>
    <w:rsid w:val="007913E7"/>
    <w:rsid w:val="007913FD"/>
    <w:rsid w:val="007916CE"/>
    <w:rsid w:val="007917DD"/>
    <w:rsid w:val="00791892"/>
    <w:rsid w:val="00791914"/>
    <w:rsid w:val="0079192D"/>
    <w:rsid w:val="0079193A"/>
    <w:rsid w:val="0079198B"/>
    <w:rsid w:val="00791AAE"/>
    <w:rsid w:val="00791DD7"/>
    <w:rsid w:val="007922E6"/>
    <w:rsid w:val="00792819"/>
    <w:rsid w:val="00792832"/>
    <w:rsid w:val="007928E9"/>
    <w:rsid w:val="00792994"/>
    <w:rsid w:val="00792A87"/>
    <w:rsid w:val="00792CC0"/>
    <w:rsid w:val="00792D09"/>
    <w:rsid w:val="00792ED2"/>
    <w:rsid w:val="00793121"/>
    <w:rsid w:val="00793173"/>
    <w:rsid w:val="00793228"/>
    <w:rsid w:val="007933D4"/>
    <w:rsid w:val="0079377C"/>
    <w:rsid w:val="007937EC"/>
    <w:rsid w:val="007937F0"/>
    <w:rsid w:val="00793897"/>
    <w:rsid w:val="007939A1"/>
    <w:rsid w:val="00793A20"/>
    <w:rsid w:val="00793ACB"/>
    <w:rsid w:val="00793B95"/>
    <w:rsid w:val="00793BEF"/>
    <w:rsid w:val="00793CE7"/>
    <w:rsid w:val="00793CFC"/>
    <w:rsid w:val="00793D4D"/>
    <w:rsid w:val="007944E3"/>
    <w:rsid w:val="007948D5"/>
    <w:rsid w:val="007948D6"/>
    <w:rsid w:val="00794B4E"/>
    <w:rsid w:val="00794C96"/>
    <w:rsid w:val="00794E5E"/>
    <w:rsid w:val="007950EB"/>
    <w:rsid w:val="0079546B"/>
    <w:rsid w:val="00795756"/>
    <w:rsid w:val="00795FB1"/>
    <w:rsid w:val="007960E6"/>
    <w:rsid w:val="0079619B"/>
    <w:rsid w:val="00796448"/>
    <w:rsid w:val="00796563"/>
    <w:rsid w:val="007967B2"/>
    <w:rsid w:val="007968E1"/>
    <w:rsid w:val="0079697B"/>
    <w:rsid w:val="00796A03"/>
    <w:rsid w:val="00796E85"/>
    <w:rsid w:val="00796FD1"/>
    <w:rsid w:val="007970A6"/>
    <w:rsid w:val="007978B4"/>
    <w:rsid w:val="007979FB"/>
    <w:rsid w:val="00797AB4"/>
    <w:rsid w:val="00797CBB"/>
    <w:rsid w:val="00797D40"/>
    <w:rsid w:val="007A0092"/>
    <w:rsid w:val="007A0191"/>
    <w:rsid w:val="007A02EB"/>
    <w:rsid w:val="007A0598"/>
    <w:rsid w:val="007A089B"/>
    <w:rsid w:val="007A0930"/>
    <w:rsid w:val="007A0993"/>
    <w:rsid w:val="007A09DA"/>
    <w:rsid w:val="007A0B1E"/>
    <w:rsid w:val="007A0BD6"/>
    <w:rsid w:val="007A0D94"/>
    <w:rsid w:val="007A1502"/>
    <w:rsid w:val="007A154B"/>
    <w:rsid w:val="007A1657"/>
    <w:rsid w:val="007A1A45"/>
    <w:rsid w:val="007A1E0D"/>
    <w:rsid w:val="007A23BF"/>
    <w:rsid w:val="007A24B2"/>
    <w:rsid w:val="007A24D2"/>
    <w:rsid w:val="007A2685"/>
    <w:rsid w:val="007A2E42"/>
    <w:rsid w:val="007A2F16"/>
    <w:rsid w:val="007A331B"/>
    <w:rsid w:val="007A37EB"/>
    <w:rsid w:val="007A39CB"/>
    <w:rsid w:val="007A3C6D"/>
    <w:rsid w:val="007A3CEF"/>
    <w:rsid w:val="007A3D9F"/>
    <w:rsid w:val="007A3F1B"/>
    <w:rsid w:val="007A4085"/>
    <w:rsid w:val="007A4591"/>
    <w:rsid w:val="007A45BC"/>
    <w:rsid w:val="007A4C2D"/>
    <w:rsid w:val="007A4CAA"/>
    <w:rsid w:val="007A4D05"/>
    <w:rsid w:val="007A52CA"/>
    <w:rsid w:val="007A5430"/>
    <w:rsid w:val="007A563E"/>
    <w:rsid w:val="007A57F3"/>
    <w:rsid w:val="007A5835"/>
    <w:rsid w:val="007A5882"/>
    <w:rsid w:val="007A5D0F"/>
    <w:rsid w:val="007A5EEF"/>
    <w:rsid w:val="007A6309"/>
    <w:rsid w:val="007A662A"/>
    <w:rsid w:val="007A67C6"/>
    <w:rsid w:val="007A6AC1"/>
    <w:rsid w:val="007A6ACD"/>
    <w:rsid w:val="007A6B4A"/>
    <w:rsid w:val="007A70FD"/>
    <w:rsid w:val="007A75CC"/>
    <w:rsid w:val="007A762E"/>
    <w:rsid w:val="007A7656"/>
    <w:rsid w:val="007A794B"/>
    <w:rsid w:val="007A7DE6"/>
    <w:rsid w:val="007B0019"/>
    <w:rsid w:val="007B0027"/>
    <w:rsid w:val="007B0268"/>
    <w:rsid w:val="007B02FC"/>
    <w:rsid w:val="007B03FF"/>
    <w:rsid w:val="007B0555"/>
    <w:rsid w:val="007B08FB"/>
    <w:rsid w:val="007B0A87"/>
    <w:rsid w:val="007B0BEA"/>
    <w:rsid w:val="007B0C72"/>
    <w:rsid w:val="007B0FB4"/>
    <w:rsid w:val="007B11A5"/>
    <w:rsid w:val="007B11E0"/>
    <w:rsid w:val="007B1580"/>
    <w:rsid w:val="007B161B"/>
    <w:rsid w:val="007B1710"/>
    <w:rsid w:val="007B197F"/>
    <w:rsid w:val="007B19F5"/>
    <w:rsid w:val="007B1A2E"/>
    <w:rsid w:val="007B1A60"/>
    <w:rsid w:val="007B1C11"/>
    <w:rsid w:val="007B1C72"/>
    <w:rsid w:val="007B1D07"/>
    <w:rsid w:val="007B1DFF"/>
    <w:rsid w:val="007B206E"/>
    <w:rsid w:val="007B207D"/>
    <w:rsid w:val="007B20DA"/>
    <w:rsid w:val="007B21B9"/>
    <w:rsid w:val="007B2267"/>
    <w:rsid w:val="007B23B8"/>
    <w:rsid w:val="007B2536"/>
    <w:rsid w:val="007B25E0"/>
    <w:rsid w:val="007B25E7"/>
    <w:rsid w:val="007B26CC"/>
    <w:rsid w:val="007B27B2"/>
    <w:rsid w:val="007B2911"/>
    <w:rsid w:val="007B29D9"/>
    <w:rsid w:val="007B2AE7"/>
    <w:rsid w:val="007B2AF3"/>
    <w:rsid w:val="007B2CA3"/>
    <w:rsid w:val="007B2DBB"/>
    <w:rsid w:val="007B3529"/>
    <w:rsid w:val="007B3916"/>
    <w:rsid w:val="007B3C1E"/>
    <w:rsid w:val="007B3C27"/>
    <w:rsid w:val="007B3E46"/>
    <w:rsid w:val="007B3F99"/>
    <w:rsid w:val="007B44AB"/>
    <w:rsid w:val="007B46B1"/>
    <w:rsid w:val="007B475C"/>
    <w:rsid w:val="007B4B5E"/>
    <w:rsid w:val="007B4BF5"/>
    <w:rsid w:val="007B4CAC"/>
    <w:rsid w:val="007B5220"/>
    <w:rsid w:val="007B549A"/>
    <w:rsid w:val="007B553E"/>
    <w:rsid w:val="007B55FC"/>
    <w:rsid w:val="007B5637"/>
    <w:rsid w:val="007B5732"/>
    <w:rsid w:val="007B5747"/>
    <w:rsid w:val="007B5A41"/>
    <w:rsid w:val="007B5F87"/>
    <w:rsid w:val="007B60E7"/>
    <w:rsid w:val="007B61A3"/>
    <w:rsid w:val="007B61C6"/>
    <w:rsid w:val="007B639F"/>
    <w:rsid w:val="007B63ED"/>
    <w:rsid w:val="007B69B2"/>
    <w:rsid w:val="007B6A75"/>
    <w:rsid w:val="007B6B80"/>
    <w:rsid w:val="007B6C61"/>
    <w:rsid w:val="007B6FF6"/>
    <w:rsid w:val="007B711E"/>
    <w:rsid w:val="007B73DE"/>
    <w:rsid w:val="007B765E"/>
    <w:rsid w:val="007B7808"/>
    <w:rsid w:val="007B78D1"/>
    <w:rsid w:val="007B7AD2"/>
    <w:rsid w:val="007B7D12"/>
    <w:rsid w:val="007B7D8D"/>
    <w:rsid w:val="007B7EFB"/>
    <w:rsid w:val="007B7FB7"/>
    <w:rsid w:val="007C00DB"/>
    <w:rsid w:val="007C00E5"/>
    <w:rsid w:val="007C0142"/>
    <w:rsid w:val="007C0279"/>
    <w:rsid w:val="007C036C"/>
    <w:rsid w:val="007C0798"/>
    <w:rsid w:val="007C0814"/>
    <w:rsid w:val="007C0880"/>
    <w:rsid w:val="007C09E6"/>
    <w:rsid w:val="007C1070"/>
    <w:rsid w:val="007C1102"/>
    <w:rsid w:val="007C1334"/>
    <w:rsid w:val="007C135B"/>
    <w:rsid w:val="007C1487"/>
    <w:rsid w:val="007C16A0"/>
    <w:rsid w:val="007C170B"/>
    <w:rsid w:val="007C181D"/>
    <w:rsid w:val="007C196F"/>
    <w:rsid w:val="007C1BD8"/>
    <w:rsid w:val="007C1CE5"/>
    <w:rsid w:val="007C1D4D"/>
    <w:rsid w:val="007C1F07"/>
    <w:rsid w:val="007C205A"/>
    <w:rsid w:val="007C2146"/>
    <w:rsid w:val="007C21B3"/>
    <w:rsid w:val="007C294C"/>
    <w:rsid w:val="007C297F"/>
    <w:rsid w:val="007C2989"/>
    <w:rsid w:val="007C2A2B"/>
    <w:rsid w:val="007C2ADB"/>
    <w:rsid w:val="007C2C4E"/>
    <w:rsid w:val="007C2CE8"/>
    <w:rsid w:val="007C2D68"/>
    <w:rsid w:val="007C2E91"/>
    <w:rsid w:val="007C3029"/>
    <w:rsid w:val="007C3200"/>
    <w:rsid w:val="007C3380"/>
    <w:rsid w:val="007C33EA"/>
    <w:rsid w:val="007C35C8"/>
    <w:rsid w:val="007C36C8"/>
    <w:rsid w:val="007C4281"/>
    <w:rsid w:val="007C43BD"/>
    <w:rsid w:val="007C4460"/>
    <w:rsid w:val="007C478B"/>
    <w:rsid w:val="007C4D7F"/>
    <w:rsid w:val="007C4D9F"/>
    <w:rsid w:val="007C5000"/>
    <w:rsid w:val="007C501D"/>
    <w:rsid w:val="007C512B"/>
    <w:rsid w:val="007C517F"/>
    <w:rsid w:val="007C5337"/>
    <w:rsid w:val="007C55A1"/>
    <w:rsid w:val="007C56C8"/>
    <w:rsid w:val="007C57AD"/>
    <w:rsid w:val="007C57DE"/>
    <w:rsid w:val="007C591A"/>
    <w:rsid w:val="007C5F0B"/>
    <w:rsid w:val="007C6131"/>
    <w:rsid w:val="007C6149"/>
    <w:rsid w:val="007C6354"/>
    <w:rsid w:val="007C64A7"/>
    <w:rsid w:val="007C65C4"/>
    <w:rsid w:val="007C65D8"/>
    <w:rsid w:val="007C6639"/>
    <w:rsid w:val="007C6663"/>
    <w:rsid w:val="007C6800"/>
    <w:rsid w:val="007C68F2"/>
    <w:rsid w:val="007C69B9"/>
    <w:rsid w:val="007C6A95"/>
    <w:rsid w:val="007C6CCF"/>
    <w:rsid w:val="007C6E18"/>
    <w:rsid w:val="007C6FC2"/>
    <w:rsid w:val="007C70E0"/>
    <w:rsid w:val="007C731F"/>
    <w:rsid w:val="007C758C"/>
    <w:rsid w:val="007C7681"/>
    <w:rsid w:val="007C7A1E"/>
    <w:rsid w:val="007C7A3D"/>
    <w:rsid w:val="007C7DDF"/>
    <w:rsid w:val="007C7E34"/>
    <w:rsid w:val="007D0077"/>
    <w:rsid w:val="007D0115"/>
    <w:rsid w:val="007D055C"/>
    <w:rsid w:val="007D06B9"/>
    <w:rsid w:val="007D07CD"/>
    <w:rsid w:val="007D0DA1"/>
    <w:rsid w:val="007D0DF8"/>
    <w:rsid w:val="007D0E74"/>
    <w:rsid w:val="007D0EBE"/>
    <w:rsid w:val="007D12C6"/>
    <w:rsid w:val="007D12D8"/>
    <w:rsid w:val="007D13C8"/>
    <w:rsid w:val="007D1900"/>
    <w:rsid w:val="007D190A"/>
    <w:rsid w:val="007D1B24"/>
    <w:rsid w:val="007D1BB3"/>
    <w:rsid w:val="007D1DDC"/>
    <w:rsid w:val="007D1F17"/>
    <w:rsid w:val="007D225C"/>
    <w:rsid w:val="007D26A0"/>
    <w:rsid w:val="007D2778"/>
    <w:rsid w:val="007D2904"/>
    <w:rsid w:val="007D299E"/>
    <w:rsid w:val="007D2B7D"/>
    <w:rsid w:val="007D2CA4"/>
    <w:rsid w:val="007D2DA1"/>
    <w:rsid w:val="007D2EF5"/>
    <w:rsid w:val="007D3079"/>
    <w:rsid w:val="007D3082"/>
    <w:rsid w:val="007D337A"/>
    <w:rsid w:val="007D357F"/>
    <w:rsid w:val="007D360E"/>
    <w:rsid w:val="007D36A0"/>
    <w:rsid w:val="007D373F"/>
    <w:rsid w:val="007D3840"/>
    <w:rsid w:val="007D3903"/>
    <w:rsid w:val="007D3B26"/>
    <w:rsid w:val="007D3C2C"/>
    <w:rsid w:val="007D3C9D"/>
    <w:rsid w:val="007D3EA1"/>
    <w:rsid w:val="007D3F54"/>
    <w:rsid w:val="007D4119"/>
    <w:rsid w:val="007D41F0"/>
    <w:rsid w:val="007D4549"/>
    <w:rsid w:val="007D45B7"/>
    <w:rsid w:val="007D4B1D"/>
    <w:rsid w:val="007D4B76"/>
    <w:rsid w:val="007D4BAA"/>
    <w:rsid w:val="007D4C9C"/>
    <w:rsid w:val="007D4CD2"/>
    <w:rsid w:val="007D4D3B"/>
    <w:rsid w:val="007D4D47"/>
    <w:rsid w:val="007D4F8A"/>
    <w:rsid w:val="007D51F8"/>
    <w:rsid w:val="007D52E7"/>
    <w:rsid w:val="007D53E1"/>
    <w:rsid w:val="007D54EE"/>
    <w:rsid w:val="007D57A7"/>
    <w:rsid w:val="007D5CE0"/>
    <w:rsid w:val="007D6288"/>
    <w:rsid w:val="007D640D"/>
    <w:rsid w:val="007D6440"/>
    <w:rsid w:val="007D64D1"/>
    <w:rsid w:val="007D65F5"/>
    <w:rsid w:val="007D6616"/>
    <w:rsid w:val="007D6B9F"/>
    <w:rsid w:val="007D7150"/>
    <w:rsid w:val="007D716C"/>
    <w:rsid w:val="007D71EC"/>
    <w:rsid w:val="007D72E0"/>
    <w:rsid w:val="007D7368"/>
    <w:rsid w:val="007D775D"/>
    <w:rsid w:val="007D77D9"/>
    <w:rsid w:val="007D7D92"/>
    <w:rsid w:val="007E0000"/>
    <w:rsid w:val="007E013D"/>
    <w:rsid w:val="007E01A1"/>
    <w:rsid w:val="007E028E"/>
    <w:rsid w:val="007E0435"/>
    <w:rsid w:val="007E0655"/>
    <w:rsid w:val="007E095D"/>
    <w:rsid w:val="007E0CC6"/>
    <w:rsid w:val="007E0CE1"/>
    <w:rsid w:val="007E10CF"/>
    <w:rsid w:val="007E10F0"/>
    <w:rsid w:val="007E1185"/>
    <w:rsid w:val="007E151A"/>
    <w:rsid w:val="007E1582"/>
    <w:rsid w:val="007E182F"/>
    <w:rsid w:val="007E206F"/>
    <w:rsid w:val="007E211A"/>
    <w:rsid w:val="007E226F"/>
    <w:rsid w:val="007E2344"/>
    <w:rsid w:val="007E2468"/>
    <w:rsid w:val="007E24D4"/>
    <w:rsid w:val="007E25DB"/>
    <w:rsid w:val="007E25FF"/>
    <w:rsid w:val="007E27E4"/>
    <w:rsid w:val="007E2920"/>
    <w:rsid w:val="007E2BBA"/>
    <w:rsid w:val="007E2E03"/>
    <w:rsid w:val="007E2E73"/>
    <w:rsid w:val="007E3522"/>
    <w:rsid w:val="007E3551"/>
    <w:rsid w:val="007E3664"/>
    <w:rsid w:val="007E3673"/>
    <w:rsid w:val="007E378F"/>
    <w:rsid w:val="007E38FA"/>
    <w:rsid w:val="007E3A12"/>
    <w:rsid w:val="007E3B48"/>
    <w:rsid w:val="007E3E28"/>
    <w:rsid w:val="007E3F15"/>
    <w:rsid w:val="007E3F96"/>
    <w:rsid w:val="007E4179"/>
    <w:rsid w:val="007E4486"/>
    <w:rsid w:val="007E47B8"/>
    <w:rsid w:val="007E48B3"/>
    <w:rsid w:val="007E494C"/>
    <w:rsid w:val="007E4DE7"/>
    <w:rsid w:val="007E5139"/>
    <w:rsid w:val="007E51A7"/>
    <w:rsid w:val="007E552D"/>
    <w:rsid w:val="007E58EA"/>
    <w:rsid w:val="007E5BF3"/>
    <w:rsid w:val="007E5C38"/>
    <w:rsid w:val="007E5E13"/>
    <w:rsid w:val="007E5FC9"/>
    <w:rsid w:val="007E6139"/>
    <w:rsid w:val="007E61FE"/>
    <w:rsid w:val="007E631C"/>
    <w:rsid w:val="007E6585"/>
    <w:rsid w:val="007E674F"/>
    <w:rsid w:val="007E698B"/>
    <w:rsid w:val="007E6995"/>
    <w:rsid w:val="007E69A6"/>
    <w:rsid w:val="007E69AE"/>
    <w:rsid w:val="007E6BE1"/>
    <w:rsid w:val="007E6F0E"/>
    <w:rsid w:val="007E702C"/>
    <w:rsid w:val="007E7064"/>
    <w:rsid w:val="007E7310"/>
    <w:rsid w:val="007E7C23"/>
    <w:rsid w:val="007F013F"/>
    <w:rsid w:val="007F02E0"/>
    <w:rsid w:val="007F02F5"/>
    <w:rsid w:val="007F0319"/>
    <w:rsid w:val="007F075D"/>
    <w:rsid w:val="007F0775"/>
    <w:rsid w:val="007F0AAD"/>
    <w:rsid w:val="007F0AD6"/>
    <w:rsid w:val="007F0D03"/>
    <w:rsid w:val="007F0F57"/>
    <w:rsid w:val="007F17D9"/>
    <w:rsid w:val="007F1850"/>
    <w:rsid w:val="007F19B5"/>
    <w:rsid w:val="007F1B95"/>
    <w:rsid w:val="007F1FC7"/>
    <w:rsid w:val="007F2528"/>
    <w:rsid w:val="007F2D25"/>
    <w:rsid w:val="007F2E20"/>
    <w:rsid w:val="007F2F87"/>
    <w:rsid w:val="007F2FF3"/>
    <w:rsid w:val="007F3448"/>
    <w:rsid w:val="007F353B"/>
    <w:rsid w:val="007F35C1"/>
    <w:rsid w:val="007F35E0"/>
    <w:rsid w:val="007F35EB"/>
    <w:rsid w:val="007F3675"/>
    <w:rsid w:val="007F3B13"/>
    <w:rsid w:val="007F40BF"/>
    <w:rsid w:val="007F411B"/>
    <w:rsid w:val="007F411F"/>
    <w:rsid w:val="007F415C"/>
    <w:rsid w:val="007F41AE"/>
    <w:rsid w:val="007F45A4"/>
    <w:rsid w:val="007F45DB"/>
    <w:rsid w:val="007F475F"/>
    <w:rsid w:val="007F482D"/>
    <w:rsid w:val="007F4903"/>
    <w:rsid w:val="007F4A22"/>
    <w:rsid w:val="007F4B58"/>
    <w:rsid w:val="007F4DB6"/>
    <w:rsid w:val="007F4E87"/>
    <w:rsid w:val="007F51C6"/>
    <w:rsid w:val="007F54A4"/>
    <w:rsid w:val="007F5D2C"/>
    <w:rsid w:val="007F65CF"/>
    <w:rsid w:val="007F69BD"/>
    <w:rsid w:val="007F6E45"/>
    <w:rsid w:val="007F721E"/>
    <w:rsid w:val="007F7274"/>
    <w:rsid w:val="007F7419"/>
    <w:rsid w:val="007F74BA"/>
    <w:rsid w:val="007F7537"/>
    <w:rsid w:val="007F76E5"/>
    <w:rsid w:val="007F7E30"/>
    <w:rsid w:val="007FB765"/>
    <w:rsid w:val="00800041"/>
    <w:rsid w:val="0080008A"/>
    <w:rsid w:val="008000E8"/>
    <w:rsid w:val="008002C8"/>
    <w:rsid w:val="008002C9"/>
    <w:rsid w:val="00800404"/>
    <w:rsid w:val="008006D9"/>
    <w:rsid w:val="00800A07"/>
    <w:rsid w:val="00800A4B"/>
    <w:rsid w:val="00800B1B"/>
    <w:rsid w:val="00800B91"/>
    <w:rsid w:val="00800CC3"/>
    <w:rsid w:val="00800E0A"/>
    <w:rsid w:val="00800E51"/>
    <w:rsid w:val="00800F1A"/>
    <w:rsid w:val="00800F84"/>
    <w:rsid w:val="00801056"/>
    <w:rsid w:val="008010E8"/>
    <w:rsid w:val="00801121"/>
    <w:rsid w:val="0080123D"/>
    <w:rsid w:val="00801334"/>
    <w:rsid w:val="008013B0"/>
    <w:rsid w:val="008014E6"/>
    <w:rsid w:val="00801738"/>
    <w:rsid w:val="00801740"/>
    <w:rsid w:val="00801892"/>
    <w:rsid w:val="0080199B"/>
    <w:rsid w:val="008019B4"/>
    <w:rsid w:val="00801A73"/>
    <w:rsid w:val="00801BB3"/>
    <w:rsid w:val="00801CF6"/>
    <w:rsid w:val="00801E15"/>
    <w:rsid w:val="0080217B"/>
    <w:rsid w:val="008025E9"/>
    <w:rsid w:val="00802932"/>
    <w:rsid w:val="00802AB9"/>
    <w:rsid w:val="00802D19"/>
    <w:rsid w:val="00802F6D"/>
    <w:rsid w:val="00803141"/>
    <w:rsid w:val="008031CB"/>
    <w:rsid w:val="008033EB"/>
    <w:rsid w:val="00803538"/>
    <w:rsid w:val="00803977"/>
    <w:rsid w:val="00803EDD"/>
    <w:rsid w:val="0080417C"/>
    <w:rsid w:val="00804193"/>
    <w:rsid w:val="008042AA"/>
    <w:rsid w:val="0080439D"/>
    <w:rsid w:val="0080460F"/>
    <w:rsid w:val="00804643"/>
    <w:rsid w:val="00804961"/>
    <w:rsid w:val="0080498B"/>
    <w:rsid w:val="00804B58"/>
    <w:rsid w:val="0080521D"/>
    <w:rsid w:val="0080521F"/>
    <w:rsid w:val="00805327"/>
    <w:rsid w:val="00805429"/>
    <w:rsid w:val="008054D8"/>
    <w:rsid w:val="00805524"/>
    <w:rsid w:val="008058D2"/>
    <w:rsid w:val="00805918"/>
    <w:rsid w:val="008059AC"/>
    <w:rsid w:val="00805AB0"/>
    <w:rsid w:val="00805B87"/>
    <w:rsid w:val="00805C48"/>
    <w:rsid w:val="00805D3D"/>
    <w:rsid w:val="00805D7C"/>
    <w:rsid w:val="00805F8F"/>
    <w:rsid w:val="00806004"/>
    <w:rsid w:val="00806648"/>
    <w:rsid w:val="00806D02"/>
    <w:rsid w:val="00806D08"/>
    <w:rsid w:val="00806D3C"/>
    <w:rsid w:val="00806D3D"/>
    <w:rsid w:val="00806E52"/>
    <w:rsid w:val="00807363"/>
    <w:rsid w:val="00807464"/>
    <w:rsid w:val="0080760E"/>
    <w:rsid w:val="00807784"/>
    <w:rsid w:val="00807885"/>
    <w:rsid w:val="00807FBF"/>
    <w:rsid w:val="00810437"/>
    <w:rsid w:val="00810516"/>
    <w:rsid w:val="008107BF"/>
    <w:rsid w:val="00810D52"/>
    <w:rsid w:val="00810DD3"/>
    <w:rsid w:val="0081145F"/>
    <w:rsid w:val="00811518"/>
    <w:rsid w:val="008115C0"/>
    <w:rsid w:val="008116B6"/>
    <w:rsid w:val="008119D9"/>
    <w:rsid w:val="00811DE2"/>
    <w:rsid w:val="00811EB1"/>
    <w:rsid w:val="00812192"/>
    <w:rsid w:val="008121B3"/>
    <w:rsid w:val="008122A9"/>
    <w:rsid w:val="00812422"/>
    <w:rsid w:val="008124CC"/>
    <w:rsid w:val="00812514"/>
    <w:rsid w:val="00812ABF"/>
    <w:rsid w:val="00812ECD"/>
    <w:rsid w:val="008130DF"/>
    <w:rsid w:val="0081319C"/>
    <w:rsid w:val="008133E5"/>
    <w:rsid w:val="0081352E"/>
    <w:rsid w:val="00813989"/>
    <w:rsid w:val="00813B54"/>
    <w:rsid w:val="00813B6F"/>
    <w:rsid w:val="00813C33"/>
    <w:rsid w:val="00813DBE"/>
    <w:rsid w:val="00814068"/>
    <w:rsid w:val="008140BE"/>
    <w:rsid w:val="008142DB"/>
    <w:rsid w:val="008144F3"/>
    <w:rsid w:val="00814577"/>
    <w:rsid w:val="0081481D"/>
    <w:rsid w:val="00814B21"/>
    <w:rsid w:val="00814CFF"/>
    <w:rsid w:val="00814D60"/>
    <w:rsid w:val="00814F09"/>
    <w:rsid w:val="008154D2"/>
    <w:rsid w:val="008155F0"/>
    <w:rsid w:val="008157B7"/>
    <w:rsid w:val="0081584F"/>
    <w:rsid w:val="0081589E"/>
    <w:rsid w:val="00815A69"/>
    <w:rsid w:val="00815B04"/>
    <w:rsid w:val="00815BC4"/>
    <w:rsid w:val="00815C5E"/>
    <w:rsid w:val="00815E2C"/>
    <w:rsid w:val="00816059"/>
    <w:rsid w:val="00816092"/>
    <w:rsid w:val="0081617B"/>
    <w:rsid w:val="008161C2"/>
    <w:rsid w:val="00816243"/>
    <w:rsid w:val="0081633D"/>
    <w:rsid w:val="008164BE"/>
    <w:rsid w:val="008165EB"/>
    <w:rsid w:val="00816777"/>
    <w:rsid w:val="008168AA"/>
    <w:rsid w:val="008169C6"/>
    <w:rsid w:val="00816C0B"/>
    <w:rsid w:val="00816F94"/>
    <w:rsid w:val="00816FF6"/>
    <w:rsid w:val="008173C3"/>
    <w:rsid w:val="00817C3C"/>
    <w:rsid w:val="00817E35"/>
    <w:rsid w:val="00817EB5"/>
    <w:rsid w:val="0081EEB8"/>
    <w:rsid w:val="0082004E"/>
    <w:rsid w:val="008200A1"/>
    <w:rsid w:val="00820131"/>
    <w:rsid w:val="00820164"/>
    <w:rsid w:val="0082026D"/>
    <w:rsid w:val="0082036E"/>
    <w:rsid w:val="00820485"/>
    <w:rsid w:val="008204E5"/>
    <w:rsid w:val="0082054B"/>
    <w:rsid w:val="008205FD"/>
    <w:rsid w:val="00820C89"/>
    <w:rsid w:val="00820CB5"/>
    <w:rsid w:val="00820E5B"/>
    <w:rsid w:val="00820F9C"/>
    <w:rsid w:val="0082100C"/>
    <w:rsid w:val="00821251"/>
    <w:rsid w:val="00821344"/>
    <w:rsid w:val="008213D9"/>
    <w:rsid w:val="00821472"/>
    <w:rsid w:val="008218C4"/>
    <w:rsid w:val="008219F1"/>
    <w:rsid w:val="00821A65"/>
    <w:rsid w:val="00821CB9"/>
    <w:rsid w:val="00821CD0"/>
    <w:rsid w:val="00821E97"/>
    <w:rsid w:val="008223FF"/>
    <w:rsid w:val="008227AE"/>
    <w:rsid w:val="00822D1C"/>
    <w:rsid w:val="00822E7D"/>
    <w:rsid w:val="0082304F"/>
    <w:rsid w:val="00823175"/>
    <w:rsid w:val="00823246"/>
    <w:rsid w:val="0082369C"/>
    <w:rsid w:val="0082384F"/>
    <w:rsid w:val="00823C02"/>
    <w:rsid w:val="00823D19"/>
    <w:rsid w:val="00823FCF"/>
    <w:rsid w:val="0082433A"/>
    <w:rsid w:val="00824573"/>
    <w:rsid w:val="00824593"/>
    <w:rsid w:val="008249DE"/>
    <w:rsid w:val="00824A94"/>
    <w:rsid w:val="00824C3D"/>
    <w:rsid w:val="00824F7A"/>
    <w:rsid w:val="00824F9E"/>
    <w:rsid w:val="0082514F"/>
    <w:rsid w:val="008252D8"/>
    <w:rsid w:val="008253FE"/>
    <w:rsid w:val="00825430"/>
    <w:rsid w:val="00825504"/>
    <w:rsid w:val="0082552F"/>
    <w:rsid w:val="0082558F"/>
    <w:rsid w:val="008255DC"/>
    <w:rsid w:val="0082561A"/>
    <w:rsid w:val="00825963"/>
    <w:rsid w:val="008259BD"/>
    <w:rsid w:val="00825F55"/>
    <w:rsid w:val="00825FCB"/>
    <w:rsid w:val="008263E3"/>
    <w:rsid w:val="0082644D"/>
    <w:rsid w:val="00826689"/>
    <w:rsid w:val="00826696"/>
    <w:rsid w:val="0082674F"/>
    <w:rsid w:val="00826AD7"/>
    <w:rsid w:val="00826B73"/>
    <w:rsid w:val="00826EB9"/>
    <w:rsid w:val="00826EC3"/>
    <w:rsid w:val="00826F04"/>
    <w:rsid w:val="00827197"/>
    <w:rsid w:val="00827477"/>
    <w:rsid w:val="008278C5"/>
    <w:rsid w:val="008279A3"/>
    <w:rsid w:val="00827DA7"/>
    <w:rsid w:val="008301B7"/>
    <w:rsid w:val="008303D8"/>
    <w:rsid w:val="00830537"/>
    <w:rsid w:val="008306CC"/>
    <w:rsid w:val="00830950"/>
    <w:rsid w:val="008309E6"/>
    <w:rsid w:val="00830D00"/>
    <w:rsid w:val="00830E44"/>
    <w:rsid w:val="00830F5A"/>
    <w:rsid w:val="008315DA"/>
    <w:rsid w:val="008316CB"/>
    <w:rsid w:val="008318A9"/>
    <w:rsid w:val="008319BE"/>
    <w:rsid w:val="00831A1E"/>
    <w:rsid w:val="00831D68"/>
    <w:rsid w:val="00831E05"/>
    <w:rsid w:val="00831FEA"/>
    <w:rsid w:val="008320EC"/>
    <w:rsid w:val="008321F1"/>
    <w:rsid w:val="008322D8"/>
    <w:rsid w:val="00832479"/>
    <w:rsid w:val="00832819"/>
    <w:rsid w:val="00832A6D"/>
    <w:rsid w:val="00832AA1"/>
    <w:rsid w:val="00832D1E"/>
    <w:rsid w:val="00832D68"/>
    <w:rsid w:val="008331BD"/>
    <w:rsid w:val="008331E6"/>
    <w:rsid w:val="00833590"/>
    <w:rsid w:val="00833B0F"/>
    <w:rsid w:val="00833BB9"/>
    <w:rsid w:val="00833BE9"/>
    <w:rsid w:val="0083435A"/>
    <w:rsid w:val="00834640"/>
    <w:rsid w:val="0083490B"/>
    <w:rsid w:val="00834943"/>
    <w:rsid w:val="00834A78"/>
    <w:rsid w:val="00834B00"/>
    <w:rsid w:val="00834D1F"/>
    <w:rsid w:val="00834D40"/>
    <w:rsid w:val="00834DA4"/>
    <w:rsid w:val="00834DB3"/>
    <w:rsid w:val="00835737"/>
    <w:rsid w:val="008359AD"/>
    <w:rsid w:val="00835B98"/>
    <w:rsid w:val="00835BD1"/>
    <w:rsid w:val="00835D48"/>
    <w:rsid w:val="00835DDF"/>
    <w:rsid w:val="00835F25"/>
    <w:rsid w:val="0083626E"/>
    <w:rsid w:val="008365DE"/>
    <w:rsid w:val="00836824"/>
    <w:rsid w:val="00836B23"/>
    <w:rsid w:val="00836B7D"/>
    <w:rsid w:val="00836CC3"/>
    <w:rsid w:val="00836EC4"/>
    <w:rsid w:val="00837161"/>
    <w:rsid w:val="008372EE"/>
    <w:rsid w:val="008375CD"/>
    <w:rsid w:val="008376C0"/>
    <w:rsid w:val="0083784D"/>
    <w:rsid w:val="00837964"/>
    <w:rsid w:val="00837D18"/>
    <w:rsid w:val="00837F5C"/>
    <w:rsid w:val="0084001F"/>
    <w:rsid w:val="0084008C"/>
    <w:rsid w:val="00840229"/>
    <w:rsid w:val="00840300"/>
    <w:rsid w:val="00840363"/>
    <w:rsid w:val="008405EB"/>
    <w:rsid w:val="00840AD7"/>
    <w:rsid w:val="00840B9C"/>
    <w:rsid w:val="00840E4D"/>
    <w:rsid w:val="00840F8D"/>
    <w:rsid w:val="008410EB"/>
    <w:rsid w:val="008411A4"/>
    <w:rsid w:val="00841385"/>
    <w:rsid w:val="008416FA"/>
    <w:rsid w:val="00841729"/>
    <w:rsid w:val="008419C5"/>
    <w:rsid w:val="00841A0B"/>
    <w:rsid w:val="00841A5F"/>
    <w:rsid w:val="00841A80"/>
    <w:rsid w:val="00841B65"/>
    <w:rsid w:val="00841DC7"/>
    <w:rsid w:val="00841E35"/>
    <w:rsid w:val="00842037"/>
    <w:rsid w:val="008424D9"/>
    <w:rsid w:val="00842813"/>
    <w:rsid w:val="0084294C"/>
    <w:rsid w:val="00842AD4"/>
    <w:rsid w:val="00842E0D"/>
    <w:rsid w:val="00842FDD"/>
    <w:rsid w:val="008430F3"/>
    <w:rsid w:val="0084334E"/>
    <w:rsid w:val="00843629"/>
    <w:rsid w:val="008439B9"/>
    <w:rsid w:val="00843E61"/>
    <w:rsid w:val="00843E78"/>
    <w:rsid w:val="00843F79"/>
    <w:rsid w:val="0084423A"/>
    <w:rsid w:val="00844667"/>
    <w:rsid w:val="00844751"/>
    <w:rsid w:val="00844876"/>
    <w:rsid w:val="008448AD"/>
    <w:rsid w:val="008449DE"/>
    <w:rsid w:val="00844A3A"/>
    <w:rsid w:val="00844B4F"/>
    <w:rsid w:val="00844B70"/>
    <w:rsid w:val="00844B91"/>
    <w:rsid w:val="00844C85"/>
    <w:rsid w:val="00844D1A"/>
    <w:rsid w:val="00844EFC"/>
    <w:rsid w:val="00844F2F"/>
    <w:rsid w:val="008454BC"/>
    <w:rsid w:val="008456AE"/>
    <w:rsid w:val="00845B0A"/>
    <w:rsid w:val="00845D20"/>
    <w:rsid w:val="0084630E"/>
    <w:rsid w:val="00846616"/>
    <w:rsid w:val="0084668B"/>
    <w:rsid w:val="0084684E"/>
    <w:rsid w:val="008468EA"/>
    <w:rsid w:val="00846DEE"/>
    <w:rsid w:val="00846E0C"/>
    <w:rsid w:val="00846E47"/>
    <w:rsid w:val="008472A3"/>
    <w:rsid w:val="0084755E"/>
    <w:rsid w:val="008478A5"/>
    <w:rsid w:val="00847AAA"/>
    <w:rsid w:val="00847E32"/>
    <w:rsid w:val="00847EB1"/>
    <w:rsid w:val="00850161"/>
    <w:rsid w:val="008502CD"/>
    <w:rsid w:val="00850367"/>
    <w:rsid w:val="0085047D"/>
    <w:rsid w:val="0085056A"/>
    <w:rsid w:val="008505F4"/>
    <w:rsid w:val="00850789"/>
    <w:rsid w:val="00850EFD"/>
    <w:rsid w:val="00850FE9"/>
    <w:rsid w:val="0085114F"/>
    <w:rsid w:val="00851231"/>
    <w:rsid w:val="0085127A"/>
    <w:rsid w:val="00851391"/>
    <w:rsid w:val="0085139B"/>
    <w:rsid w:val="00851604"/>
    <w:rsid w:val="008516AA"/>
    <w:rsid w:val="008517DB"/>
    <w:rsid w:val="00851975"/>
    <w:rsid w:val="00851B1B"/>
    <w:rsid w:val="00851C89"/>
    <w:rsid w:val="0085220D"/>
    <w:rsid w:val="008522B0"/>
    <w:rsid w:val="008523E5"/>
    <w:rsid w:val="00852789"/>
    <w:rsid w:val="00852839"/>
    <w:rsid w:val="0085287F"/>
    <w:rsid w:val="00852BD1"/>
    <w:rsid w:val="00852D4F"/>
    <w:rsid w:val="008531A4"/>
    <w:rsid w:val="0085322B"/>
    <w:rsid w:val="008534EC"/>
    <w:rsid w:val="008534F0"/>
    <w:rsid w:val="0085385A"/>
    <w:rsid w:val="0085386F"/>
    <w:rsid w:val="008538A3"/>
    <w:rsid w:val="0085396C"/>
    <w:rsid w:val="0085396F"/>
    <w:rsid w:val="00853A2C"/>
    <w:rsid w:val="00853E40"/>
    <w:rsid w:val="00853E41"/>
    <w:rsid w:val="008540F0"/>
    <w:rsid w:val="00854250"/>
    <w:rsid w:val="00854385"/>
    <w:rsid w:val="00854547"/>
    <w:rsid w:val="0085497F"/>
    <w:rsid w:val="0085499B"/>
    <w:rsid w:val="00854A01"/>
    <w:rsid w:val="00854A04"/>
    <w:rsid w:val="00854C9B"/>
    <w:rsid w:val="00854D99"/>
    <w:rsid w:val="00854DA4"/>
    <w:rsid w:val="00854F6A"/>
    <w:rsid w:val="00854F86"/>
    <w:rsid w:val="00854FB7"/>
    <w:rsid w:val="00855472"/>
    <w:rsid w:val="008555F9"/>
    <w:rsid w:val="00855886"/>
    <w:rsid w:val="00855911"/>
    <w:rsid w:val="00855FCC"/>
    <w:rsid w:val="00855FDF"/>
    <w:rsid w:val="008561FB"/>
    <w:rsid w:val="00856211"/>
    <w:rsid w:val="00856356"/>
    <w:rsid w:val="008563FE"/>
    <w:rsid w:val="00856508"/>
    <w:rsid w:val="008565FC"/>
    <w:rsid w:val="008569E2"/>
    <w:rsid w:val="00856A05"/>
    <w:rsid w:val="00856BA5"/>
    <w:rsid w:val="00856C70"/>
    <w:rsid w:val="00856D6E"/>
    <w:rsid w:val="00856DBE"/>
    <w:rsid w:val="00856DF3"/>
    <w:rsid w:val="00856FE5"/>
    <w:rsid w:val="008570B1"/>
    <w:rsid w:val="008570F0"/>
    <w:rsid w:val="008574DB"/>
    <w:rsid w:val="0085799B"/>
    <w:rsid w:val="00857D23"/>
    <w:rsid w:val="0086026E"/>
    <w:rsid w:val="00860276"/>
    <w:rsid w:val="008602F3"/>
    <w:rsid w:val="00860640"/>
    <w:rsid w:val="0086088F"/>
    <w:rsid w:val="0086089D"/>
    <w:rsid w:val="00860BAF"/>
    <w:rsid w:val="00860CB4"/>
    <w:rsid w:val="00861007"/>
    <w:rsid w:val="00861095"/>
    <w:rsid w:val="00861494"/>
    <w:rsid w:val="0086149A"/>
    <w:rsid w:val="00861509"/>
    <w:rsid w:val="00861550"/>
    <w:rsid w:val="00861838"/>
    <w:rsid w:val="0086198C"/>
    <w:rsid w:val="00861DA7"/>
    <w:rsid w:val="00861FA2"/>
    <w:rsid w:val="0086276F"/>
    <w:rsid w:val="00862799"/>
    <w:rsid w:val="00862A09"/>
    <w:rsid w:val="00862B23"/>
    <w:rsid w:val="00862CF2"/>
    <w:rsid w:val="00862E40"/>
    <w:rsid w:val="00862ECD"/>
    <w:rsid w:val="00863105"/>
    <w:rsid w:val="0086319C"/>
    <w:rsid w:val="0086329D"/>
    <w:rsid w:val="00863600"/>
    <w:rsid w:val="008639BF"/>
    <w:rsid w:val="008639CE"/>
    <w:rsid w:val="00863A1C"/>
    <w:rsid w:val="00863B85"/>
    <w:rsid w:val="00863CBE"/>
    <w:rsid w:val="0086437C"/>
    <w:rsid w:val="00864424"/>
    <w:rsid w:val="00864D29"/>
    <w:rsid w:val="00864D3D"/>
    <w:rsid w:val="00865062"/>
    <w:rsid w:val="0086510D"/>
    <w:rsid w:val="00865208"/>
    <w:rsid w:val="00865445"/>
    <w:rsid w:val="008654FE"/>
    <w:rsid w:val="0086599D"/>
    <w:rsid w:val="00865A2F"/>
    <w:rsid w:val="00865B31"/>
    <w:rsid w:val="00865E89"/>
    <w:rsid w:val="00865FB4"/>
    <w:rsid w:val="00866077"/>
    <w:rsid w:val="00866360"/>
    <w:rsid w:val="008667D8"/>
    <w:rsid w:val="008667DF"/>
    <w:rsid w:val="008668F2"/>
    <w:rsid w:val="00866D1F"/>
    <w:rsid w:val="00867208"/>
    <w:rsid w:val="0086736D"/>
    <w:rsid w:val="00867527"/>
    <w:rsid w:val="00867531"/>
    <w:rsid w:val="0086768B"/>
    <w:rsid w:val="00867810"/>
    <w:rsid w:val="00867ADF"/>
    <w:rsid w:val="00870370"/>
    <w:rsid w:val="008703A4"/>
    <w:rsid w:val="0087060F"/>
    <w:rsid w:val="00870611"/>
    <w:rsid w:val="0087080B"/>
    <w:rsid w:val="00870911"/>
    <w:rsid w:val="00870913"/>
    <w:rsid w:val="008709F2"/>
    <w:rsid w:val="00870DF3"/>
    <w:rsid w:val="00870E9C"/>
    <w:rsid w:val="00870F57"/>
    <w:rsid w:val="0087134D"/>
    <w:rsid w:val="008714AE"/>
    <w:rsid w:val="00871CF7"/>
    <w:rsid w:val="00871DC2"/>
    <w:rsid w:val="00871DF0"/>
    <w:rsid w:val="0087241A"/>
    <w:rsid w:val="008726CB"/>
    <w:rsid w:val="00872852"/>
    <w:rsid w:val="008728F6"/>
    <w:rsid w:val="008729C5"/>
    <w:rsid w:val="00872C21"/>
    <w:rsid w:val="00872E4C"/>
    <w:rsid w:val="0087328A"/>
    <w:rsid w:val="008732C4"/>
    <w:rsid w:val="008733CA"/>
    <w:rsid w:val="00873412"/>
    <w:rsid w:val="008734F4"/>
    <w:rsid w:val="0087367E"/>
    <w:rsid w:val="00873869"/>
    <w:rsid w:val="0087397F"/>
    <w:rsid w:val="00873D1F"/>
    <w:rsid w:val="00873EC8"/>
    <w:rsid w:val="00873EFD"/>
    <w:rsid w:val="0087432F"/>
    <w:rsid w:val="008744D9"/>
    <w:rsid w:val="00874528"/>
    <w:rsid w:val="00874550"/>
    <w:rsid w:val="00874676"/>
    <w:rsid w:val="0087470D"/>
    <w:rsid w:val="00874720"/>
    <w:rsid w:val="00874847"/>
    <w:rsid w:val="0087497E"/>
    <w:rsid w:val="00874A6E"/>
    <w:rsid w:val="00874A87"/>
    <w:rsid w:val="00874B15"/>
    <w:rsid w:val="00874BA6"/>
    <w:rsid w:val="00874C73"/>
    <w:rsid w:val="00874D2A"/>
    <w:rsid w:val="00874F7D"/>
    <w:rsid w:val="00875056"/>
    <w:rsid w:val="0087536C"/>
    <w:rsid w:val="0087560C"/>
    <w:rsid w:val="008756AA"/>
    <w:rsid w:val="0087595A"/>
    <w:rsid w:val="00875D2D"/>
    <w:rsid w:val="00876028"/>
    <w:rsid w:val="00876315"/>
    <w:rsid w:val="00876774"/>
    <w:rsid w:val="00876794"/>
    <w:rsid w:val="008768FE"/>
    <w:rsid w:val="00876F1C"/>
    <w:rsid w:val="008770B5"/>
    <w:rsid w:val="008770C0"/>
    <w:rsid w:val="008771F0"/>
    <w:rsid w:val="00877211"/>
    <w:rsid w:val="0087735D"/>
    <w:rsid w:val="0087742D"/>
    <w:rsid w:val="00877445"/>
    <w:rsid w:val="008776B5"/>
    <w:rsid w:val="0087779D"/>
    <w:rsid w:val="00877A8E"/>
    <w:rsid w:val="00877AEB"/>
    <w:rsid w:val="00877BED"/>
    <w:rsid w:val="00877C2E"/>
    <w:rsid w:val="00877CED"/>
    <w:rsid w:val="00877D07"/>
    <w:rsid w:val="00877EB6"/>
    <w:rsid w:val="00880077"/>
    <w:rsid w:val="008800FB"/>
    <w:rsid w:val="008801D2"/>
    <w:rsid w:val="0088050F"/>
    <w:rsid w:val="00880808"/>
    <w:rsid w:val="0088092A"/>
    <w:rsid w:val="00880E4B"/>
    <w:rsid w:val="00880F6C"/>
    <w:rsid w:val="00881420"/>
    <w:rsid w:val="00881429"/>
    <w:rsid w:val="008816B2"/>
    <w:rsid w:val="008817DF"/>
    <w:rsid w:val="008818C0"/>
    <w:rsid w:val="008818F5"/>
    <w:rsid w:val="00881916"/>
    <w:rsid w:val="00881CBC"/>
    <w:rsid w:val="00881DD8"/>
    <w:rsid w:val="008820FE"/>
    <w:rsid w:val="00882191"/>
    <w:rsid w:val="008821D0"/>
    <w:rsid w:val="00882295"/>
    <w:rsid w:val="00882305"/>
    <w:rsid w:val="008824D6"/>
    <w:rsid w:val="00882585"/>
    <w:rsid w:val="0088268E"/>
    <w:rsid w:val="00882A77"/>
    <w:rsid w:val="00882AB6"/>
    <w:rsid w:val="00882C7F"/>
    <w:rsid w:val="00882D26"/>
    <w:rsid w:val="00882E3E"/>
    <w:rsid w:val="0088348F"/>
    <w:rsid w:val="008834E3"/>
    <w:rsid w:val="008836D4"/>
    <w:rsid w:val="00883A5E"/>
    <w:rsid w:val="00883B36"/>
    <w:rsid w:val="00883BE9"/>
    <w:rsid w:val="008840DF"/>
    <w:rsid w:val="00884526"/>
    <w:rsid w:val="00884783"/>
    <w:rsid w:val="0088478B"/>
    <w:rsid w:val="00884965"/>
    <w:rsid w:val="00884A41"/>
    <w:rsid w:val="00884CB8"/>
    <w:rsid w:val="00884EAC"/>
    <w:rsid w:val="008851AE"/>
    <w:rsid w:val="00885420"/>
    <w:rsid w:val="008854D0"/>
    <w:rsid w:val="008856EC"/>
    <w:rsid w:val="00885715"/>
    <w:rsid w:val="008857BC"/>
    <w:rsid w:val="008859AD"/>
    <w:rsid w:val="00885A4E"/>
    <w:rsid w:val="00885D2D"/>
    <w:rsid w:val="00886421"/>
    <w:rsid w:val="00886661"/>
    <w:rsid w:val="008866DF"/>
    <w:rsid w:val="00886D06"/>
    <w:rsid w:val="00886E4A"/>
    <w:rsid w:val="00886E72"/>
    <w:rsid w:val="00886F1D"/>
    <w:rsid w:val="00887058"/>
    <w:rsid w:val="0088712A"/>
    <w:rsid w:val="00887395"/>
    <w:rsid w:val="008873D7"/>
    <w:rsid w:val="008877AF"/>
    <w:rsid w:val="008878AD"/>
    <w:rsid w:val="0088791D"/>
    <w:rsid w:val="00887A82"/>
    <w:rsid w:val="00887AC1"/>
    <w:rsid w:val="00890078"/>
    <w:rsid w:val="008900AF"/>
    <w:rsid w:val="008901E2"/>
    <w:rsid w:val="008903BF"/>
    <w:rsid w:val="00890A45"/>
    <w:rsid w:val="00890AC0"/>
    <w:rsid w:val="00890B5B"/>
    <w:rsid w:val="00890C9D"/>
    <w:rsid w:val="00890E87"/>
    <w:rsid w:val="008910C3"/>
    <w:rsid w:val="008914E9"/>
    <w:rsid w:val="0089163D"/>
    <w:rsid w:val="00891AA4"/>
    <w:rsid w:val="00891F45"/>
    <w:rsid w:val="00892082"/>
    <w:rsid w:val="0089208D"/>
    <w:rsid w:val="008920A5"/>
    <w:rsid w:val="00892275"/>
    <w:rsid w:val="008922DF"/>
    <w:rsid w:val="008923EF"/>
    <w:rsid w:val="008923F8"/>
    <w:rsid w:val="0089277D"/>
    <w:rsid w:val="00892828"/>
    <w:rsid w:val="0089302C"/>
    <w:rsid w:val="0089310B"/>
    <w:rsid w:val="00893181"/>
    <w:rsid w:val="00893320"/>
    <w:rsid w:val="00893334"/>
    <w:rsid w:val="008933E7"/>
    <w:rsid w:val="00893998"/>
    <w:rsid w:val="00893C30"/>
    <w:rsid w:val="00893F32"/>
    <w:rsid w:val="00894282"/>
    <w:rsid w:val="008944CC"/>
    <w:rsid w:val="008945A5"/>
    <w:rsid w:val="0089468D"/>
    <w:rsid w:val="0089484C"/>
    <w:rsid w:val="00894880"/>
    <w:rsid w:val="00894A2C"/>
    <w:rsid w:val="00894A4D"/>
    <w:rsid w:val="00894C57"/>
    <w:rsid w:val="00894D0F"/>
    <w:rsid w:val="008950CE"/>
    <w:rsid w:val="008950E9"/>
    <w:rsid w:val="00895170"/>
    <w:rsid w:val="008953AD"/>
    <w:rsid w:val="0089546F"/>
    <w:rsid w:val="00895546"/>
    <w:rsid w:val="008957D7"/>
    <w:rsid w:val="00895B9D"/>
    <w:rsid w:val="0089614E"/>
    <w:rsid w:val="00896344"/>
    <w:rsid w:val="00896351"/>
    <w:rsid w:val="008963BB"/>
    <w:rsid w:val="00896559"/>
    <w:rsid w:val="0089662A"/>
    <w:rsid w:val="00896800"/>
    <w:rsid w:val="00896804"/>
    <w:rsid w:val="0089696C"/>
    <w:rsid w:val="00896A8A"/>
    <w:rsid w:val="00896BBE"/>
    <w:rsid w:val="00896C31"/>
    <w:rsid w:val="0089702F"/>
    <w:rsid w:val="0089727E"/>
    <w:rsid w:val="008974EF"/>
    <w:rsid w:val="008975B9"/>
    <w:rsid w:val="0089760B"/>
    <w:rsid w:val="00897753"/>
    <w:rsid w:val="008977E7"/>
    <w:rsid w:val="00897A75"/>
    <w:rsid w:val="00897CF2"/>
    <w:rsid w:val="008A0003"/>
    <w:rsid w:val="008A02A4"/>
    <w:rsid w:val="008A06DF"/>
    <w:rsid w:val="008A07B3"/>
    <w:rsid w:val="008A0802"/>
    <w:rsid w:val="008A0961"/>
    <w:rsid w:val="008A0D11"/>
    <w:rsid w:val="008A0E2E"/>
    <w:rsid w:val="008A1152"/>
    <w:rsid w:val="008A12BE"/>
    <w:rsid w:val="008A1315"/>
    <w:rsid w:val="008A1411"/>
    <w:rsid w:val="008A163B"/>
    <w:rsid w:val="008A1BD3"/>
    <w:rsid w:val="008A1C20"/>
    <w:rsid w:val="008A1C4E"/>
    <w:rsid w:val="008A1CF6"/>
    <w:rsid w:val="008A22B9"/>
    <w:rsid w:val="008A235E"/>
    <w:rsid w:val="008A24BC"/>
    <w:rsid w:val="008A25BF"/>
    <w:rsid w:val="008A27E1"/>
    <w:rsid w:val="008A2997"/>
    <w:rsid w:val="008A2B2D"/>
    <w:rsid w:val="008A2BC1"/>
    <w:rsid w:val="008A2D33"/>
    <w:rsid w:val="008A2D53"/>
    <w:rsid w:val="008A2E70"/>
    <w:rsid w:val="008A3275"/>
    <w:rsid w:val="008A3307"/>
    <w:rsid w:val="008A3851"/>
    <w:rsid w:val="008A39D3"/>
    <w:rsid w:val="008A3BD6"/>
    <w:rsid w:val="008A3C15"/>
    <w:rsid w:val="008A4213"/>
    <w:rsid w:val="008A428F"/>
    <w:rsid w:val="008A42BC"/>
    <w:rsid w:val="008A4377"/>
    <w:rsid w:val="008A451F"/>
    <w:rsid w:val="008A45AD"/>
    <w:rsid w:val="008A471B"/>
    <w:rsid w:val="008A4755"/>
    <w:rsid w:val="008A4849"/>
    <w:rsid w:val="008A4996"/>
    <w:rsid w:val="008A49AF"/>
    <w:rsid w:val="008A4A95"/>
    <w:rsid w:val="008A4AB7"/>
    <w:rsid w:val="008A4C39"/>
    <w:rsid w:val="008A4CB7"/>
    <w:rsid w:val="008A4D3D"/>
    <w:rsid w:val="008A4DD8"/>
    <w:rsid w:val="008A4E82"/>
    <w:rsid w:val="008A4E88"/>
    <w:rsid w:val="008A54F6"/>
    <w:rsid w:val="008A5588"/>
    <w:rsid w:val="008A5DAD"/>
    <w:rsid w:val="008A6458"/>
    <w:rsid w:val="008A6487"/>
    <w:rsid w:val="008A64A7"/>
    <w:rsid w:val="008A65BF"/>
    <w:rsid w:val="008A67B0"/>
    <w:rsid w:val="008A698A"/>
    <w:rsid w:val="008A6B43"/>
    <w:rsid w:val="008A6CA9"/>
    <w:rsid w:val="008A6F96"/>
    <w:rsid w:val="008A73F3"/>
    <w:rsid w:val="008A755E"/>
    <w:rsid w:val="008A79E1"/>
    <w:rsid w:val="008A7A19"/>
    <w:rsid w:val="008A7A94"/>
    <w:rsid w:val="008A7D0C"/>
    <w:rsid w:val="008B0225"/>
    <w:rsid w:val="008B0352"/>
    <w:rsid w:val="008B05F3"/>
    <w:rsid w:val="008B05F5"/>
    <w:rsid w:val="008B061C"/>
    <w:rsid w:val="008B07F4"/>
    <w:rsid w:val="008B0922"/>
    <w:rsid w:val="008B0A80"/>
    <w:rsid w:val="008B0BC2"/>
    <w:rsid w:val="008B0BD1"/>
    <w:rsid w:val="008B0D2A"/>
    <w:rsid w:val="008B0E55"/>
    <w:rsid w:val="008B106B"/>
    <w:rsid w:val="008B118D"/>
    <w:rsid w:val="008B137F"/>
    <w:rsid w:val="008B1392"/>
    <w:rsid w:val="008B188A"/>
    <w:rsid w:val="008B18CC"/>
    <w:rsid w:val="008B1A87"/>
    <w:rsid w:val="008B1C4B"/>
    <w:rsid w:val="008B1D09"/>
    <w:rsid w:val="008B1FAE"/>
    <w:rsid w:val="008B1FFF"/>
    <w:rsid w:val="008B20D1"/>
    <w:rsid w:val="008B213A"/>
    <w:rsid w:val="008B21EA"/>
    <w:rsid w:val="008B2292"/>
    <w:rsid w:val="008B23A8"/>
    <w:rsid w:val="008B28EB"/>
    <w:rsid w:val="008B2E80"/>
    <w:rsid w:val="008B3157"/>
    <w:rsid w:val="008B327C"/>
    <w:rsid w:val="008B33AA"/>
    <w:rsid w:val="008B3458"/>
    <w:rsid w:val="008B3482"/>
    <w:rsid w:val="008B3510"/>
    <w:rsid w:val="008B36C0"/>
    <w:rsid w:val="008B373A"/>
    <w:rsid w:val="008B38AF"/>
    <w:rsid w:val="008B4192"/>
    <w:rsid w:val="008B41A4"/>
    <w:rsid w:val="008B4685"/>
    <w:rsid w:val="008B46BF"/>
    <w:rsid w:val="008B46C3"/>
    <w:rsid w:val="008B4C6E"/>
    <w:rsid w:val="008B5220"/>
    <w:rsid w:val="008B5369"/>
    <w:rsid w:val="008B53CB"/>
    <w:rsid w:val="008B5722"/>
    <w:rsid w:val="008B5CB3"/>
    <w:rsid w:val="008B5EAD"/>
    <w:rsid w:val="008B665E"/>
    <w:rsid w:val="008B6712"/>
    <w:rsid w:val="008B67C9"/>
    <w:rsid w:val="008B6895"/>
    <w:rsid w:val="008B68F7"/>
    <w:rsid w:val="008B6997"/>
    <w:rsid w:val="008B6B7E"/>
    <w:rsid w:val="008B6E29"/>
    <w:rsid w:val="008B6F23"/>
    <w:rsid w:val="008B6FC5"/>
    <w:rsid w:val="008B7086"/>
    <w:rsid w:val="008B70F6"/>
    <w:rsid w:val="008B7173"/>
    <w:rsid w:val="008B71AD"/>
    <w:rsid w:val="008B77FB"/>
    <w:rsid w:val="008B7828"/>
    <w:rsid w:val="008B7834"/>
    <w:rsid w:val="008B7980"/>
    <w:rsid w:val="008B7C23"/>
    <w:rsid w:val="008B7E1B"/>
    <w:rsid w:val="008C0011"/>
    <w:rsid w:val="008C01DB"/>
    <w:rsid w:val="008C03FE"/>
    <w:rsid w:val="008C0495"/>
    <w:rsid w:val="008C0503"/>
    <w:rsid w:val="008C058C"/>
    <w:rsid w:val="008C0B89"/>
    <w:rsid w:val="008C0E8D"/>
    <w:rsid w:val="008C0F87"/>
    <w:rsid w:val="008C11E4"/>
    <w:rsid w:val="008C15B7"/>
    <w:rsid w:val="008C15D1"/>
    <w:rsid w:val="008C161A"/>
    <w:rsid w:val="008C1770"/>
    <w:rsid w:val="008C18D0"/>
    <w:rsid w:val="008C1B2B"/>
    <w:rsid w:val="008C1BE3"/>
    <w:rsid w:val="008C1DD4"/>
    <w:rsid w:val="008C1FB9"/>
    <w:rsid w:val="008C2138"/>
    <w:rsid w:val="008C2307"/>
    <w:rsid w:val="008C2409"/>
    <w:rsid w:val="008C24EC"/>
    <w:rsid w:val="008C25B4"/>
    <w:rsid w:val="008C2748"/>
    <w:rsid w:val="008C2764"/>
    <w:rsid w:val="008C2815"/>
    <w:rsid w:val="008C2B19"/>
    <w:rsid w:val="008C2C80"/>
    <w:rsid w:val="008C2E46"/>
    <w:rsid w:val="008C3188"/>
    <w:rsid w:val="008C347B"/>
    <w:rsid w:val="008C37DF"/>
    <w:rsid w:val="008C390F"/>
    <w:rsid w:val="008C3A71"/>
    <w:rsid w:val="008C3A85"/>
    <w:rsid w:val="008C3C38"/>
    <w:rsid w:val="008C3DFD"/>
    <w:rsid w:val="008C3E87"/>
    <w:rsid w:val="008C3EAF"/>
    <w:rsid w:val="008C4014"/>
    <w:rsid w:val="008C401C"/>
    <w:rsid w:val="008C404B"/>
    <w:rsid w:val="008C4617"/>
    <w:rsid w:val="008C46DE"/>
    <w:rsid w:val="008C47BE"/>
    <w:rsid w:val="008C4849"/>
    <w:rsid w:val="008C49A7"/>
    <w:rsid w:val="008C4A1A"/>
    <w:rsid w:val="008C4ABC"/>
    <w:rsid w:val="008C4AF1"/>
    <w:rsid w:val="008C4B26"/>
    <w:rsid w:val="008C4B98"/>
    <w:rsid w:val="008C4E09"/>
    <w:rsid w:val="008C5014"/>
    <w:rsid w:val="008C5037"/>
    <w:rsid w:val="008C5098"/>
    <w:rsid w:val="008C5187"/>
    <w:rsid w:val="008C51B6"/>
    <w:rsid w:val="008C569B"/>
    <w:rsid w:val="008C56EF"/>
    <w:rsid w:val="008C575F"/>
    <w:rsid w:val="008C58B4"/>
    <w:rsid w:val="008C5AB9"/>
    <w:rsid w:val="008C5D47"/>
    <w:rsid w:val="008C5D8D"/>
    <w:rsid w:val="008C60E7"/>
    <w:rsid w:val="008C61E1"/>
    <w:rsid w:val="008C6451"/>
    <w:rsid w:val="008C667D"/>
    <w:rsid w:val="008C68F9"/>
    <w:rsid w:val="008C6A6B"/>
    <w:rsid w:val="008C6ED1"/>
    <w:rsid w:val="008C6F01"/>
    <w:rsid w:val="008C73FB"/>
    <w:rsid w:val="008C748C"/>
    <w:rsid w:val="008C7491"/>
    <w:rsid w:val="008C74EB"/>
    <w:rsid w:val="008C7861"/>
    <w:rsid w:val="008C7B2E"/>
    <w:rsid w:val="008C7DBB"/>
    <w:rsid w:val="008C7F36"/>
    <w:rsid w:val="008D04E1"/>
    <w:rsid w:val="008D0597"/>
    <w:rsid w:val="008D06CD"/>
    <w:rsid w:val="008D090B"/>
    <w:rsid w:val="008D0952"/>
    <w:rsid w:val="008D0C90"/>
    <w:rsid w:val="008D0E44"/>
    <w:rsid w:val="008D0E85"/>
    <w:rsid w:val="008D127F"/>
    <w:rsid w:val="008D129D"/>
    <w:rsid w:val="008D143D"/>
    <w:rsid w:val="008D1541"/>
    <w:rsid w:val="008D15C8"/>
    <w:rsid w:val="008D1C9B"/>
    <w:rsid w:val="008D1CB4"/>
    <w:rsid w:val="008D1F4D"/>
    <w:rsid w:val="008D1FFC"/>
    <w:rsid w:val="008D225B"/>
    <w:rsid w:val="008D2386"/>
    <w:rsid w:val="008D254C"/>
    <w:rsid w:val="008D25B9"/>
    <w:rsid w:val="008D26F5"/>
    <w:rsid w:val="008D28FE"/>
    <w:rsid w:val="008D2A0C"/>
    <w:rsid w:val="008D2ABD"/>
    <w:rsid w:val="008D2B47"/>
    <w:rsid w:val="008D2C54"/>
    <w:rsid w:val="008D2DD0"/>
    <w:rsid w:val="008D2DD4"/>
    <w:rsid w:val="008D2E1F"/>
    <w:rsid w:val="008D30BE"/>
    <w:rsid w:val="008D3A02"/>
    <w:rsid w:val="008D3B4B"/>
    <w:rsid w:val="008D3CED"/>
    <w:rsid w:val="008D3D88"/>
    <w:rsid w:val="008D4018"/>
    <w:rsid w:val="008D408A"/>
    <w:rsid w:val="008D432B"/>
    <w:rsid w:val="008D437B"/>
    <w:rsid w:val="008D4408"/>
    <w:rsid w:val="008D46F7"/>
    <w:rsid w:val="008D49CC"/>
    <w:rsid w:val="008D4AC6"/>
    <w:rsid w:val="008D4AE1"/>
    <w:rsid w:val="008D4CA4"/>
    <w:rsid w:val="008D4D19"/>
    <w:rsid w:val="008D4D41"/>
    <w:rsid w:val="008D4E05"/>
    <w:rsid w:val="008D4FF3"/>
    <w:rsid w:val="008D538C"/>
    <w:rsid w:val="008D5631"/>
    <w:rsid w:val="008D5ABF"/>
    <w:rsid w:val="008D5EE5"/>
    <w:rsid w:val="008D5EFB"/>
    <w:rsid w:val="008D6627"/>
    <w:rsid w:val="008D66AB"/>
    <w:rsid w:val="008D66E7"/>
    <w:rsid w:val="008D676E"/>
    <w:rsid w:val="008D68DA"/>
    <w:rsid w:val="008D69CC"/>
    <w:rsid w:val="008D6BC4"/>
    <w:rsid w:val="008D6CB7"/>
    <w:rsid w:val="008D6CC0"/>
    <w:rsid w:val="008D6FA1"/>
    <w:rsid w:val="008D732A"/>
    <w:rsid w:val="008D73B4"/>
    <w:rsid w:val="008D73CB"/>
    <w:rsid w:val="008D747E"/>
    <w:rsid w:val="008D7754"/>
    <w:rsid w:val="008D79AC"/>
    <w:rsid w:val="008D7FC7"/>
    <w:rsid w:val="008E006A"/>
    <w:rsid w:val="008E006C"/>
    <w:rsid w:val="008E0411"/>
    <w:rsid w:val="008E0510"/>
    <w:rsid w:val="008E0695"/>
    <w:rsid w:val="008E06AE"/>
    <w:rsid w:val="008E078B"/>
    <w:rsid w:val="008E07B2"/>
    <w:rsid w:val="008E0B3B"/>
    <w:rsid w:val="008E0BD4"/>
    <w:rsid w:val="008E0D7D"/>
    <w:rsid w:val="008E0DF1"/>
    <w:rsid w:val="008E0EFD"/>
    <w:rsid w:val="008E1036"/>
    <w:rsid w:val="008E10B2"/>
    <w:rsid w:val="008E1436"/>
    <w:rsid w:val="008E1E88"/>
    <w:rsid w:val="008E208A"/>
    <w:rsid w:val="008E231F"/>
    <w:rsid w:val="008E23F6"/>
    <w:rsid w:val="008E2451"/>
    <w:rsid w:val="008E2505"/>
    <w:rsid w:val="008E2558"/>
    <w:rsid w:val="008E2937"/>
    <w:rsid w:val="008E29A7"/>
    <w:rsid w:val="008E2E31"/>
    <w:rsid w:val="008E328A"/>
    <w:rsid w:val="008E3349"/>
    <w:rsid w:val="008E396B"/>
    <w:rsid w:val="008E3BF7"/>
    <w:rsid w:val="008E3D40"/>
    <w:rsid w:val="008E3DA1"/>
    <w:rsid w:val="008E3DF0"/>
    <w:rsid w:val="008E3F87"/>
    <w:rsid w:val="008E41C6"/>
    <w:rsid w:val="008E434E"/>
    <w:rsid w:val="008E49D4"/>
    <w:rsid w:val="008E4AD4"/>
    <w:rsid w:val="008E4E9F"/>
    <w:rsid w:val="008E4FC4"/>
    <w:rsid w:val="008E5196"/>
    <w:rsid w:val="008E53BA"/>
    <w:rsid w:val="008E576D"/>
    <w:rsid w:val="008E5925"/>
    <w:rsid w:val="008E5A2C"/>
    <w:rsid w:val="008E5AE8"/>
    <w:rsid w:val="008E5C90"/>
    <w:rsid w:val="008E5CB8"/>
    <w:rsid w:val="008E623A"/>
    <w:rsid w:val="008E623D"/>
    <w:rsid w:val="008E6264"/>
    <w:rsid w:val="008E6291"/>
    <w:rsid w:val="008E6C90"/>
    <w:rsid w:val="008E6F66"/>
    <w:rsid w:val="008E72C4"/>
    <w:rsid w:val="008E73CB"/>
    <w:rsid w:val="008E745C"/>
    <w:rsid w:val="008E7550"/>
    <w:rsid w:val="008E7573"/>
    <w:rsid w:val="008E763C"/>
    <w:rsid w:val="008E76C0"/>
    <w:rsid w:val="008E7878"/>
    <w:rsid w:val="008E788D"/>
    <w:rsid w:val="008E7934"/>
    <w:rsid w:val="008E7964"/>
    <w:rsid w:val="008E79D8"/>
    <w:rsid w:val="008E7AD0"/>
    <w:rsid w:val="008E7B33"/>
    <w:rsid w:val="008E7B42"/>
    <w:rsid w:val="008E7D37"/>
    <w:rsid w:val="008E7E4D"/>
    <w:rsid w:val="008E7FA3"/>
    <w:rsid w:val="008F0044"/>
    <w:rsid w:val="008F01A8"/>
    <w:rsid w:val="008F0366"/>
    <w:rsid w:val="008F03E3"/>
    <w:rsid w:val="008F055E"/>
    <w:rsid w:val="008F08C6"/>
    <w:rsid w:val="008F0A65"/>
    <w:rsid w:val="008F0F07"/>
    <w:rsid w:val="008F0FF6"/>
    <w:rsid w:val="008F12D4"/>
    <w:rsid w:val="008F14BE"/>
    <w:rsid w:val="008F1807"/>
    <w:rsid w:val="008F184A"/>
    <w:rsid w:val="008F1899"/>
    <w:rsid w:val="008F19CC"/>
    <w:rsid w:val="008F1D6E"/>
    <w:rsid w:val="008F1E95"/>
    <w:rsid w:val="008F2111"/>
    <w:rsid w:val="008F212D"/>
    <w:rsid w:val="008F22B6"/>
    <w:rsid w:val="008F28DD"/>
    <w:rsid w:val="008F29BD"/>
    <w:rsid w:val="008F2ABC"/>
    <w:rsid w:val="008F2B18"/>
    <w:rsid w:val="008F2E72"/>
    <w:rsid w:val="008F2F5B"/>
    <w:rsid w:val="008F3151"/>
    <w:rsid w:val="008F31A9"/>
    <w:rsid w:val="008F31B1"/>
    <w:rsid w:val="008F3324"/>
    <w:rsid w:val="008F3415"/>
    <w:rsid w:val="008F39EB"/>
    <w:rsid w:val="008F3E4A"/>
    <w:rsid w:val="008F3EDF"/>
    <w:rsid w:val="008F3F3F"/>
    <w:rsid w:val="008F40D0"/>
    <w:rsid w:val="008F44DB"/>
    <w:rsid w:val="008F4587"/>
    <w:rsid w:val="008F467F"/>
    <w:rsid w:val="008F46A6"/>
    <w:rsid w:val="008F48EF"/>
    <w:rsid w:val="008F4AF3"/>
    <w:rsid w:val="008F4EF6"/>
    <w:rsid w:val="008F4F4D"/>
    <w:rsid w:val="008F4F90"/>
    <w:rsid w:val="008F5343"/>
    <w:rsid w:val="008F54DD"/>
    <w:rsid w:val="008F554E"/>
    <w:rsid w:val="008F55E6"/>
    <w:rsid w:val="008F5628"/>
    <w:rsid w:val="008F5681"/>
    <w:rsid w:val="008F5942"/>
    <w:rsid w:val="008F5967"/>
    <w:rsid w:val="008F5DD7"/>
    <w:rsid w:val="008F5F27"/>
    <w:rsid w:val="008F6036"/>
    <w:rsid w:val="008F61E1"/>
    <w:rsid w:val="008F627D"/>
    <w:rsid w:val="008F635D"/>
    <w:rsid w:val="008F68B9"/>
    <w:rsid w:val="008F6C93"/>
    <w:rsid w:val="008F6D62"/>
    <w:rsid w:val="008F718E"/>
    <w:rsid w:val="008F71A4"/>
    <w:rsid w:val="008F77A4"/>
    <w:rsid w:val="008F783D"/>
    <w:rsid w:val="008F794C"/>
    <w:rsid w:val="008F7A07"/>
    <w:rsid w:val="008F7AF7"/>
    <w:rsid w:val="008F7D63"/>
    <w:rsid w:val="008F7F22"/>
    <w:rsid w:val="008F7FCB"/>
    <w:rsid w:val="009003A3"/>
    <w:rsid w:val="00900459"/>
    <w:rsid w:val="00900612"/>
    <w:rsid w:val="00900687"/>
    <w:rsid w:val="00900A52"/>
    <w:rsid w:val="00900A54"/>
    <w:rsid w:val="00900B37"/>
    <w:rsid w:val="00900C54"/>
    <w:rsid w:val="0090114C"/>
    <w:rsid w:val="009014EC"/>
    <w:rsid w:val="00901946"/>
    <w:rsid w:val="00901B70"/>
    <w:rsid w:val="00901D19"/>
    <w:rsid w:val="00901DAA"/>
    <w:rsid w:val="00901E41"/>
    <w:rsid w:val="00902317"/>
    <w:rsid w:val="009023EC"/>
    <w:rsid w:val="009023ED"/>
    <w:rsid w:val="00902598"/>
    <w:rsid w:val="0090263A"/>
    <w:rsid w:val="009034A9"/>
    <w:rsid w:val="009034BF"/>
    <w:rsid w:val="009035DA"/>
    <w:rsid w:val="00903646"/>
    <w:rsid w:val="009036C2"/>
    <w:rsid w:val="00903872"/>
    <w:rsid w:val="00903AFE"/>
    <w:rsid w:val="00903BC2"/>
    <w:rsid w:val="00903F04"/>
    <w:rsid w:val="00903F20"/>
    <w:rsid w:val="0090417E"/>
    <w:rsid w:val="0090420A"/>
    <w:rsid w:val="0090425F"/>
    <w:rsid w:val="00904503"/>
    <w:rsid w:val="0090469A"/>
    <w:rsid w:val="0090482C"/>
    <w:rsid w:val="0090486D"/>
    <w:rsid w:val="00904937"/>
    <w:rsid w:val="00904AD2"/>
    <w:rsid w:val="00905011"/>
    <w:rsid w:val="009050E3"/>
    <w:rsid w:val="00905132"/>
    <w:rsid w:val="00905180"/>
    <w:rsid w:val="00905194"/>
    <w:rsid w:val="009052A6"/>
    <w:rsid w:val="009052E1"/>
    <w:rsid w:val="0090534B"/>
    <w:rsid w:val="009053C6"/>
    <w:rsid w:val="00905430"/>
    <w:rsid w:val="00905564"/>
    <w:rsid w:val="009055FB"/>
    <w:rsid w:val="009058E6"/>
    <w:rsid w:val="00905A0F"/>
    <w:rsid w:val="00905A2C"/>
    <w:rsid w:val="00905B3A"/>
    <w:rsid w:val="00905CDF"/>
    <w:rsid w:val="00906092"/>
    <w:rsid w:val="009061D7"/>
    <w:rsid w:val="009065B3"/>
    <w:rsid w:val="009067B0"/>
    <w:rsid w:val="0090682F"/>
    <w:rsid w:val="00906E40"/>
    <w:rsid w:val="009070E6"/>
    <w:rsid w:val="0090735A"/>
    <w:rsid w:val="00907537"/>
    <w:rsid w:val="0090794E"/>
    <w:rsid w:val="00907A9D"/>
    <w:rsid w:val="00907AB2"/>
    <w:rsid w:val="00907EBB"/>
    <w:rsid w:val="00907ED2"/>
    <w:rsid w:val="00907EF5"/>
    <w:rsid w:val="00907F62"/>
    <w:rsid w:val="0091008A"/>
    <w:rsid w:val="009102A5"/>
    <w:rsid w:val="009103DB"/>
    <w:rsid w:val="0091067B"/>
    <w:rsid w:val="009106BC"/>
    <w:rsid w:val="0091074C"/>
    <w:rsid w:val="009108F0"/>
    <w:rsid w:val="00910B1E"/>
    <w:rsid w:val="00910F5F"/>
    <w:rsid w:val="0091113C"/>
    <w:rsid w:val="00911192"/>
    <w:rsid w:val="009112DF"/>
    <w:rsid w:val="0091144E"/>
    <w:rsid w:val="009114AB"/>
    <w:rsid w:val="009117E8"/>
    <w:rsid w:val="00911823"/>
    <w:rsid w:val="009119F8"/>
    <w:rsid w:val="00911AAD"/>
    <w:rsid w:val="00911C9A"/>
    <w:rsid w:val="00911D89"/>
    <w:rsid w:val="00911EC6"/>
    <w:rsid w:val="00911F42"/>
    <w:rsid w:val="00911FB4"/>
    <w:rsid w:val="009121F3"/>
    <w:rsid w:val="00912377"/>
    <w:rsid w:val="0091240F"/>
    <w:rsid w:val="0091242E"/>
    <w:rsid w:val="00912558"/>
    <w:rsid w:val="00912A97"/>
    <w:rsid w:val="009130F7"/>
    <w:rsid w:val="009131C0"/>
    <w:rsid w:val="009131DE"/>
    <w:rsid w:val="0091377A"/>
    <w:rsid w:val="009138CB"/>
    <w:rsid w:val="00913ED3"/>
    <w:rsid w:val="00913F03"/>
    <w:rsid w:val="00914080"/>
    <w:rsid w:val="009143D7"/>
    <w:rsid w:val="009144E1"/>
    <w:rsid w:val="00914513"/>
    <w:rsid w:val="00914736"/>
    <w:rsid w:val="0091494A"/>
    <w:rsid w:val="00914B3E"/>
    <w:rsid w:val="00914F3B"/>
    <w:rsid w:val="00915070"/>
    <w:rsid w:val="009150B6"/>
    <w:rsid w:val="00915199"/>
    <w:rsid w:val="0091526C"/>
    <w:rsid w:val="00915662"/>
    <w:rsid w:val="009156FE"/>
    <w:rsid w:val="00915A21"/>
    <w:rsid w:val="00915BC9"/>
    <w:rsid w:val="00915DAE"/>
    <w:rsid w:val="0091645E"/>
    <w:rsid w:val="00916548"/>
    <w:rsid w:val="009165E3"/>
    <w:rsid w:val="00916C68"/>
    <w:rsid w:val="0091708F"/>
    <w:rsid w:val="0091720A"/>
    <w:rsid w:val="0091725E"/>
    <w:rsid w:val="00917607"/>
    <w:rsid w:val="0091783D"/>
    <w:rsid w:val="00917B37"/>
    <w:rsid w:val="00917E9B"/>
    <w:rsid w:val="00917EA3"/>
    <w:rsid w:val="009200CF"/>
    <w:rsid w:val="0092022B"/>
    <w:rsid w:val="0092046A"/>
    <w:rsid w:val="0092052C"/>
    <w:rsid w:val="00920545"/>
    <w:rsid w:val="009205B0"/>
    <w:rsid w:val="0092071B"/>
    <w:rsid w:val="0092074E"/>
    <w:rsid w:val="009207F1"/>
    <w:rsid w:val="009209B8"/>
    <w:rsid w:val="00920A27"/>
    <w:rsid w:val="00920ADF"/>
    <w:rsid w:val="00920C9D"/>
    <w:rsid w:val="00920EBA"/>
    <w:rsid w:val="00920F1D"/>
    <w:rsid w:val="0092137D"/>
    <w:rsid w:val="009213DA"/>
    <w:rsid w:val="0092148F"/>
    <w:rsid w:val="00921490"/>
    <w:rsid w:val="0092151A"/>
    <w:rsid w:val="00921656"/>
    <w:rsid w:val="0092168B"/>
    <w:rsid w:val="00921782"/>
    <w:rsid w:val="00921886"/>
    <w:rsid w:val="00921A93"/>
    <w:rsid w:val="00921BA3"/>
    <w:rsid w:val="00921E07"/>
    <w:rsid w:val="00921ECF"/>
    <w:rsid w:val="00922413"/>
    <w:rsid w:val="0092244A"/>
    <w:rsid w:val="00922796"/>
    <w:rsid w:val="0092299C"/>
    <w:rsid w:val="00922E31"/>
    <w:rsid w:val="00922F34"/>
    <w:rsid w:val="00922FE6"/>
    <w:rsid w:val="009232BE"/>
    <w:rsid w:val="00923304"/>
    <w:rsid w:val="009233ED"/>
    <w:rsid w:val="009233EE"/>
    <w:rsid w:val="009234B6"/>
    <w:rsid w:val="009242CF"/>
    <w:rsid w:val="00924543"/>
    <w:rsid w:val="00924670"/>
    <w:rsid w:val="009246F3"/>
    <w:rsid w:val="009248DC"/>
    <w:rsid w:val="00924AF5"/>
    <w:rsid w:val="00924B39"/>
    <w:rsid w:val="00924BB0"/>
    <w:rsid w:val="00924F41"/>
    <w:rsid w:val="0092500A"/>
    <w:rsid w:val="0092526E"/>
    <w:rsid w:val="009253D7"/>
    <w:rsid w:val="00925566"/>
    <w:rsid w:val="00925689"/>
    <w:rsid w:val="00925785"/>
    <w:rsid w:val="009258CA"/>
    <w:rsid w:val="00925A35"/>
    <w:rsid w:val="00925D1E"/>
    <w:rsid w:val="00926208"/>
    <w:rsid w:val="00926209"/>
    <w:rsid w:val="009263DA"/>
    <w:rsid w:val="00926586"/>
    <w:rsid w:val="00926692"/>
    <w:rsid w:val="0092682E"/>
    <w:rsid w:val="00926831"/>
    <w:rsid w:val="009268FE"/>
    <w:rsid w:val="00926976"/>
    <w:rsid w:val="00926A2F"/>
    <w:rsid w:val="00926A5D"/>
    <w:rsid w:val="00926B81"/>
    <w:rsid w:val="00926C7A"/>
    <w:rsid w:val="00926F5C"/>
    <w:rsid w:val="00927006"/>
    <w:rsid w:val="00927735"/>
    <w:rsid w:val="00927A13"/>
    <w:rsid w:val="00927B46"/>
    <w:rsid w:val="00927CF3"/>
    <w:rsid w:val="00927D09"/>
    <w:rsid w:val="00927D25"/>
    <w:rsid w:val="00927DFF"/>
    <w:rsid w:val="00927E44"/>
    <w:rsid w:val="0093060C"/>
    <w:rsid w:val="00930757"/>
    <w:rsid w:val="0093076B"/>
    <w:rsid w:val="00930B03"/>
    <w:rsid w:val="00930F9D"/>
    <w:rsid w:val="009310F9"/>
    <w:rsid w:val="00931425"/>
    <w:rsid w:val="00931563"/>
    <w:rsid w:val="009316D9"/>
    <w:rsid w:val="00931757"/>
    <w:rsid w:val="009318F5"/>
    <w:rsid w:val="0093193D"/>
    <w:rsid w:val="00931C01"/>
    <w:rsid w:val="00931E37"/>
    <w:rsid w:val="00931FE5"/>
    <w:rsid w:val="0093223F"/>
    <w:rsid w:val="00932440"/>
    <w:rsid w:val="009324DA"/>
    <w:rsid w:val="009324E8"/>
    <w:rsid w:val="009325DA"/>
    <w:rsid w:val="00932677"/>
    <w:rsid w:val="009326AE"/>
    <w:rsid w:val="009329BC"/>
    <w:rsid w:val="00932AE8"/>
    <w:rsid w:val="00932D45"/>
    <w:rsid w:val="00932D53"/>
    <w:rsid w:val="00932F39"/>
    <w:rsid w:val="00933016"/>
    <w:rsid w:val="0093312A"/>
    <w:rsid w:val="00933337"/>
    <w:rsid w:val="009334A0"/>
    <w:rsid w:val="009336D9"/>
    <w:rsid w:val="00933882"/>
    <w:rsid w:val="00933899"/>
    <w:rsid w:val="00933962"/>
    <w:rsid w:val="00933998"/>
    <w:rsid w:val="00933A88"/>
    <w:rsid w:val="00933AAA"/>
    <w:rsid w:val="00933C24"/>
    <w:rsid w:val="00933D23"/>
    <w:rsid w:val="00933E83"/>
    <w:rsid w:val="0093400D"/>
    <w:rsid w:val="009342F1"/>
    <w:rsid w:val="009343B0"/>
    <w:rsid w:val="009343EC"/>
    <w:rsid w:val="00934534"/>
    <w:rsid w:val="0093461C"/>
    <w:rsid w:val="00934777"/>
    <w:rsid w:val="00934CA0"/>
    <w:rsid w:val="00934CAA"/>
    <w:rsid w:val="00934CEC"/>
    <w:rsid w:val="00934EB3"/>
    <w:rsid w:val="00935095"/>
    <w:rsid w:val="009350ED"/>
    <w:rsid w:val="00935224"/>
    <w:rsid w:val="009352E9"/>
    <w:rsid w:val="0093551A"/>
    <w:rsid w:val="00935539"/>
    <w:rsid w:val="0093560B"/>
    <w:rsid w:val="0093595A"/>
    <w:rsid w:val="00935A71"/>
    <w:rsid w:val="00935D10"/>
    <w:rsid w:val="00935F07"/>
    <w:rsid w:val="0093606B"/>
    <w:rsid w:val="0093660B"/>
    <w:rsid w:val="00936781"/>
    <w:rsid w:val="00936863"/>
    <w:rsid w:val="00936A19"/>
    <w:rsid w:val="00936AA8"/>
    <w:rsid w:val="00936B75"/>
    <w:rsid w:val="00936C72"/>
    <w:rsid w:val="00936F0B"/>
    <w:rsid w:val="0093715E"/>
    <w:rsid w:val="00937426"/>
    <w:rsid w:val="009378CD"/>
    <w:rsid w:val="00937999"/>
    <w:rsid w:val="00937AF0"/>
    <w:rsid w:val="00937F03"/>
    <w:rsid w:val="00937FD6"/>
    <w:rsid w:val="0094012C"/>
    <w:rsid w:val="009402F5"/>
    <w:rsid w:val="009404FC"/>
    <w:rsid w:val="0094051F"/>
    <w:rsid w:val="00940643"/>
    <w:rsid w:val="0094068C"/>
    <w:rsid w:val="00940741"/>
    <w:rsid w:val="00940816"/>
    <w:rsid w:val="00940960"/>
    <w:rsid w:val="00940C15"/>
    <w:rsid w:val="00940D0D"/>
    <w:rsid w:val="00940F68"/>
    <w:rsid w:val="009413CA"/>
    <w:rsid w:val="00941423"/>
    <w:rsid w:val="009416BA"/>
    <w:rsid w:val="00941833"/>
    <w:rsid w:val="0094187B"/>
    <w:rsid w:val="00941A6D"/>
    <w:rsid w:val="00941B09"/>
    <w:rsid w:val="00941CC4"/>
    <w:rsid w:val="00941D3C"/>
    <w:rsid w:val="00942291"/>
    <w:rsid w:val="00942547"/>
    <w:rsid w:val="00942805"/>
    <w:rsid w:val="00942822"/>
    <w:rsid w:val="0094293E"/>
    <w:rsid w:val="009429EF"/>
    <w:rsid w:val="00942A94"/>
    <w:rsid w:val="00942C35"/>
    <w:rsid w:val="00942F2B"/>
    <w:rsid w:val="009431EA"/>
    <w:rsid w:val="0094339E"/>
    <w:rsid w:val="00943BB4"/>
    <w:rsid w:val="00943E9C"/>
    <w:rsid w:val="009440A9"/>
    <w:rsid w:val="0094417A"/>
    <w:rsid w:val="00944394"/>
    <w:rsid w:val="00944AA4"/>
    <w:rsid w:val="00944B36"/>
    <w:rsid w:val="00944D85"/>
    <w:rsid w:val="00944F60"/>
    <w:rsid w:val="009453FC"/>
    <w:rsid w:val="009454AA"/>
    <w:rsid w:val="009454D5"/>
    <w:rsid w:val="009456E6"/>
    <w:rsid w:val="009459C2"/>
    <w:rsid w:val="00945D96"/>
    <w:rsid w:val="00945E71"/>
    <w:rsid w:val="00945F60"/>
    <w:rsid w:val="00946704"/>
    <w:rsid w:val="0094680D"/>
    <w:rsid w:val="00946B4F"/>
    <w:rsid w:val="00946D8D"/>
    <w:rsid w:val="00946F1A"/>
    <w:rsid w:val="00947561"/>
    <w:rsid w:val="009476C9"/>
    <w:rsid w:val="009477C8"/>
    <w:rsid w:val="009478FE"/>
    <w:rsid w:val="009479BF"/>
    <w:rsid w:val="00947CC6"/>
    <w:rsid w:val="00947FFE"/>
    <w:rsid w:val="0095014B"/>
    <w:rsid w:val="009501CB"/>
    <w:rsid w:val="00950299"/>
    <w:rsid w:val="009502E4"/>
    <w:rsid w:val="00950590"/>
    <w:rsid w:val="00950A1B"/>
    <w:rsid w:val="00950F36"/>
    <w:rsid w:val="00951097"/>
    <w:rsid w:val="00951130"/>
    <w:rsid w:val="009512BA"/>
    <w:rsid w:val="00951679"/>
    <w:rsid w:val="009518E1"/>
    <w:rsid w:val="00951932"/>
    <w:rsid w:val="00951980"/>
    <w:rsid w:val="00951C9F"/>
    <w:rsid w:val="009520D0"/>
    <w:rsid w:val="0095233A"/>
    <w:rsid w:val="0095236B"/>
    <w:rsid w:val="009523F0"/>
    <w:rsid w:val="009523F3"/>
    <w:rsid w:val="009523FE"/>
    <w:rsid w:val="0095270B"/>
    <w:rsid w:val="0095287F"/>
    <w:rsid w:val="00952B73"/>
    <w:rsid w:val="00952D26"/>
    <w:rsid w:val="00952EF1"/>
    <w:rsid w:val="00953578"/>
    <w:rsid w:val="00953709"/>
    <w:rsid w:val="009537C6"/>
    <w:rsid w:val="0095391D"/>
    <w:rsid w:val="00953AF8"/>
    <w:rsid w:val="00953C7E"/>
    <w:rsid w:val="00953E16"/>
    <w:rsid w:val="00954345"/>
    <w:rsid w:val="00954397"/>
    <w:rsid w:val="009543F3"/>
    <w:rsid w:val="00954760"/>
    <w:rsid w:val="00954920"/>
    <w:rsid w:val="0095499F"/>
    <w:rsid w:val="00954EE0"/>
    <w:rsid w:val="00954F79"/>
    <w:rsid w:val="00954FB9"/>
    <w:rsid w:val="009550AB"/>
    <w:rsid w:val="009551E5"/>
    <w:rsid w:val="009553EA"/>
    <w:rsid w:val="00955477"/>
    <w:rsid w:val="00955598"/>
    <w:rsid w:val="0095566E"/>
    <w:rsid w:val="00955CC1"/>
    <w:rsid w:val="00955FB4"/>
    <w:rsid w:val="009560A5"/>
    <w:rsid w:val="009560FA"/>
    <w:rsid w:val="00956126"/>
    <w:rsid w:val="009564B8"/>
    <w:rsid w:val="009564ED"/>
    <w:rsid w:val="00956530"/>
    <w:rsid w:val="00956892"/>
    <w:rsid w:val="00956977"/>
    <w:rsid w:val="009569C3"/>
    <w:rsid w:val="00956B79"/>
    <w:rsid w:val="00956CC9"/>
    <w:rsid w:val="00956D48"/>
    <w:rsid w:val="00956D92"/>
    <w:rsid w:val="00956DE2"/>
    <w:rsid w:val="00956E23"/>
    <w:rsid w:val="00956ECA"/>
    <w:rsid w:val="00956F6E"/>
    <w:rsid w:val="00957148"/>
    <w:rsid w:val="009571C2"/>
    <w:rsid w:val="00957544"/>
    <w:rsid w:val="00957657"/>
    <w:rsid w:val="009576D3"/>
    <w:rsid w:val="009577CB"/>
    <w:rsid w:val="009578F1"/>
    <w:rsid w:val="00957A26"/>
    <w:rsid w:val="00957AA9"/>
    <w:rsid w:val="00957B75"/>
    <w:rsid w:val="00957BD9"/>
    <w:rsid w:val="00957E18"/>
    <w:rsid w:val="00957F40"/>
    <w:rsid w:val="00957FC6"/>
    <w:rsid w:val="0096010D"/>
    <w:rsid w:val="00960163"/>
    <w:rsid w:val="0096018C"/>
    <w:rsid w:val="0096024A"/>
    <w:rsid w:val="0096028B"/>
    <w:rsid w:val="009603F0"/>
    <w:rsid w:val="009604E1"/>
    <w:rsid w:val="009604FD"/>
    <w:rsid w:val="0096078E"/>
    <w:rsid w:val="009607C1"/>
    <w:rsid w:val="00960984"/>
    <w:rsid w:val="009609CA"/>
    <w:rsid w:val="00960DAC"/>
    <w:rsid w:val="00960E3C"/>
    <w:rsid w:val="00960F8C"/>
    <w:rsid w:val="009610DD"/>
    <w:rsid w:val="00961247"/>
    <w:rsid w:val="009612B7"/>
    <w:rsid w:val="009612F7"/>
    <w:rsid w:val="00961483"/>
    <w:rsid w:val="00961669"/>
    <w:rsid w:val="009619AC"/>
    <w:rsid w:val="00961AB6"/>
    <w:rsid w:val="00961FCE"/>
    <w:rsid w:val="009621FA"/>
    <w:rsid w:val="009622DE"/>
    <w:rsid w:val="009623A8"/>
    <w:rsid w:val="00962602"/>
    <w:rsid w:val="00962762"/>
    <w:rsid w:val="009627D1"/>
    <w:rsid w:val="00962C6D"/>
    <w:rsid w:val="00962E56"/>
    <w:rsid w:val="00962F08"/>
    <w:rsid w:val="00962FED"/>
    <w:rsid w:val="00963007"/>
    <w:rsid w:val="0096300E"/>
    <w:rsid w:val="00963164"/>
    <w:rsid w:val="009631F1"/>
    <w:rsid w:val="00963323"/>
    <w:rsid w:val="00963327"/>
    <w:rsid w:val="00963554"/>
    <w:rsid w:val="00963614"/>
    <w:rsid w:val="009637D9"/>
    <w:rsid w:val="00963876"/>
    <w:rsid w:val="00963AA5"/>
    <w:rsid w:val="00963B45"/>
    <w:rsid w:val="00963D98"/>
    <w:rsid w:val="00963EB6"/>
    <w:rsid w:val="00963F2F"/>
    <w:rsid w:val="00964180"/>
    <w:rsid w:val="009642DE"/>
    <w:rsid w:val="00964388"/>
    <w:rsid w:val="0096448C"/>
    <w:rsid w:val="009644D0"/>
    <w:rsid w:val="0096458C"/>
    <w:rsid w:val="00964794"/>
    <w:rsid w:val="009647B4"/>
    <w:rsid w:val="009647EF"/>
    <w:rsid w:val="0096487C"/>
    <w:rsid w:val="00964917"/>
    <w:rsid w:val="00964CDD"/>
    <w:rsid w:val="00964E82"/>
    <w:rsid w:val="0096507A"/>
    <w:rsid w:val="009650BF"/>
    <w:rsid w:val="00965281"/>
    <w:rsid w:val="00965344"/>
    <w:rsid w:val="00965662"/>
    <w:rsid w:val="00965BE8"/>
    <w:rsid w:val="00965E07"/>
    <w:rsid w:val="00965FB8"/>
    <w:rsid w:val="00965FD5"/>
    <w:rsid w:val="0096607A"/>
    <w:rsid w:val="0096610B"/>
    <w:rsid w:val="00966297"/>
    <w:rsid w:val="009666F1"/>
    <w:rsid w:val="009667AE"/>
    <w:rsid w:val="009668BC"/>
    <w:rsid w:val="009669AD"/>
    <w:rsid w:val="00966CC1"/>
    <w:rsid w:val="00966D62"/>
    <w:rsid w:val="00966FBB"/>
    <w:rsid w:val="00967000"/>
    <w:rsid w:val="009670B0"/>
    <w:rsid w:val="00967121"/>
    <w:rsid w:val="0096717E"/>
    <w:rsid w:val="00967237"/>
    <w:rsid w:val="009673C6"/>
    <w:rsid w:val="009674AA"/>
    <w:rsid w:val="00967666"/>
    <w:rsid w:val="00967787"/>
    <w:rsid w:val="00967A6E"/>
    <w:rsid w:val="00967A9E"/>
    <w:rsid w:val="00967B14"/>
    <w:rsid w:val="00967C2F"/>
    <w:rsid w:val="00967CBC"/>
    <w:rsid w:val="00967FCD"/>
    <w:rsid w:val="00970115"/>
    <w:rsid w:val="00970135"/>
    <w:rsid w:val="0097015F"/>
    <w:rsid w:val="009701B9"/>
    <w:rsid w:val="009702D3"/>
    <w:rsid w:val="00970317"/>
    <w:rsid w:val="00970974"/>
    <w:rsid w:val="00970B0B"/>
    <w:rsid w:val="00970D23"/>
    <w:rsid w:val="00970E0F"/>
    <w:rsid w:val="00970E52"/>
    <w:rsid w:val="00970EB8"/>
    <w:rsid w:val="00971395"/>
    <w:rsid w:val="00971484"/>
    <w:rsid w:val="009716EA"/>
    <w:rsid w:val="00971B91"/>
    <w:rsid w:val="00971E27"/>
    <w:rsid w:val="009721D3"/>
    <w:rsid w:val="0097257F"/>
    <w:rsid w:val="009726A6"/>
    <w:rsid w:val="009726DF"/>
    <w:rsid w:val="009727BA"/>
    <w:rsid w:val="00972965"/>
    <w:rsid w:val="00972A00"/>
    <w:rsid w:val="00972A93"/>
    <w:rsid w:val="00972B2E"/>
    <w:rsid w:val="00972D2D"/>
    <w:rsid w:val="00972DB2"/>
    <w:rsid w:val="00972E43"/>
    <w:rsid w:val="0097302C"/>
    <w:rsid w:val="009730D0"/>
    <w:rsid w:val="009730F7"/>
    <w:rsid w:val="0097315A"/>
    <w:rsid w:val="009734C3"/>
    <w:rsid w:val="00973571"/>
    <w:rsid w:val="009735CA"/>
    <w:rsid w:val="009736D0"/>
    <w:rsid w:val="00973A9B"/>
    <w:rsid w:val="00973B8E"/>
    <w:rsid w:val="00973E26"/>
    <w:rsid w:val="00973FC8"/>
    <w:rsid w:val="0097425B"/>
    <w:rsid w:val="009743C8"/>
    <w:rsid w:val="0097469A"/>
    <w:rsid w:val="00974957"/>
    <w:rsid w:val="0097501C"/>
    <w:rsid w:val="00975659"/>
    <w:rsid w:val="00975660"/>
    <w:rsid w:val="00975AC8"/>
    <w:rsid w:val="00975B7C"/>
    <w:rsid w:val="00975C51"/>
    <w:rsid w:val="00975E25"/>
    <w:rsid w:val="00976122"/>
    <w:rsid w:val="0097626B"/>
    <w:rsid w:val="00976345"/>
    <w:rsid w:val="009766C5"/>
    <w:rsid w:val="009767C2"/>
    <w:rsid w:val="00976C1D"/>
    <w:rsid w:val="00976CD6"/>
    <w:rsid w:val="00976E32"/>
    <w:rsid w:val="0097714F"/>
    <w:rsid w:val="009773AA"/>
    <w:rsid w:val="009775AD"/>
    <w:rsid w:val="00977A17"/>
    <w:rsid w:val="00977A52"/>
    <w:rsid w:val="00977F40"/>
    <w:rsid w:val="00980420"/>
    <w:rsid w:val="00980492"/>
    <w:rsid w:val="00980D96"/>
    <w:rsid w:val="00981029"/>
    <w:rsid w:val="009811A5"/>
    <w:rsid w:val="009812AE"/>
    <w:rsid w:val="0098138C"/>
    <w:rsid w:val="00981437"/>
    <w:rsid w:val="00981517"/>
    <w:rsid w:val="0098171E"/>
    <w:rsid w:val="009817EC"/>
    <w:rsid w:val="00981867"/>
    <w:rsid w:val="00981A56"/>
    <w:rsid w:val="00981B21"/>
    <w:rsid w:val="00981D2B"/>
    <w:rsid w:val="00981D34"/>
    <w:rsid w:val="00981DB4"/>
    <w:rsid w:val="00981DBD"/>
    <w:rsid w:val="00981F87"/>
    <w:rsid w:val="00982208"/>
    <w:rsid w:val="00982265"/>
    <w:rsid w:val="009822FE"/>
    <w:rsid w:val="009824E4"/>
    <w:rsid w:val="0098257A"/>
    <w:rsid w:val="009829F0"/>
    <w:rsid w:val="00982D35"/>
    <w:rsid w:val="009833ED"/>
    <w:rsid w:val="0098376F"/>
    <w:rsid w:val="0098378D"/>
    <w:rsid w:val="00983909"/>
    <w:rsid w:val="00983BEB"/>
    <w:rsid w:val="00983D79"/>
    <w:rsid w:val="00983EAA"/>
    <w:rsid w:val="0098403A"/>
    <w:rsid w:val="0098405D"/>
    <w:rsid w:val="0098415F"/>
    <w:rsid w:val="00984179"/>
    <w:rsid w:val="0098443A"/>
    <w:rsid w:val="009849A8"/>
    <w:rsid w:val="00984C2E"/>
    <w:rsid w:val="00984EBD"/>
    <w:rsid w:val="00984FB2"/>
    <w:rsid w:val="00984FD0"/>
    <w:rsid w:val="00985276"/>
    <w:rsid w:val="00985307"/>
    <w:rsid w:val="009855A6"/>
    <w:rsid w:val="0098595D"/>
    <w:rsid w:val="009859A3"/>
    <w:rsid w:val="00985AE6"/>
    <w:rsid w:val="00985E4A"/>
    <w:rsid w:val="00985E95"/>
    <w:rsid w:val="00985EC5"/>
    <w:rsid w:val="00985ED5"/>
    <w:rsid w:val="0098600B"/>
    <w:rsid w:val="0098627D"/>
    <w:rsid w:val="0098648B"/>
    <w:rsid w:val="00986CD9"/>
    <w:rsid w:val="00986DF8"/>
    <w:rsid w:val="0098715D"/>
    <w:rsid w:val="009871FC"/>
    <w:rsid w:val="00987593"/>
    <w:rsid w:val="00987752"/>
    <w:rsid w:val="00987AB8"/>
    <w:rsid w:val="00987CDF"/>
    <w:rsid w:val="00987D48"/>
    <w:rsid w:val="00987DE0"/>
    <w:rsid w:val="00990133"/>
    <w:rsid w:val="00990174"/>
    <w:rsid w:val="00990239"/>
    <w:rsid w:val="0099024E"/>
    <w:rsid w:val="009904BD"/>
    <w:rsid w:val="00990819"/>
    <w:rsid w:val="00990872"/>
    <w:rsid w:val="00990B6B"/>
    <w:rsid w:val="00991095"/>
    <w:rsid w:val="00991239"/>
    <w:rsid w:val="00991278"/>
    <w:rsid w:val="009912F3"/>
    <w:rsid w:val="00991711"/>
    <w:rsid w:val="00991776"/>
    <w:rsid w:val="00991980"/>
    <w:rsid w:val="00991992"/>
    <w:rsid w:val="009919A5"/>
    <w:rsid w:val="00991BE5"/>
    <w:rsid w:val="00991DF5"/>
    <w:rsid w:val="00991E69"/>
    <w:rsid w:val="00991F1B"/>
    <w:rsid w:val="00991F27"/>
    <w:rsid w:val="0099204B"/>
    <w:rsid w:val="009924CE"/>
    <w:rsid w:val="00992512"/>
    <w:rsid w:val="00992795"/>
    <w:rsid w:val="009928BC"/>
    <w:rsid w:val="00992A16"/>
    <w:rsid w:val="0099302A"/>
    <w:rsid w:val="00993431"/>
    <w:rsid w:val="00993473"/>
    <w:rsid w:val="009934F9"/>
    <w:rsid w:val="00993649"/>
    <w:rsid w:val="00993802"/>
    <w:rsid w:val="00993915"/>
    <w:rsid w:val="00993918"/>
    <w:rsid w:val="00993981"/>
    <w:rsid w:val="009939EC"/>
    <w:rsid w:val="00993C1F"/>
    <w:rsid w:val="00993E08"/>
    <w:rsid w:val="00994031"/>
    <w:rsid w:val="009940B5"/>
    <w:rsid w:val="00994169"/>
    <w:rsid w:val="009943E2"/>
    <w:rsid w:val="00994429"/>
    <w:rsid w:val="009945A2"/>
    <w:rsid w:val="009945DB"/>
    <w:rsid w:val="00994860"/>
    <w:rsid w:val="00994BAC"/>
    <w:rsid w:val="00994C73"/>
    <w:rsid w:val="00994C8B"/>
    <w:rsid w:val="00994CD4"/>
    <w:rsid w:val="009954B7"/>
    <w:rsid w:val="009954F0"/>
    <w:rsid w:val="009957A4"/>
    <w:rsid w:val="0099596B"/>
    <w:rsid w:val="00995A58"/>
    <w:rsid w:val="00995B9D"/>
    <w:rsid w:val="00995D84"/>
    <w:rsid w:val="009960A8"/>
    <w:rsid w:val="009960FD"/>
    <w:rsid w:val="00996162"/>
    <w:rsid w:val="00996243"/>
    <w:rsid w:val="009963D1"/>
    <w:rsid w:val="00996A3B"/>
    <w:rsid w:val="00996BA5"/>
    <w:rsid w:val="00996EEB"/>
    <w:rsid w:val="009970C2"/>
    <w:rsid w:val="00997168"/>
    <w:rsid w:val="009971E4"/>
    <w:rsid w:val="009971F6"/>
    <w:rsid w:val="0099726C"/>
    <w:rsid w:val="009973FB"/>
    <w:rsid w:val="00997519"/>
    <w:rsid w:val="009977BB"/>
    <w:rsid w:val="009977E2"/>
    <w:rsid w:val="00997ADF"/>
    <w:rsid w:val="00997AEC"/>
    <w:rsid w:val="00997C38"/>
    <w:rsid w:val="00997E2A"/>
    <w:rsid w:val="009A0070"/>
    <w:rsid w:val="009A0087"/>
    <w:rsid w:val="009A0093"/>
    <w:rsid w:val="009A00E7"/>
    <w:rsid w:val="009A011D"/>
    <w:rsid w:val="009A035D"/>
    <w:rsid w:val="009A0386"/>
    <w:rsid w:val="009A0392"/>
    <w:rsid w:val="009A03BB"/>
    <w:rsid w:val="009A03C6"/>
    <w:rsid w:val="009A078E"/>
    <w:rsid w:val="009A0935"/>
    <w:rsid w:val="009A0BEA"/>
    <w:rsid w:val="009A0C7C"/>
    <w:rsid w:val="009A1399"/>
    <w:rsid w:val="009A146E"/>
    <w:rsid w:val="009A1523"/>
    <w:rsid w:val="009A1555"/>
    <w:rsid w:val="009A190A"/>
    <w:rsid w:val="009A19CD"/>
    <w:rsid w:val="009A1A67"/>
    <w:rsid w:val="009A1A8E"/>
    <w:rsid w:val="009A1B96"/>
    <w:rsid w:val="009A1C09"/>
    <w:rsid w:val="009A1D9C"/>
    <w:rsid w:val="009A1F7D"/>
    <w:rsid w:val="009A20E7"/>
    <w:rsid w:val="009A226D"/>
    <w:rsid w:val="009A24C2"/>
    <w:rsid w:val="009A2609"/>
    <w:rsid w:val="009A27B9"/>
    <w:rsid w:val="009A2A99"/>
    <w:rsid w:val="009A2B6F"/>
    <w:rsid w:val="009A2BFC"/>
    <w:rsid w:val="009A2C2A"/>
    <w:rsid w:val="009A2C74"/>
    <w:rsid w:val="009A2E74"/>
    <w:rsid w:val="009A3003"/>
    <w:rsid w:val="009A3038"/>
    <w:rsid w:val="009A34AB"/>
    <w:rsid w:val="009A35AC"/>
    <w:rsid w:val="009A371A"/>
    <w:rsid w:val="009A3906"/>
    <w:rsid w:val="009A3C6D"/>
    <w:rsid w:val="009A3D10"/>
    <w:rsid w:val="009A3E09"/>
    <w:rsid w:val="009A4210"/>
    <w:rsid w:val="009A4452"/>
    <w:rsid w:val="009A4505"/>
    <w:rsid w:val="009A4516"/>
    <w:rsid w:val="009A468B"/>
    <w:rsid w:val="009A46D7"/>
    <w:rsid w:val="009A4843"/>
    <w:rsid w:val="009A4902"/>
    <w:rsid w:val="009A4ACE"/>
    <w:rsid w:val="009A4B8C"/>
    <w:rsid w:val="009A4F1D"/>
    <w:rsid w:val="009A55DE"/>
    <w:rsid w:val="009A564A"/>
    <w:rsid w:val="009A568C"/>
    <w:rsid w:val="009A5799"/>
    <w:rsid w:val="009A583C"/>
    <w:rsid w:val="009A5ADD"/>
    <w:rsid w:val="009A5BAA"/>
    <w:rsid w:val="009A5BD1"/>
    <w:rsid w:val="009A5EAB"/>
    <w:rsid w:val="009A605E"/>
    <w:rsid w:val="009A61F2"/>
    <w:rsid w:val="009A6408"/>
    <w:rsid w:val="009A66DC"/>
    <w:rsid w:val="009A691E"/>
    <w:rsid w:val="009A696D"/>
    <w:rsid w:val="009A69F0"/>
    <w:rsid w:val="009A6DDB"/>
    <w:rsid w:val="009A6F1D"/>
    <w:rsid w:val="009A7156"/>
    <w:rsid w:val="009A72B5"/>
    <w:rsid w:val="009A747A"/>
    <w:rsid w:val="009A748C"/>
    <w:rsid w:val="009A75F5"/>
    <w:rsid w:val="009A7940"/>
    <w:rsid w:val="009A7C4D"/>
    <w:rsid w:val="009A7C98"/>
    <w:rsid w:val="009A7CA6"/>
    <w:rsid w:val="009A7D14"/>
    <w:rsid w:val="009A7DB6"/>
    <w:rsid w:val="009A7E9E"/>
    <w:rsid w:val="009B0015"/>
    <w:rsid w:val="009B01D0"/>
    <w:rsid w:val="009B02CB"/>
    <w:rsid w:val="009B0403"/>
    <w:rsid w:val="009B04DC"/>
    <w:rsid w:val="009B0661"/>
    <w:rsid w:val="009B068B"/>
    <w:rsid w:val="009B0776"/>
    <w:rsid w:val="009B0BFD"/>
    <w:rsid w:val="009B0D3D"/>
    <w:rsid w:val="009B11C0"/>
    <w:rsid w:val="009B136B"/>
    <w:rsid w:val="009B13A1"/>
    <w:rsid w:val="009B140F"/>
    <w:rsid w:val="009B1419"/>
    <w:rsid w:val="009B1876"/>
    <w:rsid w:val="009B19D2"/>
    <w:rsid w:val="009B1A02"/>
    <w:rsid w:val="009B1A0F"/>
    <w:rsid w:val="009B1B4C"/>
    <w:rsid w:val="009B1C6E"/>
    <w:rsid w:val="009B1ED2"/>
    <w:rsid w:val="009B1F36"/>
    <w:rsid w:val="009B1FC1"/>
    <w:rsid w:val="009B2050"/>
    <w:rsid w:val="009B20AC"/>
    <w:rsid w:val="009B211F"/>
    <w:rsid w:val="009B2194"/>
    <w:rsid w:val="009B2963"/>
    <w:rsid w:val="009B2A7A"/>
    <w:rsid w:val="009B2BA4"/>
    <w:rsid w:val="009B2C3B"/>
    <w:rsid w:val="009B2D48"/>
    <w:rsid w:val="009B3486"/>
    <w:rsid w:val="009B34F3"/>
    <w:rsid w:val="009B34F7"/>
    <w:rsid w:val="009B35F0"/>
    <w:rsid w:val="009B37BE"/>
    <w:rsid w:val="009B3D51"/>
    <w:rsid w:val="009B3DCD"/>
    <w:rsid w:val="009B4008"/>
    <w:rsid w:val="009B41D8"/>
    <w:rsid w:val="009B4272"/>
    <w:rsid w:val="009B43D1"/>
    <w:rsid w:val="009B487A"/>
    <w:rsid w:val="009B4DD2"/>
    <w:rsid w:val="009B4E1B"/>
    <w:rsid w:val="009B5199"/>
    <w:rsid w:val="009B52F3"/>
    <w:rsid w:val="009B556E"/>
    <w:rsid w:val="009B55CF"/>
    <w:rsid w:val="009B5697"/>
    <w:rsid w:val="009B5B6B"/>
    <w:rsid w:val="009B5BC2"/>
    <w:rsid w:val="009B5C57"/>
    <w:rsid w:val="009B612A"/>
    <w:rsid w:val="009B62A4"/>
    <w:rsid w:val="009B6606"/>
    <w:rsid w:val="009B66C9"/>
    <w:rsid w:val="009B689B"/>
    <w:rsid w:val="009B69D7"/>
    <w:rsid w:val="009B6C61"/>
    <w:rsid w:val="009B6E6D"/>
    <w:rsid w:val="009B728C"/>
    <w:rsid w:val="009B72BF"/>
    <w:rsid w:val="009B7606"/>
    <w:rsid w:val="009B7AA1"/>
    <w:rsid w:val="009B7B62"/>
    <w:rsid w:val="009B7CE1"/>
    <w:rsid w:val="009B7D54"/>
    <w:rsid w:val="009B7F65"/>
    <w:rsid w:val="009C00AD"/>
    <w:rsid w:val="009C040E"/>
    <w:rsid w:val="009C04C4"/>
    <w:rsid w:val="009C055F"/>
    <w:rsid w:val="009C066C"/>
    <w:rsid w:val="009C0D4A"/>
    <w:rsid w:val="009C0E6D"/>
    <w:rsid w:val="009C0F46"/>
    <w:rsid w:val="009C0FEF"/>
    <w:rsid w:val="009C133D"/>
    <w:rsid w:val="009C1346"/>
    <w:rsid w:val="009C1442"/>
    <w:rsid w:val="009C15E1"/>
    <w:rsid w:val="009C1652"/>
    <w:rsid w:val="009C18B4"/>
    <w:rsid w:val="009C1BF4"/>
    <w:rsid w:val="009C1F91"/>
    <w:rsid w:val="009C2530"/>
    <w:rsid w:val="009C28D3"/>
    <w:rsid w:val="009C2959"/>
    <w:rsid w:val="009C2978"/>
    <w:rsid w:val="009C29C1"/>
    <w:rsid w:val="009C2C12"/>
    <w:rsid w:val="009C2CE7"/>
    <w:rsid w:val="009C2DA7"/>
    <w:rsid w:val="009C303D"/>
    <w:rsid w:val="009C333A"/>
    <w:rsid w:val="009C3391"/>
    <w:rsid w:val="009C3403"/>
    <w:rsid w:val="009C350B"/>
    <w:rsid w:val="009C3D73"/>
    <w:rsid w:val="009C3ED1"/>
    <w:rsid w:val="009C3F11"/>
    <w:rsid w:val="009C402D"/>
    <w:rsid w:val="009C407C"/>
    <w:rsid w:val="009C41F4"/>
    <w:rsid w:val="009C4747"/>
    <w:rsid w:val="009C479E"/>
    <w:rsid w:val="009C4C10"/>
    <w:rsid w:val="009C4FF2"/>
    <w:rsid w:val="009C5141"/>
    <w:rsid w:val="009C5286"/>
    <w:rsid w:val="009C57FA"/>
    <w:rsid w:val="009C58D7"/>
    <w:rsid w:val="009C5D4A"/>
    <w:rsid w:val="009C5DA8"/>
    <w:rsid w:val="009C6100"/>
    <w:rsid w:val="009C6126"/>
    <w:rsid w:val="009C65A5"/>
    <w:rsid w:val="009C66AA"/>
    <w:rsid w:val="009C66F7"/>
    <w:rsid w:val="009C6721"/>
    <w:rsid w:val="009C6806"/>
    <w:rsid w:val="009C6868"/>
    <w:rsid w:val="009C68C4"/>
    <w:rsid w:val="009C68E8"/>
    <w:rsid w:val="009C6AA6"/>
    <w:rsid w:val="009C6CBC"/>
    <w:rsid w:val="009C6D32"/>
    <w:rsid w:val="009C6DF9"/>
    <w:rsid w:val="009C7026"/>
    <w:rsid w:val="009C70A8"/>
    <w:rsid w:val="009C7270"/>
    <w:rsid w:val="009C72B5"/>
    <w:rsid w:val="009C7399"/>
    <w:rsid w:val="009C741A"/>
    <w:rsid w:val="009C74B1"/>
    <w:rsid w:val="009C77F3"/>
    <w:rsid w:val="009C7875"/>
    <w:rsid w:val="009C7B73"/>
    <w:rsid w:val="009C7B9C"/>
    <w:rsid w:val="009C7BED"/>
    <w:rsid w:val="009C7D3C"/>
    <w:rsid w:val="009C7DA2"/>
    <w:rsid w:val="009C7DC5"/>
    <w:rsid w:val="009C7E16"/>
    <w:rsid w:val="009C7F52"/>
    <w:rsid w:val="009D0136"/>
    <w:rsid w:val="009D0202"/>
    <w:rsid w:val="009D03C1"/>
    <w:rsid w:val="009D07EF"/>
    <w:rsid w:val="009D0891"/>
    <w:rsid w:val="009D0A13"/>
    <w:rsid w:val="009D0A74"/>
    <w:rsid w:val="009D0B8B"/>
    <w:rsid w:val="009D0BA6"/>
    <w:rsid w:val="009D0CE5"/>
    <w:rsid w:val="009D0D14"/>
    <w:rsid w:val="009D0DE4"/>
    <w:rsid w:val="009D0F62"/>
    <w:rsid w:val="009D10C1"/>
    <w:rsid w:val="009D136B"/>
    <w:rsid w:val="009D1840"/>
    <w:rsid w:val="009D19F7"/>
    <w:rsid w:val="009D1B59"/>
    <w:rsid w:val="009D1C29"/>
    <w:rsid w:val="009D1CCA"/>
    <w:rsid w:val="009D1DE9"/>
    <w:rsid w:val="009D2020"/>
    <w:rsid w:val="009D211C"/>
    <w:rsid w:val="009D228D"/>
    <w:rsid w:val="009D232C"/>
    <w:rsid w:val="009D2406"/>
    <w:rsid w:val="009D2449"/>
    <w:rsid w:val="009D26CF"/>
    <w:rsid w:val="009D2792"/>
    <w:rsid w:val="009D27B7"/>
    <w:rsid w:val="009D2817"/>
    <w:rsid w:val="009D2868"/>
    <w:rsid w:val="009D295F"/>
    <w:rsid w:val="009D2A3C"/>
    <w:rsid w:val="009D2A8F"/>
    <w:rsid w:val="009D2B72"/>
    <w:rsid w:val="009D2B84"/>
    <w:rsid w:val="009D2D4D"/>
    <w:rsid w:val="009D2F47"/>
    <w:rsid w:val="009D32BB"/>
    <w:rsid w:val="009D3974"/>
    <w:rsid w:val="009D3A0E"/>
    <w:rsid w:val="009D3B03"/>
    <w:rsid w:val="009D3B7A"/>
    <w:rsid w:val="009D3C6A"/>
    <w:rsid w:val="009D3FB6"/>
    <w:rsid w:val="009D40B8"/>
    <w:rsid w:val="009D413C"/>
    <w:rsid w:val="009D44E6"/>
    <w:rsid w:val="009D4896"/>
    <w:rsid w:val="009D492C"/>
    <w:rsid w:val="009D4A33"/>
    <w:rsid w:val="009D4A9E"/>
    <w:rsid w:val="009D4F8F"/>
    <w:rsid w:val="009D4FC6"/>
    <w:rsid w:val="009D513D"/>
    <w:rsid w:val="009D533F"/>
    <w:rsid w:val="009D5355"/>
    <w:rsid w:val="009D543C"/>
    <w:rsid w:val="009D552D"/>
    <w:rsid w:val="009D5830"/>
    <w:rsid w:val="009D5A48"/>
    <w:rsid w:val="009D5C0A"/>
    <w:rsid w:val="009D5FCE"/>
    <w:rsid w:val="009D6122"/>
    <w:rsid w:val="009D669E"/>
    <w:rsid w:val="009D6781"/>
    <w:rsid w:val="009D6864"/>
    <w:rsid w:val="009D690D"/>
    <w:rsid w:val="009D6C1B"/>
    <w:rsid w:val="009D6CAF"/>
    <w:rsid w:val="009D6CC7"/>
    <w:rsid w:val="009D6D3D"/>
    <w:rsid w:val="009D6EF7"/>
    <w:rsid w:val="009D705E"/>
    <w:rsid w:val="009D732A"/>
    <w:rsid w:val="009D778F"/>
    <w:rsid w:val="009D7A7F"/>
    <w:rsid w:val="009E0139"/>
    <w:rsid w:val="009E044E"/>
    <w:rsid w:val="009E0464"/>
    <w:rsid w:val="009E0503"/>
    <w:rsid w:val="009E07BF"/>
    <w:rsid w:val="009E0833"/>
    <w:rsid w:val="009E0963"/>
    <w:rsid w:val="009E117E"/>
    <w:rsid w:val="009E13A8"/>
    <w:rsid w:val="009E144F"/>
    <w:rsid w:val="009E1547"/>
    <w:rsid w:val="009E1651"/>
    <w:rsid w:val="009E16F8"/>
    <w:rsid w:val="009E1AC2"/>
    <w:rsid w:val="009E1B44"/>
    <w:rsid w:val="009E1C59"/>
    <w:rsid w:val="009E1D9C"/>
    <w:rsid w:val="009E2029"/>
    <w:rsid w:val="009E2032"/>
    <w:rsid w:val="009E20AB"/>
    <w:rsid w:val="009E21BD"/>
    <w:rsid w:val="009E2369"/>
    <w:rsid w:val="009E288B"/>
    <w:rsid w:val="009E28F5"/>
    <w:rsid w:val="009E2CCE"/>
    <w:rsid w:val="009E2DA9"/>
    <w:rsid w:val="009E2E68"/>
    <w:rsid w:val="009E2E80"/>
    <w:rsid w:val="009E31E7"/>
    <w:rsid w:val="009E353D"/>
    <w:rsid w:val="009E36F2"/>
    <w:rsid w:val="009E3D2B"/>
    <w:rsid w:val="009E43B7"/>
    <w:rsid w:val="009E490A"/>
    <w:rsid w:val="009E49B7"/>
    <w:rsid w:val="009E4A8C"/>
    <w:rsid w:val="009E4B42"/>
    <w:rsid w:val="009E4D8A"/>
    <w:rsid w:val="009E4E4E"/>
    <w:rsid w:val="009E4F2D"/>
    <w:rsid w:val="009E4FC2"/>
    <w:rsid w:val="009E50CF"/>
    <w:rsid w:val="009E516C"/>
    <w:rsid w:val="009E5321"/>
    <w:rsid w:val="009E532D"/>
    <w:rsid w:val="009E5399"/>
    <w:rsid w:val="009E540F"/>
    <w:rsid w:val="009E5440"/>
    <w:rsid w:val="009E562D"/>
    <w:rsid w:val="009E5740"/>
    <w:rsid w:val="009E574C"/>
    <w:rsid w:val="009E57B3"/>
    <w:rsid w:val="009E5AEA"/>
    <w:rsid w:val="009E5B15"/>
    <w:rsid w:val="009E5D20"/>
    <w:rsid w:val="009E60A2"/>
    <w:rsid w:val="009E60D6"/>
    <w:rsid w:val="009E6249"/>
    <w:rsid w:val="009E63ED"/>
    <w:rsid w:val="009E64A1"/>
    <w:rsid w:val="009E65EC"/>
    <w:rsid w:val="009E6649"/>
    <w:rsid w:val="009E67A4"/>
    <w:rsid w:val="009E689F"/>
    <w:rsid w:val="009E6909"/>
    <w:rsid w:val="009E6D7B"/>
    <w:rsid w:val="009E6D89"/>
    <w:rsid w:val="009E6EF7"/>
    <w:rsid w:val="009E6F71"/>
    <w:rsid w:val="009E72A5"/>
    <w:rsid w:val="009E7608"/>
    <w:rsid w:val="009E7710"/>
    <w:rsid w:val="009E7721"/>
    <w:rsid w:val="009E7793"/>
    <w:rsid w:val="009E77EF"/>
    <w:rsid w:val="009E7839"/>
    <w:rsid w:val="009E7AA0"/>
    <w:rsid w:val="009E7B45"/>
    <w:rsid w:val="009E7C65"/>
    <w:rsid w:val="009E7D57"/>
    <w:rsid w:val="009E7F98"/>
    <w:rsid w:val="009F038C"/>
    <w:rsid w:val="009F0740"/>
    <w:rsid w:val="009F0760"/>
    <w:rsid w:val="009F0B0B"/>
    <w:rsid w:val="009F0BF2"/>
    <w:rsid w:val="009F0C76"/>
    <w:rsid w:val="009F0E70"/>
    <w:rsid w:val="009F0FDE"/>
    <w:rsid w:val="009F133D"/>
    <w:rsid w:val="009F14D5"/>
    <w:rsid w:val="009F1894"/>
    <w:rsid w:val="009F1982"/>
    <w:rsid w:val="009F1983"/>
    <w:rsid w:val="009F19F8"/>
    <w:rsid w:val="009F1AF6"/>
    <w:rsid w:val="009F1CD6"/>
    <w:rsid w:val="009F1E19"/>
    <w:rsid w:val="009F2052"/>
    <w:rsid w:val="009F22DC"/>
    <w:rsid w:val="009F269B"/>
    <w:rsid w:val="009F2789"/>
    <w:rsid w:val="009F28C3"/>
    <w:rsid w:val="009F2D82"/>
    <w:rsid w:val="009F2E92"/>
    <w:rsid w:val="009F30DF"/>
    <w:rsid w:val="009F31EA"/>
    <w:rsid w:val="009F353B"/>
    <w:rsid w:val="009F3832"/>
    <w:rsid w:val="009F3858"/>
    <w:rsid w:val="009F3E25"/>
    <w:rsid w:val="009F4183"/>
    <w:rsid w:val="009F42B4"/>
    <w:rsid w:val="009F470B"/>
    <w:rsid w:val="009F4AAB"/>
    <w:rsid w:val="009F4B93"/>
    <w:rsid w:val="009F4C9A"/>
    <w:rsid w:val="009F4D06"/>
    <w:rsid w:val="009F50EB"/>
    <w:rsid w:val="009F5213"/>
    <w:rsid w:val="009F543A"/>
    <w:rsid w:val="009F54AC"/>
    <w:rsid w:val="009F580F"/>
    <w:rsid w:val="009F5828"/>
    <w:rsid w:val="009F5871"/>
    <w:rsid w:val="009F58D4"/>
    <w:rsid w:val="009F596B"/>
    <w:rsid w:val="009F59DB"/>
    <w:rsid w:val="009F5E2C"/>
    <w:rsid w:val="009F6284"/>
    <w:rsid w:val="009F645C"/>
    <w:rsid w:val="009F6484"/>
    <w:rsid w:val="009F6538"/>
    <w:rsid w:val="009F6698"/>
    <w:rsid w:val="009F6720"/>
    <w:rsid w:val="009F672E"/>
    <w:rsid w:val="009F68A8"/>
    <w:rsid w:val="009F6A46"/>
    <w:rsid w:val="009F6A61"/>
    <w:rsid w:val="009F6C76"/>
    <w:rsid w:val="009F73FA"/>
    <w:rsid w:val="009F7866"/>
    <w:rsid w:val="009F7AA9"/>
    <w:rsid w:val="009F7E8A"/>
    <w:rsid w:val="00A00105"/>
    <w:rsid w:val="00A00301"/>
    <w:rsid w:val="00A00571"/>
    <w:rsid w:val="00A00DA1"/>
    <w:rsid w:val="00A00DD0"/>
    <w:rsid w:val="00A00F3A"/>
    <w:rsid w:val="00A0146D"/>
    <w:rsid w:val="00A017A5"/>
    <w:rsid w:val="00A023DB"/>
    <w:rsid w:val="00A0284A"/>
    <w:rsid w:val="00A02D1D"/>
    <w:rsid w:val="00A02F2F"/>
    <w:rsid w:val="00A0319F"/>
    <w:rsid w:val="00A031B1"/>
    <w:rsid w:val="00A03AB1"/>
    <w:rsid w:val="00A03ADF"/>
    <w:rsid w:val="00A03BBE"/>
    <w:rsid w:val="00A03CA8"/>
    <w:rsid w:val="00A03E94"/>
    <w:rsid w:val="00A0472B"/>
    <w:rsid w:val="00A049C3"/>
    <w:rsid w:val="00A04AEF"/>
    <w:rsid w:val="00A04D23"/>
    <w:rsid w:val="00A04DC2"/>
    <w:rsid w:val="00A04EE7"/>
    <w:rsid w:val="00A05120"/>
    <w:rsid w:val="00A055BB"/>
    <w:rsid w:val="00A05B80"/>
    <w:rsid w:val="00A05D15"/>
    <w:rsid w:val="00A05DD0"/>
    <w:rsid w:val="00A05EE1"/>
    <w:rsid w:val="00A05FA8"/>
    <w:rsid w:val="00A061C6"/>
    <w:rsid w:val="00A064B9"/>
    <w:rsid w:val="00A067B9"/>
    <w:rsid w:val="00A06B3A"/>
    <w:rsid w:val="00A06E0A"/>
    <w:rsid w:val="00A0733C"/>
    <w:rsid w:val="00A073D3"/>
    <w:rsid w:val="00A073ED"/>
    <w:rsid w:val="00A0743B"/>
    <w:rsid w:val="00A07646"/>
    <w:rsid w:val="00A076B4"/>
    <w:rsid w:val="00A0789E"/>
    <w:rsid w:val="00A07A3C"/>
    <w:rsid w:val="00A07BE1"/>
    <w:rsid w:val="00A07CDB"/>
    <w:rsid w:val="00A102AF"/>
    <w:rsid w:val="00A10651"/>
    <w:rsid w:val="00A108F7"/>
    <w:rsid w:val="00A10D06"/>
    <w:rsid w:val="00A10D58"/>
    <w:rsid w:val="00A10E6E"/>
    <w:rsid w:val="00A11126"/>
    <w:rsid w:val="00A11327"/>
    <w:rsid w:val="00A114B2"/>
    <w:rsid w:val="00A1151F"/>
    <w:rsid w:val="00A115A1"/>
    <w:rsid w:val="00A115E4"/>
    <w:rsid w:val="00A11777"/>
    <w:rsid w:val="00A11A2F"/>
    <w:rsid w:val="00A11B91"/>
    <w:rsid w:val="00A11C31"/>
    <w:rsid w:val="00A12163"/>
    <w:rsid w:val="00A121A0"/>
    <w:rsid w:val="00A121E9"/>
    <w:rsid w:val="00A12338"/>
    <w:rsid w:val="00A12348"/>
    <w:rsid w:val="00A12763"/>
    <w:rsid w:val="00A127D8"/>
    <w:rsid w:val="00A12C83"/>
    <w:rsid w:val="00A12CFA"/>
    <w:rsid w:val="00A12DB3"/>
    <w:rsid w:val="00A12ECA"/>
    <w:rsid w:val="00A12F3A"/>
    <w:rsid w:val="00A1386E"/>
    <w:rsid w:val="00A13C63"/>
    <w:rsid w:val="00A13DA0"/>
    <w:rsid w:val="00A13E26"/>
    <w:rsid w:val="00A140FA"/>
    <w:rsid w:val="00A14421"/>
    <w:rsid w:val="00A14655"/>
    <w:rsid w:val="00A1469B"/>
    <w:rsid w:val="00A14731"/>
    <w:rsid w:val="00A1497E"/>
    <w:rsid w:val="00A14B2B"/>
    <w:rsid w:val="00A14BBA"/>
    <w:rsid w:val="00A14C6A"/>
    <w:rsid w:val="00A14DB0"/>
    <w:rsid w:val="00A14E90"/>
    <w:rsid w:val="00A15458"/>
    <w:rsid w:val="00A15777"/>
    <w:rsid w:val="00A1577E"/>
    <w:rsid w:val="00A15831"/>
    <w:rsid w:val="00A15835"/>
    <w:rsid w:val="00A158D7"/>
    <w:rsid w:val="00A1598F"/>
    <w:rsid w:val="00A15C0A"/>
    <w:rsid w:val="00A15DDD"/>
    <w:rsid w:val="00A15E30"/>
    <w:rsid w:val="00A15EA2"/>
    <w:rsid w:val="00A16047"/>
    <w:rsid w:val="00A160CC"/>
    <w:rsid w:val="00A160F9"/>
    <w:rsid w:val="00A164B8"/>
    <w:rsid w:val="00A164EE"/>
    <w:rsid w:val="00A16847"/>
    <w:rsid w:val="00A1689B"/>
    <w:rsid w:val="00A168BA"/>
    <w:rsid w:val="00A1694C"/>
    <w:rsid w:val="00A16ACE"/>
    <w:rsid w:val="00A16BE7"/>
    <w:rsid w:val="00A16C38"/>
    <w:rsid w:val="00A16C71"/>
    <w:rsid w:val="00A16D65"/>
    <w:rsid w:val="00A16D7B"/>
    <w:rsid w:val="00A16DEF"/>
    <w:rsid w:val="00A16EC2"/>
    <w:rsid w:val="00A16FF6"/>
    <w:rsid w:val="00A173F8"/>
    <w:rsid w:val="00A17625"/>
    <w:rsid w:val="00A17714"/>
    <w:rsid w:val="00A17737"/>
    <w:rsid w:val="00A177EA"/>
    <w:rsid w:val="00A178BC"/>
    <w:rsid w:val="00A178F6"/>
    <w:rsid w:val="00A17B8B"/>
    <w:rsid w:val="00A17C7A"/>
    <w:rsid w:val="00A17E22"/>
    <w:rsid w:val="00A20217"/>
    <w:rsid w:val="00A20663"/>
    <w:rsid w:val="00A2078F"/>
    <w:rsid w:val="00A20A54"/>
    <w:rsid w:val="00A20ACF"/>
    <w:rsid w:val="00A20B27"/>
    <w:rsid w:val="00A20BCB"/>
    <w:rsid w:val="00A20EFB"/>
    <w:rsid w:val="00A21102"/>
    <w:rsid w:val="00A214F6"/>
    <w:rsid w:val="00A216FB"/>
    <w:rsid w:val="00A21910"/>
    <w:rsid w:val="00A21D40"/>
    <w:rsid w:val="00A223B1"/>
    <w:rsid w:val="00A22869"/>
    <w:rsid w:val="00A22955"/>
    <w:rsid w:val="00A2298E"/>
    <w:rsid w:val="00A22A40"/>
    <w:rsid w:val="00A22DB0"/>
    <w:rsid w:val="00A22EAF"/>
    <w:rsid w:val="00A230B4"/>
    <w:rsid w:val="00A234E6"/>
    <w:rsid w:val="00A234F8"/>
    <w:rsid w:val="00A2357D"/>
    <w:rsid w:val="00A2358C"/>
    <w:rsid w:val="00A23701"/>
    <w:rsid w:val="00A238EA"/>
    <w:rsid w:val="00A23966"/>
    <w:rsid w:val="00A23A45"/>
    <w:rsid w:val="00A23A8E"/>
    <w:rsid w:val="00A23E2A"/>
    <w:rsid w:val="00A23F0D"/>
    <w:rsid w:val="00A23F44"/>
    <w:rsid w:val="00A2451B"/>
    <w:rsid w:val="00A2467D"/>
    <w:rsid w:val="00A24869"/>
    <w:rsid w:val="00A249A7"/>
    <w:rsid w:val="00A24A8D"/>
    <w:rsid w:val="00A24B1E"/>
    <w:rsid w:val="00A24BF5"/>
    <w:rsid w:val="00A24C47"/>
    <w:rsid w:val="00A24C60"/>
    <w:rsid w:val="00A24D04"/>
    <w:rsid w:val="00A25219"/>
    <w:rsid w:val="00A25250"/>
    <w:rsid w:val="00A25272"/>
    <w:rsid w:val="00A25303"/>
    <w:rsid w:val="00A259EB"/>
    <w:rsid w:val="00A25DAF"/>
    <w:rsid w:val="00A260DD"/>
    <w:rsid w:val="00A260E6"/>
    <w:rsid w:val="00A26119"/>
    <w:rsid w:val="00A2634A"/>
    <w:rsid w:val="00A26351"/>
    <w:rsid w:val="00A26454"/>
    <w:rsid w:val="00A26563"/>
    <w:rsid w:val="00A26573"/>
    <w:rsid w:val="00A26758"/>
    <w:rsid w:val="00A26B5B"/>
    <w:rsid w:val="00A26C3F"/>
    <w:rsid w:val="00A26E9D"/>
    <w:rsid w:val="00A2732B"/>
    <w:rsid w:val="00A275B9"/>
    <w:rsid w:val="00A275C6"/>
    <w:rsid w:val="00A27828"/>
    <w:rsid w:val="00A27865"/>
    <w:rsid w:val="00A27AFB"/>
    <w:rsid w:val="00A27B5E"/>
    <w:rsid w:val="00A27F6B"/>
    <w:rsid w:val="00A27FA6"/>
    <w:rsid w:val="00A3053F"/>
    <w:rsid w:val="00A307B9"/>
    <w:rsid w:val="00A30876"/>
    <w:rsid w:val="00A308CC"/>
    <w:rsid w:val="00A30B03"/>
    <w:rsid w:val="00A30B15"/>
    <w:rsid w:val="00A30B97"/>
    <w:rsid w:val="00A30D01"/>
    <w:rsid w:val="00A30EC2"/>
    <w:rsid w:val="00A30ED9"/>
    <w:rsid w:val="00A3144B"/>
    <w:rsid w:val="00A314D3"/>
    <w:rsid w:val="00A31682"/>
    <w:rsid w:val="00A31873"/>
    <w:rsid w:val="00A31D3B"/>
    <w:rsid w:val="00A31DA9"/>
    <w:rsid w:val="00A32035"/>
    <w:rsid w:val="00A321DB"/>
    <w:rsid w:val="00A3222A"/>
    <w:rsid w:val="00A3252D"/>
    <w:rsid w:val="00A3259A"/>
    <w:rsid w:val="00A32791"/>
    <w:rsid w:val="00A327B0"/>
    <w:rsid w:val="00A32828"/>
    <w:rsid w:val="00A32C5A"/>
    <w:rsid w:val="00A32CFA"/>
    <w:rsid w:val="00A32D33"/>
    <w:rsid w:val="00A33034"/>
    <w:rsid w:val="00A3308E"/>
    <w:rsid w:val="00A33092"/>
    <w:rsid w:val="00A33327"/>
    <w:rsid w:val="00A333CD"/>
    <w:rsid w:val="00A33475"/>
    <w:rsid w:val="00A33A8B"/>
    <w:rsid w:val="00A33B30"/>
    <w:rsid w:val="00A33B99"/>
    <w:rsid w:val="00A33F56"/>
    <w:rsid w:val="00A33F9F"/>
    <w:rsid w:val="00A33FBC"/>
    <w:rsid w:val="00A340A2"/>
    <w:rsid w:val="00A340FE"/>
    <w:rsid w:val="00A3422F"/>
    <w:rsid w:val="00A343AC"/>
    <w:rsid w:val="00A347A1"/>
    <w:rsid w:val="00A3486A"/>
    <w:rsid w:val="00A34B8D"/>
    <w:rsid w:val="00A34BA6"/>
    <w:rsid w:val="00A34E6F"/>
    <w:rsid w:val="00A34F05"/>
    <w:rsid w:val="00A34FC8"/>
    <w:rsid w:val="00A35002"/>
    <w:rsid w:val="00A3518F"/>
    <w:rsid w:val="00A35204"/>
    <w:rsid w:val="00A353FC"/>
    <w:rsid w:val="00A35706"/>
    <w:rsid w:val="00A35735"/>
    <w:rsid w:val="00A357CE"/>
    <w:rsid w:val="00A35803"/>
    <w:rsid w:val="00A3596D"/>
    <w:rsid w:val="00A35A07"/>
    <w:rsid w:val="00A35B71"/>
    <w:rsid w:val="00A3602F"/>
    <w:rsid w:val="00A3609B"/>
    <w:rsid w:val="00A36525"/>
    <w:rsid w:val="00A365CE"/>
    <w:rsid w:val="00A365E5"/>
    <w:rsid w:val="00A36A13"/>
    <w:rsid w:val="00A36D3E"/>
    <w:rsid w:val="00A36D45"/>
    <w:rsid w:val="00A36E4C"/>
    <w:rsid w:val="00A370D6"/>
    <w:rsid w:val="00A37610"/>
    <w:rsid w:val="00A37731"/>
    <w:rsid w:val="00A377A1"/>
    <w:rsid w:val="00A377EC"/>
    <w:rsid w:val="00A378B6"/>
    <w:rsid w:val="00A379E5"/>
    <w:rsid w:val="00A37CB3"/>
    <w:rsid w:val="00A37CC5"/>
    <w:rsid w:val="00A37F64"/>
    <w:rsid w:val="00A40020"/>
    <w:rsid w:val="00A40057"/>
    <w:rsid w:val="00A40075"/>
    <w:rsid w:val="00A400C8"/>
    <w:rsid w:val="00A40113"/>
    <w:rsid w:val="00A40232"/>
    <w:rsid w:val="00A402B7"/>
    <w:rsid w:val="00A40340"/>
    <w:rsid w:val="00A403F9"/>
    <w:rsid w:val="00A40835"/>
    <w:rsid w:val="00A40884"/>
    <w:rsid w:val="00A408E8"/>
    <w:rsid w:val="00A4106C"/>
    <w:rsid w:val="00A41264"/>
    <w:rsid w:val="00A414E8"/>
    <w:rsid w:val="00A41739"/>
    <w:rsid w:val="00A41858"/>
    <w:rsid w:val="00A41B84"/>
    <w:rsid w:val="00A41C1A"/>
    <w:rsid w:val="00A41FA9"/>
    <w:rsid w:val="00A42470"/>
    <w:rsid w:val="00A426B2"/>
    <w:rsid w:val="00A4271D"/>
    <w:rsid w:val="00A428AE"/>
    <w:rsid w:val="00A42993"/>
    <w:rsid w:val="00A42BE5"/>
    <w:rsid w:val="00A43002"/>
    <w:rsid w:val="00A43368"/>
    <w:rsid w:val="00A4385F"/>
    <w:rsid w:val="00A439F3"/>
    <w:rsid w:val="00A43AB4"/>
    <w:rsid w:val="00A43B7A"/>
    <w:rsid w:val="00A43ED1"/>
    <w:rsid w:val="00A44091"/>
    <w:rsid w:val="00A44365"/>
    <w:rsid w:val="00A4443E"/>
    <w:rsid w:val="00A4454A"/>
    <w:rsid w:val="00A446BA"/>
    <w:rsid w:val="00A446F5"/>
    <w:rsid w:val="00A448A5"/>
    <w:rsid w:val="00A44967"/>
    <w:rsid w:val="00A44CC5"/>
    <w:rsid w:val="00A44DCC"/>
    <w:rsid w:val="00A44EDF"/>
    <w:rsid w:val="00A45542"/>
    <w:rsid w:val="00A456EA"/>
    <w:rsid w:val="00A458B5"/>
    <w:rsid w:val="00A45B99"/>
    <w:rsid w:val="00A45C46"/>
    <w:rsid w:val="00A45D2C"/>
    <w:rsid w:val="00A45F7F"/>
    <w:rsid w:val="00A463FA"/>
    <w:rsid w:val="00A4645A"/>
    <w:rsid w:val="00A46920"/>
    <w:rsid w:val="00A46976"/>
    <w:rsid w:val="00A46983"/>
    <w:rsid w:val="00A46A4C"/>
    <w:rsid w:val="00A46B4F"/>
    <w:rsid w:val="00A46D2D"/>
    <w:rsid w:val="00A46F53"/>
    <w:rsid w:val="00A47044"/>
    <w:rsid w:val="00A4743A"/>
    <w:rsid w:val="00A4767C"/>
    <w:rsid w:val="00A4771D"/>
    <w:rsid w:val="00A4780E"/>
    <w:rsid w:val="00A4782F"/>
    <w:rsid w:val="00A4788D"/>
    <w:rsid w:val="00A47A6D"/>
    <w:rsid w:val="00A47C04"/>
    <w:rsid w:val="00A47D0E"/>
    <w:rsid w:val="00A5014F"/>
    <w:rsid w:val="00A50176"/>
    <w:rsid w:val="00A50A11"/>
    <w:rsid w:val="00A50AFA"/>
    <w:rsid w:val="00A50B7D"/>
    <w:rsid w:val="00A50CF8"/>
    <w:rsid w:val="00A50EA6"/>
    <w:rsid w:val="00A50FB3"/>
    <w:rsid w:val="00A5125C"/>
    <w:rsid w:val="00A513D9"/>
    <w:rsid w:val="00A515FE"/>
    <w:rsid w:val="00A51720"/>
    <w:rsid w:val="00A51B51"/>
    <w:rsid w:val="00A51C2E"/>
    <w:rsid w:val="00A51DFE"/>
    <w:rsid w:val="00A52076"/>
    <w:rsid w:val="00A520AB"/>
    <w:rsid w:val="00A520CE"/>
    <w:rsid w:val="00A523F6"/>
    <w:rsid w:val="00A524EE"/>
    <w:rsid w:val="00A526C4"/>
    <w:rsid w:val="00A527C8"/>
    <w:rsid w:val="00A52C56"/>
    <w:rsid w:val="00A52E65"/>
    <w:rsid w:val="00A52EEF"/>
    <w:rsid w:val="00A530EB"/>
    <w:rsid w:val="00A531DE"/>
    <w:rsid w:val="00A53558"/>
    <w:rsid w:val="00A535E1"/>
    <w:rsid w:val="00A5360B"/>
    <w:rsid w:val="00A53618"/>
    <w:rsid w:val="00A53660"/>
    <w:rsid w:val="00A5390E"/>
    <w:rsid w:val="00A53A5C"/>
    <w:rsid w:val="00A53AB9"/>
    <w:rsid w:val="00A53BA9"/>
    <w:rsid w:val="00A5408C"/>
    <w:rsid w:val="00A540FB"/>
    <w:rsid w:val="00A542C8"/>
    <w:rsid w:val="00A543A1"/>
    <w:rsid w:val="00A546F8"/>
    <w:rsid w:val="00A54937"/>
    <w:rsid w:val="00A54EF3"/>
    <w:rsid w:val="00A5512C"/>
    <w:rsid w:val="00A5517C"/>
    <w:rsid w:val="00A5523F"/>
    <w:rsid w:val="00A552FB"/>
    <w:rsid w:val="00A55472"/>
    <w:rsid w:val="00A5581F"/>
    <w:rsid w:val="00A5598B"/>
    <w:rsid w:val="00A55AF8"/>
    <w:rsid w:val="00A55B87"/>
    <w:rsid w:val="00A55BC0"/>
    <w:rsid w:val="00A55D67"/>
    <w:rsid w:val="00A5623B"/>
    <w:rsid w:val="00A56319"/>
    <w:rsid w:val="00A56452"/>
    <w:rsid w:val="00A5648C"/>
    <w:rsid w:val="00A5649E"/>
    <w:rsid w:val="00A56774"/>
    <w:rsid w:val="00A56801"/>
    <w:rsid w:val="00A5691E"/>
    <w:rsid w:val="00A56AD7"/>
    <w:rsid w:val="00A56BBD"/>
    <w:rsid w:val="00A56D13"/>
    <w:rsid w:val="00A570BB"/>
    <w:rsid w:val="00A57106"/>
    <w:rsid w:val="00A572C3"/>
    <w:rsid w:val="00A5761E"/>
    <w:rsid w:val="00A577C2"/>
    <w:rsid w:val="00A579A6"/>
    <w:rsid w:val="00A57AF1"/>
    <w:rsid w:val="00A57C29"/>
    <w:rsid w:val="00A57C8C"/>
    <w:rsid w:val="00A57CB3"/>
    <w:rsid w:val="00A57E10"/>
    <w:rsid w:val="00A60A3D"/>
    <w:rsid w:val="00A60ACD"/>
    <w:rsid w:val="00A60B36"/>
    <w:rsid w:val="00A60B5D"/>
    <w:rsid w:val="00A60D1A"/>
    <w:rsid w:val="00A60DE0"/>
    <w:rsid w:val="00A611A4"/>
    <w:rsid w:val="00A6148C"/>
    <w:rsid w:val="00A614B3"/>
    <w:rsid w:val="00A61631"/>
    <w:rsid w:val="00A61873"/>
    <w:rsid w:val="00A61BDE"/>
    <w:rsid w:val="00A61E2A"/>
    <w:rsid w:val="00A62260"/>
    <w:rsid w:val="00A62355"/>
    <w:rsid w:val="00A625F3"/>
    <w:rsid w:val="00A6264C"/>
    <w:rsid w:val="00A6269A"/>
    <w:rsid w:val="00A62819"/>
    <w:rsid w:val="00A628FE"/>
    <w:rsid w:val="00A62A62"/>
    <w:rsid w:val="00A62AB6"/>
    <w:rsid w:val="00A62CF3"/>
    <w:rsid w:val="00A62DA3"/>
    <w:rsid w:val="00A6333B"/>
    <w:rsid w:val="00A6376B"/>
    <w:rsid w:val="00A638D9"/>
    <w:rsid w:val="00A63B1C"/>
    <w:rsid w:val="00A63B7F"/>
    <w:rsid w:val="00A63BA7"/>
    <w:rsid w:val="00A63E11"/>
    <w:rsid w:val="00A63E2D"/>
    <w:rsid w:val="00A63F64"/>
    <w:rsid w:val="00A64349"/>
    <w:rsid w:val="00A64462"/>
    <w:rsid w:val="00A644C6"/>
    <w:rsid w:val="00A64556"/>
    <w:rsid w:val="00A6467D"/>
    <w:rsid w:val="00A64746"/>
    <w:rsid w:val="00A647FA"/>
    <w:rsid w:val="00A64AA9"/>
    <w:rsid w:val="00A64AD6"/>
    <w:rsid w:val="00A64B0B"/>
    <w:rsid w:val="00A64D50"/>
    <w:rsid w:val="00A64EF2"/>
    <w:rsid w:val="00A65055"/>
    <w:rsid w:val="00A6511D"/>
    <w:rsid w:val="00A651D6"/>
    <w:rsid w:val="00A653A1"/>
    <w:rsid w:val="00A653FF"/>
    <w:rsid w:val="00A654B5"/>
    <w:rsid w:val="00A656BC"/>
    <w:rsid w:val="00A6579D"/>
    <w:rsid w:val="00A6592F"/>
    <w:rsid w:val="00A65B10"/>
    <w:rsid w:val="00A6633A"/>
    <w:rsid w:val="00A665E5"/>
    <w:rsid w:val="00A666B1"/>
    <w:rsid w:val="00A66ABC"/>
    <w:rsid w:val="00A66B38"/>
    <w:rsid w:val="00A66DBA"/>
    <w:rsid w:val="00A66DDC"/>
    <w:rsid w:val="00A66EEC"/>
    <w:rsid w:val="00A6711C"/>
    <w:rsid w:val="00A6728D"/>
    <w:rsid w:val="00A67338"/>
    <w:rsid w:val="00A6735F"/>
    <w:rsid w:val="00A674BD"/>
    <w:rsid w:val="00A675B5"/>
    <w:rsid w:val="00A67627"/>
    <w:rsid w:val="00A67635"/>
    <w:rsid w:val="00A678AA"/>
    <w:rsid w:val="00A679E2"/>
    <w:rsid w:val="00A67A2C"/>
    <w:rsid w:val="00A67B43"/>
    <w:rsid w:val="00A67D85"/>
    <w:rsid w:val="00A67EC8"/>
    <w:rsid w:val="00A67EE5"/>
    <w:rsid w:val="00A67F75"/>
    <w:rsid w:val="00A67F8B"/>
    <w:rsid w:val="00A7014E"/>
    <w:rsid w:val="00A7016B"/>
    <w:rsid w:val="00A70207"/>
    <w:rsid w:val="00A70354"/>
    <w:rsid w:val="00A7081B"/>
    <w:rsid w:val="00A70881"/>
    <w:rsid w:val="00A70979"/>
    <w:rsid w:val="00A70A34"/>
    <w:rsid w:val="00A70D23"/>
    <w:rsid w:val="00A70D27"/>
    <w:rsid w:val="00A70EB3"/>
    <w:rsid w:val="00A71041"/>
    <w:rsid w:val="00A710FF"/>
    <w:rsid w:val="00A7121B"/>
    <w:rsid w:val="00A7127E"/>
    <w:rsid w:val="00A7129A"/>
    <w:rsid w:val="00A712F9"/>
    <w:rsid w:val="00A71462"/>
    <w:rsid w:val="00A714A3"/>
    <w:rsid w:val="00A714A5"/>
    <w:rsid w:val="00A714AB"/>
    <w:rsid w:val="00A719FB"/>
    <w:rsid w:val="00A71A19"/>
    <w:rsid w:val="00A71A25"/>
    <w:rsid w:val="00A71DE3"/>
    <w:rsid w:val="00A71E4A"/>
    <w:rsid w:val="00A71E8D"/>
    <w:rsid w:val="00A72093"/>
    <w:rsid w:val="00A721AA"/>
    <w:rsid w:val="00A72397"/>
    <w:rsid w:val="00A7285E"/>
    <w:rsid w:val="00A7291C"/>
    <w:rsid w:val="00A72A8D"/>
    <w:rsid w:val="00A72BE4"/>
    <w:rsid w:val="00A72CF1"/>
    <w:rsid w:val="00A72D8C"/>
    <w:rsid w:val="00A72F0D"/>
    <w:rsid w:val="00A72F93"/>
    <w:rsid w:val="00A73185"/>
    <w:rsid w:val="00A732AD"/>
    <w:rsid w:val="00A733AA"/>
    <w:rsid w:val="00A733E5"/>
    <w:rsid w:val="00A7341C"/>
    <w:rsid w:val="00A73523"/>
    <w:rsid w:val="00A73928"/>
    <w:rsid w:val="00A73A96"/>
    <w:rsid w:val="00A73C80"/>
    <w:rsid w:val="00A73F3E"/>
    <w:rsid w:val="00A7449F"/>
    <w:rsid w:val="00A7475B"/>
    <w:rsid w:val="00A7487A"/>
    <w:rsid w:val="00A749B7"/>
    <w:rsid w:val="00A74B2F"/>
    <w:rsid w:val="00A74D07"/>
    <w:rsid w:val="00A74E17"/>
    <w:rsid w:val="00A74FBF"/>
    <w:rsid w:val="00A7510C"/>
    <w:rsid w:val="00A7555E"/>
    <w:rsid w:val="00A75769"/>
    <w:rsid w:val="00A757E9"/>
    <w:rsid w:val="00A7584A"/>
    <w:rsid w:val="00A75963"/>
    <w:rsid w:val="00A75B4F"/>
    <w:rsid w:val="00A75DC4"/>
    <w:rsid w:val="00A75E51"/>
    <w:rsid w:val="00A75EA7"/>
    <w:rsid w:val="00A75F71"/>
    <w:rsid w:val="00A761B7"/>
    <w:rsid w:val="00A76365"/>
    <w:rsid w:val="00A76541"/>
    <w:rsid w:val="00A76584"/>
    <w:rsid w:val="00A765C3"/>
    <w:rsid w:val="00A76632"/>
    <w:rsid w:val="00A76651"/>
    <w:rsid w:val="00A766F6"/>
    <w:rsid w:val="00A768E3"/>
    <w:rsid w:val="00A76DAF"/>
    <w:rsid w:val="00A774CB"/>
    <w:rsid w:val="00A77776"/>
    <w:rsid w:val="00A777F5"/>
    <w:rsid w:val="00A7786D"/>
    <w:rsid w:val="00A77D11"/>
    <w:rsid w:val="00A77E9E"/>
    <w:rsid w:val="00A77EA7"/>
    <w:rsid w:val="00A77FD6"/>
    <w:rsid w:val="00A77FEB"/>
    <w:rsid w:val="00A800E9"/>
    <w:rsid w:val="00A801CE"/>
    <w:rsid w:val="00A80481"/>
    <w:rsid w:val="00A80483"/>
    <w:rsid w:val="00A804F3"/>
    <w:rsid w:val="00A8081E"/>
    <w:rsid w:val="00A808E9"/>
    <w:rsid w:val="00A80974"/>
    <w:rsid w:val="00A80B69"/>
    <w:rsid w:val="00A80CBD"/>
    <w:rsid w:val="00A80E47"/>
    <w:rsid w:val="00A80F19"/>
    <w:rsid w:val="00A80FC2"/>
    <w:rsid w:val="00A8119E"/>
    <w:rsid w:val="00A816EF"/>
    <w:rsid w:val="00A818B3"/>
    <w:rsid w:val="00A81A47"/>
    <w:rsid w:val="00A81A7C"/>
    <w:rsid w:val="00A81D28"/>
    <w:rsid w:val="00A81FF3"/>
    <w:rsid w:val="00A82111"/>
    <w:rsid w:val="00A82562"/>
    <w:rsid w:val="00A8266A"/>
    <w:rsid w:val="00A827C4"/>
    <w:rsid w:val="00A82889"/>
    <w:rsid w:val="00A82973"/>
    <w:rsid w:val="00A82A9B"/>
    <w:rsid w:val="00A82C28"/>
    <w:rsid w:val="00A82F87"/>
    <w:rsid w:val="00A830C0"/>
    <w:rsid w:val="00A83231"/>
    <w:rsid w:val="00A83298"/>
    <w:rsid w:val="00A833A8"/>
    <w:rsid w:val="00A833C4"/>
    <w:rsid w:val="00A833EB"/>
    <w:rsid w:val="00A8366C"/>
    <w:rsid w:val="00A83785"/>
    <w:rsid w:val="00A83983"/>
    <w:rsid w:val="00A83D79"/>
    <w:rsid w:val="00A83DA4"/>
    <w:rsid w:val="00A83DAA"/>
    <w:rsid w:val="00A84291"/>
    <w:rsid w:val="00A8429C"/>
    <w:rsid w:val="00A84300"/>
    <w:rsid w:val="00A8465B"/>
    <w:rsid w:val="00A846AC"/>
    <w:rsid w:val="00A846D4"/>
    <w:rsid w:val="00A848EC"/>
    <w:rsid w:val="00A84B1F"/>
    <w:rsid w:val="00A84BD2"/>
    <w:rsid w:val="00A84C1C"/>
    <w:rsid w:val="00A84E26"/>
    <w:rsid w:val="00A85079"/>
    <w:rsid w:val="00A85155"/>
    <w:rsid w:val="00A85159"/>
    <w:rsid w:val="00A8539D"/>
    <w:rsid w:val="00A853EF"/>
    <w:rsid w:val="00A85BB5"/>
    <w:rsid w:val="00A85CA0"/>
    <w:rsid w:val="00A85DFF"/>
    <w:rsid w:val="00A85E1B"/>
    <w:rsid w:val="00A85F64"/>
    <w:rsid w:val="00A86040"/>
    <w:rsid w:val="00A8626F"/>
    <w:rsid w:val="00A8669E"/>
    <w:rsid w:val="00A86A10"/>
    <w:rsid w:val="00A86B76"/>
    <w:rsid w:val="00A86E3A"/>
    <w:rsid w:val="00A86EBD"/>
    <w:rsid w:val="00A86EEF"/>
    <w:rsid w:val="00A86FD8"/>
    <w:rsid w:val="00A870FA"/>
    <w:rsid w:val="00A8719D"/>
    <w:rsid w:val="00A87200"/>
    <w:rsid w:val="00A876A0"/>
    <w:rsid w:val="00A879E2"/>
    <w:rsid w:val="00A87CA0"/>
    <w:rsid w:val="00A87E5A"/>
    <w:rsid w:val="00A87FF7"/>
    <w:rsid w:val="00A900F4"/>
    <w:rsid w:val="00A9044C"/>
    <w:rsid w:val="00A904FA"/>
    <w:rsid w:val="00A907D8"/>
    <w:rsid w:val="00A907FE"/>
    <w:rsid w:val="00A90B68"/>
    <w:rsid w:val="00A90B90"/>
    <w:rsid w:val="00A90D07"/>
    <w:rsid w:val="00A91181"/>
    <w:rsid w:val="00A911B2"/>
    <w:rsid w:val="00A914F2"/>
    <w:rsid w:val="00A91553"/>
    <w:rsid w:val="00A91918"/>
    <w:rsid w:val="00A91ADF"/>
    <w:rsid w:val="00A91D49"/>
    <w:rsid w:val="00A91F37"/>
    <w:rsid w:val="00A91F59"/>
    <w:rsid w:val="00A92285"/>
    <w:rsid w:val="00A92375"/>
    <w:rsid w:val="00A92564"/>
    <w:rsid w:val="00A92A1C"/>
    <w:rsid w:val="00A92C59"/>
    <w:rsid w:val="00A92F56"/>
    <w:rsid w:val="00A93122"/>
    <w:rsid w:val="00A93229"/>
    <w:rsid w:val="00A933FE"/>
    <w:rsid w:val="00A9399B"/>
    <w:rsid w:val="00A93A28"/>
    <w:rsid w:val="00A93AFB"/>
    <w:rsid w:val="00A94122"/>
    <w:rsid w:val="00A94157"/>
    <w:rsid w:val="00A94468"/>
    <w:rsid w:val="00A945D9"/>
    <w:rsid w:val="00A94761"/>
    <w:rsid w:val="00A949E8"/>
    <w:rsid w:val="00A94A30"/>
    <w:rsid w:val="00A94D7B"/>
    <w:rsid w:val="00A94DB3"/>
    <w:rsid w:val="00A94DFD"/>
    <w:rsid w:val="00A9501D"/>
    <w:rsid w:val="00A950B2"/>
    <w:rsid w:val="00A95197"/>
    <w:rsid w:val="00A95213"/>
    <w:rsid w:val="00A952F1"/>
    <w:rsid w:val="00A9540F"/>
    <w:rsid w:val="00A95429"/>
    <w:rsid w:val="00A954C5"/>
    <w:rsid w:val="00A956D7"/>
    <w:rsid w:val="00A956F4"/>
    <w:rsid w:val="00A958BA"/>
    <w:rsid w:val="00A958BD"/>
    <w:rsid w:val="00A95B0D"/>
    <w:rsid w:val="00A95EB1"/>
    <w:rsid w:val="00A9625F"/>
    <w:rsid w:val="00A9637A"/>
    <w:rsid w:val="00A964F2"/>
    <w:rsid w:val="00A965F2"/>
    <w:rsid w:val="00A966C8"/>
    <w:rsid w:val="00A969D5"/>
    <w:rsid w:val="00A96C1A"/>
    <w:rsid w:val="00A96CD5"/>
    <w:rsid w:val="00A96D02"/>
    <w:rsid w:val="00A96FE9"/>
    <w:rsid w:val="00A972BA"/>
    <w:rsid w:val="00A97829"/>
    <w:rsid w:val="00A97869"/>
    <w:rsid w:val="00A97B93"/>
    <w:rsid w:val="00A97C4D"/>
    <w:rsid w:val="00A97F2D"/>
    <w:rsid w:val="00AA0013"/>
    <w:rsid w:val="00AA0099"/>
    <w:rsid w:val="00AA015F"/>
    <w:rsid w:val="00AA0865"/>
    <w:rsid w:val="00AA08A9"/>
    <w:rsid w:val="00AA0911"/>
    <w:rsid w:val="00AA122F"/>
    <w:rsid w:val="00AA12C3"/>
    <w:rsid w:val="00AA13BD"/>
    <w:rsid w:val="00AA13E6"/>
    <w:rsid w:val="00AA14F9"/>
    <w:rsid w:val="00AA1730"/>
    <w:rsid w:val="00AA17FD"/>
    <w:rsid w:val="00AA1BE5"/>
    <w:rsid w:val="00AA1C69"/>
    <w:rsid w:val="00AA1FBD"/>
    <w:rsid w:val="00AA204D"/>
    <w:rsid w:val="00AA2106"/>
    <w:rsid w:val="00AA2214"/>
    <w:rsid w:val="00AA2528"/>
    <w:rsid w:val="00AA270F"/>
    <w:rsid w:val="00AA2792"/>
    <w:rsid w:val="00AA2805"/>
    <w:rsid w:val="00AA280D"/>
    <w:rsid w:val="00AA289F"/>
    <w:rsid w:val="00AA2AC2"/>
    <w:rsid w:val="00AA2D27"/>
    <w:rsid w:val="00AA2F55"/>
    <w:rsid w:val="00AA3031"/>
    <w:rsid w:val="00AA30CC"/>
    <w:rsid w:val="00AA3372"/>
    <w:rsid w:val="00AA3435"/>
    <w:rsid w:val="00AA35FA"/>
    <w:rsid w:val="00AA37CC"/>
    <w:rsid w:val="00AA3914"/>
    <w:rsid w:val="00AA3A6F"/>
    <w:rsid w:val="00AA3B7F"/>
    <w:rsid w:val="00AA3D6A"/>
    <w:rsid w:val="00AA40B1"/>
    <w:rsid w:val="00AA412E"/>
    <w:rsid w:val="00AA4251"/>
    <w:rsid w:val="00AA46AA"/>
    <w:rsid w:val="00AA4B01"/>
    <w:rsid w:val="00AA4B33"/>
    <w:rsid w:val="00AA5126"/>
    <w:rsid w:val="00AA5129"/>
    <w:rsid w:val="00AA52D2"/>
    <w:rsid w:val="00AA531E"/>
    <w:rsid w:val="00AA538D"/>
    <w:rsid w:val="00AA54DB"/>
    <w:rsid w:val="00AA555E"/>
    <w:rsid w:val="00AA55A8"/>
    <w:rsid w:val="00AA5800"/>
    <w:rsid w:val="00AA5A40"/>
    <w:rsid w:val="00AA5CC9"/>
    <w:rsid w:val="00AA5D3F"/>
    <w:rsid w:val="00AA5DBA"/>
    <w:rsid w:val="00AA5DF5"/>
    <w:rsid w:val="00AA5E23"/>
    <w:rsid w:val="00AA5ECF"/>
    <w:rsid w:val="00AA5F24"/>
    <w:rsid w:val="00AA60AA"/>
    <w:rsid w:val="00AA60EA"/>
    <w:rsid w:val="00AA6209"/>
    <w:rsid w:val="00AA6279"/>
    <w:rsid w:val="00AA6493"/>
    <w:rsid w:val="00AA6582"/>
    <w:rsid w:val="00AA67F6"/>
    <w:rsid w:val="00AA6AC0"/>
    <w:rsid w:val="00AA6AC6"/>
    <w:rsid w:val="00AA6B33"/>
    <w:rsid w:val="00AA6E1C"/>
    <w:rsid w:val="00AA7280"/>
    <w:rsid w:val="00AA7557"/>
    <w:rsid w:val="00AA78D7"/>
    <w:rsid w:val="00AA7944"/>
    <w:rsid w:val="00AA79F9"/>
    <w:rsid w:val="00AA7AAA"/>
    <w:rsid w:val="00AA7CD6"/>
    <w:rsid w:val="00AA7DC6"/>
    <w:rsid w:val="00AA7E5D"/>
    <w:rsid w:val="00AB0163"/>
    <w:rsid w:val="00AB01DD"/>
    <w:rsid w:val="00AB0A6F"/>
    <w:rsid w:val="00AB0A8C"/>
    <w:rsid w:val="00AB0ABA"/>
    <w:rsid w:val="00AB0D18"/>
    <w:rsid w:val="00AB1139"/>
    <w:rsid w:val="00AB11C4"/>
    <w:rsid w:val="00AB1645"/>
    <w:rsid w:val="00AB1742"/>
    <w:rsid w:val="00AB18F5"/>
    <w:rsid w:val="00AB1C04"/>
    <w:rsid w:val="00AB1C24"/>
    <w:rsid w:val="00AB1CFC"/>
    <w:rsid w:val="00AB1F2F"/>
    <w:rsid w:val="00AB1FA6"/>
    <w:rsid w:val="00AB2129"/>
    <w:rsid w:val="00AB22C0"/>
    <w:rsid w:val="00AB2406"/>
    <w:rsid w:val="00AB2D91"/>
    <w:rsid w:val="00AB2DEE"/>
    <w:rsid w:val="00AB2F90"/>
    <w:rsid w:val="00AB328C"/>
    <w:rsid w:val="00AB34F1"/>
    <w:rsid w:val="00AB3894"/>
    <w:rsid w:val="00AB3A08"/>
    <w:rsid w:val="00AB3D33"/>
    <w:rsid w:val="00AB3F27"/>
    <w:rsid w:val="00AB3FCD"/>
    <w:rsid w:val="00AB40C1"/>
    <w:rsid w:val="00AB45FB"/>
    <w:rsid w:val="00AB46C4"/>
    <w:rsid w:val="00AB46CC"/>
    <w:rsid w:val="00AB4917"/>
    <w:rsid w:val="00AB4954"/>
    <w:rsid w:val="00AB4E9D"/>
    <w:rsid w:val="00AB50FB"/>
    <w:rsid w:val="00AB5376"/>
    <w:rsid w:val="00AB5502"/>
    <w:rsid w:val="00AB5567"/>
    <w:rsid w:val="00AB565A"/>
    <w:rsid w:val="00AB5C2B"/>
    <w:rsid w:val="00AB5E85"/>
    <w:rsid w:val="00AB5FC2"/>
    <w:rsid w:val="00AB612E"/>
    <w:rsid w:val="00AB613D"/>
    <w:rsid w:val="00AB6318"/>
    <w:rsid w:val="00AB692E"/>
    <w:rsid w:val="00AB6B8A"/>
    <w:rsid w:val="00AB6D69"/>
    <w:rsid w:val="00AB6F4E"/>
    <w:rsid w:val="00AB710C"/>
    <w:rsid w:val="00AB762A"/>
    <w:rsid w:val="00AB7709"/>
    <w:rsid w:val="00AB7836"/>
    <w:rsid w:val="00AB7EDC"/>
    <w:rsid w:val="00AC00BC"/>
    <w:rsid w:val="00AC013D"/>
    <w:rsid w:val="00AC0436"/>
    <w:rsid w:val="00AC07E3"/>
    <w:rsid w:val="00AC0AB7"/>
    <w:rsid w:val="00AC0BAA"/>
    <w:rsid w:val="00AC0ED9"/>
    <w:rsid w:val="00AC0FF1"/>
    <w:rsid w:val="00AC11DE"/>
    <w:rsid w:val="00AC134D"/>
    <w:rsid w:val="00AC1411"/>
    <w:rsid w:val="00AC1413"/>
    <w:rsid w:val="00AC143B"/>
    <w:rsid w:val="00AC1705"/>
    <w:rsid w:val="00AC198F"/>
    <w:rsid w:val="00AC1C55"/>
    <w:rsid w:val="00AC1F27"/>
    <w:rsid w:val="00AC1FA5"/>
    <w:rsid w:val="00AC20EE"/>
    <w:rsid w:val="00AC222A"/>
    <w:rsid w:val="00AC228B"/>
    <w:rsid w:val="00AC2403"/>
    <w:rsid w:val="00AC2644"/>
    <w:rsid w:val="00AC2964"/>
    <w:rsid w:val="00AC2A37"/>
    <w:rsid w:val="00AC2AFB"/>
    <w:rsid w:val="00AC2BA9"/>
    <w:rsid w:val="00AC2C9D"/>
    <w:rsid w:val="00AC2D3B"/>
    <w:rsid w:val="00AC305B"/>
    <w:rsid w:val="00AC3094"/>
    <w:rsid w:val="00AC383F"/>
    <w:rsid w:val="00AC3859"/>
    <w:rsid w:val="00AC3ECD"/>
    <w:rsid w:val="00AC3F2B"/>
    <w:rsid w:val="00AC4181"/>
    <w:rsid w:val="00AC427E"/>
    <w:rsid w:val="00AC44D6"/>
    <w:rsid w:val="00AC49F9"/>
    <w:rsid w:val="00AC4ADB"/>
    <w:rsid w:val="00AC4B82"/>
    <w:rsid w:val="00AC4E40"/>
    <w:rsid w:val="00AC528B"/>
    <w:rsid w:val="00AC533E"/>
    <w:rsid w:val="00AC5351"/>
    <w:rsid w:val="00AC5518"/>
    <w:rsid w:val="00AC563D"/>
    <w:rsid w:val="00AC57FB"/>
    <w:rsid w:val="00AC590D"/>
    <w:rsid w:val="00AC5AF9"/>
    <w:rsid w:val="00AC6102"/>
    <w:rsid w:val="00AC630F"/>
    <w:rsid w:val="00AC638F"/>
    <w:rsid w:val="00AC63F9"/>
    <w:rsid w:val="00AC67A5"/>
    <w:rsid w:val="00AC6993"/>
    <w:rsid w:val="00AC6E6B"/>
    <w:rsid w:val="00AC6F75"/>
    <w:rsid w:val="00AC6FDC"/>
    <w:rsid w:val="00AC6FE8"/>
    <w:rsid w:val="00AC6FFB"/>
    <w:rsid w:val="00AC70FE"/>
    <w:rsid w:val="00AC718C"/>
    <w:rsid w:val="00AC77D4"/>
    <w:rsid w:val="00AC7A28"/>
    <w:rsid w:val="00AC7F6E"/>
    <w:rsid w:val="00AC7FCC"/>
    <w:rsid w:val="00AC7FDE"/>
    <w:rsid w:val="00AD004F"/>
    <w:rsid w:val="00AD00B8"/>
    <w:rsid w:val="00AD011C"/>
    <w:rsid w:val="00AD017C"/>
    <w:rsid w:val="00AD018E"/>
    <w:rsid w:val="00AD0269"/>
    <w:rsid w:val="00AD05AC"/>
    <w:rsid w:val="00AD0705"/>
    <w:rsid w:val="00AD0959"/>
    <w:rsid w:val="00AD09EA"/>
    <w:rsid w:val="00AD0B8D"/>
    <w:rsid w:val="00AD0CA4"/>
    <w:rsid w:val="00AD0D1C"/>
    <w:rsid w:val="00AD0D4B"/>
    <w:rsid w:val="00AD0D6E"/>
    <w:rsid w:val="00AD0D8E"/>
    <w:rsid w:val="00AD0EE3"/>
    <w:rsid w:val="00AD1072"/>
    <w:rsid w:val="00AD13A9"/>
    <w:rsid w:val="00AD15EF"/>
    <w:rsid w:val="00AD15F1"/>
    <w:rsid w:val="00AD1639"/>
    <w:rsid w:val="00AD16BF"/>
    <w:rsid w:val="00AD170C"/>
    <w:rsid w:val="00AD1756"/>
    <w:rsid w:val="00AD181A"/>
    <w:rsid w:val="00AD1CB6"/>
    <w:rsid w:val="00AD2013"/>
    <w:rsid w:val="00AD2026"/>
    <w:rsid w:val="00AD214A"/>
    <w:rsid w:val="00AD2469"/>
    <w:rsid w:val="00AD2644"/>
    <w:rsid w:val="00AD266B"/>
    <w:rsid w:val="00AD2BC8"/>
    <w:rsid w:val="00AD2CE8"/>
    <w:rsid w:val="00AD2E42"/>
    <w:rsid w:val="00AD2F1B"/>
    <w:rsid w:val="00AD2FAA"/>
    <w:rsid w:val="00AD2FD6"/>
    <w:rsid w:val="00AD3035"/>
    <w:rsid w:val="00AD32ED"/>
    <w:rsid w:val="00AD33F9"/>
    <w:rsid w:val="00AD3532"/>
    <w:rsid w:val="00AD3634"/>
    <w:rsid w:val="00AD382D"/>
    <w:rsid w:val="00AD3C21"/>
    <w:rsid w:val="00AD4177"/>
    <w:rsid w:val="00AD41F9"/>
    <w:rsid w:val="00AD4613"/>
    <w:rsid w:val="00AD4949"/>
    <w:rsid w:val="00AD4A0F"/>
    <w:rsid w:val="00AD4D19"/>
    <w:rsid w:val="00AD4D4C"/>
    <w:rsid w:val="00AD52C9"/>
    <w:rsid w:val="00AD5472"/>
    <w:rsid w:val="00AD5545"/>
    <w:rsid w:val="00AD578B"/>
    <w:rsid w:val="00AD59D5"/>
    <w:rsid w:val="00AD5AA8"/>
    <w:rsid w:val="00AD5AC4"/>
    <w:rsid w:val="00AD5BAB"/>
    <w:rsid w:val="00AD5CE9"/>
    <w:rsid w:val="00AD5E3C"/>
    <w:rsid w:val="00AD5F6D"/>
    <w:rsid w:val="00AD5FE7"/>
    <w:rsid w:val="00AD6076"/>
    <w:rsid w:val="00AD618B"/>
    <w:rsid w:val="00AD61EC"/>
    <w:rsid w:val="00AD657C"/>
    <w:rsid w:val="00AD6A10"/>
    <w:rsid w:val="00AD6A75"/>
    <w:rsid w:val="00AD6CCC"/>
    <w:rsid w:val="00AD6E29"/>
    <w:rsid w:val="00AD708E"/>
    <w:rsid w:val="00AD74E4"/>
    <w:rsid w:val="00AD7531"/>
    <w:rsid w:val="00AD757E"/>
    <w:rsid w:val="00AD75B9"/>
    <w:rsid w:val="00AD76D5"/>
    <w:rsid w:val="00AD787A"/>
    <w:rsid w:val="00AD792B"/>
    <w:rsid w:val="00AD7D4A"/>
    <w:rsid w:val="00AD7E25"/>
    <w:rsid w:val="00AD7E71"/>
    <w:rsid w:val="00AD7F34"/>
    <w:rsid w:val="00AE01C2"/>
    <w:rsid w:val="00AE03A3"/>
    <w:rsid w:val="00AE03C1"/>
    <w:rsid w:val="00AE04B7"/>
    <w:rsid w:val="00AE0554"/>
    <w:rsid w:val="00AE09C9"/>
    <w:rsid w:val="00AE0A1C"/>
    <w:rsid w:val="00AE0E38"/>
    <w:rsid w:val="00AE0FEA"/>
    <w:rsid w:val="00AE1045"/>
    <w:rsid w:val="00AE12BA"/>
    <w:rsid w:val="00AE12BB"/>
    <w:rsid w:val="00AE13A0"/>
    <w:rsid w:val="00AE1400"/>
    <w:rsid w:val="00AE16DC"/>
    <w:rsid w:val="00AE1D20"/>
    <w:rsid w:val="00AE1D3A"/>
    <w:rsid w:val="00AE203F"/>
    <w:rsid w:val="00AE205B"/>
    <w:rsid w:val="00AE23DB"/>
    <w:rsid w:val="00AE2425"/>
    <w:rsid w:val="00AE28D8"/>
    <w:rsid w:val="00AE2A30"/>
    <w:rsid w:val="00AE2B6B"/>
    <w:rsid w:val="00AE2BDA"/>
    <w:rsid w:val="00AE2C01"/>
    <w:rsid w:val="00AE2C82"/>
    <w:rsid w:val="00AE2CEE"/>
    <w:rsid w:val="00AE2CF7"/>
    <w:rsid w:val="00AE2E8D"/>
    <w:rsid w:val="00AE2FC8"/>
    <w:rsid w:val="00AE3070"/>
    <w:rsid w:val="00AE30DD"/>
    <w:rsid w:val="00AE3109"/>
    <w:rsid w:val="00AE3225"/>
    <w:rsid w:val="00AE3359"/>
    <w:rsid w:val="00AE3477"/>
    <w:rsid w:val="00AE363A"/>
    <w:rsid w:val="00AE39D5"/>
    <w:rsid w:val="00AE3B46"/>
    <w:rsid w:val="00AE3CD8"/>
    <w:rsid w:val="00AE3E4F"/>
    <w:rsid w:val="00AE3E79"/>
    <w:rsid w:val="00AE4054"/>
    <w:rsid w:val="00AE43ED"/>
    <w:rsid w:val="00AE4572"/>
    <w:rsid w:val="00AE45D7"/>
    <w:rsid w:val="00AE4618"/>
    <w:rsid w:val="00AE4676"/>
    <w:rsid w:val="00AE4697"/>
    <w:rsid w:val="00AE479C"/>
    <w:rsid w:val="00AE4A03"/>
    <w:rsid w:val="00AE4EFB"/>
    <w:rsid w:val="00AE5419"/>
    <w:rsid w:val="00AE5575"/>
    <w:rsid w:val="00AE56B9"/>
    <w:rsid w:val="00AE585E"/>
    <w:rsid w:val="00AE5876"/>
    <w:rsid w:val="00AE59F7"/>
    <w:rsid w:val="00AE5CF6"/>
    <w:rsid w:val="00AE5D42"/>
    <w:rsid w:val="00AE63A0"/>
    <w:rsid w:val="00AE63BA"/>
    <w:rsid w:val="00AE6452"/>
    <w:rsid w:val="00AE6781"/>
    <w:rsid w:val="00AE6934"/>
    <w:rsid w:val="00AE6A31"/>
    <w:rsid w:val="00AE6AD2"/>
    <w:rsid w:val="00AE6AFE"/>
    <w:rsid w:val="00AE6DC2"/>
    <w:rsid w:val="00AE70CD"/>
    <w:rsid w:val="00AE715D"/>
    <w:rsid w:val="00AE717B"/>
    <w:rsid w:val="00AE7283"/>
    <w:rsid w:val="00AE77C5"/>
    <w:rsid w:val="00AE7808"/>
    <w:rsid w:val="00AE7974"/>
    <w:rsid w:val="00AE7BE5"/>
    <w:rsid w:val="00AE7CE9"/>
    <w:rsid w:val="00AE7D36"/>
    <w:rsid w:val="00AE7DCF"/>
    <w:rsid w:val="00AE7EC0"/>
    <w:rsid w:val="00AF0077"/>
    <w:rsid w:val="00AF02D7"/>
    <w:rsid w:val="00AF065A"/>
    <w:rsid w:val="00AF0718"/>
    <w:rsid w:val="00AF080B"/>
    <w:rsid w:val="00AF095A"/>
    <w:rsid w:val="00AF0AD1"/>
    <w:rsid w:val="00AF0AE8"/>
    <w:rsid w:val="00AF0DE9"/>
    <w:rsid w:val="00AF0E3B"/>
    <w:rsid w:val="00AF0E84"/>
    <w:rsid w:val="00AF0FC1"/>
    <w:rsid w:val="00AF16DC"/>
    <w:rsid w:val="00AF1A66"/>
    <w:rsid w:val="00AF1AFD"/>
    <w:rsid w:val="00AF1B07"/>
    <w:rsid w:val="00AF1BF2"/>
    <w:rsid w:val="00AF2454"/>
    <w:rsid w:val="00AF24C7"/>
    <w:rsid w:val="00AF2668"/>
    <w:rsid w:val="00AF2BD0"/>
    <w:rsid w:val="00AF2C33"/>
    <w:rsid w:val="00AF2CD7"/>
    <w:rsid w:val="00AF2F34"/>
    <w:rsid w:val="00AF3061"/>
    <w:rsid w:val="00AF330D"/>
    <w:rsid w:val="00AF33CA"/>
    <w:rsid w:val="00AF349C"/>
    <w:rsid w:val="00AF353E"/>
    <w:rsid w:val="00AF354F"/>
    <w:rsid w:val="00AF3AD8"/>
    <w:rsid w:val="00AF3B36"/>
    <w:rsid w:val="00AF3B83"/>
    <w:rsid w:val="00AF3CAD"/>
    <w:rsid w:val="00AF4140"/>
    <w:rsid w:val="00AF431B"/>
    <w:rsid w:val="00AF4375"/>
    <w:rsid w:val="00AF4387"/>
    <w:rsid w:val="00AF4683"/>
    <w:rsid w:val="00AF4697"/>
    <w:rsid w:val="00AF4A59"/>
    <w:rsid w:val="00AF55B3"/>
    <w:rsid w:val="00AF56FB"/>
    <w:rsid w:val="00AF585D"/>
    <w:rsid w:val="00AF5D1C"/>
    <w:rsid w:val="00AF5DC8"/>
    <w:rsid w:val="00AF5DCB"/>
    <w:rsid w:val="00AF5F1F"/>
    <w:rsid w:val="00AF5FCF"/>
    <w:rsid w:val="00AF6102"/>
    <w:rsid w:val="00AF619A"/>
    <w:rsid w:val="00AF6269"/>
    <w:rsid w:val="00AF645D"/>
    <w:rsid w:val="00AF649D"/>
    <w:rsid w:val="00AF6587"/>
    <w:rsid w:val="00AF68EB"/>
    <w:rsid w:val="00AF6C73"/>
    <w:rsid w:val="00AF6D56"/>
    <w:rsid w:val="00AF6D6F"/>
    <w:rsid w:val="00AF6F61"/>
    <w:rsid w:val="00AF7057"/>
    <w:rsid w:val="00AF7285"/>
    <w:rsid w:val="00AF72A0"/>
    <w:rsid w:val="00AF7397"/>
    <w:rsid w:val="00AF790C"/>
    <w:rsid w:val="00AF7A82"/>
    <w:rsid w:val="00AF7AEA"/>
    <w:rsid w:val="00AF7BE1"/>
    <w:rsid w:val="00AF7EF2"/>
    <w:rsid w:val="00B0064A"/>
    <w:rsid w:val="00B00AA6"/>
    <w:rsid w:val="00B00F58"/>
    <w:rsid w:val="00B01355"/>
    <w:rsid w:val="00B013B0"/>
    <w:rsid w:val="00B018F6"/>
    <w:rsid w:val="00B019ED"/>
    <w:rsid w:val="00B01E56"/>
    <w:rsid w:val="00B02104"/>
    <w:rsid w:val="00B02370"/>
    <w:rsid w:val="00B023B0"/>
    <w:rsid w:val="00B025A5"/>
    <w:rsid w:val="00B02910"/>
    <w:rsid w:val="00B02995"/>
    <w:rsid w:val="00B02B46"/>
    <w:rsid w:val="00B02BB6"/>
    <w:rsid w:val="00B02C43"/>
    <w:rsid w:val="00B02E21"/>
    <w:rsid w:val="00B0378C"/>
    <w:rsid w:val="00B037A2"/>
    <w:rsid w:val="00B03908"/>
    <w:rsid w:val="00B03A66"/>
    <w:rsid w:val="00B04375"/>
    <w:rsid w:val="00B04864"/>
    <w:rsid w:val="00B04C2E"/>
    <w:rsid w:val="00B04C57"/>
    <w:rsid w:val="00B04DA9"/>
    <w:rsid w:val="00B04EF2"/>
    <w:rsid w:val="00B04F38"/>
    <w:rsid w:val="00B04FE5"/>
    <w:rsid w:val="00B052E1"/>
    <w:rsid w:val="00B05474"/>
    <w:rsid w:val="00B054E0"/>
    <w:rsid w:val="00B056DB"/>
    <w:rsid w:val="00B05709"/>
    <w:rsid w:val="00B05887"/>
    <w:rsid w:val="00B05A3A"/>
    <w:rsid w:val="00B05E7F"/>
    <w:rsid w:val="00B05FFF"/>
    <w:rsid w:val="00B063E6"/>
    <w:rsid w:val="00B06539"/>
    <w:rsid w:val="00B0658D"/>
    <w:rsid w:val="00B06844"/>
    <w:rsid w:val="00B06C36"/>
    <w:rsid w:val="00B06CA9"/>
    <w:rsid w:val="00B06F3D"/>
    <w:rsid w:val="00B0708C"/>
    <w:rsid w:val="00B07629"/>
    <w:rsid w:val="00B07B39"/>
    <w:rsid w:val="00B07CE2"/>
    <w:rsid w:val="00B07F5C"/>
    <w:rsid w:val="00B10145"/>
    <w:rsid w:val="00B101B0"/>
    <w:rsid w:val="00B104C8"/>
    <w:rsid w:val="00B10598"/>
    <w:rsid w:val="00B105C9"/>
    <w:rsid w:val="00B106C1"/>
    <w:rsid w:val="00B10729"/>
    <w:rsid w:val="00B1072A"/>
    <w:rsid w:val="00B107E9"/>
    <w:rsid w:val="00B10B98"/>
    <w:rsid w:val="00B10BF0"/>
    <w:rsid w:val="00B10BF4"/>
    <w:rsid w:val="00B10CFC"/>
    <w:rsid w:val="00B10F54"/>
    <w:rsid w:val="00B11071"/>
    <w:rsid w:val="00B113D4"/>
    <w:rsid w:val="00B1181D"/>
    <w:rsid w:val="00B11914"/>
    <w:rsid w:val="00B1198B"/>
    <w:rsid w:val="00B119F0"/>
    <w:rsid w:val="00B11A00"/>
    <w:rsid w:val="00B11AA4"/>
    <w:rsid w:val="00B11C96"/>
    <w:rsid w:val="00B11D4A"/>
    <w:rsid w:val="00B11DCB"/>
    <w:rsid w:val="00B11F0E"/>
    <w:rsid w:val="00B12218"/>
    <w:rsid w:val="00B122DC"/>
    <w:rsid w:val="00B12583"/>
    <w:rsid w:val="00B12996"/>
    <w:rsid w:val="00B12B5A"/>
    <w:rsid w:val="00B12C03"/>
    <w:rsid w:val="00B12CB7"/>
    <w:rsid w:val="00B12EFB"/>
    <w:rsid w:val="00B130D0"/>
    <w:rsid w:val="00B1320D"/>
    <w:rsid w:val="00B13317"/>
    <w:rsid w:val="00B13379"/>
    <w:rsid w:val="00B136CC"/>
    <w:rsid w:val="00B13853"/>
    <w:rsid w:val="00B13CB4"/>
    <w:rsid w:val="00B13DD0"/>
    <w:rsid w:val="00B13E26"/>
    <w:rsid w:val="00B13EC0"/>
    <w:rsid w:val="00B13F12"/>
    <w:rsid w:val="00B14164"/>
    <w:rsid w:val="00B141E3"/>
    <w:rsid w:val="00B1424C"/>
    <w:rsid w:val="00B14524"/>
    <w:rsid w:val="00B14639"/>
    <w:rsid w:val="00B14856"/>
    <w:rsid w:val="00B148BF"/>
    <w:rsid w:val="00B14D56"/>
    <w:rsid w:val="00B14EAE"/>
    <w:rsid w:val="00B14F5E"/>
    <w:rsid w:val="00B154B8"/>
    <w:rsid w:val="00B15852"/>
    <w:rsid w:val="00B15AC9"/>
    <w:rsid w:val="00B15B01"/>
    <w:rsid w:val="00B15B5F"/>
    <w:rsid w:val="00B15CFD"/>
    <w:rsid w:val="00B15EB8"/>
    <w:rsid w:val="00B15EBC"/>
    <w:rsid w:val="00B15FB6"/>
    <w:rsid w:val="00B160CC"/>
    <w:rsid w:val="00B160E0"/>
    <w:rsid w:val="00B161FD"/>
    <w:rsid w:val="00B16238"/>
    <w:rsid w:val="00B16682"/>
    <w:rsid w:val="00B1692F"/>
    <w:rsid w:val="00B16AAC"/>
    <w:rsid w:val="00B16C81"/>
    <w:rsid w:val="00B17445"/>
    <w:rsid w:val="00B17608"/>
    <w:rsid w:val="00B1788F"/>
    <w:rsid w:val="00B179F9"/>
    <w:rsid w:val="00B17AC5"/>
    <w:rsid w:val="00B17E18"/>
    <w:rsid w:val="00B17F4E"/>
    <w:rsid w:val="00B20062"/>
    <w:rsid w:val="00B20139"/>
    <w:rsid w:val="00B205EF"/>
    <w:rsid w:val="00B20607"/>
    <w:rsid w:val="00B2077F"/>
    <w:rsid w:val="00B20863"/>
    <w:rsid w:val="00B20979"/>
    <w:rsid w:val="00B20E30"/>
    <w:rsid w:val="00B20E62"/>
    <w:rsid w:val="00B20FC9"/>
    <w:rsid w:val="00B210B3"/>
    <w:rsid w:val="00B210EC"/>
    <w:rsid w:val="00B21258"/>
    <w:rsid w:val="00B2144D"/>
    <w:rsid w:val="00B2179A"/>
    <w:rsid w:val="00B217FB"/>
    <w:rsid w:val="00B21C77"/>
    <w:rsid w:val="00B21CDE"/>
    <w:rsid w:val="00B2205A"/>
    <w:rsid w:val="00B2229A"/>
    <w:rsid w:val="00B223B4"/>
    <w:rsid w:val="00B224C4"/>
    <w:rsid w:val="00B224EC"/>
    <w:rsid w:val="00B226B8"/>
    <w:rsid w:val="00B226FC"/>
    <w:rsid w:val="00B22713"/>
    <w:rsid w:val="00B22782"/>
    <w:rsid w:val="00B2290E"/>
    <w:rsid w:val="00B22948"/>
    <w:rsid w:val="00B22A67"/>
    <w:rsid w:val="00B22B00"/>
    <w:rsid w:val="00B22B2A"/>
    <w:rsid w:val="00B22E0F"/>
    <w:rsid w:val="00B232F3"/>
    <w:rsid w:val="00B233CE"/>
    <w:rsid w:val="00B2345C"/>
    <w:rsid w:val="00B2345D"/>
    <w:rsid w:val="00B235D0"/>
    <w:rsid w:val="00B23684"/>
    <w:rsid w:val="00B236A5"/>
    <w:rsid w:val="00B236B6"/>
    <w:rsid w:val="00B2373A"/>
    <w:rsid w:val="00B237EB"/>
    <w:rsid w:val="00B23874"/>
    <w:rsid w:val="00B23937"/>
    <w:rsid w:val="00B23FC9"/>
    <w:rsid w:val="00B241A6"/>
    <w:rsid w:val="00B24217"/>
    <w:rsid w:val="00B246B2"/>
    <w:rsid w:val="00B246F5"/>
    <w:rsid w:val="00B2478E"/>
    <w:rsid w:val="00B24BD5"/>
    <w:rsid w:val="00B24BD8"/>
    <w:rsid w:val="00B24C11"/>
    <w:rsid w:val="00B24DA6"/>
    <w:rsid w:val="00B24EA3"/>
    <w:rsid w:val="00B251B8"/>
    <w:rsid w:val="00B25566"/>
    <w:rsid w:val="00B25616"/>
    <w:rsid w:val="00B25687"/>
    <w:rsid w:val="00B258FB"/>
    <w:rsid w:val="00B25907"/>
    <w:rsid w:val="00B25AC6"/>
    <w:rsid w:val="00B25D6F"/>
    <w:rsid w:val="00B260D2"/>
    <w:rsid w:val="00B261CB"/>
    <w:rsid w:val="00B26361"/>
    <w:rsid w:val="00B267B3"/>
    <w:rsid w:val="00B26B58"/>
    <w:rsid w:val="00B26B77"/>
    <w:rsid w:val="00B26D15"/>
    <w:rsid w:val="00B26D3D"/>
    <w:rsid w:val="00B2715D"/>
    <w:rsid w:val="00B27885"/>
    <w:rsid w:val="00B27F42"/>
    <w:rsid w:val="00B301CA"/>
    <w:rsid w:val="00B3028C"/>
    <w:rsid w:val="00B302B0"/>
    <w:rsid w:val="00B308D0"/>
    <w:rsid w:val="00B308F9"/>
    <w:rsid w:val="00B30970"/>
    <w:rsid w:val="00B3097C"/>
    <w:rsid w:val="00B30B4F"/>
    <w:rsid w:val="00B30CC5"/>
    <w:rsid w:val="00B30D8D"/>
    <w:rsid w:val="00B314A1"/>
    <w:rsid w:val="00B31749"/>
    <w:rsid w:val="00B317AA"/>
    <w:rsid w:val="00B32284"/>
    <w:rsid w:val="00B3237D"/>
    <w:rsid w:val="00B3239F"/>
    <w:rsid w:val="00B325FE"/>
    <w:rsid w:val="00B32678"/>
    <w:rsid w:val="00B32905"/>
    <w:rsid w:val="00B32976"/>
    <w:rsid w:val="00B329E0"/>
    <w:rsid w:val="00B32BD2"/>
    <w:rsid w:val="00B32DAB"/>
    <w:rsid w:val="00B32EE9"/>
    <w:rsid w:val="00B32F12"/>
    <w:rsid w:val="00B33349"/>
    <w:rsid w:val="00B334CF"/>
    <w:rsid w:val="00B33607"/>
    <w:rsid w:val="00B33630"/>
    <w:rsid w:val="00B33F78"/>
    <w:rsid w:val="00B33FD5"/>
    <w:rsid w:val="00B343F1"/>
    <w:rsid w:val="00B34634"/>
    <w:rsid w:val="00B34669"/>
    <w:rsid w:val="00B34731"/>
    <w:rsid w:val="00B34996"/>
    <w:rsid w:val="00B34A57"/>
    <w:rsid w:val="00B34CDD"/>
    <w:rsid w:val="00B34E84"/>
    <w:rsid w:val="00B34F01"/>
    <w:rsid w:val="00B34F53"/>
    <w:rsid w:val="00B353DB"/>
    <w:rsid w:val="00B354AF"/>
    <w:rsid w:val="00B35616"/>
    <w:rsid w:val="00B356ED"/>
    <w:rsid w:val="00B357B5"/>
    <w:rsid w:val="00B3582C"/>
    <w:rsid w:val="00B35EAF"/>
    <w:rsid w:val="00B35F42"/>
    <w:rsid w:val="00B35F6B"/>
    <w:rsid w:val="00B362EB"/>
    <w:rsid w:val="00B3660E"/>
    <w:rsid w:val="00B3683F"/>
    <w:rsid w:val="00B3691F"/>
    <w:rsid w:val="00B3694E"/>
    <w:rsid w:val="00B3696B"/>
    <w:rsid w:val="00B36B30"/>
    <w:rsid w:val="00B37154"/>
    <w:rsid w:val="00B3715A"/>
    <w:rsid w:val="00B37313"/>
    <w:rsid w:val="00B3732F"/>
    <w:rsid w:val="00B3734E"/>
    <w:rsid w:val="00B374AD"/>
    <w:rsid w:val="00B375AC"/>
    <w:rsid w:val="00B37605"/>
    <w:rsid w:val="00B37620"/>
    <w:rsid w:val="00B37863"/>
    <w:rsid w:val="00B378D4"/>
    <w:rsid w:val="00B379F3"/>
    <w:rsid w:val="00B37A1A"/>
    <w:rsid w:val="00B37B2C"/>
    <w:rsid w:val="00B37B4B"/>
    <w:rsid w:val="00B37BE5"/>
    <w:rsid w:val="00B37CA6"/>
    <w:rsid w:val="00B37D13"/>
    <w:rsid w:val="00B4004F"/>
    <w:rsid w:val="00B40165"/>
    <w:rsid w:val="00B401D4"/>
    <w:rsid w:val="00B40219"/>
    <w:rsid w:val="00B402C7"/>
    <w:rsid w:val="00B405E2"/>
    <w:rsid w:val="00B40611"/>
    <w:rsid w:val="00B40888"/>
    <w:rsid w:val="00B40BB3"/>
    <w:rsid w:val="00B40BF5"/>
    <w:rsid w:val="00B40CAE"/>
    <w:rsid w:val="00B40D47"/>
    <w:rsid w:val="00B40E4E"/>
    <w:rsid w:val="00B413D0"/>
    <w:rsid w:val="00B41615"/>
    <w:rsid w:val="00B41691"/>
    <w:rsid w:val="00B416C2"/>
    <w:rsid w:val="00B4173E"/>
    <w:rsid w:val="00B417A7"/>
    <w:rsid w:val="00B4184E"/>
    <w:rsid w:val="00B41CA5"/>
    <w:rsid w:val="00B41F64"/>
    <w:rsid w:val="00B41F92"/>
    <w:rsid w:val="00B41FE5"/>
    <w:rsid w:val="00B42583"/>
    <w:rsid w:val="00B42589"/>
    <w:rsid w:val="00B425BC"/>
    <w:rsid w:val="00B42968"/>
    <w:rsid w:val="00B42C18"/>
    <w:rsid w:val="00B42CF8"/>
    <w:rsid w:val="00B42F5D"/>
    <w:rsid w:val="00B431C8"/>
    <w:rsid w:val="00B436A4"/>
    <w:rsid w:val="00B4385A"/>
    <w:rsid w:val="00B439A9"/>
    <w:rsid w:val="00B43D4E"/>
    <w:rsid w:val="00B43F08"/>
    <w:rsid w:val="00B440DF"/>
    <w:rsid w:val="00B4415C"/>
    <w:rsid w:val="00B4425D"/>
    <w:rsid w:val="00B447F9"/>
    <w:rsid w:val="00B449F4"/>
    <w:rsid w:val="00B44B60"/>
    <w:rsid w:val="00B44D7D"/>
    <w:rsid w:val="00B44FF9"/>
    <w:rsid w:val="00B4503A"/>
    <w:rsid w:val="00B455EF"/>
    <w:rsid w:val="00B4571C"/>
    <w:rsid w:val="00B458E4"/>
    <w:rsid w:val="00B45917"/>
    <w:rsid w:val="00B45A48"/>
    <w:rsid w:val="00B45B3F"/>
    <w:rsid w:val="00B45B8A"/>
    <w:rsid w:val="00B45B95"/>
    <w:rsid w:val="00B45E25"/>
    <w:rsid w:val="00B460BD"/>
    <w:rsid w:val="00B460CA"/>
    <w:rsid w:val="00B4655E"/>
    <w:rsid w:val="00B465E9"/>
    <w:rsid w:val="00B4661C"/>
    <w:rsid w:val="00B467C3"/>
    <w:rsid w:val="00B467CB"/>
    <w:rsid w:val="00B467F9"/>
    <w:rsid w:val="00B46836"/>
    <w:rsid w:val="00B469EE"/>
    <w:rsid w:val="00B46B70"/>
    <w:rsid w:val="00B46BBC"/>
    <w:rsid w:val="00B46C03"/>
    <w:rsid w:val="00B46C43"/>
    <w:rsid w:val="00B47085"/>
    <w:rsid w:val="00B47295"/>
    <w:rsid w:val="00B47501"/>
    <w:rsid w:val="00B475DC"/>
    <w:rsid w:val="00B47827"/>
    <w:rsid w:val="00B47B24"/>
    <w:rsid w:val="00B47C4F"/>
    <w:rsid w:val="00B47DCF"/>
    <w:rsid w:val="00B47F50"/>
    <w:rsid w:val="00B501C8"/>
    <w:rsid w:val="00B504EC"/>
    <w:rsid w:val="00B50647"/>
    <w:rsid w:val="00B50BF9"/>
    <w:rsid w:val="00B50C34"/>
    <w:rsid w:val="00B50E97"/>
    <w:rsid w:val="00B5101D"/>
    <w:rsid w:val="00B515A8"/>
    <w:rsid w:val="00B51634"/>
    <w:rsid w:val="00B5176D"/>
    <w:rsid w:val="00B5178F"/>
    <w:rsid w:val="00B5180F"/>
    <w:rsid w:val="00B51880"/>
    <w:rsid w:val="00B51A38"/>
    <w:rsid w:val="00B51C9E"/>
    <w:rsid w:val="00B51F23"/>
    <w:rsid w:val="00B51FD6"/>
    <w:rsid w:val="00B52051"/>
    <w:rsid w:val="00B524EE"/>
    <w:rsid w:val="00B52623"/>
    <w:rsid w:val="00B528A7"/>
    <w:rsid w:val="00B529AF"/>
    <w:rsid w:val="00B52ACF"/>
    <w:rsid w:val="00B5320A"/>
    <w:rsid w:val="00B532F6"/>
    <w:rsid w:val="00B536C6"/>
    <w:rsid w:val="00B53730"/>
    <w:rsid w:val="00B53A50"/>
    <w:rsid w:val="00B53BCB"/>
    <w:rsid w:val="00B53CE8"/>
    <w:rsid w:val="00B5439F"/>
    <w:rsid w:val="00B54404"/>
    <w:rsid w:val="00B54443"/>
    <w:rsid w:val="00B544FF"/>
    <w:rsid w:val="00B545D9"/>
    <w:rsid w:val="00B548C7"/>
    <w:rsid w:val="00B54A1D"/>
    <w:rsid w:val="00B54A21"/>
    <w:rsid w:val="00B54B8C"/>
    <w:rsid w:val="00B54BF0"/>
    <w:rsid w:val="00B54D4D"/>
    <w:rsid w:val="00B54EB2"/>
    <w:rsid w:val="00B550D9"/>
    <w:rsid w:val="00B551BF"/>
    <w:rsid w:val="00B5530E"/>
    <w:rsid w:val="00B55370"/>
    <w:rsid w:val="00B55B1D"/>
    <w:rsid w:val="00B55D75"/>
    <w:rsid w:val="00B55D7B"/>
    <w:rsid w:val="00B56388"/>
    <w:rsid w:val="00B5645B"/>
    <w:rsid w:val="00B56516"/>
    <w:rsid w:val="00B5661C"/>
    <w:rsid w:val="00B56764"/>
    <w:rsid w:val="00B5677D"/>
    <w:rsid w:val="00B56B7B"/>
    <w:rsid w:val="00B56BB7"/>
    <w:rsid w:val="00B57160"/>
    <w:rsid w:val="00B5718B"/>
    <w:rsid w:val="00B571CD"/>
    <w:rsid w:val="00B5725A"/>
    <w:rsid w:val="00B5752A"/>
    <w:rsid w:val="00B575AA"/>
    <w:rsid w:val="00B575BB"/>
    <w:rsid w:val="00B578EE"/>
    <w:rsid w:val="00B57924"/>
    <w:rsid w:val="00B57AA7"/>
    <w:rsid w:val="00B57E4F"/>
    <w:rsid w:val="00B60296"/>
    <w:rsid w:val="00B603EC"/>
    <w:rsid w:val="00B60465"/>
    <w:rsid w:val="00B6049C"/>
    <w:rsid w:val="00B607DB"/>
    <w:rsid w:val="00B60832"/>
    <w:rsid w:val="00B60BA1"/>
    <w:rsid w:val="00B60F0F"/>
    <w:rsid w:val="00B61025"/>
    <w:rsid w:val="00B613EC"/>
    <w:rsid w:val="00B6152B"/>
    <w:rsid w:val="00B6163D"/>
    <w:rsid w:val="00B61BB9"/>
    <w:rsid w:val="00B61C37"/>
    <w:rsid w:val="00B61C4A"/>
    <w:rsid w:val="00B61EE3"/>
    <w:rsid w:val="00B61FCE"/>
    <w:rsid w:val="00B620A6"/>
    <w:rsid w:val="00B62386"/>
    <w:rsid w:val="00B62570"/>
    <w:rsid w:val="00B62626"/>
    <w:rsid w:val="00B6266D"/>
    <w:rsid w:val="00B6292D"/>
    <w:rsid w:val="00B62C57"/>
    <w:rsid w:val="00B62D82"/>
    <w:rsid w:val="00B62E97"/>
    <w:rsid w:val="00B6332B"/>
    <w:rsid w:val="00B63333"/>
    <w:rsid w:val="00B63419"/>
    <w:rsid w:val="00B635F5"/>
    <w:rsid w:val="00B6379E"/>
    <w:rsid w:val="00B63836"/>
    <w:rsid w:val="00B63852"/>
    <w:rsid w:val="00B63933"/>
    <w:rsid w:val="00B63B7C"/>
    <w:rsid w:val="00B63F4E"/>
    <w:rsid w:val="00B6425C"/>
    <w:rsid w:val="00B64286"/>
    <w:rsid w:val="00B6432F"/>
    <w:rsid w:val="00B64416"/>
    <w:rsid w:val="00B64421"/>
    <w:rsid w:val="00B6446E"/>
    <w:rsid w:val="00B646C0"/>
    <w:rsid w:val="00B64D85"/>
    <w:rsid w:val="00B64EAF"/>
    <w:rsid w:val="00B64F22"/>
    <w:rsid w:val="00B65215"/>
    <w:rsid w:val="00B65346"/>
    <w:rsid w:val="00B6547C"/>
    <w:rsid w:val="00B6549C"/>
    <w:rsid w:val="00B654AD"/>
    <w:rsid w:val="00B654C4"/>
    <w:rsid w:val="00B65663"/>
    <w:rsid w:val="00B65B31"/>
    <w:rsid w:val="00B660F8"/>
    <w:rsid w:val="00B661F1"/>
    <w:rsid w:val="00B662DE"/>
    <w:rsid w:val="00B66399"/>
    <w:rsid w:val="00B6642A"/>
    <w:rsid w:val="00B6642F"/>
    <w:rsid w:val="00B66497"/>
    <w:rsid w:val="00B66A61"/>
    <w:rsid w:val="00B67179"/>
    <w:rsid w:val="00B67195"/>
    <w:rsid w:val="00B671BE"/>
    <w:rsid w:val="00B6742D"/>
    <w:rsid w:val="00B6774A"/>
    <w:rsid w:val="00B67773"/>
    <w:rsid w:val="00B67900"/>
    <w:rsid w:val="00B679F2"/>
    <w:rsid w:val="00B67BF9"/>
    <w:rsid w:val="00B67CFF"/>
    <w:rsid w:val="00B67F41"/>
    <w:rsid w:val="00B703AA"/>
    <w:rsid w:val="00B70479"/>
    <w:rsid w:val="00B706EC"/>
    <w:rsid w:val="00B7086A"/>
    <w:rsid w:val="00B709A4"/>
    <w:rsid w:val="00B709D6"/>
    <w:rsid w:val="00B70A12"/>
    <w:rsid w:val="00B711B7"/>
    <w:rsid w:val="00B71268"/>
    <w:rsid w:val="00B7184E"/>
    <w:rsid w:val="00B719CB"/>
    <w:rsid w:val="00B71A7F"/>
    <w:rsid w:val="00B71D5D"/>
    <w:rsid w:val="00B71F47"/>
    <w:rsid w:val="00B71F73"/>
    <w:rsid w:val="00B72235"/>
    <w:rsid w:val="00B722C2"/>
    <w:rsid w:val="00B7237F"/>
    <w:rsid w:val="00B72519"/>
    <w:rsid w:val="00B725B4"/>
    <w:rsid w:val="00B72725"/>
    <w:rsid w:val="00B72837"/>
    <w:rsid w:val="00B729A6"/>
    <w:rsid w:val="00B72B4F"/>
    <w:rsid w:val="00B72B86"/>
    <w:rsid w:val="00B72E22"/>
    <w:rsid w:val="00B72ED9"/>
    <w:rsid w:val="00B72F72"/>
    <w:rsid w:val="00B732CF"/>
    <w:rsid w:val="00B733CC"/>
    <w:rsid w:val="00B7344E"/>
    <w:rsid w:val="00B734DD"/>
    <w:rsid w:val="00B73619"/>
    <w:rsid w:val="00B736A6"/>
    <w:rsid w:val="00B73849"/>
    <w:rsid w:val="00B73A69"/>
    <w:rsid w:val="00B73B40"/>
    <w:rsid w:val="00B73D4F"/>
    <w:rsid w:val="00B73F29"/>
    <w:rsid w:val="00B73F6D"/>
    <w:rsid w:val="00B741F4"/>
    <w:rsid w:val="00B7459B"/>
    <w:rsid w:val="00B749C9"/>
    <w:rsid w:val="00B74A20"/>
    <w:rsid w:val="00B74D6C"/>
    <w:rsid w:val="00B75007"/>
    <w:rsid w:val="00B75277"/>
    <w:rsid w:val="00B753AB"/>
    <w:rsid w:val="00B753C4"/>
    <w:rsid w:val="00B75933"/>
    <w:rsid w:val="00B759D4"/>
    <w:rsid w:val="00B75AB0"/>
    <w:rsid w:val="00B75DD8"/>
    <w:rsid w:val="00B75F9D"/>
    <w:rsid w:val="00B76102"/>
    <w:rsid w:val="00B76386"/>
    <w:rsid w:val="00B76498"/>
    <w:rsid w:val="00B76522"/>
    <w:rsid w:val="00B76874"/>
    <w:rsid w:val="00B7693D"/>
    <w:rsid w:val="00B76A8A"/>
    <w:rsid w:val="00B76AB7"/>
    <w:rsid w:val="00B76E3A"/>
    <w:rsid w:val="00B76F16"/>
    <w:rsid w:val="00B771A2"/>
    <w:rsid w:val="00B77263"/>
    <w:rsid w:val="00B77359"/>
    <w:rsid w:val="00B7746F"/>
    <w:rsid w:val="00B77528"/>
    <w:rsid w:val="00B77544"/>
    <w:rsid w:val="00B77763"/>
    <w:rsid w:val="00B77771"/>
    <w:rsid w:val="00B7777A"/>
    <w:rsid w:val="00B7791E"/>
    <w:rsid w:val="00B77E51"/>
    <w:rsid w:val="00B800F0"/>
    <w:rsid w:val="00B80320"/>
    <w:rsid w:val="00B80B94"/>
    <w:rsid w:val="00B80C68"/>
    <w:rsid w:val="00B80D8F"/>
    <w:rsid w:val="00B80E0E"/>
    <w:rsid w:val="00B80E63"/>
    <w:rsid w:val="00B80F9B"/>
    <w:rsid w:val="00B80FE4"/>
    <w:rsid w:val="00B81049"/>
    <w:rsid w:val="00B81179"/>
    <w:rsid w:val="00B811E6"/>
    <w:rsid w:val="00B8125F"/>
    <w:rsid w:val="00B8140D"/>
    <w:rsid w:val="00B8152D"/>
    <w:rsid w:val="00B8161C"/>
    <w:rsid w:val="00B8167F"/>
    <w:rsid w:val="00B816BB"/>
    <w:rsid w:val="00B819D8"/>
    <w:rsid w:val="00B81C37"/>
    <w:rsid w:val="00B82235"/>
    <w:rsid w:val="00B82365"/>
    <w:rsid w:val="00B8270B"/>
    <w:rsid w:val="00B82754"/>
    <w:rsid w:val="00B8278A"/>
    <w:rsid w:val="00B82794"/>
    <w:rsid w:val="00B82B09"/>
    <w:rsid w:val="00B82B2D"/>
    <w:rsid w:val="00B82D75"/>
    <w:rsid w:val="00B82FC6"/>
    <w:rsid w:val="00B83102"/>
    <w:rsid w:val="00B8321F"/>
    <w:rsid w:val="00B83595"/>
    <w:rsid w:val="00B83615"/>
    <w:rsid w:val="00B83C62"/>
    <w:rsid w:val="00B841D9"/>
    <w:rsid w:val="00B84376"/>
    <w:rsid w:val="00B846F6"/>
    <w:rsid w:val="00B848F4"/>
    <w:rsid w:val="00B84918"/>
    <w:rsid w:val="00B84A2C"/>
    <w:rsid w:val="00B84B24"/>
    <w:rsid w:val="00B84C4F"/>
    <w:rsid w:val="00B84CF3"/>
    <w:rsid w:val="00B84D87"/>
    <w:rsid w:val="00B84DAA"/>
    <w:rsid w:val="00B850BC"/>
    <w:rsid w:val="00B8530B"/>
    <w:rsid w:val="00B853CE"/>
    <w:rsid w:val="00B85401"/>
    <w:rsid w:val="00B85454"/>
    <w:rsid w:val="00B854B9"/>
    <w:rsid w:val="00B855E8"/>
    <w:rsid w:val="00B858A4"/>
    <w:rsid w:val="00B85A47"/>
    <w:rsid w:val="00B85BCC"/>
    <w:rsid w:val="00B85BF3"/>
    <w:rsid w:val="00B85C58"/>
    <w:rsid w:val="00B85E30"/>
    <w:rsid w:val="00B85F0E"/>
    <w:rsid w:val="00B86320"/>
    <w:rsid w:val="00B86416"/>
    <w:rsid w:val="00B8642F"/>
    <w:rsid w:val="00B8658F"/>
    <w:rsid w:val="00B865E6"/>
    <w:rsid w:val="00B867E4"/>
    <w:rsid w:val="00B8693F"/>
    <w:rsid w:val="00B86C1C"/>
    <w:rsid w:val="00B86EBC"/>
    <w:rsid w:val="00B8740C"/>
    <w:rsid w:val="00B87695"/>
    <w:rsid w:val="00B876E3"/>
    <w:rsid w:val="00B8770D"/>
    <w:rsid w:val="00B87771"/>
    <w:rsid w:val="00B87E31"/>
    <w:rsid w:val="00B87E83"/>
    <w:rsid w:val="00B87FB6"/>
    <w:rsid w:val="00B9007B"/>
    <w:rsid w:val="00B900B5"/>
    <w:rsid w:val="00B9023B"/>
    <w:rsid w:val="00B90478"/>
    <w:rsid w:val="00B90527"/>
    <w:rsid w:val="00B905D2"/>
    <w:rsid w:val="00B90615"/>
    <w:rsid w:val="00B90818"/>
    <w:rsid w:val="00B90A57"/>
    <w:rsid w:val="00B90BB9"/>
    <w:rsid w:val="00B90C36"/>
    <w:rsid w:val="00B90FF1"/>
    <w:rsid w:val="00B910E9"/>
    <w:rsid w:val="00B9119C"/>
    <w:rsid w:val="00B912C4"/>
    <w:rsid w:val="00B91310"/>
    <w:rsid w:val="00B9136B"/>
    <w:rsid w:val="00B91696"/>
    <w:rsid w:val="00B9183B"/>
    <w:rsid w:val="00B91BBB"/>
    <w:rsid w:val="00B91C7C"/>
    <w:rsid w:val="00B91FE0"/>
    <w:rsid w:val="00B920B2"/>
    <w:rsid w:val="00B920F3"/>
    <w:rsid w:val="00B921FB"/>
    <w:rsid w:val="00B92218"/>
    <w:rsid w:val="00B92363"/>
    <w:rsid w:val="00B924B8"/>
    <w:rsid w:val="00B9256B"/>
    <w:rsid w:val="00B927A9"/>
    <w:rsid w:val="00B927CB"/>
    <w:rsid w:val="00B92971"/>
    <w:rsid w:val="00B92AAD"/>
    <w:rsid w:val="00B92BCE"/>
    <w:rsid w:val="00B92CDB"/>
    <w:rsid w:val="00B92DE1"/>
    <w:rsid w:val="00B92EE5"/>
    <w:rsid w:val="00B92F05"/>
    <w:rsid w:val="00B92F44"/>
    <w:rsid w:val="00B93525"/>
    <w:rsid w:val="00B93561"/>
    <w:rsid w:val="00B936CA"/>
    <w:rsid w:val="00B936E0"/>
    <w:rsid w:val="00B938E8"/>
    <w:rsid w:val="00B93BB7"/>
    <w:rsid w:val="00B93D58"/>
    <w:rsid w:val="00B94061"/>
    <w:rsid w:val="00B94388"/>
    <w:rsid w:val="00B94391"/>
    <w:rsid w:val="00B9447D"/>
    <w:rsid w:val="00B944C2"/>
    <w:rsid w:val="00B948B3"/>
    <w:rsid w:val="00B94907"/>
    <w:rsid w:val="00B94F2E"/>
    <w:rsid w:val="00B95162"/>
    <w:rsid w:val="00B95213"/>
    <w:rsid w:val="00B95302"/>
    <w:rsid w:val="00B95596"/>
    <w:rsid w:val="00B955F0"/>
    <w:rsid w:val="00B9595B"/>
    <w:rsid w:val="00B95ABB"/>
    <w:rsid w:val="00B95D13"/>
    <w:rsid w:val="00B9631D"/>
    <w:rsid w:val="00B964B1"/>
    <w:rsid w:val="00B96595"/>
    <w:rsid w:val="00B96B16"/>
    <w:rsid w:val="00B97293"/>
    <w:rsid w:val="00B97530"/>
    <w:rsid w:val="00B97914"/>
    <w:rsid w:val="00B97B44"/>
    <w:rsid w:val="00B97B96"/>
    <w:rsid w:val="00B97F7D"/>
    <w:rsid w:val="00BA000B"/>
    <w:rsid w:val="00BA01DE"/>
    <w:rsid w:val="00BA04FD"/>
    <w:rsid w:val="00BA063D"/>
    <w:rsid w:val="00BA0A63"/>
    <w:rsid w:val="00BA0AF8"/>
    <w:rsid w:val="00BA0B5E"/>
    <w:rsid w:val="00BA0FA3"/>
    <w:rsid w:val="00BA1118"/>
    <w:rsid w:val="00BA12EB"/>
    <w:rsid w:val="00BA1323"/>
    <w:rsid w:val="00BA150F"/>
    <w:rsid w:val="00BA15FC"/>
    <w:rsid w:val="00BA1626"/>
    <w:rsid w:val="00BA17CD"/>
    <w:rsid w:val="00BA1ADB"/>
    <w:rsid w:val="00BA1B40"/>
    <w:rsid w:val="00BA1D24"/>
    <w:rsid w:val="00BA2027"/>
    <w:rsid w:val="00BA2056"/>
    <w:rsid w:val="00BA205F"/>
    <w:rsid w:val="00BA2623"/>
    <w:rsid w:val="00BA282A"/>
    <w:rsid w:val="00BA2B89"/>
    <w:rsid w:val="00BA2FA0"/>
    <w:rsid w:val="00BA30F7"/>
    <w:rsid w:val="00BA38A0"/>
    <w:rsid w:val="00BA3996"/>
    <w:rsid w:val="00BA3F23"/>
    <w:rsid w:val="00BA3FB0"/>
    <w:rsid w:val="00BA40FA"/>
    <w:rsid w:val="00BA4AFE"/>
    <w:rsid w:val="00BA4BDE"/>
    <w:rsid w:val="00BA4C86"/>
    <w:rsid w:val="00BA4F46"/>
    <w:rsid w:val="00BA4F53"/>
    <w:rsid w:val="00BA50DA"/>
    <w:rsid w:val="00BA5382"/>
    <w:rsid w:val="00BA5744"/>
    <w:rsid w:val="00BA5A20"/>
    <w:rsid w:val="00BA5C08"/>
    <w:rsid w:val="00BA5DDD"/>
    <w:rsid w:val="00BA5DF0"/>
    <w:rsid w:val="00BA60FF"/>
    <w:rsid w:val="00BA62A0"/>
    <w:rsid w:val="00BA63E1"/>
    <w:rsid w:val="00BA649D"/>
    <w:rsid w:val="00BA6637"/>
    <w:rsid w:val="00BA66A3"/>
    <w:rsid w:val="00BA6982"/>
    <w:rsid w:val="00BA6B11"/>
    <w:rsid w:val="00BA6D1B"/>
    <w:rsid w:val="00BA6D8C"/>
    <w:rsid w:val="00BA6E7E"/>
    <w:rsid w:val="00BA7292"/>
    <w:rsid w:val="00BA7499"/>
    <w:rsid w:val="00BA7503"/>
    <w:rsid w:val="00BA7505"/>
    <w:rsid w:val="00BA75CC"/>
    <w:rsid w:val="00BA760A"/>
    <w:rsid w:val="00BA768B"/>
    <w:rsid w:val="00BA7702"/>
    <w:rsid w:val="00BA7749"/>
    <w:rsid w:val="00BA7C20"/>
    <w:rsid w:val="00BA7D69"/>
    <w:rsid w:val="00BA7F38"/>
    <w:rsid w:val="00BA7FD1"/>
    <w:rsid w:val="00BA7FDC"/>
    <w:rsid w:val="00BB00FD"/>
    <w:rsid w:val="00BB033E"/>
    <w:rsid w:val="00BB0459"/>
    <w:rsid w:val="00BB0542"/>
    <w:rsid w:val="00BB06EF"/>
    <w:rsid w:val="00BB087A"/>
    <w:rsid w:val="00BB0A13"/>
    <w:rsid w:val="00BB0DAE"/>
    <w:rsid w:val="00BB0E5C"/>
    <w:rsid w:val="00BB10BD"/>
    <w:rsid w:val="00BB1101"/>
    <w:rsid w:val="00BB11D7"/>
    <w:rsid w:val="00BB13EB"/>
    <w:rsid w:val="00BB13F7"/>
    <w:rsid w:val="00BB1555"/>
    <w:rsid w:val="00BB15C5"/>
    <w:rsid w:val="00BB165E"/>
    <w:rsid w:val="00BB1975"/>
    <w:rsid w:val="00BB1A88"/>
    <w:rsid w:val="00BB2011"/>
    <w:rsid w:val="00BB22F3"/>
    <w:rsid w:val="00BB2306"/>
    <w:rsid w:val="00BB2384"/>
    <w:rsid w:val="00BB2416"/>
    <w:rsid w:val="00BB2681"/>
    <w:rsid w:val="00BB2A96"/>
    <w:rsid w:val="00BB2AB0"/>
    <w:rsid w:val="00BB2D16"/>
    <w:rsid w:val="00BB2DE5"/>
    <w:rsid w:val="00BB2FB3"/>
    <w:rsid w:val="00BB31E4"/>
    <w:rsid w:val="00BB34CD"/>
    <w:rsid w:val="00BB3774"/>
    <w:rsid w:val="00BB398B"/>
    <w:rsid w:val="00BB39C9"/>
    <w:rsid w:val="00BB3C0B"/>
    <w:rsid w:val="00BB3C3B"/>
    <w:rsid w:val="00BB3D96"/>
    <w:rsid w:val="00BB3DAB"/>
    <w:rsid w:val="00BB3DF3"/>
    <w:rsid w:val="00BB3E6C"/>
    <w:rsid w:val="00BB475D"/>
    <w:rsid w:val="00BB480A"/>
    <w:rsid w:val="00BB4A01"/>
    <w:rsid w:val="00BB4CB0"/>
    <w:rsid w:val="00BB4E9F"/>
    <w:rsid w:val="00BB50A2"/>
    <w:rsid w:val="00BB5159"/>
    <w:rsid w:val="00BB51EA"/>
    <w:rsid w:val="00BB5786"/>
    <w:rsid w:val="00BB57FC"/>
    <w:rsid w:val="00BB58D2"/>
    <w:rsid w:val="00BB6343"/>
    <w:rsid w:val="00BB65DC"/>
    <w:rsid w:val="00BB66F2"/>
    <w:rsid w:val="00BB6E9D"/>
    <w:rsid w:val="00BB7057"/>
    <w:rsid w:val="00BB725E"/>
    <w:rsid w:val="00BB727D"/>
    <w:rsid w:val="00BB7523"/>
    <w:rsid w:val="00BB76D7"/>
    <w:rsid w:val="00BB7A21"/>
    <w:rsid w:val="00BB7C91"/>
    <w:rsid w:val="00BB7F21"/>
    <w:rsid w:val="00BC046B"/>
    <w:rsid w:val="00BC0BF8"/>
    <w:rsid w:val="00BC0EF8"/>
    <w:rsid w:val="00BC1190"/>
    <w:rsid w:val="00BC11D0"/>
    <w:rsid w:val="00BC130F"/>
    <w:rsid w:val="00BC17EA"/>
    <w:rsid w:val="00BC1AE4"/>
    <w:rsid w:val="00BC1B76"/>
    <w:rsid w:val="00BC1D3E"/>
    <w:rsid w:val="00BC1DA0"/>
    <w:rsid w:val="00BC1E70"/>
    <w:rsid w:val="00BC1ED4"/>
    <w:rsid w:val="00BC1F8B"/>
    <w:rsid w:val="00BC21ED"/>
    <w:rsid w:val="00BC224F"/>
    <w:rsid w:val="00BC2387"/>
    <w:rsid w:val="00BC27E1"/>
    <w:rsid w:val="00BC27E6"/>
    <w:rsid w:val="00BC299F"/>
    <w:rsid w:val="00BC29C5"/>
    <w:rsid w:val="00BC2AA0"/>
    <w:rsid w:val="00BC2B0D"/>
    <w:rsid w:val="00BC2FC1"/>
    <w:rsid w:val="00BC3155"/>
    <w:rsid w:val="00BC3194"/>
    <w:rsid w:val="00BC3339"/>
    <w:rsid w:val="00BC3395"/>
    <w:rsid w:val="00BC34C8"/>
    <w:rsid w:val="00BC3820"/>
    <w:rsid w:val="00BC38BE"/>
    <w:rsid w:val="00BC3D16"/>
    <w:rsid w:val="00BC3D9F"/>
    <w:rsid w:val="00BC3E56"/>
    <w:rsid w:val="00BC3F14"/>
    <w:rsid w:val="00BC47AD"/>
    <w:rsid w:val="00BC4819"/>
    <w:rsid w:val="00BC488A"/>
    <w:rsid w:val="00BC489C"/>
    <w:rsid w:val="00BC490A"/>
    <w:rsid w:val="00BC4973"/>
    <w:rsid w:val="00BC4AE7"/>
    <w:rsid w:val="00BC4B18"/>
    <w:rsid w:val="00BC518E"/>
    <w:rsid w:val="00BC52CB"/>
    <w:rsid w:val="00BC5385"/>
    <w:rsid w:val="00BC5396"/>
    <w:rsid w:val="00BC573D"/>
    <w:rsid w:val="00BC5757"/>
    <w:rsid w:val="00BC575B"/>
    <w:rsid w:val="00BC5808"/>
    <w:rsid w:val="00BC5A96"/>
    <w:rsid w:val="00BC5D4D"/>
    <w:rsid w:val="00BC5FBE"/>
    <w:rsid w:val="00BC642C"/>
    <w:rsid w:val="00BC6458"/>
    <w:rsid w:val="00BC64B8"/>
    <w:rsid w:val="00BC660A"/>
    <w:rsid w:val="00BC6946"/>
    <w:rsid w:val="00BC6A24"/>
    <w:rsid w:val="00BC6C9D"/>
    <w:rsid w:val="00BC6CE0"/>
    <w:rsid w:val="00BC6FF9"/>
    <w:rsid w:val="00BC7071"/>
    <w:rsid w:val="00BC7220"/>
    <w:rsid w:val="00BC72AC"/>
    <w:rsid w:val="00BC73E5"/>
    <w:rsid w:val="00BC76B9"/>
    <w:rsid w:val="00BC7734"/>
    <w:rsid w:val="00BC78B5"/>
    <w:rsid w:val="00BC7904"/>
    <w:rsid w:val="00BC7BD0"/>
    <w:rsid w:val="00BD0025"/>
    <w:rsid w:val="00BD0097"/>
    <w:rsid w:val="00BD03EE"/>
    <w:rsid w:val="00BD0659"/>
    <w:rsid w:val="00BD07BF"/>
    <w:rsid w:val="00BD0896"/>
    <w:rsid w:val="00BD0A94"/>
    <w:rsid w:val="00BD0C09"/>
    <w:rsid w:val="00BD0C8D"/>
    <w:rsid w:val="00BD0DDB"/>
    <w:rsid w:val="00BD1045"/>
    <w:rsid w:val="00BD11DD"/>
    <w:rsid w:val="00BD149D"/>
    <w:rsid w:val="00BD1509"/>
    <w:rsid w:val="00BD1588"/>
    <w:rsid w:val="00BD1590"/>
    <w:rsid w:val="00BD15CC"/>
    <w:rsid w:val="00BD1AC8"/>
    <w:rsid w:val="00BD1B0D"/>
    <w:rsid w:val="00BD1DA4"/>
    <w:rsid w:val="00BD2153"/>
    <w:rsid w:val="00BD221A"/>
    <w:rsid w:val="00BD225E"/>
    <w:rsid w:val="00BD2317"/>
    <w:rsid w:val="00BD2579"/>
    <w:rsid w:val="00BD27F0"/>
    <w:rsid w:val="00BD2A1C"/>
    <w:rsid w:val="00BD2E42"/>
    <w:rsid w:val="00BD2F76"/>
    <w:rsid w:val="00BD32BC"/>
    <w:rsid w:val="00BD335F"/>
    <w:rsid w:val="00BD342B"/>
    <w:rsid w:val="00BD34B7"/>
    <w:rsid w:val="00BD355C"/>
    <w:rsid w:val="00BD365A"/>
    <w:rsid w:val="00BD3682"/>
    <w:rsid w:val="00BD383C"/>
    <w:rsid w:val="00BD3855"/>
    <w:rsid w:val="00BD3ADA"/>
    <w:rsid w:val="00BD3C45"/>
    <w:rsid w:val="00BD3D6E"/>
    <w:rsid w:val="00BD41E6"/>
    <w:rsid w:val="00BD422B"/>
    <w:rsid w:val="00BD4331"/>
    <w:rsid w:val="00BD4464"/>
    <w:rsid w:val="00BD45C7"/>
    <w:rsid w:val="00BD4697"/>
    <w:rsid w:val="00BD4754"/>
    <w:rsid w:val="00BD4A8E"/>
    <w:rsid w:val="00BD4D4B"/>
    <w:rsid w:val="00BD4D8B"/>
    <w:rsid w:val="00BD4E2B"/>
    <w:rsid w:val="00BD4E74"/>
    <w:rsid w:val="00BD53A9"/>
    <w:rsid w:val="00BD54D2"/>
    <w:rsid w:val="00BD579A"/>
    <w:rsid w:val="00BD5B05"/>
    <w:rsid w:val="00BD5D91"/>
    <w:rsid w:val="00BD5E0D"/>
    <w:rsid w:val="00BD5EA3"/>
    <w:rsid w:val="00BD6076"/>
    <w:rsid w:val="00BD6226"/>
    <w:rsid w:val="00BD647F"/>
    <w:rsid w:val="00BD6647"/>
    <w:rsid w:val="00BD673E"/>
    <w:rsid w:val="00BD6B0A"/>
    <w:rsid w:val="00BD6FAC"/>
    <w:rsid w:val="00BD7437"/>
    <w:rsid w:val="00BD74EE"/>
    <w:rsid w:val="00BD75FE"/>
    <w:rsid w:val="00BD7920"/>
    <w:rsid w:val="00BD7A80"/>
    <w:rsid w:val="00BD7CE9"/>
    <w:rsid w:val="00BD7D21"/>
    <w:rsid w:val="00BD7F21"/>
    <w:rsid w:val="00BE066B"/>
    <w:rsid w:val="00BE09AB"/>
    <w:rsid w:val="00BE0C22"/>
    <w:rsid w:val="00BE10C0"/>
    <w:rsid w:val="00BE121A"/>
    <w:rsid w:val="00BE145F"/>
    <w:rsid w:val="00BE14CF"/>
    <w:rsid w:val="00BE184D"/>
    <w:rsid w:val="00BE1FDE"/>
    <w:rsid w:val="00BE2226"/>
    <w:rsid w:val="00BE244A"/>
    <w:rsid w:val="00BE25DD"/>
    <w:rsid w:val="00BE2A23"/>
    <w:rsid w:val="00BE2B81"/>
    <w:rsid w:val="00BE2C72"/>
    <w:rsid w:val="00BE2ED5"/>
    <w:rsid w:val="00BE2FE0"/>
    <w:rsid w:val="00BE31FD"/>
    <w:rsid w:val="00BE32FE"/>
    <w:rsid w:val="00BE33CF"/>
    <w:rsid w:val="00BE3435"/>
    <w:rsid w:val="00BE375E"/>
    <w:rsid w:val="00BE3B6F"/>
    <w:rsid w:val="00BE3B89"/>
    <w:rsid w:val="00BE3C3C"/>
    <w:rsid w:val="00BE3C3D"/>
    <w:rsid w:val="00BE3C56"/>
    <w:rsid w:val="00BE3D1D"/>
    <w:rsid w:val="00BE3E81"/>
    <w:rsid w:val="00BE4036"/>
    <w:rsid w:val="00BE4104"/>
    <w:rsid w:val="00BE41B2"/>
    <w:rsid w:val="00BE4333"/>
    <w:rsid w:val="00BE43DF"/>
    <w:rsid w:val="00BE44EB"/>
    <w:rsid w:val="00BE4709"/>
    <w:rsid w:val="00BE4917"/>
    <w:rsid w:val="00BE4E58"/>
    <w:rsid w:val="00BE50DA"/>
    <w:rsid w:val="00BE5172"/>
    <w:rsid w:val="00BE52AA"/>
    <w:rsid w:val="00BE52B8"/>
    <w:rsid w:val="00BE53AB"/>
    <w:rsid w:val="00BE5481"/>
    <w:rsid w:val="00BE54AC"/>
    <w:rsid w:val="00BE5782"/>
    <w:rsid w:val="00BE57A8"/>
    <w:rsid w:val="00BE5AA5"/>
    <w:rsid w:val="00BE5AFF"/>
    <w:rsid w:val="00BE5B8B"/>
    <w:rsid w:val="00BE5C7A"/>
    <w:rsid w:val="00BE62CF"/>
    <w:rsid w:val="00BE6367"/>
    <w:rsid w:val="00BE63D0"/>
    <w:rsid w:val="00BE6489"/>
    <w:rsid w:val="00BE6BC6"/>
    <w:rsid w:val="00BE6BD5"/>
    <w:rsid w:val="00BE6C3D"/>
    <w:rsid w:val="00BE6CA7"/>
    <w:rsid w:val="00BE6CD0"/>
    <w:rsid w:val="00BE6F4F"/>
    <w:rsid w:val="00BE7369"/>
    <w:rsid w:val="00BE76D6"/>
    <w:rsid w:val="00BE783C"/>
    <w:rsid w:val="00BE78BC"/>
    <w:rsid w:val="00BE7906"/>
    <w:rsid w:val="00BE79B2"/>
    <w:rsid w:val="00BE7C89"/>
    <w:rsid w:val="00BE7F3D"/>
    <w:rsid w:val="00BF0048"/>
    <w:rsid w:val="00BF0630"/>
    <w:rsid w:val="00BF06D4"/>
    <w:rsid w:val="00BF0CB6"/>
    <w:rsid w:val="00BF0DDE"/>
    <w:rsid w:val="00BF0F7D"/>
    <w:rsid w:val="00BF0F7E"/>
    <w:rsid w:val="00BF1074"/>
    <w:rsid w:val="00BF118B"/>
    <w:rsid w:val="00BF142A"/>
    <w:rsid w:val="00BF1456"/>
    <w:rsid w:val="00BF1688"/>
    <w:rsid w:val="00BF173F"/>
    <w:rsid w:val="00BF189B"/>
    <w:rsid w:val="00BF1C5B"/>
    <w:rsid w:val="00BF1F6F"/>
    <w:rsid w:val="00BF20A2"/>
    <w:rsid w:val="00BF21AD"/>
    <w:rsid w:val="00BF2286"/>
    <w:rsid w:val="00BF25C6"/>
    <w:rsid w:val="00BF2738"/>
    <w:rsid w:val="00BF28A8"/>
    <w:rsid w:val="00BF301E"/>
    <w:rsid w:val="00BF30B7"/>
    <w:rsid w:val="00BF3197"/>
    <w:rsid w:val="00BF34DD"/>
    <w:rsid w:val="00BF3A85"/>
    <w:rsid w:val="00BF3AD9"/>
    <w:rsid w:val="00BF3BDB"/>
    <w:rsid w:val="00BF3C60"/>
    <w:rsid w:val="00BF3DED"/>
    <w:rsid w:val="00BF4006"/>
    <w:rsid w:val="00BF4036"/>
    <w:rsid w:val="00BF4062"/>
    <w:rsid w:val="00BF4238"/>
    <w:rsid w:val="00BF42C8"/>
    <w:rsid w:val="00BF4443"/>
    <w:rsid w:val="00BF463A"/>
    <w:rsid w:val="00BF4650"/>
    <w:rsid w:val="00BF4B4A"/>
    <w:rsid w:val="00BF4DBE"/>
    <w:rsid w:val="00BF4E6A"/>
    <w:rsid w:val="00BF5107"/>
    <w:rsid w:val="00BF555B"/>
    <w:rsid w:val="00BF5842"/>
    <w:rsid w:val="00BF58BD"/>
    <w:rsid w:val="00BF5A6E"/>
    <w:rsid w:val="00BF5D72"/>
    <w:rsid w:val="00BF5D73"/>
    <w:rsid w:val="00BF5DCB"/>
    <w:rsid w:val="00BF5E7A"/>
    <w:rsid w:val="00BF5F7E"/>
    <w:rsid w:val="00BF61EE"/>
    <w:rsid w:val="00BF61F9"/>
    <w:rsid w:val="00BF61FA"/>
    <w:rsid w:val="00BF6290"/>
    <w:rsid w:val="00BF63E1"/>
    <w:rsid w:val="00BF68FB"/>
    <w:rsid w:val="00BF6A38"/>
    <w:rsid w:val="00BF6A9F"/>
    <w:rsid w:val="00BF6F8E"/>
    <w:rsid w:val="00BF70D8"/>
    <w:rsid w:val="00BF7130"/>
    <w:rsid w:val="00BF74F7"/>
    <w:rsid w:val="00BF754A"/>
    <w:rsid w:val="00BF75F8"/>
    <w:rsid w:val="00BF7678"/>
    <w:rsid w:val="00BF78E3"/>
    <w:rsid w:val="00BF7919"/>
    <w:rsid w:val="00BF7AE8"/>
    <w:rsid w:val="00BF7CE5"/>
    <w:rsid w:val="00BF7F00"/>
    <w:rsid w:val="00C0003F"/>
    <w:rsid w:val="00C00188"/>
    <w:rsid w:val="00C003E8"/>
    <w:rsid w:val="00C0053C"/>
    <w:rsid w:val="00C009AC"/>
    <w:rsid w:val="00C00B6F"/>
    <w:rsid w:val="00C00B7E"/>
    <w:rsid w:val="00C00D27"/>
    <w:rsid w:val="00C00F21"/>
    <w:rsid w:val="00C01394"/>
    <w:rsid w:val="00C014A8"/>
    <w:rsid w:val="00C0152C"/>
    <w:rsid w:val="00C01867"/>
    <w:rsid w:val="00C01A2D"/>
    <w:rsid w:val="00C01C89"/>
    <w:rsid w:val="00C01CE9"/>
    <w:rsid w:val="00C01D93"/>
    <w:rsid w:val="00C02041"/>
    <w:rsid w:val="00C021B1"/>
    <w:rsid w:val="00C022C3"/>
    <w:rsid w:val="00C0235C"/>
    <w:rsid w:val="00C02661"/>
    <w:rsid w:val="00C02671"/>
    <w:rsid w:val="00C0277E"/>
    <w:rsid w:val="00C028EA"/>
    <w:rsid w:val="00C029CB"/>
    <w:rsid w:val="00C029EF"/>
    <w:rsid w:val="00C02B89"/>
    <w:rsid w:val="00C02E0C"/>
    <w:rsid w:val="00C02F6A"/>
    <w:rsid w:val="00C030C8"/>
    <w:rsid w:val="00C03301"/>
    <w:rsid w:val="00C03406"/>
    <w:rsid w:val="00C03410"/>
    <w:rsid w:val="00C0348F"/>
    <w:rsid w:val="00C036EB"/>
    <w:rsid w:val="00C03E98"/>
    <w:rsid w:val="00C03FC1"/>
    <w:rsid w:val="00C03FFE"/>
    <w:rsid w:val="00C04195"/>
    <w:rsid w:val="00C042D4"/>
    <w:rsid w:val="00C04476"/>
    <w:rsid w:val="00C044B5"/>
    <w:rsid w:val="00C04946"/>
    <w:rsid w:val="00C04983"/>
    <w:rsid w:val="00C04B3F"/>
    <w:rsid w:val="00C04B6E"/>
    <w:rsid w:val="00C04C17"/>
    <w:rsid w:val="00C04DAB"/>
    <w:rsid w:val="00C04DB7"/>
    <w:rsid w:val="00C0526A"/>
    <w:rsid w:val="00C0547A"/>
    <w:rsid w:val="00C05721"/>
    <w:rsid w:val="00C057FC"/>
    <w:rsid w:val="00C058A5"/>
    <w:rsid w:val="00C05900"/>
    <w:rsid w:val="00C0590C"/>
    <w:rsid w:val="00C05A40"/>
    <w:rsid w:val="00C05BAB"/>
    <w:rsid w:val="00C05ECD"/>
    <w:rsid w:val="00C05F55"/>
    <w:rsid w:val="00C06018"/>
    <w:rsid w:val="00C0644F"/>
    <w:rsid w:val="00C06699"/>
    <w:rsid w:val="00C06B17"/>
    <w:rsid w:val="00C06BA7"/>
    <w:rsid w:val="00C06CEB"/>
    <w:rsid w:val="00C06FC5"/>
    <w:rsid w:val="00C06FD5"/>
    <w:rsid w:val="00C0725F"/>
    <w:rsid w:val="00C07282"/>
    <w:rsid w:val="00C07509"/>
    <w:rsid w:val="00C0753B"/>
    <w:rsid w:val="00C07544"/>
    <w:rsid w:val="00C07626"/>
    <w:rsid w:val="00C07693"/>
    <w:rsid w:val="00C07CC8"/>
    <w:rsid w:val="00C07E01"/>
    <w:rsid w:val="00C1006B"/>
    <w:rsid w:val="00C100EC"/>
    <w:rsid w:val="00C1014A"/>
    <w:rsid w:val="00C10171"/>
    <w:rsid w:val="00C10940"/>
    <w:rsid w:val="00C1097D"/>
    <w:rsid w:val="00C10BF1"/>
    <w:rsid w:val="00C10C17"/>
    <w:rsid w:val="00C10C6C"/>
    <w:rsid w:val="00C11040"/>
    <w:rsid w:val="00C1154C"/>
    <w:rsid w:val="00C11646"/>
    <w:rsid w:val="00C11975"/>
    <w:rsid w:val="00C120B3"/>
    <w:rsid w:val="00C1246A"/>
    <w:rsid w:val="00C12874"/>
    <w:rsid w:val="00C12C33"/>
    <w:rsid w:val="00C12D30"/>
    <w:rsid w:val="00C134FA"/>
    <w:rsid w:val="00C13521"/>
    <w:rsid w:val="00C13565"/>
    <w:rsid w:val="00C13681"/>
    <w:rsid w:val="00C136C8"/>
    <w:rsid w:val="00C13812"/>
    <w:rsid w:val="00C13976"/>
    <w:rsid w:val="00C139A0"/>
    <w:rsid w:val="00C13A28"/>
    <w:rsid w:val="00C13B9E"/>
    <w:rsid w:val="00C13BE1"/>
    <w:rsid w:val="00C13C06"/>
    <w:rsid w:val="00C13C1D"/>
    <w:rsid w:val="00C13D9C"/>
    <w:rsid w:val="00C13DC1"/>
    <w:rsid w:val="00C13ECD"/>
    <w:rsid w:val="00C13FC6"/>
    <w:rsid w:val="00C140BD"/>
    <w:rsid w:val="00C1414E"/>
    <w:rsid w:val="00C146C2"/>
    <w:rsid w:val="00C1470D"/>
    <w:rsid w:val="00C14749"/>
    <w:rsid w:val="00C1488F"/>
    <w:rsid w:val="00C14BAB"/>
    <w:rsid w:val="00C14BDC"/>
    <w:rsid w:val="00C14CAA"/>
    <w:rsid w:val="00C14EA0"/>
    <w:rsid w:val="00C15249"/>
    <w:rsid w:val="00C1554A"/>
    <w:rsid w:val="00C15F4E"/>
    <w:rsid w:val="00C15FF3"/>
    <w:rsid w:val="00C16312"/>
    <w:rsid w:val="00C1639D"/>
    <w:rsid w:val="00C16982"/>
    <w:rsid w:val="00C16CF7"/>
    <w:rsid w:val="00C16DBC"/>
    <w:rsid w:val="00C16E57"/>
    <w:rsid w:val="00C16F19"/>
    <w:rsid w:val="00C16F65"/>
    <w:rsid w:val="00C1720E"/>
    <w:rsid w:val="00C172F4"/>
    <w:rsid w:val="00C173F0"/>
    <w:rsid w:val="00C177AE"/>
    <w:rsid w:val="00C178AA"/>
    <w:rsid w:val="00C17B92"/>
    <w:rsid w:val="00C17D8F"/>
    <w:rsid w:val="00C2004E"/>
    <w:rsid w:val="00C2034A"/>
    <w:rsid w:val="00C20832"/>
    <w:rsid w:val="00C2088A"/>
    <w:rsid w:val="00C209C4"/>
    <w:rsid w:val="00C20A50"/>
    <w:rsid w:val="00C20CC2"/>
    <w:rsid w:val="00C20F2A"/>
    <w:rsid w:val="00C211FF"/>
    <w:rsid w:val="00C213E8"/>
    <w:rsid w:val="00C214E2"/>
    <w:rsid w:val="00C21554"/>
    <w:rsid w:val="00C21725"/>
    <w:rsid w:val="00C217E6"/>
    <w:rsid w:val="00C219B4"/>
    <w:rsid w:val="00C21A59"/>
    <w:rsid w:val="00C22188"/>
    <w:rsid w:val="00C2219B"/>
    <w:rsid w:val="00C22263"/>
    <w:rsid w:val="00C22455"/>
    <w:rsid w:val="00C224AB"/>
    <w:rsid w:val="00C22C5B"/>
    <w:rsid w:val="00C22D60"/>
    <w:rsid w:val="00C23287"/>
    <w:rsid w:val="00C2329C"/>
    <w:rsid w:val="00C2351C"/>
    <w:rsid w:val="00C23A00"/>
    <w:rsid w:val="00C23A53"/>
    <w:rsid w:val="00C23C9C"/>
    <w:rsid w:val="00C23F94"/>
    <w:rsid w:val="00C23FD4"/>
    <w:rsid w:val="00C24170"/>
    <w:rsid w:val="00C24564"/>
    <w:rsid w:val="00C2473A"/>
    <w:rsid w:val="00C24968"/>
    <w:rsid w:val="00C249CA"/>
    <w:rsid w:val="00C24A5F"/>
    <w:rsid w:val="00C24D20"/>
    <w:rsid w:val="00C24E62"/>
    <w:rsid w:val="00C25195"/>
    <w:rsid w:val="00C2522B"/>
    <w:rsid w:val="00C252C3"/>
    <w:rsid w:val="00C2531B"/>
    <w:rsid w:val="00C258F3"/>
    <w:rsid w:val="00C25924"/>
    <w:rsid w:val="00C25C7B"/>
    <w:rsid w:val="00C25D8E"/>
    <w:rsid w:val="00C25FF3"/>
    <w:rsid w:val="00C26206"/>
    <w:rsid w:val="00C262E0"/>
    <w:rsid w:val="00C26373"/>
    <w:rsid w:val="00C26436"/>
    <w:rsid w:val="00C26671"/>
    <w:rsid w:val="00C26711"/>
    <w:rsid w:val="00C26737"/>
    <w:rsid w:val="00C2678B"/>
    <w:rsid w:val="00C26E10"/>
    <w:rsid w:val="00C26E5B"/>
    <w:rsid w:val="00C26FE9"/>
    <w:rsid w:val="00C271DB"/>
    <w:rsid w:val="00C2737C"/>
    <w:rsid w:val="00C2750B"/>
    <w:rsid w:val="00C2760E"/>
    <w:rsid w:val="00C276F7"/>
    <w:rsid w:val="00C27B33"/>
    <w:rsid w:val="00C27DC3"/>
    <w:rsid w:val="00C304BF"/>
    <w:rsid w:val="00C30590"/>
    <w:rsid w:val="00C3068A"/>
    <w:rsid w:val="00C30859"/>
    <w:rsid w:val="00C309D2"/>
    <w:rsid w:val="00C30A01"/>
    <w:rsid w:val="00C30B53"/>
    <w:rsid w:val="00C30C08"/>
    <w:rsid w:val="00C3136A"/>
    <w:rsid w:val="00C313EE"/>
    <w:rsid w:val="00C31856"/>
    <w:rsid w:val="00C31A0F"/>
    <w:rsid w:val="00C31AC0"/>
    <w:rsid w:val="00C31B87"/>
    <w:rsid w:val="00C31DA2"/>
    <w:rsid w:val="00C31DC0"/>
    <w:rsid w:val="00C3207B"/>
    <w:rsid w:val="00C320B3"/>
    <w:rsid w:val="00C32414"/>
    <w:rsid w:val="00C3274A"/>
    <w:rsid w:val="00C327CC"/>
    <w:rsid w:val="00C32A8F"/>
    <w:rsid w:val="00C32AAF"/>
    <w:rsid w:val="00C32CB4"/>
    <w:rsid w:val="00C32DCD"/>
    <w:rsid w:val="00C32EFD"/>
    <w:rsid w:val="00C33017"/>
    <w:rsid w:val="00C33369"/>
    <w:rsid w:val="00C3341A"/>
    <w:rsid w:val="00C3366A"/>
    <w:rsid w:val="00C337C1"/>
    <w:rsid w:val="00C337D7"/>
    <w:rsid w:val="00C339FE"/>
    <w:rsid w:val="00C33A43"/>
    <w:rsid w:val="00C33B56"/>
    <w:rsid w:val="00C33D36"/>
    <w:rsid w:val="00C33D9F"/>
    <w:rsid w:val="00C3416F"/>
    <w:rsid w:val="00C34450"/>
    <w:rsid w:val="00C344C0"/>
    <w:rsid w:val="00C344EB"/>
    <w:rsid w:val="00C34553"/>
    <w:rsid w:val="00C34AAB"/>
    <w:rsid w:val="00C34B94"/>
    <w:rsid w:val="00C34C0F"/>
    <w:rsid w:val="00C34FC9"/>
    <w:rsid w:val="00C350D3"/>
    <w:rsid w:val="00C355DF"/>
    <w:rsid w:val="00C357ED"/>
    <w:rsid w:val="00C35848"/>
    <w:rsid w:val="00C359A4"/>
    <w:rsid w:val="00C35BDD"/>
    <w:rsid w:val="00C35C08"/>
    <w:rsid w:val="00C35C3A"/>
    <w:rsid w:val="00C35C84"/>
    <w:rsid w:val="00C36185"/>
    <w:rsid w:val="00C3627C"/>
    <w:rsid w:val="00C362E6"/>
    <w:rsid w:val="00C363A2"/>
    <w:rsid w:val="00C363E7"/>
    <w:rsid w:val="00C364FE"/>
    <w:rsid w:val="00C36577"/>
    <w:rsid w:val="00C36596"/>
    <w:rsid w:val="00C365E2"/>
    <w:rsid w:val="00C36787"/>
    <w:rsid w:val="00C36B8F"/>
    <w:rsid w:val="00C37425"/>
    <w:rsid w:val="00C37477"/>
    <w:rsid w:val="00C37672"/>
    <w:rsid w:val="00C376F3"/>
    <w:rsid w:val="00C37BAC"/>
    <w:rsid w:val="00C37C45"/>
    <w:rsid w:val="00C4000E"/>
    <w:rsid w:val="00C40091"/>
    <w:rsid w:val="00C401C2"/>
    <w:rsid w:val="00C4022F"/>
    <w:rsid w:val="00C4026C"/>
    <w:rsid w:val="00C40B35"/>
    <w:rsid w:val="00C40C4F"/>
    <w:rsid w:val="00C410FD"/>
    <w:rsid w:val="00C41501"/>
    <w:rsid w:val="00C4155D"/>
    <w:rsid w:val="00C415E7"/>
    <w:rsid w:val="00C416F4"/>
    <w:rsid w:val="00C41B16"/>
    <w:rsid w:val="00C41BB0"/>
    <w:rsid w:val="00C41C59"/>
    <w:rsid w:val="00C41E8B"/>
    <w:rsid w:val="00C421CB"/>
    <w:rsid w:val="00C4243F"/>
    <w:rsid w:val="00C42927"/>
    <w:rsid w:val="00C42AD2"/>
    <w:rsid w:val="00C42DBC"/>
    <w:rsid w:val="00C43305"/>
    <w:rsid w:val="00C433A6"/>
    <w:rsid w:val="00C43573"/>
    <w:rsid w:val="00C439CB"/>
    <w:rsid w:val="00C439E7"/>
    <w:rsid w:val="00C439F4"/>
    <w:rsid w:val="00C43A59"/>
    <w:rsid w:val="00C43AC8"/>
    <w:rsid w:val="00C43E65"/>
    <w:rsid w:val="00C44167"/>
    <w:rsid w:val="00C4425D"/>
    <w:rsid w:val="00C442CD"/>
    <w:rsid w:val="00C4482E"/>
    <w:rsid w:val="00C448BF"/>
    <w:rsid w:val="00C44A46"/>
    <w:rsid w:val="00C44BD7"/>
    <w:rsid w:val="00C44C46"/>
    <w:rsid w:val="00C44DB8"/>
    <w:rsid w:val="00C44EAC"/>
    <w:rsid w:val="00C44FF3"/>
    <w:rsid w:val="00C4525D"/>
    <w:rsid w:val="00C45437"/>
    <w:rsid w:val="00C45667"/>
    <w:rsid w:val="00C4567C"/>
    <w:rsid w:val="00C45A0D"/>
    <w:rsid w:val="00C45B16"/>
    <w:rsid w:val="00C45B84"/>
    <w:rsid w:val="00C462DF"/>
    <w:rsid w:val="00C46383"/>
    <w:rsid w:val="00C468EE"/>
    <w:rsid w:val="00C468FD"/>
    <w:rsid w:val="00C46ABE"/>
    <w:rsid w:val="00C46BF8"/>
    <w:rsid w:val="00C46DB5"/>
    <w:rsid w:val="00C47250"/>
    <w:rsid w:val="00C47413"/>
    <w:rsid w:val="00C474B0"/>
    <w:rsid w:val="00C477C3"/>
    <w:rsid w:val="00C47827"/>
    <w:rsid w:val="00C4789C"/>
    <w:rsid w:val="00C500A7"/>
    <w:rsid w:val="00C501B2"/>
    <w:rsid w:val="00C50924"/>
    <w:rsid w:val="00C50A2F"/>
    <w:rsid w:val="00C50E7D"/>
    <w:rsid w:val="00C5111B"/>
    <w:rsid w:val="00C51145"/>
    <w:rsid w:val="00C51313"/>
    <w:rsid w:val="00C515C8"/>
    <w:rsid w:val="00C51713"/>
    <w:rsid w:val="00C518CB"/>
    <w:rsid w:val="00C51E79"/>
    <w:rsid w:val="00C52364"/>
    <w:rsid w:val="00C52462"/>
    <w:rsid w:val="00C52498"/>
    <w:rsid w:val="00C5273B"/>
    <w:rsid w:val="00C529D6"/>
    <w:rsid w:val="00C52A1D"/>
    <w:rsid w:val="00C52A52"/>
    <w:rsid w:val="00C52C5A"/>
    <w:rsid w:val="00C52E64"/>
    <w:rsid w:val="00C53140"/>
    <w:rsid w:val="00C537A1"/>
    <w:rsid w:val="00C5398C"/>
    <w:rsid w:val="00C53A6D"/>
    <w:rsid w:val="00C53AF8"/>
    <w:rsid w:val="00C53BA7"/>
    <w:rsid w:val="00C53F7E"/>
    <w:rsid w:val="00C5432E"/>
    <w:rsid w:val="00C543F0"/>
    <w:rsid w:val="00C54497"/>
    <w:rsid w:val="00C54590"/>
    <w:rsid w:val="00C5496A"/>
    <w:rsid w:val="00C54985"/>
    <w:rsid w:val="00C5498D"/>
    <w:rsid w:val="00C54BCB"/>
    <w:rsid w:val="00C54CCB"/>
    <w:rsid w:val="00C54D3E"/>
    <w:rsid w:val="00C55088"/>
    <w:rsid w:val="00C5522F"/>
    <w:rsid w:val="00C5541F"/>
    <w:rsid w:val="00C554E0"/>
    <w:rsid w:val="00C5589F"/>
    <w:rsid w:val="00C55ACD"/>
    <w:rsid w:val="00C55B97"/>
    <w:rsid w:val="00C55C3E"/>
    <w:rsid w:val="00C55C55"/>
    <w:rsid w:val="00C56033"/>
    <w:rsid w:val="00C564A0"/>
    <w:rsid w:val="00C567B3"/>
    <w:rsid w:val="00C568D2"/>
    <w:rsid w:val="00C56A3D"/>
    <w:rsid w:val="00C56B6C"/>
    <w:rsid w:val="00C56DCF"/>
    <w:rsid w:val="00C56E24"/>
    <w:rsid w:val="00C5707F"/>
    <w:rsid w:val="00C57157"/>
    <w:rsid w:val="00C571F5"/>
    <w:rsid w:val="00C574C1"/>
    <w:rsid w:val="00C57502"/>
    <w:rsid w:val="00C57525"/>
    <w:rsid w:val="00C57650"/>
    <w:rsid w:val="00C57753"/>
    <w:rsid w:val="00C57775"/>
    <w:rsid w:val="00C579F9"/>
    <w:rsid w:val="00C60095"/>
    <w:rsid w:val="00C602FF"/>
    <w:rsid w:val="00C6040C"/>
    <w:rsid w:val="00C606FE"/>
    <w:rsid w:val="00C607F6"/>
    <w:rsid w:val="00C60823"/>
    <w:rsid w:val="00C609BE"/>
    <w:rsid w:val="00C60A51"/>
    <w:rsid w:val="00C60C85"/>
    <w:rsid w:val="00C60D3E"/>
    <w:rsid w:val="00C61003"/>
    <w:rsid w:val="00C613B5"/>
    <w:rsid w:val="00C614DB"/>
    <w:rsid w:val="00C61814"/>
    <w:rsid w:val="00C61980"/>
    <w:rsid w:val="00C619CC"/>
    <w:rsid w:val="00C61B36"/>
    <w:rsid w:val="00C61D6E"/>
    <w:rsid w:val="00C61DA5"/>
    <w:rsid w:val="00C62162"/>
    <w:rsid w:val="00C622A9"/>
    <w:rsid w:val="00C62423"/>
    <w:rsid w:val="00C62488"/>
    <w:rsid w:val="00C62B71"/>
    <w:rsid w:val="00C62CAD"/>
    <w:rsid w:val="00C62F96"/>
    <w:rsid w:val="00C631B1"/>
    <w:rsid w:val="00C6338A"/>
    <w:rsid w:val="00C634F2"/>
    <w:rsid w:val="00C63792"/>
    <w:rsid w:val="00C63A43"/>
    <w:rsid w:val="00C64006"/>
    <w:rsid w:val="00C6440C"/>
    <w:rsid w:val="00C644C3"/>
    <w:rsid w:val="00C648C2"/>
    <w:rsid w:val="00C64E6C"/>
    <w:rsid w:val="00C65057"/>
    <w:rsid w:val="00C651C4"/>
    <w:rsid w:val="00C6526B"/>
    <w:rsid w:val="00C65341"/>
    <w:rsid w:val="00C654C0"/>
    <w:rsid w:val="00C6563B"/>
    <w:rsid w:val="00C65667"/>
    <w:rsid w:val="00C6569B"/>
    <w:rsid w:val="00C656EA"/>
    <w:rsid w:val="00C6584D"/>
    <w:rsid w:val="00C65A22"/>
    <w:rsid w:val="00C65D95"/>
    <w:rsid w:val="00C65F4F"/>
    <w:rsid w:val="00C65FFE"/>
    <w:rsid w:val="00C660A3"/>
    <w:rsid w:val="00C664B7"/>
    <w:rsid w:val="00C66538"/>
    <w:rsid w:val="00C66582"/>
    <w:rsid w:val="00C667D0"/>
    <w:rsid w:val="00C66820"/>
    <w:rsid w:val="00C66E7A"/>
    <w:rsid w:val="00C66F04"/>
    <w:rsid w:val="00C6709E"/>
    <w:rsid w:val="00C67132"/>
    <w:rsid w:val="00C672E9"/>
    <w:rsid w:val="00C67428"/>
    <w:rsid w:val="00C677A9"/>
    <w:rsid w:val="00C678AC"/>
    <w:rsid w:val="00C679E9"/>
    <w:rsid w:val="00C67C38"/>
    <w:rsid w:val="00C67C3F"/>
    <w:rsid w:val="00C67CE7"/>
    <w:rsid w:val="00C67CF9"/>
    <w:rsid w:val="00C67EB5"/>
    <w:rsid w:val="00C67EF7"/>
    <w:rsid w:val="00C70006"/>
    <w:rsid w:val="00C70087"/>
    <w:rsid w:val="00C702B4"/>
    <w:rsid w:val="00C7032F"/>
    <w:rsid w:val="00C70542"/>
    <w:rsid w:val="00C7062A"/>
    <w:rsid w:val="00C707C7"/>
    <w:rsid w:val="00C709C1"/>
    <w:rsid w:val="00C70CC9"/>
    <w:rsid w:val="00C70D8A"/>
    <w:rsid w:val="00C70E72"/>
    <w:rsid w:val="00C70E73"/>
    <w:rsid w:val="00C714EF"/>
    <w:rsid w:val="00C71821"/>
    <w:rsid w:val="00C719CF"/>
    <w:rsid w:val="00C71AF0"/>
    <w:rsid w:val="00C71E8D"/>
    <w:rsid w:val="00C71E9D"/>
    <w:rsid w:val="00C71F15"/>
    <w:rsid w:val="00C71FBF"/>
    <w:rsid w:val="00C721E9"/>
    <w:rsid w:val="00C7231E"/>
    <w:rsid w:val="00C72779"/>
    <w:rsid w:val="00C72844"/>
    <w:rsid w:val="00C72898"/>
    <w:rsid w:val="00C72A55"/>
    <w:rsid w:val="00C7318F"/>
    <w:rsid w:val="00C733ED"/>
    <w:rsid w:val="00C7344B"/>
    <w:rsid w:val="00C73757"/>
    <w:rsid w:val="00C73E4F"/>
    <w:rsid w:val="00C73EB0"/>
    <w:rsid w:val="00C74030"/>
    <w:rsid w:val="00C740C4"/>
    <w:rsid w:val="00C742F8"/>
    <w:rsid w:val="00C74401"/>
    <w:rsid w:val="00C745FB"/>
    <w:rsid w:val="00C74610"/>
    <w:rsid w:val="00C748EC"/>
    <w:rsid w:val="00C749AB"/>
    <w:rsid w:val="00C74AA4"/>
    <w:rsid w:val="00C74E39"/>
    <w:rsid w:val="00C74E95"/>
    <w:rsid w:val="00C74F66"/>
    <w:rsid w:val="00C7558A"/>
    <w:rsid w:val="00C75614"/>
    <w:rsid w:val="00C756D4"/>
    <w:rsid w:val="00C757B0"/>
    <w:rsid w:val="00C75B1F"/>
    <w:rsid w:val="00C75B26"/>
    <w:rsid w:val="00C75DC2"/>
    <w:rsid w:val="00C75E21"/>
    <w:rsid w:val="00C76162"/>
    <w:rsid w:val="00C761D0"/>
    <w:rsid w:val="00C7634C"/>
    <w:rsid w:val="00C76696"/>
    <w:rsid w:val="00C7682F"/>
    <w:rsid w:val="00C769C8"/>
    <w:rsid w:val="00C769D6"/>
    <w:rsid w:val="00C76B39"/>
    <w:rsid w:val="00C76BEF"/>
    <w:rsid w:val="00C76D8D"/>
    <w:rsid w:val="00C76DBC"/>
    <w:rsid w:val="00C76E57"/>
    <w:rsid w:val="00C76FBB"/>
    <w:rsid w:val="00C770B0"/>
    <w:rsid w:val="00C770BE"/>
    <w:rsid w:val="00C771C1"/>
    <w:rsid w:val="00C77350"/>
    <w:rsid w:val="00C7736C"/>
    <w:rsid w:val="00C7758C"/>
    <w:rsid w:val="00C77750"/>
    <w:rsid w:val="00C77851"/>
    <w:rsid w:val="00C77A3D"/>
    <w:rsid w:val="00C77A5C"/>
    <w:rsid w:val="00C77E21"/>
    <w:rsid w:val="00C7B1EA"/>
    <w:rsid w:val="00C801A1"/>
    <w:rsid w:val="00C801C3"/>
    <w:rsid w:val="00C8038D"/>
    <w:rsid w:val="00C8069C"/>
    <w:rsid w:val="00C80C84"/>
    <w:rsid w:val="00C80C8E"/>
    <w:rsid w:val="00C81551"/>
    <w:rsid w:val="00C8159B"/>
    <w:rsid w:val="00C81A93"/>
    <w:rsid w:val="00C81BBA"/>
    <w:rsid w:val="00C81DDA"/>
    <w:rsid w:val="00C81E69"/>
    <w:rsid w:val="00C81EBE"/>
    <w:rsid w:val="00C81F6F"/>
    <w:rsid w:val="00C82096"/>
    <w:rsid w:val="00C820FC"/>
    <w:rsid w:val="00C8228C"/>
    <w:rsid w:val="00C8240C"/>
    <w:rsid w:val="00C82755"/>
    <w:rsid w:val="00C827D3"/>
    <w:rsid w:val="00C82DE4"/>
    <w:rsid w:val="00C82F5C"/>
    <w:rsid w:val="00C82FEA"/>
    <w:rsid w:val="00C83017"/>
    <w:rsid w:val="00C830D2"/>
    <w:rsid w:val="00C83163"/>
    <w:rsid w:val="00C83429"/>
    <w:rsid w:val="00C8345F"/>
    <w:rsid w:val="00C83570"/>
    <w:rsid w:val="00C8396A"/>
    <w:rsid w:val="00C83AD8"/>
    <w:rsid w:val="00C83F8C"/>
    <w:rsid w:val="00C8405A"/>
    <w:rsid w:val="00C84368"/>
    <w:rsid w:val="00C8437D"/>
    <w:rsid w:val="00C843AD"/>
    <w:rsid w:val="00C84445"/>
    <w:rsid w:val="00C849DF"/>
    <w:rsid w:val="00C8505E"/>
    <w:rsid w:val="00C85079"/>
    <w:rsid w:val="00C85178"/>
    <w:rsid w:val="00C85268"/>
    <w:rsid w:val="00C85331"/>
    <w:rsid w:val="00C85985"/>
    <w:rsid w:val="00C85CDC"/>
    <w:rsid w:val="00C85EC8"/>
    <w:rsid w:val="00C85F5C"/>
    <w:rsid w:val="00C86341"/>
    <w:rsid w:val="00C863D5"/>
    <w:rsid w:val="00C86486"/>
    <w:rsid w:val="00C86663"/>
    <w:rsid w:val="00C867F5"/>
    <w:rsid w:val="00C868CC"/>
    <w:rsid w:val="00C86D7D"/>
    <w:rsid w:val="00C86EA7"/>
    <w:rsid w:val="00C86EBB"/>
    <w:rsid w:val="00C870FF"/>
    <w:rsid w:val="00C8710B"/>
    <w:rsid w:val="00C87132"/>
    <w:rsid w:val="00C871B0"/>
    <w:rsid w:val="00C87251"/>
    <w:rsid w:val="00C873AF"/>
    <w:rsid w:val="00C877C0"/>
    <w:rsid w:val="00C87BEA"/>
    <w:rsid w:val="00C87C63"/>
    <w:rsid w:val="00C87CAA"/>
    <w:rsid w:val="00C87DD4"/>
    <w:rsid w:val="00C87E51"/>
    <w:rsid w:val="00C87EE8"/>
    <w:rsid w:val="00C87F4F"/>
    <w:rsid w:val="00C90034"/>
    <w:rsid w:val="00C9005B"/>
    <w:rsid w:val="00C90122"/>
    <w:rsid w:val="00C908B6"/>
    <w:rsid w:val="00C90918"/>
    <w:rsid w:val="00C90937"/>
    <w:rsid w:val="00C90C14"/>
    <w:rsid w:val="00C90CE5"/>
    <w:rsid w:val="00C90D41"/>
    <w:rsid w:val="00C910B8"/>
    <w:rsid w:val="00C913DD"/>
    <w:rsid w:val="00C9147F"/>
    <w:rsid w:val="00C91652"/>
    <w:rsid w:val="00C917A8"/>
    <w:rsid w:val="00C91813"/>
    <w:rsid w:val="00C9188A"/>
    <w:rsid w:val="00C918E1"/>
    <w:rsid w:val="00C918F6"/>
    <w:rsid w:val="00C91C63"/>
    <w:rsid w:val="00C91CAA"/>
    <w:rsid w:val="00C91CB1"/>
    <w:rsid w:val="00C91DC4"/>
    <w:rsid w:val="00C91E3D"/>
    <w:rsid w:val="00C91E92"/>
    <w:rsid w:val="00C92048"/>
    <w:rsid w:val="00C9208F"/>
    <w:rsid w:val="00C9212C"/>
    <w:rsid w:val="00C921B3"/>
    <w:rsid w:val="00C9222A"/>
    <w:rsid w:val="00C92602"/>
    <w:rsid w:val="00C926B3"/>
    <w:rsid w:val="00C927B7"/>
    <w:rsid w:val="00C9289D"/>
    <w:rsid w:val="00C92986"/>
    <w:rsid w:val="00C93071"/>
    <w:rsid w:val="00C9311D"/>
    <w:rsid w:val="00C93337"/>
    <w:rsid w:val="00C934DA"/>
    <w:rsid w:val="00C9355E"/>
    <w:rsid w:val="00C935D1"/>
    <w:rsid w:val="00C93668"/>
    <w:rsid w:val="00C936C5"/>
    <w:rsid w:val="00C93C25"/>
    <w:rsid w:val="00C93C2F"/>
    <w:rsid w:val="00C93CAB"/>
    <w:rsid w:val="00C93EBC"/>
    <w:rsid w:val="00C93F30"/>
    <w:rsid w:val="00C93F6A"/>
    <w:rsid w:val="00C93FB3"/>
    <w:rsid w:val="00C93FCF"/>
    <w:rsid w:val="00C94285"/>
    <w:rsid w:val="00C942BF"/>
    <w:rsid w:val="00C943AD"/>
    <w:rsid w:val="00C944D0"/>
    <w:rsid w:val="00C9453A"/>
    <w:rsid w:val="00C9465F"/>
    <w:rsid w:val="00C94B4C"/>
    <w:rsid w:val="00C94B84"/>
    <w:rsid w:val="00C94BC2"/>
    <w:rsid w:val="00C94CB4"/>
    <w:rsid w:val="00C94CB5"/>
    <w:rsid w:val="00C94D78"/>
    <w:rsid w:val="00C950B2"/>
    <w:rsid w:val="00C95168"/>
    <w:rsid w:val="00C9534C"/>
    <w:rsid w:val="00C9539E"/>
    <w:rsid w:val="00C953BA"/>
    <w:rsid w:val="00C95928"/>
    <w:rsid w:val="00C9597D"/>
    <w:rsid w:val="00C95A5E"/>
    <w:rsid w:val="00C95AAF"/>
    <w:rsid w:val="00C95BB6"/>
    <w:rsid w:val="00C95D19"/>
    <w:rsid w:val="00C95EFB"/>
    <w:rsid w:val="00C96554"/>
    <w:rsid w:val="00C96CE9"/>
    <w:rsid w:val="00C972BD"/>
    <w:rsid w:val="00C97326"/>
    <w:rsid w:val="00C9743C"/>
    <w:rsid w:val="00C9757D"/>
    <w:rsid w:val="00C975E6"/>
    <w:rsid w:val="00C97816"/>
    <w:rsid w:val="00C97888"/>
    <w:rsid w:val="00C978EF"/>
    <w:rsid w:val="00C97FC6"/>
    <w:rsid w:val="00CA00D9"/>
    <w:rsid w:val="00CA01BD"/>
    <w:rsid w:val="00CA0477"/>
    <w:rsid w:val="00CA0CC4"/>
    <w:rsid w:val="00CA0ED9"/>
    <w:rsid w:val="00CA0EEB"/>
    <w:rsid w:val="00CA114F"/>
    <w:rsid w:val="00CA1261"/>
    <w:rsid w:val="00CA12E6"/>
    <w:rsid w:val="00CA1A36"/>
    <w:rsid w:val="00CA1B9C"/>
    <w:rsid w:val="00CA1BDE"/>
    <w:rsid w:val="00CA1C0A"/>
    <w:rsid w:val="00CA1D6F"/>
    <w:rsid w:val="00CA1F59"/>
    <w:rsid w:val="00CA2104"/>
    <w:rsid w:val="00CA2297"/>
    <w:rsid w:val="00CA25E7"/>
    <w:rsid w:val="00CA2706"/>
    <w:rsid w:val="00CA2779"/>
    <w:rsid w:val="00CA2CE4"/>
    <w:rsid w:val="00CA2DE4"/>
    <w:rsid w:val="00CA2E89"/>
    <w:rsid w:val="00CA30AD"/>
    <w:rsid w:val="00CA3155"/>
    <w:rsid w:val="00CA337D"/>
    <w:rsid w:val="00CA33EA"/>
    <w:rsid w:val="00CA3516"/>
    <w:rsid w:val="00CA3527"/>
    <w:rsid w:val="00CA3628"/>
    <w:rsid w:val="00CA36BC"/>
    <w:rsid w:val="00CA36DB"/>
    <w:rsid w:val="00CA3848"/>
    <w:rsid w:val="00CA3864"/>
    <w:rsid w:val="00CA398E"/>
    <w:rsid w:val="00CA3A82"/>
    <w:rsid w:val="00CA3B3F"/>
    <w:rsid w:val="00CA3BC4"/>
    <w:rsid w:val="00CA3C2D"/>
    <w:rsid w:val="00CA3C4D"/>
    <w:rsid w:val="00CA3D08"/>
    <w:rsid w:val="00CA3D45"/>
    <w:rsid w:val="00CA3E02"/>
    <w:rsid w:val="00CA41D6"/>
    <w:rsid w:val="00CA4209"/>
    <w:rsid w:val="00CA4255"/>
    <w:rsid w:val="00CA43D0"/>
    <w:rsid w:val="00CA4419"/>
    <w:rsid w:val="00CA44DA"/>
    <w:rsid w:val="00CA46A1"/>
    <w:rsid w:val="00CA471C"/>
    <w:rsid w:val="00CA4A0D"/>
    <w:rsid w:val="00CA4B20"/>
    <w:rsid w:val="00CA4D54"/>
    <w:rsid w:val="00CA4DBF"/>
    <w:rsid w:val="00CA4EC0"/>
    <w:rsid w:val="00CA4F06"/>
    <w:rsid w:val="00CA5561"/>
    <w:rsid w:val="00CA58DB"/>
    <w:rsid w:val="00CA5A1F"/>
    <w:rsid w:val="00CA5A71"/>
    <w:rsid w:val="00CA5B83"/>
    <w:rsid w:val="00CA5CA4"/>
    <w:rsid w:val="00CA5D6F"/>
    <w:rsid w:val="00CA5D7E"/>
    <w:rsid w:val="00CA5E37"/>
    <w:rsid w:val="00CA61FE"/>
    <w:rsid w:val="00CA634D"/>
    <w:rsid w:val="00CA651C"/>
    <w:rsid w:val="00CA6639"/>
    <w:rsid w:val="00CA6649"/>
    <w:rsid w:val="00CA6929"/>
    <w:rsid w:val="00CA6BA0"/>
    <w:rsid w:val="00CA6F25"/>
    <w:rsid w:val="00CA722A"/>
    <w:rsid w:val="00CA7240"/>
    <w:rsid w:val="00CA72AF"/>
    <w:rsid w:val="00CA74F7"/>
    <w:rsid w:val="00CA7819"/>
    <w:rsid w:val="00CA787C"/>
    <w:rsid w:val="00CA78EE"/>
    <w:rsid w:val="00CA7A3D"/>
    <w:rsid w:val="00CA7A9D"/>
    <w:rsid w:val="00CA7B92"/>
    <w:rsid w:val="00CA7ED8"/>
    <w:rsid w:val="00CB028A"/>
    <w:rsid w:val="00CB03B0"/>
    <w:rsid w:val="00CB0553"/>
    <w:rsid w:val="00CB08F0"/>
    <w:rsid w:val="00CB0B94"/>
    <w:rsid w:val="00CB0E47"/>
    <w:rsid w:val="00CB0E7B"/>
    <w:rsid w:val="00CB0EC9"/>
    <w:rsid w:val="00CB1157"/>
    <w:rsid w:val="00CB15B9"/>
    <w:rsid w:val="00CB162B"/>
    <w:rsid w:val="00CB1666"/>
    <w:rsid w:val="00CB1721"/>
    <w:rsid w:val="00CB1813"/>
    <w:rsid w:val="00CB18F4"/>
    <w:rsid w:val="00CB19A9"/>
    <w:rsid w:val="00CB1BF2"/>
    <w:rsid w:val="00CB1EFC"/>
    <w:rsid w:val="00CB22A0"/>
    <w:rsid w:val="00CB23FD"/>
    <w:rsid w:val="00CB24B1"/>
    <w:rsid w:val="00CB258F"/>
    <w:rsid w:val="00CB285E"/>
    <w:rsid w:val="00CB2969"/>
    <w:rsid w:val="00CB29A2"/>
    <w:rsid w:val="00CB2B3A"/>
    <w:rsid w:val="00CB3223"/>
    <w:rsid w:val="00CB3333"/>
    <w:rsid w:val="00CB3687"/>
    <w:rsid w:val="00CB3721"/>
    <w:rsid w:val="00CB3B35"/>
    <w:rsid w:val="00CB3B82"/>
    <w:rsid w:val="00CB3D2B"/>
    <w:rsid w:val="00CB3DF9"/>
    <w:rsid w:val="00CB4163"/>
    <w:rsid w:val="00CB439F"/>
    <w:rsid w:val="00CB48EE"/>
    <w:rsid w:val="00CB4B3E"/>
    <w:rsid w:val="00CB4F31"/>
    <w:rsid w:val="00CB509F"/>
    <w:rsid w:val="00CB51D2"/>
    <w:rsid w:val="00CB5B8A"/>
    <w:rsid w:val="00CB5B99"/>
    <w:rsid w:val="00CB600C"/>
    <w:rsid w:val="00CB6180"/>
    <w:rsid w:val="00CB61D6"/>
    <w:rsid w:val="00CB6408"/>
    <w:rsid w:val="00CB6675"/>
    <w:rsid w:val="00CB6872"/>
    <w:rsid w:val="00CB6B82"/>
    <w:rsid w:val="00CB6F66"/>
    <w:rsid w:val="00CB6FD9"/>
    <w:rsid w:val="00CB75C6"/>
    <w:rsid w:val="00CB77DA"/>
    <w:rsid w:val="00CB793A"/>
    <w:rsid w:val="00CB79B1"/>
    <w:rsid w:val="00CB7CA0"/>
    <w:rsid w:val="00CB7DC6"/>
    <w:rsid w:val="00CB7DDE"/>
    <w:rsid w:val="00CB7EE9"/>
    <w:rsid w:val="00CC0002"/>
    <w:rsid w:val="00CC00C4"/>
    <w:rsid w:val="00CC04F8"/>
    <w:rsid w:val="00CC0553"/>
    <w:rsid w:val="00CC0597"/>
    <w:rsid w:val="00CC098D"/>
    <w:rsid w:val="00CC0992"/>
    <w:rsid w:val="00CC0AEF"/>
    <w:rsid w:val="00CC0C96"/>
    <w:rsid w:val="00CC0D01"/>
    <w:rsid w:val="00CC0E87"/>
    <w:rsid w:val="00CC1023"/>
    <w:rsid w:val="00CC13AC"/>
    <w:rsid w:val="00CC13D9"/>
    <w:rsid w:val="00CC1548"/>
    <w:rsid w:val="00CC1589"/>
    <w:rsid w:val="00CC15AF"/>
    <w:rsid w:val="00CC17D6"/>
    <w:rsid w:val="00CC17FD"/>
    <w:rsid w:val="00CC18CC"/>
    <w:rsid w:val="00CC1901"/>
    <w:rsid w:val="00CC1909"/>
    <w:rsid w:val="00CC19F0"/>
    <w:rsid w:val="00CC1ABD"/>
    <w:rsid w:val="00CC1BFB"/>
    <w:rsid w:val="00CC1D91"/>
    <w:rsid w:val="00CC2044"/>
    <w:rsid w:val="00CC219A"/>
    <w:rsid w:val="00CC24A3"/>
    <w:rsid w:val="00CC2652"/>
    <w:rsid w:val="00CC2AE0"/>
    <w:rsid w:val="00CC313E"/>
    <w:rsid w:val="00CC3707"/>
    <w:rsid w:val="00CC3808"/>
    <w:rsid w:val="00CC3ABB"/>
    <w:rsid w:val="00CC3EB4"/>
    <w:rsid w:val="00CC4473"/>
    <w:rsid w:val="00CC45A5"/>
    <w:rsid w:val="00CC4714"/>
    <w:rsid w:val="00CC4734"/>
    <w:rsid w:val="00CC4981"/>
    <w:rsid w:val="00CC4A54"/>
    <w:rsid w:val="00CC4C51"/>
    <w:rsid w:val="00CC4DDF"/>
    <w:rsid w:val="00CC50A6"/>
    <w:rsid w:val="00CC52C4"/>
    <w:rsid w:val="00CC53E2"/>
    <w:rsid w:val="00CC5811"/>
    <w:rsid w:val="00CC5845"/>
    <w:rsid w:val="00CC5DB9"/>
    <w:rsid w:val="00CC62D1"/>
    <w:rsid w:val="00CC6485"/>
    <w:rsid w:val="00CC6750"/>
    <w:rsid w:val="00CC6B1F"/>
    <w:rsid w:val="00CC6C89"/>
    <w:rsid w:val="00CC6CFF"/>
    <w:rsid w:val="00CC6D88"/>
    <w:rsid w:val="00CC702E"/>
    <w:rsid w:val="00CC70B2"/>
    <w:rsid w:val="00CC7157"/>
    <w:rsid w:val="00CC7204"/>
    <w:rsid w:val="00CC743A"/>
    <w:rsid w:val="00CC750B"/>
    <w:rsid w:val="00CC7722"/>
    <w:rsid w:val="00CC7BD4"/>
    <w:rsid w:val="00CC7DDD"/>
    <w:rsid w:val="00CC7FD5"/>
    <w:rsid w:val="00CD01FE"/>
    <w:rsid w:val="00CD0715"/>
    <w:rsid w:val="00CD080C"/>
    <w:rsid w:val="00CD0F89"/>
    <w:rsid w:val="00CD103A"/>
    <w:rsid w:val="00CD10DB"/>
    <w:rsid w:val="00CD13AB"/>
    <w:rsid w:val="00CD1621"/>
    <w:rsid w:val="00CD1BA7"/>
    <w:rsid w:val="00CD1BA9"/>
    <w:rsid w:val="00CD1C27"/>
    <w:rsid w:val="00CD1C5D"/>
    <w:rsid w:val="00CD2258"/>
    <w:rsid w:val="00CD2342"/>
    <w:rsid w:val="00CD23CB"/>
    <w:rsid w:val="00CD2926"/>
    <w:rsid w:val="00CD2B99"/>
    <w:rsid w:val="00CD2BEC"/>
    <w:rsid w:val="00CD2F19"/>
    <w:rsid w:val="00CD3064"/>
    <w:rsid w:val="00CD3090"/>
    <w:rsid w:val="00CD31C2"/>
    <w:rsid w:val="00CD3321"/>
    <w:rsid w:val="00CD3430"/>
    <w:rsid w:val="00CD37BC"/>
    <w:rsid w:val="00CD3883"/>
    <w:rsid w:val="00CD38FC"/>
    <w:rsid w:val="00CD3974"/>
    <w:rsid w:val="00CD3A10"/>
    <w:rsid w:val="00CD3A9F"/>
    <w:rsid w:val="00CD3ADD"/>
    <w:rsid w:val="00CD3BF6"/>
    <w:rsid w:val="00CD3D2C"/>
    <w:rsid w:val="00CD3DA4"/>
    <w:rsid w:val="00CD40BD"/>
    <w:rsid w:val="00CD41EF"/>
    <w:rsid w:val="00CD4260"/>
    <w:rsid w:val="00CD4450"/>
    <w:rsid w:val="00CD4A5B"/>
    <w:rsid w:val="00CD4BA8"/>
    <w:rsid w:val="00CD4BCA"/>
    <w:rsid w:val="00CD4F6C"/>
    <w:rsid w:val="00CD5157"/>
    <w:rsid w:val="00CD5631"/>
    <w:rsid w:val="00CD5703"/>
    <w:rsid w:val="00CD5989"/>
    <w:rsid w:val="00CD5D10"/>
    <w:rsid w:val="00CD5D92"/>
    <w:rsid w:val="00CD5F5A"/>
    <w:rsid w:val="00CD61BB"/>
    <w:rsid w:val="00CD6207"/>
    <w:rsid w:val="00CD62EB"/>
    <w:rsid w:val="00CD6301"/>
    <w:rsid w:val="00CD631C"/>
    <w:rsid w:val="00CD6422"/>
    <w:rsid w:val="00CD6459"/>
    <w:rsid w:val="00CD6540"/>
    <w:rsid w:val="00CD669D"/>
    <w:rsid w:val="00CD66E5"/>
    <w:rsid w:val="00CD679A"/>
    <w:rsid w:val="00CD6900"/>
    <w:rsid w:val="00CD691C"/>
    <w:rsid w:val="00CD6B42"/>
    <w:rsid w:val="00CD6B68"/>
    <w:rsid w:val="00CD6C1B"/>
    <w:rsid w:val="00CD6CCD"/>
    <w:rsid w:val="00CD6CD0"/>
    <w:rsid w:val="00CD6DAF"/>
    <w:rsid w:val="00CD6EDD"/>
    <w:rsid w:val="00CD6FC8"/>
    <w:rsid w:val="00CD7040"/>
    <w:rsid w:val="00CD7411"/>
    <w:rsid w:val="00CD7451"/>
    <w:rsid w:val="00CD759E"/>
    <w:rsid w:val="00CD7897"/>
    <w:rsid w:val="00CD78F5"/>
    <w:rsid w:val="00CD7986"/>
    <w:rsid w:val="00CD7D90"/>
    <w:rsid w:val="00CD7DBF"/>
    <w:rsid w:val="00CD7E84"/>
    <w:rsid w:val="00CE0147"/>
    <w:rsid w:val="00CE0298"/>
    <w:rsid w:val="00CE042F"/>
    <w:rsid w:val="00CE04BD"/>
    <w:rsid w:val="00CE04E1"/>
    <w:rsid w:val="00CE04FB"/>
    <w:rsid w:val="00CE06EF"/>
    <w:rsid w:val="00CE0839"/>
    <w:rsid w:val="00CE0973"/>
    <w:rsid w:val="00CE0A71"/>
    <w:rsid w:val="00CE0B57"/>
    <w:rsid w:val="00CE0E21"/>
    <w:rsid w:val="00CE0F29"/>
    <w:rsid w:val="00CE1048"/>
    <w:rsid w:val="00CE1085"/>
    <w:rsid w:val="00CE162D"/>
    <w:rsid w:val="00CE165E"/>
    <w:rsid w:val="00CE18EF"/>
    <w:rsid w:val="00CE1A8A"/>
    <w:rsid w:val="00CE1CA6"/>
    <w:rsid w:val="00CE1D9C"/>
    <w:rsid w:val="00CE21EE"/>
    <w:rsid w:val="00CE273F"/>
    <w:rsid w:val="00CE2AF3"/>
    <w:rsid w:val="00CE2D76"/>
    <w:rsid w:val="00CE2D7C"/>
    <w:rsid w:val="00CE2D7E"/>
    <w:rsid w:val="00CE2F8D"/>
    <w:rsid w:val="00CE2FA2"/>
    <w:rsid w:val="00CE328B"/>
    <w:rsid w:val="00CE3498"/>
    <w:rsid w:val="00CE375C"/>
    <w:rsid w:val="00CE3802"/>
    <w:rsid w:val="00CE3A80"/>
    <w:rsid w:val="00CE3DBA"/>
    <w:rsid w:val="00CE40C0"/>
    <w:rsid w:val="00CE42DE"/>
    <w:rsid w:val="00CE4559"/>
    <w:rsid w:val="00CE4562"/>
    <w:rsid w:val="00CE47A9"/>
    <w:rsid w:val="00CE4A56"/>
    <w:rsid w:val="00CE4CEF"/>
    <w:rsid w:val="00CE4E33"/>
    <w:rsid w:val="00CE4E43"/>
    <w:rsid w:val="00CE4F03"/>
    <w:rsid w:val="00CE4F22"/>
    <w:rsid w:val="00CE5012"/>
    <w:rsid w:val="00CE5209"/>
    <w:rsid w:val="00CE5355"/>
    <w:rsid w:val="00CE5458"/>
    <w:rsid w:val="00CE5665"/>
    <w:rsid w:val="00CE5696"/>
    <w:rsid w:val="00CE5BCB"/>
    <w:rsid w:val="00CE5F6E"/>
    <w:rsid w:val="00CE62C4"/>
    <w:rsid w:val="00CE6828"/>
    <w:rsid w:val="00CE6846"/>
    <w:rsid w:val="00CE6DC9"/>
    <w:rsid w:val="00CE6FD6"/>
    <w:rsid w:val="00CE7102"/>
    <w:rsid w:val="00CE71CA"/>
    <w:rsid w:val="00CE72E5"/>
    <w:rsid w:val="00CE7402"/>
    <w:rsid w:val="00CE776C"/>
    <w:rsid w:val="00CE7794"/>
    <w:rsid w:val="00CE780E"/>
    <w:rsid w:val="00CE7B30"/>
    <w:rsid w:val="00CE7C5A"/>
    <w:rsid w:val="00CE7D97"/>
    <w:rsid w:val="00CE7ED9"/>
    <w:rsid w:val="00CE7F90"/>
    <w:rsid w:val="00CF0033"/>
    <w:rsid w:val="00CF0288"/>
    <w:rsid w:val="00CF048B"/>
    <w:rsid w:val="00CF05C9"/>
    <w:rsid w:val="00CF06A5"/>
    <w:rsid w:val="00CF094C"/>
    <w:rsid w:val="00CF0D3B"/>
    <w:rsid w:val="00CF0E03"/>
    <w:rsid w:val="00CF0F79"/>
    <w:rsid w:val="00CF1031"/>
    <w:rsid w:val="00CF11EC"/>
    <w:rsid w:val="00CF12FC"/>
    <w:rsid w:val="00CF14D7"/>
    <w:rsid w:val="00CF1883"/>
    <w:rsid w:val="00CF19F4"/>
    <w:rsid w:val="00CF1F11"/>
    <w:rsid w:val="00CF2105"/>
    <w:rsid w:val="00CF25AF"/>
    <w:rsid w:val="00CF26E2"/>
    <w:rsid w:val="00CF2918"/>
    <w:rsid w:val="00CF3143"/>
    <w:rsid w:val="00CF3174"/>
    <w:rsid w:val="00CF32F1"/>
    <w:rsid w:val="00CF35B7"/>
    <w:rsid w:val="00CF3998"/>
    <w:rsid w:val="00CF3CDA"/>
    <w:rsid w:val="00CF3EEF"/>
    <w:rsid w:val="00CF489D"/>
    <w:rsid w:val="00CF4F0F"/>
    <w:rsid w:val="00CF513D"/>
    <w:rsid w:val="00CF57E7"/>
    <w:rsid w:val="00CF5A9E"/>
    <w:rsid w:val="00CF5FDE"/>
    <w:rsid w:val="00CF60E5"/>
    <w:rsid w:val="00CF664B"/>
    <w:rsid w:val="00CF667D"/>
    <w:rsid w:val="00CF67B3"/>
    <w:rsid w:val="00CF6948"/>
    <w:rsid w:val="00CF6A9C"/>
    <w:rsid w:val="00CF6BC4"/>
    <w:rsid w:val="00CF6C22"/>
    <w:rsid w:val="00CF6D09"/>
    <w:rsid w:val="00CF6DA1"/>
    <w:rsid w:val="00CF6DBA"/>
    <w:rsid w:val="00CF6EB0"/>
    <w:rsid w:val="00CF7259"/>
    <w:rsid w:val="00CF7777"/>
    <w:rsid w:val="00CF79F2"/>
    <w:rsid w:val="00D001E3"/>
    <w:rsid w:val="00D00263"/>
    <w:rsid w:val="00D002A2"/>
    <w:rsid w:val="00D00435"/>
    <w:rsid w:val="00D0047E"/>
    <w:rsid w:val="00D00488"/>
    <w:rsid w:val="00D004D0"/>
    <w:rsid w:val="00D004F3"/>
    <w:rsid w:val="00D007DB"/>
    <w:rsid w:val="00D00943"/>
    <w:rsid w:val="00D00CB0"/>
    <w:rsid w:val="00D00E53"/>
    <w:rsid w:val="00D00F09"/>
    <w:rsid w:val="00D0120A"/>
    <w:rsid w:val="00D01307"/>
    <w:rsid w:val="00D014C7"/>
    <w:rsid w:val="00D01958"/>
    <w:rsid w:val="00D01E8F"/>
    <w:rsid w:val="00D0228A"/>
    <w:rsid w:val="00D02A0F"/>
    <w:rsid w:val="00D02B3A"/>
    <w:rsid w:val="00D02B8E"/>
    <w:rsid w:val="00D02CB6"/>
    <w:rsid w:val="00D02E2A"/>
    <w:rsid w:val="00D02E30"/>
    <w:rsid w:val="00D0309A"/>
    <w:rsid w:val="00D03201"/>
    <w:rsid w:val="00D03620"/>
    <w:rsid w:val="00D03A2E"/>
    <w:rsid w:val="00D03A39"/>
    <w:rsid w:val="00D03D85"/>
    <w:rsid w:val="00D03E04"/>
    <w:rsid w:val="00D03E32"/>
    <w:rsid w:val="00D03E95"/>
    <w:rsid w:val="00D03FF2"/>
    <w:rsid w:val="00D040D5"/>
    <w:rsid w:val="00D040FF"/>
    <w:rsid w:val="00D0424A"/>
    <w:rsid w:val="00D04382"/>
    <w:rsid w:val="00D04C52"/>
    <w:rsid w:val="00D04D33"/>
    <w:rsid w:val="00D04E50"/>
    <w:rsid w:val="00D04F46"/>
    <w:rsid w:val="00D0505D"/>
    <w:rsid w:val="00D05097"/>
    <w:rsid w:val="00D0514C"/>
    <w:rsid w:val="00D051A4"/>
    <w:rsid w:val="00D055A3"/>
    <w:rsid w:val="00D056E0"/>
    <w:rsid w:val="00D05FA5"/>
    <w:rsid w:val="00D068D4"/>
    <w:rsid w:val="00D06981"/>
    <w:rsid w:val="00D06BBF"/>
    <w:rsid w:val="00D06BDF"/>
    <w:rsid w:val="00D06E2E"/>
    <w:rsid w:val="00D06FE8"/>
    <w:rsid w:val="00D06FFE"/>
    <w:rsid w:val="00D07077"/>
    <w:rsid w:val="00D07244"/>
    <w:rsid w:val="00D07308"/>
    <w:rsid w:val="00D073FC"/>
    <w:rsid w:val="00D07968"/>
    <w:rsid w:val="00D0798C"/>
    <w:rsid w:val="00D07B15"/>
    <w:rsid w:val="00D07F07"/>
    <w:rsid w:val="00D102B1"/>
    <w:rsid w:val="00D103C5"/>
    <w:rsid w:val="00D10433"/>
    <w:rsid w:val="00D10439"/>
    <w:rsid w:val="00D10658"/>
    <w:rsid w:val="00D1098A"/>
    <w:rsid w:val="00D10AB4"/>
    <w:rsid w:val="00D10AC5"/>
    <w:rsid w:val="00D10B14"/>
    <w:rsid w:val="00D10BA6"/>
    <w:rsid w:val="00D10C1C"/>
    <w:rsid w:val="00D10CE8"/>
    <w:rsid w:val="00D10CEB"/>
    <w:rsid w:val="00D10D29"/>
    <w:rsid w:val="00D10DC2"/>
    <w:rsid w:val="00D10F85"/>
    <w:rsid w:val="00D111CA"/>
    <w:rsid w:val="00D11483"/>
    <w:rsid w:val="00D11494"/>
    <w:rsid w:val="00D11513"/>
    <w:rsid w:val="00D11635"/>
    <w:rsid w:val="00D119E1"/>
    <w:rsid w:val="00D11AE8"/>
    <w:rsid w:val="00D11B3B"/>
    <w:rsid w:val="00D11B78"/>
    <w:rsid w:val="00D11C53"/>
    <w:rsid w:val="00D11EBA"/>
    <w:rsid w:val="00D12123"/>
    <w:rsid w:val="00D124A8"/>
    <w:rsid w:val="00D124B0"/>
    <w:rsid w:val="00D1290A"/>
    <w:rsid w:val="00D12B33"/>
    <w:rsid w:val="00D13091"/>
    <w:rsid w:val="00D1313B"/>
    <w:rsid w:val="00D13361"/>
    <w:rsid w:val="00D1345B"/>
    <w:rsid w:val="00D134C7"/>
    <w:rsid w:val="00D13724"/>
    <w:rsid w:val="00D13798"/>
    <w:rsid w:val="00D13812"/>
    <w:rsid w:val="00D1396C"/>
    <w:rsid w:val="00D13D58"/>
    <w:rsid w:val="00D13DA1"/>
    <w:rsid w:val="00D13FC2"/>
    <w:rsid w:val="00D140C5"/>
    <w:rsid w:val="00D14160"/>
    <w:rsid w:val="00D1436C"/>
    <w:rsid w:val="00D144C5"/>
    <w:rsid w:val="00D14756"/>
    <w:rsid w:val="00D1484C"/>
    <w:rsid w:val="00D1490D"/>
    <w:rsid w:val="00D14934"/>
    <w:rsid w:val="00D14B3E"/>
    <w:rsid w:val="00D14BFC"/>
    <w:rsid w:val="00D14C6C"/>
    <w:rsid w:val="00D14D8E"/>
    <w:rsid w:val="00D14DF4"/>
    <w:rsid w:val="00D14E1A"/>
    <w:rsid w:val="00D14FFF"/>
    <w:rsid w:val="00D15008"/>
    <w:rsid w:val="00D150F2"/>
    <w:rsid w:val="00D15678"/>
    <w:rsid w:val="00D15854"/>
    <w:rsid w:val="00D15891"/>
    <w:rsid w:val="00D15931"/>
    <w:rsid w:val="00D15AF8"/>
    <w:rsid w:val="00D1625D"/>
    <w:rsid w:val="00D16303"/>
    <w:rsid w:val="00D1639D"/>
    <w:rsid w:val="00D163AE"/>
    <w:rsid w:val="00D166DB"/>
    <w:rsid w:val="00D16702"/>
    <w:rsid w:val="00D16BB2"/>
    <w:rsid w:val="00D16FEF"/>
    <w:rsid w:val="00D1717F"/>
    <w:rsid w:val="00D1723C"/>
    <w:rsid w:val="00D1725A"/>
    <w:rsid w:val="00D17260"/>
    <w:rsid w:val="00D17683"/>
    <w:rsid w:val="00D178F0"/>
    <w:rsid w:val="00D1CF17"/>
    <w:rsid w:val="00D20064"/>
    <w:rsid w:val="00D2020C"/>
    <w:rsid w:val="00D20346"/>
    <w:rsid w:val="00D20488"/>
    <w:rsid w:val="00D206A7"/>
    <w:rsid w:val="00D206AD"/>
    <w:rsid w:val="00D20A44"/>
    <w:rsid w:val="00D20C5B"/>
    <w:rsid w:val="00D20E5F"/>
    <w:rsid w:val="00D20ED4"/>
    <w:rsid w:val="00D21063"/>
    <w:rsid w:val="00D21264"/>
    <w:rsid w:val="00D21370"/>
    <w:rsid w:val="00D214EC"/>
    <w:rsid w:val="00D215A7"/>
    <w:rsid w:val="00D215AE"/>
    <w:rsid w:val="00D217C7"/>
    <w:rsid w:val="00D2185D"/>
    <w:rsid w:val="00D218E1"/>
    <w:rsid w:val="00D21BDE"/>
    <w:rsid w:val="00D21C94"/>
    <w:rsid w:val="00D21D0D"/>
    <w:rsid w:val="00D21D68"/>
    <w:rsid w:val="00D21F24"/>
    <w:rsid w:val="00D221FD"/>
    <w:rsid w:val="00D223F5"/>
    <w:rsid w:val="00D22411"/>
    <w:rsid w:val="00D224FF"/>
    <w:rsid w:val="00D22506"/>
    <w:rsid w:val="00D22520"/>
    <w:rsid w:val="00D22562"/>
    <w:rsid w:val="00D2268A"/>
    <w:rsid w:val="00D22ACB"/>
    <w:rsid w:val="00D230C2"/>
    <w:rsid w:val="00D230DB"/>
    <w:rsid w:val="00D23327"/>
    <w:rsid w:val="00D23A9C"/>
    <w:rsid w:val="00D23DCD"/>
    <w:rsid w:val="00D23DCF"/>
    <w:rsid w:val="00D23E21"/>
    <w:rsid w:val="00D23F6E"/>
    <w:rsid w:val="00D241BC"/>
    <w:rsid w:val="00D241DF"/>
    <w:rsid w:val="00D241E5"/>
    <w:rsid w:val="00D24338"/>
    <w:rsid w:val="00D243E4"/>
    <w:rsid w:val="00D2472C"/>
    <w:rsid w:val="00D248A7"/>
    <w:rsid w:val="00D248E1"/>
    <w:rsid w:val="00D2499E"/>
    <w:rsid w:val="00D24EE2"/>
    <w:rsid w:val="00D2522F"/>
    <w:rsid w:val="00D25242"/>
    <w:rsid w:val="00D25463"/>
    <w:rsid w:val="00D254F2"/>
    <w:rsid w:val="00D2559F"/>
    <w:rsid w:val="00D2565A"/>
    <w:rsid w:val="00D257C9"/>
    <w:rsid w:val="00D25867"/>
    <w:rsid w:val="00D25946"/>
    <w:rsid w:val="00D259DE"/>
    <w:rsid w:val="00D25AFB"/>
    <w:rsid w:val="00D25B2C"/>
    <w:rsid w:val="00D25B34"/>
    <w:rsid w:val="00D26161"/>
    <w:rsid w:val="00D2616E"/>
    <w:rsid w:val="00D2621A"/>
    <w:rsid w:val="00D26286"/>
    <w:rsid w:val="00D263AA"/>
    <w:rsid w:val="00D26449"/>
    <w:rsid w:val="00D26471"/>
    <w:rsid w:val="00D2665B"/>
    <w:rsid w:val="00D26947"/>
    <w:rsid w:val="00D26BF7"/>
    <w:rsid w:val="00D26E9E"/>
    <w:rsid w:val="00D26F2C"/>
    <w:rsid w:val="00D2741A"/>
    <w:rsid w:val="00D274E3"/>
    <w:rsid w:val="00D274F5"/>
    <w:rsid w:val="00D27889"/>
    <w:rsid w:val="00D27AD3"/>
    <w:rsid w:val="00D27C63"/>
    <w:rsid w:val="00D27EFD"/>
    <w:rsid w:val="00D27FEC"/>
    <w:rsid w:val="00D3000D"/>
    <w:rsid w:val="00D3028B"/>
    <w:rsid w:val="00D30795"/>
    <w:rsid w:val="00D309E4"/>
    <w:rsid w:val="00D30B19"/>
    <w:rsid w:val="00D30CDC"/>
    <w:rsid w:val="00D30D80"/>
    <w:rsid w:val="00D30E51"/>
    <w:rsid w:val="00D30E70"/>
    <w:rsid w:val="00D30FD3"/>
    <w:rsid w:val="00D310C9"/>
    <w:rsid w:val="00D313E6"/>
    <w:rsid w:val="00D314EF"/>
    <w:rsid w:val="00D315A4"/>
    <w:rsid w:val="00D31647"/>
    <w:rsid w:val="00D3199D"/>
    <w:rsid w:val="00D31A6F"/>
    <w:rsid w:val="00D31DC6"/>
    <w:rsid w:val="00D31FA6"/>
    <w:rsid w:val="00D320A9"/>
    <w:rsid w:val="00D32121"/>
    <w:rsid w:val="00D322E7"/>
    <w:rsid w:val="00D3243B"/>
    <w:rsid w:val="00D3273D"/>
    <w:rsid w:val="00D32786"/>
    <w:rsid w:val="00D3287B"/>
    <w:rsid w:val="00D3288F"/>
    <w:rsid w:val="00D3290C"/>
    <w:rsid w:val="00D32A0F"/>
    <w:rsid w:val="00D32B3B"/>
    <w:rsid w:val="00D32DEA"/>
    <w:rsid w:val="00D33252"/>
    <w:rsid w:val="00D33471"/>
    <w:rsid w:val="00D33611"/>
    <w:rsid w:val="00D33779"/>
    <w:rsid w:val="00D3388E"/>
    <w:rsid w:val="00D33AA4"/>
    <w:rsid w:val="00D33B7B"/>
    <w:rsid w:val="00D33BFF"/>
    <w:rsid w:val="00D33E58"/>
    <w:rsid w:val="00D34036"/>
    <w:rsid w:val="00D34487"/>
    <w:rsid w:val="00D34725"/>
    <w:rsid w:val="00D3495E"/>
    <w:rsid w:val="00D34983"/>
    <w:rsid w:val="00D34BF0"/>
    <w:rsid w:val="00D34E17"/>
    <w:rsid w:val="00D34E7C"/>
    <w:rsid w:val="00D34F92"/>
    <w:rsid w:val="00D350D6"/>
    <w:rsid w:val="00D35235"/>
    <w:rsid w:val="00D353AF"/>
    <w:rsid w:val="00D35458"/>
    <w:rsid w:val="00D35488"/>
    <w:rsid w:val="00D35529"/>
    <w:rsid w:val="00D355B0"/>
    <w:rsid w:val="00D356E2"/>
    <w:rsid w:val="00D35A09"/>
    <w:rsid w:val="00D35A9A"/>
    <w:rsid w:val="00D35DB6"/>
    <w:rsid w:val="00D36079"/>
    <w:rsid w:val="00D363BA"/>
    <w:rsid w:val="00D3680B"/>
    <w:rsid w:val="00D36B4E"/>
    <w:rsid w:val="00D3701F"/>
    <w:rsid w:val="00D37557"/>
    <w:rsid w:val="00D37797"/>
    <w:rsid w:val="00D37DB1"/>
    <w:rsid w:val="00D37E6D"/>
    <w:rsid w:val="00D4057E"/>
    <w:rsid w:val="00D406EB"/>
    <w:rsid w:val="00D40A8A"/>
    <w:rsid w:val="00D40CF0"/>
    <w:rsid w:val="00D40D2E"/>
    <w:rsid w:val="00D40DE7"/>
    <w:rsid w:val="00D410E3"/>
    <w:rsid w:val="00D41194"/>
    <w:rsid w:val="00D415A9"/>
    <w:rsid w:val="00D41726"/>
    <w:rsid w:val="00D41AE1"/>
    <w:rsid w:val="00D41B58"/>
    <w:rsid w:val="00D41C5D"/>
    <w:rsid w:val="00D4211C"/>
    <w:rsid w:val="00D42133"/>
    <w:rsid w:val="00D421CC"/>
    <w:rsid w:val="00D422E9"/>
    <w:rsid w:val="00D4236B"/>
    <w:rsid w:val="00D426CA"/>
    <w:rsid w:val="00D429B6"/>
    <w:rsid w:val="00D42E97"/>
    <w:rsid w:val="00D43520"/>
    <w:rsid w:val="00D4352D"/>
    <w:rsid w:val="00D437F4"/>
    <w:rsid w:val="00D43A43"/>
    <w:rsid w:val="00D43A92"/>
    <w:rsid w:val="00D43DAD"/>
    <w:rsid w:val="00D43DDF"/>
    <w:rsid w:val="00D440C3"/>
    <w:rsid w:val="00D442A1"/>
    <w:rsid w:val="00D4434D"/>
    <w:rsid w:val="00D44494"/>
    <w:rsid w:val="00D4449F"/>
    <w:rsid w:val="00D4450E"/>
    <w:rsid w:val="00D447DB"/>
    <w:rsid w:val="00D44A7B"/>
    <w:rsid w:val="00D44D35"/>
    <w:rsid w:val="00D45083"/>
    <w:rsid w:val="00D450AE"/>
    <w:rsid w:val="00D45406"/>
    <w:rsid w:val="00D454B6"/>
    <w:rsid w:val="00D454FF"/>
    <w:rsid w:val="00D4553B"/>
    <w:rsid w:val="00D4557C"/>
    <w:rsid w:val="00D45693"/>
    <w:rsid w:val="00D45AE7"/>
    <w:rsid w:val="00D45D88"/>
    <w:rsid w:val="00D45F39"/>
    <w:rsid w:val="00D4631D"/>
    <w:rsid w:val="00D4649A"/>
    <w:rsid w:val="00D46A63"/>
    <w:rsid w:val="00D46C3D"/>
    <w:rsid w:val="00D46EBB"/>
    <w:rsid w:val="00D4706A"/>
    <w:rsid w:val="00D4719A"/>
    <w:rsid w:val="00D4733D"/>
    <w:rsid w:val="00D47433"/>
    <w:rsid w:val="00D47647"/>
    <w:rsid w:val="00D47991"/>
    <w:rsid w:val="00D47B3B"/>
    <w:rsid w:val="00D47B58"/>
    <w:rsid w:val="00D47C4C"/>
    <w:rsid w:val="00D47CCF"/>
    <w:rsid w:val="00D47CF5"/>
    <w:rsid w:val="00D47E84"/>
    <w:rsid w:val="00D47E8A"/>
    <w:rsid w:val="00D47F0F"/>
    <w:rsid w:val="00D47F84"/>
    <w:rsid w:val="00D4ED8B"/>
    <w:rsid w:val="00D503AB"/>
    <w:rsid w:val="00D50610"/>
    <w:rsid w:val="00D5075A"/>
    <w:rsid w:val="00D507F5"/>
    <w:rsid w:val="00D50A72"/>
    <w:rsid w:val="00D50B1E"/>
    <w:rsid w:val="00D50BE4"/>
    <w:rsid w:val="00D50D47"/>
    <w:rsid w:val="00D50DD3"/>
    <w:rsid w:val="00D50F78"/>
    <w:rsid w:val="00D510FC"/>
    <w:rsid w:val="00D511DE"/>
    <w:rsid w:val="00D5137A"/>
    <w:rsid w:val="00D515B7"/>
    <w:rsid w:val="00D515DA"/>
    <w:rsid w:val="00D51615"/>
    <w:rsid w:val="00D517A4"/>
    <w:rsid w:val="00D51800"/>
    <w:rsid w:val="00D51854"/>
    <w:rsid w:val="00D51859"/>
    <w:rsid w:val="00D51A4A"/>
    <w:rsid w:val="00D51B24"/>
    <w:rsid w:val="00D51DC8"/>
    <w:rsid w:val="00D51F1B"/>
    <w:rsid w:val="00D51F36"/>
    <w:rsid w:val="00D51FBC"/>
    <w:rsid w:val="00D52105"/>
    <w:rsid w:val="00D5211F"/>
    <w:rsid w:val="00D52175"/>
    <w:rsid w:val="00D52252"/>
    <w:rsid w:val="00D52343"/>
    <w:rsid w:val="00D52402"/>
    <w:rsid w:val="00D524A7"/>
    <w:rsid w:val="00D52748"/>
    <w:rsid w:val="00D52827"/>
    <w:rsid w:val="00D52C28"/>
    <w:rsid w:val="00D53018"/>
    <w:rsid w:val="00D531F0"/>
    <w:rsid w:val="00D5341B"/>
    <w:rsid w:val="00D53651"/>
    <w:rsid w:val="00D538E0"/>
    <w:rsid w:val="00D53B6F"/>
    <w:rsid w:val="00D53C12"/>
    <w:rsid w:val="00D53FD9"/>
    <w:rsid w:val="00D54A68"/>
    <w:rsid w:val="00D54B41"/>
    <w:rsid w:val="00D54C45"/>
    <w:rsid w:val="00D54E24"/>
    <w:rsid w:val="00D54E82"/>
    <w:rsid w:val="00D54FA1"/>
    <w:rsid w:val="00D5507E"/>
    <w:rsid w:val="00D55181"/>
    <w:rsid w:val="00D553C8"/>
    <w:rsid w:val="00D5579E"/>
    <w:rsid w:val="00D558CA"/>
    <w:rsid w:val="00D55900"/>
    <w:rsid w:val="00D55C18"/>
    <w:rsid w:val="00D55D63"/>
    <w:rsid w:val="00D55E8B"/>
    <w:rsid w:val="00D55FB6"/>
    <w:rsid w:val="00D56034"/>
    <w:rsid w:val="00D560A1"/>
    <w:rsid w:val="00D56269"/>
    <w:rsid w:val="00D5638C"/>
    <w:rsid w:val="00D5647F"/>
    <w:rsid w:val="00D56687"/>
    <w:rsid w:val="00D56A35"/>
    <w:rsid w:val="00D56A36"/>
    <w:rsid w:val="00D56B11"/>
    <w:rsid w:val="00D56EF5"/>
    <w:rsid w:val="00D56FE3"/>
    <w:rsid w:val="00D56FFE"/>
    <w:rsid w:val="00D5749F"/>
    <w:rsid w:val="00D575B1"/>
    <w:rsid w:val="00D57893"/>
    <w:rsid w:val="00D57928"/>
    <w:rsid w:val="00D5794E"/>
    <w:rsid w:val="00D57B13"/>
    <w:rsid w:val="00D57C2D"/>
    <w:rsid w:val="00D57DFF"/>
    <w:rsid w:val="00D57E76"/>
    <w:rsid w:val="00D57ECD"/>
    <w:rsid w:val="00D57F5B"/>
    <w:rsid w:val="00D6009C"/>
    <w:rsid w:val="00D60607"/>
    <w:rsid w:val="00D60658"/>
    <w:rsid w:val="00D607A3"/>
    <w:rsid w:val="00D60858"/>
    <w:rsid w:val="00D60A9D"/>
    <w:rsid w:val="00D60D4A"/>
    <w:rsid w:val="00D6110E"/>
    <w:rsid w:val="00D611C1"/>
    <w:rsid w:val="00D611D0"/>
    <w:rsid w:val="00D6123B"/>
    <w:rsid w:val="00D61384"/>
    <w:rsid w:val="00D613AB"/>
    <w:rsid w:val="00D613F9"/>
    <w:rsid w:val="00D61419"/>
    <w:rsid w:val="00D61732"/>
    <w:rsid w:val="00D61BCE"/>
    <w:rsid w:val="00D62060"/>
    <w:rsid w:val="00D621E6"/>
    <w:rsid w:val="00D621FA"/>
    <w:rsid w:val="00D625D6"/>
    <w:rsid w:val="00D627DD"/>
    <w:rsid w:val="00D627E1"/>
    <w:rsid w:val="00D62937"/>
    <w:rsid w:val="00D62C09"/>
    <w:rsid w:val="00D62C0F"/>
    <w:rsid w:val="00D62C1A"/>
    <w:rsid w:val="00D62D44"/>
    <w:rsid w:val="00D62EF4"/>
    <w:rsid w:val="00D6308F"/>
    <w:rsid w:val="00D632E1"/>
    <w:rsid w:val="00D63539"/>
    <w:rsid w:val="00D635F0"/>
    <w:rsid w:val="00D637A6"/>
    <w:rsid w:val="00D6397A"/>
    <w:rsid w:val="00D63B49"/>
    <w:rsid w:val="00D63C21"/>
    <w:rsid w:val="00D6404E"/>
    <w:rsid w:val="00D64246"/>
    <w:rsid w:val="00D644F3"/>
    <w:rsid w:val="00D64846"/>
    <w:rsid w:val="00D648D0"/>
    <w:rsid w:val="00D64C05"/>
    <w:rsid w:val="00D64CF9"/>
    <w:rsid w:val="00D64CFE"/>
    <w:rsid w:val="00D64E1B"/>
    <w:rsid w:val="00D65211"/>
    <w:rsid w:val="00D65255"/>
    <w:rsid w:val="00D65391"/>
    <w:rsid w:val="00D6565E"/>
    <w:rsid w:val="00D65684"/>
    <w:rsid w:val="00D656C2"/>
    <w:rsid w:val="00D659CD"/>
    <w:rsid w:val="00D65A41"/>
    <w:rsid w:val="00D65B3A"/>
    <w:rsid w:val="00D65B7E"/>
    <w:rsid w:val="00D65C06"/>
    <w:rsid w:val="00D65D58"/>
    <w:rsid w:val="00D65D73"/>
    <w:rsid w:val="00D65E44"/>
    <w:rsid w:val="00D65E4C"/>
    <w:rsid w:val="00D666B5"/>
    <w:rsid w:val="00D667AB"/>
    <w:rsid w:val="00D667C8"/>
    <w:rsid w:val="00D668B7"/>
    <w:rsid w:val="00D66D62"/>
    <w:rsid w:val="00D670DE"/>
    <w:rsid w:val="00D673D2"/>
    <w:rsid w:val="00D674A2"/>
    <w:rsid w:val="00D675C4"/>
    <w:rsid w:val="00D6783E"/>
    <w:rsid w:val="00D67A49"/>
    <w:rsid w:val="00D67AD9"/>
    <w:rsid w:val="00D67CCA"/>
    <w:rsid w:val="00D67D2A"/>
    <w:rsid w:val="00D70045"/>
    <w:rsid w:val="00D70242"/>
    <w:rsid w:val="00D70256"/>
    <w:rsid w:val="00D7028B"/>
    <w:rsid w:val="00D703DB"/>
    <w:rsid w:val="00D70602"/>
    <w:rsid w:val="00D70694"/>
    <w:rsid w:val="00D70708"/>
    <w:rsid w:val="00D707BB"/>
    <w:rsid w:val="00D70800"/>
    <w:rsid w:val="00D70A0B"/>
    <w:rsid w:val="00D70DFE"/>
    <w:rsid w:val="00D70E29"/>
    <w:rsid w:val="00D70EE6"/>
    <w:rsid w:val="00D71135"/>
    <w:rsid w:val="00D711DB"/>
    <w:rsid w:val="00D71210"/>
    <w:rsid w:val="00D71502"/>
    <w:rsid w:val="00D71587"/>
    <w:rsid w:val="00D716C1"/>
    <w:rsid w:val="00D71798"/>
    <w:rsid w:val="00D71971"/>
    <w:rsid w:val="00D71D47"/>
    <w:rsid w:val="00D71E6C"/>
    <w:rsid w:val="00D71ED8"/>
    <w:rsid w:val="00D71F0F"/>
    <w:rsid w:val="00D71F58"/>
    <w:rsid w:val="00D71FB6"/>
    <w:rsid w:val="00D726BF"/>
    <w:rsid w:val="00D72B17"/>
    <w:rsid w:val="00D72C4A"/>
    <w:rsid w:val="00D72D1E"/>
    <w:rsid w:val="00D72D2A"/>
    <w:rsid w:val="00D72DE9"/>
    <w:rsid w:val="00D73094"/>
    <w:rsid w:val="00D731A3"/>
    <w:rsid w:val="00D731BD"/>
    <w:rsid w:val="00D731DB"/>
    <w:rsid w:val="00D73231"/>
    <w:rsid w:val="00D732B5"/>
    <w:rsid w:val="00D7338C"/>
    <w:rsid w:val="00D735B8"/>
    <w:rsid w:val="00D73914"/>
    <w:rsid w:val="00D7395F"/>
    <w:rsid w:val="00D73EE7"/>
    <w:rsid w:val="00D7429E"/>
    <w:rsid w:val="00D74369"/>
    <w:rsid w:val="00D7445C"/>
    <w:rsid w:val="00D74476"/>
    <w:rsid w:val="00D74505"/>
    <w:rsid w:val="00D745C3"/>
    <w:rsid w:val="00D74D95"/>
    <w:rsid w:val="00D74DFB"/>
    <w:rsid w:val="00D74F2D"/>
    <w:rsid w:val="00D75327"/>
    <w:rsid w:val="00D7538B"/>
    <w:rsid w:val="00D75439"/>
    <w:rsid w:val="00D7556B"/>
    <w:rsid w:val="00D756AF"/>
    <w:rsid w:val="00D756C3"/>
    <w:rsid w:val="00D756CC"/>
    <w:rsid w:val="00D7581D"/>
    <w:rsid w:val="00D7587B"/>
    <w:rsid w:val="00D758A1"/>
    <w:rsid w:val="00D758C6"/>
    <w:rsid w:val="00D75BA8"/>
    <w:rsid w:val="00D75D3A"/>
    <w:rsid w:val="00D75E6B"/>
    <w:rsid w:val="00D7618E"/>
    <w:rsid w:val="00D761EE"/>
    <w:rsid w:val="00D76207"/>
    <w:rsid w:val="00D7656A"/>
    <w:rsid w:val="00D765CA"/>
    <w:rsid w:val="00D766DB"/>
    <w:rsid w:val="00D7673C"/>
    <w:rsid w:val="00D76B32"/>
    <w:rsid w:val="00D76D6E"/>
    <w:rsid w:val="00D76F3E"/>
    <w:rsid w:val="00D76FFF"/>
    <w:rsid w:val="00D77072"/>
    <w:rsid w:val="00D770EB"/>
    <w:rsid w:val="00D775C3"/>
    <w:rsid w:val="00D776DC"/>
    <w:rsid w:val="00D77A98"/>
    <w:rsid w:val="00D77CF0"/>
    <w:rsid w:val="00D80629"/>
    <w:rsid w:val="00D807C7"/>
    <w:rsid w:val="00D80929"/>
    <w:rsid w:val="00D8097B"/>
    <w:rsid w:val="00D80ACA"/>
    <w:rsid w:val="00D80BCF"/>
    <w:rsid w:val="00D80C8F"/>
    <w:rsid w:val="00D81002"/>
    <w:rsid w:val="00D8111F"/>
    <w:rsid w:val="00D812D2"/>
    <w:rsid w:val="00D812E7"/>
    <w:rsid w:val="00D812EC"/>
    <w:rsid w:val="00D8134F"/>
    <w:rsid w:val="00D813EE"/>
    <w:rsid w:val="00D81409"/>
    <w:rsid w:val="00D8155C"/>
    <w:rsid w:val="00D81819"/>
    <w:rsid w:val="00D81876"/>
    <w:rsid w:val="00D818DD"/>
    <w:rsid w:val="00D818F9"/>
    <w:rsid w:val="00D8199A"/>
    <w:rsid w:val="00D81D26"/>
    <w:rsid w:val="00D81D3E"/>
    <w:rsid w:val="00D81F54"/>
    <w:rsid w:val="00D8204F"/>
    <w:rsid w:val="00D827DB"/>
    <w:rsid w:val="00D82829"/>
    <w:rsid w:val="00D82BAA"/>
    <w:rsid w:val="00D82C2B"/>
    <w:rsid w:val="00D82D83"/>
    <w:rsid w:val="00D82E45"/>
    <w:rsid w:val="00D82F42"/>
    <w:rsid w:val="00D830DC"/>
    <w:rsid w:val="00D830EA"/>
    <w:rsid w:val="00D8319A"/>
    <w:rsid w:val="00D832C7"/>
    <w:rsid w:val="00D835C5"/>
    <w:rsid w:val="00D8389A"/>
    <w:rsid w:val="00D83E17"/>
    <w:rsid w:val="00D83EC5"/>
    <w:rsid w:val="00D842A3"/>
    <w:rsid w:val="00D84594"/>
    <w:rsid w:val="00D8494D"/>
    <w:rsid w:val="00D84A4F"/>
    <w:rsid w:val="00D84BF6"/>
    <w:rsid w:val="00D84D79"/>
    <w:rsid w:val="00D84E9C"/>
    <w:rsid w:val="00D84ED7"/>
    <w:rsid w:val="00D84F5E"/>
    <w:rsid w:val="00D84FA3"/>
    <w:rsid w:val="00D85103"/>
    <w:rsid w:val="00D852B4"/>
    <w:rsid w:val="00D852D5"/>
    <w:rsid w:val="00D85314"/>
    <w:rsid w:val="00D85349"/>
    <w:rsid w:val="00D85460"/>
    <w:rsid w:val="00D85819"/>
    <w:rsid w:val="00D858FE"/>
    <w:rsid w:val="00D8597C"/>
    <w:rsid w:val="00D85A03"/>
    <w:rsid w:val="00D85AD5"/>
    <w:rsid w:val="00D85DF8"/>
    <w:rsid w:val="00D86106"/>
    <w:rsid w:val="00D86386"/>
    <w:rsid w:val="00D8664D"/>
    <w:rsid w:val="00D86839"/>
    <w:rsid w:val="00D869BB"/>
    <w:rsid w:val="00D86BB0"/>
    <w:rsid w:val="00D86BF3"/>
    <w:rsid w:val="00D86C31"/>
    <w:rsid w:val="00D86CB1"/>
    <w:rsid w:val="00D86D47"/>
    <w:rsid w:val="00D86FB9"/>
    <w:rsid w:val="00D87191"/>
    <w:rsid w:val="00D871D1"/>
    <w:rsid w:val="00D87251"/>
    <w:rsid w:val="00D873DA"/>
    <w:rsid w:val="00D874E4"/>
    <w:rsid w:val="00D87528"/>
    <w:rsid w:val="00D87663"/>
    <w:rsid w:val="00D87803"/>
    <w:rsid w:val="00D87932"/>
    <w:rsid w:val="00D879DE"/>
    <w:rsid w:val="00D87AC1"/>
    <w:rsid w:val="00D87B56"/>
    <w:rsid w:val="00D87BDE"/>
    <w:rsid w:val="00D87DEE"/>
    <w:rsid w:val="00D87F17"/>
    <w:rsid w:val="00D8ADCA"/>
    <w:rsid w:val="00D9022C"/>
    <w:rsid w:val="00D9067F"/>
    <w:rsid w:val="00D90A28"/>
    <w:rsid w:val="00D90B02"/>
    <w:rsid w:val="00D90D6D"/>
    <w:rsid w:val="00D90F47"/>
    <w:rsid w:val="00D914E1"/>
    <w:rsid w:val="00D91787"/>
    <w:rsid w:val="00D91955"/>
    <w:rsid w:val="00D91C99"/>
    <w:rsid w:val="00D9213D"/>
    <w:rsid w:val="00D92170"/>
    <w:rsid w:val="00D923CC"/>
    <w:rsid w:val="00D923EB"/>
    <w:rsid w:val="00D92411"/>
    <w:rsid w:val="00D92505"/>
    <w:rsid w:val="00D92618"/>
    <w:rsid w:val="00D926B2"/>
    <w:rsid w:val="00D92A41"/>
    <w:rsid w:val="00D92DD3"/>
    <w:rsid w:val="00D92E0D"/>
    <w:rsid w:val="00D92E35"/>
    <w:rsid w:val="00D92F0D"/>
    <w:rsid w:val="00D92F2A"/>
    <w:rsid w:val="00D930E7"/>
    <w:rsid w:val="00D93438"/>
    <w:rsid w:val="00D93754"/>
    <w:rsid w:val="00D93889"/>
    <w:rsid w:val="00D9493D"/>
    <w:rsid w:val="00D94CFA"/>
    <w:rsid w:val="00D95241"/>
    <w:rsid w:val="00D9528E"/>
    <w:rsid w:val="00D955EA"/>
    <w:rsid w:val="00D9570A"/>
    <w:rsid w:val="00D95718"/>
    <w:rsid w:val="00D957AB"/>
    <w:rsid w:val="00D957EE"/>
    <w:rsid w:val="00D95801"/>
    <w:rsid w:val="00D958A9"/>
    <w:rsid w:val="00D958EE"/>
    <w:rsid w:val="00D95AD6"/>
    <w:rsid w:val="00D95C05"/>
    <w:rsid w:val="00D95F63"/>
    <w:rsid w:val="00D96130"/>
    <w:rsid w:val="00D96238"/>
    <w:rsid w:val="00D9642B"/>
    <w:rsid w:val="00D96601"/>
    <w:rsid w:val="00D967B4"/>
    <w:rsid w:val="00D967C0"/>
    <w:rsid w:val="00D968F8"/>
    <w:rsid w:val="00D969FF"/>
    <w:rsid w:val="00D96A94"/>
    <w:rsid w:val="00D96B18"/>
    <w:rsid w:val="00D96DDD"/>
    <w:rsid w:val="00D9708F"/>
    <w:rsid w:val="00D9730B"/>
    <w:rsid w:val="00D973DF"/>
    <w:rsid w:val="00D9746A"/>
    <w:rsid w:val="00D97D21"/>
    <w:rsid w:val="00DA007E"/>
    <w:rsid w:val="00DA013B"/>
    <w:rsid w:val="00DA0254"/>
    <w:rsid w:val="00DA02F4"/>
    <w:rsid w:val="00DA03A0"/>
    <w:rsid w:val="00DA0766"/>
    <w:rsid w:val="00DA09B7"/>
    <w:rsid w:val="00DA09E8"/>
    <w:rsid w:val="00DA0AC0"/>
    <w:rsid w:val="00DA13D3"/>
    <w:rsid w:val="00DA14C9"/>
    <w:rsid w:val="00DA14F1"/>
    <w:rsid w:val="00DA176E"/>
    <w:rsid w:val="00DA1E7F"/>
    <w:rsid w:val="00DA1F22"/>
    <w:rsid w:val="00DA1F8A"/>
    <w:rsid w:val="00DA2114"/>
    <w:rsid w:val="00DA2185"/>
    <w:rsid w:val="00DA2212"/>
    <w:rsid w:val="00DA24A9"/>
    <w:rsid w:val="00DA24E9"/>
    <w:rsid w:val="00DA2686"/>
    <w:rsid w:val="00DA26C4"/>
    <w:rsid w:val="00DA28B8"/>
    <w:rsid w:val="00DA2A47"/>
    <w:rsid w:val="00DA2C24"/>
    <w:rsid w:val="00DA2C2C"/>
    <w:rsid w:val="00DA30B4"/>
    <w:rsid w:val="00DA31E6"/>
    <w:rsid w:val="00DA338C"/>
    <w:rsid w:val="00DA3426"/>
    <w:rsid w:val="00DA3559"/>
    <w:rsid w:val="00DA385A"/>
    <w:rsid w:val="00DA3D13"/>
    <w:rsid w:val="00DA4310"/>
    <w:rsid w:val="00DA44EA"/>
    <w:rsid w:val="00DA44F9"/>
    <w:rsid w:val="00DA4780"/>
    <w:rsid w:val="00DA4C9A"/>
    <w:rsid w:val="00DA4CFE"/>
    <w:rsid w:val="00DA4D39"/>
    <w:rsid w:val="00DA50DF"/>
    <w:rsid w:val="00DA5101"/>
    <w:rsid w:val="00DA52D3"/>
    <w:rsid w:val="00DA53E6"/>
    <w:rsid w:val="00DA55A3"/>
    <w:rsid w:val="00DA5601"/>
    <w:rsid w:val="00DA5653"/>
    <w:rsid w:val="00DA5785"/>
    <w:rsid w:val="00DA62A4"/>
    <w:rsid w:val="00DA6312"/>
    <w:rsid w:val="00DA6430"/>
    <w:rsid w:val="00DA654F"/>
    <w:rsid w:val="00DA66B1"/>
    <w:rsid w:val="00DA69D7"/>
    <w:rsid w:val="00DA69E9"/>
    <w:rsid w:val="00DA69EE"/>
    <w:rsid w:val="00DA69FB"/>
    <w:rsid w:val="00DA6ACB"/>
    <w:rsid w:val="00DA6B91"/>
    <w:rsid w:val="00DA6C21"/>
    <w:rsid w:val="00DA6C34"/>
    <w:rsid w:val="00DA6C44"/>
    <w:rsid w:val="00DA6D0F"/>
    <w:rsid w:val="00DA6F20"/>
    <w:rsid w:val="00DA6FEB"/>
    <w:rsid w:val="00DA759A"/>
    <w:rsid w:val="00DA7607"/>
    <w:rsid w:val="00DA7645"/>
    <w:rsid w:val="00DA7ACF"/>
    <w:rsid w:val="00DA7C24"/>
    <w:rsid w:val="00DB0014"/>
    <w:rsid w:val="00DB0149"/>
    <w:rsid w:val="00DB020D"/>
    <w:rsid w:val="00DB024D"/>
    <w:rsid w:val="00DB02BD"/>
    <w:rsid w:val="00DB032E"/>
    <w:rsid w:val="00DB04C8"/>
    <w:rsid w:val="00DB0581"/>
    <w:rsid w:val="00DB06D7"/>
    <w:rsid w:val="00DB0A45"/>
    <w:rsid w:val="00DB0A9F"/>
    <w:rsid w:val="00DB0ADC"/>
    <w:rsid w:val="00DB0D32"/>
    <w:rsid w:val="00DB0D8B"/>
    <w:rsid w:val="00DB0DBE"/>
    <w:rsid w:val="00DB13E9"/>
    <w:rsid w:val="00DB14B8"/>
    <w:rsid w:val="00DB1558"/>
    <w:rsid w:val="00DB19E2"/>
    <w:rsid w:val="00DB1A1A"/>
    <w:rsid w:val="00DB1AC5"/>
    <w:rsid w:val="00DB204E"/>
    <w:rsid w:val="00DB22C3"/>
    <w:rsid w:val="00DB2473"/>
    <w:rsid w:val="00DB2557"/>
    <w:rsid w:val="00DB2A5F"/>
    <w:rsid w:val="00DB2BB6"/>
    <w:rsid w:val="00DB2C8A"/>
    <w:rsid w:val="00DB2C99"/>
    <w:rsid w:val="00DB2CBB"/>
    <w:rsid w:val="00DB2EC1"/>
    <w:rsid w:val="00DB31F7"/>
    <w:rsid w:val="00DB3295"/>
    <w:rsid w:val="00DB35ED"/>
    <w:rsid w:val="00DB3614"/>
    <w:rsid w:val="00DB370C"/>
    <w:rsid w:val="00DB3AAE"/>
    <w:rsid w:val="00DB3C6F"/>
    <w:rsid w:val="00DB3C77"/>
    <w:rsid w:val="00DB3D71"/>
    <w:rsid w:val="00DB3E97"/>
    <w:rsid w:val="00DB3F4B"/>
    <w:rsid w:val="00DB416B"/>
    <w:rsid w:val="00DB4455"/>
    <w:rsid w:val="00DB46C3"/>
    <w:rsid w:val="00DB47FB"/>
    <w:rsid w:val="00DB4843"/>
    <w:rsid w:val="00DB4DA2"/>
    <w:rsid w:val="00DB4ED2"/>
    <w:rsid w:val="00DB51AD"/>
    <w:rsid w:val="00DB51C9"/>
    <w:rsid w:val="00DB53BE"/>
    <w:rsid w:val="00DB5423"/>
    <w:rsid w:val="00DB54B3"/>
    <w:rsid w:val="00DB5851"/>
    <w:rsid w:val="00DB58D7"/>
    <w:rsid w:val="00DB5AD5"/>
    <w:rsid w:val="00DB5F63"/>
    <w:rsid w:val="00DB6002"/>
    <w:rsid w:val="00DB63D7"/>
    <w:rsid w:val="00DB6710"/>
    <w:rsid w:val="00DB6A86"/>
    <w:rsid w:val="00DB6C45"/>
    <w:rsid w:val="00DB6F31"/>
    <w:rsid w:val="00DB723F"/>
    <w:rsid w:val="00DB7439"/>
    <w:rsid w:val="00DB7477"/>
    <w:rsid w:val="00DB77EE"/>
    <w:rsid w:val="00DB781C"/>
    <w:rsid w:val="00DB78A3"/>
    <w:rsid w:val="00DB79C6"/>
    <w:rsid w:val="00DB7AA5"/>
    <w:rsid w:val="00DB7AB5"/>
    <w:rsid w:val="00DB7C7B"/>
    <w:rsid w:val="00DB7C9B"/>
    <w:rsid w:val="00DB7D41"/>
    <w:rsid w:val="00DB7DDD"/>
    <w:rsid w:val="00DC003B"/>
    <w:rsid w:val="00DC0149"/>
    <w:rsid w:val="00DC021E"/>
    <w:rsid w:val="00DC0317"/>
    <w:rsid w:val="00DC04BF"/>
    <w:rsid w:val="00DC050D"/>
    <w:rsid w:val="00DC05FC"/>
    <w:rsid w:val="00DC06F5"/>
    <w:rsid w:val="00DC074B"/>
    <w:rsid w:val="00DC09F6"/>
    <w:rsid w:val="00DC0A9C"/>
    <w:rsid w:val="00DC0B78"/>
    <w:rsid w:val="00DC0C42"/>
    <w:rsid w:val="00DC0D6E"/>
    <w:rsid w:val="00DC0F33"/>
    <w:rsid w:val="00DC12C9"/>
    <w:rsid w:val="00DC1376"/>
    <w:rsid w:val="00DC13D2"/>
    <w:rsid w:val="00DC13DA"/>
    <w:rsid w:val="00DC15D7"/>
    <w:rsid w:val="00DC1604"/>
    <w:rsid w:val="00DC1B2B"/>
    <w:rsid w:val="00DC1C0E"/>
    <w:rsid w:val="00DC1DBC"/>
    <w:rsid w:val="00DC1DBD"/>
    <w:rsid w:val="00DC1FAD"/>
    <w:rsid w:val="00DC20E9"/>
    <w:rsid w:val="00DC219B"/>
    <w:rsid w:val="00DC2237"/>
    <w:rsid w:val="00DC2E9C"/>
    <w:rsid w:val="00DC2FA9"/>
    <w:rsid w:val="00DC30C9"/>
    <w:rsid w:val="00DC31DD"/>
    <w:rsid w:val="00DC3716"/>
    <w:rsid w:val="00DC3734"/>
    <w:rsid w:val="00DC38F4"/>
    <w:rsid w:val="00DC39C7"/>
    <w:rsid w:val="00DC39F7"/>
    <w:rsid w:val="00DC3A64"/>
    <w:rsid w:val="00DC3A8F"/>
    <w:rsid w:val="00DC3B4B"/>
    <w:rsid w:val="00DC3F8E"/>
    <w:rsid w:val="00DC4325"/>
    <w:rsid w:val="00DC435E"/>
    <w:rsid w:val="00DC4571"/>
    <w:rsid w:val="00DC4A2F"/>
    <w:rsid w:val="00DC4E7B"/>
    <w:rsid w:val="00DC4ED6"/>
    <w:rsid w:val="00DC4F66"/>
    <w:rsid w:val="00DC5110"/>
    <w:rsid w:val="00DC5227"/>
    <w:rsid w:val="00DC5692"/>
    <w:rsid w:val="00DC5B74"/>
    <w:rsid w:val="00DC5C1E"/>
    <w:rsid w:val="00DC5E94"/>
    <w:rsid w:val="00DC5EEA"/>
    <w:rsid w:val="00DC6577"/>
    <w:rsid w:val="00DC69BE"/>
    <w:rsid w:val="00DC7187"/>
    <w:rsid w:val="00DC71AF"/>
    <w:rsid w:val="00DC76E0"/>
    <w:rsid w:val="00DC776B"/>
    <w:rsid w:val="00DC77CA"/>
    <w:rsid w:val="00DC78FD"/>
    <w:rsid w:val="00DC7982"/>
    <w:rsid w:val="00DC79B4"/>
    <w:rsid w:val="00DC7AD7"/>
    <w:rsid w:val="00DC7C60"/>
    <w:rsid w:val="00DC7ECD"/>
    <w:rsid w:val="00DD00AD"/>
    <w:rsid w:val="00DD05F7"/>
    <w:rsid w:val="00DD0781"/>
    <w:rsid w:val="00DD07AC"/>
    <w:rsid w:val="00DD0A97"/>
    <w:rsid w:val="00DD0AC4"/>
    <w:rsid w:val="00DD0C5C"/>
    <w:rsid w:val="00DD0E29"/>
    <w:rsid w:val="00DD0E67"/>
    <w:rsid w:val="00DD0E70"/>
    <w:rsid w:val="00DD0E75"/>
    <w:rsid w:val="00DD0FA0"/>
    <w:rsid w:val="00DD10B1"/>
    <w:rsid w:val="00DD1175"/>
    <w:rsid w:val="00DD15B2"/>
    <w:rsid w:val="00DD15EA"/>
    <w:rsid w:val="00DD195B"/>
    <w:rsid w:val="00DD1A1F"/>
    <w:rsid w:val="00DD1F0A"/>
    <w:rsid w:val="00DD211B"/>
    <w:rsid w:val="00DD21A3"/>
    <w:rsid w:val="00DD2284"/>
    <w:rsid w:val="00DD2638"/>
    <w:rsid w:val="00DD2894"/>
    <w:rsid w:val="00DD29B2"/>
    <w:rsid w:val="00DD3548"/>
    <w:rsid w:val="00DD3653"/>
    <w:rsid w:val="00DD37AF"/>
    <w:rsid w:val="00DD3889"/>
    <w:rsid w:val="00DD400A"/>
    <w:rsid w:val="00DD407A"/>
    <w:rsid w:val="00DD458B"/>
    <w:rsid w:val="00DD45DD"/>
    <w:rsid w:val="00DD4618"/>
    <w:rsid w:val="00DD4621"/>
    <w:rsid w:val="00DD49C1"/>
    <w:rsid w:val="00DD4A1C"/>
    <w:rsid w:val="00DD4B15"/>
    <w:rsid w:val="00DD4E7B"/>
    <w:rsid w:val="00DD4F92"/>
    <w:rsid w:val="00DD5346"/>
    <w:rsid w:val="00DD54F1"/>
    <w:rsid w:val="00DD5975"/>
    <w:rsid w:val="00DD5976"/>
    <w:rsid w:val="00DD5D63"/>
    <w:rsid w:val="00DD5DA2"/>
    <w:rsid w:val="00DD629D"/>
    <w:rsid w:val="00DD65AB"/>
    <w:rsid w:val="00DD65C6"/>
    <w:rsid w:val="00DD66F1"/>
    <w:rsid w:val="00DD6896"/>
    <w:rsid w:val="00DD6A81"/>
    <w:rsid w:val="00DD6B65"/>
    <w:rsid w:val="00DD6B7C"/>
    <w:rsid w:val="00DD748D"/>
    <w:rsid w:val="00DD7854"/>
    <w:rsid w:val="00DD792E"/>
    <w:rsid w:val="00DD7953"/>
    <w:rsid w:val="00DD7DB4"/>
    <w:rsid w:val="00DD7E30"/>
    <w:rsid w:val="00DE0021"/>
    <w:rsid w:val="00DE0386"/>
    <w:rsid w:val="00DE0626"/>
    <w:rsid w:val="00DE0722"/>
    <w:rsid w:val="00DE0744"/>
    <w:rsid w:val="00DE0810"/>
    <w:rsid w:val="00DE0BF5"/>
    <w:rsid w:val="00DE0D00"/>
    <w:rsid w:val="00DE0D31"/>
    <w:rsid w:val="00DE0E34"/>
    <w:rsid w:val="00DE0ECC"/>
    <w:rsid w:val="00DE0F16"/>
    <w:rsid w:val="00DE11DD"/>
    <w:rsid w:val="00DE1375"/>
    <w:rsid w:val="00DE137F"/>
    <w:rsid w:val="00DE1529"/>
    <w:rsid w:val="00DE15BC"/>
    <w:rsid w:val="00DE19AB"/>
    <w:rsid w:val="00DE1D9A"/>
    <w:rsid w:val="00DE22C0"/>
    <w:rsid w:val="00DE264A"/>
    <w:rsid w:val="00DE2831"/>
    <w:rsid w:val="00DE2A0F"/>
    <w:rsid w:val="00DE2AA5"/>
    <w:rsid w:val="00DE2CC4"/>
    <w:rsid w:val="00DE3003"/>
    <w:rsid w:val="00DE31EE"/>
    <w:rsid w:val="00DE3786"/>
    <w:rsid w:val="00DE3795"/>
    <w:rsid w:val="00DE3967"/>
    <w:rsid w:val="00DE3F43"/>
    <w:rsid w:val="00DE4050"/>
    <w:rsid w:val="00DE426D"/>
    <w:rsid w:val="00DE43E4"/>
    <w:rsid w:val="00DE45E4"/>
    <w:rsid w:val="00DE4643"/>
    <w:rsid w:val="00DE484C"/>
    <w:rsid w:val="00DE4C49"/>
    <w:rsid w:val="00DE4FD8"/>
    <w:rsid w:val="00DE53CD"/>
    <w:rsid w:val="00DE5416"/>
    <w:rsid w:val="00DE5514"/>
    <w:rsid w:val="00DE5E28"/>
    <w:rsid w:val="00DE60DB"/>
    <w:rsid w:val="00DE61EE"/>
    <w:rsid w:val="00DE6366"/>
    <w:rsid w:val="00DE660E"/>
    <w:rsid w:val="00DE6848"/>
    <w:rsid w:val="00DE6BE9"/>
    <w:rsid w:val="00DE6BF7"/>
    <w:rsid w:val="00DE6D3E"/>
    <w:rsid w:val="00DE7091"/>
    <w:rsid w:val="00DE7435"/>
    <w:rsid w:val="00DE758E"/>
    <w:rsid w:val="00DE7721"/>
    <w:rsid w:val="00DE7827"/>
    <w:rsid w:val="00DE79A5"/>
    <w:rsid w:val="00DE79BB"/>
    <w:rsid w:val="00DE7AD8"/>
    <w:rsid w:val="00DE7B5F"/>
    <w:rsid w:val="00DE7C58"/>
    <w:rsid w:val="00DE7F4C"/>
    <w:rsid w:val="00DF04CE"/>
    <w:rsid w:val="00DF05EA"/>
    <w:rsid w:val="00DF06BC"/>
    <w:rsid w:val="00DF095A"/>
    <w:rsid w:val="00DF0B6C"/>
    <w:rsid w:val="00DF0C6B"/>
    <w:rsid w:val="00DF0FC4"/>
    <w:rsid w:val="00DF127D"/>
    <w:rsid w:val="00DF1745"/>
    <w:rsid w:val="00DF1974"/>
    <w:rsid w:val="00DF1979"/>
    <w:rsid w:val="00DF1A2A"/>
    <w:rsid w:val="00DF1A70"/>
    <w:rsid w:val="00DF1B40"/>
    <w:rsid w:val="00DF1BB1"/>
    <w:rsid w:val="00DF1FE3"/>
    <w:rsid w:val="00DF2052"/>
    <w:rsid w:val="00DF216A"/>
    <w:rsid w:val="00DF21E7"/>
    <w:rsid w:val="00DF234F"/>
    <w:rsid w:val="00DF235E"/>
    <w:rsid w:val="00DF2625"/>
    <w:rsid w:val="00DF2669"/>
    <w:rsid w:val="00DF28AA"/>
    <w:rsid w:val="00DF311C"/>
    <w:rsid w:val="00DF35AE"/>
    <w:rsid w:val="00DF36F0"/>
    <w:rsid w:val="00DF390E"/>
    <w:rsid w:val="00DF393F"/>
    <w:rsid w:val="00DF3970"/>
    <w:rsid w:val="00DF3DDE"/>
    <w:rsid w:val="00DF3DEA"/>
    <w:rsid w:val="00DF3FD0"/>
    <w:rsid w:val="00DF4217"/>
    <w:rsid w:val="00DF4494"/>
    <w:rsid w:val="00DF4963"/>
    <w:rsid w:val="00DF49B4"/>
    <w:rsid w:val="00DF4A05"/>
    <w:rsid w:val="00DF4B6A"/>
    <w:rsid w:val="00DF523B"/>
    <w:rsid w:val="00DF530B"/>
    <w:rsid w:val="00DF5884"/>
    <w:rsid w:val="00DF592E"/>
    <w:rsid w:val="00DF5E54"/>
    <w:rsid w:val="00DF5F9A"/>
    <w:rsid w:val="00DF61E2"/>
    <w:rsid w:val="00DF6309"/>
    <w:rsid w:val="00DF63B8"/>
    <w:rsid w:val="00DF680C"/>
    <w:rsid w:val="00DF6996"/>
    <w:rsid w:val="00DF6BCA"/>
    <w:rsid w:val="00DF6CC9"/>
    <w:rsid w:val="00DF70D5"/>
    <w:rsid w:val="00DF7253"/>
    <w:rsid w:val="00DF7441"/>
    <w:rsid w:val="00DF7558"/>
    <w:rsid w:val="00DF7F73"/>
    <w:rsid w:val="00DF7F90"/>
    <w:rsid w:val="00DF7F9C"/>
    <w:rsid w:val="00E00066"/>
    <w:rsid w:val="00E003D0"/>
    <w:rsid w:val="00E00471"/>
    <w:rsid w:val="00E004C2"/>
    <w:rsid w:val="00E00702"/>
    <w:rsid w:val="00E00A53"/>
    <w:rsid w:val="00E00C3D"/>
    <w:rsid w:val="00E00CB2"/>
    <w:rsid w:val="00E00CD4"/>
    <w:rsid w:val="00E0138C"/>
    <w:rsid w:val="00E0164B"/>
    <w:rsid w:val="00E01740"/>
    <w:rsid w:val="00E017BC"/>
    <w:rsid w:val="00E01971"/>
    <w:rsid w:val="00E019ED"/>
    <w:rsid w:val="00E01C06"/>
    <w:rsid w:val="00E01FA5"/>
    <w:rsid w:val="00E0200F"/>
    <w:rsid w:val="00E023FD"/>
    <w:rsid w:val="00E02679"/>
    <w:rsid w:val="00E02773"/>
    <w:rsid w:val="00E02AA4"/>
    <w:rsid w:val="00E02B7E"/>
    <w:rsid w:val="00E02D65"/>
    <w:rsid w:val="00E02D75"/>
    <w:rsid w:val="00E02DEB"/>
    <w:rsid w:val="00E02E5E"/>
    <w:rsid w:val="00E02E64"/>
    <w:rsid w:val="00E0343C"/>
    <w:rsid w:val="00E035DF"/>
    <w:rsid w:val="00E03624"/>
    <w:rsid w:val="00E036F9"/>
    <w:rsid w:val="00E037C9"/>
    <w:rsid w:val="00E0382D"/>
    <w:rsid w:val="00E044C2"/>
    <w:rsid w:val="00E04532"/>
    <w:rsid w:val="00E04584"/>
    <w:rsid w:val="00E045D2"/>
    <w:rsid w:val="00E0476E"/>
    <w:rsid w:val="00E04829"/>
    <w:rsid w:val="00E04A2E"/>
    <w:rsid w:val="00E04A4B"/>
    <w:rsid w:val="00E04DF3"/>
    <w:rsid w:val="00E04E2D"/>
    <w:rsid w:val="00E04E72"/>
    <w:rsid w:val="00E04FBE"/>
    <w:rsid w:val="00E05097"/>
    <w:rsid w:val="00E051E8"/>
    <w:rsid w:val="00E054A2"/>
    <w:rsid w:val="00E054E5"/>
    <w:rsid w:val="00E0550F"/>
    <w:rsid w:val="00E05683"/>
    <w:rsid w:val="00E05BCF"/>
    <w:rsid w:val="00E05FDC"/>
    <w:rsid w:val="00E0603B"/>
    <w:rsid w:val="00E06070"/>
    <w:rsid w:val="00E06673"/>
    <w:rsid w:val="00E06836"/>
    <w:rsid w:val="00E06B71"/>
    <w:rsid w:val="00E06B94"/>
    <w:rsid w:val="00E06E3F"/>
    <w:rsid w:val="00E0704A"/>
    <w:rsid w:val="00E07308"/>
    <w:rsid w:val="00E07342"/>
    <w:rsid w:val="00E0750C"/>
    <w:rsid w:val="00E07539"/>
    <w:rsid w:val="00E07C50"/>
    <w:rsid w:val="00E07DFB"/>
    <w:rsid w:val="00E07EBA"/>
    <w:rsid w:val="00E101D1"/>
    <w:rsid w:val="00E10B70"/>
    <w:rsid w:val="00E10BC6"/>
    <w:rsid w:val="00E1116B"/>
    <w:rsid w:val="00E111C0"/>
    <w:rsid w:val="00E11336"/>
    <w:rsid w:val="00E113CF"/>
    <w:rsid w:val="00E116CA"/>
    <w:rsid w:val="00E11742"/>
    <w:rsid w:val="00E11A3D"/>
    <w:rsid w:val="00E11E91"/>
    <w:rsid w:val="00E11EA4"/>
    <w:rsid w:val="00E12060"/>
    <w:rsid w:val="00E12133"/>
    <w:rsid w:val="00E125DE"/>
    <w:rsid w:val="00E12A24"/>
    <w:rsid w:val="00E12BDE"/>
    <w:rsid w:val="00E12DC7"/>
    <w:rsid w:val="00E12DFC"/>
    <w:rsid w:val="00E12E91"/>
    <w:rsid w:val="00E130E0"/>
    <w:rsid w:val="00E132FD"/>
    <w:rsid w:val="00E13466"/>
    <w:rsid w:val="00E134AB"/>
    <w:rsid w:val="00E1372A"/>
    <w:rsid w:val="00E138A2"/>
    <w:rsid w:val="00E1392D"/>
    <w:rsid w:val="00E13CAD"/>
    <w:rsid w:val="00E13D44"/>
    <w:rsid w:val="00E13D6A"/>
    <w:rsid w:val="00E13E9D"/>
    <w:rsid w:val="00E13EC4"/>
    <w:rsid w:val="00E13FF2"/>
    <w:rsid w:val="00E1440D"/>
    <w:rsid w:val="00E14589"/>
    <w:rsid w:val="00E14595"/>
    <w:rsid w:val="00E1463D"/>
    <w:rsid w:val="00E14959"/>
    <w:rsid w:val="00E14BBE"/>
    <w:rsid w:val="00E14D2E"/>
    <w:rsid w:val="00E14D44"/>
    <w:rsid w:val="00E14D45"/>
    <w:rsid w:val="00E14EDD"/>
    <w:rsid w:val="00E14FEF"/>
    <w:rsid w:val="00E15149"/>
    <w:rsid w:val="00E1529D"/>
    <w:rsid w:val="00E153FE"/>
    <w:rsid w:val="00E15643"/>
    <w:rsid w:val="00E159FA"/>
    <w:rsid w:val="00E15F6E"/>
    <w:rsid w:val="00E16137"/>
    <w:rsid w:val="00E1626C"/>
    <w:rsid w:val="00E16507"/>
    <w:rsid w:val="00E165E4"/>
    <w:rsid w:val="00E166BA"/>
    <w:rsid w:val="00E16850"/>
    <w:rsid w:val="00E16AE1"/>
    <w:rsid w:val="00E16F1E"/>
    <w:rsid w:val="00E1708E"/>
    <w:rsid w:val="00E1715F"/>
    <w:rsid w:val="00E17275"/>
    <w:rsid w:val="00E173A5"/>
    <w:rsid w:val="00E174A7"/>
    <w:rsid w:val="00E174D1"/>
    <w:rsid w:val="00E175D9"/>
    <w:rsid w:val="00E17613"/>
    <w:rsid w:val="00E178C3"/>
    <w:rsid w:val="00E17B9A"/>
    <w:rsid w:val="00E17D51"/>
    <w:rsid w:val="00E17E63"/>
    <w:rsid w:val="00E17F61"/>
    <w:rsid w:val="00E17F62"/>
    <w:rsid w:val="00E20437"/>
    <w:rsid w:val="00E2044B"/>
    <w:rsid w:val="00E204A6"/>
    <w:rsid w:val="00E2097A"/>
    <w:rsid w:val="00E20B7C"/>
    <w:rsid w:val="00E20B8E"/>
    <w:rsid w:val="00E20D0C"/>
    <w:rsid w:val="00E20E32"/>
    <w:rsid w:val="00E20E33"/>
    <w:rsid w:val="00E21145"/>
    <w:rsid w:val="00E211DF"/>
    <w:rsid w:val="00E21257"/>
    <w:rsid w:val="00E21310"/>
    <w:rsid w:val="00E2141C"/>
    <w:rsid w:val="00E21978"/>
    <w:rsid w:val="00E21A62"/>
    <w:rsid w:val="00E21BA5"/>
    <w:rsid w:val="00E21E7D"/>
    <w:rsid w:val="00E2211D"/>
    <w:rsid w:val="00E223CC"/>
    <w:rsid w:val="00E2243D"/>
    <w:rsid w:val="00E22A8F"/>
    <w:rsid w:val="00E22E58"/>
    <w:rsid w:val="00E230C5"/>
    <w:rsid w:val="00E234B5"/>
    <w:rsid w:val="00E2352C"/>
    <w:rsid w:val="00E2364D"/>
    <w:rsid w:val="00E2370B"/>
    <w:rsid w:val="00E237B5"/>
    <w:rsid w:val="00E2399A"/>
    <w:rsid w:val="00E23A48"/>
    <w:rsid w:val="00E23CD6"/>
    <w:rsid w:val="00E23DD9"/>
    <w:rsid w:val="00E23DDC"/>
    <w:rsid w:val="00E23EFA"/>
    <w:rsid w:val="00E24075"/>
    <w:rsid w:val="00E2465B"/>
    <w:rsid w:val="00E247E6"/>
    <w:rsid w:val="00E2490E"/>
    <w:rsid w:val="00E24A68"/>
    <w:rsid w:val="00E24A73"/>
    <w:rsid w:val="00E24FF5"/>
    <w:rsid w:val="00E250D8"/>
    <w:rsid w:val="00E25191"/>
    <w:rsid w:val="00E25296"/>
    <w:rsid w:val="00E25469"/>
    <w:rsid w:val="00E2558B"/>
    <w:rsid w:val="00E255BC"/>
    <w:rsid w:val="00E2574B"/>
    <w:rsid w:val="00E25809"/>
    <w:rsid w:val="00E25A7E"/>
    <w:rsid w:val="00E25DA5"/>
    <w:rsid w:val="00E25FE3"/>
    <w:rsid w:val="00E26093"/>
    <w:rsid w:val="00E26205"/>
    <w:rsid w:val="00E26241"/>
    <w:rsid w:val="00E2654E"/>
    <w:rsid w:val="00E265A2"/>
    <w:rsid w:val="00E26701"/>
    <w:rsid w:val="00E26CC3"/>
    <w:rsid w:val="00E26D8E"/>
    <w:rsid w:val="00E26E12"/>
    <w:rsid w:val="00E26ED2"/>
    <w:rsid w:val="00E26FB5"/>
    <w:rsid w:val="00E2720C"/>
    <w:rsid w:val="00E27278"/>
    <w:rsid w:val="00E272EA"/>
    <w:rsid w:val="00E2737B"/>
    <w:rsid w:val="00E274C7"/>
    <w:rsid w:val="00E27A85"/>
    <w:rsid w:val="00E27C4E"/>
    <w:rsid w:val="00E27D5B"/>
    <w:rsid w:val="00E27EF4"/>
    <w:rsid w:val="00E27FDB"/>
    <w:rsid w:val="00E300AE"/>
    <w:rsid w:val="00E30121"/>
    <w:rsid w:val="00E3025E"/>
    <w:rsid w:val="00E3027F"/>
    <w:rsid w:val="00E30358"/>
    <w:rsid w:val="00E304C3"/>
    <w:rsid w:val="00E30522"/>
    <w:rsid w:val="00E30720"/>
    <w:rsid w:val="00E30A6D"/>
    <w:rsid w:val="00E30A95"/>
    <w:rsid w:val="00E30BC3"/>
    <w:rsid w:val="00E313E0"/>
    <w:rsid w:val="00E31450"/>
    <w:rsid w:val="00E31553"/>
    <w:rsid w:val="00E31679"/>
    <w:rsid w:val="00E317D1"/>
    <w:rsid w:val="00E31927"/>
    <w:rsid w:val="00E31B9A"/>
    <w:rsid w:val="00E31BB2"/>
    <w:rsid w:val="00E31D3A"/>
    <w:rsid w:val="00E31D97"/>
    <w:rsid w:val="00E31ED4"/>
    <w:rsid w:val="00E321BA"/>
    <w:rsid w:val="00E32753"/>
    <w:rsid w:val="00E32A19"/>
    <w:rsid w:val="00E32B32"/>
    <w:rsid w:val="00E3306E"/>
    <w:rsid w:val="00E33199"/>
    <w:rsid w:val="00E331FA"/>
    <w:rsid w:val="00E3358D"/>
    <w:rsid w:val="00E3362A"/>
    <w:rsid w:val="00E33747"/>
    <w:rsid w:val="00E337B2"/>
    <w:rsid w:val="00E339B7"/>
    <w:rsid w:val="00E33F7E"/>
    <w:rsid w:val="00E34234"/>
    <w:rsid w:val="00E3439D"/>
    <w:rsid w:val="00E343E0"/>
    <w:rsid w:val="00E34484"/>
    <w:rsid w:val="00E344B1"/>
    <w:rsid w:val="00E344D5"/>
    <w:rsid w:val="00E345EF"/>
    <w:rsid w:val="00E34826"/>
    <w:rsid w:val="00E34A32"/>
    <w:rsid w:val="00E34AB4"/>
    <w:rsid w:val="00E34B01"/>
    <w:rsid w:val="00E34E06"/>
    <w:rsid w:val="00E34E96"/>
    <w:rsid w:val="00E34F24"/>
    <w:rsid w:val="00E34F2B"/>
    <w:rsid w:val="00E34FAE"/>
    <w:rsid w:val="00E35093"/>
    <w:rsid w:val="00E353AB"/>
    <w:rsid w:val="00E353C5"/>
    <w:rsid w:val="00E3556C"/>
    <w:rsid w:val="00E3587D"/>
    <w:rsid w:val="00E360DB"/>
    <w:rsid w:val="00E3641B"/>
    <w:rsid w:val="00E3648B"/>
    <w:rsid w:val="00E368C4"/>
    <w:rsid w:val="00E36ED0"/>
    <w:rsid w:val="00E36EFA"/>
    <w:rsid w:val="00E36F4A"/>
    <w:rsid w:val="00E36FA9"/>
    <w:rsid w:val="00E37095"/>
    <w:rsid w:val="00E371FF"/>
    <w:rsid w:val="00E372BA"/>
    <w:rsid w:val="00E373A9"/>
    <w:rsid w:val="00E37522"/>
    <w:rsid w:val="00E37673"/>
    <w:rsid w:val="00E378B0"/>
    <w:rsid w:val="00E37912"/>
    <w:rsid w:val="00E379CD"/>
    <w:rsid w:val="00E379DC"/>
    <w:rsid w:val="00E37DF0"/>
    <w:rsid w:val="00E409B4"/>
    <w:rsid w:val="00E40F30"/>
    <w:rsid w:val="00E40F58"/>
    <w:rsid w:val="00E41128"/>
    <w:rsid w:val="00E4120D"/>
    <w:rsid w:val="00E412AD"/>
    <w:rsid w:val="00E41555"/>
    <w:rsid w:val="00E4195E"/>
    <w:rsid w:val="00E41A54"/>
    <w:rsid w:val="00E41A9F"/>
    <w:rsid w:val="00E41BDC"/>
    <w:rsid w:val="00E41D01"/>
    <w:rsid w:val="00E41DAD"/>
    <w:rsid w:val="00E41FA7"/>
    <w:rsid w:val="00E42131"/>
    <w:rsid w:val="00E42172"/>
    <w:rsid w:val="00E4219C"/>
    <w:rsid w:val="00E4224D"/>
    <w:rsid w:val="00E423A8"/>
    <w:rsid w:val="00E424B3"/>
    <w:rsid w:val="00E42616"/>
    <w:rsid w:val="00E429E0"/>
    <w:rsid w:val="00E42BD3"/>
    <w:rsid w:val="00E42C20"/>
    <w:rsid w:val="00E42DCE"/>
    <w:rsid w:val="00E42E48"/>
    <w:rsid w:val="00E43254"/>
    <w:rsid w:val="00E43290"/>
    <w:rsid w:val="00E433F5"/>
    <w:rsid w:val="00E43417"/>
    <w:rsid w:val="00E435B0"/>
    <w:rsid w:val="00E43672"/>
    <w:rsid w:val="00E443F3"/>
    <w:rsid w:val="00E44581"/>
    <w:rsid w:val="00E4477A"/>
    <w:rsid w:val="00E448F8"/>
    <w:rsid w:val="00E4499B"/>
    <w:rsid w:val="00E44AC0"/>
    <w:rsid w:val="00E44B19"/>
    <w:rsid w:val="00E44D3E"/>
    <w:rsid w:val="00E44DE8"/>
    <w:rsid w:val="00E44FAF"/>
    <w:rsid w:val="00E4500E"/>
    <w:rsid w:val="00E45349"/>
    <w:rsid w:val="00E458A6"/>
    <w:rsid w:val="00E45924"/>
    <w:rsid w:val="00E45B05"/>
    <w:rsid w:val="00E45C3F"/>
    <w:rsid w:val="00E45F0E"/>
    <w:rsid w:val="00E460B9"/>
    <w:rsid w:val="00E461C2"/>
    <w:rsid w:val="00E46200"/>
    <w:rsid w:val="00E462D4"/>
    <w:rsid w:val="00E46786"/>
    <w:rsid w:val="00E46AF4"/>
    <w:rsid w:val="00E47002"/>
    <w:rsid w:val="00E471A0"/>
    <w:rsid w:val="00E474B8"/>
    <w:rsid w:val="00E4798C"/>
    <w:rsid w:val="00E47AF9"/>
    <w:rsid w:val="00E47BDD"/>
    <w:rsid w:val="00E47D6A"/>
    <w:rsid w:val="00E47F2F"/>
    <w:rsid w:val="00E50014"/>
    <w:rsid w:val="00E5024A"/>
    <w:rsid w:val="00E5070B"/>
    <w:rsid w:val="00E509CA"/>
    <w:rsid w:val="00E50AB3"/>
    <w:rsid w:val="00E50E00"/>
    <w:rsid w:val="00E50ECD"/>
    <w:rsid w:val="00E50F39"/>
    <w:rsid w:val="00E510B7"/>
    <w:rsid w:val="00E51215"/>
    <w:rsid w:val="00E5135F"/>
    <w:rsid w:val="00E5136F"/>
    <w:rsid w:val="00E5146B"/>
    <w:rsid w:val="00E51B83"/>
    <w:rsid w:val="00E52037"/>
    <w:rsid w:val="00E5249B"/>
    <w:rsid w:val="00E5283F"/>
    <w:rsid w:val="00E52896"/>
    <w:rsid w:val="00E52C8B"/>
    <w:rsid w:val="00E52F0D"/>
    <w:rsid w:val="00E530EA"/>
    <w:rsid w:val="00E5316F"/>
    <w:rsid w:val="00E53175"/>
    <w:rsid w:val="00E5340D"/>
    <w:rsid w:val="00E5343C"/>
    <w:rsid w:val="00E5348B"/>
    <w:rsid w:val="00E536EC"/>
    <w:rsid w:val="00E538E3"/>
    <w:rsid w:val="00E5392E"/>
    <w:rsid w:val="00E539B4"/>
    <w:rsid w:val="00E539CC"/>
    <w:rsid w:val="00E539E0"/>
    <w:rsid w:val="00E53A1D"/>
    <w:rsid w:val="00E53A9C"/>
    <w:rsid w:val="00E54096"/>
    <w:rsid w:val="00E540E2"/>
    <w:rsid w:val="00E5424E"/>
    <w:rsid w:val="00E54327"/>
    <w:rsid w:val="00E5450A"/>
    <w:rsid w:val="00E545EE"/>
    <w:rsid w:val="00E54701"/>
    <w:rsid w:val="00E548C1"/>
    <w:rsid w:val="00E548FF"/>
    <w:rsid w:val="00E54AB5"/>
    <w:rsid w:val="00E54C9A"/>
    <w:rsid w:val="00E55234"/>
    <w:rsid w:val="00E5535C"/>
    <w:rsid w:val="00E55919"/>
    <w:rsid w:val="00E559F3"/>
    <w:rsid w:val="00E55B87"/>
    <w:rsid w:val="00E55C09"/>
    <w:rsid w:val="00E55D91"/>
    <w:rsid w:val="00E55E7B"/>
    <w:rsid w:val="00E56319"/>
    <w:rsid w:val="00E5634D"/>
    <w:rsid w:val="00E56425"/>
    <w:rsid w:val="00E564D4"/>
    <w:rsid w:val="00E564EA"/>
    <w:rsid w:val="00E564FB"/>
    <w:rsid w:val="00E56606"/>
    <w:rsid w:val="00E56A58"/>
    <w:rsid w:val="00E56A87"/>
    <w:rsid w:val="00E56C42"/>
    <w:rsid w:val="00E56F6B"/>
    <w:rsid w:val="00E56FE0"/>
    <w:rsid w:val="00E570B1"/>
    <w:rsid w:val="00E570BA"/>
    <w:rsid w:val="00E577FE"/>
    <w:rsid w:val="00E5786A"/>
    <w:rsid w:val="00E578AB"/>
    <w:rsid w:val="00E57B2F"/>
    <w:rsid w:val="00E57BEC"/>
    <w:rsid w:val="00E57C27"/>
    <w:rsid w:val="00E57D16"/>
    <w:rsid w:val="00E57DD7"/>
    <w:rsid w:val="00E57F83"/>
    <w:rsid w:val="00E60068"/>
    <w:rsid w:val="00E60159"/>
    <w:rsid w:val="00E60187"/>
    <w:rsid w:val="00E6030C"/>
    <w:rsid w:val="00E604EC"/>
    <w:rsid w:val="00E609AD"/>
    <w:rsid w:val="00E60F53"/>
    <w:rsid w:val="00E60F76"/>
    <w:rsid w:val="00E60FF8"/>
    <w:rsid w:val="00E61059"/>
    <w:rsid w:val="00E6111F"/>
    <w:rsid w:val="00E6127E"/>
    <w:rsid w:val="00E6169F"/>
    <w:rsid w:val="00E616E5"/>
    <w:rsid w:val="00E61820"/>
    <w:rsid w:val="00E6183A"/>
    <w:rsid w:val="00E618CC"/>
    <w:rsid w:val="00E619F4"/>
    <w:rsid w:val="00E61C4C"/>
    <w:rsid w:val="00E61CCA"/>
    <w:rsid w:val="00E61D4F"/>
    <w:rsid w:val="00E61E04"/>
    <w:rsid w:val="00E61E0A"/>
    <w:rsid w:val="00E61EAB"/>
    <w:rsid w:val="00E62034"/>
    <w:rsid w:val="00E62104"/>
    <w:rsid w:val="00E62156"/>
    <w:rsid w:val="00E62222"/>
    <w:rsid w:val="00E62277"/>
    <w:rsid w:val="00E62385"/>
    <w:rsid w:val="00E6245C"/>
    <w:rsid w:val="00E62995"/>
    <w:rsid w:val="00E62C02"/>
    <w:rsid w:val="00E62CE0"/>
    <w:rsid w:val="00E62D85"/>
    <w:rsid w:val="00E62E0D"/>
    <w:rsid w:val="00E63004"/>
    <w:rsid w:val="00E63142"/>
    <w:rsid w:val="00E6334A"/>
    <w:rsid w:val="00E63B32"/>
    <w:rsid w:val="00E63B6E"/>
    <w:rsid w:val="00E63BA2"/>
    <w:rsid w:val="00E63EAC"/>
    <w:rsid w:val="00E64126"/>
    <w:rsid w:val="00E64237"/>
    <w:rsid w:val="00E64383"/>
    <w:rsid w:val="00E643C8"/>
    <w:rsid w:val="00E6442C"/>
    <w:rsid w:val="00E6451D"/>
    <w:rsid w:val="00E6471F"/>
    <w:rsid w:val="00E6472C"/>
    <w:rsid w:val="00E64996"/>
    <w:rsid w:val="00E64B09"/>
    <w:rsid w:val="00E64B12"/>
    <w:rsid w:val="00E64BA3"/>
    <w:rsid w:val="00E64F41"/>
    <w:rsid w:val="00E6501A"/>
    <w:rsid w:val="00E65382"/>
    <w:rsid w:val="00E653C9"/>
    <w:rsid w:val="00E65574"/>
    <w:rsid w:val="00E65A6B"/>
    <w:rsid w:val="00E65ADF"/>
    <w:rsid w:val="00E65C59"/>
    <w:rsid w:val="00E65CAA"/>
    <w:rsid w:val="00E65CE2"/>
    <w:rsid w:val="00E65D0A"/>
    <w:rsid w:val="00E65E32"/>
    <w:rsid w:val="00E66264"/>
    <w:rsid w:val="00E66509"/>
    <w:rsid w:val="00E666CB"/>
    <w:rsid w:val="00E667C8"/>
    <w:rsid w:val="00E66918"/>
    <w:rsid w:val="00E66A4F"/>
    <w:rsid w:val="00E66AE9"/>
    <w:rsid w:val="00E66CD1"/>
    <w:rsid w:val="00E67300"/>
    <w:rsid w:val="00E67371"/>
    <w:rsid w:val="00E673F9"/>
    <w:rsid w:val="00E674B9"/>
    <w:rsid w:val="00E674C8"/>
    <w:rsid w:val="00E67545"/>
    <w:rsid w:val="00E6765F"/>
    <w:rsid w:val="00E676F1"/>
    <w:rsid w:val="00E67925"/>
    <w:rsid w:val="00E67A76"/>
    <w:rsid w:val="00E67B6E"/>
    <w:rsid w:val="00E67C51"/>
    <w:rsid w:val="00E67D65"/>
    <w:rsid w:val="00E700B4"/>
    <w:rsid w:val="00E702E2"/>
    <w:rsid w:val="00E70328"/>
    <w:rsid w:val="00E70504"/>
    <w:rsid w:val="00E706A3"/>
    <w:rsid w:val="00E70BBA"/>
    <w:rsid w:val="00E7108E"/>
    <w:rsid w:val="00E7115A"/>
    <w:rsid w:val="00E7127A"/>
    <w:rsid w:val="00E713FB"/>
    <w:rsid w:val="00E7151E"/>
    <w:rsid w:val="00E71581"/>
    <w:rsid w:val="00E71899"/>
    <w:rsid w:val="00E71C43"/>
    <w:rsid w:val="00E71D20"/>
    <w:rsid w:val="00E71DE4"/>
    <w:rsid w:val="00E71F9B"/>
    <w:rsid w:val="00E722D2"/>
    <w:rsid w:val="00E72362"/>
    <w:rsid w:val="00E724BE"/>
    <w:rsid w:val="00E72509"/>
    <w:rsid w:val="00E72658"/>
    <w:rsid w:val="00E726A7"/>
    <w:rsid w:val="00E72868"/>
    <w:rsid w:val="00E72936"/>
    <w:rsid w:val="00E72952"/>
    <w:rsid w:val="00E7296D"/>
    <w:rsid w:val="00E72A44"/>
    <w:rsid w:val="00E72B15"/>
    <w:rsid w:val="00E72B3C"/>
    <w:rsid w:val="00E72BD7"/>
    <w:rsid w:val="00E73123"/>
    <w:rsid w:val="00E73435"/>
    <w:rsid w:val="00E734F4"/>
    <w:rsid w:val="00E7370E"/>
    <w:rsid w:val="00E73789"/>
    <w:rsid w:val="00E7382A"/>
    <w:rsid w:val="00E73BA2"/>
    <w:rsid w:val="00E73C29"/>
    <w:rsid w:val="00E73DC5"/>
    <w:rsid w:val="00E73E3D"/>
    <w:rsid w:val="00E73E49"/>
    <w:rsid w:val="00E73E72"/>
    <w:rsid w:val="00E73F17"/>
    <w:rsid w:val="00E74018"/>
    <w:rsid w:val="00E7408C"/>
    <w:rsid w:val="00E742F3"/>
    <w:rsid w:val="00E74314"/>
    <w:rsid w:val="00E744EF"/>
    <w:rsid w:val="00E745E3"/>
    <w:rsid w:val="00E747B4"/>
    <w:rsid w:val="00E748E9"/>
    <w:rsid w:val="00E74BFB"/>
    <w:rsid w:val="00E74C81"/>
    <w:rsid w:val="00E74E4A"/>
    <w:rsid w:val="00E74F23"/>
    <w:rsid w:val="00E74F8B"/>
    <w:rsid w:val="00E74FB2"/>
    <w:rsid w:val="00E75375"/>
    <w:rsid w:val="00E756E5"/>
    <w:rsid w:val="00E757E1"/>
    <w:rsid w:val="00E7580F"/>
    <w:rsid w:val="00E75873"/>
    <w:rsid w:val="00E75E3D"/>
    <w:rsid w:val="00E75F67"/>
    <w:rsid w:val="00E75F74"/>
    <w:rsid w:val="00E76039"/>
    <w:rsid w:val="00E76197"/>
    <w:rsid w:val="00E7622D"/>
    <w:rsid w:val="00E76233"/>
    <w:rsid w:val="00E76276"/>
    <w:rsid w:val="00E7631A"/>
    <w:rsid w:val="00E76603"/>
    <w:rsid w:val="00E766FE"/>
    <w:rsid w:val="00E76A46"/>
    <w:rsid w:val="00E76BF0"/>
    <w:rsid w:val="00E76FFD"/>
    <w:rsid w:val="00E77042"/>
    <w:rsid w:val="00E770DA"/>
    <w:rsid w:val="00E770E2"/>
    <w:rsid w:val="00E772A4"/>
    <w:rsid w:val="00E77393"/>
    <w:rsid w:val="00E77468"/>
    <w:rsid w:val="00E778D3"/>
    <w:rsid w:val="00E77957"/>
    <w:rsid w:val="00E77A0A"/>
    <w:rsid w:val="00E77A1B"/>
    <w:rsid w:val="00E77CC8"/>
    <w:rsid w:val="00E80053"/>
    <w:rsid w:val="00E80376"/>
    <w:rsid w:val="00E804B9"/>
    <w:rsid w:val="00E804C5"/>
    <w:rsid w:val="00E80594"/>
    <w:rsid w:val="00E805A1"/>
    <w:rsid w:val="00E80613"/>
    <w:rsid w:val="00E80938"/>
    <w:rsid w:val="00E80C22"/>
    <w:rsid w:val="00E80D85"/>
    <w:rsid w:val="00E80FF5"/>
    <w:rsid w:val="00E81146"/>
    <w:rsid w:val="00E812E4"/>
    <w:rsid w:val="00E81468"/>
    <w:rsid w:val="00E815E7"/>
    <w:rsid w:val="00E816D0"/>
    <w:rsid w:val="00E81BE9"/>
    <w:rsid w:val="00E81C59"/>
    <w:rsid w:val="00E81D2A"/>
    <w:rsid w:val="00E81DD4"/>
    <w:rsid w:val="00E81ECD"/>
    <w:rsid w:val="00E81EE7"/>
    <w:rsid w:val="00E81F2F"/>
    <w:rsid w:val="00E8213E"/>
    <w:rsid w:val="00E8230A"/>
    <w:rsid w:val="00E82456"/>
    <w:rsid w:val="00E827E7"/>
    <w:rsid w:val="00E82CD9"/>
    <w:rsid w:val="00E82D5F"/>
    <w:rsid w:val="00E82EED"/>
    <w:rsid w:val="00E83189"/>
    <w:rsid w:val="00E83607"/>
    <w:rsid w:val="00E83797"/>
    <w:rsid w:val="00E83B94"/>
    <w:rsid w:val="00E83C21"/>
    <w:rsid w:val="00E83C78"/>
    <w:rsid w:val="00E83E37"/>
    <w:rsid w:val="00E83F68"/>
    <w:rsid w:val="00E83FEF"/>
    <w:rsid w:val="00E8417A"/>
    <w:rsid w:val="00E842B8"/>
    <w:rsid w:val="00E8434B"/>
    <w:rsid w:val="00E84536"/>
    <w:rsid w:val="00E84623"/>
    <w:rsid w:val="00E8467D"/>
    <w:rsid w:val="00E848E8"/>
    <w:rsid w:val="00E849A5"/>
    <w:rsid w:val="00E849D3"/>
    <w:rsid w:val="00E84B55"/>
    <w:rsid w:val="00E8505B"/>
    <w:rsid w:val="00E853B5"/>
    <w:rsid w:val="00E85525"/>
    <w:rsid w:val="00E85639"/>
    <w:rsid w:val="00E856B4"/>
    <w:rsid w:val="00E856EB"/>
    <w:rsid w:val="00E85B17"/>
    <w:rsid w:val="00E85C03"/>
    <w:rsid w:val="00E85DEA"/>
    <w:rsid w:val="00E85DFA"/>
    <w:rsid w:val="00E863CE"/>
    <w:rsid w:val="00E86492"/>
    <w:rsid w:val="00E866F8"/>
    <w:rsid w:val="00E86A03"/>
    <w:rsid w:val="00E86B2A"/>
    <w:rsid w:val="00E86BA0"/>
    <w:rsid w:val="00E86E37"/>
    <w:rsid w:val="00E86F90"/>
    <w:rsid w:val="00E870A8"/>
    <w:rsid w:val="00E87129"/>
    <w:rsid w:val="00E8712E"/>
    <w:rsid w:val="00E874F0"/>
    <w:rsid w:val="00E87704"/>
    <w:rsid w:val="00E87959"/>
    <w:rsid w:val="00E87A2A"/>
    <w:rsid w:val="00E87AC6"/>
    <w:rsid w:val="00E87C19"/>
    <w:rsid w:val="00E90007"/>
    <w:rsid w:val="00E9015B"/>
    <w:rsid w:val="00E903DE"/>
    <w:rsid w:val="00E90466"/>
    <w:rsid w:val="00E9096E"/>
    <w:rsid w:val="00E90A1C"/>
    <w:rsid w:val="00E90AA5"/>
    <w:rsid w:val="00E90B27"/>
    <w:rsid w:val="00E90DEF"/>
    <w:rsid w:val="00E90E26"/>
    <w:rsid w:val="00E9124D"/>
    <w:rsid w:val="00E91292"/>
    <w:rsid w:val="00E91416"/>
    <w:rsid w:val="00E915A3"/>
    <w:rsid w:val="00E91651"/>
    <w:rsid w:val="00E9172F"/>
    <w:rsid w:val="00E91896"/>
    <w:rsid w:val="00E918C0"/>
    <w:rsid w:val="00E91933"/>
    <w:rsid w:val="00E91980"/>
    <w:rsid w:val="00E91B18"/>
    <w:rsid w:val="00E91EB3"/>
    <w:rsid w:val="00E91EFF"/>
    <w:rsid w:val="00E91F02"/>
    <w:rsid w:val="00E91FFD"/>
    <w:rsid w:val="00E92366"/>
    <w:rsid w:val="00E9259A"/>
    <w:rsid w:val="00E92612"/>
    <w:rsid w:val="00E926BF"/>
    <w:rsid w:val="00E92799"/>
    <w:rsid w:val="00E927FF"/>
    <w:rsid w:val="00E92B09"/>
    <w:rsid w:val="00E92B6B"/>
    <w:rsid w:val="00E92CD7"/>
    <w:rsid w:val="00E92D26"/>
    <w:rsid w:val="00E93341"/>
    <w:rsid w:val="00E9338D"/>
    <w:rsid w:val="00E9339F"/>
    <w:rsid w:val="00E933F6"/>
    <w:rsid w:val="00E93459"/>
    <w:rsid w:val="00E934CE"/>
    <w:rsid w:val="00E935B6"/>
    <w:rsid w:val="00E93A15"/>
    <w:rsid w:val="00E93A44"/>
    <w:rsid w:val="00E93B3D"/>
    <w:rsid w:val="00E93E58"/>
    <w:rsid w:val="00E94097"/>
    <w:rsid w:val="00E945EB"/>
    <w:rsid w:val="00E94748"/>
    <w:rsid w:val="00E94B3E"/>
    <w:rsid w:val="00E94B8B"/>
    <w:rsid w:val="00E94D18"/>
    <w:rsid w:val="00E94E12"/>
    <w:rsid w:val="00E95000"/>
    <w:rsid w:val="00E9529A"/>
    <w:rsid w:val="00E952AB"/>
    <w:rsid w:val="00E95963"/>
    <w:rsid w:val="00E95AA2"/>
    <w:rsid w:val="00E95AD1"/>
    <w:rsid w:val="00E95FBF"/>
    <w:rsid w:val="00E95FEC"/>
    <w:rsid w:val="00E960E6"/>
    <w:rsid w:val="00E96198"/>
    <w:rsid w:val="00E96263"/>
    <w:rsid w:val="00E963C7"/>
    <w:rsid w:val="00E96AB7"/>
    <w:rsid w:val="00E97245"/>
    <w:rsid w:val="00E974A9"/>
    <w:rsid w:val="00E9753A"/>
    <w:rsid w:val="00E97647"/>
    <w:rsid w:val="00E9768B"/>
    <w:rsid w:val="00E97887"/>
    <w:rsid w:val="00E978BF"/>
    <w:rsid w:val="00E97901"/>
    <w:rsid w:val="00E97DAA"/>
    <w:rsid w:val="00E97F9C"/>
    <w:rsid w:val="00EA019B"/>
    <w:rsid w:val="00EA034F"/>
    <w:rsid w:val="00EA042A"/>
    <w:rsid w:val="00EA0627"/>
    <w:rsid w:val="00EA0688"/>
    <w:rsid w:val="00EA0697"/>
    <w:rsid w:val="00EA07B0"/>
    <w:rsid w:val="00EA0C74"/>
    <w:rsid w:val="00EA14BA"/>
    <w:rsid w:val="00EA165A"/>
    <w:rsid w:val="00EA16BC"/>
    <w:rsid w:val="00EA18B0"/>
    <w:rsid w:val="00EA19A0"/>
    <w:rsid w:val="00EA1F4A"/>
    <w:rsid w:val="00EA2088"/>
    <w:rsid w:val="00EA24B6"/>
    <w:rsid w:val="00EA28B3"/>
    <w:rsid w:val="00EA2992"/>
    <w:rsid w:val="00EA29E0"/>
    <w:rsid w:val="00EA2A4C"/>
    <w:rsid w:val="00EA2CA5"/>
    <w:rsid w:val="00EA2D11"/>
    <w:rsid w:val="00EA2D9A"/>
    <w:rsid w:val="00EA3000"/>
    <w:rsid w:val="00EA3050"/>
    <w:rsid w:val="00EA3156"/>
    <w:rsid w:val="00EA3261"/>
    <w:rsid w:val="00EA35FE"/>
    <w:rsid w:val="00EA3666"/>
    <w:rsid w:val="00EA36FC"/>
    <w:rsid w:val="00EA37A3"/>
    <w:rsid w:val="00EA37FC"/>
    <w:rsid w:val="00EA3857"/>
    <w:rsid w:val="00EA3C92"/>
    <w:rsid w:val="00EA3E88"/>
    <w:rsid w:val="00EA4434"/>
    <w:rsid w:val="00EA4466"/>
    <w:rsid w:val="00EA4735"/>
    <w:rsid w:val="00EA473D"/>
    <w:rsid w:val="00EA474E"/>
    <w:rsid w:val="00EA48ED"/>
    <w:rsid w:val="00EA493A"/>
    <w:rsid w:val="00EA4A19"/>
    <w:rsid w:val="00EA4F49"/>
    <w:rsid w:val="00EA52BD"/>
    <w:rsid w:val="00EA52C2"/>
    <w:rsid w:val="00EA5303"/>
    <w:rsid w:val="00EA534E"/>
    <w:rsid w:val="00EA53CF"/>
    <w:rsid w:val="00EA5846"/>
    <w:rsid w:val="00EA5A78"/>
    <w:rsid w:val="00EA5B99"/>
    <w:rsid w:val="00EA5D0F"/>
    <w:rsid w:val="00EA5D73"/>
    <w:rsid w:val="00EA60A5"/>
    <w:rsid w:val="00EA62B5"/>
    <w:rsid w:val="00EA64F4"/>
    <w:rsid w:val="00EA654F"/>
    <w:rsid w:val="00EA65DF"/>
    <w:rsid w:val="00EA6644"/>
    <w:rsid w:val="00EA670A"/>
    <w:rsid w:val="00EA672B"/>
    <w:rsid w:val="00EA67F7"/>
    <w:rsid w:val="00EA682F"/>
    <w:rsid w:val="00EA6844"/>
    <w:rsid w:val="00EA69F8"/>
    <w:rsid w:val="00EA6AAD"/>
    <w:rsid w:val="00EA6D5A"/>
    <w:rsid w:val="00EA6E66"/>
    <w:rsid w:val="00EA6E9A"/>
    <w:rsid w:val="00EA6FAD"/>
    <w:rsid w:val="00EA6FFF"/>
    <w:rsid w:val="00EA7153"/>
    <w:rsid w:val="00EA71B9"/>
    <w:rsid w:val="00EA7301"/>
    <w:rsid w:val="00EA77BE"/>
    <w:rsid w:val="00EA792E"/>
    <w:rsid w:val="00EA7A98"/>
    <w:rsid w:val="00EA7A99"/>
    <w:rsid w:val="00EA7BE7"/>
    <w:rsid w:val="00EA7C03"/>
    <w:rsid w:val="00EA7C3C"/>
    <w:rsid w:val="00EA7C47"/>
    <w:rsid w:val="00EA7C9B"/>
    <w:rsid w:val="00EB0017"/>
    <w:rsid w:val="00EB016F"/>
    <w:rsid w:val="00EB0200"/>
    <w:rsid w:val="00EB02ED"/>
    <w:rsid w:val="00EB0401"/>
    <w:rsid w:val="00EB0536"/>
    <w:rsid w:val="00EB057A"/>
    <w:rsid w:val="00EB073C"/>
    <w:rsid w:val="00EB0829"/>
    <w:rsid w:val="00EB0A7D"/>
    <w:rsid w:val="00EB0A96"/>
    <w:rsid w:val="00EB0C6F"/>
    <w:rsid w:val="00EB11F3"/>
    <w:rsid w:val="00EB124E"/>
    <w:rsid w:val="00EB1384"/>
    <w:rsid w:val="00EB1451"/>
    <w:rsid w:val="00EB14A7"/>
    <w:rsid w:val="00EB17DA"/>
    <w:rsid w:val="00EB1E27"/>
    <w:rsid w:val="00EB22A9"/>
    <w:rsid w:val="00EB236B"/>
    <w:rsid w:val="00EB25A4"/>
    <w:rsid w:val="00EB26A3"/>
    <w:rsid w:val="00EB27A6"/>
    <w:rsid w:val="00EB2996"/>
    <w:rsid w:val="00EB2C09"/>
    <w:rsid w:val="00EB2D12"/>
    <w:rsid w:val="00EB30DA"/>
    <w:rsid w:val="00EB310D"/>
    <w:rsid w:val="00EB31C1"/>
    <w:rsid w:val="00EB3242"/>
    <w:rsid w:val="00EB33C8"/>
    <w:rsid w:val="00EB3401"/>
    <w:rsid w:val="00EB3534"/>
    <w:rsid w:val="00EB3589"/>
    <w:rsid w:val="00EB374F"/>
    <w:rsid w:val="00EB3F20"/>
    <w:rsid w:val="00EB41B6"/>
    <w:rsid w:val="00EB41F9"/>
    <w:rsid w:val="00EB46DF"/>
    <w:rsid w:val="00EB4865"/>
    <w:rsid w:val="00EB4A23"/>
    <w:rsid w:val="00EB4F39"/>
    <w:rsid w:val="00EB536E"/>
    <w:rsid w:val="00EB5410"/>
    <w:rsid w:val="00EB58A5"/>
    <w:rsid w:val="00EB63B6"/>
    <w:rsid w:val="00EB687B"/>
    <w:rsid w:val="00EB6A6E"/>
    <w:rsid w:val="00EB6B6A"/>
    <w:rsid w:val="00EB6C8F"/>
    <w:rsid w:val="00EB6F93"/>
    <w:rsid w:val="00EB7001"/>
    <w:rsid w:val="00EB769C"/>
    <w:rsid w:val="00EB76EB"/>
    <w:rsid w:val="00EB7825"/>
    <w:rsid w:val="00EB7971"/>
    <w:rsid w:val="00EB7B0B"/>
    <w:rsid w:val="00EC0245"/>
    <w:rsid w:val="00EC034C"/>
    <w:rsid w:val="00EC044C"/>
    <w:rsid w:val="00EC0454"/>
    <w:rsid w:val="00EC048E"/>
    <w:rsid w:val="00EC0598"/>
    <w:rsid w:val="00EC060B"/>
    <w:rsid w:val="00EC068A"/>
    <w:rsid w:val="00EC0A27"/>
    <w:rsid w:val="00EC0A2B"/>
    <w:rsid w:val="00EC0B9E"/>
    <w:rsid w:val="00EC0BC4"/>
    <w:rsid w:val="00EC0D8E"/>
    <w:rsid w:val="00EC1241"/>
    <w:rsid w:val="00EC15A2"/>
    <w:rsid w:val="00EC16AE"/>
    <w:rsid w:val="00EC1803"/>
    <w:rsid w:val="00EC18F3"/>
    <w:rsid w:val="00EC1B2E"/>
    <w:rsid w:val="00EC1B65"/>
    <w:rsid w:val="00EC1ED2"/>
    <w:rsid w:val="00EC223A"/>
    <w:rsid w:val="00EC24D1"/>
    <w:rsid w:val="00EC26D8"/>
    <w:rsid w:val="00EC277D"/>
    <w:rsid w:val="00EC2960"/>
    <w:rsid w:val="00EC2972"/>
    <w:rsid w:val="00EC29E1"/>
    <w:rsid w:val="00EC2DC1"/>
    <w:rsid w:val="00EC2E36"/>
    <w:rsid w:val="00EC2E3B"/>
    <w:rsid w:val="00EC2FC9"/>
    <w:rsid w:val="00EC32A7"/>
    <w:rsid w:val="00EC338E"/>
    <w:rsid w:val="00EC38FC"/>
    <w:rsid w:val="00EC3958"/>
    <w:rsid w:val="00EC3C20"/>
    <w:rsid w:val="00EC3C39"/>
    <w:rsid w:val="00EC3C5C"/>
    <w:rsid w:val="00EC3C7E"/>
    <w:rsid w:val="00EC3D69"/>
    <w:rsid w:val="00EC3D9A"/>
    <w:rsid w:val="00EC3ECD"/>
    <w:rsid w:val="00EC3F40"/>
    <w:rsid w:val="00EC4072"/>
    <w:rsid w:val="00EC43F1"/>
    <w:rsid w:val="00EC455C"/>
    <w:rsid w:val="00EC4721"/>
    <w:rsid w:val="00EC488A"/>
    <w:rsid w:val="00EC4917"/>
    <w:rsid w:val="00EC4A71"/>
    <w:rsid w:val="00EC4ED7"/>
    <w:rsid w:val="00EC4FA8"/>
    <w:rsid w:val="00EC4FD3"/>
    <w:rsid w:val="00EC501B"/>
    <w:rsid w:val="00EC517E"/>
    <w:rsid w:val="00EC53D9"/>
    <w:rsid w:val="00EC546C"/>
    <w:rsid w:val="00EC557D"/>
    <w:rsid w:val="00EC5695"/>
    <w:rsid w:val="00EC5CB6"/>
    <w:rsid w:val="00EC5CFB"/>
    <w:rsid w:val="00EC5D6E"/>
    <w:rsid w:val="00EC5F22"/>
    <w:rsid w:val="00EC5F66"/>
    <w:rsid w:val="00EC613A"/>
    <w:rsid w:val="00EC61F0"/>
    <w:rsid w:val="00EC6853"/>
    <w:rsid w:val="00EC68A3"/>
    <w:rsid w:val="00EC68AD"/>
    <w:rsid w:val="00EC6936"/>
    <w:rsid w:val="00EC6C98"/>
    <w:rsid w:val="00EC6CDE"/>
    <w:rsid w:val="00EC6FD6"/>
    <w:rsid w:val="00EC70DC"/>
    <w:rsid w:val="00EC71BF"/>
    <w:rsid w:val="00EC7367"/>
    <w:rsid w:val="00EC73AF"/>
    <w:rsid w:val="00EC775A"/>
    <w:rsid w:val="00EC7A70"/>
    <w:rsid w:val="00EC7A87"/>
    <w:rsid w:val="00EC7A9A"/>
    <w:rsid w:val="00EC7B07"/>
    <w:rsid w:val="00EC7B2F"/>
    <w:rsid w:val="00EC7C41"/>
    <w:rsid w:val="00EC7D63"/>
    <w:rsid w:val="00EC7EAD"/>
    <w:rsid w:val="00ED00C8"/>
    <w:rsid w:val="00ED060C"/>
    <w:rsid w:val="00ED074A"/>
    <w:rsid w:val="00ED0906"/>
    <w:rsid w:val="00ED09E2"/>
    <w:rsid w:val="00ED0A1B"/>
    <w:rsid w:val="00ED0A53"/>
    <w:rsid w:val="00ED0BF8"/>
    <w:rsid w:val="00ED0C3F"/>
    <w:rsid w:val="00ED0CA9"/>
    <w:rsid w:val="00ED0DEE"/>
    <w:rsid w:val="00ED0E32"/>
    <w:rsid w:val="00ED0EE5"/>
    <w:rsid w:val="00ED0F4C"/>
    <w:rsid w:val="00ED0F59"/>
    <w:rsid w:val="00ED11B3"/>
    <w:rsid w:val="00ED1233"/>
    <w:rsid w:val="00ED1271"/>
    <w:rsid w:val="00ED14AC"/>
    <w:rsid w:val="00ED1503"/>
    <w:rsid w:val="00ED1914"/>
    <w:rsid w:val="00ED1996"/>
    <w:rsid w:val="00ED1ACE"/>
    <w:rsid w:val="00ED1C80"/>
    <w:rsid w:val="00ED1CFC"/>
    <w:rsid w:val="00ED201F"/>
    <w:rsid w:val="00ED21F8"/>
    <w:rsid w:val="00ED23DC"/>
    <w:rsid w:val="00ED27BD"/>
    <w:rsid w:val="00ED291F"/>
    <w:rsid w:val="00ED2B5C"/>
    <w:rsid w:val="00ED2C55"/>
    <w:rsid w:val="00ED2CE8"/>
    <w:rsid w:val="00ED2D26"/>
    <w:rsid w:val="00ED2FB7"/>
    <w:rsid w:val="00ED3243"/>
    <w:rsid w:val="00ED3977"/>
    <w:rsid w:val="00ED3BBD"/>
    <w:rsid w:val="00ED3C91"/>
    <w:rsid w:val="00ED3D6F"/>
    <w:rsid w:val="00ED3F31"/>
    <w:rsid w:val="00ED3FDC"/>
    <w:rsid w:val="00ED40E9"/>
    <w:rsid w:val="00ED41B6"/>
    <w:rsid w:val="00ED45A8"/>
    <w:rsid w:val="00ED481C"/>
    <w:rsid w:val="00ED49DB"/>
    <w:rsid w:val="00ED49F6"/>
    <w:rsid w:val="00ED4B33"/>
    <w:rsid w:val="00ED4C8D"/>
    <w:rsid w:val="00ED4D47"/>
    <w:rsid w:val="00ED4E98"/>
    <w:rsid w:val="00ED4F46"/>
    <w:rsid w:val="00ED4FD4"/>
    <w:rsid w:val="00ED509C"/>
    <w:rsid w:val="00ED50C0"/>
    <w:rsid w:val="00ED50FF"/>
    <w:rsid w:val="00ED5660"/>
    <w:rsid w:val="00ED57B8"/>
    <w:rsid w:val="00ED57D6"/>
    <w:rsid w:val="00ED5881"/>
    <w:rsid w:val="00ED5964"/>
    <w:rsid w:val="00ED59E5"/>
    <w:rsid w:val="00ED5A9E"/>
    <w:rsid w:val="00ED5ABB"/>
    <w:rsid w:val="00ED5DED"/>
    <w:rsid w:val="00ED5F57"/>
    <w:rsid w:val="00ED5FED"/>
    <w:rsid w:val="00ED6DD3"/>
    <w:rsid w:val="00ED6E71"/>
    <w:rsid w:val="00ED6FF5"/>
    <w:rsid w:val="00ED7083"/>
    <w:rsid w:val="00ED7218"/>
    <w:rsid w:val="00ED74F9"/>
    <w:rsid w:val="00ED7540"/>
    <w:rsid w:val="00ED7779"/>
    <w:rsid w:val="00ED78F2"/>
    <w:rsid w:val="00ED7989"/>
    <w:rsid w:val="00ED7AB8"/>
    <w:rsid w:val="00ED7CB9"/>
    <w:rsid w:val="00ED7E4C"/>
    <w:rsid w:val="00ED7F47"/>
    <w:rsid w:val="00EE00A6"/>
    <w:rsid w:val="00EE02BB"/>
    <w:rsid w:val="00EE04A3"/>
    <w:rsid w:val="00EE061E"/>
    <w:rsid w:val="00EE0695"/>
    <w:rsid w:val="00EE0C50"/>
    <w:rsid w:val="00EE0C5D"/>
    <w:rsid w:val="00EE0C95"/>
    <w:rsid w:val="00EE0D4B"/>
    <w:rsid w:val="00EE0EBD"/>
    <w:rsid w:val="00EE0FC4"/>
    <w:rsid w:val="00EE135C"/>
    <w:rsid w:val="00EE19F9"/>
    <w:rsid w:val="00EE1C14"/>
    <w:rsid w:val="00EE1D26"/>
    <w:rsid w:val="00EE1EA0"/>
    <w:rsid w:val="00EE2049"/>
    <w:rsid w:val="00EE2054"/>
    <w:rsid w:val="00EE20EB"/>
    <w:rsid w:val="00EE2109"/>
    <w:rsid w:val="00EE224C"/>
    <w:rsid w:val="00EE2477"/>
    <w:rsid w:val="00EE24E8"/>
    <w:rsid w:val="00EE26B4"/>
    <w:rsid w:val="00EE278D"/>
    <w:rsid w:val="00EE2B33"/>
    <w:rsid w:val="00EE2C00"/>
    <w:rsid w:val="00EE30CC"/>
    <w:rsid w:val="00EE339D"/>
    <w:rsid w:val="00EE33D2"/>
    <w:rsid w:val="00EE34D5"/>
    <w:rsid w:val="00EE3C74"/>
    <w:rsid w:val="00EE3D3C"/>
    <w:rsid w:val="00EE41CA"/>
    <w:rsid w:val="00EE422C"/>
    <w:rsid w:val="00EE43CC"/>
    <w:rsid w:val="00EE4483"/>
    <w:rsid w:val="00EE4622"/>
    <w:rsid w:val="00EE469D"/>
    <w:rsid w:val="00EE475A"/>
    <w:rsid w:val="00EE476E"/>
    <w:rsid w:val="00EE47F5"/>
    <w:rsid w:val="00EE49D1"/>
    <w:rsid w:val="00EE4AE7"/>
    <w:rsid w:val="00EE4B1E"/>
    <w:rsid w:val="00EE4E41"/>
    <w:rsid w:val="00EE4E5E"/>
    <w:rsid w:val="00EE4E85"/>
    <w:rsid w:val="00EE51CE"/>
    <w:rsid w:val="00EE5437"/>
    <w:rsid w:val="00EE54CD"/>
    <w:rsid w:val="00EE5668"/>
    <w:rsid w:val="00EE57FA"/>
    <w:rsid w:val="00EE5AD1"/>
    <w:rsid w:val="00EE5B33"/>
    <w:rsid w:val="00EE5CBA"/>
    <w:rsid w:val="00EE5F93"/>
    <w:rsid w:val="00EE5FDF"/>
    <w:rsid w:val="00EE60AE"/>
    <w:rsid w:val="00EE6155"/>
    <w:rsid w:val="00EE6298"/>
    <w:rsid w:val="00EE64C1"/>
    <w:rsid w:val="00EE6CC5"/>
    <w:rsid w:val="00EE6D99"/>
    <w:rsid w:val="00EE6E31"/>
    <w:rsid w:val="00EE6E33"/>
    <w:rsid w:val="00EE7376"/>
    <w:rsid w:val="00EE73BF"/>
    <w:rsid w:val="00EE7436"/>
    <w:rsid w:val="00EE74B0"/>
    <w:rsid w:val="00EE7935"/>
    <w:rsid w:val="00EE79DE"/>
    <w:rsid w:val="00EE7CA0"/>
    <w:rsid w:val="00EE7CFD"/>
    <w:rsid w:val="00EE7E76"/>
    <w:rsid w:val="00EF04A2"/>
    <w:rsid w:val="00EF064D"/>
    <w:rsid w:val="00EF0A5F"/>
    <w:rsid w:val="00EF0BEC"/>
    <w:rsid w:val="00EF0E1B"/>
    <w:rsid w:val="00EF0E91"/>
    <w:rsid w:val="00EF0F06"/>
    <w:rsid w:val="00EF0F2E"/>
    <w:rsid w:val="00EF12C4"/>
    <w:rsid w:val="00EF1CF4"/>
    <w:rsid w:val="00EF1D64"/>
    <w:rsid w:val="00EF1DC9"/>
    <w:rsid w:val="00EF1E2C"/>
    <w:rsid w:val="00EF1E97"/>
    <w:rsid w:val="00EF1F07"/>
    <w:rsid w:val="00EF1FB7"/>
    <w:rsid w:val="00EF211A"/>
    <w:rsid w:val="00EF22B9"/>
    <w:rsid w:val="00EF2317"/>
    <w:rsid w:val="00EF249E"/>
    <w:rsid w:val="00EF257A"/>
    <w:rsid w:val="00EF2EC7"/>
    <w:rsid w:val="00EF2F15"/>
    <w:rsid w:val="00EF2F76"/>
    <w:rsid w:val="00EF34BD"/>
    <w:rsid w:val="00EF3799"/>
    <w:rsid w:val="00EF38D3"/>
    <w:rsid w:val="00EF39D2"/>
    <w:rsid w:val="00EF3A13"/>
    <w:rsid w:val="00EF3AD2"/>
    <w:rsid w:val="00EF3D0E"/>
    <w:rsid w:val="00EF3D1F"/>
    <w:rsid w:val="00EF3D87"/>
    <w:rsid w:val="00EF3FB6"/>
    <w:rsid w:val="00EF41EC"/>
    <w:rsid w:val="00EF4C0E"/>
    <w:rsid w:val="00EF4D57"/>
    <w:rsid w:val="00EF4DE6"/>
    <w:rsid w:val="00EF5136"/>
    <w:rsid w:val="00EF53C2"/>
    <w:rsid w:val="00EF578B"/>
    <w:rsid w:val="00EF5976"/>
    <w:rsid w:val="00EF59A1"/>
    <w:rsid w:val="00EF5AC1"/>
    <w:rsid w:val="00EF5B93"/>
    <w:rsid w:val="00EF5C56"/>
    <w:rsid w:val="00EF5D24"/>
    <w:rsid w:val="00EF5EE2"/>
    <w:rsid w:val="00EF5FC7"/>
    <w:rsid w:val="00EF60B0"/>
    <w:rsid w:val="00EF61CC"/>
    <w:rsid w:val="00EF6430"/>
    <w:rsid w:val="00EF68FA"/>
    <w:rsid w:val="00EF69DA"/>
    <w:rsid w:val="00EF6B40"/>
    <w:rsid w:val="00EF6DF3"/>
    <w:rsid w:val="00EF73FC"/>
    <w:rsid w:val="00EF7498"/>
    <w:rsid w:val="00EF7503"/>
    <w:rsid w:val="00EF754C"/>
    <w:rsid w:val="00EF76D3"/>
    <w:rsid w:val="00EF78BC"/>
    <w:rsid w:val="00EF7A38"/>
    <w:rsid w:val="00EF7F5D"/>
    <w:rsid w:val="00F00283"/>
    <w:rsid w:val="00F0034D"/>
    <w:rsid w:val="00F005B5"/>
    <w:rsid w:val="00F0089C"/>
    <w:rsid w:val="00F008FB"/>
    <w:rsid w:val="00F009E2"/>
    <w:rsid w:val="00F00AB4"/>
    <w:rsid w:val="00F00B67"/>
    <w:rsid w:val="00F00BC8"/>
    <w:rsid w:val="00F00EE2"/>
    <w:rsid w:val="00F00F59"/>
    <w:rsid w:val="00F01138"/>
    <w:rsid w:val="00F0135B"/>
    <w:rsid w:val="00F0146B"/>
    <w:rsid w:val="00F01540"/>
    <w:rsid w:val="00F015E1"/>
    <w:rsid w:val="00F018BB"/>
    <w:rsid w:val="00F0190D"/>
    <w:rsid w:val="00F01D42"/>
    <w:rsid w:val="00F02BEE"/>
    <w:rsid w:val="00F02CEE"/>
    <w:rsid w:val="00F02CF6"/>
    <w:rsid w:val="00F02E83"/>
    <w:rsid w:val="00F0327C"/>
    <w:rsid w:val="00F0348C"/>
    <w:rsid w:val="00F0350F"/>
    <w:rsid w:val="00F0386D"/>
    <w:rsid w:val="00F0387D"/>
    <w:rsid w:val="00F03944"/>
    <w:rsid w:val="00F039E7"/>
    <w:rsid w:val="00F03BAF"/>
    <w:rsid w:val="00F03DD4"/>
    <w:rsid w:val="00F03EFA"/>
    <w:rsid w:val="00F0433F"/>
    <w:rsid w:val="00F04368"/>
    <w:rsid w:val="00F045FD"/>
    <w:rsid w:val="00F0487B"/>
    <w:rsid w:val="00F04CFE"/>
    <w:rsid w:val="00F04D10"/>
    <w:rsid w:val="00F04F04"/>
    <w:rsid w:val="00F04FD7"/>
    <w:rsid w:val="00F05313"/>
    <w:rsid w:val="00F053FF"/>
    <w:rsid w:val="00F05588"/>
    <w:rsid w:val="00F05604"/>
    <w:rsid w:val="00F05905"/>
    <w:rsid w:val="00F05908"/>
    <w:rsid w:val="00F05AF2"/>
    <w:rsid w:val="00F05B53"/>
    <w:rsid w:val="00F05C55"/>
    <w:rsid w:val="00F05D6D"/>
    <w:rsid w:val="00F05DD1"/>
    <w:rsid w:val="00F06224"/>
    <w:rsid w:val="00F0635E"/>
    <w:rsid w:val="00F06409"/>
    <w:rsid w:val="00F06692"/>
    <w:rsid w:val="00F067DB"/>
    <w:rsid w:val="00F069C9"/>
    <w:rsid w:val="00F06A02"/>
    <w:rsid w:val="00F06D6B"/>
    <w:rsid w:val="00F06D8E"/>
    <w:rsid w:val="00F06E29"/>
    <w:rsid w:val="00F06EDE"/>
    <w:rsid w:val="00F07014"/>
    <w:rsid w:val="00F070AC"/>
    <w:rsid w:val="00F073E3"/>
    <w:rsid w:val="00F07647"/>
    <w:rsid w:val="00F07663"/>
    <w:rsid w:val="00F076FA"/>
    <w:rsid w:val="00F077C3"/>
    <w:rsid w:val="00F07937"/>
    <w:rsid w:val="00F079E7"/>
    <w:rsid w:val="00F07C68"/>
    <w:rsid w:val="00F07E9C"/>
    <w:rsid w:val="00F07FC9"/>
    <w:rsid w:val="00F10572"/>
    <w:rsid w:val="00F109D9"/>
    <w:rsid w:val="00F10A95"/>
    <w:rsid w:val="00F10BC0"/>
    <w:rsid w:val="00F10D1D"/>
    <w:rsid w:val="00F10E05"/>
    <w:rsid w:val="00F1105A"/>
    <w:rsid w:val="00F1157B"/>
    <w:rsid w:val="00F11620"/>
    <w:rsid w:val="00F117B9"/>
    <w:rsid w:val="00F11919"/>
    <w:rsid w:val="00F11A2B"/>
    <w:rsid w:val="00F11A50"/>
    <w:rsid w:val="00F11B78"/>
    <w:rsid w:val="00F11BD5"/>
    <w:rsid w:val="00F11C94"/>
    <w:rsid w:val="00F11EBF"/>
    <w:rsid w:val="00F11FE3"/>
    <w:rsid w:val="00F1201A"/>
    <w:rsid w:val="00F121F1"/>
    <w:rsid w:val="00F1222B"/>
    <w:rsid w:val="00F12259"/>
    <w:rsid w:val="00F126F5"/>
    <w:rsid w:val="00F127B3"/>
    <w:rsid w:val="00F12C0A"/>
    <w:rsid w:val="00F12C6D"/>
    <w:rsid w:val="00F1313E"/>
    <w:rsid w:val="00F135FD"/>
    <w:rsid w:val="00F1381C"/>
    <w:rsid w:val="00F1396E"/>
    <w:rsid w:val="00F13CDD"/>
    <w:rsid w:val="00F13E1E"/>
    <w:rsid w:val="00F14026"/>
    <w:rsid w:val="00F14037"/>
    <w:rsid w:val="00F14159"/>
    <w:rsid w:val="00F1417F"/>
    <w:rsid w:val="00F144FB"/>
    <w:rsid w:val="00F1453A"/>
    <w:rsid w:val="00F145AB"/>
    <w:rsid w:val="00F147AB"/>
    <w:rsid w:val="00F1498E"/>
    <w:rsid w:val="00F14B56"/>
    <w:rsid w:val="00F14BB1"/>
    <w:rsid w:val="00F14CB9"/>
    <w:rsid w:val="00F14D21"/>
    <w:rsid w:val="00F14DB2"/>
    <w:rsid w:val="00F14DFD"/>
    <w:rsid w:val="00F152C9"/>
    <w:rsid w:val="00F15672"/>
    <w:rsid w:val="00F15BF0"/>
    <w:rsid w:val="00F15CEB"/>
    <w:rsid w:val="00F15D06"/>
    <w:rsid w:val="00F16036"/>
    <w:rsid w:val="00F1603B"/>
    <w:rsid w:val="00F160ED"/>
    <w:rsid w:val="00F162EA"/>
    <w:rsid w:val="00F16438"/>
    <w:rsid w:val="00F164C3"/>
    <w:rsid w:val="00F16A67"/>
    <w:rsid w:val="00F16BDB"/>
    <w:rsid w:val="00F16C87"/>
    <w:rsid w:val="00F16DCC"/>
    <w:rsid w:val="00F16E15"/>
    <w:rsid w:val="00F16F47"/>
    <w:rsid w:val="00F16F81"/>
    <w:rsid w:val="00F17067"/>
    <w:rsid w:val="00F17102"/>
    <w:rsid w:val="00F17C42"/>
    <w:rsid w:val="00F20010"/>
    <w:rsid w:val="00F20112"/>
    <w:rsid w:val="00F20174"/>
    <w:rsid w:val="00F20203"/>
    <w:rsid w:val="00F204C8"/>
    <w:rsid w:val="00F20852"/>
    <w:rsid w:val="00F20A70"/>
    <w:rsid w:val="00F20F1E"/>
    <w:rsid w:val="00F20FE4"/>
    <w:rsid w:val="00F211DF"/>
    <w:rsid w:val="00F21254"/>
    <w:rsid w:val="00F212AB"/>
    <w:rsid w:val="00F21684"/>
    <w:rsid w:val="00F21E8F"/>
    <w:rsid w:val="00F21E9D"/>
    <w:rsid w:val="00F22337"/>
    <w:rsid w:val="00F224BF"/>
    <w:rsid w:val="00F229AB"/>
    <w:rsid w:val="00F22AFA"/>
    <w:rsid w:val="00F22B6A"/>
    <w:rsid w:val="00F22C15"/>
    <w:rsid w:val="00F2304F"/>
    <w:rsid w:val="00F231EB"/>
    <w:rsid w:val="00F2342F"/>
    <w:rsid w:val="00F23843"/>
    <w:rsid w:val="00F2388D"/>
    <w:rsid w:val="00F239B2"/>
    <w:rsid w:val="00F23B24"/>
    <w:rsid w:val="00F23BAC"/>
    <w:rsid w:val="00F23BEC"/>
    <w:rsid w:val="00F23D14"/>
    <w:rsid w:val="00F23D79"/>
    <w:rsid w:val="00F23D85"/>
    <w:rsid w:val="00F24057"/>
    <w:rsid w:val="00F24517"/>
    <w:rsid w:val="00F24899"/>
    <w:rsid w:val="00F249C2"/>
    <w:rsid w:val="00F24CC9"/>
    <w:rsid w:val="00F24DDA"/>
    <w:rsid w:val="00F25132"/>
    <w:rsid w:val="00F2536F"/>
    <w:rsid w:val="00F25676"/>
    <w:rsid w:val="00F25712"/>
    <w:rsid w:val="00F26078"/>
    <w:rsid w:val="00F260D9"/>
    <w:rsid w:val="00F262E3"/>
    <w:rsid w:val="00F264E7"/>
    <w:rsid w:val="00F26596"/>
    <w:rsid w:val="00F26633"/>
    <w:rsid w:val="00F26666"/>
    <w:rsid w:val="00F266E1"/>
    <w:rsid w:val="00F267FD"/>
    <w:rsid w:val="00F269D7"/>
    <w:rsid w:val="00F26B23"/>
    <w:rsid w:val="00F26E59"/>
    <w:rsid w:val="00F27054"/>
    <w:rsid w:val="00F270A7"/>
    <w:rsid w:val="00F27429"/>
    <w:rsid w:val="00F27509"/>
    <w:rsid w:val="00F2779B"/>
    <w:rsid w:val="00F27952"/>
    <w:rsid w:val="00F27B22"/>
    <w:rsid w:val="00F27F0B"/>
    <w:rsid w:val="00F301FB"/>
    <w:rsid w:val="00F30343"/>
    <w:rsid w:val="00F30840"/>
    <w:rsid w:val="00F3085B"/>
    <w:rsid w:val="00F30882"/>
    <w:rsid w:val="00F30951"/>
    <w:rsid w:val="00F30AAD"/>
    <w:rsid w:val="00F30B27"/>
    <w:rsid w:val="00F30B2D"/>
    <w:rsid w:val="00F30B50"/>
    <w:rsid w:val="00F30BE7"/>
    <w:rsid w:val="00F30D83"/>
    <w:rsid w:val="00F30DD1"/>
    <w:rsid w:val="00F30EC0"/>
    <w:rsid w:val="00F311D0"/>
    <w:rsid w:val="00F3126E"/>
    <w:rsid w:val="00F313D5"/>
    <w:rsid w:val="00F314BB"/>
    <w:rsid w:val="00F315C9"/>
    <w:rsid w:val="00F319CF"/>
    <w:rsid w:val="00F31B08"/>
    <w:rsid w:val="00F31B2F"/>
    <w:rsid w:val="00F31B46"/>
    <w:rsid w:val="00F31B6A"/>
    <w:rsid w:val="00F31BD2"/>
    <w:rsid w:val="00F31ECE"/>
    <w:rsid w:val="00F31F4F"/>
    <w:rsid w:val="00F321D9"/>
    <w:rsid w:val="00F32968"/>
    <w:rsid w:val="00F32AAE"/>
    <w:rsid w:val="00F32FBA"/>
    <w:rsid w:val="00F33128"/>
    <w:rsid w:val="00F3313D"/>
    <w:rsid w:val="00F33314"/>
    <w:rsid w:val="00F33384"/>
    <w:rsid w:val="00F33388"/>
    <w:rsid w:val="00F33654"/>
    <w:rsid w:val="00F33A4E"/>
    <w:rsid w:val="00F33BCB"/>
    <w:rsid w:val="00F33E21"/>
    <w:rsid w:val="00F33FC9"/>
    <w:rsid w:val="00F34048"/>
    <w:rsid w:val="00F342B9"/>
    <w:rsid w:val="00F3435C"/>
    <w:rsid w:val="00F347E5"/>
    <w:rsid w:val="00F348BA"/>
    <w:rsid w:val="00F348D2"/>
    <w:rsid w:val="00F34BEF"/>
    <w:rsid w:val="00F34CD8"/>
    <w:rsid w:val="00F34CF8"/>
    <w:rsid w:val="00F3505E"/>
    <w:rsid w:val="00F3536F"/>
    <w:rsid w:val="00F35581"/>
    <w:rsid w:val="00F35A7D"/>
    <w:rsid w:val="00F35B07"/>
    <w:rsid w:val="00F35C17"/>
    <w:rsid w:val="00F35C2C"/>
    <w:rsid w:val="00F35D80"/>
    <w:rsid w:val="00F35DBD"/>
    <w:rsid w:val="00F35E15"/>
    <w:rsid w:val="00F35E44"/>
    <w:rsid w:val="00F36832"/>
    <w:rsid w:val="00F369A6"/>
    <w:rsid w:val="00F36D09"/>
    <w:rsid w:val="00F36DBD"/>
    <w:rsid w:val="00F36F30"/>
    <w:rsid w:val="00F378B8"/>
    <w:rsid w:val="00F37C55"/>
    <w:rsid w:val="00F37C75"/>
    <w:rsid w:val="00F37EE3"/>
    <w:rsid w:val="00F4020A"/>
    <w:rsid w:val="00F40298"/>
    <w:rsid w:val="00F4033A"/>
    <w:rsid w:val="00F403C2"/>
    <w:rsid w:val="00F4064A"/>
    <w:rsid w:val="00F40A81"/>
    <w:rsid w:val="00F40A82"/>
    <w:rsid w:val="00F40D7B"/>
    <w:rsid w:val="00F412A7"/>
    <w:rsid w:val="00F41544"/>
    <w:rsid w:val="00F415D8"/>
    <w:rsid w:val="00F41689"/>
    <w:rsid w:val="00F419C6"/>
    <w:rsid w:val="00F419C8"/>
    <w:rsid w:val="00F421DC"/>
    <w:rsid w:val="00F4239B"/>
    <w:rsid w:val="00F423CB"/>
    <w:rsid w:val="00F4265F"/>
    <w:rsid w:val="00F426A4"/>
    <w:rsid w:val="00F42727"/>
    <w:rsid w:val="00F42755"/>
    <w:rsid w:val="00F428DB"/>
    <w:rsid w:val="00F428F4"/>
    <w:rsid w:val="00F4298E"/>
    <w:rsid w:val="00F42B5E"/>
    <w:rsid w:val="00F42C5C"/>
    <w:rsid w:val="00F42E7F"/>
    <w:rsid w:val="00F42F58"/>
    <w:rsid w:val="00F430A0"/>
    <w:rsid w:val="00F43108"/>
    <w:rsid w:val="00F4323E"/>
    <w:rsid w:val="00F432A9"/>
    <w:rsid w:val="00F4335D"/>
    <w:rsid w:val="00F43C13"/>
    <w:rsid w:val="00F43D3A"/>
    <w:rsid w:val="00F43FF4"/>
    <w:rsid w:val="00F4410A"/>
    <w:rsid w:val="00F44110"/>
    <w:rsid w:val="00F44641"/>
    <w:rsid w:val="00F44802"/>
    <w:rsid w:val="00F44940"/>
    <w:rsid w:val="00F44945"/>
    <w:rsid w:val="00F449AA"/>
    <w:rsid w:val="00F449CB"/>
    <w:rsid w:val="00F44AAF"/>
    <w:rsid w:val="00F44AED"/>
    <w:rsid w:val="00F44C5A"/>
    <w:rsid w:val="00F44CB9"/>
    <w:rsid w:val="00F44DFA"/>
    <w:rsid w:val="00F4500B"/>
    <w:rsid w:val="00F452C9"/>
    <w:rsid w:val="00F454F2"/>
    <w:rsid w:val="00F4570A"/>
    <w:rsid w:val="00F45B78"/>
    <w:rsid w:val="00F45C2E"/>
    <w:rsid w:val="00F45C70"/>
    <w:rsid w:val="00F45CB6"/>
    <w:rsid w:val="00F46322"/>
    <w:rsid w:val="00F46398"/>
    <w:rsid w:val="00F464E2"/>
    <w:rsid w:val="00F4653A"/>
    <w:rsid w:val="00F46647"/>
    <w:rsid w:val="00F46690"/>
    <w:rsid w:val="00F46847"/>
    <w:rsid w:val="00F468A7"/>
    <w:rsid w:val="00F46AA8"/>
    <w:rsid w:val="00F46C91"/>
    <w:rsid w:val="00F46CC4"/>
    <w:rsid w:val="00F46FA3"/>
    <w:rsid w:val="00F47117"/>
    <w:rsid w:val="00F474A7"/>
    <w:rsid w:val="00F474E8"/>
    <w:rsid w:val="00F4761E"/>
    <w:rsid w:val="00F47627"/>
    <w:rsid w:val="00F478A4"/>
    <w:rsid w:val="00F47A78"/>
    <w:rsid w:val="00F47AA7"/>
    <w:rsid w:val="00F47B0E"/>
    <w:rsid w:val="00F47BD8"/>
    <w:rsid w:val="00F47C9F"/>
    <w:rsid w:val="00F47D0B"/>
    <w:rsid w:val="00F47DF5"/>
    <w:rsid w:val="00F47F13"/>
    <w:rsid w:val="00F47F51"/>
    <w:rsid w:val="00F502A5"/>
    <w:rsid w:val="00F502B9"/>
    <w:rsid w:val="00F5046C"/>
    <w:rsid w:val="00F50486"/>
    <w:rsid w:val="00F505EC"/>
    <w:rsid w:val="00F507D0"/>
    <w:rsid w:val="00F508B9"/>
    <w:rsid w:val="00F50C1C"/>
    <w:rsid w:val="00F50C33"/>
    <w:rsid w:val="00F50ECE"/>
    <w:rsid w:val="00F50EDD"/>
    <w:rsid w:val="00F50EE8"/>
    <w:rsid w:val="00F51184"/>
    <w:rsid w:val="00F513F9"/>
    <w:rsid w:val="00F51D37"/>
    <w:rsid w:val="00F51EE6"/>
    <w:rsid w:val="00F51EEB"/>
    <w:rsid w:val="00F51F34"/>
    <w:rsid w:val="00F52342"/>
    <w:rsid w:val="00F52349"/>
    <w:rsid w:val="00F523F9"/>
    <w:rsid w:val="00F52685"/>
    <w:rsid w:val="00F52717"/>
    <w:rsid w:val="00F52D36"/>
    <w:rsid w:val="00F52E94"/>
    <w:rsid w:val="00F52F63"/>
    <w:rsid w:val="00F530D7"/>
    <w:rsid w:val="00F530DD"/>
    <w:rsid w:val="00F5322C"/>
    <w:rsid w:val="00F53279"/>
    <w:rsid w:val="00F53496"/>
    <w:rsid w:val="00F53503"/>
    <w:rsid w:val="00F5351B"/>
    <w:rsid w:val="00F53636"/>
    <w:rsid w:val="00F5372C"/>
    <w:rsid w:val="00F53A5C"/>
    <w:rsid w:val="00F53A9D"/>
    <w:rsid w:val="00F541D2"/>
    <w:rsid w:val="00F54488"/>
    <w:rsid w:val="00F545B8"/>
    <w:rsid w:val="00F54720"/>
    <w:rsid w:val="00F54732"/>
    <w:rsid w:val="00F54890"/>
    <w:rsid w:val="00F54892"/>
    <w:rsid w:val="00F54948"/>
    <w:rsid w:val="00F54988"/>
    <w:rsid w:val="00F54B3B"/>
    <w:rsid w:val="00F54DAB"/>
    <w:rsid w:val="00F54F70"/>
    <w:rsid w:val="00F5530C"/>
    <w:rsid w:val="00F557A0"/>
    <w:rsid w:val="00F55D1A"/>
    <w:rsid w:val="00F56059"/>
    <w:rsid w:val="00F560F8"/>
    <w:rsid w:val="00F56122"/>
    <w:rsid w:val="00F5614F"/>
    <w:rsid w:val="00F5648E"/>
    <w:rsid w:val="00F56BF9"/>
    <w:rsid w:val="00F56C0E"/>
    <w:rsid w:val="00F57032"/>
    <w:rsid w:val="00F570B9"/>
    <w:rsid w:val="00F57664"/>
    <w:rsid w:val="00F5778C"/>
    <w:rsid w:val="00F5784E"/>
    <w:rsid w:val="00F57937"/>
    <w:rsid w:val="00F579FE"/>
    <w:rsid w:val="00F57C6D"/>
    <w:rsid w:val="00F57DA8"/>
    <w:rsid w:val="00F60294"/>
    <w:rsid w:val="00F603C3"/>
    <w:rsid w:val="00F603FD"/>
    <w:rsid w:val="00F60474"/>
    <w:rsid w:val="00F6061D"/>
    <w:rsid w:val="00F606EE"/>
    <w:rsid w:val="00F608B0"/>
    <w:rsid w:val="00F60C6B"/>
    <w:rsid w:val="00F60DDD"/>
    <w:rsid w:val="00F610AF"/>
    <w:rsid w:val="00F6130E"/>
    <w:rsid w:val="00F61317"/>
    <w:rsid w:val="00F61525"/>
    <w:rsid w:val="00F6187F"/>
    <w:rsid w:val="00F61A94"/>
    <w:rsid w:val="00F620B1"/>
    <w:rsid w:val="00F621F4"/>
    <w:rsid w:val="00F622EE"/>
    <w:rsid w:val="00F6263A"/>
    <w:rsid w:val="00F62701"/>
    <w:rsid w:val="00F62AD4"/>
    <w:rsid w:val="00F62C16"/>
    <w:rsid w:val="00F62D65"/>
    <w:rsid w:val="00F62D67"/>
    <w:rsid w:val="00F62ED3"/>
    <w:rsid w:val="00F62EDC"/>
    <w:rsid w:val="00F62EF2"/>
    <w:rsid w:val="00F63071"/>
    <w:rsid w:val="00F630A1"/>
    <w:rsid w:val="00F63188"/>
    <w:rsid w:val="00F631C1"/>
    <w:rsid w:val="00F63365"/>
    <w:rsid w:val="00F633E6"/>
    <w:rsid w:val="00F63438"/>
    <w:rsid w:val="00F634A6"/>
    <w:rsid w:val="00F639A2"/>
    <w:rsid w:val="00F63A0C"/>
    <w:rsid w:val="00F63AAB"/>
    <w:rsid w:val="00F63B63"/>
    <w:rsid w:val="00F63BA7"/>
    <w:rsid w:val="00F63BAB"/>
    <w:rsid w:val="00F63C4B"/>
    <w:rsid w:val="00F63CDF"/>
    <w:rsid w:val="00F63D32"/>
    <w:rsid w:val="00F63EFA"/>
    <w:rsid w:val="00F640B6"/>
    <w:rsid w:val="00F640E3"/>
    <w:rsid w:val="00F641A2"/>
    <w:rsid w:val="00F64204"/>
    <w:rsid w:val="00F64ACC"/>
    <w:rsid w:val="00F64B54"/>
    <w:rsid w:val="00F64CC7"/>
    <w:rsid w:val="00F64D08"/>
    <w:rsid w:val="00F64DA1"/>
    <w:rsid w:val="00F64E89"/>
    <w:rsid w:val="00F6515B"/>
    <w:rsid w:val="00F6542C"/>
    <w:rsid w:val="00F65545"/>
    <w:rsid w:val="00F65610"/>
    <w:rsid w:val="00F65659"/>
    <w:rsid w:val="00F657F0"/>
    <w:rsid w:val="00F65E2A"/>
    <w:rsid w:val="00F65FE6"/>
    <w:rsid w:val="00F6681A"/>
    <w:rsid w:val="00F6689B"/>
    <w:rsid w:val="00F668EF"/>
    <w:rsid w:val="00F66E45"/>
    <w:rsid w:val="00F66F3B"/>
    <w:rsid w:val="00F6721D"/>
    <w:rsid w:val="00F674F9"/>
    <w:rsid w:val="00F67552"/>
    <w:rsid w:val="00F6778E"/>
    <w:rsid w:val="00F679A7"/>
    <w:rsid w:val="00F67B34"/>
    <w:rsid w:val="00F67B39"/>
    <w:rsid w:val="00F67DE7"/>
    <w:rsid w:val="00F67E0D"/>
    <w:rsid w:val="00F67E75"/>
    <w:rsid w:val="00F700F7"/>
    <w:rsid w:val="00F701F0"/>
    <w:rsid w:val="00F707DD"/>
    <w:rsid w:val="00F70F3A"/>
    <w:rsid w:val="00F70FC0"/>
    <w:rsid w:val="00F71226"/>
    <w:rsid w:val="00F7145B"/>
    <w:rsid w:val="00F714E6"/>
    <w:rsid w:val="00F715D1"/>
    <w:rsid w:val="00F71680"/>
    <w:rsid w:val="00F718F9"/>
    <w:rsid w:val="00F71B87"/>
    <w:rsid w:val="00F721BF"/>
    <w:rsid w:val="00F722EB"/>
    <w:rsid w:val="00F723B9"/>
    <w:rsid w:val="00F72559"/>
    <w:rsid w:val="00F72AA2"/>
    <w:rsid w:val="00F72C11"/>
    <w:rsid w:val="00F73223"/>
    <w:rsid w:val="00F7341C"/>
    <w:rsid w:val="00F73558"/>
    <w:rsid w:val="00F7363A"/>
    <w:rsid w:val="00F7373D"/>
    <w:rsid w:val="00F7377B"/>
    <w:rsid w:val="00F73C74"/>
    <w:rsid w:val="00F73CA7"/>
    <w:rsid w:val="00F73CCF"/>
    <w:rsid w:val="00F73D54"/>
    <w:rsid w:val="00F74154"/>
    <w:rsid w:val="00F743F2"/>
    <w:rsid w:val="00F74431"/>
    <w:rsid w:val="00F74764"/>
    <w:rsid w:val="00F74C2E"/>
    <w:rsid w:val="00F74C4E"/>
    <w:rsid w:val="00F74CF9"/>
    <w:rsid w:val="00F75097"/>
    <w:rsid w:val="00F7510C"/>
    <w:rsid w:val="00F7549C"/>
    <w:rsid w:val="00F756D9"/>
    <w:rsid w:val="00F75996"/>
    <w:rsid w:val="00F75BA8"/>
    <w:rsid w:val="00F761F5"/>
    <w:rsid w:val="00F76456"/>
    <w:rsid w:val="00F764EF"/>
    <w:rsid w:val="00F7697C"/>
    <w:rsid w:val="00F769A9"/>
    <w:rsid w:val="00F77006"/>
    <w:rsid w:val="00F77064"/>
    <w:rsid w:val="00F771FE"/>
    <w:rsid w:val="00F77589"/>
    <w:rsid w:val="00F77879"/>
    <w:rsid w:val="00F778D8"/>
    <w:rsid w:val="00F77BAF"/>
    <w:rsid w:val="00F77D6D"/>
    <w:rsid w:val="00F77EBE"/>
    <w:rsid w:val="00F8002B"/>
    <w:rsid w:val="00F8010F"/>
    <w:rsid w:val="00F804A0"/>
    <w:rsid w:val="00F804AC"/>
    <w:rsid w:val="00F805EF"/>
    <w:rsid w:val="00F80601"/>
    <w:rsid w:val="00F8069A"/>
    <w:rsid w:val="00F806D8"/>
    <w:rsid w:val="00F808E2"/>
    <w:rsid w:val="00F80C3E"/>
    <w:rsid w:val="00F80C4C"/>
    <w:rsid w:val="00F80E79"/>
    <w:rsid w:val="00F80F7E"/>
    <w:rsid w:val="00F811FA"/>
    <w:rsid w:val="00F812DF"/>
    <w:rsid w:val="00F814F5"/>
    <w:rsid w:val="00F8156C"/>
    <w:rsid w:val="00F816AB"/>
    <w:rsid w:val="00F8199F"/>
    <w:rsid w:val="00F81B4B"/>
    <w:rsid w:val="00F81CC5"/>
    <w:rsid w:val="00F81D5B"/>
    <w:rsid w:val="00F81D71"/>
    <w:rsid w:val="00F81E05"/>
    <w:rsid w:val="00F81F95"/>
    <w:rsid w:val="00F82011"/>
    <w:rsid w:val="00F8213C"/>
    <w:rsid w:val="00F821DE"/>
    <w:rsid w:val="00F82591"/>
    <w:rsid w:val="00F8272B"/>
    <w:rsid w:val="00F82876"/>
    <w:rsid w:val="00F82AC3"/>
    <w:rsid w:val="00F82C05"/>
    <w:rsid w:val="00F82CC6"/>
    <w:rsid w:val="00F82D6A"/>
    <w:rsid w:val="00F82DB4"/>
    <w:rsid w:val="00F82E6F"/>
    <w:rsid w:val="00F82ECE"/>
    <w:rsid w:val="00F830C2"/>
    <w:rsid w:val="00F834DF"/>
    <w:rsid w:val="00F839F6"/>
    <w:rsid w:val="00F83DD3"/>
    <w:rsid w:val="00F84371"/>
    <w:rsid w:val="00F84413"/>
    <w:rsid w:val="00F848E7"/>
    <w:rsid w:val="00F84945"/>
    <w:rsid w:val="00F84AB0"/>
    <w:rsid w:val="00F84AF1"/>
    <w:rsid w:val="00F84C62"/>
    <w:rsid w:val="00F850E6"/>
    <w:rsid w:val="00F8576C"/>
    <w:rsid w:val="00F858AE"/>
    <w:rsid w:val="00F85AE1"/>
    <w:rsid w:val="00F85B1A"/>
    <w:rsid w:val="00F85B43"/>
    <w:rsid w:val="00F85C29"/>
    <w:rsid w:val="00F862FE"/>
    <w:rsid w:val="00F86779"/>
    <w:rsid w:val="00F86A26"/>
    <w:rsid w:val="00F86AB2"/>
    <w:rsid w:val="00F86B22"/>
    <w:rsid w:val="00F86C05"/>
    <w:rsid w:val="00F86C78"/>
    <w:rsid w:val="00F86D11"/>
    <w:rsid w:val="00F86DAB"/>
    <w:rsid w:val="00F87040"/>
    <w:rsid w:val="00F8729B"/>
    <w:rsid w:val="00F873AF"/>
    <w:rsid w:val="00F87ED6"/>
    <w:rsid w:val="00F900CF"/>
    <w:rsid w:val="00F90156"/>
    <w:rsid w:val="00F904B5"/>
    <w:rsid w:val="00F90560"/>
    <w:rsid w:val="00F907B4"/>
    <w:rsid w:val="00F907F7"/>
    <w:rsid w:val="00F90992"/>
    <w:rsid w:val="00F90D69"/>
    <w:rsid w:val="00F90DB6"/>
    <w:rsid w:val="00F9107A"/>
    <w:rsid w:val="00F91307"/>
    <w:rsid w:val="00F91905"/>
    <w:rsid w:val="00F91C79"/>
    <w:rsid w:val="00F920E9"/>
    <w:rsid w:val="00F9216A"/>
    <w:rsid w:val="00F92355"/>
    <w:rsid w:val="00F925D3"/>
    <w:rsid w:val="00F92776"/>
    <w:rsid w:val="00F92820"/>
    <w:rsid w:val="00F92866"/>
    <w:rsid w:val="00F92909"/>
    <w:rsid w:val="00F9290D"/>
    <w:rsid w:val="00F92A3D"/>
    <w:rsid w:val="00F92B64"/>
    <w:rsid w:val="00F92C16"/>
    <w:rsid w:val="00F92E04"/>
    <w:rsid w:val="00F92F57"/>
    <w:rsid w:val="00F93247"/>
    <w:rsid w:val="00F9332F"/>
    <w:rsid w:val="00F9365D"/>
    <w:rsid w:val="00F93A4B"/>
    <w:rsid w:val="00F93AFE"/>
    <w:rsid w:val="00F93B39"/>
    <w:rsid w:val="00F93CCF"/>
    <w:rsid w:val="00F93D05"/>
    <w:rsid w:val="00F93D52"/>
    <w:rsid w:val="00F93E46"/>
    <w:rsid w:val="00F942B1"/>
    <w:rsid w:val="00F94523"/>
    <w:rsid w:val="00F94721"/>
    <w:rsid w:val="00F949ED"/>
    <w:rsid w:val="00F94A98"/>
    <w:rsid w:val="00F94F17"/>
    <w:rsid w:val="00F952CC"/>
    <w:rsid w:val="00F952E1"/>
    <w:rsid w:val="00F95593"/>
    <w:rsid w:val="00F955D4"/>
    <w:rsid w:val="00F95776"/>
    <w:rsid w:val="00F95BA4"/>
    <w:rsid w:val="00F95D09"/>
    <w:rsid w:val="00F95F5E"/>
    <w:rsid w:val="00F96354"/>
    <w:rsid w:val="00F964A6"/>
    <w:rsid w:val="00F968F3"/>
    <w:rsid w:val="00F96B70"/>
    <w:rsid w:val="00F96B8C"/>
    <w:rsid w:val="00F96F2A"/>
    <w:rsid w:val="00F96FBE"/>
    <w:rsid w:val="00F97369"/>
    <w:rsid w:val="00F97441"/>
    <w:rsid w:val="00F9764A"/>
    <w:rsid w:val="00F97DFB"/>
    <w:rsid w:val="00FA07A8"/>
    <w:rsid w:val="00FA08CD"/>
    <w:rsid w:val="00FA09F2"/>
    <w:rsid w:val="00FA0B35"/>
    <w:rsid w:val="00FA0BD9"/>
    <w:rsid w:val="00FA0BEE"/>
    <w:rsid w:val="00FA0F73"/>
    <w:rsid w:val="00FA1664"/>
    <w:rsid w:val="00FA1927"/>
    <w:rsid w:val="00FA1B3F"/>
    <w:rsid w:val="00FA1BF6"/>
    <w:rsid w:val="00FA1C10"/>
    <w:rsid w:val="00FA1DAF"/>
    <w:rsid w:val="00FA1DDC"/>
    <w:rsid w:val="00FA1E00"/>
    <w:rsid w:val="00FA205C"/>
    <w:rsid w:val="00FA26CC"/>
    <w:rsid w:val="00FA2AF5"/>
    <w:rsid w:val="00FA2AFF"/>
    <w:rsid w:val="00FA2BFA"/>
    <w:rsid w:val="00FA2E47"/>
    <w:rsid w:val="00FA2F8F"/>
    <w:rsid w:val="00FA2FEF"/>
    <w:rsid w:val="00FA3015"/>
    <w:rsid w:val="00FA31D1"/>
    <w:rsid w:val="00FA32DD"/>
    <w:rsid w:val="00FA3496"/>
    <w:rsid w:val="00FA34B0"/>
    <w:rsid w:val="00FA3B3F"/>
    <w:rsid w:val="00FA42E8"/>
    <w:rsid w:val="00FA439E"/>
    <w:rsid w:val="00FA445D"/>
    <w:rsid w:val="00FA475F"/>
    <w:rsid w:val="00FA4859"/>
    <w:rsid w:val="00FA4942"/>
    <w:rsid w:val="00FA4993"/>
    <w:rsid w:val="00FA49C3"/>
    <w:rsid w:val="00FA4B06"/>
    <w:rsid w:val="00FA4D57"/>
    <w:rsid w:val="00FA4F12"/>
    <w:rsid w:val="00FA511F"/>
    <w:rsid w:val="00FA557F"/>
    <w:rsid w:val="00FA5655"/>
    <w:rsid w:val="00FA5D8A"/>
    <w:rsid w:val="00FA5F2E"/>
    <w:rsid w:val="00FA5F5E"/>
    <w:rsid w:val="00FA61CF"/>
    <w:rsid w:val="00FA636D"/>
    <w:rsid w:val="00FA66E1"/>
    <w:rsid w:val="00FA6775"/>
    <w:rsid w:val="00FA6B10"/>
    <w:rsid w:val="00FA6CF7"/>
    <w:rsid w:val="00FA74E9"/>
    <w:rsid w:val="00FA783C"/>
    <w:rsid w:val="00FA7AA0"/>
    <w:rsid w:val="00FA7B01"/>
    <w:rsid w:val="00FA7B03"/>
    <w:rsid w:val="00FA7C04"/>
    <w:rsid w:val="00FA7D50"/>
    <w:rsid w:val="00FAD226"/>
    <w:rsid w:val="00FB0216"/>
    <w:rsid w:val="00FB023A"/>
    <w:rsid w:val="00FB0525"/>
    <w:rsid w:val="00FB069A"/>
    <w:rsid w:val="00FB0987"/>
    <w:rsid w:val="00FB09F1"/>
    <w:rsid w:val="00FB0AA5"/>
    <w:rsid w:val="00FB0B18"/>
    <w:rsid w:val="00FB0ECE"/>
    <w:rsid w:val="00FB1195"/>
    <w:rsid w:val="00FB1196"/>
    <w:rsid w:val="00FB13C4"/>
    <w:rsid w:val="00FB1434"/>
    <w:rsid w:val="00FB15AF"/>
    <w:rsid w:val="00FB1A07"/>
    <w:rsid w:val="00FB2107"/>
    <w:rsid w:val="00FB2305"/>
    <w:rsid w:val="00FB23D5"/>
    <w:rsid w:val="00FB24F1"/>
    <w:rsid w:val="00FB2566"/>
    <w:rsid w:val="00FB2741"/>
    <w:rsid w:val="00FB2796"/>
    <w:rsid w:val="00FB2A36"/>
    <w:rsid w:val="00FB2B27"/>
    <w:rsid w:val="00FB2BD2"/>
    <w:rsid w:val="00FB2C0D"/>
    <w:rsid w:val="00FB2D90"/>
    <w:rsid w:val="00FB2E1C"/>
    <w:rsid w:val="00FB3072"/>
    <w:rsid w:val="00FB30F4"/>
    <w:rsid w:val="00FB3145"/>
    <w:rsid w:val="00FB366F"/>
    <w:rsid w:val="00FB3810"/>
    <w:rsid w:val="00FB39DE"/>
    <w:rsid w:val="00FB3A4E"/>
    <w:rsid w:val="00FB3BF3"/>
    <w:rsid w:val="00FB3DD0"/>
    <w:rsid w:val="00FB3E3C"/>
    <w:rsid w:val="00FB3EF8"/>
    <w:rsid w:val="00FB4032"/>
    <w:rsid w:val="00FB408A"/>
    <w:rsid w:val="00FB43A5"/>
    <w:rsid w:val="00FB43CF"/>
    <w:rsid w:val="00FB4460"/>
    <w:rsid w:val="00FB44AD"/>
    <w:rsid w:val="00FB4804"/>
    <w:rsid w:val="00FB486F"/>
    <w:rsid w:val="00FB4EF4"/>
    <w:rsid w:val="00FB5461"/>
    <w:rsid w:val="00FB54CD"/>
    <w:rsid w:val="00FB5632"/>
    <w:rsid w:val="00FB56C9"/>
    <w:rsid w:val="00FB5980"/>
    <w:rsid w:val="00FB5AD4"/>
    <w:rsid w:val="00FB5E0D"/>
    <w:rsid w:val="00FB5F0F"/>
    <w:rsid w:val="00FB613B"/>
    <w:rsid w:val="00FB61FA"/>
    <w:rsid w:val="00FB621F"/>
    <w:rsid w:val="00FB640A"/>
    <w:rsid w:val="00FB6631"/>
    <w:rsid w:val="00FB6703"/>
    <w:rsid w:val="00FB69BD"/>
    <w:rsid w:val="00FB6D9E"/>
    <w:rsid w:val="00FB6E42"/>
    <w:rsid w:val="00FB6E52"/>
    <w:rsid w:val="00FB7058"/>
    <w:rsid w:val="00FB72F8"/>
    <w:rsid w:val="00FB757F"/>
    <w:rsid w:val="00FB762A"/>
    <w:rsid w:val="00FB76D5"/>
    <w:rsid w:val="00FB7C88"/>
    <w:rsid w:val="00FB7DC2"/>
    <w:rsid w:val="00FC0175"/>
    <w:rsid w:val="00FC02B2"/>
    <w:rsid w:val="00FC06B0"/>
    <w:rsid w:val="00FC0CB2"/>
    <w:rsid w:val="00FC10F6"/>
    <w:rsid w:val="00FC1113"/>
    <w:rsid w:val="00FC11B8"/>
    <w:rsid w:val="00FC1202"/>
    <w:rsid w:val="00FC1373"/>
    <w:rsid w:val="00FC1397"/>
    <w:rsid w:val="00FC13AB"/>
    <w:rsid w:val="00FC176E"/>
    <w:rsid w:val="00FC17D2"/>
    <w:rsid w:val="00FC1877"/>
    <w:rsid w:val="00FC19A6"/>
    <w:rsid w:val="00FC1DE8"/>
    <w:rsid w:val="00FC1E83"/>
    <w:rsid w:val="00FC2015"/>
    <w:rsid w:val="00FC2029"/>
    <w:rsid w:val="00FC2597"/>
    <w:rsid w:val="00FC25F8"/>
    <w:rsid w:val="00FC28EE"/>
    <w:rsid w:val="00FC2B31"/>
    <w:rsid w:val="00FC2B5A"/>
    <w:rsid w:val="00FC2C63"/>
    <w:rsid w:val="00FC3010"/>
    <w:rsid w:val="00FC304A"/>
    <w:rsid w:val="00FC310F"/>
    <w:rsid w:val="00FC3126"/>
    <w:rsid w:val="00FC313B"/>
    <w:rsid w:val="00FC3151"/>
    <w:rsid w:val="00FC31E7"/>
    <w:rsid w:val="00FC3482"/>
    <w:rsid w:val="00FC35A2"/>
    <w:rsid w:val="00FC3C13"/>
    <w:rsid w:val="00FC3DB3"/>
    <w:rsid w:val="00FC4497"/>
    <w:rsid w:val="00FC46F2"/>
    <w:rsid w:val="00FC4773"/>
    <w:rsid w:val="00FC486B"/>
    <w:rsid w:val="00FC498E"/>
    <w:rsid w:val="00FC4D8E"/>
    <w:rsid w:val="00FC4F0D"/>
    <w:rsid w:val="00FC5250"/>
    <w:rsid w:val="00FC5603"/>
    <w:rsid w:val="00FC5A77"/>
    <w:rsid w:val="00FC5D7D"/>
    <w:rsid w:val="00FC5EEB"/>
    <w:rsid w:val="00FC5F89"/>
    <w:rsid w:val="00FC666B"/>
    <w:rsid w:val="00FC6B61"/>
    <w:rsid w:val="00FC6FD4"/>
    <w:rsid w:val="00FC707A"/>
    <w:rsid w:val="00FC7118"/>
    <w:rsid w:val="00FC718A"/>
    <w:rsid w:val="00FC7326"/>
    <w:rsid w:val="00FC771C"/>
    <w:rsid w:val="00FC7AD3"/>
    <w:rsid w:val="00FC7B05"/>
    <w:rsid w:val="00FD02BA"/>
    <w:rsid w:val="00FD03EF"/>
    <w:rsid w:val="00FD0B6F"/>
    <w:rsid w:val="00FD0EC8"/>
    <w:rsid w:val="00FD1003"/>
    <w:rsid w:val="00FD1077"/>
    <w:rsid w:val="00FD1096"/>
    <w:rsid w:val="00FD129E"/>
    <w:rsid w:val="00FD12AB"/>
    <w:rsid w:val="00FD13F2"/>
    <w:rsid w:val="00FD1406"/>
    <w:rsid w:val="00FD1442"/>
    <w:rsid w:val="00FD1467"/>
    <w:rsid w:val="00FD16E0"/>
    <w:rsid w:val="00FD1B59"/>
    <w:rsid w:val="00FD1C41"/>
    <w:rsid w:val="00FD1CB0"/>
    <w:rsid w:val="00FD22BC"/>
    <w:rsid w:val="00FD2393"/>
    <w:rsid w:val="00FD239F"/>
    <w:rsid w:val="00FD24BA"/>
    <w:rsid w:val="00FD2658"/>
    <w:rsid w:val="00FD27CC"/>
    <w:rsid w:val="00FD2892"/>
    <w:rsid w:val="00FD2C2F"/>
    <w:rsid w:val="00FD2C97"/>
    <w:rsid w:val="00FD2CBB"/>
    <w:rsid w:val="00FD2CC8"/>
    <w:rsid w:val="00FD2EB2"/>
    <w:rsid w:val="00FD2F09"/>
    <w:rsid w:val="00FD3001"/>
    <w:rsid w:val="00FD31B5"/>
    <w:rsid w:val="00FD35F4"/>
    <w:rsid w:val="00FD37B9"/>
    <w:rsid w:val="00FD3817"/>
    <w:rsid w:val="00FD38CE"/>
    <w:rsid w:val="00FD3AD1"/>
    <w:rsid w:val="00FD4076"/>
    <w:rsid w:val="00FD4151"/>
    <w:rsid w:val="00FD4298"/>
    <w:rsid w:val="00FD42B8"/>
    <w:rsid w:val="00FD42FD"/>
    <w:rsid w:val="00FD469F"/>
    <w:rsid w:val="00FD46DE"/>
    <w:rsid w:val="00FD4752"/>
    <w:rsid w:val="00FD48DF"/>
    <w:rsid w:val="00FD4E50"/>
    <w:rsid w:val="00FD4EFD"/>
    <w:rsid w:val="00FD5374"/>
    <w:rsid w:val="00FD546B"/>
    <w:rsid w:val="00FD55A5"/>
    <w:rsid w:val="00FD57FA"/>
    <w:rsid w:val="00FD5863"/>
    <w:rsid w:val="00FD58B5"/>
    <w:rsid w:val="00FD594A"/>
    <w:rsid w:val="00FD5970"/>
    <w:rsid w:val="00FD5ACE"/>
    <w:rsid w:val="00FD5AD3"/>
    <w:rsid w:val="00FD5B37"/>
    <w:rsid w:val="00FD5B7B"/>
    <w:rsid w:val="00FD6003"/>
    <w:rsid w:val="00FD629E"/>
    <w:rsid w:val="00FD6435"/>
    <w:rsid w:val="00FD64E0"/>
    <w:rsid w:val="00FD686E"/>
    <w:rsid w:val="00FD695B"/>
    <w:rsid w:val="00FD69E1"/>
    <w:rsid w:val="00FD6A5A"/>
    <w:rsid w:val="00FD6ADD"/>
    <w:rsid w:val="00FD6CE9"/>
    <w:rsid w:val="00FD6DEC"/>
    <w:rsid w:val="00FD6F4B"/>
    <w:rsid w:val="00FD7275"/>
    <w:rsid w:val="00FD7409"/>
    <w:rsid w:val="00FD75E4"/>
    <w:rsid w:val="00FD7854"/>
    <w:rsid w:val="00FD7A53"/>
    <w:rsid w:val="00FD7CCA"/>
    <w:rsid w:val="00FE0084"/>
    <w:rsid w:val="00FE040F"/>
    <w:rsid w:val="00FE0427"/>
    <w:rsid w:val="00FE053A"/>
    <w:rsid w:val="00FE06AA"/>
    <w:rsid w:val="00FE0ECC"/>
    <w:rsid w:val="00FE106E"/>
    <w:rsid w:val="00FE1433"/>
    <w:rsid w:val="00FE186B"/>
    <w:rsid w:val="00FE1944"/>
    <w:rsid w:val="00FE1A5A"/>
    <w:rsid w:val="00FE1B77"/>
    <w:rsid w:val="00FE1CF5"/>
    <w:rsid w:val="00FE1CF8"/>
    <w:rsid w:val="00FE1E3A"/>
    <w:rsid w:val="00FE1F2C"/>
    <w:rsid w:val="00FE1FE9"/>
    <w:rsid w:val="00FE200F"/>
    <w:rsid w:val="00FE2020"/>
    <w:rsid w:val="00FE2137"/>
    <w:rsid w:val="00FE21E9"/>
    <w:rsid w:val="00FE24EC"/>
    <w:rsid w:val="00FE2822"/>
    <w:rsid w:val="00FE2AA6"/>
    <w:rsid w:val="00FE2AC5"/>
    <w:rsid w:val="00FE2C6D"/>
    <w:rsid w:val="00FE2D6C"/>
    <w:rsid w:val="00FE2ED0"/>
    <w:rsid w:val="00FE31A1"/>
    <w:rsid w:val="00FE3245"/>
    <w:rsid w:val="00FE32C6"/>
    <w:rsid w:val="00FE3801"/>
    <w:rsid w:val="00FE3A9F"/>
    <w:rsid w:val="00FE3BD4"/>
    <w:rsid w:val="00FE45C9"/>
    <w:rsid w:val="00FE470E"/>
    <w:rsid w:val="00FE4781"/>
    <w:rsid w:val="00FE4938"/>
    <w:rsid w:val="00FE4A35"/>
    <w:rsid w:val="00FE4F2B"/>
    <w:rsid w:val="00FE50D6"/>
    <w:rsid w:val="00FE511A"/>
    <w:rsid w:val="00FE5529"/>
    <w:rsid w:val="00FE55F1"/>
    <w:rsid w:val="00FE58C5"/>
    <w:rsid w:val="00FE5B5E"/>
    <w:rsid w:val="00FE5B97"/>
    <w:rsid w:val="00FE5C5F"/>
    <w:rsid w:val="00FE5C90"/>
    <w:rsid w:val="00FE5E44"/>
    <w:rsid w:val="00FE5ED1"/>
    <w:rsid w:val="00FE6163"/>
    <w:rsid w:val="00FE61A7"/>
    <w:rsid w:val="00FE626B"/>
    <w:rsid w:val="00FE63FE"/>
    <w:rsid w:val="00FE6565"/>
    <w:rsid w:val="00FE67DC"/>
    <w:rsid w:val="00FE6812"/>
    <w:rsid w:val="00FE6911"/>
    <w:rsid w:val="00FE6AA6"/>
    <w:rsid w:val="00FE6AB0"/>
    <w:rsid w:val="00FE6BFD"/>
    <w:rsid w:val="00FE6CBD"/>
    <w:rsid w:val="00FE6D26"/>
    <w:rsid w:val="00FE6EDF"/>
    <w:rsid w:val="00FE6F43"/>
    <w:rsid w:val="00FE6FB5"/>
    <w:rsid w:val="00FE73DB"/>
    <w:rsid w:val="00FE74D6"/>
    <w:rsid w:val="00FE759D"/>
    <w:rsid w:val="00FE791E"/>
    <w:rsid w:val="00FE7D4B"/>
    <w:rsid w:val="00FE7F61"/>
    <w:rsid w:val="00FF032D"/>
    <w:rsid w:val="00FF0355"/>
    <w:rsid w:val="00FF03EB"/>
    <w:rsid w:val="00FF088E"/>
    <w:rsid w:val="00FF09C5"/>
    <w:rsid w:val="00FF0CF4"/>
    <w:rsid w:val="00FF0F14"/>
    <w:rsid w:val="00FF1096"/>
    <w:rsid w:val="00FF10C8"/>
    <w:rsid w:val="00FF110E"/>
    <w:rsid w:val="00FF13BD"/>
    <w:rsid w:val="00FF1682"/>
    <w:rsid w:val="00FF1738"/>
    <w:rsid w:val="00FF1ADC"/>
    <w:rsid w:val="00FF1B57"/>
    <w:rsid w:val="00FF1B7E"/>
    <w:rsid w:val="00FF1BA6"/>
    <w:rsid w:val="00FF1BDC"/>
    <w:rsid w:val="00FF1E09"/>
    <w:rsid w:val="00FF1E18"/>
    <w:rsid w:val="00FF1E35"/>
    <w:rsid w:val="00FF20DF"/>
    <w:rsid w:val="00FF2105"/>
    <w:rsid w:val="00FF221F"/>
    <w:rsid w:val="00FF26F6"/>
    <w:rsid w:val="00FF2CBF"/>
    <w:rsid w:val="00FF2D06"/>
    <w:rsid w:val="00FF31A2"/>
    <w:rsid w:val="00FF3292"/>
    <w:rsid w:val="00FF3355"/>
    <w:rsid w:val="00FF3746"/>
    <w:rsid w:val="00FF381F"/>
    <w:rsid w:val="00FF3858"/>
    <w:rsid w:val="00FF3981"/>
    <w:rsid w:val="00FF3B39"/>
    <w:rsid w:val="00FF3B58"/>
    <w:rsid w:val="00FF3C4F"/>
    <w:rsid w:val="00FF3DCD"/>
    <w:rsid w:val="00FF40F3"/>
    <w:rsid w:val="00FF43E4"/>
    <w:rsid w:val="00FF48BB"/>
    <w:rsid w:val="00FF4AD6"/>
    <w:rsid w:val="00FF4D91"/>
    <w:rsid w:val="00FF4FA5"/>
    <w:rsid w:val="00FF4FD4"/>
    <w:rsid w:val="00FF51F7"/>
    <w:rsid w:val="00FF54A0"/>
    <w:rsid w:val="00FF54B8"/>
    <w:rsid w:val="00FF55A6"/>
    <w:rsid w:val="00FF56C9"/>
    <w:rsid w:val="00FF58EE"/>
    <w:rsid w:val="00FF5C10"/>
    <w:rsid w:val="00FF5C23"/>
    <w:rsid w:val="00FF5E8C"/>
    <w:rsid w:val="00FF5F8E"/>
    <w:rsid w:val="00FF60C6"/>
    <w:rsid w:val="00FF611D"/>
    <w:rsid w:val="00FF6438"/>
    <w:rsid w:val="00FF648B"/>
    <w:rsid w:val="00FF64D7"/>
    <w:rsid w:val="00FF653B"/>
    <w:rsid w:val="00FF654A"/>
    <w:rsid w:val="00FF6587"/>
    <w:rsid w:val="00FF659D"/>
    <w:rsid w:val="00FF6ACB"/>
    <w:rsid w:val="00FF6C21"/>
    <w:rsid w:val="00FF6E1B"/>
    <w:rsid w:val="00FF6F42"/>
    <w:rsid w:val="00FF6F4A"/>
    <w:rsid w:val="00FF6F74"/>
    <w:rsid w:val="00FF6FED"/>
    <w:rsid w:val="00FF7054"/>
    <w:rsid w:val="00FF708A"/>
    <w:rsid w:val="00FF722E"/>
    <w:rsid w:val="00FF7350"/>
    <w:rsid w:val="00FF7432"/>
    <w:rsid w:val="00FF7B4C"/>
    <w:rsid w:val="00FF7D62"/>
    <w:rsid w:val="00FF7DB8"/>
    <w:rsid w:val="010B95FA"/>
    <w:rsid w:val="010DB562"/>
    <w:rsid w:val="0118F1D5"/>
    <w:rsid w:val="011E9CCF"/>
    <w:rsid w:val="011FD693"/>
    <w:rsid w:val="012A864E"/>
    <w:rsid w:val="0130EB42"/>
    <w:rsid w:val="01386D8D"/>
    <w:rsid w:val="01467454"/>
    <w:rsid w:val="01652C57"/>
    <w:rsid w:val="01697D1D"/>
    <w:rsid w:val="016BCA97"/>
    <w:rsid w:val="016F6E64"/>
    <w:rsid w:val="0195A0D2"/>
    <w:rsid w:val="01997A8F"/>
    <w:rsid w:val="01A0F3D7"/>
    <w:rsid w:val="01ACB2FF"/>
    <w:rsid w:val="01AE4288"/>
    <w:rsid w:val="01B0E0E1"/>
    <w:rsid w:val="01B4E4D3"/>
    <w:rsid w:val="01B607C3"/>
    <w:rsid w:val="01BC2266"/>
    <w:rsid w:val="01C22EEC"/>
    <w:rsid w:val="01CCDE40"/>
    <w:rsid w:val="01DE192E"/>
    <w:rsid w:val="01EC4C20"/>
    <w:rsid w:val="01F40273"/>
    <w:rsid w:val="02071922"/>
    <w:rsid w:val="02098E8A"/>
    <w:rsid w:val="020FBC96"/>
    <w:rsid w:val="0226AD4D"/>
    <w:rsid w:val="02349CD0"/>
    <w:rsid w:val="025B2BD9"/>
    <w:rsid w:val="0269E7FF"/>
    <w:rsid w:val="026A3927"/>
    <w:rsid w:val="026E2CAB"/>
    <w:rsid w:val="0274FC14"/>
    <w:rsid w:val="027875DB"/>
    <w:rsid w:val="027B949F"/>
    <w:rsid w:val="027D9A9F"/>
    <w:rsid w:val="0294B283"/>
    <w:rsid w:val="0297098F"/>
    <w:rsid w:val="02A43B10"/>
    <w:rsid w:val="02AB3793"/>
    <w:rsid w:val="02C0A712"/>
    <w:rsid w:val="02CFEE4B"/>
    <w:rsid w:val="02D417A3"/>
    <w:rsid w:val="02DA582A"/>
    <w:rsid w:val="02E9B8B8"/>
    <w:rsid w:val="02E9D58E"/>
    <w:rsid w:val="02F084F9"/>
    <w:rsid w:val="02FD0AA9"/>
    <w:rsid w:val="0305AA26"/>
    <w:rsid w:val="0308EFBE"/>
    <w:rsid w:val="030C8E6D"/>
    <w:rsid w:val="030D5074"/>
    <w:rsid w:val="030FB77B"/>
    <w:rsid w:val="03162B4E"/>
    <w:rsid w:val="03231ED2"/>
    <w:rsid w:val="03264161"/>
    <w:rsid w:val="033DBE75"/>
    <w:rsid w:val="034A3F16"/>
    <w:rsid w:val="034E77AA"/>
    <w:rsid w:val="03598B63"/>
    <w:rsid w:val="035E960C"/>
    <w:rsid w:val="03747989"/>
    <w:rsid w:val="0381AA0C"/>
    <w:rsid w:val="039ACA27"/>
    <w:rsid w:val="03A5D1A5"/>
    <w:rsid w:val="03B21650"/>
    <w:rsid w:val="03B4572B"/>
    <w:rsid w:val="03C2824E"/>
    <w:rsid w:val="03C3240C"/>
    <w:rsid w:val="03D08A7D"/>
    <w:rsid w:val="03E5F434"/>
    <w:rsid w:val="03E89F28"/>
    <w:rsid w:val="03F19365"/>
    <w:rsid w:val="03F767BB"/>
    <w:rsid w:val="03F8E933"/>
    <w:rsid w:val="040268EB"/>
    <w:rsid w:val="0407D3E1"/>
    <w:rsid w:val="04115E16"/>
    <w:rsid w:val="0417243B"/>
    <w:rsid w:val="042564CC"/>
    <w:rsid w:val="042B1300"/>
    <w:rsid w:val="04360A56"/>
    <w:rsid w:val="0436841B"/>
    <w:rsid w:val="043AAFB0"/>
    <w:rsid w:val="043DEAF5"/>
    <w:rsid w:val="0441ED84"/>
    <w:rsid w:val="0453E8D7"/>
    <w:rsid w:val="045DA1DA"/>
    <w:rsid w:val="0471B7E5"/>
    <w:rsid w:val="047A2C7D"/>
    <w:rsid w:val="047CB450"/>
    <w:rsid w:val="048020CA"/>
    <w:rsid w:val="04AD394A"/>
    <w:rsid w:val="04B8846A"/>
    <w:rsid w:val="04CBE27C"/>
    <w:rsid w:val="04D42619"/>
    <w:rsid w:val="04D8553D"/>
    <w:rsid w:val="04F1E26A"/>
    <w:rsid w:val="04F99D1F"/>
    <w:rsid w:val="04FA1CC4"/>
    <w:rsid w:val="04FCE169"/>
    <w:rsid w:val="05036F6D"/>
    <w:rsid w:val="050B4DA9"/>
    <w:rsid w:val="051A39EA"/>
    <w:rsid w:val="051D1A3E"/>
    <w:rsid w:val="051FFE34"/>
    <w:rsid w:val="0523706B"/>
    <w:rsid w:val="05241615"/>
    <w:rsid w:val="052A36DC"/>
    <w:rsid w:val="052EE1DA"/>
    <w:rsid w:val="052FC77A"/>
    <w:rsid w:val="054ED2BD"/>
    <w:rsid w:val="054F8999"/>
    <w:rsid w:val="055357E9"/>
    <w:rsid w:val="055828A5"/>
    <w:rsid w:val="05619103"/>
    <w:rsid w:val="057F000A"/>
    <w:rsid w:val="059736CD"/>
    <w:rsid w:val="05B8EAB6"/>
    <w:rsid w:val="05BD52D3"/>
    <w:rsid w:val="05C6938D"/>
    <w:rsid w:val="05E4DB14"/>
    <w:rsid w:val="05E6DD80"/>
    <w:rsid w:val="05EDB23E"/>
    <w:rsid w:val="060352FB"/>
    <w:rsid w:val="06055E92"/>
    <w:rsid w:val="060EADCD"/>
    <w:rsid w:val="06134ABD"/>
    <w:rsid w:val="06194E02"/>
    <w:rsid w:val="06200878"/>
    <w:rsid w:val="0622BFEF"/>
    <w:rsid w:val="062B2149"/>
    <w:rsid w:val="064FCC33"/>
    <w:rsid w:val="067A72E4"/>
    <w:rsid w:val="067EF448"/>
    <w:rsid w:val="067F9322"/>
    <w:rsid w:val="06827CA7"/>
    <w:rsid w:val="06859F25"/>
    <w:rsid w:val="0692B792"/>
    <w:rsid w:val="06A23FBE"/>
    <w:rsid w:val="06B1E6B2"/>
    <w:rsid w:val="06BE8CC7"/>
    <w:rsid w:val="06C243D4"/>
    <w:rsid w:val="06C475EB"/>
    <w:rsid w:val="06CFDA15"/>
    <w:rsid w:val="06D3E910"/>
    <w:rsid w:val="06D525BD"/>
    <w:rsid w:val="06DE6946"/>
    <w:rsid w:val="06ED64B3"/>
    <w:rsid w:val="07061345"/>
    <w:rsid w:val="071FA64D"/>
    <w:rsid w:val="072B6353"/>
    <w:rsid w:val="072D3C36"/>
    <w:rsid w:val="07447CB8"/>
    <w:rsid w:val="0747395B"/>
    <w:rsid w:val="07572EC3"/>
    <w:rsid w:val="075FD93F"/>
    <w:rsid w:val="075FF776"/>
    <w:rsid w:val="07728984"/>
    <w:rsid w:val="077DE530"/>
    <w:rsid w:val="078277BC"/>
    <w:rsid w:val="07847AC4"/>
    <w:rsid w:val="07B3BD29"/>
    <w:rsid w:val="07B9462E"/>
    <w:rsid w:val="07CD4A9E"/>
    <w:rsid w:val="07E96DD3"/>
    <w:rsid w:val="07FA0D59"/>
    <w:rsid w:val="081BA833"/>
    <w:rsid w:val="08270076"/>
    <w:rsid w:val="0840FB13"/>
    <w:rsid w:val="085FE0AA"/>
    <w:rsid w:val="086492D4"/>
    <w:rsid w:val="086E80E3"/>
    <w:rsid w:val="086FA90B"/>
    <w:rsid w:val="087BB114"/>
    <w:rsid w:val="087D26EC"/>
    <w:rsid w:val="087F1E8C"/>
    <w:rsid w:val="0881916C"/>
    <w:rsid w:val="08B1DD73"/>
    <w:rsid w:val="08B267E4"/>
    <w:rsid w:val="08C350FA"/>
    <w:rsid w:val="08DE1830"/>
    <w:rsid w:val="08DEA824"/>
    <w:rsid w:val="08F32A7F"/>
    <w:rsid w:val="092BB45B"/>
    <w:rsid w:val="092BC801"/>
    <w:rsid w:val="093729A9"/>
    <w:rsid w:val="09394ACF"/>
    <w:rsid w:val="093AADFD"/>
    <w:rsid w:val="093D4372"/>
    <w:rsid w:val="093E80DD"/>
    <w:rsid w:val="093EB014"/>
    <w:rsid w:val="0950EEC4"/>
    <w:rsid w:val="09516E67"/>
    <w:rsid w:val="09578DCC"/>
    <w:rsid w:val="0958FA80"/>
    <w:rsid w:val="095EAEDA"/>
    <w:rsid w:val="0960CF4D"/>
    <w:rsid w:val="0961583A"/>
    <w:rsid w:val="097286FD"/>
    <w:rsid w:val="0977DF43"/>
    <w:rsid w:val="09806D04"/>
    <w:rsid w:val="09984393"/>
    <w:rsid w:val="099FC36F"/>
    <w:rsid w:val="09B3D36A"/>
    <w:rsid w:val="09C46814"/>
    <w:rsid w:val="09D195C9"/>
    <w:rsid w:val="09DA1B4B"/>
    <w:rsid w:val="09E21257"/>
    <w:rsid w:val="09E3E50E"/>
    <w:rsid w:val="09ECE83A"/>
    <w:rsid w:val="09EDBD1B"/>
    <w:rsid w:val="0A070F2E"/>
    <w:rsid w:val="0A083013"/>
    <w:rsid w:val="0A0F55AE"/>
    <w:rsid w:val="0A1E72C8"/>
    <w:rsid w:val="0A1F4E91"/>
    <w:rsid w:val="0A3747FE"/>
    <w:rsid w:val="0A540ECE"/>
    <w:rsid w:val="0A5EB1E8"/>
    <w:rsid w:val="0A6054EB"/>
    <w:rsid w:val="0A6690E8"/>
    <w:rsid w:val="0A66A1F8"/>
    <w:rsid w:val="0A774A66"/>
    <w:rsid w:val="0A901B37"/>
    <w:rsid w:val="0A9F8F4A"/>
    <w:rsid w:val="0AAF86D3"/>
    <w:rsid w:val="0AB5EA99"/>
    <w:rsid w:val="0AB8B6EC"/>
    <w:rsid w:val="0AD3CA17"/>
    <w:rsid w:val="0AE00A5A"/>
    <w:rsid w:val="0B1FEB38"/>
    <w:rsid w:val="0B21F746"/>
    <w:rsid w:val="0B3463BC"/>
    <w:rsid w:val="0B3A5533"/>
    <w:rsid w:val="0B3FAC11"/>
    <w:rsid w:val="0B442653"/>
    <w:rsid w:val="0B471018"/>
    <w:rsid w:val="0B488F4B"/>
    <w:rsid w:val="0B4AF94D"/>
    <w:rsid w:val="0B4CB751"/>
    <w:rsid w:val="0B516C23"/>
    <w:rsid w:val="0B59F6F9"/>
    <w:rsid w:val="0B5AA94F"/>
    <w:rsid w:val="0B5D6235"/>
    <w:rsid w:val="0B6F95A8"/>
    <w:rsid w:val="0B84CF66"/>
    <w:rsid w:val="0B86D1E0"/>
    <w:rsid w:val="0BA09211"/>
    <w:rsid w:val="0BADF02F"/>
    <w:rsid w:val="0BAF5D29"/>
    <w:rsid w:val="0BC01DBA"/>
    <w:rsid w:val="0BC10946"/>
    <w:rsid w:val="0BD115A0"/>
    <w:rsid w:val="0BD6FDD6"/>
    <w:rsid w:val="0BDB2BBB"/>
    <w:rsid w:val="0BED7F5C"/>
    <w:rsid w:val="0BF185BE"/>
    <w:rsid w:val="0C01089C"/>
    <w:rsid w:val="0C02A39F"/>
    <w:rsid w:val="0C0DCCBE"/>
    <w:rsid w:val="0C128682"/>
    <w:rsid w:val="0C1B41F6"/>
    <w:rsid w:val="0C250FF2"/>
    <w:rsid w:val="0C3A1872"/>
    <w:rsid w:val="0C3BD785"/>
    <w:rsid w:val="0C3D1F7E"/>
    <w:rsid w:val="0C46D0C3"/>
    <w:rsid w:val="0C6A40B9"/>
    <w:rsid w:val="0C761392"/>
    <w:rsid w:val="0C784C1A"/>
    <w:rsid w:val="0C7CC4DE"/>
    <w:rsid w:val="0C7DD5D9"/>
    <w:rsid w:val="0C82D482"/>
    <w:rsid w:val="0C87B961"/>
    <w:rsid w:val="0C92D9EE"/>
    <w:rsid w:val="0C996CEF"/>
    <w:rsid w:val="0C9D8367"/>
    <w:rsid w:val="0CA732AA"/>
    <w:rsid w:val="0CAAA800"/>
    <w:rsid w:val="0CB3C53F"/>
    <w:rsid w:val="0CB80DC6"/>
    <w:rsid w:val="0CCA05A3"/>
    <w:rsid w:val="0CD7D0DD"/>
    <w:rsid w:val="0CEB3D39"/>
    <w:rsid w:val="0CEDEA66"/>
    <w:rsid w:val="0CF1E654"/>
    <w:rsid w:val="0CF5606B"/>
    <w:rsid w:val="0CFADC33"/>
    <w:rsid w:val="0D07C3B7"/>
    <w:rsid w:val="0D128782"/>
    <w:rsid w:val="0D15EAED"/>
    <w:rsid w:val="0D1BDA10"/>
    <w:rsid w:val="0D214702"/>
    <w:rsid w:val="0D24CCE0"/>
    <w:rsid w:val="0D2E6845"/>
    <w:rsid w:val="0D36502E"/>
    <w:rsid w:val="0D43577E"/>
    <w:rsid w:val="0D4D29E5"/>
    <w:rsid w:val="0D50638E"/>
    <w:rsid w:val="0D5657DB"/>
    <w:rsid w:val="0D5DD5C6"/>
    <w:rsid w:val="0D6F88FE"/>
    <w:rsid w:val="0D79A4C0"/>
    <w:rsid w:val="0D7A2767"/>
    <w:rsid w:val="0D7DC12D"/>
    <w:rsid w:val="0D8CC3FF"/>
    <w:rsid w:val="0D8E056A"/>
    <w:rsid w:val="0DACECAA"/>
    <w:rsid w:val="0DBAA6FF"/>
    <w:rsid w:val="0DCCFC0C"/>
    <w:rsid w:val="0DD3CC81"/>
    <w:rsid w:val="0DD99395"/>
    <w:rsid w:val="0DF02FD4"/>
    <w:rsid w:val="0DF4EBD4"/>
    <w:rsid w:val="0DF53FD5"/>
    <w:rsid w:val="0DF74307"/>
    <w:rsid w:val="0E036385"/>
    <w:rsid w:val="0E07F857"/>
    <w:rsid w:val="0E0F4D16"/>
    <w:rsid w:val="0E2AE411"/>
    <w:rsid w:val="0E2D2E9D"/>
    <w:rsid w:val="0E3C39F6"/>
    <w:rsid w:val="0E52039B"/>
    <w:rsid w:val="0E55ECB2"/>
    <w:rsid w:val="0E578484"/>
    <w:rsid w:val="0E588998"/>
    <w:rsid w:val="0E6149F2"/>
    <w:rsid w:val="0E62D284"/>
    <w:rsid w:val="0E678176"/>
    <w:rsid w:val="0E72538C"/>
    <w:rsid w:val="0E892E60"/>
    <w:rsid w:val="0E8D5E6B"/>
    <w:rsid w:val="0E93290A"/>
    <w:rsid w:val="0E993A5C"/>
    <w:rsid w:val="0E99B9C4"/>
    <w:rsid w:val="0E9ADD9A"/>
    <w:rsid w:val="0EA64CC2"/>
    <w:rsid w:val="0EB0FB6D"/>
    <w:rsid w:val="0ED06544"/>
    <w:rsid w:val="0ED5BC99"/>
    <w:rsid w:val="0EE1D3BE"/>
    <w:rsid w:val="0EF9FDEF"/>
    <w:rsid w:val="0EFCD514"/>
    <w:rsid w:val="0F161185"/>
    <w:rsid w:val="0F198DEB"/>
    <w:rsid w:val="0F204233"/>
    <w:rsid w:val="0F22EB3E"/>
    <w:rsid w:val="0F2A6103"/>
    <w:rsid w:val="0F2CD036"/>
    <w:rsid w:val="0F406177"/>
    <w:rsid w:val="0F45FC25"/>
    <w:rsid w:val="0F462FB4"/>
    <w:rsid w:val="0F4ED34F"/>
    <w:rsid w:val="0F67A815"/>
    <w:rsid w:val="0F736554"/>
    <w:rsid w:val="0F74E6DD"/>
    <w:rsid w:val="0F7525AE"/>
    <w:rsid w:val="0F8B9C2A"/>
    <w:rsid w:val="0F93D0B6"/>
    <w:rsid w:val="0FA9ED8B"/>
    <w:rsid w:val="0FAA7B3C"/>
    <w:rsid w:val="0FB32D27"/>
    <w:rsid w:val="0FB95757"/>
    <w:rsid w:val="0FBD5EC9"/>
    <w:rsid w:val="0FD37568"/>
    <w:rsid w:val="0FD862FE"/>
    <w:rsid w:val="0FE248C2"/>
    <w:rsid w:val="0FFF078C"/>
    <w:rsid w:val="10157867"/>
    <w:rsid w:val="101CDF85"/>
    <w:rsid w:val="10207F05"/>
    <w:rsid w:val="103B20D6"/>
    <w:rsid w:val="103DC0F2"/>
    <w:rsid w:val="10482D6C"/>
    <w:rsid w:val="104A5D8D"/>
    <w:rsid w:val="1054A1DA"/>
    <w:rsid w:val="105555F8"/>
    <w:rsid w:val="105E0205"/>
    <w:rsid w:val="106BF7FC"/>
    <w:rsid w:val="107216B8"/>
    <w:rsid w:val="107538F6"/>
    <w:rsid w:val="107AD85A"/>
    <w:rsid w:val="1080CE98"/>
    <w:rsid w:val="10994AA1"/>
    <w:rsid w:val="10B1CDAC"/>
    <w:rsid w:val="10C958AE"/>
    <w:rsid w:val="10CCEEFF"/>
    <w:rsid w:val="10D1C9D6"/>
    <w:rsid w:val="10D88500"/>
    <w:rsid w:val="10E3C120"/>
    <w:rsid w:val="10FBF7D9"/>
    <w:rsid w:val="1107EA9E"/>
    <w:rsid w:val="110B3F12"/>
    <w:rsid w:val="110D3521"/>
    <w:rsid w:val="111475E4"/>
    <w:rsid w:val="11224B2B"/>
    <w:rsid w:val="11375BCC"/>
    <w:rsid w:val="113851AD"/>
    <w:rsid w:val="1141BDB1"/>
    <w:rsid w:val="1152BADC"/>
    <w:rsid w:val="11530D64"/>
    <w:rsid w:val="115A265D"/>
    <w:rsid w:val="11711FD6"/>
    <w:rsid w:val="117E3780"/>
    <w:rsid w:val="117EBB6F"/>
    <w:rsid w:val="11809D06"/>
    <w:rsid w:val="118A92BD"/>
    <w:rsid w:val="118C3B33"/>
    <w:rsid w:val="1198095B"/>
    <w:rsid w:val="119F8C89"/>
    <w:rsid w:val="11A007D4"/>
    <w:rsid w:val="11A20979"/>
    <w:rsid w:val="11A301E1"/>
    <w:rsid w:val="11ACC6A2"/>
    <w:rsid w:val="11DDDD00"/>
    <w:rsid w:val="11EDBBB4"/>
    <w:rsid w:val="11FC3752"/>
    <w:rsid w:val="12013C98"/>
    <w:rsid w:val="120E4352"/>
    <w:rsid w:val="120F4B55"/>
    <w:rsid w:val="121B8217"/>
    <w:rsid w:val="122E2A96"/>
    <w:rsid w:val="1235E54B"/>
    <w:rsid w:val="123BD7EF"/>
    <w:rsid w:val="123E6986"/>
    <w:rsid w:val="124DD851"/>
    <w:rsid w:val="124F8177"/>
    <w:rsid w:val="1252EAC7"/>
    <w:rsid w:val="1260BAAD"/>
    <w:rsid w:val="12885D57"/>
    <w:rsid w:val="128B084D"/>
    <w:rsid w:val="12918F3D"/>
    <w:rsid w:val="12A92AC2"/>
    <w:rsid w:val="12AB8505"/>
    <w:rsid w:val="12ADC28F"/>
    <w:rsid w:val="12AF22E8"/>
    <w:rsid w:val="12B61B8B"/>
    <w:rsid w:val="12C1C5AC"/>
    <w:rsid w:val="12E0DB2F"/>
    <w:rsid w:val="12E24755"/>
    <w:rsid w:val="12E86F13"/>
    <w:rsid w:val="12F5B393"/>
    <w:rsid w:val="12FB9723"/>
    <w:rsid w:val="12FBA529"/>
    <w:rsid w:val="12FEA75D"/>
    <w:rsid w:val="131FFBB6"/>
    <w:rsid w:val="1322C756"/>
    <w:rsid w:val="13248D12"/>
    <w:rsid w:val="1329C29A"/>
    <w:rsid w:val="132DB3D1"/>
    <w:rsid w:val="134D494E"/>
    <w:rsid w:val="135B746F"/>
    <w:rsid w:val="1360E4C8"/>
    <w:rsid w:val="136446FF"/>
    <w:rsid w:val="1366AD07"/>
    <w:rsid w:val="1377E097"/>
    <w:rsid w:val="13A7EF80"/>
    <w:rsid w:val="13B1B83A"/>
    <w:rsid w:val="13BDC7B6"/>
    <w:rsid w:val="13C892E6"/>
    <w:rsid w:val="13CA926F"/>
    <w:rsid w:val="13CF5680"/>
    <w:rsid w:val="13D2AF77"/>
    <w:rsid w:val="13D3DA54"/>
    <w:rsid w:val="13D4002F"/>
    <w:rsid w:val="13EC356B"/>
    <w:rsid w:val="13ED5747"/>
    <w:rsid w:val="13F971B0"/>
    <w:rsid w:val="13FAB74F"/>
    <w:rsid w:val="13FD9F95"/>
    <w:rsid w:val="1408377A"/>
    <w:rsid w:val="14422061"/>
    <w:rsid w:val="144A5C45"/>
    <w:rsid w:val="14549BA4"/>
    <w:rsid w:val="145F0286"/>
    <w:rsid w:val="14684518"/>
    <w:rsid w:val="146E3340"/>
    <w:rsid w:val="1470C2F6"/>
    <w:rsid w:val="1470DE88"/>
    <w:rsid w:val="1475B525"/>
    <w:rsid w:val="1480954C"/>
    <w:rsid w:val="14B98F23"/>
    <w:rsid w:val="14BF787C"/>
    <w:rsid w:val="14C239FA"/>
    <w:rsid w:val="14CDCA82"/>
    <w:rsid w:val="14D1F29C"/>
    <w:rsid w:val="14D58F1E"/>
    <w:rsid w:val="14FC15B7"/>
    <w:rsid w:val="1523C8DF"/>
    <w:rsid w:val="15338766"/>
    <w:rsid w:val="153AF873"/>
    <w:rsid w:val="155011D6"/>
    <w:rsid w:val="1553BBB9"/>
    <w:rsid w:val="15763DE0"/>
    <w:rsid w:val="158453A5"/>
    <w:rsid w:val="1585B261"/>
    <w:rsid w:val="158B297C"/>
    <w:rsid w:val="159FBC19"/>
    <w:rsid w:val="15A9DB04"/>
    <w:rsid w:val="15ADB6BD"/>
    <w:rsid w:val="15B232B1"/>
    <w:rsid w:val="15C21641"/>
    <w:rsid w:val="15C7E118"/>
    <w:rsid w:val="15D90395"/>
    <w:rsid w:val="15DA9DA7"/>
    <w:rsid w:val="15FADDAE"/>
    <w:rsid w:val="15FBB154"/>
    <w:rsid w:val="1601662C"/>
    <w:rsid w:val="1619B7C9"/>
    <w:rsid w:val="161FA5A9"/>
    <w:rsid w:val="1622EE0B"/>
    <w:rsid w:val="1626B698"/>
    <w:rsid w:val="162A465E"/>
    <w:rsid w:val="163AC60A"/>
    <w:rsid w:val="163DF2C3"/>
    <w:rsid w:val="163EBA90"/>
    <w:rsid w:val="164D633A"/>
    <w:rsid w:val="1654E862"/>
    <w:rsid w:val="16558D9C"/>
    <w:rsid w:val="165E71E2"/>
    <w:rsid w:val="16676A83"/>
    <w:rsid w:val="1670EAA5"/>
    <w:rsid w:val="1674843E"/>
    <w:rsid w:val="1676746C"/>
    <w:rsid w:val="1689F33A"/>
    <w:rsid w:val="1691D2AA"/>
    <w:rsid w:val="1695C993"/>
    <w:rsid w:val="169DF5AD"/>
    <w:rsid w:val="169F69DF"/>
    <w:rsid w:val="16A13ADF"/>
    <w:rsid w:val="16A18846"/>
    <w:rsid w:val="16C2DB6C"/>
    <w:rsid w:val="16CE04AD"/>
    <w:rsid w:val="16CF6751"/>
    <w:rsid w:val="16D9BC54"/>
    <w:rsid w:val="16DB0C07"/>
    <w:rsid w:val="16E00AB0"/>
    <w:rsid w:val="16ED3443"/>
    <w:rsid w:val="1708A77C"/>
    <w:rsid w:val="170CB56A"/>
    <w:rsid w:val="170F043B"/>
    <w:rsid w:val="171AD39A"/>
    <w:rsid w:val="171FFC4C"/>
    <w:rsid w:val="172223E6"/>
    <w:rsid w:val="172534E3"/>
    <w:rsid w:val="172D2CFB"/>
    <w:rsid w:val="17361C7F"/>
    <w:rsid w:val="1740554F"/>
    <w:rsid w:val="174554A8"/>
    <w:rsid w:val="1747AA1E"/>
    <w:rsid w:val="174E3B74"/>
    <w:rsid w:val="175EEE4B"/>
    <w:rsid w:val="176408A1"/>
    <w:rsid w:val="17692E05"/>
    <w:rsid w:val="176EA8BB"/>
    <w:rsid w:val="177FA01B"/>
    <w:rsid w:val="1780303E"/>
    <w:rsid w:val="17880252"/>
    <w:rsid w:val="178EAFE3"/>
    <w:rsid w:val="179C5EE5"/>
    <w:rsid w:val="179E1C28"/>
    <w:rsid w:val="17A07632"/>
    <w:rsid w:val="17A1314E"/>
    <w:rsid w:val="17A7EB44"/>
    <w:rsid w:val="17A8CA7D"/>
    <w:rsid w:val="17AF1AD8"/>
    <w:rsid w:val="17B4B0F9"/>
    <w:rsid w:val="17BA2532"/>
    <w:rsid w:val="17C271E7"/>
    <w:rsid w:val="17C31ADF"/>
    <w:rsid w:val="17C32B50"/>
    <w:rsid w:val="17E15978"/>
    <w:rsid w:val="17E20DA2"/>
    <w:rsid w:val="1808287A"/>
    <w:rsid w:val="180B640C"/>
    <w:rsid w:val="181911CA"/>
    <w:rsid w:val="1819F382"/>
    <w:rsid w:val="1828C9FE"/>
    <w:rsid w:val="183018AA"/>
    <w:rsid w:val="18473F80"/>
    <w:rsid w:val="184755AB"/>
    <w:rsid w:val="18496563"/>
    <w:rsid w:val="1852EA03"/>
    <w:rsid w:val="186067DD"/>
    <w:rsid w:val="1863833C"/>
    <w:rsid w:val="186B10E1"/>
    <w:rsid w:val="186C408E"/>
    <w:rsid w:val="187568F9"/>
    <w:rsid w:val="187D3CD2"/>
    <w:rsid w:val="187DD145"/>
    <w:rsid w:val="18801138"/>
    <w:rsid w:val="188AC503"/>
    <w:rsid w:val="189ADC64"/>
    <w:rsid w:val="18AAFF1C"/>
    <w:rsid w:val="18AB099A"/>
    <w:rsid w:val="18B4F57D"/>
    <w:rsid w:val="18BD78A0"/>
    <w:rsid w:val="18C04942"/>
    <w:rsid w:val="18C902BF"/>
    <w:rsid w:val="18D89D10"/>
    <w:rsid w:val="18FC86A3"/>
    <w:rsid w:val="18FD7141"/>
    <w:rsid w:val="190E8BC3"/>
    <w:rsid w:val="19111396"/>
    <w:rsid w:val="19127CDE"/>
    <w:rsid w:val="191C068C"/>
    <w:rsid w:val="192FF8CA"/>
    <w:rsid w:val="1935A089"/>
    <w:rsid w:val="19362072"/>
    <w:rsid w:val="193ED744"/>
    <w:rsid w:val="194861FE"/>
    <w:rsid w:val="194A3A45"/>
    <w:rsid w:val="194BEB7F"/>
    <w:rsid w:val="1953814A"/>
    <w:rsid w:val="1954EEF2"/>
    <w:rsid w:val="1967C578"/>
    <w:rsid w:val="19682237"/>
    <w:rsid w:val="198436F7"/>
    <w:rsid w:val="1995F840"/>
    <w:rsid w:val="199B6F10"/>
    <w:rsid w:val="19A129BA"/>
    <w:rsid w:val="19A2D46A"/>
    <w:rsid w:val="19A5F46A"/>
    <w:rsid w:val="19AABB2F"/>
    <w:rsid w:val="19AC37EE"/>
    <w:rsid w:val="19B25F4C"/>
    <w:rsid w:val="19B3C252"/>
    <w:rsid w:val="19C25508"/>
    <w:rsid w:val="19DE4558"/>
    <w:rsid w:val="19E4D89A"/>
    <w:rsid w:val="19EC0A25"/>
    <w:rsid w:val="19FAC8E7"/>
    <w:rsid w:val="19FC383E"/>
    <w:rsid w:val="1A054892"/>
    <w:rsid w:val="1A060D00"/>
    <w:rsid w:val="1A0CB332"/>
    <w:rsid w:val="1A1582DD"/>
    <w:rsid w:val="1A19D559"/>
    <w:rsid w:val="1A22E724"/>
    <w:rsid w:val="1A298C6F"/>
    <w:rsid w:val="1A4CA27A"/>
    <w:rsid w:val="1A4D0A14"/>
    <w:rsid w:val="1A562CCA"/>
    <w:rsid w:val="1A643645"/>
    <w:rsid w:val="1A6D1E82"/>
    <w:rsid w:val="1A72226F"/>
    <w:rsid w:val="1A83EA67"/>
    <w:rsid w:val="1A865435"/>
    <w:rsid w:val="1A8DA7F2"/>
    <w:rsid w:val="1A9B4AF4"/>
    <w:rsid w:val="1AA36A50"/>
    <w:rsid w:val="1AA57F3C"/>
    <w:rsid w:val="1AB370E7"/>
    <w:rsid w:val="1AC21045"/>
    <w:rsid w:val="1AC61ECF"/>
    <w:rsid w:val="1ACB3DDF"/>
    <w:rsid w:val="1AD62BC8"/>
    <w:rsid w:val="1AD6F859"/>
    <w:rsid w:val="1AE3FBF3"/>
    <w:rsid w:val="1AE74322"/>
    <w:rsid w:val="1AE9D413"/>
    <w:rsid w:val="1AEE8FA4"/>
    <w:rsid w:val="1AF39F96"/>
    <w:rsid w:val="1AF51E02"/>
    <w:rsid w:val="1B099C9E"/>
    <w:rsid w:val="1B0D5BCB"/>
    <w:rsid w:val="1B158DB8"/>
    <w:rsid w:val="1B1FE702"/>
    <w:rsid w:val="1B2796C3"/>
    <w:rsid w:val="1B2BB904"/>
    <w:rsid w:val="1B38B3EB"/>
    <w:rsid w:val="1B425DAB"/>
    <w:rsid w:val="1B42F918"/>
    <w:rsid w:val="1B4CAD29"/>
    <w:rsid w:val="1B4E7B96"/>
    <w:rsid w:val="1B538C82"/>
    <w:rsid w:val="1B5E8E3C"/>
    <w:rsid w:val="1B5EB949"/>
    <w:rsid w:val="1B60CB0A"/>
    <w:rsid w:val="1B7577CA"/>
    <w:rsid w:val="1B7B604B"/>
    <w:rsid w:val="1B7E698D"/>
    <w:rsid w:val="1B9A4CFE"/>
    <w:rsid w:val="1BA50383"/>
    <w:rsid w:val="1BA54000"/>
    <w:rsid w:val="1BA5CCD1"/>
    <w:rsid w:val="1BA741F6"/>
    <w:rsid w:val="1BB5423B"/>
    <w:rsid w:val="1BBE7530"/>
    <w:rsid w:val="1BC87351"/>
    <w:rsid w:val="1BD14BAD"/>
    <w:rsid w:val="1BD42599"/>
    <w:rsid w:val="1BD6284C"/>
    <w:rsid w:val="1BE44AD5"/>
    <w:rsid w:val="1BF08637"/>
    <w:rsid w:val="1BFA136B"/>
    <w:rsid w:val="1C027289"/>
    <w:rsid w:val="1C07273E"/>
    <w:rsid w:val="1C10A998"/>
    <w:rsid w:val="1C1AB9EE"/>
    <w:rsid w:val="1C1C360B"/>
    <w:rsid w:val="1C1EF434"/>
    <w:rsid w:val="1C21A0F7"/>
    <w:rsid w:val="1C312E4F"/>
    <w:rsid w:val="1C46C5FA"/>
    <w:rsid w:val="1C673B6D"/>
    <w:rsid w:val="1C688B5B"/>
    <w:rsid w:val="1C8D8318"/>
    <w:rsid w:val="1C9B0298"/>
    <w:rsid w:val="1CB64ADF"/>
    <w:rsid w:val="1CC9F35C"/>
    <w:rsid w:val="1CD98E85"/>
    <w:rsid w:val="1CDD5148"/>
    <w:rsid w:val="1CE59BB4"/>
    <w:rsid w:val="1CF517E4"/>
    <w:rsid w:val="1D01E350"/>
    <w:rsid w:val="1D081470"/>
    <w:rsid w:val="1D0C5E5E"/>
    <w:rsid w:val="1D0DAF44"/>
    <w:rsid w:val="1D1797EE"/>
    <w:rsid w:val="1D1A1A85"/>
    <w:rsid w:val="1D1C01BE"/>
    <w:rsid w:val="1D1C1247"/>
    <w:rsid w:val="1D262BFA"/>
    <w:rsid w:val="1D29BB3F"/>
    <w:rsid w:val="1D382EEF"/>
    <w:rsid w:val="1D4260EA"/>
    <w:rsid w:val="1D491E9B"/>
    <w:rsid w:val="1D4A1C19"/>
    <w:rsid w:val="1D64986D"/>
    <w:rsid w:val="1D65A881"/>
    <w:rsid w:val="1D6E3A2D"/>
    <w:rsid w:val="1D6FA266"/>
    <w:rsid w:val="1D788BBF"/>
    <w:rsid w:val="1D946A61"/>
    <w:rsid w:val="1D980D6D"/>
    <w:rsid w:val="1D9F1FF9"/>
    <w:rsid w:val="1DA3A222"/>
    <w:rsid w:val="1DABE835"/>
    <w:rsid w:val="1DC12AD9"/>
    <w:rsid w:val="1DC3A6D6"/>
    <w:rsid w:val="1DC50AEF"/>
    <w:rsid w:val="1DCC872F"/>
    <w:rsid w:val="1DDA7502"/>
    <w:rsid w:val="1DED5595"/>
    <w:rsid w:val="1DEDC31E"/>
    <w:rsid w:val="1DF27031"/>
    <w:rsid w:val="1DF2855E"/>
    <w:rsid w:val="1DF6CE2A"/>
    <w:rsid w:val="1DFB898E"/>
    <w:rsid w:val="1E077284"/>
    <w:rsid w:val="1E14ED4D"/>
    <w:rsid w:val="1E14FB07"/>
    <w:rsid w:val="1E52B88F"/>
    <w:rsid w:val="1E578FFB"/>
    <w:rsid w:val="1E610CE8"/>
    <w:rsid w:val="1E613AB7"/>
    <w:rsid w:val="1E631E1C"/>
    <w:rsid w:val="1E7295E4"/>
    <w:rsid w:val="1E7EC20A"/>
    <w:rsid w:val="1E81BE35"/>
    <w:rsid w:val="1E8A1033"/>
    <w:rsid w:val="1E8EB736"/>
    <w:rsid w:val="1E926142"/>
    <w:rsid w:val="1E95E6EE"/>
    <w:rsid w:val="1E9ED7FC"/>
    <w:rsid w:val="1EA701CE"/>
    <w:rsid w:val="1EC2E6BD"/>
    <w:rsid w:val="1EC51B12"/>
    <w:rsid w:val="1EC60B9E"/>
    <w:rsid w:val="1EC80F6F"/>
    <w:rsid w:val="1ECA7FB5"/>
    <w:rsid w:val="1ED4D325"/>
    <w:rsid w:val="1EF2EF8C"/>
    <w:rsid w:val="1EFB34FC"/>
    <w:rsid w:val="1EFDE336"/>
    <w:rsid w:val="1EFE8E0E"/>
    <w:rsid w:val="1F12E958"/>
    <w:rsid w:val="1F1AC3EC"/>
    <w:rsid w:val="1F2FFDDB"/>
    <w:rsid w:val="1F363A62"/>
    <w:rsid w:val="1F3C3948"/>
    <w:rsid w:val="1F4C89B1"/>
    <w:rsid w:val="1F4D53FA"/>
    <w:rsid w:val="1F5FEDD0"/>
    <w:rsid w:val="1F717823"/>
    <w:rsid w:val="1F9391ED"/>
    <w:rsid w:val="1FAD58C2"/>
    <w:rsid w:val="1FBCE3A2"/>
    <w:rsid w:val="1FC6B30A"/>
    <w:rsid w:val="1FC7E09F"/>
    <w:rsid w:val="1FDD8041"/>
    <w:rsid w:val="1FDFBF04"/>
    <w:rsid w:val="1FE5977B"/>
    <w:rsid w:val="1FF74834"/>
    <w:rsid w:val="1FF7A249"/>
    <w:rsid w:val="2000161F"/>
    <w:rsid w:val="20046705"/>
    <w:rsid w:val="20058EAE"/>
    <w:rsid w:val="2026E16C"/>
    <w:rsid w:val="202870F4"/>
    <w:rsid w:val="202BF5D3"/>
    <w:rsid w:val="203F1789"/>
    <w:rsid w:val="204A36D5"/>
    <w:rsid w:val="20510710"/>
    <w:rsid w:val="20560F6A"/>
    <w:rsid w:val="20580C69"/>
    <w:rsid w:val="205A9184"/>
    <w:rsid w:val="2063711D"/>
    <w:rsid w:val="206B6EFB"/>
    <w:rsid w:val="207C334C"/>
    <w:rsid w:val="207D4C11"/>
    <w:rsid w:val="20872B6B"/>
    <w:rsid w:val="208CC0FD"/>
    <w:rsid w:val="208F84B4"/>
    <w:rsid w:val="20969B94"/>
    <w:rsid w:val="209D9567"/>
    <w:rsid w:val="209E5983"/>
    <w:rsid w:val="20B0217F"/>
    <w:rsid w:val="20B0540B"/>
    <w:rsid w:val="20C349AB"/>
    <w:rsid w:val="20D01940"/>
    <w:rsid w:val="20D28189"/>
    <w:rsid w:val="20EBE683"/>
    <w:rsid w:val="20F004BD"/>
    <w:rsid w:val="20F32640"/>
    <w:rsid w:val="210CAE1A"/>
    <w:rsid w:val="211B014D"/>
    <w:rsid w:val="21266FB6"/>
    <w:rsid w:val="21561AA5"/>
    <w:rsid w:val="21635B2D"/>
    <w:rsid w:val="2172E0D8"/>
    <w:rsid w:val="21815854"/>
    <w:rsid w:val="2189F17C"/>
    <w:rsid w:val="218A5729"/>
    <w:rsid w:val="219AFA88"/>
    <w:rsid w:val="21BFA6D8"/>
    <w:rsid w:val="21DF3330"/>
    <w:rsid w:val="21F8458C"/>
    <w:rsid w:val="21FAFA5A"/>
    <w:rsid w:val="21FBFB36"/>
    <w:rsid w:val="21FEE6E3"/>
    <w:rsid w:val="22033495"/>
    <w:rsid w:val="221FC0C5"/>
    <w:rsid w:val="2232CA39"/>
    <w:rsid w:val="2238D247"/>
    <w:rsid w:val="223967DD"/>
    <w:rsid w:val="225DB0BF"/>
    <w:rsid w:val="2274418D"/>
    <w:rsid w:val="2276F6DF"/>
    <w:rsid w:val="2279A2FB"/>
    <w:rsid w:val="228EFAE4"/>
    <w:rsid w:val="228FB9A1"/>
    <w:rsid w:val="22A1AF0D"/>
    <w:rsid w:val="22A47E46"/>
    <w:rsid w:val="22A48BD9"/>
    <w:rsid w:val="22A68834"/>
    <w:rsid w:val="22C156A3"/>
    <w:rsid w:val="22DD9E4B"/>
    <w:rsid w:val="23002674"/>
    <w:rsid w:val="23064D92"/>
    <w:rsid w:val="23259C12"/>
    <w:rsid w:val="23286A13"/>
    <w:rsid w:val="233001A2"/>
    <w:rsid w:val="233179B8"/>
    <w:rsid w:val="233478C6"/>
    <w:rsid w:val="233A04F1"/>
    <w:rsid w:val="23408250"/>
    <w:rsid w:val="2352AA67"/>
    <w:rsid w:val="23567DC8"/>
    <w:rsid w:val="235A2178"/>
    <w:rsid w:val="23618010"/>
    <w:rsid w:val="23672D02"/>
    <w:rsid w:val="23721AE5"/>
    <w:rsid w:val="237A446F"/>
    <w:rsid w:val="237EFBE0"/>
    <w:rsid w:val="239F1867"/>
    <w:rsid w:val="23B27EEC"/>
    <w:rsid w:val="23C7F86A"/>
    <w:rsid w:val="23CA98A1"/>
    <w:rsid w:val="23D52BC9"/>
    <w:rsid w:val="23DD39E8"/>
    <w:rsid w:val="23E22722"/>
    <w:rsid w:val="23EC0C47"/>
    <w:rsid w:val="24052677"/>
    <w:rsid w:val="240A1C6C"/>
    <w:rsid w:val="240A4F73"/>
    <w:rsid w:val="240C3B46"/>
    <w:rsid w:val="240D5E98"/>
    <w:rsid w:val="2418CF2B"/>
    <w:rsid w:val="241FA19E"/>
    <w:rsid w:val="242022AE"/>
    <w:rsid w:val="2428D2BB"/>
    <w:rsid w:val="242E89EB"/>
    <w:rsid w:val="243E0A5A"/>
    <w:rsid w:val="245AC924"/>
    <w:rsid w:val="24600F61"/>
    <w:rsid w:val="24758518"/>
    <w:rsid w:val="24768811"/>
    <w:rsid w:val="2476D8AC"/>
    <w:rsid w:val="247DB045"/>
    <w:rsid w:val="24830149"/>
    <w:rsid w:val="2487AA54"/>
    <w:rsid w:val="248C5216"/>
    <w:rsid w:val="248F061C"/>
    <w:rsid w:val="24903929"/>
    <w:rsid w:val="24A32945"/>
    <w:rsid w:val="24A5192A"/>
    <w:rsid w:val="24B1E597"/>
    <w:rsid w:val="24B2506B"/>
    <w:rsid w:val="24BD1C23"/>
    <w:rsid w:val="24DBF702"/>
    <w:rsid w:val="24E37D0D"/>
    <w:rsid w:val="24F4790A"/>
    <w:rsid w:val="24F90063"/>
    <w:rsid w:val="24F9C6A4"/>
    <w:rsid w:val="25014A57"/>
    <w:rsid w:val="25097815"/>
    <w:rsid w:val="2514AFBB"/>
    <w:rsid w:val="252654D4"/>
    <w:rsid w:val="2526A21D"/>
    <w:rsid w:val="252BF956"/>
    <w:rsid w:val="252E4D4E"/>
    <w:rsid w:val="252EF42E"/>
    <w:rsid w:val="2533E520"/>
    <w:rsid w:val="253AC5FC"/>
    <w:rsid w:val="25498171"/>
    <w:rsid w:val="25505792"/>
    <w:rsid w:val="2571780D"/>
    <w:rsid w:val="2575BC95"/>
    <w:rsid w:val="258C97AD"/>
    <w:rsid w:val="25A2ED7C"/>
    <w:rsid w:val="25BBF0F1"/>
    <w:rsid w:val="25BDE63A"/>
    <w:rsid w:val="25C56E1E"/>
    <w:rsid w:val="25C5AB6E"/>
    <w:rsid w:val="25C8B04A"/>
    <w:rsid w:val="25E520D8"/>
    <w:rsid w:val="25ECCFFA"/>
    <w:rsid w:val="25F48EEF"/>
    <w:rsid w:val="26005D1E"/>
    <w:rsid w:val="26099A57"/>
    <w:rsid w:val="260E1BD0"/>
    <w:rsid w:val="2622C338"/>
    <w:rsid w:val="2633A70A"/>
    <w:rsid w:val="263D3903"/>
    <w:rsid w:val="264A8E0E"/>
    <w:rsid w:val="2657F065"/>
    <w:rsid w:val="26642D40"/>
    <w:rsid w:val="26794E63"/>
    <w:rsid w:val="26818483"/>
    <w:rsid w:val="26A452D2"/>
    <w:rsid w:val="26A78712"/>
    <w:rsid w:val="26AB5E07"/>
    <w:rsid w:val="26B0AC13"/>
    <w:rsid w:val="26BC3B34"/>
    <w:rsid w:val="26BE04FB"/>
    <w:rsid w:val="26C84D6A"/>
    <w:rsid w:val="26C8D851"/>
    <w:rsid w:val="26D098E5"/>
    <w:rsid w:val="26D592DF"/>
    <w:rsid w:val="26DDA995"/>
    <w:rsid w:val="26E0C5BE"/>
    <w:rsid w:val="26E29D39"/>
    <w:rsid w:val="26F4036B"/>
    <w:rsid w:val="270297A4"/>
    <w:rsid w:val="2703AAAB"/>
    <w:rsid w:val="272276D5"/>
    <w:rsid w:val="272E8173"/>
    <w:rsid w:val="2748A414"/>
    <w:rsid w:val="274DC201"/>
    <w:rsid w:val="275B2807"/>
    <w:rsid w:val="275BDAC2"/>
    <w:rsid w:val="27621347"/>
    <w:rsid w:val="27649A8C"/>
    <w:rsid w:val="2764C9E7"/>
    <w:rsid w:val="276FB662"/>
    <w:rsid w:val="2781C769"/>
    <w:rsid w:val="278A8CA3"/>
    <w:rsid w:val="279F3902"/>
    <w:rsid w:val="27AD12C7"/>
    <w:rsid w:val="27B8EC09"/>
    <w:rsid w:val="27BBFE46"/>
    <w:rsid w:val="27C184A5"/>
    <w:rsid w:val="27CF5DB2"/>
    <w:rsid w:val="27D406E0"/>
    <w:rsid w:val="27E0261F"/>
    <w:rsid w:val="27E113C8"/>
    <w:rsid w:val="27E70785"/>
    <w:rsid w:val="27F1FA5E"/>
    <w:rsid w:val="27FAF2F0"/>
    <w:rsid w:val="27FC989D"/>
    <w:rsid w:val="280548F6"/>
    <w:rsid w:val="281A8ABC"/>
    <w:rsid w:val="2822AC7B"/>
    <w:rsid w:val="28371250"/>
    <w:rsid w:val="283974C9"/>
    <w:rsid w:val="284A4409"/>
    <w:rsid w:val="284EAE5D"/>
    <w:rsid w:val="2850D225"/>
    <w:rsid w:val="285820BD"/>
    <w:rsid w:val="28588CEB"/>
    <w:rsid w:val="28592463"/>
    <w:rsid w:val="285AFEF2"/>
    <w:rsid w:val="28649351"/>
    <w:rsid w:val="286C5295"/>
    <w:rsid w:val="286EF334"/>
    <w:rsid w:val="28793BE0"/>
    <w:rsid w:val="2879582A"/>
    <w:rsid w:val="287C752D"/>
    <w:rsid w:val="287E344E"/>
    <w:rsid w:val="2886927F"/>
    <w:rsid w:val="288A82F7"/>
    <w:rsid w:val="28989C02"/>
    <w:rsid w:val="28A12B49"/>
    <w:rsid w:val="28A8A190"/>
    <w:rsid w:val="28B0B6DE"/>
    <w:rsid w:val="28BE99FE"/>
    <w:rsid w:val="28C31C07"/>
    <w:rsid w:val="28CFB736"/>
    <w:rsid w:val="28D2FDD8"/>
    <w:rsid w:val="28E27342"/>
    <w:rsid w:val="28EDD675"/>
    <w:rsid w:val="28EF65BD"/>
    <w:rsid w:val="29062FF9"/>
    <w:rsid w:val="2907AE4B"/>
    <w:rsid w:val="29267599"/>
    <w:rsid w:val="29375BC0"/>
    <w:rsid w:val="29401370"/>
    <w:rsid w:val="29545D15"/>
    <w:rsid w:val="2956BED0"/>
    <w:rsid w:val="295AEA4E"/>
    <w:rsid w:val="29760423"/>
    <w:rsid w:val="2988F6A1"/>
    <w:rsid w:val="299097DE"/>
    <w:rsid w:val="299DE696"/>
    <w:rsid w:val="29A13651"/>
    <w:rsid w:val="29A47213"/>
    <w:rsid w:val="29A547F9"/>
    <w:rsid w:val="29AC8D5A"/>
    <w:rsid w:val="29B74DE2"/>
    <w:rsid w:val="29B78727"/>
    <w:rsid w:val="29B8005F"/>
    <w:rsid w:val="29BB35FD"/>
    <w:rsid w:val="29C58DBE"/>
    <w:rsid w:val="29D834EE"/>
    <w:rsid w:val="29E2D795"/>
    <w:rsid w:val="29EA7444"/>
    <w:rsid w:val="29ECCDE1"/>
    <w:rsid w:val="29ED4B87"/>
    <w:rsid w:val="29F0D7B2"/>
    <w:rsid w:val="2A0484DB"/>
    <w:rsid w:val="2A0B05FA"/>
    <w:rsid w:val="2A0C54DC"/>
    <w:rsid w:val="2A161216"/>
    <w:rsid w:val="2A2134F3"/>
    <w:rsid w:val="2A2E1BEA"/>
    <w:rsid w:val="2A399EEB"/>
    <w:rsid w:val="2A4FB28A"/>
    <w:rsid w:val="2A6957E8"/>
    <w:rsid w:val="2A843FEA"/>
    <w:rsid w:val="2A8AA441"/>
    <w:rsid w:val="2A974BAA"/>
    <w:rsid w:val="2A9991B7"/>
    <w:rsid w:val="2AA3F9D4"/>
    <w:rsid w:val="2ABC1755"/>
    <w:rsid w:val="2ACE9397"/>
    <w:rsid w:val="2AD46515"/>
    <w:rsid w:val="2AD5FE2C"/>
    <w:rsid w:val="2ADCCDD1"/>
    <w:rsid w:val="2ADDE861"/>
    <w:rsid w:val="2AEA43C7"/>
    <w:rsid w:val="2AEE026D"/>
    <w:rsid w:val="2AF70BB6"/>
    <w:rsid w:val="2AF7949D"/>
    <w:rsid w:val="2B0876E4"/>
    <w:rsid w:val="2B0BE47A"/>
    <w:rsid w:val="2B0D1539"/>
    <w:rsid w:val="2B0E2D55"/>
    <w:rsid w:val="2B2C1B82"/>
    <w:rsid w:val="2B35DDA7"/>
    <w:rsid w:val="2B379E63"/>
    <w:rsid w:val="2B389790"/>
    <w:rsid w:val="2B3D06B2"/>
    <w:rsid w:val="2B412A39"/>
    <w:rsid w:val="2B43F1A7"/>
    <w:rsid w:val="2B480E84"/>
    <w:rsid w:val="2B49AEFD"/>
    <w:rsid w:val="2B59FD39"/>
    <w:rsid w:val="2B67526C"/>
    <w:rsid w:val="2B759055"/>
    <w:rsid w:val="2B7B01BB"/>
    <w:rsid w:val="2B7CC823"/>
    <w:rsid w:val="2B8F3D64"/>
    <w:rsid w:val="2BA8F1D6"/>
    <w:rsid w:val="2BB84E5B"/>
    <w:rsid w:val="2BB9D866"/>
    <w:rsid w:val="2BBEFC8B"/>
    <w:rsid w:val="2BDF7FDA"/>
    <w:rsid w:val="2BE35E37"/>
    <w:rsid w:val="2C015F0B"/>
    <w:rsid w:val="2C036C68"/>
    <w:rsid w:val="2C038A1A"/>
    <w:rsid w:val="2C04CD2E"/>
    <w:rsid w:val="2C0F5862"/>
    <w:rsid w:val="2C103C31"/>
    <w:rsid w:val="2C1BBA30"/>
    <w:rsid w:val="2C234BBE"/>
    <w:rsid w:val="2C260319"/>
    <w:rsid w:val="2C3594E9"/>
    <w:rsid w:val="2C39F873"/>
    <w:rsid w:val="2C3B0896"/>
    <w:rsid w:val="2C3FDEAE"/>
    <w:rsid w:val="2C4771D0"/>
    <w:rsid w:val="2C5274B9"/>
    <w:rsid w:val="2C5DEBAA"/>
    <w:rsid w:val="2C673B62"/>
    <w:rsid w:val="2C680618"/>
    <w:rsid w:val="2C72575D"/>
    <w:rsid w:val="2C88C6FF"/>
    <w:rsid w:val="2C8CD1C6"/>
    <w:rsid w:val="2C9A2C1B"/>
    <w:rsid w:val="2CB2A831"/>
    <w:rsid w:val="2CB3E37A"/>
    <w:rsid w:val="2CBE53F4"/>
    <w:rsid w:val="2CCE1793"/>
    <w:rsid w:val="2CE50DD5"/>
    <w:rsid w:val="2CEAACE5"/>
    <w:rsid w:val="2CEB5C30"/>
    <w:rsid w:val="2CECF361"/>
    <w:rsid w:val="2CF51AB7"/>
    <w:rsid w:val="2CF5596F"/>
    <w:rsid w:val="2CFE04E0"/>
    <w:rsid w:val="2D095BF9"/>
    <w:rsid w:val="2D1572AD"/>
    <w:rsid w:val="2D1953EB"/>
    <w:rsid w:val="2D296D4C"/>
    <w:rsid w:val="2D32D83E"/>
    <w:rsid w:val="2D37D489"/>
    <w:rsid w:val="2D41B535"/>
    <w:rsid w:val="2D49CF65"/>
    <w:rsid w:val="2D4C549C"/>
    <w:rsid w:val="2D62D9D0"/>
    <w:rsid w:val="2D73DF5B"/>
    <w:rsid w:val="2D7C89F2"/>
    <w:rsid w:val="2D81C3A6"/>
    <w:rsid w:val="2D9337C9"/>
    <w:rsid w:val="2D963152"/>
    <w:rsid w:val="2D9DDB08"/>
    <w:rsid w:val="2D9DF173"/>
    <w:rsid w:val="2DA3ECCB"/>
    <w:rsid w:val="2DA3F2A2"/>
    <w:rsid w:val="2DA4A287"/>
    <w:rsid w:val="2DAB439D"/>
    <w:rsid w:val="2DC49780"/>
    <w:rsid w:val="2DCCF35E"/>
    <w:rsid w:val="2DD93BEA"/>
    <w:rsid w:val="2DDAA235"/>
    <w:rsid w:val="2DE39C40"/>
    <w:rsid w:val="2DF4E707"/>
    <w:rsid w:val="2DF66826"/>
    <w:rsid w:val="2DF7BAA1"/>
    <w:rsid w:val="2DFA1A00"/>
    <w:rsid w:val="2DFF43ED"/>
    <w:rsid w:val="2E12BF56"/>
    <w:rsid w:val="2E2D0535"/>
    <w:rsid w:val="2E3032FD"/>
    <w:rsid w:val="2E33C06E"/>
    <w:rsid w:val="2E4A1AF3"/>
    <w:rsid w:val="2E5D232D"/>
    <w:rsid w:val="2E616308"/>
    <w:rsid w:val="2E637AAD"/>
    <w:rsid w:val="2E6CEAB7"/>
    <w:rsid w:val="2E6ECE7E"/>
    <w:rsid w:val="2E74A774"/>
    <w:rsid w:val="2E783444"/>
    <w:rsid w:val="2E7D786E"/>
    <w:rsid w:val="2E813C62"/>
    <w:rsid w:val="2E85785C"/>
    <w:rsid w:val="2E8DD4BD"/>
    <w:rsid w:val="2E90BEC2"/>
    <w:rsid w:val="2EAC946D"/>
    <w:rsid w:val="2EBE095D"/>
    <w:rsid w:val="2ECF7D80"/>
    <w:rsid w:val="2ECFDA6A"/>
    <w:rsid w:val="2EDC2F68"/>
    <w:rsid w:val="2EE09225"/>
    <w:rsid w:val="2EE351E6"/>
    <w:rsid w:val="2EE59FC6"/>
    <w:rsid w:val="2EF605D5"/>
    <w:rsid w:val="2EF6E1F7"/>
    <w:rsid w:val="2F12B9AB"/>
    <w:rsid w:val="2F17EAE5"/>
    <w:rsid w:val="2F1849AD"/>
    <w:rsid w:val="2F1FBF16"/>
    <w:rsid w:val="2F384FC0"/>
    <w:rsid w:val="2F3C3193"/>
    <w:rsid w:val="2F3DBDE3"/>
    <w:rsid w:val="2F475A6B"/>
    <w:rsid w:val="2F5CAE37"/>
    <w:rsid w:val="2F6F822A"/>
    <w:rsid w:val="2F80A37F"/>
    <w:rsid w:val="2F9B1D10"/>
    <w:rsid w:val="2FAAFE0A"/>
    <w:rsid w:val="2FADDAD9"/>
    <w:rsid w:val="2FB50491"/>
    <w:rsid w:val="2FB624D6"/>
    <w:rsid w:val="2FBD9494"/>
    <w:rsid w:val="2FC3D535"/>
    <w:rsid w:val="2FD07E3E"/>
    <w:rsid w:val="2FD9E436"/>
    <w:rsid w:val="2FE0D6B0"/>
    <w:rsid w:val="2FE94C4E"/>
    <w:rsid w:val="2FFF5F9C"/>
    <w:rsid w:val="3003F323"/>
    <w:rsid w:val="300425F4"/>
    <w:rsid w:val="301B2247"/>
    <w:rsid w:val="301DCAC8"/>
    <w:rsid w:val="304F003D"/>
    <w:rsid w:val="3088AEBB"/>
    <w:rsid w:val="308B75E1"/>
    <w:rsid w:val="3091C793"/>
    <w:rsid w:val="30936FDB"/>
    <w:rsid w:val="3098EEF2"/>
    <w:rsid w:val="30A32F8E"/>
    <w:rsid w:val="30B7464F"/>
    <w:rsid w:val="30C5E47D"/>
    <w:rsid w:val="30CB7A9B"/>
    <w:rsid w:val="30DC8A17"/>
    <w:rsid w:val="30E01B71"/>
    <w:rsid w:val="30EDB7F8"/>
    <w:rsid w:val="30F2E204"/>
    <w:rsid w:val="30F53FDC"/>
    <w:rsid w:val="3106F1D5"/>
    <w:rsid w:val="310D7CB5"/>
    <w:rsid w:val="3113962C"/>
    <w:rsid w:val="3117E84C"/>
    <w:rsid w:val="311DB012"/>
    <w:rsid w:val="31231927"/>
    <w:rsid w:val="3124ACBE"/>
    <w:rsid w:val="31260D78"/>
    <w:rsid w:val="31299271"/>
    <w:rsid w:val="3130B191"/>
    <w:rsid w:val="3133EF57"/>
    <w:rsid w:val="313DF475"/>
    <w:rsid w:val="313DF7B5"/>
    <w:rsid w:val="31530FB0"/>
    <w:rsid w:val="315DE1E4"/>
    <w:rsid w:val="316413A6"/>
    <w:rsid w:val="31673BD4"/>
    <w:rsid w:val="31790184"/>
    <w:rsid w:val="318E0AB1"/>
    <w:rsid w:val="318E4FFD"/>
    <w:rsid w:val="3190DE4B"/>
    <w:rsid w:val="3194D1C6"/>
    <w:rsid w:val="31A4FECD"/>
    <w:rsid w:val="31AC69DF"/>
    <w:rsid w:val="31B70C24"/>
    <w:rsid w:val="31B9AFB6"/>
    <w:rsid w:val="31BC1DCA"/>
    <w:rsid w:val="31BDE248"/>
    <w:rsid w:val="31C7BE63"/>
    <w:rsid w:val="31D05C4F"/>
    <w:rsid w:val="31DA1113"/>
    <w:rsid w:val="31DB20FC"/>
    <w:rsid w:val="31ECC8E1"/>
    <w:rsid w:val="3202EACC"/>
    <w:rsid w:val="32077716"/>
    <w:rsid w:val="32094D71"/>
    <w:rsid w:val="32125EB5"/>
    <w:rsid w:val="321D4088"/>
    <w:rsid w:val="32225575"/>
    <w:rsid w:val="322B2747"/>
    <w:rsid w:val="322B690D"/>
    <w:rsid w:val="32325998"/>
    <w:rsid w:val="32410C10"/>
    <w:rsid w:val="324F52F7"/>
    <w:rsid w:val="3253E3D9"/>
    <w:rsid w:val="326D7961"/>
    <w:rsid w:val="327BDFD2"/>
    <w:rsid w:val="327C8DC9"/>
    <w:rsid w:val="32981B7F"/>
    <w:rsid w:val="32A9BCD0"/>
    <w:rsid w:val="32AA3F88"/>
    <w:rsid w:val="32B6F44F"/>
    <w:rsid w:val="32BA9A4D"/>
    <w:rsid w:val="32BB8FCA"/>
    <w:rsid w:val="32C01E90"/>
    <w:rsid w:val="32C4A746"/>
    <w:rsid w:val="32EB00A9"/>
    <w:rsid w:val="32EE44EA"/>
    <w:rsid w:val="32F52A08"/>
    <w:rsid w:val="32F6B672"/>
    <w:rsid w:val="32F8096A"/>
    <w:rsid w:val="32FE24DA"/>
    <w:rsid w:val="33039C26"/>
    <w:rsid w:val="3303B62E"/>
    <w:rsid w:val="3308A216"/>
    <w:rsid w:val="331349E1"/>
    <w:rsid w:val="33172B79"/>
    <w:rsid w:val="33174C6B"/>
    <w:rsid w:val="333AC3BD"/>
    <w:rsid w:val="3342F641"/>
    <w:rsid w:val="334A71D7"/>
    <w:rsid w:val="334E5074"/>
    <w:rsid w:val="335BEEE1"/>
    <w:rsid w:val="335EB98C"/>
    <w:rsid w:val="336C4290"/>
    <w:rsid w:val="336DF8C3"/>
    <w:rsid w:val="3397CA44"/>
    <w:rsid w:val="33A11B9C"/>
    <w:rsid w:val="33A9F5A7"/>
    <w:rsid w:val="33AACBC4"/>
    <w:rsid w:val="33AD43A6"/>
    <w:rsid w:val="33AE246E"/>
    <w:rsid w:val="33AED153"/>
    <w:rsid w:val="33B2E53C"/>
    <w:rsid w:val="33B98341"/>
    <w:rsid w:val="33C4D771"/>
    <w:rsid w:val="340808B3"/>
    <w:rsid w:val="340C1B81"/>
    <w:rsid w:val="3411EB83"/>
    <w:rsid w:val="3424F993"/>
    <w:rsid w:val="342601B2"/>
    <w:rsid w:val="34543516"/>
    <w:rsid w:val="345CB901"/>
    <w:rsid w:val="346E0294"/>
    <w:rsid w:val="34806258"/>
    <w:rsid w:val="348238CA"/>
    <w:rsid w:val="34908136"/>
    <w:rsid w:val="34B8DF14"/>
    <w:rsid w:val="34B9F4AF"/>
    <w:rsid w:val="34BAC990"/>
    <w:rsid w:val="34BDB990"/>
    <w:rsid w:val="34C1BF55"/>
    <w:rsid w:val="34CD3357"/>
    <w:rsid w:val="34D7A0E3"/>
    <w:rsid w:val="34D8B343"/>
    <w:rsid w:val="34DB22EC"/>
    <w:rsid w:val="34E0D6CE"/>
    <w:rsid w:val="34E2AA04"/>
    <w:rsid w:val="34FDD8FA"/>
    <w:rsid w:val="34FF24EA"/>
    <w:rsid w:val="351230C1"/>
    <w:rsid w:val="35157F2D"/>
    <w:rsid w:val="352DE76F"/>
    <w:rsid w:val="35301800"/>
    <w:rsid w:val="35396CC7"/>
    <w:rsid w:val="3546B774"/>
    <w:rsid w:val="35490ADB"/>
    <w:rsid w:val="3561F8D4"/>
    <w:rsid w:val="3571C567"/>
    <w:rsid w:val="3572EB67"/>
    <w:rsid w:val="3574DC1E"/>
    <w:rsid w:val="357FDBF6"/>
    <w:rsid w:val="35822679"/>
    <w:rsid w:val="358F009A"/>
    <w:rsid w:val="35A3A683"/>
    <w:rsid w:val="35BB198E"/>
    <w:rsid w:val="35C108C5"/>
    <w:rsid w:val="35CE6E5E"/>
    <w:rsid w:val="35D90811"/>
    <w:rsid w:val="35E678FE"/>
    <w:rsid w:val="35EEFEAE"/>
    <w:rsid w:val="3608CA7C"/>
    <w:rsid w:val="360DEE68"/>
    <w:rsid w:val="360F86B0"/>
    <w:rsid w:val="361161A1"/>
    <w:rsid w:val="361680E8"/>
    <w:rsid w:val="361D2721"/>
    <w:rsid w:val="361D30B5"/>
    <w:rsid w:val="363EC8BD"/>
    <w:rsid w:val="3658C500"/>
    <w:rsid w:val="3669F36F"/>
    <w:rsid w:val="36709491"/>
    <w:rsid w:val="368194A0"/>
    <w:rsid w:val="3690B0F4"/>
    <w:rsid w:val="3698C622"/>
    <w:rsid w:val="369CFA28"/>
    <w:rsid w:val="36A90279"/>
    <w:rsid w:val="36B14EB1"/>
    <w:rsid w:val="36B2C54E"/>
    <w:rsid w:val="36B4016F"/>
    <w:rsid w:val="36C991F7"/>
    <w:rsid w:val="36D8B46A"/>
    <w:rsid w:val="36E0FEF1"/>
    <w:rsid w:val="36E7C3C3"/>
    <w:rsid w:val="36EE3EB4"/>
    <w:rsid w:val="36FA521C"/>
    <w:rsid w:val="36FBBAE5"/>
    <w:rsid w:val="3706903E"/>
    <w:rsid w:val="371AF6EA"/>
    <w:rsid w:val="371D6D24"/>
    <w:rsid w:val="37227D32"/>
    <w:rsid w:val="373C6730"/>
    <w:rsid w:val="37434349"/>
    <w:rsid w:val="37437A3A"/>
    <w:rsid w:val="374B8314"/>
    <w:rsid w:val="374DBD5E"/>
    <w:rsid w:val="3754585A"/>
    <w:rsid w:val="3755A9E9"/>
    <w:rsid w:val="375B1F0C"/>
    <w:rsid w:val="376C440F"/>
    <w:rsid w:val="37708D1B"/>
    <w:rsid w:val="3772B7EA"/>
    <w:rsid w:val="377C8C4D"/>
    <w:rsid w:val="3796EF14"/>
    <w:rsid w:val="379D3B11"/>
    <w:rsid w:val="37AC8AA1"/>
    <w:rsid w:val="37B5D8ED"/>
    <w:rsid w:val="37B99549"/>
    <w:rsid w:val="37BAF433"/>
    <w:rsid w:val="37C17C1C"/>
    <w:rsid w:val="37D00AE8"/>
    <w:rsid w:val="37D44075"/>
    <w:rsid w:val="37D8EF5F"/>
    <w:rsid w:val="37E813CC"/>
    <w:rsid w:val="37EA542D"/>
    <w:rsid w:val="37EE70C3"/>
    <w:rsid w:val="37F23F77"/>
    <w:rsid w:val="3802D7BE"/>
    <w:rsid w:val="3807A7B3"/>
    <w:rsid w:val="38081E68"/>
    <w:rsid w:val="380E6F3A"/>
    <w:rsid w:val="3811C64A"/>
    <w:rsid w:val="38155DFC"/>
    <w:rsid w:val="3816930A"/>
    <w:rsid w:val="382576AF"/>
    <w:rsid w:val="383BEA7F"/>
    <w:rsid w:val="38464998"/>
    <w:rsid w:val="38493578"/>
    <w:rsid w:val="387E4CE9"/>
    <w:rsid w:val="38834930"/>
    <w:rsid w:val="389001FA"/>
    <w:rsid w:val="389D9039"/>
    <w:rsid w:val="389E170B"/>
    <w:rsid w:val="38A673B7"/>
    <w:rsid w:val="38BBC5F4"/>
    <w:rsid w:val="38BFC382"/>
    <w:rsid w:val="38C4ED6F"/>
    <w:rsid w:val="38CC4A95"/>
    <w:rsid w:val="38F2767A"/>
    <w:rsid w:val="38F7105D"/>
    <w:rsid w:val="390CBC2B"/>
    <w:rsid w:val="39334B8A"/>
    <w:rsid w:val="393EBBF1"/>
    <w:rsid w:val="3941B981"/>
    <w:rsid w:val="39552841"/>
    <w:rsid w:val="3958A942"/>
    <w:rsid w:val="3959EE01"/>
    <w:rsid w:val="395DEE8E"/>
    <w:rsid w:val="3965F7F6"/>
    <w:rsid w:val="39821F4B"/>
    <w:rsid w:val="39871319"/>
    <w:rsid w:val="398E4628"/>
    <w:rsid w:val="39A047DA"/>
    <w:rsid w:val="39BA1CA2"/>
    <w:rsid w:val="39BB7E63"/>
    <w:rsid w:val="39CC2AB0"/>
    <w:rsid w:val="39CC847E"/>
    <w:rsid w:val="39D8C7C3"/>
    <w:rsid w:val="39DD903D"/>
    <w:rsid w:val="39E1B168"/>
    <w:rsid w:val="39F67814"/>
    <w:rsid w:val="39FB4971"/>
    <w:rsid w:val="3A0044B3"/>
    <w:rsid w:val="3A01659B"/>
    <w:rsid w:val="3A09AAE9"/>
    <w:rsid w:val="3A2252A6"/>
    <w:rsid w:val="3A2453D3"/>
    <w:rsid w:val="3A26E09F"/>
    <w:rsid w:val="3A29174A"/>
    <w:rsid w:val="3A2C1113"/>
    <w:rsid w:val="3A2C310E"/>
    <w:rsid w:val="3A448403"/>
    <w:rsid w:val="3A5AE9D9"/>
    <w:rsid w:val="3A5C4642"/>
    <w:rsid w:val="3A6A4400"/>
    <w:rsid w:val="3A7407F2"/>
    <w:rsid w:val="3A794D4D"/>
    <w:rsid w:val="3A872866"/>
    <w:rsid w:val="3A8A8814"/>
    <w:rsid w:val="3AAA7A1C"/>
    <w:rsid w:val="3AB1E933"/>
    <w:rsid w:val="3AB29644"/>
    <w:rsid w:val="3AB52F3C"/>
    <w:rsid w:val="3AC1776A"/>
    <w:rsid w:val="3ACC5991"/>
    <w:rsid w:val="3ACF7898"/>
    <w:rsid w:val="3AD124B8"/>
    <w:rsid w:val="3AF1360B"/>
    <w:rsid w:val="3AF5C5D4"/>
    <w:rsid w:val="3AF7FB1C"/>
    <w:rsid w:val="3AFD6344"/>
    <w:rsid w:val="3AFFECC5"/>
    <w:rsid w:val="3B02362B"/>
    <w:rsid w:val="3B07036F"/>
    <w:rsid w:val="3B0EEFB8"/>
    <w:rsid w:val="3B1892D4"/>
    <w:rsid w:val="3B1DAB8F"/>
    <w:rsid w:val="3B2EAC5D"/>
    <w:rsid w:val="3B3015DE"/>
    <w:rsid w:val="3B3595C5"/>
    <w:rsid w:val="3B36891C"/>
    <w:rsid w:val="3B3C64EB"/>
    <w:rsid w:val="3B3CD982"/>
    <w:rsid w:val="3B3D7B6E"/>
    <w:rsid w:val="3B423752"/>
    <w:rsid w:val="3B4B42CA"/>
    <w:rsid w:val="3B5C99B7"/>
    <w:rsid w:val="3B5F958E"/>
    <w:rsid w:val="3B69A0D1"/>
    <w:rsid w:val="3B75A125"/>
    <w:rsid w:val="3B763E50"/>
    <w:rsid w:val="3B8AE33D"/>
    <w:rsid w:val="3BAA8308"/>
    <w:rsid w:val="3BB6FFCA"/>
    <w:rsid w:val="3BBE1981"/>
    <w:rsid w:val="3BBEF263"/>
    <w:rsid w:val="3BBFC218"/>
    <w:rsid w:val="3BCC4359"/>
    <w:rsid w:val="3BD643C4"/>
    <w:rsid w:val="3BDF0BF8"/>
    <w:rsid w:val="3C050377"/>
    <w:rsid w:val="3C14381F"/>
    <w:rsid w:val="3C177D0D"/>
    <w:rsid w:val="3C2BE82B"/>
    <w:rsid w:val="3C3151E2"/>
    <w:rsid w:val="3C4CF23B"/>
    <w:rsid w:val="3C50FF9D"/>
    <w:rsid w:val="3C55FF43"/>
    <w:rsid w:val="3C589D76"/>
    <w:rsid w:val="3C5A95AA"/>
    <w:rsid w:val="3C5B5DD8"/>
    <w:rsid w:val="3C60A1CA"/>
    <w:rsid w:val="3C6833DC"/>
    <w:rsid w:val="3C7C99FB"/>
    <w:rsid w:val="3C80933C"/>
    <w:rsid w:val="3C9581F5"/>
    <w:rsid w:val="3C9E423E"/>
    <w:rsid w:val="3CADB7B9"/>
    <w:rsid w:val="3CC4FD4B"/>
    <w:rsid w:val="3CEAB57E"/>
    <w:rsid w:val="3CF0F435"/>
    <w:rsid w:val="3D05BE21"/>
    <w:rsid w:val="3D06E446"/>
    <w:rsid w:val="3D207E6A"/>
    <w:rsid w:val="3D259F6B"/>
    <w:rsid w:val="3D2B03B6"/>
    <w:rsid w:val="3D2DE756"/>
    <w:rsid w:val="3D36DA42"/>
    <w:rsid w:val="3D3A354D"/>
    <w:rsid w:val="3D4A2674"/>
    <w:rsid w:val="3D4CBD33"/>
    <w:rsid w:val="3D592AF7"/>
    <w:rsid w:val="3D5B1658"/>
    <w:rsid w:val="3D6A3C4E"/>
    <w:rsid w:val="3D71015C"/>
    <w:rsid w:val="3DA53952"/>
    <w:rsid w:val="3DACEB88"/>
    <w:rsid w:val="3DB3853B"/>
    <w:rsid w:val="3DD97452"/>
    <w:rsid w:val="3DE2BDD0"/>
    <w:rsid w:val="3DE5ACC1"/>
    <w:rsid w:val="3DE97AE8"/>
    <w:rsid w:val="3DF8130C"/>
    <w:rsid w:val="3E0724B0"/>
    <w:rsid w:val="3E0FD02E"/>
    <w:rsid w:val="3E123F21"/>
    <w:rsid w:val="3E145E5D"/>
    <w:rsid w:val="3E1F1D0E"/>
    <w:rsid w:val="3E214451"/>
    <w:rsid w:val="3E2A4475"/>
    <w:rsid w:val="3E4B9BF2"/>
    <w:rsid w:val="3E669FE7"/>
    <w:rsid w:val="3E760DDB"/>
    <w:rsid w:val="3E78608B"/>
    <w:rsid w:val="3E7FD3C2"/>
    <w:rsid w:val="3E80FA95"/>
    <w:rsid w:val="3E8B1701"/>
    <w:rsid w:val="3EA559A9"/>
    <w:rsid w:val="3EB6F3F8"/>
    <w:rsid w:val="3EC56F0C"/>
    <w:rsid w:val="3EE092F1"/>
    <w:rsid w:val="3EE5EAB3"/>
    <w:rsid w:val="3EE8D027"/>
    <w:rsid w:val="3EF0726E"/>
    <w:rsid w:val="3EF31910"/>
    <w:rsid w:val="3EF93543"/>
    <w:rsid w:val="3F01AB7A"/>
    <w:rsid w:val="3F0F4923"/>
    <w:rsid w:val="3F104C7F"/>
    <w:rsid w:val="3F23A64C"/>
    <w:rsid w:val="3F243D27"/>
    <w:rsid w:val="3F2A9C56"/>
    <w:rsid w:val="3F352AA5"/>
    <w:rsid w:val="3F37D701"/>
    <w:rsid w:val="3F3A7667"/>
    <w:rsid w:val="3F42D5AE"/>
    <w:rsid w:val="3F4E2031"/>
    <w:rsid w:val="3F4F559C"/>
    <w:rsid w:val="3F518C81"/>
    <w:rsid w:val="3F64D4B3"/>
    <w:rsid w:val="3F925D5A"/>
    <w:rsid w:val="3FA91860"/>
    <w:rsid w:val="3FB4E6B1"/>
    <w:rsid w:val="3FBC2EF4"/>
    <w:rsid w:val="3FC04DBF"/>
    <w:rsid w:val="3FC11F76"/>
    <w:rsid w:val="3FCF357D"/>
    <w:rsid w:val="3FD8308D"/>
    <w:rsid w:val="3FE37FF4"/>
    <w:rsid w:val="3FE3BC83"/>
    <w:rsid w:val="3FF5F036"/>
    <w:rsid w:val="4009DCD5"/>
    <w:rsid w:val="402BE93C"/>
    <w:rsid w:val="403F3170"/>
    <w:rsid w:val="403F7AAC"/>
    <w:rsid w:val="4041110C"/>
    <w:rsid w:val="4042588E"/>
    <w:rsid w:val="4048C7FD"/>
    <w:rsid w:val="4057F46B"/>
    <w:rsid w:val="40592E00"/>
    <w:rsid w:val="40621687"/>
    <w:rsid w:val="40654F43"/>
    <w:rsid w:val="4069B6B3"/>
    <w:rsid w:val="4072495A"/>
    <w:rsid w:val="40831BDA"/>
    <w:rsid w:val="4092E22C"/>
    <w:rsid w:val="40A43C3C"/>
    <w:rsid w:val="40BD9454"/>
    <w:rsid w:val="40C4965F"/>
    <w:rsid w:val="40C7CD7D"/>
    <w:rsid w:val="40CC68FE"/>
    <w:rsid w:val="40CE50C2"/>
    <w:rsid w:val="40D20EE8"/>
    <w:rsid w:val="40D23AC9"/>
    <w:rsid w:val="40D4845E"/>
    <w:rsid w:val="40DA880A"/>
    <w:rsid w:val="40ECB498"/>
    <w:rsid w:val="40F0A445"/>
    <w:rsid w:val="40F2860D"/>
    <w:rsid w:val="41069D4E"/>
    <w:rsid w:val="4109A12B"/>
    <w:rsid w:val="410AA252"/>
    <w:rsid w:val="4114CA4C"/>
    <w:rsid w:val="411651D0"/>
    <w:rsid w:val="41168DF4"/>
    <w:rsid w:val="41238EE9"/>
    <w:rsid w:val="412467AE"/>
    <w:rsid w:val="41278060"/>
    <w:rsid w:val="412ABBB3"/>
    <w:rsid w:val="413744B3"/>
    <w:rsid w:val="416C411B"/>
    <w:rsid w:val="41704947"/>
    <w:rsid w:val="41718D02"/>
    <w:rsid w:val="41781E63"/>
    <w:rsid w:val="417B5A81"/>
    <w:rsid w:val="41801A87"/>
    <w:rsid w:val="41837E3A"/>
    <w:rsid w:val="4185A4EC"/>
    <w:rsid w:val="418D4DD6"/>
    <w:rsid w:val="4194DBF2"/>
    <w:rsid w:val="419569DE"/>
    <w:rsid w:val="419C95FB"/>
    <w:rsid w:val="41A3EFA4"/>
    <w:rsid w:val="41B2AF4D"/>
    <w:rsid w:val="41B339E6"/>
    <w:rsid w:val="41B885F4"/>
    <w:rsid w:val="41B9F91E"/>
    <w:rsid w:val="41C3F58F"/>
    <w:rsid w:val="41CD4877"/>
    <w:rsid w:val="41D18622"/>
    <w:rsid w:val="41D393F7"/>
    <w:rsid w:val="41D78D73"/>
    <w:rsid w:val="41E04E40"/>
    <w:rsid w:val="4217428B"/>
    <w:rsid w:val="42243695"/>
    <w:rsid w:val="422EAEB4"/>
    <w:rsid w:val="42508439"/>
    <w:rsid w:val="4255159E"/>
    <w:rsid w:val="4257065E"/>
    <w:rsid w:val="426F8678"/>
    <w:rsid w:val="4279D0E3"/>
    <w:rsid w:val="4283BC8B"/>
    <w:rsid w:val="429D2004"/>
    <w:rsid w:val="42A09366"/>
    <w:rsid w:val="42AA88AE"/>
    <w:rsid w:val="42C21A07"/>
    <w:rsid w:val="42C6245B"/>
    <w:rsid w:val="42F00BDF"/>
    <w:rsid w:val="42F86851"/>
    <w:rsid w:val="42FAA346"/>
    <w:rsid w:val="431C4FA6"/>
    <w:rsid w:val="431FFE9C"/>
    <w:rsid w:val="4329D252"/>
    <w:rsid w:val="432AE49F"/>
    <w:rsid w:val="432D69BA"/>
    <w:rsid w:val="43381493"/>
    <w:rsid w:val="43381ACD"/>
    <w:rsid w:val="433DE648"/>
    <w:rsid w:val="433ED8E1"/>
    <w:rsid w:val="4340B975"/>
    <w:rsid w:val="4340CFA0"/>
    <w:rsid w:val="4349384C"/>
    <w:rsid w:val="434A31F6"/>
    <w:rsid w:val="4352AC87"/>
    <w:rsid w:val="435F33E0"/>
    <w:rsid w:val="43633AB6"/>
    <w:rsid w:val="437A31DD"/>
    <w:rsid w:val="438068BF"/>
    <w:rsid w:val="43827D34"/>
    <w:rsid w:val="439D210E"/>
    <w:rsid w:val="43ACB69F"/>
    <w:rsid w:val="43C01971"/>
    <w:rsid w:val="43CA96AD"/>
    <w:rsid w:val="43D177E0"/>
    <w:rsid w:val="43E8A3C2"/>
    <w:rsid w:val="43EF8539"/>
    <w:rsid w:val="440D18E4"/>
    <w:rsid w:val="4415C6D8"/>
    <w:rsid w:val="441A412F"/>
    <w:rsid w:val="4429570E"/>
    <w:rsid w:val="4434E0CF"/>
    <w:rsid w:val="44350DB9"/>
    <w:rsid w:val="44366F7A"/>
    <w:rsid w:val="443810D1"/>
    <w:rsid w:val="44520440"/>
    <w:rsid w:val="445745AA"/>
    <w:rsid w:val="445EDEA1"/>
    <w:rsid w:val="44804582"/>
    <w:rsid w:val="4484A405"/>
    <w:rsid w:val="448667C0"/>
    <w:rsid w:val="4490524A"/>
    <w:rsid w:val="44A2CFA5"/>
    <w:rsid w:val="44A76CB8"/>
    <w:rsid w:val="44A9E425"/>
    <w:rsid w:val="44BC4204"/>
    <w:rsid w:val="44CCDD1B"/>
    <w:rsid w:val="44CD8C06"/>
    <w:rsid w:val="44D3E92D"/>
    <w:rsid w:val="44DD10A8"/>
    <w:rsid w:val="44EE8F30"/>
    <w:rsid w:val="44F18E0E"/>
    <w:rsid w:val="450E3289"/>
    <w:rsid w:val="452BC604"/>
    <w:rsid w:val="4532A98E"/>
    <w:rsid w:val="4534BAD2"/>
    <w:rsid w:val="4537A6D4"/>
    <w:rsid w:val="453B0BC0"/>
    <w:rsid w:val="454291EF"/>
    <w:rsid w:val="4546D345"/>
    <w:rsid w:val="45486181"/>
    <w:rsid w:val="454E2E90"/>
    <w:rsid w:val="4552642B"/>
    <w:rsid w:val="4555790B"/>
    <w:rsid w:val="45590961"/>
    <w:rsid w:val="455A7694"/>
    <w:rsid w:val="4560491A"/>
    <w:rsid w:val="4560C4ED"/>
    <w:rsid w:val="4562EAE4"/>
    <w:rsid w:val="4566FE86"/>
    <w:rsid w:val="4567A66D"/>
    <w:rsid w:val="457E547B"/>
    <w:rsid w:val="458B3934"/>
    <w:rsid w:val="45918EEC"/>
    <w:rsid w:val="45975BE6"/>
    <w:rsid w:val="45A56EC3"/>
    <w:rsid w:val="45C9A45E"/>
    <w:rsid w:val="45D17592"/>
    <w:rsid w:val="45D2868D"/>
    <w:rsid w:val="45D6403D"/>
    <w:rsid w:val="45D8DEAA"/>
    <w:rsid w:val="45DC19C9"/>
    <w:rsid w:val="45E36568"/>
    <w:rsid w:val="45E7546F"/>
    <w:rsid w:val="45E8400F"/>
    <w:rsid w:val="45F0B26F"/>
    <w:rsid w:val="45F0BEA6"/>
    <w:rsid w:val="45F45F67"/>
    <w:rsid w:val="460A71A5"/>
    <w:rsid w:val="463E7701"/>
    <w:rsid w:val="46401D89"/>
    <w:rsid w:val="46518298"/>
    <w:rsid w:val="465498F3"/>
    <w:rsid w:val="4674EF92"/>
    <w:rsid w:val="468049DD"/>
    <w:rsid w:val="46852E4A"/>
    <w:rsid w:val="4685DEEA"/>
    <w:rsid w:val="46888E28"/>
    <w:rsid w:val="4697FC4B"/>
    <w:rsid w:val="46AC377F"/>
    <w:rsid w:val="46AF6A74"/>
    <w:rsid w:val="46B757AD"/>
    <w:rsid w:val="46CA539D"/>
    <w:rsid w:val="46CCBBC9"/>
    <w:rsid w:val="46D63990"/>
    <w:rsid w:val="46D87BBD"/>
    <w:rsid w:val="46DB86E1"/>
    <w:rsid w:val="46DC5BC2"/>
    <w:rsid w:val="46FEBB45"/>
    <w:rsid w:val="471E3871"/>
    <w:rsid w:val="473DAD41"/>
    <w:rsid w:val="473F4506"/>
    <w:rsid w:val="47449923"/>
    <w:rsid w:val="4764DD07"/>
    <w:rsid w:val="47672F54"/>
    <w:rsid w:val="4777EA9D"/>
    <w:rsid w:val="477859C5"/>
    <w:rsid w:val="479C6F96"/>
    <w:rsid w:val="47C11988"/>
    <w:rsid w:val="47C4D898"/>
    <w:rsid w:val="47D644D8"/>
    <w:rsid w:val="47E41D1F"/>
    <w:rsid w:val="47F0F634"/>
    <w:rsid w:val="47FB023B"/>
    <w:rsid w:val="48001D7C"/>
    <w:rsid w:val="480FCCF3"/>
    <w:rsid w:val="481DB5F1"/>
    <w:rsid w:val="48215959"/>
    <w:rsid w:val="48291E07"/>
    <w:rsid w:val="4831A066"/>
    <w:rsid w:val="4834EFC9"/>
    <w:rsid w:val="4839E41F"/>
    <w:rsid w:val="484B6D59"/>
    <w:rsid w:val="485F052E"/>
    <w:rsid w:val="486E4CDA"/>
    <w:rsid w:val="4874AEBB"/>
    <w:rsid w:val="487761DA"/>
    <w:rsid w:val="48796ADD"/>
    <w:rsid w:val="48930CD5"/>
    <w:rsid w:val="48A01074"/>
    <w:rsid w:val="48A3FC1D"/>
    <w:rsid w:val="48AD959A"/>
    <w:rsid w:val="48B0495E"/>
    <w:rsid w:val="48B1FD4B"/>
    <w:rsid w:val="48B219AF"/>
    <w:rsid w:val="48BDD0A0"/>
    <w:rsid w:val="48BF4728"/>
    <w:rsid w:val="48D3BA3B"/>
    <w:rsid w:val="48DAE51D"/>
    <w:rsid w:val="48E6C51A"/>
    <w:rsid w:val="48F31196"/>
    <w:rsid w:val="48F60AAD"/>
    <w:rsid w:val="490EA81A"/>
    <w:rsid w:val="4922C947"/>
    <w:rsid w:val="4926FF6E"/>
    <w:rsid w:val="492D5DFD"/>
    <w:rsid w:val="49377597"/>
    <w:rsid w:val="49416676"/>
    <w:rsid w:val="49444908"/>
    <w:rsid w:val="49635F80"/>
    <w:rsid w:val="4965B70D"/>
    <w:rsid w:val="49802678"/>
    <w:rsid w:val="4981AB66"/>
    <w:rsid w:val="4983588A"/>
    <w:rsid w:val="49894C9F"/>
    <w:rsid w:val="498A2E23"/>
    <w:rsid w:val="498B0A66"/>
    <w:rsid w:val="49942989"/>
    <w:rsid w:val="49D21BB0"/>
    <w:rsid w:val="49DA7875"/>
    <w:rsid w:val="49DF7D99"/>
    <w:rsid w:val="49E7A18F"/>
    <w:rsid w:val="4A063757"/>
    <w:rsid w:val="4A0BDB4D"/>
    <w:rsid w:val="4A0EBE02"/>
    <w:rsid w:val="4A0EDCB1"/>
    <w:rsid w:val="4A115B26"/>
    <w:rsid w:val="4A177D81"/>
    <w:rsid w:val="4A1D6F72"/>
    <w:rsid w:val="4A21A625"/>
    <w:rsid w:val="4A3AC1D5"/>
    <w:rsid w:val="4A3DC1C5"/>
    <w:rsid w:val="4A452953"/>
    <w:rsid w:val="4A47489E"/>
    <w:rsid w:val="4A52D560"/>
    <w:rsid w:val="4A5A611B"/>
    <w:rsid w:val="4A62A549"/>
    <w:rsid w:val="4A6A4DB8"/>
    <w:rsid w:val="4A6C9841"/>
    <w:rsid w:val="4A6FBDF0"/>
    <w:rsid w:val="4A81C68D"/>
    <w:rsid w:val="4A92521D"/>
    <w:rsid w:val="4AAB5485"/>
    <w:rsid w:val="4AC0BEE0"/>
    <w:rsid w:val="4AC6E6A4"/>
    <w:rsid w:val="4ACB36AC"/>
    <w:rsid w:val="4AD158E0"/>
    <w:rsid w:val="4AD90774"/>
    <w:rsid w:val="4AF98D8A"/>
    <w:rsid w:val="4AFDD9B3"/>
    <w:rsid w:val="4B03C9E3"/>
    <w:rsid w:val="4B068707"/>
    <w:rsid w:val="4B19EAA3"/>
    <w:rsid w:val="4B1C6560"/>
    <w:rsid w:val="4B244CD8"/>
    <w:rsid w:val="4B2B4DAA"/>
    <w:rsid w:val="4B2FC64A"/>
    <w:rsid w:val="4B37BE38"/>
    <w:rsid w:val="4B3B04DA"/>
    <w:rsid w:val="4B4C5DA6"/>
    <w:rsid w:val="4B4F9D2E"/>
    <w:rsid w:val="4B504347"/>
    <w:rsid w:val="4B755E37"/>
    <w:rsid w:val="4B8366DB"/>
    <w:rsid w:val="4B87CED8"/>
    <w:rsid w:val="4B8E7A94"/>
    <w:rsid w:val="4B92E7A0"/>
    <w:rsid w:val="4BB3BD61"/>
    <w:rsid w:val="4BB85267"/>
    <w:rsid w:val="4BC14786"/>
    <w:rsid w:val="4BC61111"/>
    <w:rsid w:val="4BC71D03"/>
    <w:rsid w:val="4BD8CF64"/>
    <w:rsid w:val="4BF7E487"/>
    <w:rsid w:val="4BFB22FC"/>
    <w:rsid w:val="4C0AFE20"/>
    <w:rsid w:val="4C128604"/>
    <w:rsid w:val="4C15A6F7"/>
    <w:rsid w:val="4C167712"/>
    <w:rsid w:val="4C180A46"/>
    <w:rsid w:val="4C19D64A"/>
    <w:rsid w:val="4C1F0037"/>
    <w:rsid w:val="4C236853"/>
    <w:rsid w:val="4C28A72A"/>
    <w:rsid w:val="4C55B68B"/>
    <w:rsid w:val="4C590AC2"/>
    <w:rsid w:val="4C6686DC"/>
    <w:rsid w:val="4C678E75"/>
    <w:rsid w:val="4C70F95D"/>
    <w:rsid w:val="4C738BEB"/>
    <w:rsid w:val="4C7839D4"/>
    <w:rsid w:val="4C8B31C4"/>
    <w:rsid w:val="4C8BFA28"/>
    <w:rsid w:val="4C906243"/>
    <w:rsid w:val="4CA3DE14"/>
    <w:rsid w:val="4CABFCB0"/>
    <w:rsid w:val="4CAF529A"/>
    <w:rsid w:val="4CB0FC6E"/>
    <w:rsid w:val="4CB7D686"/>
    <w:rsid w:val="4CCD1258"/>
    <w:rsid w:val="4CCD8E76"/>
    <w:rsid w:val="4CE1EF6F"/>
    <w:rsid w:val="4CE7FCD7"/>
    <w:rsid w:val="4CE82CBB"/>
    <w:rsid w:val="4CF1CD9D"/>
    <w:rsid w:val="4CF26C9C"/>
    <w:rsid w:val="4CF35243"/>
    <w:rsid w:val="4CFDC73C"/>
    <w:rsid w:val="4D06D09F"/>
    <w:rsid w:val="4D0717E0"/>
    <w:rsid w:val="4D19371C"/>
    <w:rsid w:val="4D211423"/>
    <w:rsid w:val="4D513787"/>
    <w:rsid w:val="4D532ED0"/>
    <w:rsid w:val="4D591CD2"/>
    <w:rsid w:val="4D5B18FC"/>
    <w:rsid w:val="4D646180"/>
    <w:rsid w:val="4D8099CC"/>
    <w:rsid w:val="4D864A37"/>
    <w:rsid w:val="4D8AF4F3"/>
    <w:rsid w:val="4DA0FA2B"/>
    <w:rsid w:val="4DA5962E"/>
    <w:rsid w:val="4DB71ED0"/>
    <w:rsid w:val="4DC4D4CD"/>
    <w:rsid w:val="4DC6E003"/>
    <w:rsid w:val="4DCD2E1F"/>
    <w:rsid w:val="4DD16844"/>
    <w:rsid w:val="4E0003E9"/>
    <w:rsid w:val="4E00404C"/>
    <w:rsid w:val="4E14EBF2"/>
    <w:rsid w:val="4E25FA26"/>
    <w:rsid w:val="4E2A8362"/>
    <w:rsid w:val="4E387BB4"/>
    <w:rsid w:val="4E4375E2"/>
    <w:rsid w:val="4E4677B6"/>
    <w:rsid w:val="4E6F6E7E"/>
    <w:rsid w:val="4E70C368"/>
    <w:rsid w:val="4E87D9A5"/>
    <w:rsid w:val="4E996724"/>
    <w:rsid w:val="4E9A389E"/>
    <w:rsid w:val="4E9A58C4"/>
    <w:rsid w:val="4EA31CB2"/>
    <w:rsid w:val="4EA40C45"/>
    <w:rsid w:val="4EB60B3C"/>
    <w:rsid w:val="4EC00BB2"/>
    <w:rsid w:val="4ECBF4DA"/>
    <w:rsid w:val="4ED1FD75"/>
    <w:rsid w:val="4EDC8D2C"/>
    <w:rsid w:val="4EE58B3F"/>
    <w:rsid w:val="4EEB6510"/>
    <w:rsid w:val="4EEEDF20"/>
    <w:rsid w:val="4F01937E"/>
    <w:rsid w:val="4F0D84F9"/>
    <w:rsid w:val="4F2B79D1"/>
    <w:rsid w:val="4F409FCA"/>
    <w:rsid w:val="4F47643F"/>
    <w:rsid w:val="4F496B68"/>
    <w:rsid w:val="4F560981"/>
    <w:rsid w:val="4F575E47"/>
    <w:rsid w:val="4F5AF6BB"/>
    <w:rsid w:val="4F6079C2"/>
    <w:rsid w:val="4F719F29"/>
    <w:rsid w:val="4F8AEA08"/>
    <w:rsid w:val="4F96D123"/>
    <w:rsid w:val="4FA325AB"/>
    <w:rsid w:val="4FB518B3"/>
    <w:rsid w:val="4FC582FF"/>
    <w:rsid w:val="4FD2485D"/>
    <w:rsid w:val="4FD89551"/>
    <w:rsid w:val="4FDB65B4"/>
    <w:rsid w:val="4FDC98A7"/>
    <w:rsid w:val="4FEBCA9E"/>
    <w:rsid w:val="4FF7B49B"/>
    <w:rsid w:val="4FFD901D"/>
    <w:rsid w:val="4FFE52F3"/>
    <w:rsid w:val="5000AC0C"/>
    <w:rsid w:val="5003F464"/>
    <w:rsid w:val="5007935C"/>
    <w:rsid w:val="50170C7B"/>
    <w:rsid w:val="5019D972"/>
    <w:rsid w:val="501D96D8"/>
    <w:rsid w:val="501DD0F0"/>
    <w:rsid w:val="502BD1BF"/>
    <w:rsid w:val="502E30E6"/>
    <w:rsid w:val="502F2BBE"/>
    <w:rsid w:val="503FD9E6"/>
    <w:rsid w:val="504322B3"/>
    <w:rsid w:val="5046087C"/>
    <w:rsid w:val="5047BCA3"/>
    <w:rsid w:val="505667C4"/>
    <w:rsid w:val="5059048C"/>
    <w:rsid w:val="5074074A"/>
    <w:rsid w:val="5077EE65"/>
    <w:rsid w:val="507A03FE"/>
    <w:rsid w:val="507BE6BD"/>
    <w:rsid w:val="507E83B0"/>
    <w:rsid w:val="507F43BF"/>
    <w:rsid w:val="50A35468"/>
    <w:rsid w:val="50A38AA1"/>
    <w:rsid w:val="50B2FACA"/>
    <w:rsid w:val="50CA9456"/>
    <w:rsid w:val="50CF1ACB"/>
    <w:rsid w:val="50CFFB93"/>
    <w:rsid w:val="50E77264"/>
    <w:rsid w:val="50EBD995"/>
    <w:rsid w:val="50ED16A8"/>
    <w:rsid w:val="50F290B8"/>
    <w:rsid w:val="50F3AAC9"/>
    <w:rsid w:val="50F9A112"/>
    <w:rsid w:val="51081D4D"/>
    <w:rsid w:val="5108AFD9"/>
    <w:rsid w:val="511FADD6"/>
    <w:rsid w:val="51297A76"/>
    <w:rsid w:val="51315C29"/>
    <w:rsid w:val="513248C4"/>
    <w:rsid w:val="51343C62"/>
    <w:rsid w:val="515042E2"/>
    <w:rsid w:val="515104B8"/>
    <w:rsid w:val="51530B28"/>
    <w:rsid w:val="515EB459"/>
    <w:rsid w:val="5166E8C4"/>
    <w:rsid w:val="516DF898"/>
    <w:rsid w:val="51A14E04"/>
    <w:rsid w:val="51A7C46A"/>
    <w:rsid w:val="51B6A6D0"/>
    <w:rsid w:val="51B75DE8"/>
    <w:rsid w:val="51C24646"/>
    <w:rsid w:val="51CB07B2"/>
    <w:rsid w:val="51D0BBCE"/>
    <w:rsid w:val="51E5FA79"/>
    <w:rsid w:val="51E698F4"/>
    <w:rsid w:val="51F0E35F"/>
    <w:rsid w:val="51F48546"/>
    <w:rsid w:val="51F87473"/>
    <w:rsid w:val="51FC96F0"/>
    <w:rsid w:val="520C1E9C"/>
    <w:rsid w:val="520CC2DD"/>
    <w:rsid w:val="520E58FC"/>
    <w:rsid w:val="520EA9C2"/>
    <w:rsid w:val="5210D9FD"/>
    <w:rsid w:val="5227565B"/>
    <w:rsid w:val="522E9CF3"/>
    <w:rsid w:val="5232B225"/>
    <w:rsid w:val="523D818D"/>
    <w:rsid w:val="524AAB92"/>
    <w:rsid w:val="524B699B"/>
    <w:rsid w:val="5251DF75"/>
    <w:rsid w:val="5255113B"/>
    <w:rsid w:val="5257FB00"/>
    <w:rsid w:val="52585A94"/>
    <w:rsid w:val="525E5F47"/>
    <w:rsid w:val="5278D797"/>
    <w:rsid w:val="527B674D"/>
    <w:rsid w:val="527BB139"/>
    <w:rsid w:val="527E07A9"/>
    <w:rsid w:val="528FD552"/>
    <w:rsid w:val="52A4C6EC"/>
    <w:rsid w:val="52ADB82F"/>
    <w:rsid w:val="52BC3D44"/>
    <w:rsid w:val="52DEE7C1"/>
    <w:rsid w:val="52E7E155"/>
    <w:rsid w:val="52EB57ED"/>
    <w:rsid w:val="5308F213"/>
    <w:rsid w:val="53130A79"/>
    <w:rsid w:val="531C1CB9"/>
    <w:rsid w:val="531CFA09"/>
    <w:rsid w:val="53201024"/>
    <w:rsid w:val="5321D20C"/>
    <w:rsid w:val="53294246"/>
    <w:rsid w:val="532ADE4C"/>
    <w:rsid w:val="532BD1ED"/>
    <w:rsid w:val="5347BB69"/>
    <w:rsid w:val="535EA92D"/>
    <w:rsid w:val="5373BE34"/>
    <w:rsid w:val="5397A03B"/>
    <w:rsid w:val="539A821D"/>
    <w:rsid w:val="53A30456"/>
    <w:rsid w:val="53A3EE5E"/>
    <w:rsid w:val="53B8F127"/>
    <w:rsid w:val="53C137BE"/>
    <w:rsid w:val="53CF9ABA"/>
    <w:rsid w:val="53D7DC4C"/>
    <w:rsid w:val="53D840F3"/>
    <w:rsid w:val="53E172C4"/>
    <w:rsid w:val="53E2C1D8"/>
    <w:rsid w:val="53EE14DC"/>
    <w:rsid w:val="540D00C9"/>
    <w:rsid w:val="541566AE"/>
    <w:rsid w:val="5427E065"/>
    <w:rsid w:val="542C8FAC"/>
    <w:rsid w:val="54323178"/>
    <w:rsid w:val="54423B60"/>
    <w:rsid w:val="5448BD24"/>
    <w:rsid w:val="545236CB"/>
    <w:rsid w:val="5452E798"/>
    <w:rsid w:val="5454DFA6"/>
    <w:rsid w:val="5467CFD4"/>
    <w:rsid w:val="5467D549"/>
    <w:rsid w:val="5468BA96"/>
    <w:rsid w:val="54739CB7"/>
    <w:rsid w:val="54744F48"/>
    <w:rsid w:val="5486055E"/>
    <w:rsid w:val="549305AB"/>
    <w:rsid w:val="549CA318"/>
    <w:rsid w:val="54AC7291"/>
    <w:rsid w:val="54B0A142"/>
    <w:rsid w:val="54B5E5BD"/>
    <w:rsid w:val="54BA6954"/>
    <w:rsid w:val="54C0D238"/>
    <w:rsid w:val="54D4282E"/>
    <w:rsid w:val="54D603C6"/>
    <w:rsid w:val="54E1FDC0"/>
    <w:rsid w:val="54E58291"/>
    <w:rsid w:val="54F53748"/>
    <w:rsid w:val="54FE7994"/>
    <w:rsid w:val="54FFA844"/>
    <w:rsid w:val="550ED0EF"/>
    <w:rsid w:val="5511924D"/>
    <w:rsid w:val="5512E0B4"/>
    <w:rsid w:val="551380CA"/>
    <w:rsid w:val="5513FFB1"/>
    <w:rsid w:val="551A483F"/>
    <w:rsid w:val="551EC52E"/>
    <w:rsid w:val="55204555"/>
    <w:rsid w:val="5520CD5E"/>
    <w:rsid w:val="5525D99F"/>
    <w:rsid w:val="5540B3DB"/>
    <w:rsid w:val="5542DADE"/>
    <w:rsid w:val="554568C1"/>
    <w:rsid w:val="5546E3C8"/>
    <w:rsid w:val="554CA903"/>
    <w:rsid w:val="5554BD68"/>
    <w:rsid w:val="555E8AA3"/>
    <w:rsid w:val="5562665C"/>
    <w:rsid w:val="5566239A"/>
    <w:rsid w:val="5569F8C5"/>
    <w:rsid w:val="556CD798"/>
    <w:rsid w:val="5573B0C3"/>
    <w:rsid w:val="557EE85C"/>
    <w:rsid w:val="55870031"/>
    <w:rsid w:val="5587320A"/>
    <w:rsid w:val="559C8176"/>
    <w:rsid w:val="55A8864F"/>
    <w:rsid w:val="55AB4187"/>
    <w:rsid w:val="55B06C79"/>
    <w:rsid w:val="55B369C4"/>
    <w:rsid w:val="55B79A9B"/>
    <w:rsid w:val="55BB276B"/>
    <w:rsid w:val="55BD4693"/>
    <w:rsid w:val="55C8C002"/>
    <w:rsid w:val="55C8E254"/>
    <w:rsid w:val="55CA9562"/>
    <w:rsid w:val="55D1B33E"/>
    <w:rsid w:val="55D97AD8"/>
    <w:rsid w:val="560713BD"/>
    <w:rsid w:val="560E70BB"/>
    <w:rsid w:val="5614A3AD"/>
    <w:rsid w:val="561A2C0F"/>
    <w:rsid w:val="564617E6"/>
    <w:rsid w:val="564B5B1D"/>
    <w:rsid w:val="564F851B"/>
    <w:rsid w:val="5673BE1F"/>
    <w:rsid w:val="568A4AE4"/>
    <w:rsid w:val="568B8908"/>
    <w:rsid w:val="56A42FB9"/>
    <w:rsid w:val="56AD5D13"/>
    <w:rsid w:val="56AE4B70"/>
    <w:rsid w:val="56B618A0"/>
    <w:rsid w:val="56C163F9"/>
    <w:rsid w:val="56C7B21C"/>
    <w:rsid w:val="56CDD448"/>
    <w:rsid w:val="56CE970A"/>
    <w:rsid w:val="56DA0F6A"/>
    <w:rsid w:val="56E1E32F"/>
    <w:rsid w:val="56F028F3"/>
    <w:rsid w:val="5703AFCB"/>
    <w:rsid w:val="570495BF"/>
    <w:rsid w:val="57095D1A"/>
    <w:rsid w:val="570AD308"/>
    <w:rsid w:val="5713C64A"/>
    <w:rsid w:val="57165B1B"/>
    <w:rsid w:val="57197DF8"/>
    <w:rsid w:val="571F1FAE"/>
    <w:rsid w:val="572BFE88"/>
    <w:rsid w:val="572E4DC5"/>
    <w:rsid w:val="5735E4D2"/>
    <w:rsid w:val="573EBA7B"/>
    <w:rsid w:val="5741029D"/>
    <w:rsid w:val="574340A2"/>
    <w:rsid w:val="57491BBA"/>
    <w:rsid w:val="574B1A37"/>
    <w:rsid w:val="575E049E"/>
    <w:rsid w:val="575ECDEC"/>
    <w:rsid w:val="5768974A"/>
    <w:rsid w:val="5777F15D"/>
    <w:rsid w:val="57888942"/>
    <w:rsid w:val="578D8170"/>
    <w:rsid w:val="579DB01A"/>
    <w:rsid w:val="57B0A05A"/>
    <w:rsid w:val="57B143B4"/>
    <w:rsid w:val="57C000CF"/>
    <w:rsid w:val="57C2E4F5"/>
    <w:rsid w:val="57CB7956"/>
    <w:rsid w:val="57CD8031"/>
    <w:rsid w:val="57CF6A25"/>
    <w:rsid w:val="57D00804"/>
    <w:rsid w:val="57D1311A"/>
    <w:rsid w:val="57D3CD25"/>
    <w:rsid w:val="57D3E98B"/>
    <w:rsid w:val="57FCB43C"/>
    <w:rsid w:val="5803007F"/>
    <w:rsid w:val="581C358D"/>
    <w:rsid w:val="581FB57B"/>
    <w:rsid w:val="581FFECB"/>
    <w:rsid w:val="582325F9"/>
    <w:rsid w:val="582D58AA"/>
    <w:rsid w:val="583325F9"/>
    <w:rsid w:val="583FE377"/>
    <w:rsid w:val="5848C235"/>
    <w:rsid w:val="585E24C5"/>
    <w:rsid w:val="586D46EC"/>
    <w:rsid w:val="586F0983"/>
    <w:rsid w:val="587129E6"/>
    <w:rsid w:val="5873126D"/>
    <w:rsid w:val="5894A3A6"/>
    <w:rsid w:val="58952F46"/>
    <w:rsid w:val="5895DF18"/>
    <w:rsid w:val="58A74CC0"/>
    <w:rsid w:val="58B10A4B"/>
    <w:rsid w:val="58B43714"/>
    <w:rsid w:val="58D5886B"/>
    <w:rsid w:val="58D6D2B0"/>
    <w:rsid w:val="58DD9D5E"/>
    <w:rsid w:val="58F33D2E"/>
    <w:rsid w:val="59076352"/>
    <w:rsid w:val="59156936"/>
    <w:rsid w:val="5917C716"/>
    <w:rsid w:val="59224EED"/>
    <w:rsid w:val="592D1656"/>
    <w:rsid w:val="592E1810"/>
    <w:rsid w:val="5947CD35"/>
    <w:rsid w:val="594A3AC2"/>
    <w:rsid w:val="594D81A7"/>
    <w:rsid w:val="595112D4"/>
    <w:rsid w:val="595509CB"/>
    <w:rsid w:val="5957E2EA"/>
    <w:rsid w:val="59637342"/>
    <w:rsid w:val="5964EF80"/>
    <w:rsid w:val="5966E92C"/>
    <w:rsid w:val="598C9B21"/>
    <w:rsid w:val="59A49BDC"/>
    <w:rsid w:val="59AC5FE9"/>
    <w:rsid w:val="59B56ABE"/>
    <w:rsid w:val="59B9F98C"/>
    <w:rsid w:val="59BE91B3"/>
    <w:rsid w:val="59C4D32D"/>
    <w:rsid w:val="59C82D2C"/>
    <w:rsid w:val="59C9731A"/>
    <w:rsid w:val="59C9D75B"/>
    <w:rsid w:val="59CD6A0A"/>
    <w:rsid w:val="59D4E42F"/>
    <w:rsid w:val="59D7B475"/>
    <w:rsid w:val="59E0721B"/>
    <w:rsid w:val="59E7410A"/>
    <w:rsid w:val="59EDB962"/>
    <w:rsid w:val="59FD3656"/>
    <w:rsid w:val="5A1A4777"/>
    <w:rsid w:val="5A2440F1"/>
    <w:rsid w:val="5A26108A"/>
    <w:rsid w:val="5A385D1C"/>
    <w:rsid w:val="5A3A30F2"/>
    <w:rsid w:val="5A685A26"/>
    <w:rsid w:val="5A6FF299"/>
    <w:rsid w:val="5A75D47C"/>
    <w:rsid w:val="5A7C9AB5"/>
    <w:rsid w:val="5A83A653"/>
    <w:rsid w:val="5A939CA3"/>
    <w:rsid w:val="5A9827D6"/>
    <w:rsid w:val="5AB2492C"/>
    <w:rsid w:val="5AB83900"/>
    <w:rsid w:val="5AB9D110"/>
    <w:rsid w:val="5AC65701"/>
    <w:rsid w:val="5AC6A35D"/>
    <w:rsid w:val="5AC8E6B7"/>
    <w:rsid w:val="5ACEA254"/>
    <w:rsid w:val="5AD3F530"/>
    <w:rsid w:val="5ADEA336"/>
    <w:rsid w:val="5ADFC45C"/>
    <w:rsid w:val="5AF68638"/>
    <w:rsid w:val="5B09A9F9"/>
    <w:rsid w:val="5B0A292B"/>
    <w:rsid w:val="5B1403F8"/>
    <w:rsid w:val="5B203DA1"/>
    <w:rsid w:val="5B222298"/>
    <w:rsid w:val="5B340438"/>
    <w:rsid w:val="5B352ECB"/>
    <w:rsid w:val="5B3D2729"/>
    <w:rsid w:val="5B3FEF15"/>
    <w:rsid w:val="5B43B791"/>
    <w:rsid w:val="5B789263"/>
    <w:rsid w:val="5B8202C1"/>
    <w:rsid w:val="5B826B34"/>
    <w:rsid w:val="5B894008"/>
    <w:rsid w:val="5B9E93E6"/>
    <w:rsid w:val="5BA51F6B"/>
    <w:rsid w:val="5BA8A1B4"/>
    <w:rsid w:val="5BD0899B"/>
    <w:rsid w:val="5BE2D6B7"/>
    <w:rsid w:val="5BED635A"/>
    <w:rsid w:val="5BEE5A6A"/>
    <w:rsid w:val="5BFC0AB8"/>
    <w:rsid w:val="5BFF8E37"/>
    <w:rsid w:val="5C0D9122"/>
    <w:rsid w:val="5C0E5D5A"/>
    <w:rsid w:val="5C12C42F"/>
    <w:rsid w:val="5C1C2B2F"/>
    <w:rsid w:val="5C1FCAB0"/>
    <w:rsid w:val="5C22ED22"/>
    <w:rsid w:val="5C2F93FF"/>
    <w:rsid w:val="5C472817"/>
    <w:rsid w:val="5C72B8E2"/>
    <w:rsid w:val="5C750CA8"/>
    <w:rsid w:val="5C7F2136"/>
    <w:rsid w:val="5C8C984F"/>
    <w:rsid w:val="5C919634"/>
    <w:rsid w:val="5C91C847"/>
    <w:rsid w:val="5CA5D110"/>
    <w:rsid w:val="5CA699F7"/>
    <w:rsid w:val="5CAAF216"/>
    <w:rsid w:val="5CB75FEF"/>
    <w:rsid w:val="5CBB1574"/>
    <w:rsid w:val="5CC3A46B"/>
    <w:rsid w:val="5CC86AAA"/>
    <w:rsid w:val="5CD0728C"/>
    <w:rsid w:val="5CDCE6A9"/>
    <w:rsid w:val="5CE03A26"/>
    <w:rsid w:val="5D019876"/>
    <w:rsid w:val="5D05CFF0"/>
    <w:rsid w:val="5D086889"/>
    <w:rsid w:val="5D182D4A"/>
    <w:rsid w:val="5D33E41B"/>
    <w:rsid w:val="5D45F7F0"/>
    <w:rsid w:val="5D5BEC79"/>
    <w:rsid w:val="5D5D3BEA"/>
    <w:rsid w:val="5D5EF3F1"/>
    <w:rsid w:val="5D659195"/>
    <w:rsid w:val="5D7BC675"/>
    <w:rsid w:val="5D94921C"/>
    <w:rsid w:val="5DAEDB95"/>
    <w:rsid w:val="5DC00B86"/>
    <w:rsid w:val="5DD53C2F"/>
    <w:rsid w:val="5DE82F00"/>
    <w:rsid w:val="5DE854EF"/>
    <w:rsid w:val="5DEDE502"/>
    <w:rsid w:val="5DF409CE"/>
    <w:rsid w:val="5DF69A91"/>
    <w:rsid w:val="5DF70178"/>
    <w:rsid w:val="5DFAAE10"/>
    <w:rsid w:val="5E065817"/>
    <w:rsid w:val="5E09672B"/>
    <w:rsid w:val="5E118238"/>
    <w:rsid w:val="5E11D283"/>
    <w:rsid w:val="5E1EDF75"/>
    <w:rsid w:val="5E205B81"/>
    <w:rsid w:val="5E30F3BD"/>
    <w:rsid w:val="5E34BAE6"/>
    <w:rsid w:val="5E3BF87E"/>
    <w:rsid w:val="5E43FD6C"/>
    <w:rsid w:val="5E4C6FCF"/>
    <w:rsid w:val="5E8A4381"/>
    <w:rsid w:val="5E8FCC4D"/>
    <w:rsid w:val="5E903C6E"/>
    <w:rsid w:val="5E929255"/>
    <w:rsid w:val="5E95C09A"/>
    <w:rsid w:val="5E997AB7"/>
    <w:rsid w:val="5E9D3C7E"/>
    <w:rsid w:val="5E9F29E4"/>
    <w:rsid w:val="5EA7F723"/>
    <w:rsid w:val="5EAD5E93"/>
    <w:rsid w:val="5EB547CA"/>
    <w:rsid w:val="5EBFFC77"/>
    <w:rsid w:val="5ECA4600"/>
    <w:rsid w:val="5ED44430"/>
    <w:rsid w:val="5EEA6F2F"/>
    <w:rsid w:val="5EFEFE37"/>
    <w:rsid w:val="5F0A06AB"/>
    <w:rsid w:val="5F0C50A5"/>
    <w:rsid w:val="5F19CF1A"/>
    <w:rsid w:val="5F30E4D6"/>
    <w:rsid w:val="5F332504"/>
    <w:rsid w:val="5F34D0C6"/>
    <w:rsid w:val="5F3D2D0A"/>
    <w:rsid w:val="5F413381"/>
    <w:rsid w:val="5F473CAD"/>
    <w:rsid w:val="5F4B710A"/>
    <w:rsid w:val="5F4E0CC0"/>
    <w:rsid w:val="5F4E3F91"/>
    <w:rsid w:val="5F536FA3"/>
    <w:rsid w:val="5F689576"/>
    <w:rsid w:val="5F6B66BB"/>
    <w:rsid w:val="5F7B7FEE"/>
    <w:rsid w:val="5F84995A"/>
    <w:rsid w:val="5F9073F9"/>
    <w:rsid w:val="5F933680"/>
    <w:rsid w:val="5F978456"/>
    <w:rsid w:val="5F9C89DF"/>
    <w:rsid w:val="5FAE9D70"/>
    <w:rsid w:val="5FBD6785"/>
    <w:rsid w:val="5FD32D5E"/>
    <w:rsid w:val="5FE16FBB"/>
    <w:rsid w:val="600573BB"/>
    <w:rsid w:val="601BA16D"/>
    <w:rsid w:val="6024AC42"/>
    <w:rsid w:val="602830B5"/>
    <w:rsid w:val="603394B3"/>
    <w:rsid w:val="603E9E04"/>
    <w:rsid w:val="6041347B"/>
    <w:rsid w:val="605A48C5"/>
    <w:rsid w:val="605B1DE6"/>
    <w:rsid w:val="605C4D77"/>
    <w:rsid w:val="60677E01"/>
    <w:rsid w:val="606BB073"/>
    <w:rsid w:val="606DF16C"/>
    <w:rsid w:val="60752769"/>
    <w:rsid w:val="60855AE8"/>
    <w:rsid w:val="60A3312B"/>
    <w:rsid w:val="60B35782"/>
    <w:rsid w:val="60BE72C9"/>
    <w:rsid w:val="60CAE64B"/>
    <w:rsid w:val="60CCA8D6"/>
    <w:rsid w:val="60CF645A"/>
    <w:rsid w:val="60E14D1E"/>
    <w:rsid w:val="60E4B903"/>
    <w:rsid w:val="60FE6A14"/>
    <w:rsid w:val="61040CCF"/>
    <w:rsid w:val="610AA9B8"/>
    <w:rsid w:val="610FD4AF"/>
    <w:rsid w:val="611AE718"/>
    <w:rsid w:val="6121CCEC"/>
    <w:rsid w:val="61265299"/>
    <w:rsid w:val="6126A8B4"/>
    <w:rsid w:val="61290458"/>
    <w:rsid w:val="612BF7D1"/>
    <w:rsid w:val="615279C0"/>
    <w:rsid w:val="6154E126"/>
    <w:rsid w:val="615D5929"/>
    <w:rsid w:val="61629028"/>
    <w:rsid w:val="617AC7A8"/>
    <w:rsid w:val="617DE22C"/>
    <w:rsid w:val="61821758"/>
    <w:rsid w:val="618F5AD9"/>
    <w:rsid w:val="6191DB97"/>
    <w:rsid w:val="619731FF"/>
    <w:rsid w:val="6197F14D"/>
    <w:rsid w:val="61A0E5F7"/>
    <w:rsid w:val="61A9F735"/>
    <w:rsid w:val="61BD2B79"/>
    <w:rsid w:val="61BD74AB"/>
    <w:rsid w:val="61C1843C"/>
    <w:rsid w:val="61C7BADE"/>
    <w:rsid w:val="61CE5D7B"/>
    <w:rsid w:val="61D66D0F"/>
    <w:rsid w:val="61DF3F25"/>
    <w:rsid w:val="61E79161"/>
    <w:rsid w:val="61E7F795"/>
    <w:rsid w:val="61F20827"/>
    <w:rsid w:val="61F5D6D1"/>
    <w:rsid w:val="61FA284F"/>
    <w:rsid w:val="61FC9517"/>
    <w:rsid w:val="61FCCD0D"/>
    <w:rsid w:val="620DD56A"/>
    <w:rsid w:val="620EBB80"/>
    <w:rsid w:val="621EB2D2"/>
    <w:rsid w:val="622134F3"/>
    <w:rsid w:val="6228BE21"/>
    <w:rsid w:val="6234D709"/>
    <w:rsid w:val="627A1D4F"/>
    <w:rsid w:val="6280D80B"/>
    <w:rsid w:val="62828654"/>
    <w:rsid w:val="62863C5D"/>
    <w:rsid w:val="62B6A25A"/>
    <w:rsid w:val="62B9372A"/>
    <w:rsid w:val="62E3AA2F"/>
    <w:rsid w:val="62E7A968"/>
    <w:rsid w:val="62F19FBD"/>
    <w:rsid w:val="62F8873A"/>
    <w:rsid w:val="62F9DF09"/>
    <w:rsid w:val="6314D397"/>
    <w:rsid w:val="631D0519"/>
    <w:rsid w:val="633B47AF"/>
    <w:rsid w:val="63656D92"/>
    <w:rsid w:val="636E1699"/>
    <w:rsid w:val="6373BEE9"/>
    <w:rsid w:val="63826499"/>
    <w:rsid w:val="638A8D7D"/>
    <w:rsid w:val="6391EFD1"/>
    <w:rsid w:val="639673D2"/>
    <w:rsid w:val="63A7AD4D"/>
    <w:rsid w:val="63B3F12E"/>
    <w:rsid w:val="63B42591"/>
    <w:rsid w:val="63C4B418"/>
    <w:rsid w:val="63CA784E"/>
    <w:rsid w:val="63D0C52B"/>
    <w:rsid w:val="63F82357"/>
    <w:rsid w:val="6402818F"/>
    <w:rsid w:val="641A28D0"/>
    <w:rsid w:val="642B7B69"/>
    <w:rsid w:val="6431A5C3"/>
    <w:rsid w:val="6433C31A"/>
    <w:rsid w:val="644050E4"/>
    <w:rsid w:val="6449C182"/>
    <w:rsid w:val="644A188E"/>
    <w:rsid w:val="644E8173"/>
    <w:rsid w:val="64549771"/>
    <w:rsid w:val="64563AE4"/>
    <w:rsid w:val="645EBE1B"/>
    <w:rsid w:val="645FD692"/>
    <w:rsid w:val="646B30A9"/>
    <w:rsid w:val="64732D94"/>
    <w:rsid w:val="6475F8B4"/>
    <w:rsid w:val="64810978"/>
    <w:rsid w:val="648661A4"/>
    <w:rsid w:val="6487BB23"/>
    <w:rsid w:val="64894A01"/>
    <w:rsid w:val="648F4FC1"/>
    <w:rsid w:val="649FAE8B"/>
    <w:rsid w:val="64A3AA27"/>
    <w:rsid w:val="64A87A19"/>
    <w:rsid w:val="64B8601A"/>
    <w:rsid w:val="64B96B36"/>
    <w:rsid w:val="64BAE70A"/>
    <w:rsid w:val="64CD5005"/>
    <w:rsid w:val="64DAC3F7"/>
    <w:rsid w:val="64DB3A1F"/>
    <w:rsid w:val="64DE6E36"/>
    <w:rsid w:val="64DF6AB4"/>
    <w:rsid w:val="64E64B16"/>
    <w:rsid w:val="64E6EBC1"/>
    <w:rsid w:val="64EB1BED"/>
    <w:rsid w:val="64EE57FA"/>
    <w:rsid w:val="65064C4C"/>
    <w:rsid w:val="650657DF"/>
    <w:rsid w:val="650B5B12"/>
    <w:rsid w:val="650C2BB8"/>
    <w:rsid w:val="6523D97F"/>
    <w:rsid w:val="6526445E"/>
    <w:rsid w:val="652ECD5F"/>
    <w:rsid w:val="6531C349"/>
    <w:rsid w:val="65479B2D"/>
    <w:rsid w:val="655A2BC5"/>
    <w:rsid w:val="6560F1FA"/>
    <w:rsid w:val="656A7259"/>
    <w:rsid w:val="656EE445"/>
    <w:rsid w:val="6574D23A"/>
    <w:rsid w:val="6577C0D8"/>
    <w:rsid w:val="658C4A9A"/>
    <w:rsid w:val="6596DC87"/>
    <w:rsid w:val="65A52347"/>
    <w:rsid w:val="65AED5F4"/>
    <w:rsid w:val="65B2885A"/>
    <w:rsid w:val="65CF15C7"/>
    <w:rsid w:val="65DC3138"/>
    <w:rsid w:val="65EBFFB3"/>
    <w:rsid w:val="65F10154"/>
    <w:rsid w:val="65F340E5"/>
    <w:rsid w:val="6602C037"/>
    <w:rsid w:val="6608D0F8"/>
    <w:rsid w:val="660A0956"/>
    <w:rsid w:val="66197FD1"/>
    <w:rsid w:val="661BD845"/>
    <w:rsid w:val="662D8FF6"/>
    <w:rsid w:val="6638C3D2"/>
    <w:rsid w:val="6656C1A0"/>
    <w:rsid w:val="666D47D0"/>
    <w:rsid w:val="666FCF65"/>
    <w:rsid w:val="667003DC"/>
    <w:rsid w:val="6686EC4E"/>
    <w:rsid w:val="66892B41"/>
    <w:rsid w:val="668F08D2"/>
    <w:rsid w:val="6694896B"/>
    <w:rsid w:val="6696828F"/>
    <w:rsid w:val="669AB23B"/>
    <w:rsid w:val="669BE5CB"/>
    <w:rsid w:val="669E951B"/>
    <w:rsid w:val="66AB1BE0"/>
    <w:rsid w:val="66AC9156"/>
    <w:rsid w:val="66B262D2"/>
    <w:rsid w:val="66B2CB67"/>
    <w:rsid w:val="66B9C80B"/>
    <w:rsid w:val="66C95A8C"/>
    <w:rsid w:val="66D3E4A4"/>
    <w:rsid w:val="66D59AC0"/>
    <w:rsid w:val="66DF3DA9"/>
    <w:rsid w:val="66E531F6"/>
    <w:rsid w:val="66E54EA3"/>
    <w:rsid w:val="66EA766A"/>
    <w:rsid w:val="67048076"/>
    <w:rsid w:val="6709CBD8"/>
    <w:rsid w:val="67169110"/>
    <w:rsid w:val="6716F760"/>
    <w:rsid w:val="6729B2B4"/>
    <w:rsid w:val="672BBC7C"/>
    <w:rsid w:val="673E4D14"/>
    <w:rsid w:val="6740E762"/>
    <w:rsid w:val="6743EF88"/>
    <w:rsid w:val="6744D8D9"/>
    <w:rsid w:val="6745D73E"/>
    <w:rsid w:val="674AC354"/>
    <w:rsid w:val="67572667"/>
    <w:rsid w:val="675764C9"/>
    <w:rsid w:val="675B75BD"/>
    <w:rsid w:val="676143FD"/>
    <w:rsid w:val="6778F506"/>
    <w:rsid w:val="677B6D15"/>
    <w:rsid w:val="678F3E7C"/>
    <w:rsid w:val="67977219"/>
    <w:rsid w:val="67A6D7E2"/>
    <w:rsid w:val="67D151F3"/>
    <w:rsid w:val="67D632AB"/>
    <w:rsid w:val="67E2A7DC"/>
    <w:rsid w:val="67EC4ECF"/>
    <w:rsid w:val="67F07C74"/>
    <w:rsid w:val="67F2552A"/>
    <w:rsid w:val="680200B2"/>
    <w:rsid w:val="680EC8CC"/>
    <w:rsid w:val="6811A476"/>
    <w:rsid w:val="681C6B70"/>
    <w:rsid w:val="681CCCF2"/>
    <w:rsid w:val="6820F656"/>
    <w:rsid w:val="68298F26"/>
    <w:rsid w:val="683C70AE"/>
    <w:rsid w:val="684B1B30"/>
    <w:rsid w:val="684BC596"/>
    <w:rsid w:val="6862187E"/>
    <w:rsid w:val="68814BB4"/>
    <w:rsid w:val="6889DFFC"/>
    <w:rsid w:val="688D209F"/>
    <w:rsid w:val="6895A21D"/>
    <w:rsid w:val="68962D3D"/>
    <w:rsid w:val="68BA10C3"/>
    <w:rsid w:val="68BBA45A"/>
    <w:rsid w:val="68CC523A"/>
    <w:rsid w:val="68DFF66B"/>
    <w:rsid w:val="68E68F96"/>
    <w:rsid w:val="68F9DB34"/>
    <w:rsid w:val="69145E42"/>
    <w:rsid w:val="6914E5A4"/>
    <w:rsid w:val="6924A52D"/>
    <w:rsid w:val="6925096D"/>
    <w:rsid w:val="69465B5A"/>
    <w:rsid w:val="69541A0D"/>
    <w:rsid w:val="6957D3AF"/>
    <w:rsid w:val="696582B1"/>
    <w:rsid w:val="696A1979"/>
    <w:rsid w:val="696A7626"/>
    <w:rsid w:val="696D3D66"/>
    <w:rsid w:val="696F09AD"/>
    <w:rsid w:val="69703156"/>
    <w:rsid w:val="69768084"/>
    <w:rsid w:val="697F61E1"/>
    <w:rsid w:val="699F282E"/>
    <w:rsid w:val="69A65E32"/>
    <w:rsid w:val="69B727CA"/>
    <w:rsid w:val="69B835E4"/>
    <w:rsid w:val="69BF4D91"/>
    <w:rsid w:val="69C9F989"/>
    <w:rsid w:val="69CCE30E"/>
    <w:rsid w:val="69CD8A3A"/>
    <w:rsid w:val="69DEAA69"/>
    <w:rsid w:val="69E39822"/>
    <w:rsid w:val="69E97C42"/>
    <w:rsid w:val="6A01040D"/>
    <w:rsid w:val="6A0F6541"/>
    <w:rsid w:val="6A0FF6FD"/>
    <w:rsid w:val="6A237D97"/>
    <w:rsid w:val="6A2390D7"/>
    <w:rsid w:val="6A2D5F0B"/>
    <w:rsid w:val="6A348C3F"/>
    <w:rsid w:val="6A35014A"/>
    <w:rsid w:val="6A4938C2"/>
    <w:rsid w:val="6A4A3A75"/>
    <w:rsid w:val="6A53D559"/>
    <w:rsid w:val="6A5F87C0"/>
    <w:rsid w:val="6A701578"/>
    <w:rsid w:val="6A751062"/>
    <w:rsid w:val="6A8D439C"/>
    <w:rsid w:val="6A99B2C4"/>
    <w:rsid w:val="6A9A3F1C"/>
    <w:rsid w:val="6A9B3899"/>
    <w:rsid w:val="6AA13DB8"/>
    <w:rsid w:val="6AA7EE1E"/>
    <w:rsid w:val="6AAADC00"/>
    <w:rsid w:val="6AE9CDB8"/>
    <w:rsid w:val="6AF43B88"/>
    <w:rsid w:val="6B09906B"/>
    <w:rsid w:val="6B0D0028"/>
    <w:rsid w:val="6B0ED63B"/>
    <w:rsid w:val="6B1192DC"/>
    <w:rsid w:val="6B1BC9BA"/>
    <w:rsid w:val="6B201B1F"/>
    <w:rsid w:val="6B25AA26"/>
    <w:rsid w:val="6B31559A"/>
    <w:rsid w:val="6B3F6414"/>
    <w:rsid w:val="6B3FCA11"/>
    <w:rsid w:val="6B43563C"/>
    <w:rsid w:val="6B4CB90F"/>
    <w:rsid w:val="6B58BF42"/>
    <w:rsid w:val="6B601A00"/>
    <w:rsid w:val="6B984619"/>
    <w:rsid w:val="6BA0F918"/>
    <w:rsid w:val="6BA81AB8"/>
    <w:rsid w:val="6BB37EF4"/>
    <w:rsid w:val="6BBC0892"/>
    <w:rsid w:val="6BC0FA59"/>
    <w:rsid w:val="6BC2E544"/>
    <w:rsid w:val="6BD77F75"/>
    <w:rsid w:val="6BD86641"/>
    <w:rsid w:val="6BDBFE4E"/>
    <w:rsid w:val="6BE35A14"/>
    <w:rsid w:val="6BF911C9"/>
    <w:rsid w:val="6BFD7FF3"/>
    <w:rsid w:val="6C01A191"/>
    <w:rsid w:val="6C025F65"/>
    <w:rsid w:val="6C2480D2"/>
    <w:rsid w:val="6C257805"/>
    <w:rsid w:val="6C33E46E"/>
    <w:rsid w:val="6C340CA7"/>
    <w:rsid w:val="6C3889DE"/>
    <w:rsid w:val="6C3F5331"/>
    <w:rsid w:val="6C495A0C"/>
    <w:rsid w:val="6C5701EC"/>
    <w:rsid w:val="6C6858C4"/>
    <w:rsid w:val="6C75782A"/>
    <w:rsid w:val="6C7A33A9"/>
    <w:rsid w:val="6C943887"/>
    <w:rsid w:val="6C96A948"/>
    <w:rsid w:val="6CA707CF"/>
    <w:rsid w:val="6CA76B01"/>
    <w:rsid w:val="6CB48568"/>
    <w:rsid w:val="6CC57AF3"/>
    <w:rsid w:val="6CCD14E5"/>
    <w:rsid w:val="6CD0FEE6"/>
    <w:rsid w:val="6CD8BCFC"/>
    <w:rsid w:val="6CE0550C"/>
    <w:rsid w:val="6CE57C81"/>
    <w:rsid w:val="6CEAB7FC"/>
    <w:rsid w:val="6CEB19DA"/>
    <w:rsid w:val="6CF8278F"/>
    <w:rsid w:val="6D00D16A"/>
    <w:rsid w:val="6D020A88"/>
    <w:rsid w:val="6D0FE132"/>
    <w:rsid w:val="6D168D50"/>
    <w:rsid w:val="6D185A30"/>
    <w:rsid w:val="6D277C06"/>
    <w:rsid w:val="6D2D2D7B"/>
    <w:rsid w:val="6D3CF04B"/>
    <w:rsid w:val="6D3EF748"/>
    <w:rsid w:val="6D440798"/>
    <w:rsid w:val="6D4D2446"/>
    <w:rsid w:val="6D514158"/>
    <w:rsid w:val="6D516E36"/>
    <w:rsid w:val="6D54D821"/>
    <w:rsid w:val="6D7CE8CD"/>
    <w:rsid w:val="6D8712A8"/>
    <w:rsid w:val="6D91E339"/>
    <w:rsid w:val="6D997B0F"/>
    <w:rsid w:val="6DACB977"/>
    <w:rsid w:val="6DB18331"/>
    <w:rsid w:val="6DC9D250"/>
    <w:rsid w:val="6DCF5C0F"/>
    <w:rsid w:val="6DDEF8D0"/>
    <w:rsid w:val="6DDFD284"/>
    <w:rsid w:val="6DE28449"/>
    <w:rsid w:val="6DE76EE5"/>
    <w:rsid w:val="6DF1FEC7"/>
    <w:rsid w:val="6DF546E9"/>
    <w:rsid w:val="6DF80DBA"/>
    <w:rsid w:val="6DFBFA75"/>
    <w:rsid w:val="6DFD457F"/>
    <w:rsid w:val="6E038DD3"/>
    <w:rsid w:val="6E10DC08"/>
    <w:rsid w:val="6E254485"/>
    <w:rsid w:val="6E2B44D2"/>
    <w:rsid w:val="6E5E6F51"/>
    <w:rsid w:val="6E6F3E3A"/>
    <w:rsid w:val="6E74812D"/>
    <w:rsid w:val="6E78C673"/>
    <w:rsid w:val="6E7902FB"/>
    <w:rsid w:val="6E7D147A"/>
    <w:rsid w:val="6E800BC8"/>
    <w:rsid w:val="6E84247D"/>
    <w:rsid w:val="6E9175FE"/>
    <w:rsid w:val="6E98D831"/>
    <w:rsid w:val="6E9B1E86"/>
    <w:rsid w:val="6E9E78D9"/>
    <w:rsid w:val="6EA19474"/>
    <w:rsid w:val="6EA82652"/>
    <w:rsid w:val="6EB1481A"/>
    <w:rsid w:val="6EB98108"/>
    <w:rsid w:val="6EBE7F94"/>
    <w:rsid w:val="6EC07ACA"/>
    <w:rsid w:val="6EC0E4BB"/>
    <w:rsid w:val="6EC2D3A9"/>
    <w:rsid w:val="6EC2E1B2"/>
    <w:rsid w:val="6EC8C512"/>
    <w:rsid w:val="6ECA5BE2"/>
    <w:rsid w:val="6ECA6091"/>
    <w:rsid w:val="6ED7F141"/>
    <w:rsid w:val="6EE0BCF1"/>
    <w:rsid w:val="6EEE88ED"/>
    <w:rsid w:val="6F19D011"/>
    <w:rsid w:val="6F2C38AA"/>
    <w:rsid w:val="6F2CDC9D"/>
    <w:rsid w:val="6F347E83"/>
    <w:rsid w:val="6F397576"/>
    <w:rsid w:val="6F3C0969"/>
    <w:rsid w:val="6F5121CA"/>
    <w:rsid w:val="6F51621C"/>
    <w:rsid w:val="6F5CCF77"/>
    <w:rsid w:val="6F5D0248"/>
    <w:rsid w:val="6F7360A8"/>
    <w:rsid w:val="6F883D82"/>
    <w:rsid w:val="6F8DD0F0"/>
    <w:rsid w:val="6F90D3CA"/>
    <w:rsid w:val="6F98F5B0"/>
    <w:rsid w:val="6FB114FF"/>
    <w:rsid w:val="6FB788F1"/>
    <w:rsid w:val="6FC02889"/>
    <w:rsid w:val="6FC9E658"/>
    <w:rsid w:val="6FEABA70"/>
    <w:rsid w:val="6FF29594"/>
    <w:rsid w:val="6FF8CD0D"/>
    <w:rsid w:val="70044044"/>
    <w:rsid w:val="7013FD35"/>
    <w:rsid w:val="702120DD"/>
    <w:rsid w:val="703BCBCF"/>
    <w:rsid w:val="703D3D98"/>
    <w:rsid w:val="7051ECB5"/>
    <w:rsid w:val="705D6354"/>
    <w:rsid w:val="70650B07"/>
    <w:rsid w:val="706C8A5B"/>
    <w:rsid w:val="706CCE01"/>
    <w:rsid w:val="70703AF9"/>
    <w:rsid w:val="7095CD41"/>
    <w:rsid w:val="70985B43"/>
    <w:rsid w:val="70AA372E"/>
    <w:rsid w:val="70BA8228"/>
    <w:rsid w:val="70D12E07"/>
    <w:rsid w:val="70D75879"/>
    <w:rsid w:val="70E4A3F9"/>
    <w:rsid w:val="70E90498"/>
    <w:rsid w:val="70F65838"/>
    <w:rsid w:val="70F7AE51"/>
    <w:rsid w:val="71086E16"/>
    <w:rsid w:val="7113D956"/>
    <w:rsid w:val="711D572D"/>
    <w:rsid w:val="712576BA"/>
    <w:rsid w:val="713FD967"/>
    <w:rsid w:val="714F7F6B"/>
    <w:rsid w:val="715F1016"/>
    <w:rsid w:val="716574DD"/>
    <w:rsid w:val="716797DD"/>
    <w:rsid w:val="716D5AED"/>
    <w:rsid w:val="7170821E"/>
    <w:rsid w:val="71917D87"/>
    <w:rsid w:val="71998A09"/>
    <w:rsid w:val="719FEE90"/>
    <w:rsid w:val="71AFBD0E"/>
    <w:rsid w:val="71C9EE9C"/>
    <w:rsid w:val="71D02FE6"/>
    <w:rsid w:val="71D1B2D7"/>
    <w:rsid w:val="71D93AD9"/>
    <w:rsid w:val="71DE33CB"/>
    <w:rsid w:val="71EF1493"/>
    <w:rsid w:val="71FDB43A"/>
    <w:rsid w:val="720631DF"/>
    <w:rsid w:val="72093D9F"/>
    <w:rsid w:val="720F3248"/>
    <w:rsid w:val="72110AEB"/>
    <w:rsid w:val="7227FF9B"/>
    <w:rsid w:val="722ADC8D"/>
    <w:rsid w:val="722CE2D9"/>
    <w:rsid w:val="722EA333"/>
    <w:rsid w:val="72303BDD"/>
    <w:rsid w:val="724AC5CC"/>
    <w:rsid w:val="724B27BE"/>
    <w:rsid w:val="724E2A63"/>
    <w:rsid w:val="72562175"/>
    <w:rsid w:val="725BA059"/>
    <w:rsid w:val="725E1993"/>
    <w:rsid w:val="7278B1AB"/>
    <w:rsid w:val="7278EC03"/>
    <w:rsid w:val="727ED0EB"/>
    <w:rsid w:val="7281C793"/>
    <w:rsid w:val="7299630E"/>
    <w:rsid w:val="72A2BF27"/>
    <w:rsid w:val="72AAAF3E"/>
    <w:rsid w:val="72C018F5"/>
    <w:rsid w:val="72CD9A39"/>
    <w:rsid w:val="72D09F97"/>
    <w:rsid w:val="72D81CE1"/>
    <w:rsid w:val="72DF34A4"/>
    <w:rsid w:val="72ECE9B4"/>
    <w:rsid w:val="72F401AB"/>
    <w:rsid w:val="72F4D389"/>
    <w:rsid w:val="72F6962C"/>
    <w:rsid w:val="72F72E11"/>
    <w:rsid w:val="72FFEA82"/>
    <w:rsid w:val="7300ADC6"/>
    <w:rsid w:val="7304EE76"/>
    <w:rsid w:val="7310C028"/>
    <w:rsid w:val="73376A8A"/>
    <w:rsid w:val="733C3FFE"/>
    <w:rsid w:val="73534437"/>
    <w:rsid w:val="73541E11"/>
    <w:rsid w:val="73571D62"/>
    <w:rsid w:val="7358C19F"/>
    <w:rsid w:val="735BB1CB"/>
    <w:rsid w:val="7367E11A"/>
    <w:rsid w:val="7373085D"/>
    <w:rsid w:val="73730E25"/>
    <w:rsid w:val="7375E56F"/>
    <w:rsid w:val="737B470D"/>
    <w:rsid w:val="737BBEBE"/>
    <w:rsid w:val="73900E56"/>
    <w:rsid w:val="7392861C"/>
    <w:rsid w:val="7392E742"/>
    <w:rsid w:val="739E463A"/>
    <w:rsid w:val="73A2C209"/>
    <w:rsid w:val="73A654C8"/>
    <w:rsid w:val="73A79926"/>
    <w:rsid w:val="73A7C443"/>
    <w:rsid w:val="73AB89BB"/>
    <w:rsid w:val="73AE4ADA"/>
    <w:rsid w:val="73B9816C"/>
    <w:rsid w:val="73C77E60"/>
    <w:rsid w:val="73C8A12C"/>
    <w:rsid w:val="73C8B33A"/>
    <w:rsid w:val="73D8CF2F"/>
    <w:rsid w:val="73E69065"/>
    <w:rsid w:val="73E8C30B"/>
    <w:rsid w:val="73EDC77F"/>
    <w:rsid w:val="73F56CD8"/>
    <w:rsid w:val="7400BF62"/>
    <w:rsid w:val="741D4B5B"/>
    <w:rsid w:val="742CA4FF"/>
    <w:rsid w:val="742F1E49"/>
    <w:rsid w:val="742F560B"/>
    <w:rsid w:val="7444008F"/>
    <w:rsid w:val="745D0B4B"/>
    <w:rsid w:val="74625B13"/>
    <w:rsid w:val="74644BEC"/>
    <w:rsid w:val="74684747"/>
    <w:rsid w:val="746AED1E"/>
    <w:rsid w:val="746D63FF"/>
    <w:rsid w:val="74772DD2"/>
    <w:rsid w:val="74855A08"/>
    <w:rsid w:val="74995766"/>
    <w:rsid w:val="74A279BB"/>
    <w:rsid w:val="74A962E0"/>
    <w:rsid w:val="74C16566"/>
    <w:rsid w:val="74C654E8"/>
    <w:rsid w:val="74CE7B52"/>
    <w:rsid w:val="74EA2CF6"/>
    <w:rsid w:val="74F49200"/>
    <w:rsid w:val="74F60276"/>
    <w:rsid w:val="7504E068"/>
    <w:rsid w:val="7509A564"/>
    <w:rsid w:val="7510D5C2"/>
    <w:rsid w:val="75200F07"/>
    <w:rsid w:val="752C6C39"/>
    <w:rsid w:val="753C3968"/>
    <w:rsid w:val="7541BB64"/>
    <w:rsid w:val="7541BE76"/>
    <w:rsid w:val="754F9476"/>
    <w:rsid w:val="7557FD7B"/>
    <w:rsid w:val="755CA797"/>
    <w:rsid w:val="7564D8DB"/>
    <w:rsid w:val="7566A2FD"/>
    <w:rsid w:val="7572248D"/>
    <w:rsid w:val="7577C34C"/>
    <w:rsid w:val="758FE85A"/>
    <w:rsid w:val="7592118D"/>
    <w:rsid w:val="759C5B8A"/>
    <w:rsid w:val="75A2941A"/>
    <w:rsid w:val="75AA709B"/>
    <w:rsid w:val="75B0853E"/>
    <w:rsid w:val="75B7C8B9"/>
    <w:rsid w:val="75BBAB72"/>
    <w:rsid w:val="75C26A08"/>
    <w:rsid w:val="75C38B43"/>
    <w:rsid w:val="75C3FC37"/>
    <w:rsid w:val="75DC6192"/>
    <w:rsid w:val="75E37D88"/>
    <w:rsid w:val="75F89992"/>
    <w:rsid w:val="75F99F7A"/>
    <w:rsid w:val="7612875B"/>
    <w:rsid w:val="761E0254"/>
    <w:rsid w:val="7624DF89"/>
    <w:rsid w:val="7658F861"/>
    <w:rsid w:val="765E17BA"/>
    <w:rsid w:val="7669D5C9"/>
    <w:rsid w:val="767438A9"/>
    <w:rsid w:val="767E48DD"/>
    <w:rsid w:val="769121E3"/>
    <w:rsid w:val="7693AE98"/>
    <w:rsid w:val="76998481"/>
    <w:rsid w:val="76A75254"/>
    <w:rsid w:val="76C134B4"/>
    <w:rsid w:val="76C285B6"/>
    <w:rsid w:val="76C5D43B"/>
    <w:rsid w:val="76CC5BA9"/>
    <w:rsid w:val="76D26836"/>
    <w:rsid w:val="76D47F73"/>
    <w:rsid w:val="76DC8164"/>
    <w:rsid w:val="76DCD768"/>
    <w:rsid w:val="76DD29F0"/>
    <w:rsid w:val="76EA4DBA"/>
    <w:rsid w:val="76EC8348"/>
    <w:rsid w:val="76F6ABA1"/>
    <w:rsid w:val="76FDA125"/>
    <w:rsid w:val="7704DAB5"/>
    <w:rsid w:val="770B9A86"/>
    <w:rsid w:val="770F2ED6"/>
    <w:rsid w:val="7717D7C0"/>
    <w:rsid w:val="7720543C"/>
    <w:rsid w:val="772789F4"/>
    <w:rsid w:val="774EFEF5"/>
    <w:rsid w:val="7753B0E2"/>
    <w:rsid w:val="77560892"/>
    <w:rsid w:val="775946B9"/>
    <w:rsid w:val="776BD75A"/>
    <w:rsid w:val="7771A5D0"/>
    <w:rsid w:val="7777AAAE"/>
    <w:rsid w:val="777C6A65"/>
    <w:rsid w:val="7785D553"/>
    <w:rsid w:val="778F8DAD"/>
    <w:rsid w:val="77962A34"/>
    <w:rsid w:val="77A192CD"/>
    <w:rsid w:val="77A98A4C"/>
    <w:rsid w:val="77AA3CDC"/>
    <w:rsid w:val="77CDAC87"/>
    <w:rsid w:val="77D33F70"/>
    <w:rsid w:val="77DE8721"/>
    <w:rsid w:val="77EC0AF7"/>
    <w:rsid w:val="77F047A3"/>
    <w:rsid w:val="77F2EE3A"/>
    <w:rsid w:val="77F5B854"/>
    <w:rsid w:val="77F8C5F9"/>
    <w:rsid w:val="78057DBD"/>
    <w:rsid w:val="781273E8"/>
    <w:rsid w:val="781328D2"/>
    <w:rsid w:val="78174292"/>
    <w:rsid w:val="781915D8"/>
    <w:rsid w:val="7819E0A5"/>
    <w:rsid w:val="781BC92D"/>
    <w:rsid w:val="782DDC84"/>
    <w:rsid w:val="78474D4F"/>
    <w:rsid w:val="78475566"/>
    <w:rsid w:val="784B3D81"/>
    <w:rsid w:val="784D6FB4"/>
    <w:rsid w:val="78542703"/>
    <w:rsid w:val="785A8D59"/>
    <w:rsid w:val="7869B6CC"/>
    <w:rsid w:val="786D8E36"/>
    <w:rsid w:val="78804FA4"/>
    <w:rsid w:val="788826BF"/>
    <w:rsid w:val="78954693"/>
    <w:rsid w:val="78956B33"/>
    <w:rsid w:val="789B7B72"/>
    <w:rsid w:val="789BAEB4"/>
    <w:rsid w:val="78A76AE7"/>
    <w:rsid w:val="78A78BAA"/>
    <w:rsid w:val="78C5E8A3"/>
    <w:rsid w:val="78D1F2FB"/>
    <w:rsid w:val="78DA2476"/>
    <w:rsid w:val="78DAB03C"/>
    <w:rsid w:val="78F83862"/>
    <w:rsid w:val="78F9CBF9"/>
    <w:rsid w:val="791395A4"/>
    <w:rsid w:val="7913BDA4"/>
    <w:rsid w:val="791C96EA"/>
    <w:rsid w:val="792BB6D1"/>
    <w:rsid w:val="7934093E"/>
    <w:rsid w:val="794779DC"/>
    <w:rsid w:val="79557BA5"/>
    <w:rsid w:val="79657376"/>
    <w:rsid w:val="7968B622"/>
    <w:rsid w:val="796C5B4F"/>
    <w:rsid w:val="797DED4D"/>
    <w:rsid w:val="7987B217"/>
    <w:rsid w:val="799435D5"/>
    <w:rsid w:val="7995EC5F"/>
    <w:rsid w:val="7999C60B"/>
    <w:rsid w:val="79A57816"/>
    <w:rsid w:val="79A738B6"/>
    <w:rsid w:val="79A784AB"/>
    <w:rsid w:val="79B2911C"/>
    <w:rsid w:val="79B6E03B"/>
    <w:rsid w:val="79BDB2E2"/>
    <w:rsid w:val="79DBF6B5"/>
    <w:rsid w:val="79F00127"/>
    <w:rsid w:val="79F542E5"/>
    <w:rsid w:val="7A0EBA02"/>
    <w:rsid w:val="7A14340C"/>
    <w:rsid w:val="7A24240A"/>
    <w:rsid w:val="7A2B4C33"/>
    <w:rsid w:val="7A313B94"/>
    <w:rsid w:val="7A3E9B9D"/>
    <w:rsid w:val="7A3FCEB5"/>
    <w:rsid w:val="7A4BD130"/>
    <w:rsid w:val="7A5968B9"/>
    <w:rsid w:val="7A65CAF5"/>
    <w:rsid w:val="7A6B0E97"/>
    <w:rsid w:val="7A721462"/>
    <w:rsid w:val="7A7777F0"/>
    <w:rsid w:val="7A7F7F83"/>
    <w:rsid w:val="7A82A955"/>
    <w:rsid w:val="7A988B37"/>
    <w:rsid w:val="7A9CBF97"/>
    <w:rsid w:val="7AA1E568"/>
    <w:rsid w:val="7AAA6FA5"/>
    <w:rsid w:val="7AB46ADC"/>
    <w:rsid w:val="7ABB96A7"/>
    <w:rsid w:val="7AC53525"/>
    <w:rsid w:val="7AC9ECE3"/>
    <w:rsid w:val="7ACF6237"/>
    <w:rsid w:val="7ADEC81D"/>
    <w:rsid w:val="7AE04F45"/>
    <w:rsid w:val="7AEB851A"/>
    <w:rsid w:val="7AF5D65B"/>
    <w:rsid w:val="7B029ABB"/>
    <w:rsid w:val="7B0429C2"/>
    <w:rsid w:val="7B1636F4"/>
    <w:rsid w:val="7B1CFB8E"/>
    <w:rsid w:val="7B27738B"/>
    <w:rsid w:val="7B29C3E4"/>
    <w:rsid w:val="7B352D80"/>
    <w:rsid w:val="7B4077E2"/>
    <w:rsid w:val="7B4DBBD9"/>
    <w:rsid w:val="7B65C5D0"/>
    <w:rsid w:val="7B6FF0E3"/>
    <w:rsid w:val="7B7B4BA4"/>
    <w:rsid w:val="7B840E16"/>
    <w:rsid w:val="7B8BA6C2"/>
    <w:rsid w:val="7B91E6E0"/>
    <w:rsid w:val="7B93385B"/>
    <w:rsid w:val="7B9B11A5"/>
    <w:rsid w:val="7BA853BE"/>
    <w:rsid w:val="7BBA1F92"/>
    <w:rsid w:val="7BCD0BF5"/>
    <w:rsid w:val="7BCD97F3"/>
    <w:rsid w:val="7BCDCB08"/>
    <w:rsid w:val="7BDF0BA9"/>
    <w:rsid w:val="7BECDF8E"/>
    <w:rsid w:val="7BEE73AE"/>
    <w:rsid w:val="7BF0B738"/>
    <w:rsid w:val="7BF1436B"/>
    <w:rsid w:val="7BF1A805"/>
    <w:rsid w:val="7BF58ACC"/>
    <w:rsid w:val="7BFF0E97"/>
    <w:rsid w:val="7C0EAF0C"/>
    <w:rsid w:val="7C10A6AE"/>
    <w:rsid w:val="7C28131F"/>
    <w:rsid w:val="7C38FCD7"/>
    <w:rsid w:val="7C3F8C64"/>
    <w:rsid w:val="7C4371DB"/>
    <w:rsid w:val="7C45A89D"/>
    <w:rsid w:val="7C4B9B19"/>
    <w:rsid w:val="7C4F1274"/>
    <w:rsid w:val="7C559B99"/>
    <w:rsid w:val="7C5AEB4A"/>
    <w:rsid w:val="7C5CC59A"/>
    <w:rsid w:val="7C609C7D"/>
    <w:rsid w:val="7C6B1BC1"/>
    <w:rsid w:val="7C6F7F3E"/>
    <w:rsid w:val="7C7A8A95"/>
    <w:rsid w:val="7C802977"/>
    <w:rsid w:val="7C888FC8"/>
    <w:rsid w:val="7C8944F2"/>
    <w:rsid w:val="7C8A235F"/>
    <w:rsid w:val="7C8F64DA"/>
    <w:rsid w:val="7C906BED"/>
    <w:rsid w:val="7CA0165F"/>
    <w:rsid w:val="7CA5DB72"/>
    <w:rsid w:val="7CA6B093"/>
    <w:rsid w:val="7CAEBFEB"/>
    <w:rsid w:val="7CB4A796"/>
    <w:rsid w:val="7CB5991D"/>
    <w:rsid w:val="7CBD0A96"/>
    <w:rsid w:val="7CCD53E6"/>
    <w:rsid w:val="7CD4E9BB"/>
    <w:rsid w:val="7CD68BC9"/>
    <w:rsid w:val="7CECB256"/>
    <w:rsid w:val="7CFB64FE"/>
    <w:rsid w:val="7CFCC6BF"/>
    <w:rsid w:val="7D0C190D"/>
    <w:rsid w:val="7D171C05"/>
    <w:rsid w:val="7D273584"/>
    <w:rsid w:val="7D2DAD8D"/>
    <w:rsid w:val="7D3A91F2"/>
    <w:rsid w:val="7D44CD65"/>
    <w:rsid w:val="7D4D2A2A"/>
    <w:rsid w:val="7D541B97"/>
    <w:rsid w:val="7D554DE3"/>
    <w:rsid w:val="7D55C498"/>
    <w:rsid w:val="7D56182C"/>
    <w:rsid w:val="7D63A570"/>
    <w:rsid w:val="7D645DAB"/>
    <w:rsid w:val="7D69D3D5"/>
    <w:rsid w:val="7D7026EA"/>
    <w:rsid w:val="7D81BF83"/>
    <w:rsid w:val="7D852AFF"/>
    <w:rsid w:val="7D8601CF"/>
    <w:rsid w:val="7DA96FA1"/>
    <w:rsid w:val="7DAAC8ED"/>
    <w:rsid w:val="7DAD6324"/>
    <w:rsid w:val="7DB93526"/>
    <w:rsid w:val="7DBF9860"/>
    <w:rsid w:val="7DD63159"/>
    <w:rsid w:val="7DF056E1"/>
    <w:rsid w:val="7DF72F9D"/>
    <w:rsid w:val="7DFBED5E"/>
    <w:rsid w:val="7DFD5EFA"/>
    <w:rsid w:val="7E228A3D"/>
    <w:rsid w:val="7E249B09"/>
    <w:rsid w:val="7E2BBA02"/>
    <w:rsid w:val="7E546C2D"/>
    <w:rsid w:val="7E582719"/>
    <w:rsid w:val="7E61F876"/>
    <w:rsid w:val="7E68FD49"/>
    <w:rsid w:val="7E717B6E"/>
    <w:rsid w:val="7E7696C7"/>
    <w:rsid w:val="7E8911B9"/>
    <w:rsid w:val="7E9FB914"/>
    <w:rsid w:val="7EBD2C91"/>
    <w:rsid w:val="7ECA2B80"/>
    <w:rsid w:val="7ED16605"/>
    <w:rsid w:val="7ED2D25E"/>
    <w:rsid w:val="7EE41A47"/>
    <w:rsid w:val="7EF1D1E4"/>
    <w:rsid w:val="7EF5539F"/>
    <w:rsid w:val="7EF96BA0"/>
    <w:rsid w:val="7EFC0499"/>
    <w:rsid w:val="7EFEFB2C"/>
    <w:rsid w:val="7F036DC3"/>
    <w:rsid w:val="7F08B753"/>
    <w:rsid w:val="7F0CA13C"/>
    <w:rsid w:val="7F1FFF41"/>
    <w:rsid w:val="7F4D3F42"/>
    <w:rsid w:val="7F5E7326"/>
    <w:rsid w:val="7F61EA40"/>
    <w:rsid w:val="7F66AA1D"/>
    <w:rsid w:val="7F676974"/>
    <w:rsid w:val="7F76FB50"/>
    <w:rsid w:val="7F7CEF9D"/>
    <w:rsid w:val="7F7CF4C0"/>
    <w:rsid w:val="7F894D84"/>
    <w:rsid w:val="7F943E04"/>
    <w:rsid w:val="7F9B02E4"/>
    <w:rsid w:val="7FA18943"/>
    <w:rsid w:val="7FA23878"/>
    <w:rsid w:val="7FAE5A61"/>
    <w:rsid w:val="7FB4F4D8"/>
    <w:rsid w:val="7FC29D5F"/>
    <w:rsid w:val="7FD3B8DB"/>
    <w:rsid w:val="7FD61553"/>
    <w:rsid w:val="7FD825D4"/>
    <w:rsid w:val="7FDF3815"/>
    <w:rsid w:val="7FEF7105"/>
    <w:rsid w:val="7FFF50D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343D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75"/>
  </w:style>
  <w:style w:type="paragraph" w:styleId="Heading1">
    <w:name w:val="heading 1"/>
    <w:basedOn w:val="Normal"/>
    <w:next w:val="Normal"/>
    <w:link w:val="Heading1Char"/>
    <w:uiPriority w:val="9"/>
    <w:qFormat/>
    <w:rsid w:val="0043037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43037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3037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3037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43037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43037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43037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43037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43037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4365DF"/>
    <w:pPr>
      <w:ind w:left="720"/>
      <w:contextualSpacing/>
    </w:pPr>
  </w:style>
  <w:style w:type="character" w:customStyle="1" w:styleId="Heading2Char">
    <w:name w:val="Heading 2 Char"/>
    <w:basedOn w:val="DefaultParagraphFont"/>
    <w:link w:val="Heading2"/>
    <w:uiPriority w:val="9"/>
    <w:rsid w:val="00430375"/>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3F37C7"/>
    <w:pPr>
      <w:spacing w:after="0" w:line="240" w:lineRule="auto"/>
    </w:pPr>
    <w:rPr>
      <w:rFonts w:ascii="Times New Roman" w:eastAsia="Times New Roman" w:hAnsi="Times New Roman" w:cs="Times New Roman"/>
      <w:sz w:val="24"/>
      <w:szCs w:val="24"/>
      <w:lang w:eastAsia="en-NZ"/>
    </w:rPr>
  </w:style>
  <w:style w:type="character" w:customStyle="1" w:styleId="normaltextrun1">
    <w:name w:val="normaltextrun1"/>
    <w:basedOn w:val="DefaultParagraphFont"/>
    <w:rsid w:val="003F37C7"/>
  </w:style>
  <w:style w:type="character" w:customStyle="1" w:styleId="eop">
    <w:name w:val="eop"/>
    <w:basedOn w:val="DefaultParagraphFont"/>
    <w:rsid w:val="003F37C7"/>
  </w:style>
  <w:style w:type="character" w:customStyle="1" w:styleId="Heading3Char">
    <w:name w:val="Heading 3 Char"/>
    <w:basedOn w:val="DefaultParagraphFont"/>
    <w:link w:val="Heading3"/>
    <w:uiPriority w:val="9"/>
    <w:rsid w:val="0043037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430375"/>
    <w:rPr>
      <w:rFonts w:asciiTheme="majorHAnsi" w:eastAsiaTheme="majorEastAsia" w:hAnsiTheme="majorHAnsi" w:cstheme="majorBidi"/>
      <w:color w:val="2F5496" w:themeColor="accent1" w:themeShade="BF"/>
      <w:sz w:val="24"/>
      <w:szCs w:val="24"/>
    </w:rPr>
  </w:style>
  <w:style w:type="paragraph" w:styleId="BalloonText">
    <w:name w:val="Balloon Text"/>
    <w:basedOn w:val="Normal"/>
    <w:link w:val="BalloonTextChar"/>
    <w:uiPriority w:val="99"/>
    <w:semiHidden/>
    <w:unhideWhenUsed/>
    <w:rsid w:val="005D0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B0B"/>
    <w:rPr>
      <w:rFonts w:ascii="Segoe UI" w:hAnsi="Segoe UI" w:cs="Segoe UI"/>
      <w:sz w:val="18"/>
      <w:szCs w:val="18"/>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qFormat/>
    <w:locked/>
    <w:rsid w:val="001E28AE"/>
  </w:style>
  <w:style w:type="character" w:styleId="CommentReference">
    <w:name w:val="annotation reference"/>
    <w:basedOn w:val="DefaultParagraphFont"/>
    <w:uiPriority w:val="99"/>
    <w:semiHidden/>
    <w:unhideWhenUsed/>
    <w:rsid w:val="001E28AE"/>
    <w:rPr>
      <w:sz w:val="16"/>
      <w:szCs w:val="16"/>
    </w:rPr>
  </w:style>
  <w:style w:type="paragraph" w:styleId="CommentText">
    <w:name w:val="annotation text"/>
    <w:basedOn w:val="Normal"/>
    <w:link w:val="CommentTextChar"/>
    <w:uiPriority w:val="99"/>
    <w:unhideWhenUsed/>
    <w:rsid w:val="001E28AE"/>
    <w:pPr>
      <w:spacing w:line="240" w:lineRule="auto"/>
    </w:pPr>
    <w:rPr>
      <w:sz w:val="20"/>
      <w:szCs w:val="20"/>
    </w:rPr>
  </w:style>
  <w:style w:type="character" w:customStyle="1" w:styleId="CommentTextChar">
    <w:name w:val="Comment Text Char"/>
    <w:basedOn w:val="DefaultParagraphFont"/>
    <w:link w:val="CommentText"/>
    <w:uiPriority w:val="99"/>
    <w:rsid w:val="001E28AE"/>
    <w:rPr>
      <w:sz w:val="20"/>
      <w:szCs w:val="20"/>
    </w:rPr>
  </w:style>
  <w:style w:type="paragraph" w:styleId="Header">
    <w:name w:val="header"/>
    <w:basedOn w:val="Normal"/>
    <w:link w:val="HeaderChar"/>
    <w:uiPriority w:val="99"/>
    <w:unhideWhenUsed/>
    <w:rsid w:val="00E05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683"/>
  </w:style>
  <w:style w:type="paragraph" w:styleId="Footer">
    <w:name w:val="footer"/>
    <w:basedOn w:val="Normal"/>
    <w:link w:val="FooterChar"/>
    <w:uiPriority w:val="99"/>
    <w:unhideWhenUsed/>
    <w:rsid w:val="00E05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683"/>
  </w:style>
  <w:style w:type="paragraph" w:styleId="Revision">
    <w:name w:val="Revision"/>
    <w:hidden/>
    <w:uiPriority w:val="99"/>
    <w:semiHidden/>
    <w:rsid w:val="00EC70DC"/>
    <w:pPr>
      <w:spacing w:after="0" w:line="240" w:lineRule="auto"/>
    </w:pPr>
  </w:style>
  <w:style w:type="paragraph" w:styleId="FootnoteText">
    <w:name w:val="footnote text"/>
    <w:basedOn w:val="Normal"/>
    <w:link w:val="FootnoteTextChar"/>
    <w:uiPriority w:val="99"/>
    <w:unhideWhenUsed/>
    <w:rsid w:val="00874BA6"/>
    <w:pPr>
      <w:spacing w:after="0" w:line="240" w:lineRule="auto"/>
    </w:pPr>
    <w:rPr>
      <w:sz w:val="20"/>
      <w:szCs w:val="20"/>
    </w:rPr>
  </w:style>
  <w:style w:type="character" w:customStyle="1" w:styleId="FootnoteTextChar">
    <w:name w:val="Footnote Text Char"/>
    <w:basedOn w:val="DefaultParagraphFont"/>
    <w:link w:val="FootnoteText"/>
    <w:uiPriority w:val="99"/>
    <w:rsid w:val="00874BA6"/>
    <w:rPr>
      <w:sz w:val="20"/>
      <w:szCs w:val="20"/>
    </w:rPr>
  </w:style>
  <w:style w:type="character" w:styleId="FootnoteReference">
    <w:name w:val="footnote reference"/>
    <w:basedOn w:val="DefaultParagraphFont"/>
    <w:uiPriority w:val="99"/>
    <w:semiHidden/>
    <w:unhideWhenUsed/>
    <w:rsid w:val="00874BA6"/>
    <w:rPr>
      <w:vertAlign w:val="superscript"/>
    </w:rPr>
  </w:style>
  <w:style w:type="character" w:styleId="Hyperlink">
    <w:name w:val="Hyperlink"/>
    <w:basedOn w:val="DefaultParagraphFont"/>
    <w:uiPriority w:val="99"/>
    <w:unhideWhenUsed/>
    <w:rsid w:val="00F23D79"/>
    <w:rPr>
      <w:color w:val="0563C1" w:themeColor="hyperlink"/>
      <w:u w:val="single"/>
    </w:rPr>
  </w:style>
  <w:style w:type="paragraph" w:customStyle="1" w:styleId="xnumberedparagraphs-moh">
    <w:name w:val="xnumberedparagraphs-moh"/>
    <w:basedOn w:val="Normal"/>
    <w:rsid w:val="00C401C2"/>
    <w:pPr>
      <w:spacing w:before="120" w:after="0" w:line="240" w:lineRule="auto"/>
      <w:ind w:left="851" w:right="284" w:hanging="851"/>
    </w:pPr>
    <w:rPr>
      <w:rFonts w:ascii="Segoe UI" w:hAnsi="Segoe UI" w:cs="Segoe UI"/>
      <w:sz w:val="20"/>
      <w:szCs w:val="20"/>
      <w:lang w:eastAsia="en-NZ"/>
    </w:rPr>
  </w:style>
  <w:style w:type="paragraph" w:styleId="CommentSubject">
    <w:name w:val="annotation subject"/>
    <w:basedOn w:val="CommentText"/>
    <w:next w:val="CommentText"/>
    <w:link w:val="CommentSubjectChar"/>
    <w:uiPriority w:val="99"/>
    <w:semiHidden/>
    <w:unhideWhenUsed/>
    <w:rsid w:val="005254CE"/>
    <w:rPr>
      <w:b/>
      <w:bCs/>
    </w:rPr>
  </w:style>
  <w:style w:type="character" w:customStyle="1" w:styleId="CommentSubjectChar">
    <w:name w:val="Comment Subject Char"/>
    <w:basedOn w:val="CommentTextChar"/>
    <w:link w:val="CommentSubject"/>
    <w:uiPriority w:val="99"/>
    <w:semiHidden/>
    <w:rsid w:val="005254CE"/>
    <w:rPr>
      <w:b/>
      <w:bCs/>
      <w:sz w:val="20"/>
      <w:szCs w:val="20"/>
    </w:rPr>
  </w:style>
  <w:style w:type="paragraph" w:customStyle="1" w:styleId="Tablebullets">
    <w:name w:val="Table bullets"/>
    <w:basedOn w:val="Normal"/>
    <w:link w:val="TablebulletsChar"/>
    <w:rsid w:val="001D2E5A"/>
    <w:pPr>
      <w:numPr>
        <w:numId w:val="1"/>
      </w:numPr>
      <w:spacing w:before="60" w:after="60" w:line="240" w:lineRule="auto"/>
    </w:pPr>
    <w:rPr>
      <w:rFonts w:ascii="Arial" w:eastAsia="Times New Roman" w:hAnsi="Arial" w:cstheme="minorHAnsi"/>
      <w:sz w:val="20"/>
      <w:szCs w:val="20"/>
      <w:lang w:eastAsia="en-GB"/>
    </w:rPr>
  </w:style>
  <w:style w:type="character" w:customStyle="1" w:styleId="TablebulletsChar">
    <w:name w:val="Table bullets Char"/>
    <w:basedOn w:val="DefaultParagraphFont"/>
    <w:link w:val="Tablebullets"/>
    <w:rsid w:val="001D2E5A"/>
    <w:rPr>
      <w:rFonts w:ascii="Arial" w:eastAsia="Times New Roman" w:hAnsi="Arial" w:cstheme="minorHAnsi"/>
      <w:sz w:val="20"/>
      <w:szCs w:val="20"/>
      <w:lang w:eastAsia="en-GB"/>
    </w:rPr>
  </w:style>
  <w:style w:type="paragraph" w:customStyle="1" w:styleId="xfirstlevelbullets-moh">
    <w:name w:val="xfirstlevelbullets-moh"/>
    <w:basedOn w:val="Normal"/>
    <w:rsid w:val="001D2E5A"/>
    <w:pPr>
      <w:spacing w:before="120" w:after="0" w:line="240" w:lineRule="auto"/>
      <w:ind w:left="1276" w:right="284" w:hanging="425"/>
    </w:pPr>
    <w:rPr>
      <w:rFonts w:ascii="Segoe UI" w:hAnsi="Segoe UI" w:cs="Segoe UI"/>
      <w:sz w:val="20"/>
      <w:szCs w:val="20"/>
      <w:lang w:eastAsia="en-NZ"/>
    </w:rPr>
  </w:style>
  <w:style w:type="character" w:customStyle="1" w:styleId="Heading1Char">
    <w:name w:val="Heading 1 Char"/>
    <w:basedOn w:val="DefaultParagraphFont"/>
    <w:link w:val="Heading1"/>
    <w:uiPriority w:val="9"/>
    <w:rsid w:val="00430375"/>
    <w:rPr>
      <w:rFonts w:asciiTheme="majorHAnsi" w:eastAsiaTheme="majorEastAsia" w:hAnsiTheme="majorHAnsi" w:cstheme="majorBidi"/>
      <w:color w:val="1F3864" w:themeColor="accent1" w:themeShade="80"/>
      <w:sz w:val="36"/>
      <w:szCs w:val="36"/>
    </w:rPr>
  </w:style>
  <w:style w:type="character" w:customStyle="1" w:styleId="Heading5Char">
    <w:name w:val="Heading 5 Char"/>
    <w:basedOn w:val="DefaultParagraphFont"/>
    <w:link w:val="Heading5"/>
    <w:uiPriority w:val="9"/>
    <w:rsid w:val="00430375"/>
    <w:rPr>
      <w:rFonts w:asciiTheme="majorHAnsi" w:eastAsiaTheme="majorEastAsia" w:hAnsiTheme="majorHAnsi" w:cstheme="majorBidi"/>
      <w:caps/>
      <w:color w:val="2F5496" w:themeColor="accent1" w:themeShade="BF"/>
    </w:rPr>
  </w:style>
  <w:style w:type="paragraph" w:styleId="TOCHeading">
    <w:name w:val="TOC Heading"/>
    <w:basedOn w:val="Heading1"/>
    <w:next w:val="Normal"/>
    <w:uiPriority w:val="39"/>
    <w:unhideWhenUsed/>
    <w:qFormat/>
    <w:rsid w:val="00430375"/>
    <w:pPr>
      <w:outlineLvl w:val="9"/>
    </w:pPr>
  </w:style>
  <w:style w:type="paragraph" w:styleId="TOC2">
    <w:name w:val="toc 2"/>
    <w:basedOn w:val="Normal"/>
    <w:next w:val="Normal"/>
    <w:autoRedefine/>
    <w:uiPriority w:val="39"/>
    <w:unhideWhenUsed/>
    <w:rsid w:val="00AD6A10"/>
    <w:pPr>
      <w:tabs>
        <w:tab w:val="right" w:leader="dot" w:pos="9016"/>
      </w:tabs>
      <w:spacing w:after="100"/>
      <w:ind w:left="220"/>
    </w:pPr>
  </w:style>
  <w:style w:type="paragraph" w:styleId="TOC3">
    <w:name w:val="toc 3"/>
    <w:basedOn w:val="Normal"/>
    <w:next w:val="Normal"/>
    <w:autoRedefine/>
    <w:uiPriority w:val="39"/>
    <w:unhideWhenUsed/>
    <w:rsid w:val="00F3505E"/>
    <w:pPr>
      <w:tabs>
        <w:tab w:val="right" w:leader="dot" w:pos="9016"/>
      </w:tabs>
      <w:spacing w:after="100"/>
      <w:ind w:left="440"/>
    </w:pPr>
  </w:style>
  <w:style w:type="character" w:customStyle="1" w:styleId="label2">
    <w:name w:val="label2"/>
    <w:basedOn w:val="DefaultParagraphFont"/>
    <w:rsid w:val="003C5FF1"/>
  </w:style>
  <w:style w:type="paragraph" w:customStyle="1" w:styleId="subprov1">
    <w:name w:val="subprov1"/>
    <w:basedOn w:val="Normal"/>
    <w:rsid w:val="003C5FF1"/>
    <w:pPr>
      <w:spacing w:before="83" w:after="216" w:line="288" w:lineRule="atLeast"/>
    </w:pPr>
    <w:rPr>
      <w:rFonts w:ascii="Times New Roman" w:eastAsia="Times New Roman" w:hAnsi="Times New Roman" w:cs="Times New Roman"/>
      <w:sz w:val="24"/>
      <w:szCs w:val="24"/>
      <w:lang w:eastAsia="en-NZ"/>
    </w:rPr>
  </w:style>
  <w:style w:type="paragraph" w:styleId="Caption">
    <w:name w:val="caption"/>
    <w:basedOn w:val="Normal"/>
    <w:next w:val="Normal"/>
    <w:uiPriority w:val="35"/>
    <w:unhideWhenUsed/>
    <w:qFormat/>
    <w:rsid w:val="00430375"/>
    <w:pPr>
      <w:spacing w:line="240" w:lineRule="auto"/>
    </w:pPr>
    <w:rPr>
      <w:b/>
      <w:bCs/>
      <w:smallCaps/>
      <w:color w:val="44546A" w:themeColor="text2"/>
    </w:rPr>
  </w:style>
  <w:style w:type="character" w:customStyle="1" w:styleId="acopre1">
    <w:name w:val="acopre1"/>
    <w:basedOn w:val="DefaultParagraphFont"/>
    <w:rsid w:val="000B394F"/>
  </w:style>
  <w:style w:type="paragraph" w:customStyle="1" w:styleId="NumberedParagraphs-MOH">
    <w:name w:val="Numbered Paragraphs - MOH"/>
    <w:basedOn w:val="Normal"/>
    <w:link w:val="NumberedParagraphs-MOHChar"/>
    <w:qFormat/>
    <w:rsid w:val="000B394F"/>
    <w:pPr>
      <w:numPr>
        <w:numId w:val="4"/>
      </w:numPr>
      <w:tabs>
        <w:tab w:val="num" w:pos="360"/>
      </w:tabs>
      <w:spacing w:before="120" w:after="0" w:line="240" w:lineRule="auto"/>
      <w:ind w:right="284"/>
    </w:pPr>
    <w:rPr>
      <w:rFonts w:ascii="Segoe UI" w:hAnsi="Segoe UI" w:cs="Segoe UI"/>
    </w:rPr>
  </w:style>
  <w:style w:type="paragraph" w:customStyle="1" w:styleId="ReportBody2-MOH">
    <w:name w:val="Report Body 2 - MOH"/>
    <w:basedOn w:val="Normal"/>
    <w:qFormat/>
    <w:rsid w:val="000B394F"/>
    <w:pPr>
      <w:numPr>
        <w:ilvl w:val="1"/>
        <w:numId w:val="4"/>
      </w:numPr>
      <w:tabs>
        <w:tab w:val="num" w:pos="360"/>
      </w:tabs>
      <w:spacing w:before="120" w:after="0" w:line="240" w:lineRule="auto"/>
      <w:ind w:right="284"/>
    </w:pPr>
    <w:rPr>
      <w:rFonts w:ascii="Segoe UI" w:hAnsi="Segoe UI" w:cs="Segoe UI"/>
      <w:lang w:eastAsia="en-NZ"/>
    </w:rPr>
  </w:style>
  <w:style w:type="paragraph" w:customStyle="1" w:styleId="SecondLevelBullets-MOH">
    <w:name w:val="Second Level Bullets - MOH"/>
    <w:basedOn w:val="Normal"/>
    <w:qFormat/>
    <w:rsid w:val="000B394F"/>
    <w:pPr>
      <w:numPr>
        <w:ilvl w:val="2"/>
        <w:numId w:val="4"/>
      </w:numPr>
      <w:tabs>
        <w:tab w:val="num" w:pos="360"/>
      </w:tabs>
      <w:spacing w:before="120" w:after="0" w:line="240" w:lineRule="auto"/>
      <w:ind w:right="284"/>
    </w:pPr>
    <w:rPr>
      <w:rFonts w:ascii="Segoe UI" w:hAnsi="Segoe UI" w:cs="Segoe UI"/>
      <w:lang w:eastAsia="en-NZ"/>
    </w:rPr>
  </w:style>
  <w:style w:type="paragraph" w:styleId="TOC1">
    <w:name w:val="toc 1"/>
    <w:basedOn w:val="Normal"/>
    <w:next w:val="Normal"/>
    <w:autoRedefine/>
    <w:uiPriority w:val="39"/>
    <w:unhideWhenUsed/>
    <w:rsid w:val="009D211C"/>
    <w:pPr>
      <w:tabs>
        <w:tab w:val="right" w:leader="dot" w:pos="10456"/>
      </w:tabs>
      <w:spacing w:after="100"/>
    </w:pPr>
  </w:style>
  <w:style w:type="character" w:customStyle="1" w:styleId="Heading6Char">
    <w:name w:val="Heading 6 Char"/>
    <w:basedOn w:val="DefaultParagraphFont"/>
    <w:link w:val="Heading6"/>
    <w:uiPriority w:val="9"/>
    <w:rsid w:val="0043037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43037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43037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430375"/>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43037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3037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3037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3037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30375"/>
    <w:rPr>
      <w:b/>
      <w:bCs/>
    </w:rPr>
  </w:style>
  <w:style w:type="character" w:styleId="Emphasis">
    <w:name w:val="Emphasis"/>
    <w:basedOn w:val="DefaultParagraphFont"/>
    <w:uiPriority w:val="20"/>
    <w:qFormat/>
    <w:rsid w:val="00430375"/>
    <w:rPr>
      <w:i/>
      <w:iCs/>
    </w:rPr>
  </w:style>
  <w:style w:type="paragraph" w:styleId="NoSpacing">
    <w:name w:val="No Spacing"/>
    <w:link w:val="NoSpacingChar"/>
    <w:uiPriority w:val="1"/>
    <w:qFormat/>
    <w:rsid w:val="00430375"/>
    <w:pPr>
      <w:spacing w:after="0" w:line="240" w:lineRule="auto"/>
    </w:pPr>
  </w:style>
  <w:style w:type="paragraph" w:styleId="Quote">
    <w:name w:val="Quote"/>
    <w:basedOn w:val="Normal"/>
    <w:next w:val="Normal"/>
    <w:link w:val="QuoteChar"/>
    <w:uiPriority w:val="29"/>
    <w:qFormat/>
    <w:rsid w:val="0043037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30375"/>
    <w:rPr>
      <w:color w:val="44546A" w:themeColor="text2"/>
      <w:sz w:val="24"/>
      <w:szCs w:val="24"/>
    </w:rPr>
  </w:style>
  <w:style w:type="paragraph" w:styleId="IntenseQuote">
    <w:name w:val="Intense Quote"/>
    <w:basedOn w:val="Normal"/>
    <w:next w:val="Normal"/>
    <w:link w:val="IntenseQuoteChar"/>
    <w:uiPriority w:val="30"/>
    <w:qFormat/>
    <w:rsid w:val="0043037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3037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30375"/>
    <w:rPr>
      <w:i/>
      <w:iCs/>
      <w:color w:val="595959" w:themeColor="text1" w:themeTint="A6"/>
    </w:rPr>
  </w:style>
  <w:style w:type="character" w:styleId="IntenseEmphasis">
    <w:name w:val="Intense Emphasis"/>
    <w:basedOn w:val="DefaultParagraphFont"/>
    <w:uiPriority w:val="21"/>
    <w:qFormat/>
    <w:rsid w:val="00430375"/>
    <w:rPr>
      <w:b/>
      <w:bCs/>
      <w:i/>
      <w:iCs/>
    </w:rPr>
  </w:style>
  <w:style w:type="character" w:styleId="SubtleReference">
    <w:name w:val="Subtle Reference"/>
    <w:basedOn w:val="DefaultParagraphFont"/>
    <w:uiPriority w:val="31"/>
    <w:qFormat/>
    <w:rsid w:val="0043037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30375"/>
    <w:rPr>
      <w:b/>
      <w:bCs/>
      <w:smallCaps/>
      <w:color w:val="44546A" w:themeColor="text2"/>
      <w:u w:val="single"/>
    </w:rPr>
  </w:style>
  <w:style w:type="character" w:styleId="BookTitle">
    <w:name w:val="Book Title"/>
    <w:basedOn w:val="DefaultParagraphFont"/>
    <w:uiPriority w:val="33"/>
    <w:qFormat/>
    <w:rsid w:val="00430375"/>
    <w:rPr>
      <w:b/>
      <w:bCs/>
      <w:smallCaps/>
      <w:spacing w:val="10"/>
    </w:rPr>
  </w:style>
  <w:style w:type="paragraph" w:customStyle="1" w:styleId="bulletpoints">
    <w:name w:val="bullet points"/>
    <w:basedOn w:val="ListParagraph"/>
    <w:link w:val="bulletpointsChar"/>
    <w:qFormat/>
    <w:rsid w:val="00AA6AC6"/>
    <w:pPr>
      <w:numPr>
        <w:ilvl w:val="1"/>
        <w:numId w:val="5"/>
      </w:numPr>
      <w:ind w:left="360"/>
    </w:pPr>
    <w:rPr>
      <w:rFonts w:ascii="Calibri" w:hAnsi="Calibri" w:cs="Calibri"/>
    </w:rPr>
  </w:style>
  <w:style w:type="table" w:styleId="GridTable2-Accent1">
    <w:name w:val="Grid Table 2 Accent 1"/>
    <w:basedOn w:val="TableNormal"/>
    <w:uiPriority w:val="47"/>
    <w:rsid w:val="008E10B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ulletpointsChar">
    <w:name w:val="bullet points Char"/>
    <w:basedOn w:val="ListParagraphChar"/>
    <w:link w:val="bulletpoints"/>
    <w:rsid w:val="001003C2"/>
    <w:rPr>
      <w:rFonts w:ascii="Calibri" w:hAnsi="Calibri" w:cs="Calibri"/>
    </w:rPr>
  </w:style>
  <w:style w:type="character" w:styleId="UnresolvedMention">
    <w:name w:val="Unresolved Mention"/>
    <w:basedOn w:val="DefaultParagraphFont"/>
    <w:uiPriority w:val="99"/>
    <w:unhideWhenUsed/>
    <w:rsid w:val="00BB39C9"/>
    <w:rPr>
      <w:color w:val="605E5C"/>
      <w:shd w:val="clear" w:color="auto" w:fill="E1DFDD"/>
    </w:rPr>
  </w:style>
  <w:style w:type="character" w:styleId="Mention">
    <w:name w:val="Mention"/>
    <w:basedOn w:val="DefaultParagraphFont"/>
    <w:uiPriority w:val="99"/>
    <w:unhideWhenUsed/>
    <w:rsid w:val="00BB39C9"/>
    <w:rPr>
      <w:color w:val="2B579A"/>
      <w:shd w:val="clear" w:color="auto" w:fill="E1DFDD"/>
    </w:rPr>
  </w:style>
  <w:style w:type="paragraph" w:styleId="NormalWeb">
    <w:name w:val="Normal (Web)"/>
    <w:basedOn w:val="Normal"/>
    <w:uiPriority w:val="99"/>
    <w:semiHidden/>
    <w:unhideWhenUsed/>
    <w:rsid w:val="00BB39C9"/>
    <w:pPr>
      <w:spacing w:after="225" w:line="240" w:lineRule="auto"/>
    </w:pPr>
    <w:rPr>
      <w:rFonts w:ascii="Calibri" w:eastAsia="Times New Roman" w:hAnsi="Calibri" w:cs="Calibri"/>
      <w:lang w:eastAsia="zh-CN"/>
    </w:rPr>
  </w:style>
  <w:style w:type="character" w:customStyle="1" w:styleId="NoSpacingChar">
    <w:name w:val="No Spacing Char"/>
    <w:basedOn w:val="DefaultParagraphFont"/>
    <w:link w:val="NoSpacing"/>
    <w:uiPriority w:val="1"/>
    <w:rsid w:val="00BB39C9"/>
  </w:style>
  <w:style w:type="paragraph" w:customStyle="1" w:styleId="CabStandard">
    <w:name w:val="CabStandard"/>
    <w:basedOn w:val="Normal"/>
    <w:rsid w:val="004C5A52"/>
    <w:pPr>
      <w:spacing w:after="240" w:line="240" w:lineRule="auto"/>
    </w:pPr>
    <w:rPr>
      <w:rFonts w:ascii="Times New Roman" w:eastAsia="Times New Roman" w:hAnsi="Times New Roman" w:cs="Times New Roman"/>
      <w:sz w:val="24"/>
      <w:szCs w:val="20"/>
      <w:lang w:val="en-GB" w:eastAsia="ja-JP"/>
    </w:rPr>
  </w:style>
  <w:style w:type="table" w:styleId="TableGrid">
    <w:name w:val="Table Grid"/>
    <w:basedOn w:val="TableNormal"/>
    <w:uiPriority w:val="39"/>
    <w:rsid w:val="001339BD"/>
    <w:pPr>
      <w:spacing w:after="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B79B1"/>
    <w:pPr>
      <w:spacing w:after="0"/>
    </w:pPr>
  </w:style>
  <w:style w:type="paragraph" w:customStyle="1" w:styleId="Table">
    <w:name w:val="Table"/>
    <w:basedOn w:val="Normal"/>
    <w:qFormat/>
    <w:rsid w:val="00420C19"/>
    <w:pPr>
      <w:keepNext/>
      <w:spacing w:before="160" w:after="120" w:line="264" w:lineRule="auto"/>
    </w:pPr>
    <w:rPr>
      <w:rFonts w:eastAsia="Times New Roman" w:cs="Times New Roman"/>
      <w:i/>
      <w:szCs w:val="20"/>
      <w:lang w:eastAsia="en-GB"/>
    </w:rPr>
  </w:style>
  <w:style w:type="paragraph" w:customStyle="1" w:styleId="TableText">
    <w:name w:val="TableText"/>
    <w:basedOn w:val="Normal"/>
    <w:qFormat/>
    <w:rsid w:val="00420C19"/>
    <w:pPr>
      <w:spacing w:before="60" w:after="60" w:line="240" w:lineRule="auto"/>
    </w:pPr>
    <w:rPr>
      <w:rFonts w:eastAsia="Times New Roman" w:cs="Times New Roman"/>
      <w:szCs w:val="20"/>
      <w:lang w:eastAsia="en-GB"/>
    </w:rPr>
  </w:style>
  <w:style w:type="paragraph" w:customStyle="1" w:styleId="Default">
    <w:name w:val="Default"/>
    <w:rsid w:val="00B67195"/>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Style1Char">
    <w:name w:val="Style1 Char"/>
    <w:basedOn w:val="DefaultParagraphFont"/>
    <w:link w:val="Style1"/>
    <w:locked/>
    <w:rsid w:val="00B67195"/>
    <w:rPr>
      <w:rFonts w:ascii="Times New Roman" w:eastAsia="Times New Roman" w:hAnsi="Times New Roman" w:cs="Times New Roman"/>
      <w:sz w:val="24"/>
      <w:szCs w:val="24"/>
      <w:lang w:eastAsia="en-GB"/>
    </w:rPr>
  </w:style>
  <w:style w:type="paragraph" w:customStyle="1" w:styleId="Style1">
    <w:name w:val="Style1"/>
    <w:basedOn w:val="ListParagraph"/>
    <w:link w:val="Style1Char"/>
    <w:qFormat/>
    <w:rsid w:val="00B67195"/>
    <w:pPr>
      <w:numPr>
        <w:numId w:val="9"/>
      </w:numPr>
      <w:spacing w:after="0" w:line="240" w:lineRule="auto"/>
    </w:pPr>
    <w:rPr>
      <w:rFonts w:ascii="Times New Roman" w:eastAsia="Times New Roman" w:hAnsi="Times New Roman" w:cs="Times New Roman"/>
      <w:sz w:val="24"/>
      <w:szCs w:val="24"/>
      <w:lang w:eastAsia="en-GB"/>
    </w:rPr>
  </w:style>
  <w:style w:type="character" w:customStyle="1" w:styleId="NumberedParagraphs-MOHChar">
    <w:name w:val="Numbered Paragraphs - MOH Char"/>
    <w:basedOn w:val="DefaultParagraphFont"/>
    <w:link w:val="NumberedParagraphs-MOH"/>
    <w:locked/>
    <w:rsid w:val="00957F40"/>
    <w:rPr>
      <w:rFonts w:ascii="Segoe UI" w:hAnsi="Segoe UI" w:cs="Segoe UI"/>
    </w:rPr>
  </w:style>
  <w:style w:type="character" w:customStyle="1" w:styleId="ReportBody-MOHChar">
    <w:name w:val="Report Body - MOH Char"/>
    <w:basedOn w:val="DefaultParagraphFont"/>
    <w:link w:val="ReportBody-MOH"/>
    <w:locked/>
    <w:rsid w:val="008204E5"/>
    <w:rPr>
      <w:rFonts w:ascii="Segoe UI" w:hAnsi="Segoe UI" w:cs="Segoe UI"/>
    </w:rPr>
  </w:style>
  <w:style w:type="paragraph" w:customStyle="1" w:styleId="ReportBody-MOH">
    <w:name w:val="Report Body - MOH"/>
    <w:basedOn w:val="Normal"/>
    <w:link w:val="ReportBody-MOHChar"/>
    <w:rsid w:val="008204E5"/>
    <w:pPr>
      <w:spacing w:before="120" w:after="120" w:line="240" w:lineRule="auto"/>
      <w:ind w:left="851" w:right="284" w:hanging="851"/>
    </w:pPr>
    <w:rPr>
      <w:rFonts w:ascii="Segoe UI" w:hAnsi="Segoe UI" w:cs="Segoe UI"/>
    </w:rPr>
  </w:style>
  <w:style w:type="paragraph" w:customStyle="1" w:styleId="p1">
    <w:name w:val="p1"/>
    <w:basedOn w:val="Normal"/>
    <w:rsid w:val="008204E5"/>
    <w:pPr>
      <w:spacing w:after="100" w:afterAutospacing="1" w:line="240" w:lineRule="auto"/>
    </w:pPr>
    <w:rPr>
      <w:rFonts w:ascii="Times New Roman" w:eastAsia="Times New Roman" w:hAnsi="Times New Roman" w:cs="Times New Roman"/>
      <w:sz w:val="24"/>
      <w:szCs w:val="24"/>
      <w:lang w:eastAsia="en-NZ"/>
    </w:rPr>
  </w:style>
  <w:style w:type="paragraph" w:styleId="TOC4">
    <w:name w:val="toc 4"/>
    <w:basedOn w:val="Normal"/>
    <w:next w:val="Normal"/>
    <w:autoRedefine/>
    <w:uiPriority w:val="39"/>
    <w:unhideWhenUsed/>
    <w:rsid w:val="0002520B"/>
    <w:pPr>
      <w:spacing w:after="100"/>
      <w:ind w:left="660"/>
    </w:pPr>
    <w:rPr>
      <w:lang w:eastAsia="en-NZ"/>
    </w:rPr>
  </w:style>
  <w:style w:type="paragraph" w:styleId="TOC5">
    <w:name w:val="toc 5"/>
    <w:basedOn w:val="Normal"/>
    <w:next w:val="Normal"/>
    <w:autoRedefine/>
    <w:uiPriority w:val="39"/>
    <w:unhideWhenUsed/>
    <w:rsid w:val="0002520B"/>
    <w:pPr>
      <w:spacing w:after="100"/>
      <w:ind w:left="880"/>
    </w:pPr>
    <w:rPr>
      <w:lang w:eastAsia="en-NZ"/>
    </w:rPr>
  </w:style>
  <w:style w:type="paragraph" w:styleId="TOC6">
    <w:name w:val="toc 6"/>
    <w:basedOn w:val="Normal"/>
    <w:next w:val="Normal"/>
    <w:autoRedefine/>
    <w:uiPriority w:val="39"/>
    <w:unhideWhenUsed/>
    <w:rsid w:val="0002520B"/>
    <w:pPr>
      <w:spacing w:after="100"/>
      <w:ind w:left="1100"/>
    </w:pPr>
    <w:rPr>
      <w:lang w:eastAsia="en-NZ"/>
    </w:rPr>
  </w:style>
  <w:style w:type="paragraph" w:styleId="TOC7">
    <w:name w:val="toc 7"/>
    <w:basedOn w:val="Normal"/>
    <w:next w:val="Normal"/>
    <w:autoRedefine/>
    <w:uiPriority w:val="39"/>
    <w:unhideWhenUsed/>
    <w:rsid w:val="0002520B"/>
    <w:pPr>
      <w:spacing w:after="100"/>
      <w:ind w:left="1320"/>
    </w:pPr>
    <w:rPr>
      <w:lang w:eastAsia="en-NZ"/>
    </w:rPr>
  </w:style>
  <w:style w:type="paragraph" w:styleId="TOC8">
    <w:name w:val="toc 8"/>
    <w:basedOn w:val="Normal"/>
    <w:next w:val="Normal"/>
    <w:autoRedefine/>
    <w:uiPriority w:val="39"/>
    <w:unhideWhenUsed/>
    <w:rsid w:val="0002520B"/>
    <w:pPr>
      <w:spacing w:after="100"/>
      <w:ind w:left="1540"/>
    </w:pPr>
    <w:rPr>
      <w:lang w:eastAsia="en-NZ"/>
    </w:rPr>
  </w:style>
  <w:style w:type="paragraph" w:styleId="TOC9">
    <w:name w:val="toc 9"/>
    <w:basedOn w:val="Normal"/>
    <w:next w:val="Normal"/>
    <w:autoRedefine/>
    <w:uiPriority w:val="39"/>
    <w:unhideWhenUsed/>
    <w:rsid w:val="0002520B"/>
    <w:pPr>
      <w:spacing w:after="100"/>
      <w:ind w:left="1760"/>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2937">
      <w:bodyDiv w:val="1"/>
      <w:marLeft w:val="0"/>
      <w:marRight w:val="0"/>
      <w:marTop w:val="0"/>
      <w:marBottom w:val="0"/>
      <w:divBdr>
        <w:top w:val="none" w:sz="0" w:space="0" w:color="auto"/>
        <w:left w:val="none" w:sz="0" w:space="0" w:color="auto"/>
        <w:bottom w:val="none" w:sz="0" w:space="0" w:color="auto"/>
        <w:right w:val="none" w:sz="0" w:space="0" w:color="auto"/>
      </w:divBdr>
    </w:div>
    <w:div w:id="18513153">
      <w:bodyDiv w:val="1"/>
      <w:marLeft w:val="0"/>
      <w:marRight w:val="0"/>
      <w:marTop w:val="0"/>
      <w:marBottom w:val="0"/>
      <w:divBdr>
        <w:top w:val="none" w:sz="0" w:space="0" w:color="auto"/>
        <w:left w:val="none" w:sz="0" w:space="0" w:color="auto"/>
        <w:bottom w:val="none" w:sz="0" w:space="0" w:color="auto"/>
        <w:right w:val="none" w:sz="0" w:space="0" w:color="auto"/>
      </w:divBdr>
    </w:div>
    <w:div w:id="29033910">
      <w:bodyDiv w:val="1"/>
      <w:marLeft w:val="0"/>
      <w:marRight w:val="0"/>
      <w:marTop w:val="0"/>
      <w:marBottom w:val="0"/>
      <w:divBdr>
        <w:top w:val="none" w:sz="0" w:space="0" w:color="auto"/>
        <w:left w:val="none" w:sz="0" w:space="0" w:color="auto"/>
        <w:bottom w:val="none" w:sz="0" w:space="0" w:color="auto"/>
        <w:right w:val="none" w:sz="0" w:space="0" w:color="auto"/>
      </w:divBdr>
    </w:div>
    <w:div w:id="36659851">
      <w:bodyDiv w:val="1"/>
      <w:marLeft w:val="0"/>
      <w:marRight w:val="0"/>
      <w:marTop w:val="0"/>
      <w:marBottom w:val="0"/>
      <w:divBdr>
        <w:top w:val="none" w:sz="0" w:space="0" w:color="auto"/>
        <w:left w:val="none" w:sz="0" w:space="0" w:color="auto"/>
        <w:bottom w:val="none" w:sz="0" w:space="0" w:color="auto"/>
        <w:right w:val="none" w:sz="0" w:space="0" w:color="auto"/>
      </w:divBdr>
      <w:divsChild>
        <w:div w:id="1979870349">
          <w:marLeft w:val="0"/>
          <w:marRight w:val="0"/>
          <w:marTop w:val="0"/>
          <w:marBottom w:val="0"/>
          <w:divBdr>
            <w:top w:val="none" w:sz="0" w:space="0" w:color="auto"/>
            <w:left w:val="none" w:sz="0" w:space="0" w:color="auto"/>
            <w:bottom w:val="none" w:sz="0" w:space="0" w:color="auto"/>
            <w:right w:val="none" w:sz="0" w:space="0" w:color="auto"/>
          </w:divBdr>
        </w:div>
      </w:divsChild>
    </w:div>
    <w:div w:id="37974378">
      <w:bodyDiv w:val="1"/>
      <w:marLeft w:val="0"/>
      <w:marRight w:val="0"/>
      <w:marTop w:val="0"/>
      <w:marBottom w:val="0"/>
      <w:divBdr>
        <w:top w:val="none" w:sz="0" w:space="0" w:color="auto"/>
        <w:left w:val="none" w:sz="0" w:space="0" w:color="auto"/>
        <w:bottom w:val="none" w:sz="0" w:space="0" w:color="auto"/>
        <w:right w:val="none" w:sz="0" w:space="0" w:color="auto"/>
      </w:divBdr>
    </w:div>
    <w:div w:id="40597074">
      <w:bodyDiv w:val="1"/>
      <w:marLeft w:val="0"/>
      <w:marRight w:val="0"/>
      <w:marTop w:val="0"/>
      <w:marBottom w:val="0"/>
      <w:divBdr>
        <w:top w:val="none" w:sz="0" w:space="0" w:color="auto"/>
        <w:left w:val="none" w:sz="0" w:space="0" w:color="auto"/>
        <w:bottom w:val="none" w:sz="0" w:space="0" w:color="auto"/>
        <w:right w:val="none" w:sz="0" w:space="0" w:color="auto"/>
      </w:divBdr>
    </w:div>
    <w:div w:id="55009077">
      <w:bodyDiv w:val="1"/>
      <w:marLeft w:val="0"/>
      <w:marRight w:val="0"/>
      <w:marTop w:val="0"/>
      <w:marBottom w:val="0"/>
      <w:divBdr>
        <w:top w:val="none" w:sz="0" w:space="0" w:color="auto"/>
        <w:left w:val="none" w:sz="0" w:space="0" w:color="auto"/>
        <w:bottom w:val="none" w:sz="0" w:space="0" w:color="auto"/>
        <w:right w:val="none" w:sz="0" w:space="0" w:color="auto"/>
      </w:divBdr>
    </w:div>
    <w:div w:id="59257159">
      <w:bodyDiv w:val="1"/>
      <w:marLeft w:val="0"/>
      <w:marRight w:val="0"/>
      <w:marTop w:val="0"/>
      <w:marBottom w:val="0"/>
      <w:divBdr>
        <w:top w:val="none" w:sz="0" w:space="0" w:color="auto"/>
        <w:left w:val="none" w:sz="0" w:space="0" w:color="auto"/>
        <w:bottom w:val="none" w:sz="0" w:space="0" w:color="auto"/>
        <w:right w:val="none" w:sz="0" w:space="0" w:color="auto"/>
      </w:divBdr>
    </w:div>
    <w:div w:id="71707232">
      <w:bodyDiv w:val="1"/>
      <w:marLeft w:val="0"/>
      <w:marRight w:val="0"/>
      <w:marTop w:val="0"/>
      <w:marBottom w:val="0"/>
      <w:divBdr>
        <w:top w:val="none" w:sz="0" w:space="0" w:color="auto"/>
        <w:left w:val="none" w:sz="0" w:space="0" w:color="auto"/>
        <w:bottom w:val="none" w:sz="0" w:space="0" w:color="auto"/>
        <w:right w:val="none" w:sz="0" w:space="0" w:color="auto"/>
      </w:divBdr>
    </w:div>
    <w:div w:id="79302625">
      <w:bodyDiv w:val="1"/>
      <w:marLeft w:val="0"/>
      <w:marRight w:val="0"/>
      <w:marTop w:val="0"/>
      <w:marBottom w:val="0"/>
      <w:divBdr>
        <w:top w:val="none" w:sz="0" w:space="0" w:color="auto"/>
        <w:left w:val="none" w:sz="0" w:space="0" w:color="auto"/>
        <w:bottom w:val="none" w:sz="0" w:space="0" w:color="auto"/>
        <w:right w:val="none" w:sz="0" w:space="0" w:color="auto"/>
      </w:divBdr>
    </w:div>
    <w:div w:id="82727304">
      <w:bodyDiv w:val="1"/>
      <w:marLeft w:val="0"/>
      <w:marRight w:val="0"/>
      <w:marTop w:val="0"/>
      <w:marBottom w:val="0"/>
      <w:divBdr>
        <w:top w:val="none" w:sz="0" w:space="0" w:color="auto"/>
        <w:left w:val="none" w:sz="0" w:space="0" w:color="auto"/>
        <w:bottom w:val="none" w:sz="0" w:space="0" w:color="auto"/>
        <w:right w:val="none" w:sz="0" w:space="0" w:color="auto"/>
      </w:divBdr>
    </w:div>
    <w:div w:id="95059017">
      <w:bodyDiv w:val="1"/>
      <w:marLeft w:val="0"/>
      <w:marRight w:val="0"/>
      <w:marTop w:val="0"/>
      <w:marBottom w:val="0"/>
      <w:divBdr>
        <w:top w:val="none" w:sz="0" w:space="0" w:color="auto"/>
        <w:left w:val="none" w:sz="0" w:space="0" w:color="auto"/>
        <w:bottom w:val="none" w:sz="0" w:space="0" w:color="auto"/>
        <w:right w:val="none" w:sz="0" w:space="0" w:color="auto"/>
      </w:divBdr>
    </w:div>
    <w:div w:id="131219920">
      <w:bodyDiv w:val="1"/>
      <w:marLeft w:val="0"/>
      <w:marRight w:val="0"/>
      <w:marTop w:val="0"/>
      <w:marBottom w:val="0"/>
      <w:divBdr>
        <w:top w:val="none" w:sz="0" w:space="0" w:color="auto"/>
        <w:left w:val="none" w:sz="0" w:space="0" w:color="auto"/>
        <w:bottom w:val="none" w:sz="0" w:space="0" w:color="auto"/>
        <w:right w:val="none" w:sz="0" w:space="0" w:color="auto"/>
      </w:divBdr>
    </w:div>
    <w:div w:id="180055023">
      <w:bodyDiv w:val="1"/>
      <w:marLeft w:val="0"/>
      <w:marRight w:val="0"/>
      <w:marTop w:val="0"/>
      <w:marBottom w:val="0"/>
      <w:divBdr>
        <w:top w:val="none" w:sz="0" w:space="0" w:color="auto"/>
        <w:left w:val="none" w:sz="0" w:space="0" w:color="auto"/>
        <w:bottom w:val="none" w:sz="0" w:space="0" w:color="auto"/>
        <w:right w:val="none" w:sz="0" w:space="0" w:color="auto"/>
      </w:divBdr>
    </w:div>
    <w:div w:id="189148677">
      <w:bodyDiv w:val="1"/>
      <w:marLeft w:val="0"/>
      <w:marRight w:val="0"/>
      <w:marTop w:val="0"/>
      <w:marBottom w:val="0"/>
      <w:divBdr>
        <w:top w:val="none" w:sz="0" w:space="0" w:color="auto"/>
        <w:left w:val="none" w:sz="0" w:space="0" w:color="auto"/>
        <w:bottom w:val="none" w:sz="0" w:space="0" w:color="auto"/>
        <w:right w:val="none" w:sz="0" w:space="0" w:color="auto"/>
      </w:divBdr>
    </w:div>
    <w:div w:id="190648543">
      <w:bodyDiv w:val="1"/>
      <w:marLeft w:val="0"/>
      <w:marRight w:val="0"/>
      <w:marTop w:val="0"/>
      <w:marBottom w:val="0"/>
      <w:divBdr>
        <w:top w:val="none" w:sz="0" w:space="0" w:color="auto"/>
        <w:left w:val="none" w:sz="0" w:space="0" w:color="auto"/>
        <w:bottom w:val="none" w:sz="0" w:space="0" w:color="auto"/>
        <w:right w:val="none" w:sz="0" w:space="0" w:color="auto"/>
      </w:divBdr>
    </w:div>
    <w:div w:id="191693350">
      <w:bodyDiv w:val="1"/>
      <w:marLeft w:val="0"/>
      <w:marRight w:val="0"/>
      <w:marTop w:val="0"/>
      <w:marBottom w:val="0"/>
      <w:divBdr>
        <w:top w:val="none" w:sz="0" w:space="0" w:color="auto"/>
        <w:left w:val="none" w:sz="0" w:space="0" w:color="auto"/>
        <w:bottom w:val="none" w:sz="0" w:space="0" w:color="auto"/>
        <w:right w:val="none" w:sz="0" w:space="0" w:color="auto"/>
      </w:divBdr>
    </w:div>
    <w:div w:id="240330437">
      <w:bodyDiv w:val="1"/>
      <w:marLeft w:val="0"/>
      <w:marRight w:val="0"/>
      <w:marTop w:val="0"/>
      <w:marBottom w:val="0"/>
      <w:divBdr>
        <w:top w:val="none" w:sz="0" w:space="0" w:color="auto"/>
        <w:left w:val="none" w:sz="0" w:space="0" w:color="auto"/>
        <w:bottom w:val="none" w:sz="0" w:space="0" w:color="auto"/>
        <w:right w:val="none" w:sz="0" w:space="0" w:color="auto"/>
      </w:divBdr>
    </w:div>
    <w:div w:id="293752615">
      <w:bodyDiv w:val="1"/>
      <w:marLeft w:val="0"/>
      <w:marRight w:val="0"/>
      <w:marTop w:val="0"/>
      <w:marBottom w:val="0"/>
      <w:divBdr>
        <w:top w:val="none" w:sz="0" w:space="0" w:color="auto"/>
        <w:left w:val="none" w:sz="0" w:space="0" w:color="auto"/>
        <w:bottom w:val="none" w:sz="0" w:space="0" w:color="auto"/>
        <w:right w:val="none" w:sz="0" w:space="0" w:color="auto"/>
      </w:divBdr>
    </w:div>
    <w:div w:id="313947549">
      <w:bodyDiv w:val="1"/>
      <w:marLeft w:val="0"/>
      <w:marRight w:val="0"/>
      <w:marTop w:val="0"/>
      <w:marBottom w:val="0"/>
      <w:divBdr>
        <w:top w:val="none" w:sz="0" w:space="0" w:color="auto"/>
        <w:left w:val="none" w:sz="0" w:space="0" w:color="auto"/>
        <w:bottom w:val="none" w:sz="0" w:space="0" w:color="auto"/>
        <w:right w:val="none" w:sz="0" w:space="0" w:color="auto"/>
      </w:divBdr>
    </w:div>
    <w:div w:id="321735089">
      <w:bodyDiv w:val="1"/>
      <w:marLeft w:val="0"/>
      <w:marRight w:val="0"/>
      <w:marTop w:val="0"/>
      <w:marBottom w:val="0"/>
      <w:divBdr>
        <w:top w:val="none" w:sz="0" w:space="0" w:color="auto"/>
        <w:left w:val="none" w:sz="0" w:space="0" w:color="auto"/>
        <w:bottom w:val="none" w:sz="0" w:space="0" w:color="auto"/>
        <w:right w:val="none" w:sz="0" w:space="0" w:color="auto"/>
      </w:divBdr>
    </w:div>
    <w:div w:id="356003574">
      <w:bodyDiv w:val="1"/>
      <w:marLeft w:val="0"/>
      <w:marRight w:val="0"/>
      <w:marTop w:val="0"/>
      <w:marBottom w:val="0"/>
      <w:divBdr>
        <w:top w:val="none" w:sz="0" w:space="0" w:color="auto"/>
        <w:left w:val="none" w:sz="0" w:space="0" w:color="auto"/>
        <w:bottom w:val="none" w:sz="0" w:space="0" w:color="auto"/>
        <w:right w:val="none" w:sz="0" w:space="0" w:color="auto"/>
      </w:divBdr>
      <w:divsChild>
        <w:div w:id="2059627955">
          <w:marLeft w:val="0"/>
          <w:marRight w:val="0"/>
          <w:marTop w:val="0"/>
          <w:marBottom w:val="0"/>
          <w:divBdr>
            <w:top w:val="none" w:sz="0" w:space="0" w:color="auto"/>
            <w:left w:val="none" w:sz="0" w:space="0" w:color="auto"/>
            <w:bottom w:val="none" w:sz="0" w:space="0" w:color="auto"/>
            <w:right w:val="none" w:sz="0" w:space="0" w:color="auto"/>
          </w:divBdr>
        </w:div>
      </w:divsChild>
    </w:div>
    <w:div w:id="410395787">
      <w:bodyDiv w:val="1"/>
      <w:marLeft w:val="0"/>
      <w:marRight w:val="0"/>
      <w:marTop w:val="0"/>
      <w:marBottom w:val="0"/>
      <w:divBdr>
        <w:top w:val="none" w:sz="0" w:space="0" w:color="auto"/>
        <w:left w:val="none" w:sz="0" w:space="0" w:color="auto"/>
        <w:bottom w:val="none" w:sz="0" w:space="0" w:color="auto"/>
        <w:right w:val="none" w:sz="0" w:space="0" w:color="auto"/>
      </w:divBdr>
    </w:div>
    <w:div w:id="413161707">
      <w:bodyDiv w:val="1"/>
      <w:marLeft w:val="0"/>
      <w:marRight w:val="0"/>
      <w:marTop w:val="0"/>
      <w:marBottom w:val="0"/>
      <w:divBdr>
        <w:top w:val="none" w:sz="0" w:space="0" w:color="auto"/>
        <w:left w:val="none" w:sz="0" w:space="0" w:color="auto"/>
        <w:bottom w:val="none" w:sz="0" w:space="0" w:color="auto"/>
        <w:right w:val="none" w:sz="0" w:space="0" w:color="auto"/>
      </w:divBdr>
    </w:div>
    <w:div w:id="446506239">
      <w:bodyDiv w:val="1"/>
      <w:marLeft w:val="0"/>
      <w:marRight w:val="0"/>
      <w:marTop w:val="0"/>
      <w:marBottom w:val="0"/>
      <w:divBdr>
        <w:top w:val="none" w:sz="0" w:space="0" w:color="auto"/>
        <w:left w:val="none" w:sz="0" w:space="0" w:color="auto"/>
        <w:bottom w:val="none" w:sz="0" w:space="0" w:color="auto"/>
        <w:right w:val="none" w:sz="0" w:space="0" w:color="auto"/>
      </w:divBdr>
    </w:div>
    <w:div w:id="466165535">
      <w:bodyDiv w:val="1"/>
      <w:marLeft w:val="0"/>
      <w:marRight w:val="0"/>
      <w:marTop w:val="0"/>
      <w:marBottom w:val="0"/>
      <w:divBdr>
        <w:top w:val="none" w:sz="0" w:space="0" w:color="auto"/>
        <w:left w:val="none" w:sz="0" w:space="0" w:color="auto"/>
        <w:bottom w:val="none" w:sz="0" w:space="0" w:color="auto"/>
        <w:right w:val="none" w:sz="0" w:space="0" w:color="auto"/>
      </w:divBdr>
    </w:div>
    <w:div w:id="475075877">
      <w:bodyDiv w:val="1"/>
      <w:marLeft w:val="0"/>
      <w:marRight w:val="0"/>
      <w:marTop w:val="0"/>
      <w:marBottom w:val="0"/>
      <w:divBdr>
        <w:top w:val="none" w:sz="0" w:space="0" w:color="auto"/>
        <w:left w:val="none" w:sz="0" w:space="0" w:color="auto"/>
        <w:bottom w:val="none" w:sz="0" w:space="0" w:color="auto"/>
        <w:right w:val="none" w:sz="0" w:space="0" w:color="auto"/>
      </w:divBdr>
    </w:div>
    <w:div w:id="514536022">
      <w:bodyDiv w:val="1"/>
      <w:marLeft w:val="0"/>
      <w:marRight w:val="0"/>
      <w:marTop w:val="0"/>
      <w:marBottom w:val="0"/>
      <w:divBdr>
        <w:top w:val="none" w:sz="0" w:space="0" w:color="auto"/>
        <w:left w:val="none" w:sz="0" w:space="0" w:color="auto"/>
        <w:bottom w:val="none" w:sz="0" w:space="0" w:color="auto"/>
        <w:right w:val="none" w:sz="0" w:space="0" w:color="auto"/>
      </w:divBdr>
    </w:div>
    <w:div w:id="529293991">
      <w:bodyDiv w:val="1"/>
      <w:marLeft w:val="0"/>
      <w:marRight w:val="0"/>
      <w:marTop w:val="0"/>
      <w:marBottom w:val="0"/>
      <w:divBdr>
        <w:top w:val="none" w:sz="0" w:space="0" w:color="auto"/>
        <w:left w:val="none" w:sz="0" w:space="0" w:color="auto"/>
        <w:bottom w:val="none" w:sz="0" w:space="0" w:color="auto"/>
        <w:right w:val="none" w:sz="0" w:space="0" w:color="auto"/>
      </w:divBdr>
    </w:div>
    <w:div w:id="595601678">
      <w:bodyDiv w:val="1"/>
      <w:marLeft w:val="0"/>
      <w:marRight w:val="0"/>
      <w:marTop w:val="0"/>
      <w:marBottom w:val="0"/>
      <w:divBdr>
        <w:top w:val="none" w:sz="0" w:space="0" w:color="auto"/>
        <w:left w:val="none" w:sz="0" w:space="0" w:color="auto"/>
        <w:bottom w:val="none" w:sz="0" w:space="0" w:color="auto"/>
        <w:right w:val="none" w:sz="0" w:space="0" w:color="auto"/>
      </w:divBdr>
    </w:div>
    <w:div w:id="619848386">
      <w:bodyDiv w:val="1"/>
      <w:marLeft w:val="0"/>
      <w:marRight w:val="0"/>
      <w:marTop w:val="0"/>
      <w:marBottom w:val="0"/>
      <w:divBdr>
        <w:top w:val="none" w:sz="0" w:space="0" w:color="auto"/>
        <w:left w:val="none" w:sz="0" w:space="0" w:color="auto"/>
        <w:bottom w:val="none" w:sz="0" w:space="0" w:color="auto"/>
        <w:right w:val="none" w:sz="0" w:space="0" w:color="auto"/>
      </w:divBdr>
    </w:div>
    <w:div w:id="636421232">
      <w:bodyDiv w:val="1"/>
      <w:marLeft w:val="0"/>
      <w:marRight w:val="0"/>
      <w:marTop w:val="0"/>
      <w:marBottom w:val="0"/>
      <w:divBdr>
        <w:top w:val="none" w:sz="0" w:space="0" w:color="auto"/>
        <w:left w:val="none" w:sz="0" w:space="0" w:color="auto"/>
        <w:bottom w:val="none" w:sz="0" w:space="0" w:color="auto"/>
        <w:right w:val="none" w:sz="0" w:space="0" w:color="auto"/>
      </w:divBdr>
    </w:div>
    <w:div w:id="676232149">
      <w:bodyDiv w:val="1"/>
      <w:marLeft w:val="0"/>
      <w:marRight w:val="0"/>
      <w:marTop w:val="0"/>
      <w:marBottom w:val="0"/>
      <w:divBdr>
        <w:top w:val="none" w:sz="0" w:space="0" w:color="auto"/>
        <w:left w:val="none" w:sz="0" w:space="0" w:color="auto"/>
        <w:bottom w:val="none" w:sz="0" w:space="0" w:color="auto"/>
        <w:right w:val="none" w:sz="0" w:space="0" w:color="auto"/>
      </w:divBdr>
    </w:div>
    <w:div w:id="782042921">
      <w:bodyDiv w:val="1"/>
      <w:marLeft w:val="0"/>
      <w:marRight w:val="0"/>
      <w:marTop w:val="0"/>
      <w:marBottom w:val="0"/>
      <w:divBdr>
        <w:top w:val="none" w:sz="0" w:space="0" w:color="auto"/>
        <w:left w:val="none" w:sz="0" w:space="0" w:color="auto"/>
        <w:bottom w:val="none" w:sz="0" w:space="0" w:color="auto"/>
        <w:right w:val="none" w:sz="0" w:space="0" w:color="auto"/>
      </w:divBdr>
    </w:div>
    <w:div w:id="830870592">
      <w:bodyDiv w:val="1"/>
      <w:marLeft w:val="0"/>
      <w:marRight w:val="0"/>
      <w:marTop w:val="0"/>
      <w:marBottom w:val="0"/>
      <w:divBdr>
        <w:top w:val="none" w:sz="0" w:space="0" w:color="auto"/>
        <w:left w:val="none" w:sz="0" w:space="0" w:color="auto"/>
        <w:bottom w:val="none" w:sz="0" w:space="0" w:color="auto"/>
        <w:right w:val="none" w:sz="0" w:space="0" w:color="auto"/>
      </w:divBdr>
    </w:div>
    <w:div w:id="836534140">
      <w:bodyDiv w:val="1"/>
      <w:marLeft w:val="0"/>
      <w:marRight w:val="0"/>
      <w:marTop w:val="0"/>
      <w:marBottom w:val="0"/>
      <w:divBdr>
        <w:top w:val="none" w:sz="0" w:space="0" w:color="auto"/>
        <w:left w:val="none" w:sz="0" w:space="0" w:color="auto"/>
        <w:bottom w:val="none" w:sz="0" w:space="0" w:color="auto"/>
        <w:right w:val="none" w:sz="0" w:space="0" w:color="auto"/>
      </w:divBdr>
    </w:div>
    <w:div w:id="866404854">
      <w:bodyDiv w:val="1"/>
      <w:marLeft w:val="0"/>
      <w:marRight w:val="0"/>
      <w:marTop w:val="0"/>
      <w:marBottom w:val="0"/>
      <w:divBdr>
        <w:top w:val="none" w:sz="0" w:space="0" w:color="auto"/>
        <w:left w:val="none" w:sz="0" w:space="0" w:color="auto"/>
        <w:bottom w:val="none" w:sz="0" w:space="0" w:color="auto"/>
        <w:right w:val="none" w:sz="0" w:space="0" w:color="auto"/>
      </w:divBdr>
    </w:div>
    <w:div w:id="892690391">
      <w:bodyDiv w:val="1"/>
      <w:marLeft w:val="0"/>
      <w:marRight w:val="0"/>
      <w:marTop w:val="0"/>
      <w:marBottom w:val="0"/>
      <w:divBdr>
        <w:top w:val="none" w:sz="0" w:space="0" w:color="auto"/>
        <w:left w:val="none" w:sz="0" w:space="0" w:color="auto"/>
        <w:bottom w:val="none" w:sz="0" w:space="0" w:color="auto"/>
        <w:right w:val="none" w:sz="0" w:space="0" w:color="auto"/>
      </w:divBdr>
    </w:div>
    <w:div w:id="940721292">
      <w:bodyDiv w:val="1"/>
      <w:marLeft w:val="0"/>
      <w:marRight w:val="0"/>
      <w:marTop w:val="0"/>
      <w:marBottom w:val="0"/>
      <w:divBdr>
        <w:top w:val="none" w:sz="0" w:space="0" w:color="auto"/>
        <w:left w:val="none" w:sz="0" w:space="0" w:color="auto"/>
        <w:bottom w:val="none" w:sz="0" w:space="0" w:color="auto"/>
        <w:right w:val="none" w:sz="0" w:space="0" w:color="auto"/>
      </w:divBdr>
    </w:div>
    <w:div w:id="1026566929">
      <w:bodyDiv w:val="1"/>
      <w:marLeft w:val="0"/>
      <w:marRight w:val="0"/>
      <w:marTop w:val="0"/>
      <w:marBottom w:val="0"/>
      <w:divBdr>
        <w:top w:val="none" w:sz="0" w:space="0" w:color="auto"/>
        <w:left w:val="none" w:sz="0" w:space="0" w:color="auto"/>
        <w:bottom w:val="none" w:sz="0" w:space="0" w:color="auto"/>
        <w:right w:val="none" w:sz="0" w:space="0" w:color="auto"/>
      </w:divBdr>
      <w:divsChild>
        <w:div w:id="492915869">
          <w:marLeft w:val="547"/>
          <w:marRight w:val="0"/>
          <w:marTop w:val="0"/>
          <w:marBottom w:val="0"/>
          <w:divBdr>
            <w:top w:val="none" w:sz="0" w:space="0" w:color="auto"/>
            <w:left w:val="none" w:sz="0" w:space="0" w:color="auto"/>
            <w:bottom w:val="none" w:sz="0" w:space="0" w:color="auto"/>
            <w:right w:val="none" w:sz="0" w:space="0" w:color="auto"/>
          </w:divBdr>
        </w:div>
      </w:divsChild>
    </w:div>
    <w:div w:id="1121724704">
      <w:bodyDiv w:val="1"/>
      <w:marLeft w:val="0"/>
      <w:marRight w:val="0"/>
      <w:marTop w:val="0"/>
      <w:marBottom w:val="0"/>
      <w:divBdr>
        <w:top w:val="none" w:sz="0" w:space="0" w:color="auto"/>
        <w:left w:val="none" w:sz="0" w:space="0" w:color="auto"/>
        <w:bottom w:val="none" w:sz="0" w:space="0" w:color="auto"/>
        <w:right w:val="none" w:sz="0" w:space="0" w:color="auto"/>
      </w:divBdr>
    </w:div>
    <w:div w:id="1123696947">
      <w:bodyDiv w:val="1"/>
      <w:marLeft w:val="0"/>
      <w:marRight w:val="0"/>
      <w:marTop w:val="0"/>
      <w:marBottom w:val="0"/>
      <w:divBdr>
        <w:top w:val="none" w:sz="0" w:space="0" w:color="auto"/>
        <w:left w:val="none" w:sz="0" w:space="0" w:color="auto"/>
        <w:bottom w:val="none" w:sz="0" w:space="0" w:color="auto"/>
        <w:right w:val="none" w:sz="0" w:space="0" w:color="auto"/>
      </w:divBdr>
    </w:div>
    <w:div w:id="1127625761">
      <w:bodyDiv w:val="1"/>
      <w:marLeft w:val="0"/>
      <w:marRight w:val="0"/>
      <w:marTop w:val="0"/>
      <w:marBottom w:val="0"/>
      <w:divBdr>
        <w:top w:val="none" w:sz="0" w:space="0" w:color="auto"/>
        <w:left w:val="none" w:sz="0" w:space="0" w:color="auto"/>
        <w:bottom w:val="none" w:sz="0" w:space="0" w:color="auto"/>
        <w:right w:val="none" w:sz="0" w:space="0" w:color="auto"/>
      </w:divBdr>
    </w:div>
    <w:div w:id="1232736386">
      <w:bodyDiv w:val="1"/>
      <w:marLeft w:val="0"/>
      <w:marRight w:val="0"/>
      <w:marTop w:val="0"/>
      <w:marBottom w:val="0"/>
      <w:divBdr>
        <w:top w:val="none" w:sz="0" w:space="0" w:color="auto"/>
        <w:left w:val="none" w:sz="0" w:space="0" w:color="auto"/>
        <w:bottom w:val="none" w:sz="0" w:space="0" w:color="auto"/>
        <w:right w:val="none" w:sz="0" w:space="0" w:color="auto"/>
      </w:divBdr>
    </w:div>
    <w:div w:id="1232739215">
      <w:bodyDiv w:val="1"/>
      <w:marLeft w:val="0"/>
      <w:marRight w:val="0"/>
      <w:marTop w:val="0"/>
      <w:marBottom w:val="0"/>
      <w:divBdr>
        <w:top w:val="none" w:sz="0" w:space="0" w:color="auto"/>
        <w:left w:val="none" w:sz="0" w:space="0" w:color="auto"/>
        <w:bottom w:val="none" w:sz="0" w:space="0" w:color="auto"/>
        <w:right w:val="none" w:sz="0" w:space="0" w:color="auto"/>
      </w:divBdr>
    </w:div>
    <w:div w:id="1241672419">
      <w:bodyDiv w:val="1"/>
      <w:marLeft w:val="0"/>
      <w:marRight w:val="0"/>
      <w:marTop w:val="0"/>
      <w:marBottom w:val="0"/>
      <w:divBdr>
        <w:top w:val="none" w:sz="0" w:space="0" w:color="auto"/>
        <w:left w:val="none" w:sz="0" w:space="0" w:color="auto"/>
        <w:bottom w:val="none" w:sz="0" w:space="0" w:color="auto"/>
        <w:right w:val="none" w:sz="0" w:space="0" w:color="auto"/>
      </w:divBdr>
    </w:div>
    <w:div w:id="1245139803">
      <w:bodyDiv w:val="1"/>
      <w:marLeft w:val="0"/>
      <w:marRight w:val="0"/>
      <w:marTop w:val="0"/>
      <w:marBottom w:val="0"/>
      <w:divBdr>
        <w:top w:val="none" w:sz="0" w:space="0" w:color="auto"/>
        <w:left w:val="none" w:sz="0" w:space="0" w:color="auto"/>
        <w:bottom w:val="none" w:sz="0" w:space="0" w:color="auto"/>
        <w:right w:val="none" w:sz="0" w:space="0" w:color="auto"/>
      </w:divBdr>
    </w:div>
    <w:div w:id="1270044895">
      <w:bodyDiv w:val="1"/>
      <w:marLeft w:val="0"/>
      <w:marRight w:val="0"/>
      <w:marTop w:val="0"/>
      <w:marBottom w:val="0"/>
      <w:divBdr>
        <w:top w:val="none" w:sz="0" w:space="0" w:color="auto"/>
        <w:left w:val="none" w:sz="0" w:space="0" w:color="auto"/>
        <w:bottom w:val="none" w:sz="0" w:space="0" w:color="auto"/>
        <w:right w:val="none" w:sz="0" w:space="0" w:color="auto"/>
      </w:divBdr>
      <w:divsChild>
        <w:div w:id="1787389471">
          <w:marLeft w:val="0"/>
          <w:marRight w:val="0"/>
          <w:marTop w:val="0"/>
          <w:marBottom w:val="0"/>
          <w:divBdr>
            <w:top w:val="none" w:sz="0" w:space="0" w:color="auto"/>
            <w:left w:val="none" w:sz="0" w:space="0" w:color="auto"/>
            <w:bottom w:val="none" w:sz="0" w:space="0" w:color="auto"/>
            <w:right w:val="none" w:sz="0" w:space="0" w:color="auto"/>
          </w:divBdr>
          <w:divsChild>
            <w:div w:id="2004894374">
              <w:marLeft w:val="0"/>
              <w:marRight w:val="0"/>
              <w:marTop w:val="0"/>
              <w:marBottom w:val="0"/>
              <w:divBdr>
                <w:top w:val="none" w:sz="0" w:space="0" w:color="auto"/>
                <w:left w:val="none" w:sz="0" w:space="0" w:color="auto"/>
                <w:bottom w:val="none" w:sz="0" w:space="0" w:color="auto"/>
                <w:right w:val="none" w:sz="0" w:space="0" w:color="auto"/>
              </w:divBdr>
              <w:divsChild>
                <w:div w:id="1608459747">
                  <w:marLeft w:val="0"/>
                  <w:marRight w:val="0"/>
                  <w:marTop w:val="0"/>
                  <w:marBottom w:val="0"/>
                  <w:divBdr>
                    <w:top w:val="none" w:sz="0" w:space="0" w:color="auto"/>
                    <w:left w:val="none" w:sz="0" w:space="0" w:color="auto"/>
                    <w:bottom w:val="none" w:sz="0" w:space="0" w:color="auto"/>
                    <w:right w:val="none" w:sz="0" w:space="0" w:color="auto"/>
                  </w:divBdr>
                  <w:divsChild>
                    <w:div w:id="274021289">
                      <w:marLeft w:val="0"/>
                      <w:marRight w:val="0"/>
                      <w:marTop w:val="0"/>
                      <w:marBottom w:val="0"/>
                      <w:divBdr>
                        <w:top w:val="none" w:sz="0" w:space="0" w:color="auto"/>
                        <w:left w:val="none" w:sz="0" w:space="0" w:color="auto"/>
                        <w:bottom w:val="none" w:sz="0" w:space="0" w:color="auto"/>
                        <w:right w:val="none" w:sz="0" w:space="0" w:color="auto"/>
                      </w:divBdr>
                      <w:divsChild>
                        <w:div w:id="2095738504">
                          <w:marLeft w:val="0"/>
                          <w:marRight w:val="0"/>
                          <w:marTop w:val="0"/>
                          <w:marBottom w:val="0"/>
                          <w:divBdr>
                            <w:top w:val="none" w:sz="0" w:space="0" w:color="auto"/>
                            <w:left w:val="none" w:sz="0" w:space="0" w:color="auto"/>
                            <w:bottom w:val="none" w:sz="0" w:space="0" w:color="auto"/>
                            <w:right w:val="none" w:sz="0" w:space="0" w:color="auto"/>
                          </w:divBdr>
                          <w:divsChild>
                            <w:div w:id="709839617">
                              <w:marLeft w:val="0"/>
                              <w:marRight w:val="0"/>
                              <w:marTop w:val="0"/>
                              <w:marBottom w:val="0"/>
                              <w:divBdr>
                                <w:top w:val="none" w:sz="0" w:space="0" w:color="auto"/>
                                <w:left w:val="none" w:sz="0" w:space="0" w:color="auto"/>
                                <w:bottom w:val="none" w:sz="0" w:space="0" w:color="auto"/>
                                <w:right w:val="none" w:sz="0" w:space="0" w:color="auto"/>
                              </w:divBdr>
                              <w:divsChild>
                                <w:div w:id="41055244">
                                  <w:marLeft w:val="0"/>
                                  <w:marRight w:val="0"/>
                                  <w:marTop w:val="0"/>
                                  <w:marBottom w:val="0"/>
                                  <w:divBdr>
                                    <w:top w:val="none" w:sz="0" w:space="0" w:color="auto"/>
                                    <w:left w:val="none" w:sz="0" w:space="0" w:color="auto"/>
                                    <w:bottom w:val="none" w:sz="0" w:space="0" w:color="auto"/>
                                    <w:right w:val="none" w:sz="0" w:space="0" w:color="auto"/>
                                  </w:divBdr>
                                  <w:divsChild>
                                    <w:div w:id="195196119">
                                      <w:marLeft w:val="0"/>
                                      <w:marRight w:val="0"/>
                                      <w:marTop w:val="0"/>
                                      <w:marBottom w:val="0"/>
                                      <w:divBdr>
                                        <w:top w:val="none" w:sz="0" w:space="0" w:color="auto"/>
                                        <w:left w:val="none" w:sz="0" w:space="0" w:color="auto"/>
                                        <w:bottom w:val="none" w:sz="0" w:space="0" w:color="auto"/>
                                        <w:right w:val="none" w:sz="0" w:space="0" w:color="auto"/>
                                      </w:divBdr>
                                      <w:divsChild>
                                        <w:div w:id="2023118454">
                                          <w:marLeft w:val="0"/>
                                          <w:marRight w:val="0"/>
                                          <w:marTop w:val="0"/>
                                          <w:marBottom w:val="0"/>
                                          <w:divBdr>
                                            <w:top w:val="none" w:sz="0" w:space="0" w:color="auto"/>
                                            <w:left w:val="none" w:sz="0" w:space="0" w:color="auto"/>
                                            <w:bottom w:val="none" w:sz="0" w:space="0" w:color="auto"/>
                                            <w:right w:val="none" w:sz="0" w:space="0" w:color="auto"/>
                                          </w:divBdr>
                                          <w:divsChild>
                                            <w:div w:id="634068884">
                                              <w:marLeft w:val="0"/>
                                              <w:marRight w:val="0"/>
                                              <w:marTop w:val="0"/>
                                              <w:marBottom w:val="0"/>
                                              <w:divBdr>
                                                <w:top w:val="none" w:sz="0" w:space="0" w:color="auto"/>
                                                <w:left w:val="none" w:sz="0" w:space="0" w:color="auto"/>
                                                <w:bottom w:val="none" w:sz="0" w:space="0" w:color="auto"/>
                                                <w:right w:val="none" w:sz="0" w:space="0" w:color="auto"/>
                                              </w:divBdr>
                                              <w:divsChild>
                                                <w:div w:id="1266890787">
                                                  <w:marLeft w:val="0"/>
                                                  <w:marRight w:val="0"/>
                                                  <w:marTop w:val="0"/>
                                                  <w:marBottom w:val="510"/>
                                                  <w:divBdr>
                                                    <w:top w:val="none" w:sz="0" w:space="0" w:color="auto"/>
                                                    <w:left w:val="none" w:sz="0" w:space="0" w:color="auto"/>
                                                    <w:bottom w:val="none" w:sz="0" w:space="0" w:color="auto"/>
                                                    <w:right w:val="none" w:sz="0" w:space="0" w:color="auto"/>
                                                  </w:divBdr>
                                                  <w:divsChild>
                                                    <w:div w:id="1886327344">
                                                      <w:marLeft w:val="0"/>
                                                      <w:marRight w:val="0"/>
                                                      <w:marTop w:val="0"/>
                                                      <w:marBottom w:val="0"/>
                                                      <w:divBdr>
                                                        <w:top w:val="none" w:sz="0" w:space="0" w:color="auto"/>
                                                        <w:left w:val="none" w:sz="0" w:space="0" w:color="auto"/>
                                                        <w:bottom w:val="none" w:sz="0" w:space="0" w:color="auto"/>
                                                        <w:right w:val="none" w:sz="0" w:space="0" w:color="auto"/>
                                                      </w:divBdr>
                                                      <w:divsChild>
                                                        <w:div w:id="601839141">
                                                          <w:marLeft w:val="0"/>
                                                          <w:marRight w:val="0"/>
                                                          <w:marTop w:val="0"/>
                                                          <w:marBottom w:val="0"/>
                                                          <w:divBdr>
                                                            <w:top w:val="single" w:sz="12" w:space="0" w:color="ABABAB"/>
                                                            <w:left w:val="single" w:sz="6" w:space="0" w:color="ABABAB"/>
                                                            <w:bottom w:val="single" w:sz="12" w:space="0" w:color="ABABAB"/>
                                                            <w:right w:val="single" w:sz="6" w:space="0" w:color="ABABAB"/>
                                                          </w:divBdr>
                                                          <w:divsChild>
                                                            <w:div w:id="1354112473">
                                                              <w:marLeft w:val="0"/>
                                                              <w:marRight w:val="0"/>
                                                              <w:marTop w:val="0"/>
                                                              <w:marBottom w:val="0"/>
                                                              <w:divBdr>
                                                                <w:top w:val="none" w:sz="0" w:space="0" w:color="auto"/>
                                                                <w:left w:val="none" w:sz="0" w:space="0" w:color="auto"/>
                                                                <w:bottom w:val="none" w:sz="0" w:space="0" w:color="auto"/>
                                                                <w:right w:val="none" w:sz="0" w:space="0" w:color="auto"/>
                                                              </w:divBdr>
                                                              <w:divsChild>
                                                                <w:div w:id="1909487226">
                                                                  <w:marLeft w:val="0"/>
                                                                  <w:marRight w:val="0"/>
                                                                  <w:marTop w:val="0"/>
                                                                  <w:marBottom w:val="0"/>
                                                                  <w:divBdr>
                                                                    <w:top w:val="none" w:sz="0" w:space="0" w:color="auto"/>
                                                                    <w:left w:val="none" w:sz="0" w:space="0" w:color="auto"/>
                                                                    <w:bottom w:val="none" w:sz="0" w:space="0" w:color="auto"/>
                                                                    <w:right w:val="none" w:sz="0" w:space="0" w:color="auto"/>
                                                                  </w:divBdr>
                                                                  <w:divsChild>
                                                                    <w:div w:id="1469394283">
                                                                      <w:marLeft w:val="0"/>
                                                                      <w:marRight w:val="0"/>
                                                                      <w:marTop w:val="0"/>
                                                                      <w:marBottom w:val="0"/>
                                                                      <w:divBdr>
                                                                        <w:top w:val="none" w:sz="0" w:space="0" w:color="auto"/>
                                                                        <w:left w:val="none" w:sz="0" w:space="0" w:color="auto"/>
                                                                        <w:bottom w:val="none" w:sz="0" w:space="0" w:color="auto"/>
                                                                        <w:right w:val="none" w:sz="0" w:space="0" w:color="auto"/>
                                                                      </w:divBdr>
                                                                      <w:divsChild>
                                                                        <w:div w:id="1189829651">
                                                                          <w:marLeft w:val="0"/>
                                                                          <w:marRight w:val="0"/>
                                                                          <w:marTop w:val="0"/>
                                                                          <w:marBottom w:val="0"/>
                                                                          <w:divBdr>
                                                                            <w:top w:val="none" w:sz="0" w:space="0" w:color="auto"/>
                                                                            <w:left w:val="none" w:sz="0" w:space="0" w:color="auto"/>
                                                                            <w:bottom w:val="none" w:sz="0" w:space="0" w:color="auto"/>
                                                                            <w:right w:val="none" w:sz="0" w:space="0" w:color="auto"/>
                                                                          </w:divBdr>
                                                                          <w:divsChild>
                                                                            <w:div w:id="635524557">
                                                                              <w:marLeft w:val="0"/>
                                                                              <w:marRight w:val="0"/>
                                                                              <w:marTop w:val="0"/>
                                                                              <w:marBottom w:val="0"/>
                                                                              <w:divBdr>
                                                                                <w:top w:val="none" w:sz="0" w:space="0" w:color="auto"/>
                                                                                <w:left w:val="none" w:sz="0" w:space="0" w:color="auto"/>
                                                                                <w:bottom w:val="none" w:sz="0" w:space="0" w:color="auto"/>
                                                                                <w:right w:val="none" w:sz="0" w:space="0" w:color="auto"/>
                                                                              </w:divBdr>
                                                                              <w:divsChild>
                                                                                <w:div w:id="400061809">
                                                                                  <w:marLeft w:val="0"/>
                                                                                  <w:marRight w:val="0"/>
                                                                                  <w:marTop w:val="0"/>
                                                                                  <w:marBottom w:val="0"/>
                                                                                  <w:divBdr>
                                                                                    <w:top w:val="none" w:sz="0" w:space="0" w:color="auto"/>
                                                                                    <w:left w:val="none" w:sz="0" w:space="0" w:color="auto"/>
                                                                                    <w:bottom w:val="none" w:sz="0" w:space="0" w:color="auto"/>
                                                                                    <w:right w:val="none" w:sz="0" w:space="0" w:color="auto"/>
                                                                                  </w:divBdr>
                                                                                  <w:divsChild>
                                                                                    <w:div w:id="271209959">
                                                                                      <w:marLeft w:val="0"/>
                                                                                      <w:marRight w:val="0"/>
                                                                                      <w:marTop w:val="0"/>
                                                                                      <w:marBottom w:val="0"/>
                                                                                      <w:divBdr>
                                                                                        <w:top w:val="none" w:sz="0" w:space="0" w:color="auto"/>
                                                                                        <w:left w:val="none" w:sz="0" w:space="0" w:color="auto"/>
                                                                                        <w:bottom w:val="none" w:sz="0" w:space="0" w:color="auto"/>
                                                                                        <w:right w:val="none" w:sz="0" w:space="0" w:color="auto"/>
                                                                                      </w:divBdr>
                                                                                    </w:div>
                                                                                    <w:div w:id="316030118">
                                                                                      <w:marLeft w:val="0"/>
                                                                                      <w:marRight w:val="0"/>
                                                                                      <w:marTop w:val="0"/>
                                                                                      <w:marBottom w:val="0"/>
                                                                                      <w:divBdr>
                                                                                        <w:top w:val="none" w:sz="0" w:space="0" w:color="auto"/>
                                                                                        <w:left w:val="none" w:sz="0" w:space="0" w:color="auto"/>
                                                                                        <w:bottom w:val="none" w:sz="0" w:space="0" w:color="auto"/>
                                                                                        <w:right w:val="none" w:sz="0" w:space="0" w:color="auto"/>
                                                                                      </w:divBdr>
                                                                                      <w:divsChild>
                                                                                        <w:div w:id="346908673">
                                                                                          <w:marLeft w:val="0"/>
                                                                                          <w:marRight w:val="0"/>
                                                                                          <w:marTop w:val="0"/>
                                                                                          <w:marBottom w:val="0"/>
                                                                                          <w:divBdr>
                                                                                            <w:top w:val="none" w:sz="0" w:space="0" w:color="auto"/>
                                                                                            <w:left w:val="none" w:sz="0" w:space="0" w:color="auto"/>
                                                                                            <w:bottom w:val="none" w:sz="0" w:space="0" w:color="auto"/>
                                                                                            <w:right w:val="none" w:sz="0" w:space="0" w:color="auto"/>
                                                                                          </w:divBdr>
                                                                                        </w:div>
                                                                                        <w:div w:id="1086071577">
                                                                                          <w:marLeft w:val="0"/>
                                                                                          <w:marRight w:val="0"/>
                                                                                          <w:marTop w:val="0"/>
                                                                                          <w:marBottom w:val="0"/>
                                                                                          <w:divBdr>
                                                                                            <w:top w:val="none" w:sz="0" w:space="0" w:color="auto"/>
                                                                                            <w:left w:val="none" w:sz="0" w:space="0" w:color="auto"/>
                                                                                            <w:bottom w:val="none" w:sz="0" w:space="0" w:color="auto"/>
                                                                                            <w:right w:val="none" w:sz="0" w:space="0" w:color="auto"/>
                                                                                          </w:divBdr>
                                                                                        </w:div>
                                                                                        <w:div w:id="2082630139">
                                                                                          <w:marLeft w:val="0"/>
                                                                                          <w:marRight w:val="0"/>
                                                                                          <w:marTop w:val="0"/>
                                                                                          <w:marBottom w:val="0"/>
                                                                                          <w:divBdr>
                                                                                            <w:top w:val="none" w:sz="0" w:space="0" w:color="auto"/>
                                                                                            <w:left w:val="none" w:sz="0" w:space="0" w:color="auto"/>
                                                                                            <w:bottom w:val="none" w:sz="0" w:space="0" w:color="auto"/>
                                                                                            <w:right w:val="none" w:sz="0" w:space="0" w:color="auto"/>
                                                                                          </w:divBdr>
                                                                                        </w:div>
                                                                                      </w:divsChild>
                                                                                    </w:div>
                                                                                    <w:div w:id="352077699">
                                                                                      <w:marLeft w:val="0"/>
                                                                                      <w:marRight w:val="0"/>
                                                                                      <w:marTop w:val="0"/>
                                                                                      <w:marBottom w:val="0"/>
                                                                                      <w:divBdr>
                                                                                        <w:top w:val="none" w:sz="0" w:space="0" w:color="auto"/>
                                                                                        <w:left w:val="none" w:sz="0" w:space="0" w:color="auto"/>
                                                                                        <w:bottom w:val="none" w:sz="0" w:space="0" w:color="auto"/>
                                                                                        <w:right w:val="none" w:sz="0" w:space="0" w:color="auto"/>
                                                                                      </w:divBdr>
                                                                                      <w:divsChild>
                                                                                        <w:div w:id="62486376">
                                                                                          <w:marLeft w:val="0"/>
                                                                                          <w:marRight w:val="0"/>
                                                                                          <w:marTop w:val="0"/>
                                                                                          <w:marBottom w:val="0"/>
                                                                                          <w:divBdr>
                                                                                            <w:top w:val="none" w:sz="0" w:space="0" w:color="auto"/>
                                                                                            <w:left w:val="none" w:sz="0" w:space="0" w:color="auto"/>
                                                                                            <w:bottom w:val="none" w:sz="0" w:space="0" w:color="auto"/>
                                                                                            <w:right w:val="none" w:sz="0" w:space="0" w:color="auto"/>
                                                                                          </w:divBdr>
                                                                                        </w:div>
                                                                                        <w:div w:id="669138808">
                                                                                          <w:marLeft w:val="0"/>
                                                                                          <w:marRight w:val="0"/>
                                                                                          <w:marTop w:val="0"/>
                                                                                          <w:marBottom w:val="0"/>
                                                                                          <w:divBdr>
                                                                                            <w:top w:val="none" w:sz="0" w:space="0" w:color="auto"/>
                                                                                            <w:left w:val="none" w:sz="0" w:space="0" w:color="auto"/>
                                                                                            <w:bottom w:val="none" w:sz="0" w:space="0" w:color="auto"/>
                                                                                            <w:right w:val="none" w:sz="0" w:space="0" w:color="auto"/>
                                                                                          </w:divBdr>
                                                                                        </w:div>
                                                                                        <w:div w:id="910776340">
                                                                                          <w:marLeft w:val="0"/>
                                                                                          <w:marRight w:val="0"/>
                                                                                          <w:marTop w:val="0"/>
                                                                                          <w:marBottom w:val="0"/>
                                                                                          <w:divBdr>
                                                                                            <w:top w:val="none" w:sz="0" w:space="0" w:color="auto"/>
                                                                                            <w:left w:val="none" w:sz="0" w:space="0" w:color="auto"/>
                                                                                            <w:bottom w:val="none" w:sz="0" w:space="0" w:color="auto"/>
                                                                                            <w:right w:val="none" w:sz="0" w:space="0" w:color="auto"/>
                                                                                          </w:divBdr>
                                                                                        </w:div>
                                                                                        <w:div w:id="1608998649">
                                                                                          <w:marLeft w:val="0"/>
                                                                                          <w:marRight w:val="0"/>
                                                                                          <w:marTop w:val="0"/>
                                                                                          <w:marBottom w:val="0"/>
                                                                                          <w:divBdr>
                                                                                            <w:top w:val="none" w:sz="0" w:space="0" w:color="auto"/>
                                                                                            <w:left w:val="none" w:sz="0" w:space="0" w:color="auto"/>
                                                                                            <w:bottom w:val="none" w:sz="0" w:space="0" w:color="auto"/>
                                                                                            <w:right w:val="none" w:sz="0" w:space="0" w:color="auto"/>
                                                                                          </w:divBdr>
                                                                                        </w:div>
                                                                                        <w:div w:id="1785803165">
                                                                                          <w:marLeft w:val="0"/>
                                                                                          <w:marRight w:val="0"/>
                                                                                          <w:marTop w:val="0"/>
                                                                                          <w:marBottom w:val="0"/>
                                                                                          <w:divBdr>
                                                                                            <w:top w:val="none" w:sz="0" w:space="0" w:color="auto"/>
                                                                                            <w:left w:val="none" w:sz="0" w:space="0" w:color="auto"/>
                                                                                            <w:bottom w:val="none" w:sz="0" w:space="0" w:color="auto"/>
                                                                                            <w:right w:val="none" w:sz="0" w:space="0" w:color="auto"/>
                                                                                          </w:divBdr>
                                                                                        </w:div>
                                                                                      </w:divsChild>
                                                                                    </w:div>
                                                                                    <w:div w:id="1331442437">
                                                                                      <w:marLeft w:val="0"/>
                                                                                      <w:marRight w:val="0"/>
                                                                                      <w:marTop w:val="0"/>
                                                                                      <w:marBottom w:val="0"/>
                                                                                      <w:divBdr>
                                                                                        <w:top w:val="none" w:sz="0" w:space="0" w:color="auto"/>
                                                                                        <w:left w:val="none" w:sz="0" w:space="0" w:color="auto"/>
                                                                                        <w:bottom w:val="none" w:sz="0" w:space="0" w:color="auto"/>
                                                                                        <w:right w:val="none" w:sz="0" w:space="0" w:color="auto"/>
                                                                                      </w:divBdr>
                                                                                      <w:divsChild>
                                                                                        <w:div w:id="113065578">
                                                                                          <w:marLeft w:val="0"/>
                                                                                          <w:marRight w:val="0"/>
                                                                                          <w:marTop w:val="0"/>
                                                                                          <w:marBottom w:val="0"/>
                                                                                          <w:divBdr>
                                                                                            <w:top w:val="none" w:sz="0" w:space="0" w:color="auto"/>
                                                                                            <w:left w:val="none" w:sz="0" w:space="0" w:color="auto"/>
                                                                                            <w:bottom w:val="none" w:sz="0" w:space="0" w:color="auto"/>
                                                                                            <w:right w:val="none" w:sz="0" w:space="0" w:color="auto"/>
                                                                                          </w:divBdr>
                                                                                        </w:div>
                                                                                        <w:div w:id="297423433">
                                                                                          <w:marLeft w:val="0"/>
                                                                                          <w:marRight w:val="0"/>
                                                                                          <w:marTop w:val="0"/>
                                                                                          <w:marBottom w:val="0"/>
                                                                                          <w:divBdr>
                                                                                            <w:top w:val="none" w:sz="0" w:space="0" w:color="auto"/>
                                                                                            <w:left w:val="none" w:sz="0" w:space="0" w:color="auto"/>
                                                                                            <w:bottom w:val="none" w:sz="0" w:space="0" w:color="auto"/>
                                                                                            <w:right w:val="none" w:sz="0" w:space="0" w:color="auto"/>
                                                                                          </w:divBdr>
                                                                                        </w:div>
                                                                                        <w:div w:id="1032878484">
                                                                                          <w:marLeft w:val="0"/>
                                                                                          <w:marRight w:val="0"/>
                                                                                          <w:marTop w:val="0"/>
                                                                                          <w:marBottom w:val="0"/>
                                                                                          <w:divBdr>
                                                                                            <w:top w:val="none" w:sz="0" w:space="0" w:color="auto"/>
                                                                                            <w:left w:val="none" w:sz="0" w:space="0" w:color="auto"/>
                                                                                            <w:bottom w:val="none" w:sz="0" w:space="0" w:color="auto"/>
                                                                                            <w:right w:val="none" w:sz="0" w:space="0" w:color="auto"/>
                                                                                          </w:divBdr>
                                                                                        </w:div>
                                                                                        <w:div w:id="1207454153">
                                                                                          <w:marLeft w:val="0"/>
                                                                                          <w:marRight w:val="0"/>
                                                                                          <w:marTop w:val="0"/>
                                                                                          <w:marBottom w:val="0"/>
                                                                                          <w:divBdr>
                                                                                            <w:top w:val="none" w:sz="0" w:space="0" w:color="auto"/>
                                                                                            <w:left w:val="none" w:sz="0" w:space="0" w:color="auto"/>
                                                                                            <w:bottom w:val="none" w:sz="0" w:space="0" w:color="auto"/>
                                                                                            <w:right w:val="none" w:sz="0" w:space="0" w:color="auto"/>
                                                                                          </w:divBdr>
                                                                                        </w:div>
                                                                                        <w:div w:id="1583492953">
                                                                                          <w:marLeft w:val="0"/>
                                                                                          <w:marRight w:val="0"/>
                                                                                          <w:marTop w:val="0"/>
                                                                                          <w:marBottom w:val="0"/>
                                                                                          <w:divBdr>
                                                                                            <w:top w:val="none" w:sz="0" w:space="0" w:color="auto"/>
                                                                                            <w:left w:val="none" w:sz="0" w:space="0" w:color="auto"/>
                                                                                            <w:bottom w:val="none" w:sz="0" w:space="0" w:color="auto"/>
                                                                                            <w:right w:val="none" w:sz="0" w:space="0" w:color="auto"/>
                                                                                          </w:divBdr>
                                                                                        </w:div>
                                                                                      </w:divsChild>
                                                                                    </w:div>
                                                                                    <w:div w:id="1813448700">
                                                                                      <w:marLeft w:val="0"/>
                                                                                      <w:marRight w:val="0"/>
                                                                                      <w:marTop w:val="0"/>
                                                                                      <w:marBottom w:val="0"/>
                                                                                      <w:divBdr>
                                                                                        <w:top w:val="none" w:sz="0" w:space="0" w:color="auto"/>
                                                                                        <w:left w:val="none" w:sz="0" w:space="0" w:color="auto"/>
                                                                                        <w:bottom w:val="none" w:sz="0" w:space="0" w:color="auto"/>
                                                                                        <w:right w:val="none" w:sz="0" w:space="0" w:color="auto"/>
                                                                                      </w:divBdr>
                                                                                      <w:divsChild>
                                                                                        <w:div w:id="730736685">
                                                                                          <w:marLeft w:val="0"/>
                                                                                          <w:marRight w:val="0"/>
                                                                                          <w:marTop w:val="0"/>
                                                                                          <w:marBottom w:val="0"/>
                                                                                          <w:divBdr>
                                                                                            <w:top w:val="none" w:sz="0" w:space="0" w:color="auto"/>
                                                                                            <w:left w:val="none" w:sz="0" w:space="0" w:color="auto"/>
                                                                                            <w:bottom w:val="none" w:sz="0" w:space="0" w:color="auto"/>
                                                                                            <w:right w:val="none" w:sz="0" w:space="0" w:color="auto"/>
                                                                                          </w:divBdr>
                                                                                        </w:div>
                                                                                        <w:div w:id="949360834">
                                                                                          <w:marLeft w:val="0"/>
                                                                                          <w:marRight w:val="0"/>
                                                                                          <w:marTop w:val="0"/>
                                                                                          <w:marBottom w:val="0"/>
                                                                                          <w:divBdr>
                                                                                            <w:top w:val="none" w:sz="0" w:space="0" w:color="auto"/>
                                                                                            <w:left w:val="none" w:sz="0" w:space="0" w:color="auto"/>
                                                                                            <w:bottom w:val="none" w:sz="0" w:space="0" w:color="auto"/>
                                                                                            <w:right w:val="none" w:sz="0" w:space="0" w:color="auto"/>
                                                                                          </w:divBdr>
                                                                                        </w:div>
                                                                                        <w:div w:id="1532911104">
                                                                                          <w:marLeft w:val="0"/>
                                                                                          <w:marRight w:val="0"/>
                                                                                          <w:marTop w:val="0"/>
                                                                                          <w:marBottom w:val="0"/>
                                                                                          <w:divBdr>
                                                                                            <w:top w:val="none" w:sz="0" w:space="0" w:color="auto"/>
                                                                                            <w:left w:val="none" w:sz="0" w:space="0" w:color="auto"/>
                                                                                            <w:bottom w:val="none" w:sz="0" w:space="0" w:color="auto"/>
                                                                                            <w:right w:val="none" w:sz="0" w:space="0" w:color="auto"/>
                                                                                          </w:divBdr>
                                                                                        </w:div>
                                                                                        <w:div w:id="1790322093">
                                                                                          <w:marLeft w:val="0"/>
                                                                                          <w:marRight w:val="0"/>
                                                                                          <w:marTop w:val="0"/>
                                                                                          <w:marBottom w:val="0"/>
                                                                                          <w:divBdr>
                                                                                            <w:top w:val="none" w:sz="0" w:space="0" w:color="auto"/>
                                                                                            <w:left w:val="none" w:sz="0" w:space="0" w:color="auto"/>
                                                                                            <w:bottom w:val="none" w:sz="0" w:space="0" w:color="auto"/>
                                                                                            <w:right w:val="none" w:sz="0" w:space="0" w:color="auto"/>
                                                                                          </w:divBdr>
                                                                                        </w:div>
                                                                                        <w:div w:id="2064677030">
                                                                                          <w:marLeft w:val="0"/>
                                                                                          <w:marRight w:val="0"/>
                                                                                          <w:marTop w:val="0"/>
                                                                                          <w:marBottom w:val="0"/>
                                                                                          <w:divBdr>
                                                                                            <w:top w:val="none" w:sz="0" w:space="0" w:color="auto"/>
                                                                                            <w:left w:val="none" w:sz="0" w:space="0" w:color="auto"/>
                                                                                            <w:bottom w:val="none" w:sz="0" w:space="0" w:color="auto"/>
                                                                                            <w:right w:val="none" w:sz="0" w:space="0" w:color="auto"/>
                                                                                          </w:divBdr>
                                                                                        </w:div>
                                                                                      </w:divsChild>
                                                                                    </w:div>
                                                                                    <w:div w:id="2122919796">
                                                                                      <w:marLeft w:val="0"/>
                                                                                      <w:marRight w:val="0"/>
                                                                                      <w:marTop w:val="0"/>
                                                                                      <w:marBottom w:val="0"/>
                                                                                      <w:divBdr>
                                                                                        <w:top w:val="none" w:sz="0" w:space="0" w:color="auto"/>
                                                                                        <w:left w:val="none" w:sz="0" w:space="0" w:color="auto"/>
                                                                                        <w:bottom w:val="none" w:sz="0" w:space="0" w:color="auto"/>
                                                                                        <w:right w:val="none" w:sz="0" w:space="0" w:color="auto"/>
                                                                                      </w:divBdr>
                                                                                      <w:divsChild>
                                                                                        <w:div w:id="185752993">
                                                                                          <w:marLeft w:val="0"/>
                                                                                          <w:marRight w:val="0"/>
                                                                                          <w:marTop w:val="0"/>
                                                                                          <w:marBottom w:val="0"/>
                                                                                          <w:divBdr>
                                                                                            <w:top w:val="none" w:sz="0" w:space="0" w:color="auto"/>
                                                                                            <w:left w:val="none" w:sz="0" w:space="0" w:color="auto"/>
                                                                                            <w:bottom w:val="none" w:sz="0" w:space="0" w:color="auto"/>
                                                                                            <w:right w:val="none" w:sz="0" w:space="0" w:color="auto"/>
                                                                                          </w:divBdr>
                                                                                        </w:div>
                                                                                        <w:div w:id="1342388627">
                                                                                          <w:marLeft w:val="0"/>
                                                                                          <w:marRight w:val="0"/>
                                                                                          <w:marTop w:val="0"/>
                                                                                          <w:marBottom w:val="0"/>
                                                                                          <w:divBdr>
                                                                                            <w:top w:val="none" w:sz="0" w:space="0" w:color="auto"/>
                                                                                            <w:left w:val="none" w:sz="0" w:space="0" w:color="auto"/>
                                                                                            <w:bottom w:val="none" w:sz="0" w:space="0" w:color="auto"/>
                                                                                            <w:right w:val="none" w:sz="0" w:space="0" w:color="auto"/>
                                                                                          </w:divBdr>
                                                                                        </w:div>
                                                                                        <w:div w:id="1500580890">
                                                                                          <w:marLeft w:val="0"/>
                                                                                          <w:marRight w:val="0"/>
                                                                                          <w:marTop w:val="0"/>
                                                                                          <w:marBottom w:val="0"/>
                                                                                          <w:divBdr>
                                                                                            <w:top w:val="none" w:sz="0" w:space="0" w:color="auto"/>
                                                                                            <w:left w:val="none" w:sz="0" w:space="0" w:color="auto"/>
                                                                                            <w:bottom w:val="none" w:sz="0" w:space="0" w:color="auto"/>
                                                                                            <w:right w:val="none" w:sz="0" w:space="0" w:color="auto"/>
                                                                                          </w:divBdr>
                                                                                        </w:div>
                                                                                        <w:div w:id="1781992823">
                                                                                          <w:marLeft w:val="0"/>
                                                                                          <w:marRight w:val="0"/>
                                                                                          <w:marTop w:val="0"/>
                                                                                          <w:marBottom w:val="0"/>
                                                                                          <w:divBdr>
                                                                                            <w:top w:val="none" w:sz="0" w:space="0" w:color="auto"/>
                                                                                            <w:left w:val="none" w:sz="0" w:space="0" w:color="auto"/>
                                                                                            <w:bottom w:val="none" w:sz="0" w:space="0" w:color="auto"/>
                                                                                            <w:right w:val="none" w:sz="0" w:space="0" w:color="auto"/>
                                                                                          </w:divBdr>
                                                                                        </w:div>
                                                                                        <w:div w:id="20697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238280">
      <w:bodyDiv w:val="1"/>
      <w:marLeft w:val="0"/>
      <w:marRight w:val="0"/>
      <w:marTop w:val="0"/>
      <w:marBottom w:val="0"/>
      <w:divBdr>
        <w:top w:val="none" w:sz="0" w:space="0" w:color="auto"/>
        <w:left w:val="none" w:sz="0" w:space="0" w:color="auto"/>
        <w:bottom w:val="none" w:sz="0" w:space="0" w:color="auto"/>
        <w:right w:val="none" w:sz="0" w:space="0" w:color="auto"/>
      </w:divBdr>
    </w:div>
    <w:div w:id="1304195654">
      <w:bodyDiv w:val="1"/>
      <w:marLeft w:val="0"/>
      <w:marRight w:val="0"/>
      <w:marTop w:val="0"/>
      <w:marBottom w:val="0"/>
      <w:divBdr>
        <w:top w:val="none" w:sz="0" w:space="0" w:color="auto"/>
        <w:left w:val="none" w:sz="0" w:space="0" w:color="auto"/>
        <w:bottom w:val="none" w:sz="0" w:space="0" w:color="auto"/>
        <w:right w:val="none" w:sz="0" w:space="0" w:color="auto"/>
      </w:divBdr>
    </w:div>
    <w:div w:id="1322809586">
      <w:bodyDiv w:val="1"/>
      <w:marLeft w:val="0"/>
      <w:marRight w:val="0"/>
      <w:marTop w:val="0"/>
      <w:marBottom w:val="0"/>
      <w:divBdr>
        <w:top w:val="none" w:sz="0" w:space="0" w:color="auto"/>
        <w:left w:val="none" w:sz="0" w:space="0" w:color="auto"/>
        <w:bottom w:val="none" w:sz="0" w:space="0" w:color="auto"/>
        <w:right w:val="none" w:sz="0" w:space="0" w:color="auto"/>
      </w:divBdr>
    </w:div>
    <w:div w:id="1348756819">
      <w:bodyDiv w:val="1"/>
      <w:marLeft w:val="0"/>
      <w:marRight w:val="0"/>
      <w:marTop w:val="0"/>
      <w:marBottom w:val="0"/>
      <w:divBdr>
        <w:top w:val="none" w:sz="0" w:space="0" w:color="auto"/>
        <w:left w:val="none" w:sz="0" w:space="0" w:color="auto"/>
        <w:bottom w:val="none" w:sz="0" w:space="0" w:color="auto"/>
        <w:right w:val="none" w:sz="0" w:space="0" w:color="auto"/>
      </w:divBdr>
    </w:div>
    <w:div w:id="1350331974">
      <w:bodyDiv w:val="1"/>
      <w:marLeft w:val="0"/>
      <w:marRight w:val="0"/>
      <w:marTop w:val="0"/>
      <w:marBottom w:val="0"/>
      <w:divBdr>
        <w:top w:val="none" w:sz="0" w:space="0" w:color="auto"/>
        <w:left w:val="none" w:sz="0" w:space="0" w:color="auto"/>
        <w:bottom w:val="none" w:sz="0" w:space="0" w:color="auto"/>
        <w:right w:val="none" w:sz="0" w:space="0" w:color="auto"/>
      </w:divBdr>
    </w:div>
    <w:div w:id="1356035843">
      <w:bodyDiv w:val="1"/>
      <w:marLeft w:val="0"/>
      <w:marRight w:val="0"/>
      <w:marTop w:val="0"/>
      <w:marBottom w:val="0"/>
      <w:divBdr>
        <w:top w:val="none" w:sz="0" w:space="0" w:color="auto"/>
        <w:left w:val="none" w:sz="0" w:space="0" w:color="auto"/>
        <w:bottom w:val="none" w:sz="0" w:space="0" w:color="auto"/>
        <w:right w:val="none" w:sz="0" w:space="0" w:color="auto"/>
      </w:divBdr>
    </w:div>
    <w:div w:id="1438060459">
      <w:bodyDiv w:val="1"/>
      <w:marLeft w:val="0"/>
      <w:marRight w:val="0"/>
      <w:marTop w:val="0"/>
      <w:marBottom w:val="0"/>
      <w:divBdr>
        <w:top w:val="none" w:sz="0" w:space="0" w:color="auto"/>
        <w:left w:val="none" w:sz="0" w:space="0" w:color="auto"/>
        <w:bottom w:val="none" w:sz="0" w:space="0" w:color="auto"/>
        <w:right w:val="none" w:sz="0" w:space="0" w:color="auto"/>
      </w:divBdr>
    </w:div>
    <w:div w:id="1453206625">
      <w:bodyDiv w:val="1"/>
      <w:marLeft w:val="0"/>
      <w:marRight w:val="0"/>
      <w:marTop w:val="0"/>
      <w:marBottom w:val="0"/>
      <w:divBdr>
        <w:top w:val="none" w:sz="0" w:space="0" w:color="auto"/>
        <w:left w:val="none" w:sz="0" w:space="0" w:color="auto"/>
        <w:bottom w:val="none" w:sz="0" w:space="0" w:color="auto"/>
        <w:right w:val="none" w:sz="0" w:space="0" w:color="auto"/>
      </w:divBdr>
    </w:div>
    <w:div w:id="1458571141">
      <w:bodyDiv w:val="1"/>
      <w:marLeft w:val="0"/>
      <w:marRight w:val="0"/>
      <w:marTop w:val="0"/>
      <w:marBottom w:val="0"/>
      <w:divBdr>
        <w:top w:val="none" w:sz="0" w:space="0" w:color="auto"/>
        <w:left w:val="none" w:sz="0" w:space="0" w:color="auto"/>
        <w:bottom w:val="none" w:sz="0" w:space="0" w:color="auto"/>
        <w:right w:val="none" w:sz="0" w:space="0" w:color="auto"/>
      </w:divBdr>
    </w:div>
    <w:div w:id="1464469705">
      <w:bodyDiv w:val="1"/>
      <w:marLeft w:val="0"/>
      <w:marRight w:val="0"/>
      <w:marTop w:val="0"/>
      <w:marBottom w:val="0"/>
      <w:divBdr>
        <w:top w:val="none" w:sz="0" w:space="0" w:color="auto"/>
        <w:left w:val="none" w:sz="0" w:space="0" w:color="auto"/>
        <w:bottom w:val="none" w:sz="0" w:space="0" w:color="auto"/>
        <w:right w:val="none" w:sz="0" w:space="0" w:color="auto"/>
      </w:divBdr>
    </w:div>
    <w:div w:id="1552883932">
      <w:bodyDiv w:val="1"/>
      <w:marLeft w:val="0"/>
      <w:marRight w:val="0"/>
      <w:marTop w:val="0"/>
      <w:marBottom w:val="0"/>
      <w:divBdr>
        <w:top w:val="none" w:sz="0" w:space="0" w:color="auto"/>
        <w:left w:val="none" w:sz="0" w:space="0" w:color="auto"/>
        <w:bottom w:val="none" w:sz="0" w:space="0" w:color="auto"/>
        <w:right w:val="none" w:sz="0" w:space="0" w:color="auto"/>
      </w:divBdr>
    </w:div>
    <w:div w:id="1556425116">
      <w:bodyDiv w:val="1"/>
      <w:marLeft w:val="0"/>
      <w:marRight w:val="0"/>
      <w:marTop w:val="0"/>
      <w:marBottom w:val="0"/>
      <w:divBdr>
        <w:top w:val="none" w:sz="0" w:space="0" w:color="auto"/>
        <w:left w:val="none" w:sz="0" w:space="0" w:color="auto"/>
        <w:bottom w:val="none" w:sz="0" w:space="0" w:color="auto"/>
        <w:right w:val="none" w:sz="0" w:space="0" w:color="auto"/>
      </w:divBdr>
    </w:div>
    <w:div w:id="1593394386">
      <w:bodyDiv w:val="1"/>
      <w:marLeft w:val="0"/>
      <w:marRight w:val="0"/>
      <w:marTop w:val="0"/>
      <w:marBottom w:val="0"/>
      <w:divBdr>
        <w:top w:val="none" w:sz="0" w:space="0" w:color="auto"/>
        <w:left w:val="none" w:sz="0" w:space="0" w:color="auto"/>
        <w:bottom w:val="none" w:sz="0" w:space="0" w:color="auto"/>
        <w:right w:val="none" w:sz="0" w:space="0" w:color="auto"/>
      </w:divBdr>
    </w:div>
    <w:div w:id="1594321984">
      <w:bodyDiv w:val="1"/>
      <w:marLeft w:val="0"/>
      <w:marRight w:val="0"/>
      <w:marTop w:val="0"/>
      <w:marBottom w:val="0"/>
      <w:divBdr>
        <w:top w:val="none" w:sz="0" w:space="0" w:color="auto"/>
        <w:left w:val="none" w:sz="0" w:space="0" w:color="auto"/>
        <w:bottom w:val="none" w:sz="0" w:space="0" w:color="auto"/>
        <w:right w:val="none" w:sz="0" w:space="0" w:color="auto"/>
      </w:divBdr>
      <w:divsChild>
        <w:div w:id="75906862">
          <w:marLeft w:val="0"/>
          <w:marRight w:val="0"/>
          <w:marTop w:val="0"/>
          <w:marBottom w:val="0"/>
          <w:divBdr>
            <w:top w:val="none" w:sz="0" w:space="0" w:color="auto"/>
            <w:left w:val="none" w:sz="0" w:space="0" w:color="auto"/>
            <w:bottom w:val="none" w:sz="0" w:space="0" w:color="auto"/>
            <w:right w:val="none" w:sz="0" w:space="0" w:color="auto"/>
          </w:divBdr>
          <w:divsChild>
            <w:div w:id="933512400">
              <w:marLeft w:val="0"/>
              <w:marRight w:val="0"/>
              <w:marTop w:val="0"/>
              <w:marBottom w:val="0"/>
              <w:divBdr>
                <w:top w:val="none" w:sz="0" w:space="0" w:color="auto"/>
                <w:left w:val="none" w:sz="0" w:space="0" w:color="auto"/>
                <w:bottom w:val="none" w:sz="0" w:space="0" w:color="auto"/>
                <w:right w:val="none" w:sz="0" w:space="0" w:color="auto"/>
              </w:divBdr>
              <w:divsChild>
                <w:div w:id="97915012">
                  <w:marLeft w:val="0"/>
                  <w:marRight w:val="0"/>
                  <w:marTop w:val="0"/>
                  <w:marBottom w:val="0"/>
                  <w:divBdr>
                    <w:top w:val="none" w:sz="0" w:space="0" w:color="auto"/>
                    <w:left w:val="none" w:sz="0" w:space="0" w:color="auto"/>
                    <w:bottom w:val="none" w:sz="0" w:space="0" w:color="auto"/>
                    <w:right w:val="none" w:sz="0" w:space="0" w:color="auto"/>
                  </w:divBdr>
                  <w:divsChild>
                    <w:div w:id="1307668124">
                      <w:marLeft w:val="0"/>
                      <w:marRight w:val="0"/>
                      <w:marTop w:val="0"/>
                      <w:marBottom w:val="0"/>
                      <w:divBdr>
                        <w:top w:val="none" w:sz="0" w:space="0" w:color="auto"/>
                        <w:left w:val="none" w:sz="0" w:space="0" w:color="auto"/>
                        <w:bottom w:val="none" w:sz="0" w:space="0" w:color="auto"/>
                        <w:right w:val="none" w:sz="0" w:space="0" w:color="auto"/>
                      </w:divBdr>
                      <w:divsChild>
                        <w:div w:id="1549606632">
                          <w:marLeft w:val="0"/>
                          <w:marRight w:val="0"/>
                          <w:marTop w:val="0"/>
                          <w:marBottom w:val="0"/>
                          <w:divBdr>
                            <w:top w:val="none" w:sz="0" w:space="0" w:color="auto"/>
                            <w:left w:val="none" w:sz="0" w:space="0" w:color="auto"/>
                            <w:bottom w:val="none" w:sz="0" w:space="0" w:color="auto"/>
                            <w:right w:val="none" w:sz="0" w:space="0" w:color="auto"/>
                          </w:divBdr>
                          <w:divsChild>
                            <w:div w:id="2128036771">
                              <w:marLeft w:val="0"/>
                              <w:marRight w:val="0"/>
                              <w:marTop w:val="0"/>
                              <w:marBottom w:val="0"/>
                              <w:divBdr>
                                <w:top w:val="none" w:sz="0" w:space="0" w:color="auto"/>
                                <w:left w:val="none" w:sz="0" w:space="0" w:color="auto"/>
                                <w:bottom w:val="none" w:sz="0" w:space="0" w:color="auto"/>
                                <w:right w:val="none" w:sz="0" w:space="0" w:color="auto"/>
                              </w:divBdr>
                              <w:divsChild>
                                <w:div w:id="938637093">
                                  <w:marLeft w:val="0"/>
                                  <w:marRight w:val="0"/>
                                  <w:marTop w:val="0"/>
                                  <w:marBottom w:val="0"/>
                                  <w:divBdr>
                                    <w:top w:val="none" w:sz="0" w:space="0" w:color="auto"/>
                                    <w:left w:val="none" w:sz="0" w:space="0" w:color="auto"/>
                                    <w:bottom w:val="none" w:sz="0" w:space="0" w:color="auto"/>
                                    <w:right w:val="none" w:sz="0" w:space="0" w:color="auto"/>
                                  </w:divBdr>
                                  <w:divsChild>
                                    <w:div w:id="437794641">
                                      <w:marLeft w:val="0"/>
                                      <w:marRight w:val="0"/>
                                      <w:marTop w:val="0"/>
                                      <w:marBottom w:val="0"/>
                                      <w:divBdr>
                                        <w:top w:val="none" w:sz="0" w:space="0" w:color="auto"/>
                                        <w:left w:val="none" w:sz="0" w:space="0" w:color="auto"/>
                                        <w:bottom w:val="none" w:sz="0" w:space="0" w:color="auto"/>
                                        <w:right w:val="none" w:sz="0" w:space="0" w:color="auto"/>
                                      </w:divBdr>
                                      <w:divsChild>
                                        <w:div w:id="466434570">
                                          <w:marLeft w:val="0"/>
                                          <w:marRight w:val="0"/>
                                          <w:marTop w:val="0"/>
                                          <w:marBottom w:val="0"/>
                                          <w:divBdr>
                                            <w:top w:val="none" w:sz="0" w:space="0" w:color="auto"/>
                                            <w:left w:val="none" w:sz="0" w:space="0" w:color="auto"/>
                                            <w:bottom w:val="none" w:sz="0" w:space="0" w:color="auto"/>
                                            <w:right w:val="none" w:sz="0" w:space="0" w:color="auto"/>
                                          </w:divBdr>
                                          <w:divsChild>
                                            <w:div w:id="2014606845">
                                              <w:marLeft w:val="0"/>
                                              <w:marRight w:val="0"/>
                                              <w:marTop w:val="0"/>
                                              <w:marBottom w:val="0"/>
                                              <w:divBdr>
                                                <w:top w:val="none" w:sz="0" w:space="0" w:color="auto"/>
                                                <w:left w:val="none" w:sz="0" w:space="0" w:color="auto"/>
                                                <w:bottom w:val="none" w:sz="0" w:space="0" w:color="auto"/>
                                                <w:right w:val="none" w:sz="0" w:space="0" w:color="auto"/>
                                              </w:divBdr>
                                              <w:divsChild>
                                                <w:div w:id="1469863682">
                                                  <w:marLeft w:val="0"/>
                                                  <w:marRight w:val="0"/>
                                                  <w:marTop w:val="0"/>
                                                  <w:marBottom w:val="510"/>
                                                  <w:divBdr>
                                                    <w:top w:val="none" w:sz="0" w:space="0" w:color="auto"/>
                                                    <w:left w:val="none" w:sz="0" w:space="0" w:color="auto"/>
                                                    <w:bottom w:val="none" w:sz="0" w:space="0" w:color="auto"/>
                                                    <w:right w:val="none" w:sz="0" w:space="0" w:color="auto"/>
                                                  </w:divBdr>
                                                  <w:divsChild>
                                                    <w:div w:id="1804809152">
                                                      <w:marLeft w:val="0"/>
                                                      <w:marRight w:val="0"/>
                                                      <w:marTop w:val="0"/>
                                                      <w:marBottom w:val="0"/>
                                                      <w:divBdr>
                                                        <w:top w:val="none" w:sz="0" w:space="0" w:color="auto"/>
                                                        <w:left w:val="none" w:sz="0" w:space="0" w:color="auto"/>
                                                        <w:bottom w:val="none" w:sz="0" w:space="0" w:color="auto"/>
                                                        <w:right w:val="none" w:sz="0" w:space="0" w:color="auto"/>
                                                      </w:divBdr>
                                                      <w:divsChild>
                                                        <w:div w:id="1446539054">
                                                          <w:marLeft w:val="0"/>
                                                          <w:marRight w:val="0"/>
                                                          <w:marTop w:val="0"/>
                                                          <w:marBottom w:val="0"/>
                                                          <w:divBdr>
                                                            <w:top w:val="single" w:sz="12" w:space="0" w:color="ABABAB"/>
                                                            <w:left w:val="single" w:sz="6" w:space="0" w:color="ABABAB"/>
                                                            <w:bottom w:val="single" w:sz="12" w:space="0" w:color="ABABAB"/>
                                                            <w:right w:val="single" w:sz="6" w:space="0" w:color="ABABAB"/>
                                                          </w:divBdr>
                                                          <w:divsChild>
                                                            <w:div w:id="1392927026">
                                                              <w:marLeft w:val="0"/>
                                                              <w:marRight w:val="0"/>
                                                              <w:marTop w:val="0"/>
                                                              <w:marBottom w:val="0"/>
                                                              <w:divBdr>
                                                                <w:top w:val="none" w:sz="0" w:space="0" w:color="auto"/>
                                                                <w:left w:val="none" w:sz="0" w:space="0" w:color="auto"/>
                                                                <w:bottom w:val="none" w:sz="0" w:space="0" w:color="auto"/>
                                                                <w:right w:val="none" w:sz="0" w:space="0" w:color="auto"/>
                                                              </w:divBdr>
                                                              <w:divsChild>
                                                                <w:div w:id="1649823191">
                                                                  <w:marLeft w:val="0"/>
                                                                  <w:marRight w:val="0"/>
                                                                  <w:marTop w:val="0"/>
                                                                  <w:marBottom w:val="0"/>
                                                                  <w:divBdr>
                                                                    <w:top w:val="none" w:sz="0" w:space="0" w:color="auto"/>
                                                                    <w:left w:val="none" w:sz="0" w:space="0" w:color="auto"/>
                                                                    <w:bottom w:val="none" w:sz="0" w:space="0" w:color="auto"/>
                                                                    <w:right w:val="none" w:sz="0" w:space="0" w:color="auto"/>
                                                                  </w:divBdr>
                                                                  <w:divsChild>
                                                                    <w:div w:id="1583488471">
                                                                      <w:marLeft w:val="0"/>
                                                                      <w:marRight w:val="0"/>
                                                                      <w:marTop w:val="0"/>
                                                                      <w:marBottom w:val="0"/>
                                                                      <w:divBdr>
                                                                        <w:top w:val="none" w:sz="0" w:space="0" w:color="auto"/>
                                                                        <w:left w:val="none" w:sz="0" w:space="0" w:color="auto"/>
                                                                        <w:bottom w:val="none" w:sz="0" w:space="0" w:color="auto"/>
                                                                        <w:right w:val="none" w:sz="0" w:space="0" w:color="auto"/>
                                                                      </w:divBdr>
                                                                      <w:divsChild>
                                                                        <w:div w:id="844437288">
                                                                          <w:marLeft w:val="0"/>
                                                                          <w:marRight w:val="0"/>
                                                                          <w:marTop w:val="0"/>
                                                                          <w:marBottom w:val="0"/>
                                                                          <w:divBdr>
                                                                            <w:top w:val="none" w:sz="0" w:space="0" w:color="auto"/>
                                                                            <w:left w:val="none" w:sz="0" w:space="0" w:color="auto"/>
                                                                            <w:bottom w:val="none" w:sz="0" w:space="0" w:color="auto"/>
                                                                            <w:right w:val="none" w:sz="0" w:space="0" w:color="auto"/>
                                                                          </w:divBdr>
                                                                          <w:divsChild>
                                                                            <w:div w:id="1915042785">
                                                                              <w:marLeft w:val="0"/>
                                                                              <w:marRight w:val="0"/>
                                                                              <w:marTop w:val="0"/>
                                                                              <w:marBottom w:val="0"/>
                                                                              <w:divBdr>
                                                                                <w:top w:val="none" w:sz="0" w:space="0" w:color="auto"/>
                                                                                <w:left w:val="none" w:sz="0" w:space="0" w:color="auto"/>
                                                                                <w:bottom w:val="none" w:sz="0" w:space="0" w:color="auto"/>
                                                                                <w:right w:val="none" w:sz="0" w:space="0" w:color="auto"/>
                                                                              </w:divBdr>
                                                                              <w:divsChild>
                                                                                <w:div w:id="1774936841">
                                                                                  <w:marLeft w:val="0"/>
                                                                                  <w:marRight w:val="0"/>
                                                                                  <w:marTop w:val="0"/>
                                                                                  <w:marBottom w:val="0"/>
                                                                                  <w:divBdr>
                                                                                    <w:top w:val="none" w:sz="0" w:space="0" w:color="auto"/>
                                                                                    <w:left w:val="none" w:sz="0" w:space="0" w:color="auto"/>
                                                                                    <w:bottom w:val="none" w:sz="0" w:space="0" w:color="auto"/>
                                                                                    <w:right w:val="none" w:sz="0" w:space="0" w:color="auto"/>
                                                                                  </w:divBdr>
                                                                                  <w:divsChild>
                                                                                    <w:div w:id="162625016">
                                                                                      <w:marLeft w:val="0"/>
                                                                                      <w:marRight w:val="0"/>
                                                                                      <w:marTop w:val="0"/>
                                                                                      <w:marBottom w:val="0"/>
                                                                                      <w:divBdr>
                                                                                        <w:top w:val="none" w:sz="0" w:space="0" w:color="auto"/>
                                                                                        <w:left w:val="none" w:sz="0" w:space="0" w:color="auto"/>
                                                                                        <w:bottom w:val="none" w:sz="0" w:space="0" w:color="auto"/>
                                                                                        <w:right w:val="none" w:sz="0" w:space="0" w:color="auto"/>
                                                                                      </w:divBdr>
                                                                                      <w:divsChild>
                                                                                        <w:div w:id="392001795">
                                                                                          <w:marLeft w:val="0"/>
                                                                                          <w:marRight w:val="0"/>
                                                                                          <w:marTop w:val="0"/>
                                                                                          <w:marBottom w:val="0"/>
                                                                                          <w:divBdr>
                                                                                            <w:top w:val="none" w:sz="0" w:space="0" w:color="auto"/>
                                                                                            <w:left w:val="none" w:sz="0" w:space="0" w:color="auto"/>
                                                                                            <w:bottom w:val="none" w:sz="0" w:space="0" w:color="auto"/>
                                                                                            <w:right w:val="none" w:sz="0" w:space="0" w:color="auto"/>
                                                                                          </w:divBdr>
                                                                                        </w:div>
                                                                                        <w:div w:id="921335392">
                                                                                          <w:marLeft w:val="0"/>
                                                                                          <w:marRight w:val="0"/>
                                                                                          <w:marTop w:val="0"/>
                                                                                          <w:marBottom w:val="0"/>
                                                                                          <w:divBdr>
                                                                                            <w:top w:val="none" w:sz="0" w:space="0" w:color="auto"/>
                                                                                            <w:left w:val="none" w:sz="0" w:space="0" w:color="auto"/>
                                                                                            <w:bottom w:val="none" w:sz="0" w:space="0" w:color="auto"/>
                                                                                            <w:right w:val="none" w:sz="0" w:space="0" w:color="auto"/>
                                                                                          </w:divBdr>
                                                                                        </w:div>
                                                                                        <w:div w:id="1143083507">
                                                                                          <w:marLeft w:val="0"/>
                                                                                          <w:marRight w:val="0"/>
                                                                                          <w:marTop w:val="0"/>
                                                                                          <w:marBottom w:val="0"/>
                                                                                          <w:divBdr>
                                                                                            <w:top w:val="none" w:sz="0" w:space="0" w:color="auto"/>
                                                                                            <w:left w:val="none" w:sz="0" w:space="0" w:color="auto"/>
                                                                                            <w:bottom w:val="none" w:sz="0" w:space="0" w:color="auto"/>
                                                                                            <w:right w:val="none" w:sz="0" w:space="0" w:color="auto"/>
                                                                                          </w:divBdr>
                                                                                        </w:div>
                                                                                        <w:div w:id="1438213586">
                                                                                          <w:marLeft w:val="0"/>
                                                                                          <w:marRight w:val="0"/>
                                                                                          <w:marTop w:val="0"/>
                                                                                          <w:marBottom w:val="0"/>
                                                                                          <w:divBdr>
                                                                                            <w:top w:val="none" w:sz="0" w:space="0" w:color="auto"/>
                                                                                            <w:left w:val="none" w:sz="0" w:space="0" w:color="auto"/>
                                                                                            <w:bottom w:val="none" w:sz="0" w:space="0" w:color="auto"/>
                                                                                            <w:right w:val="none" w:sz="0" w:space="0" w:color="auto"/>
                                                                                          </w:divBdr>
                                                                                        </w:div>
                                                                                        <w:div w:id="1802109667">
                                                                                          <w:marLeft w:val="0"/>
                                                                                          <w:marRight w:val="0"/>
                                                                                          <w:marTop w:val="0"/>
                                                                                          <w:marBottom w:val="0"/>
                                                                                          <w:divBdr>
                                                                                            <w:top w:val="none" w:sz="0" w:space="0" w:color="auto"/>
                                                                                            <w:left w:val="none" w:sz="0" w:space="0" w:color="auto"/>
                                                                                            <w:bottom w:val="none" w:sz="0" w:space="0" w:color="auto"/>
                                                                                            <w:right w:val="none" w:sz="0" w:space="0" w:color="auto"/>
                                                                                          </w:divBdr>
                                                                                        </w:div>
                                                                                      </w:divsChild>
                                                                                    </w:div>
                                                                                    <w:div w:id="401608670">
                                                                                      <w:marLeft w:val="0"/>
                                                                                      <w:marRight w:val="0"/>
                                                                                      <w:marTop w:val="0"/>
                                                                                      <w:marBottom w:val="0"/>
                                                                                      <w:divBdr>
                                                                                        <w:top w:val="none" w:sz="0" w:space="0" w:color="auto"/>
                                                                                        <w:left w:val="none" w:sz="0" w:space="0" w:color="auto"/>
                                                                                        <w:bottom w:val="none" w:sz="0" w:space="0" w:color="auto"/>
                                                                                        <w:right w:val="none" w:sz="0" w:space="0" w:color="auto"/>
                                                                                      </w:divBdr>
                                                                                      <w:divsChild>
                                                                                        <w:div w:id="1203598004">
                                                                                          <w:marLeft w:val="0"/>
                                                                                          <w:marRight w:val="0"/>
                                                                                          <w:marTop w:val="0"/>
                                                                                          <w:marBottom w:val="0"/>
                                                                                          <w:divBdr>
                                                                                            <w:top w:val="none" w:sz="0" w:space="0" w:color="auto"/>
                                                                                            <w:left w:val="none" w:sz="0" w:space="0" w:color="auto"/>
                                                                                            <w:bottom w:val="none" w:sz="0" w:space="0" w:color="auto"/>
                                                                                            <w:right w:val="none" w:sz="0" w:space="0" w:color="auto"/>
                                                                                          </w:divBdr>
                                                                                        </w:div>
                                                                                        <w:div w:id="1292400658">
                                                                                          <w:marLeft w:val="0"/>
                                                                                          <w:marRight w:val="0"/>
                                                                                          <w:marTop w:val="0"/>
                                                                                          <w:marBottom w:val="0"/>
                                                                                          <w:divBdr>
                                                                                            <w:top w:val="none" w:sz="0" w:space="0" w:color="auto"/>
                                                                                            <w:left w:val="none" w:sz="0" w:space="0" w:color="auto"/>
                                                                                            <w:bottom w:val="none" w:sz="0" w:space="0" w:color="auto"/>
                                                                                            <w:right w:val="none" w:sz="0" w:space="0" w:color="auto"/>
                                                                                          </w:divBdr>
                                                                                        </w:div>
                                                                                        <w:div w:id="1510679339">
                                                                                          <w:marLeft w:val="0"/>
                                                                                          <w:marRight w:val="0"/>
                                                                                          <w:marTop w:val="0"/>
                                                                                          <w:marBottom w:val="0"/>
                                                                                          <w:divBdr>
                                                                                            <w:top w:val="none" w:sz="0" w:space="0" w:color="auto"/>
                                                                                            <w:left w:val="none" w:sz="0" w:space="0" w:color="auto"/>
                                                                                            <w:bottom w:val="none" w:sz="0" w:space="0" w:color="auto"/>
                                                                                            <w:right w:val="none" w:sz="0" w:space="0" w:color="auto"/>
                                                                                          </w:divBdr>
                                                                                        </w:div>
                                                                                        <w:div w:id="2071882221">
                                                                                          <w:marLeft w:val="0"/>
                                                                                          <w:marRight w:val="0"/>
                                                                                          <w:marTop w:val="0"/>
                                                                                          <w:marBottom w:val="0"/>
                                                                                          <w:divBdr>
                                                                                            <w:top w:val="none" w:sz="0" w:space="0" w:color="auto"/>
                                                                                            <w:left w:val="none" w:sz="0" w:space="0" w:color="auto"/>
                                                                                            <w:bottom w:val="none" w:sz="0" w:space="0" w:color="auto"/>
                                                                                            <w:right w:val="none" w:sz="0" w:space="0" w:color="auto"/>
                                                                                          </w:divBdr>
                                                                                        </w:div>
                                                                                        <w:div w:id="2134446455">
                                                                                          <w:marLeft w:val="0"/>
                                                                                          <w:marRight w:val="0"/>
                                                                                          <w:marTop w:val="0"/>
                                                                                          <w:marBottom w:val="0"/>
                                                                                          <w:divBdr>
                                                                                            <w:top w:val="none" w:sz="0" w:space="0" w:color="auto"/>
                                                                                            <w:left w:val="none" w:sz="0" w:space="0" w:color="auto"/>
                                                                                            <w:bottom w:val="none" w:sz="0" w:space="0" w:color="auto"/>
                                                                                            <w:right w:val="none" w:sz="0" w:space="0" w:color="auto"/>
                                                                                          </w:divBdr>
                                                                                        </w:div>
                                                                                      </w:divsChild>
                                                                                    </w:div>
                                                                                    <w:div w:id="443035656">
                                                                                      <w:marLeft w:val="0"/>
                                                                                      <w:marRight w:val="0"/>
                                                                                      <w:marTop w:val="0"/>
                                                                                      <w:marBottom w:val="0"/>
                                                                                      <w:divBdr>
                                                                                        <w:top w:val="none" w:sz="0" w:space="0" w:color="auto"/>
                                                                                        <w:left w:val="none" w:sz="0" w:space="0" w:color="auto"/>
                                                                                        <w:bottom w:val="none" w:sz="0" w:space="0" w:color="auto"/>
                                                                                        <w:right w:val="none" w:sz="0" w:space="0" w:color="auto"/>
                                                                                      </w:divBdr>
                                                                                      <w:divsChild>
                                                                                        <w:div w:id="114955543">
                                                                                          <w:marLeft w:val="0"/>
                                                                                          <w:marRight w:val="0"/>
                                                                                          <w:marTop w:val="0"/>
                                                                                          <w:marBottom w:val="0"/>
                                                                                          <w:divBdr>
                                                                                            <w:top w:val="none" w:sz="0" w:space="0" w:color="auto"/>
                                                                                            <w:left w:val="none" w:sz="0" w:space="0" w:color="auto"/>
                                                                                            <w:bottom w:val="none" w:sz="0" w:space="0" w:color="auto"/>
                                                                                            <w:right w:val="none" w:sz="0" w:space="0" w:color="auto"/>
                                                                                          </w:divBdr>
                                                                                        </w:div>
                                                                                        <w:div w:id="256446792">
                                                                                          <w:marLeft w:val="0"/>
                                                                                          <w:marRight w:val="0"/>
                                                                                          <w:marTop w:val="0"/>
                                                                                          <w:marBottom w:val="0"/>
                                                                                          <w:divBdr>
                                                                                            <w:top w:val="none" w:sz="0" w:space="0" w:color="auto"/>
                                                                                            <w:left w:val="none" w:sz="0" w:space="0" w:color="auto"/>
                                                                                            <w:bottom w:val="none" w:sz="0" w:space="0" w:color="auto"/>
                                                                                            <w:right w:val="none" w:sz="0" w:space="0" w:color="auto"/>
                                                                                          </w:divBdr>
                                                                                        </w:div>
                                                                                        <w:div w:id="516431078">
                                                                                          <w:marLeft w:val="0"/>
                                                                                          <w:marRight w:val="0"/>
                                                                                          <w:marTop w:val="0"/>
                                                                                          <w:marBottom w:val="0"/>
                                                                                          <w:divBdr>
                                                                                            <w:top w:val="none" w:sz="0" w:space="0" w:color="auto"/>
                                                                                            <w:left w:val="none" w:sz="0" w:space="0" w:color="auto"/>
                                                                                            <w:bottom w:val="none" w:sz="0" w:space="0" w:color="auto"/>
                                                                                            <w:right w:val="none" w:sz="0" w:space="0" w:color="auto"/>
                                                                                          </w:divBdr>
                                                                                        </w:div>
                                                                                        <w:div w:id="904879424">
                                                                                          <w:marLeft w:val="0"/>
                                                                                          <w:marRight w:val="0"/>
                                                                                          <w:marTop w:val="0"/>
                                                                                          <w:marBottom w:val="0"/>
                                                                                          <w:divBdr>
                                                                                            <w:top w:val="none" w:sz="0" w:space="0" w:color="auto"/>
                                                                                            <w:left w:val="none" w:sz="0" w:space="0" w:color="auto"/>
                                                                                            <w:bottom w:val="none" w:sz="0" w:space="0" w:color="auto"/>
                                                                                            <w:right w:val="none" w:sz="0" w:space="0" w:color="auto"/>
                                                                                          </w:divBdr>
                                                                                        </w:div>
                                                                                      </w:divsChild>
                                                                                    </w:div>
                                                                                    <w:div w:id="1132793126">
                                                                                      <w:marLeft w:val="0"/>
                                                                                      <w:marRight w:val="0"/>
                                                                                      <w:marTop w:val="0"/>
                                                                                      <w:marBottom w:val="0"/>
                                                                                      <w:divBdr>
                                                                                        <w:top w:val="none" w:sz="0" w:space="0" w:color="auto"/>
                                                                                        <w:left w:val="none" w:sz="0" w:space="0" w:color="auto"/>
                                                                                        <w:bottom w:val="none" w:sz="0" w:space="0" w:color="auto"/>
                                                                                        <w:right w:val="none" w:sz="0" w:space="0" w:color="auto"/>
                                                                                      </w:divBdr>
                                                                                      <w:divsChild>
                                                                                        <w:div w:id="529925883">
                                                                                          <w:marLeft w:val="0"/>
                                                                                          <w:marRight w:val="0"/>
                                                                                          <w:marTop w:val="0"/>
                                                                                          <w:marBottom w:val="0"/>
                                                                                          <w:divBdr>
                                                                                            <w:top w:val="none" w:sz="0" w:space="0" w:color="auto"/>
                                                                                            <w:left w:val="none" w:sz="0" w:space="0" w:color="auto"/>
                                                                                            <w:bottom w:val="none" w:sz="0" w:space="0" w:color="auto"/>
                                                                                            <w:right w:val="none" w:sz="0" w:space="0" w:color="auto"/>
                                                                                          </w:divBdr>
                                                                                        </w:div>
                                                                                        <w:div w:id="1204948837">
                                                                                          <w:marLeft w:val="0"/>
                                                                                          <w:marRight w:val="0"/>
                                                                                          <w:marTop w:val="0"/>
                                                                                          <w:marBottom w:val="0"/>
                                                                                          <w:divBdr>
                                                                                            <w:top w:val="none" w:sz="0" w:space="0" w:color="auto"/>
                                                                                            <w:left w:val="none" w:sz="0" w:space="0" w:color="auto"/>
                                                                                            <w:bottom w:val="none" w:sz="0" w:space="0" w:color="auto"/>
                                                                                            <w:right w:val="none" w:sz="0" w:space="0" w:color="auto"/>
                                                                                          </w:divBdr>
                                                                                        </w:div>
                                                                                      </w:divsChild>
                                                                                    </w:div>
                                                                                    <w:div w:id="1187795092">
                                                                                      <w:marLeft w:val="0"/>
                                                                                      <w:marRight w:val="0"/>
                                                                                      <w:marTop w:val="0"/>
                                                                                      <w:marBottom w:val="0"/>
                                                                                      <w:divBdr>
                                                                                        <w:top w:val="none" w:sz="0" w:space="0" w:color="auto"/>
                                                                                        <w:left w:val="none" w:sz="0" w:space="0" w:color="auto"/>
                                                                                        <w:bottom w:val="none" w:sz="0" w:space="0" w:color="auto"/>
                                                                                        <w:right w:val="none" w:sz="0" w:space="0" w:color="auto"/>
                                                                                      </w:divBdr>
                                                                                      <w:divsChild>
                                                                                        <w:div w:id="748233879">
                                                                                          <w:marLeft w:val="0"/>
                                                                                          <w:marRight w:val="0"/>
                                                                                          <w:marTop w:val="0"/>
                                                                                          <w:marBottom w:val="0"/>
                                                                                          <w:divBdr>
                                                                                            <w:top w:val="none" w:sz="0" w:space="0" w:color="auto"/>
                                                                                            <w:left w:val="none" w:sz="0" w:space="0" w:color="auto"/>
                                                                                            <w:bottom w:val="none" w:sz="0" w:space="0" w:color="auto"/>
                                                                                            <w:right w:val="none" w:sz="0" w:space="0" w:color="auto"/>
                                                                                          </w:divBdr>
                                                                                        </w:div>
                                                                                        <w:div w:id="792361226">
                                                                                          <w:marLeft w:val="0"/>
                                                                                          <w:marRight w:val="0"/>
                                                                                          <w:marTop w:val="0"/>
                                                                                          <w:marBottom w:val="0"/>
                                                                                          <w:divBdr>
                                                                                            <w:top w:val="none" w:sz="0" w:space="0" w:color="auto"/>
                                                                                            <w:left w:val="none" w:sz="0" w:space="0" w:color="auto"/>
                                                                                            <w:bottom w:val="none" w:sz="0" w:space="0" w:color="auto"/>
                                                                                            <w:right w:val="none" w:sz="0" w:space="0" w:color="auto"/>
                                                                                          </w:divBdr>
                                                                                        </w:div>
                                                                                        <w:div w:id="1008098983">
                                                                                          <w:marLeft w:val="0"/>
                                                                                          <w:marRight w:val="0"/>
                                                                                          <w:marTop w:val="0"/>
                                                                                          <w:marBottom w:val="0"/>
                                                                                          <w:divBdr>
                                                                                            <w:top w:val="none" w:sz="0" w:space="0" w:color="auto"/>
                                                                                            <w:left w:val="none" w:sz="0" w:space="0" w:color="auto"/>
                                                                                            <w:bottom w:val="none" w:sz="0" w:space="0" w:color="auto"/>
                                                                                            <w:right w:val="none" w:sz="0" w:space="0" w:color="auto"/>
                                                                                          </w:divBdr>
                                                                                        </w:div>
                                                                                        <w:div w:id="1193104688">
                                                                                          <w:marLeft w:val="0"/>
                                                                                          <w:marRight w:val="0"/>
                                                                                          <w:marTop w:val="0"/>
                                                                                          <w:marBottom w:val="0"/>
                                                                                          <w:divBdr>
                                                                                            <w:top w:val="none" w:sz="0" w:space="0" w:color="auto"/>
                                                                                            <w:left w:val="none" w:sz="0" w:space="0" w:color="auto"/>
                                                                                            <w:bottom w:val="none" w:sz="0" w:space="0" w:color="auto"/>
                                                                                            <w:right w:val="none" w:sz="0" w:space="0" w:color="auto"/>
                                                                                          </w:divBdr>
                                                                                        </w:div>
                                                                                        <w:div w:id="17835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214636">
      <w:bodyDiv w:val="1"/>
      <w:marLeft w:val="0"/>
      <w:marRight w:val="0"/>
      <w:marTop w:val="0"/>
      <w:marBottom w:val="0"/>
      <w:divBdr>
        <w:top w:val="none" w:sz="0" w:space="0" w:color="auto"/>
        <w:left w:val="none" w:sz="0" w:space="0" w:color="auto"/>
        <w:bottom w:val="none" w:sz="0" w:space="0" w:color="auto"/>
        <w:right w:val="none" w:sz="0" w:space="0" w:color="auto"/>
      </w:divBdr>
    </w:div>
    <w:div w:id="1682587408">
      <w:bodyDiv w:val="1"/>
      <w:marLeft w:val="0"/>
      <w:marRight w:val="0"/>
      <w:marTop w:val="0"/>
      <w:marBottom w:val="0"/>
      <w:divBdr>
        <w:top w:val="none" w:sz="0" w:space="0" w:color="auto"/>
        <w:left w:val="none" w:sz="0" w:space="0" w:color="auto"/>
        <w:bottom w:val="none" w:sz="0" w:space="0" w:color="auto"/>
        <w:right w:val="none" w:sz="0" w:space="0" w:color="auto"/>
      </w:divBdr>
    </w:div>
    <w:div w:id="1694067194">
      <w:bodyDiv w:val="1"/>
      <w:marLeft w:val="0"/>
      <w:marRight w:val="0"/>
      <w:marTop w:val="0"/>
      <w:marBottom w:val="0"/>
      <w:divBdr>
        <w:top w:val="none" w:sz="0" w:space="0" w:color="auto"/>
        <w:left w:val="none" w:sz="0" w:space="0" w:color="auto"/>
        <w:bottom w:val="none" w:sz="0" w:space="0" w:color="auto"/>
        <w:right w:val="none" w:sz="0" w:space="0" w:color="auto"/>
      </w:divBdr>
    </w:div>
    <w:div w:id="1722973846">
      <w:bodyDiv w:val="1"/>
      <w:marLeft w:val="0"/>
      <w:marRight w:val="0"/>
      <w:marTop w:val="0"/>
      <w:marBottom w:val="0"/>
      <w:divBdr>
        <w:top w:val="none" w:sz="0" w:space="0" w:color="auto"/>
        <w:left w:val="none" w:sz="0" w:space="0" w:color="auto"/>
        <w:bottom w:val="none" w:sz="0" w:space="0" w:color="auto"/>
        <w:right w:val="none" w:sz="0" w:space="0" w:color="auto"/>
      </w:divBdr>
    </w:div>
    <w:div w:id="1726104312">
      <w:bodyDiv w:val="1"/>
      <w:marLeft w:val="0"/>
      <w:marRight w:val="0"/>
      <w:marTop w:val="0"/>
      <w:marBottom w:val="0"/>
      <w:divBdr>
        <w:top w:val="none" w:sz="0" w:space="0" w:color="auto"/>
        <w:left w:val="none" w:sz="0" w:space="0" w:color="auto"/>
        <w:bottom w:val="none" w:sz="0" w:space="0" w:color="auto"/>
        <w:right w:val="none" w:sz="0" w:space="0" w:color="auto"/>
      </w:divBdr>
    </w:div>
    <w:div w:id="1727295308">
      <w:bodyDiv w:val="1"/>
      <w:marLeft w:val="0"/>
      <w:marRight w:val="0"/>
      <w:marTop w:val="0"/>
      <w:marBottom w:val="0"/>
      <w:divBdr>
        <w:top w:val="none" w:sz="0" w:space="0" w:color="auto"/>
        <w:left w:val="none" w:sz="0" w:space="0" w:color="auto"/>
        <w:bottom w:val="none" w:sz="0" w:space="0" w:color="auto"/>
        <w:right w:val="none" w:sz="0" w:space="0" w:color="auto"/>
      </w:divBdr>
    </w:div>
    <w:div w:id="1733850014">
      <w:bodyDiv w:val="1"/>
      <w:marLeft w:val="0"/>
      <w:marRight w:val="0"/>
      <w:marTop w:val="0"/>
      <w:marBottom w:val="0"/>
      <w:divBdr>
        <w:top w:val="none" w:sz="0" w:space="0" w:color="auto"/>
        <w:left w:val="none" w:sz="0" w:space="0" w:color="auto"/>
        <w:bottom w:val="none" w:sz="0" w:space="0" w:color="auto"/>
        <w:right w:val="none" w:sz="0" w:space="0" w:color="auto"/>
      </w:divBdr>
    </w:div>
    <w:div w:id="1784380547">
      <w:bodyDiv w:val="1"/>
      <w:marLeft w:val="0"/>
      <w:marRight w:val="0"/>
      <w:marTop w:val="0"/>
      <w:marBottom w:val="0"/>
      <w:divBdr>
        <w:top w:val="none" w:sz="0" w:space="0" w:color="auto"/>
        <w:left w:val="none" w:sz="0" w:space="0" w:color="auto"/>
        <w:bottom w:val="none" w:sz="0" w:space="0" w:color="auto"/>
        <w:right w:val="none" w:sz="0" w:space="0" w:color="auto"/>
      </w:divBdr>
      <w:divsChild>
        <w:div w:id="1701318243">
          <w:marLeft w:val="0"/>
          <w:marRight w:val="0"/>
          <w:marTop w:val="0"/>
          <w:marBottom w:val="0"/>
          <w:divBdr>
            <w:top w:val="none" w:sz="0" w:space="0" w:color="auto"/>
            <w:left w:val="none" w:sz="0" w:space="0" w:color="auto"/>
            <w:bottom w:val="none" w:sz="0" w:space="0" w:color="auto"/>
            <w:right w:val="none" w:sz="0" w:space="0" w:color="auto"/>
          </w:divBdr>
          <w:divsChild>
            <w:div w:id="1795439099">
              <w:marLeft w:val="0"/>
              <w:marRight w:val="0"/>
              <w:marTop w:val="0"/>
              <w:marBottom w:val="0"/>
              <w:divBdr>
                <w:top w:val="none" w:sz="0" w:space="0" w:color="auto"/>
                <w:left w:val="none" w:sz="0" w:space="0" w:color="auto"/>
                <w:bottom w:val="none" w:sz="0" w:space="0" w:color="auto"/>
                <w:right w:val="none" w:sz="0" w:space="0" w:color="auto"/>
              </w:divBdr>
              <w:divsChild>
                <w:div w:id="221184867">
                  <w:marLeft w:val="0"/>
                  <w:marRight w:val="0"/>
                  <w:marTop w:val="0"/>
                  <w:marBottom w:val="0"/>
                  <w:divBdr>
                    <w:top w:val="none" w:sz="0" w:space="0" w:color="auto"/>
                    <w:left w:val="none" w:sz="0" w:space="0" w:color="auto"/>
                    <w:bottom w:val="none" w:sz="0" w:space="0" w:color="auto"/>
                    <w:right w:val="none" w:sz="0" w:space="0" w:color="auto"/>
                  </w:divBdr>
                  <w:divsChild>
                    <w:div w:id="1347899408">
                      <w:marLeft w:val="0"/>
                      <w:marRight w:val="0"/>
                      <w:marTop w:val="0"/>
                      <w:marBottom w:val="0"/>
                      <w:divBdr>
                        <w:top w:val="none" w:sz="0" w:space="0" w:color="auto"/>
                        <w:left w:val="none" w:sz="0" w:space="0" w:color="auto"/>
                        <w:bottom w:val="none" w:sz="0" w:space="0" w:color="auto"/>
                        <w:right w:val="none" w:sz="0" w:space="0" w:color="auto"/>
                      </w:divBdr>
                      <w:divsChild>
                        <w:div w:id="2024043307">
                          <w:marLeft w:val="0"/>
                          <w:marRight w:val="0"/>
                          <w:marTop w:val="0"/>
                          <w:marBottom w:val="0"/>
                          <w:divBdr>
                            <w:top w:val="none" w:sz="0" w:space="0" w:color="auto"/>
                            <w:left w:val="none" w:sz="0" w:space="0" w:color="auto"/>
                            <w:bottom w:val="none" w:sz="0" w:space="0" w:color="auto"/>
                            <w:right w:val="none" w:sz="0" w:space="0" w:color="auto"/>
                          </w:divBdr>
                          <w:divsChild>
                            <w:div w:id="1477380073">
                              <w:marLeft w:val="0"/>
                              <w:marRight w:val="0"/>
                              <w:marTop w:val="0"/>
                              <w:marBottom w:val="0"/>
                              <w:divBdr>
                                <w:top w:val="none" w:sz="0" w:space="0" w:color="auto"/>
                                <w:left w:val="none" w:sz="0" w:space="0" w:color="auto"/>
                                <w:bottom w:val="none" w:sz="0" w:space="0" w:color="auto"/>
                                <w:right w:val="none" w:sz="0" w:space="0" w:color="auto"/>
                              </w:divBdr>
                              <w:divsChild>
                                <w:div w:id="549416730">
                                  <w:marLeft w:val="0"/>
                                  <w:marRight w:val="0"/>
                                  <w:marTop w:val="0"/>
                                  <w:marBottom w:val="0"/>
                                  <w:divBdr>
                                    <w:top w:val="none" w:sz="0" w:space="0" w:color="auto"/>
                                    <w:left w:val="none" w:sz="0" w:space="0" w:color="auto"/>
                                    <w:bottom w:val="none" w:sz="0" w:space="0" w:color="auto"/>
                                    <w:right w:val="none" w:sz="0" w:space="0" w:color="auto"/>
                                  </w:divBdr>
                                  <w:divsChild>
                                    <w:div w:id="1557232529">
                                      <w:marLeft w:val="0"/>
                                      <w:marRight w:val="0"/>
                                      <w:marTop w:val="0"/>
                                      <w:marBottom w:val="0"/>
                                      <w:divBdr>
                                        <w:top w:val="none" w:sz="0" w:space="0" w:color="auto"/>
                                        <w:left w:val="none" w:sz="0" w:space="0" w:color="auto"/>
                                        <w:bottom w:val="none" w:sz="0" w:space="0" w:color="auto"/>
                                        <w:right w:val="none" w:sz="0" w:space="0" w:color="auto"/>
                                      </w:divBdr>
                                      <w:divsChild>
                                        <w:div w:id="695077327">
                                          <w:marLeft w:val="0"/>
                                          <w:marRight w:val="0"/>
                                          <w:marTop w:val="0"/>
                                          <w:marBottom w:val="0"/>
                                          <w:divBdr>
                                            <w:top w:val="none" w:sz="0" w:space="0" w:color="auto"/>
                                            <w:left w:val="none" w:sz="0" w:space="0" w:color="auto"/>
                                            <w:bottom w:val="none" w:sz="0" w:space="0" w:color="auto"/>
                                            <w:right w:val="none" w:sz="0" w:space="0" w:color="auto"/>
                                          </w:divBdr>
                                          <w:divsChild>
                                            <w:div w:id="665672481">
                                              <w:marLeft w:val="0"/>
                                              <w:marRight w:val="0"/>
                                              <w:marTop w:val="0"/>
                                              <w:marBottom w:val="0"/>
                                              <w:divBdr>
                                                <w:top w:val="none" w:sz="0" w:space="0" w:color="auto"/>
                                                <w:left w:val="none" w:sz="0" w:space="0" w:color="auto"/>
                                                <w:bottom w:val="none" w:sz="0" w:space="0" w:color="auto"/>
                                                <w:right w:val="none" w:sz="0" w:space="0" w:color="auto"/>
                                              </w:divBdr>
                                              <w:divsChild>
                                                <w:div w:id="1516773546">
                                                  <w:marLeft w:val="0"/>
                                                  <w:marRight w:val="0"/>
                                                  <w:marTop w:val="0"/>
                                                  <w:marBottom w:val="615"/>
                                                  <w:divBdr>
                                                    <w:top w:val="none" w:sz="0" w:space="0" w:color="auto"/>
                                                    <w:left w:val="none" w:sz="0" w:space="0" w:color="auto"/>
                                                    <w:bottom w:val="none" w:sz="0" w:space="0" w:color="auto"/>
                                                    <w:right w:val="none" w:sz="0" w:space="0" w:color="auto"/>
                                                  </w:divBdr>
                                                  <w:divsChild>
                                                    <w:div w:id="2026397722">
                                                      <w:marLeft w:val="0"/>
                                                      <w:marRight w:val="0"/>
                                                      <w:marTop w:val="0"/>
                                                      <w:marBottom w:val="0"/>
                                                      <w:divBdr>
                                                        <w:top w:val="none" w:sz="0" w:space="0" w:color="auto"/>
                                                        <w:left w:val="none" w:sz="0" w:space="0" w:color="auto"/>
                                                        <w:bottom w:val="none" w:sz="0" w:space="0" w:color="auto"/>
                                                        <w:right w:val="none" w:sz="0" w:space="0" w:color="auto"/>
                                                      </w:divBdr>
                                                      <w:divsChild>
                                                        <w:div w:id="618490707">
                                                          <w:marLeft w:val="0"/>
                                                          <w:marRight w:val="0"/>
                                                          <w:marTop w:val="0"/>
                                                          <w:marBottom w:val="0"/>
                                                          <w:divBdr>
                                                            <w:top w:val="single" w:sz="6" w:space="0" w:color="ABABAB"/>
                                                            <w:left w:val="single" w:sz="6" w:space="0" w:color="ABABAB"/>
                                                            <w:bottom w:val="single" w:sz="12" w:space="0" w:color="ABABAB"/>
                                                            <w:right w:val="single" w:sz="6" w:space="0" w:color="ABABAB"/>
                                                          </w:divBdr>
                                                          <w:divsChild>
                                                            <w:div w:id="634338072">
                                                              <w:marLeft w:val="0"/>
                                                              <w:marRight w:val="0"/>
                                                              <w:marTop w:val="0"/>
                                                              <w:marBottom w:val="0"/>
                                                              <w:divBdr>
                                                                <w:top w:val="none" w:sz="0" w:space="0" w:color="auto"/>
                                                                <w:left w:val="none" w:sz="0" w:space="0" w:color="auto"/>
                                                                <w:bottom w:val="none" w:sz="0" w:space="0" w:color="auto"/>
                                                                <w:right w:val="none" w:sz="0" w:space="0" w:color="auto"/>
                                                              </w:divBdr>
                                                              <w:divsChild>
                                                                <w:div w:id="1894079325">
                                                                  <w:marLeft w:val="0"/>
                                                                  <w:marRight w:val="0"/>
                                                                  <w:marTop w:val="0"/>
                                                                  <w:marBottom w:val="0"/>
                                                                  <w:divBdr>
                                                                    <w:top w:val="none" w:sz="0" w:space="0" w:color="auto"/>
                                                                    <w:left w:val="none" w:sz="0" w:space="0" w:color="auto"/>
                                                                    <w:bottom w:val="none" w:sz="0" w:space="0" w:color="auto"/>
                                                                    <w:right w:val="none" w:sz="0" w:space="0" w:color="auto"/>
                                                                  </w:divBdr>
                                                                  <w:divsChild>
                                                                    <w:div w:id="1092968631">
                                                                      <w:marLeft w:val="0"/>
                                                                      <w:marRight w:val="0"/>
                                                                      <w:marTop w:val="0"/>
                                                                      <w:marBottom w:val="0"/>
                                                                      <w:divBdr>
                                                                        <w:top w:val="none" w:sz="0" w:space="0" w:color="auto"/>
                                                                        <w:left w:val="none" w:sz="0" w:space="0" w:color="auto"/>
                                                                        <w:bottom w:val="none" w:sz="0" w:space="0" w:color="auto"/>
                                                                        <w:right w:val="none" w:sz="0" w:space="0" w:color="auto"/>
                                                                      </w:divBdr>
                                                                      <w:divsChild>
                                                                        <w:div w:id="1647011539">
                                                                          <w:marLeft w:val="0"/>
                                                                          <w:marRight w:val="0"/>
                                                                          <w:marTop w:val="0"/>
                                                                          <w:marBottom w:val="0"/>
                                                                          <w:divBdr>
                                                                            <w:top w:val="none" w:sz="0" w:space="0" w:color="auto"/>
                                                                            <w:left w:val="none" w:sz="0" w:space="0" w:color="auto"/>
                                                                            <w:bottom w:val="none" w:sz="0" w:space="0" w:color="auto"/>
                                                                            <w:right w:val="none" w:sz="0" w:space="0" w:color="auto"/>
                                                                          </w:divBdr>
                                                                          <w:divsChild>
                                                                            <w:div w:id="1991977586">
                                                                              <w:marLeft w:val="0"/>
                                                                              <w:marRight w:val="0"/>
                                                                              <w:marTop w:val="0"/>
                                                                              <w:marBottom w:val="0"/>
                                                                              <w:divBdr>
                                                                                <w:top w:val="none" w:sz="0" w:space="0" w:color="auto"/>
                                                                                <w:left w:val="none" w:sz="0" w:space="0" w:color="auto"/>
                                                                                <w:bottom w:val="none" w:sz="0" w:space="0" w:color="auto"/>
                                                                                <w:right w:val="none" w:sz="0" w:space="0" w:color="auto"/>
                                                                              </w:divBdr>
                                                                              <w:divsChild>
                                                                                <w:div w:id="870530729">
                                                                                  <w:marLeft w:val="0"/>
                                                                                  <w:marRight w:val="0"/>
                                                                                  <w:marTop w:val="0"/>
                                                                                  <w:marBottom w:val="0"/>
                                                                                  <w:divBdr>
                                                                                    <w:top w:val="none" w:sz="0" w:space="0" w:color="auto"/>
                                                                                    <w:left w:val="none" w:sz="0" w:space="0" w:color="auto"/>
                                                                                    <w:bottom w:val="none" w:sz="0" w:space="0" w:color="auto"/>
                                                                                    <w:right w:val="none" w:sz="0" w:space="0" w:color="auto"/>
                                                                                  </w:divBdr>
                                                                                  <w:divsChild>
                                                                                    <w:div w:id="184832170">
                                                                                      <w:marLeft w:val="0"/>
                                                                                      <w:marRight w:val="0"/>
                                                                                      <w:marTop w:val="0"/>
                                                                                      <w:marBottom w:val="0"/>
                                                                                      <w:divBdr>
                                                                                        <w:top w:val="none" w:sz="0" w:space="0" w:color="auto"/>
                                                                                        <w:left w:val="none" w:sz="0" w:space="0" w:color="auto"/>
                                                                                        <w:bottom w:val="none" w:sz="0" w:space="0" w:color="auto"/>
                                                                                        <w:right w:val="none" w:sz="0" w:space="0" w:color="auto"/>
                                                                                      </w:divBdr>
                                                                                      <w:divsChild>
                                                                                        <w:div w:id="1680157839">
                                                                                          <w:marLeft w:val="0"/>
                                                                                          <w:marRight w:val="0"/>
                                                                                          <w:marTop w:val="0"/>
                                                                                          <w:marBottom w:val="0"/>
                                                                                          <w:divBdr>
                                                                                            <w:top w:val="none" w:sz="0" w:space="0" w:color="auto"/>
                                                                                            <w:left w:val="none" w:sz="0" w:space="0" w:color="auto"/>
                                                                                            <w:bottom w:val="none" w:sz="0" w:space="0" w:color="auto"/>
                                                                                            <w:right w:val="none" w:sz="0" w:space="0" w:color="auto"/>
                                                                                          </w:divBdr>
                                                                                        </w:div>
                                                                                      </w:divsChild>
                                                                                    </w:div>
                                                                                    <w:div w:id="988873267">
                                                                                      <w:marLeft w:val="0"/>
                                                                                      <w:marRight w:val="0"/>
                                                                                      <w:marTop w:val="0"/>
                                                                                      <w:marBottom w:val="0"/>
                                                                                      <w:divBdr>
                                                                                        <w:top w:val="none" w:sz="0" w:space="0" w:color="auto"/>
                                                                                        <w:left w:val="none" w:sz="0" w:space="0" w:color="auto"/>
                                                                                        <w:bottom w:val="none" w:sz="0" w:space="0" w:color="auto"/>
                                                                                        <w:right w:val="none" w:sz="0" w:space="0" w:color="auto"/>
                                                                                      </w:divBdr>
                                                                                      <w:divsChild>
                                                                                        <w:div w:id="925530814">
                                                                                          <w:marLeft w:val="0"/>
                                                                                          <w:marRight w:val="0"/>
                                                                                          <w:marTop w:val="0"/>
                                                                                          <w:marBottom w:val="0"/>
                                                                                          <w:divBdr>
                                                                                            <w:top w:val="none" w:sz="0" w:space="0" w:color="auto"/>
                                                                                            <w:left w:val="none" w:sz="0" w:space="0" w:color="auto"/>
                                                                                            <w:bottom w:val="none" w:sz="0" w:space="0" w:color="auto"/>
                                                                                            <w:right w:val="none" w:sz="0" w:space="0" w:color="auto"/>
                                                                                          </w:divBdr>
                                                                                        </w:div>
                                                                                        <w:div w:id="1129325475">
                                                                                          <w:marLeft w:val="0"/>
                                                                                          <w:marRight w:val="0"/>
                                                                                          <w:marTop w:val="0"/>
                                                                                          <w:marBottom w:val="0"/>
                                                                                          <w:divBdr>
                                                                                            <w:top w:val="none" w:sz="0" w:space="0" w:color="auto"/>
                                                                                            <w:left w:val="none" w:sz="0" w:space="0" w:color="auto"/>
                                                                                            <w:bottom w:val="none" w:sz="0" w:space="0" w:color="auto"/>
                                                                                            <w:right w:val="none" w:sz="0" w:space="0" w:color="auto"/>
                                                                                          </w:divBdr>
                                                                                        </w:div>
                                                                                        <w:div w:id="1614243646">
                                                                                          <w:marLeft w:val="0"/>
                                                                                          <w:marRight w:val="0"/>
                                                                                          <w:marTop w:val="0"/>
                                                                                          <w:marBottom w:val="0"/>
                                                                                          <w:divBdr>
                                                                                            <w:top w:val="none" w:sz="0" w:space="0" w:color="auto"/>
                                                                                            <w:left w:val="none" w:sz="0" w:space="0" w:color="auto"/>
                                                                                            <w:bottom w:val="none" w:sz="0" w:space="0" w:color="auto"/>
                                                                                            <w:right w:val="none" w:sz="0" w:space="0" w:color="auto"/>
                                                                                          </w:divBdr>
                                                                                        </w:div>
                                                                                        <w:div w:id="18565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592302">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4705128">
      <w:bodyDiv w:val="1"/>
      <w:marLeft w:val="0"/>
      <w:marRight w:val="0"/>
      <w:marTop w:val="0"/>
      <w:marBottom w:val="0"/>
      <w:divBdr>
        <w:top w:val="none" w:sz="0" w:space="0" w:color="auto"/>
        <w:left w:val="none" w:sz="0" w:space="0" w:color="auto"/>
        <w:bottom w:val="none" w:sz="0" w:space="0" w:color="auto"/>
        <w:right w:val="none" w:sz="0" w:space="0" w:color="auto"/>
      </w:divBdr>
    </w:div>
    <w:div w:id="1945771903">
      <w:bodyDiv w:val="1"/>
      <w:marLeft w:val="0"/>
      <w:marRight w:val="0"/>
      <w:marTop w:val="0"/>
      <w:marBottom w:val="0"/>
      <w:divBdr>
        <w:top w:val="none" w:sz="0" w:space="0" w:color="auto"/>
        <w:left w:val="none" w:sz="0" w:space="0" w:color="auto"/>
        <w:bottom w:val="none" w:sz="0" w:space="0" w:color="auto"/>
        <w:right w:val="none" w:sz="0" w:space="0" w:color="auto"/>
      </w:divBdr>
    </w:div>
    <w:div w:id="1983388717">
      <w:bodyDiv w:val="1"/>
      <w:marLeft w:val="0"/>
      <w:marRight w:val="0"/>
      <w:marTop w:val="0"/>
      <w:marBottom w:val="0"/>
      <w:divBdr>
        <w:top w:val="none" w:sz="0" w:space="0" w:color="auto"/>
        <w:left w:val="none" w:sz="0" w:space="0" w:color="auto"/>
        <w:bottom w:val="none" w:sz="0" w:space="0" w:color="auto"/>
        <w:right w:val="none" w:sz="0" w:space="0" w:color="auto"/>
      </w:divBdr>
    </w:div>
    <w:div w:id="2001156562">
      <w:bodyDiv w:val="1"/>
      <w:marLeft w:val="0"/>
      <w:marRight w:val="0"/>
      <w:marTop w:val="0"/>
      <w:marBottom w:val="0"/>
      <w:divBdr>
        <w:top w:val="none" w:sz="0" w:space="0" w:color="auto"/>
        <w:left w:val="none" w:sz="0" w:space="0" w:color="auto"/>
        <w:bottom w:val="none" w:sz="0" w:space="0" w:color="auto"/>
        <w:right w:val="none" w:sz="0" w:space="0" w:color="auto"/>
      </w:divBdr>
    </w:div>
    <w:div w:id="2011445599">
      <w:bodyDiv w:val="1"/>
      <w:marLeft w:val="0"/>
      <w:marRight w:val="0"/>
      <w:marTop w:val="0"/>
      <w:marBottom w:val="0"/>
      <w:divBdr>
        <w:top w:val="none" w:sz="0" w:space="0" w:color="auto"/>
        <w:left w:val="none" w:sz="0" w:space="0" w:color="auto"/>
        <w:bottom w:val="none" w:sz="0" w:space="0" w:color="auto"/>
        <w:right w:val="none" w:sz="0" w:space="0" w:color="auto"/>
      </w:divBdr>
    </w:div>
    <w:div w:id="2032141130">
      <w:bodyDiv w:val="1"/>
      <w:marLeft w:val="0"/>
      <w:marRight w:val="0"/>
      <w:marTop w:val="0"/>
      <w:marBottom w:val="0"/>
      <w:divBdr>
        <w:top w:val="none" w:sz="0" w:space="0" w:color="auto"/>
        <w:left w:val="none" w:sz="0" w:space="0" w:color="auto"/>
        <w:bottom w:val="none" w:sz="0" w:space="0" w:color="auto"/>
        <w:right w:val="none" w:sz="0" w:space="0" w:color="auto"/>
      </w:divBdr>
    </w:div>
    <w:div w:id="2053074798">
      <w:bodyDiv w:val="1"/>
      <w:marLeft w:val="0"/>
      <w:marRight w:val="0"/>
      <w:marTop w:val="0"/>
      <w:marBottom w:val="0"/>
      <w:divBdr>
        <w:top w:val="none" w:sz="0" w:space="0" w:color="auto"/>
        <w:left w:val="none" w:sz="0" w:space="0" w:color="auto"/>
        <w:bottom w:val="none" w:sz="0" w:space="0" w:color="auto"/>
        <w:right w:val="none" w:sz="0" w:space="0" w:color="auto"/>
      </w:divBdr>
    </w:div>
    <w:div w:id="2065257145">
      <w:bodyDiv w:val="1"/>
      <w:marLeft w:val="0"/>
      <w:marRight w:val="0"/>
      <w:marTop w:val="0"/>
      <w:marBottom w:val="0"/>
      <w:divBdr>
        <w:top w:val="none" w:sz="0" w:space="0" w:color="auto"/>
        <w:left w:val="none" w:sz="0" w:space="0" w:color="auto"/>
        <w:bottom w:val="none" w:sz="0" w:space="0" w:color="auto"/>
        <w:right w:val="none" w:sz="0" w:space="0" w:color="auto"/>
      </w:divBdr>
    </w:div>
    <w:div w:id="2085252123">
      <w:bodyDiv w:val="1"/>
      <w:marLeft w:val="0"/>
      <w:marRight w:val="0"/>
      <w:marTop w:val="0"/>
      <w:marBottom w:val="0"/>
      <w:divBdr>
        <w:top w:val="none" w:sz="0" w:space="0" w:color="auto"/>
        <w:left w:val="none" w:sz="0" w:space="0" w:color="auto"/>
        <w:bottom w:val="none" w:sz="0" w:space="0" w:color="auto"/>
        <w:right w:val="none" w:sz="0" w:space="0" w:color="auto"/>
      </w:divBdr>
    </w:div>
    <w:div w:id="2095974785">
      <w:bodyDiv w:val="1"/>
      <w:marLeft w:val="0"/>
      <w:marRight w:val="0"/>
      <w:marTop w:val="0"/>
      <w:marBottom w:val="0"/>
      <w:divBdr>
        <w:top w:val="none" w:sz="0" w:space="0" w:color="auto"/>
        <w:left w:val="none" w:sz="0" w:space="0" w:color="auto"/>
        <w:bottom w:val="none" w:sz="0" w:space="0" w:color="auto"/>
        <w:right w:val="none" w:sz="0" w:space="0" w:color="auto"/>
      </w:divBdr>
    </w:div>
    <w:div w:id="2117288712">
      <w:bodyDiv w:val="1"/>
      <w:marLeft w:val="0"/>
      <w:marRight w:val="0"/>
      <w:marTop w:val="0"/>
      <w:marBottom w:val="0"/>
      <w:divBdr>
        <w:top w:val="none" w:sz="0" w:space="0" w:color="auto"/>
        <w:left w:val="none" w:sz="0" w:space="0" w:color="auto"/>
        <w:bottom w:val="none" w:sz="0" w:space="0" w:color="auto"/>
        <w:right w:val="none" w:sz="0" w:space="0" w:color="auto"/>
      </w:divBdr>
    </w:div>
    <w:div w:id="21396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hyperlink" Target="https://tenone.police.govt.nz/pi/solicitor-generals-prosecution-guidelines"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hyperlink" Target="http://www.highalert.org.nz" TargetMode="External"/><Relationship Id="rId38" Type="http://schemas.openxmlformats.org/officeDocument/2006/relationships/hyperlink" Target="http://scanmail.trustwave.com/?c=15517&amp;d=_ozy4My2rRFyulSA2hclLcBT6F-UMAyDCLe60ZOHFw&amp;u=http%3a%2f%2fwww%2ehighalert%2eorg%2enz"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image" Target="media/image7.png"/><Relationship Id="rId40" Type="http://schemas.openxmlformats.org/officeDocument/2006/relationships/hyperlink" Target="https://www.drugfoundation.org.nz/info/acute-drug-harm/community-of-practice/"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3.jp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6.xml"/></Relationships>
</file>

<file path=word/_rels/footnotes.xml.rels><?xml version="1.0" encoding="UTF-8" standalone="yes"?>
<Relationships xmlns="http://schemas.openxmlformats.org/package/2006/relationships"><Relationship Id="rId1" Type="http://schemas.openxmlformats.org/officeDocument/2006/relationships/hyperlink" Target="https://www.drugfoundation.org.nz/assets/uploads/Synthetic-cannabinoid-crisis-insights-and-recommendations-Dec-2018-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utownse\AppData\Local\Microsoft\Windows\INetCache\Content.Outlook\AA6Q26X2\Graphs%20for%20Review%20(0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ohgovtnz-my.sharepoint.com/personal/martin_wall_health_govt_nz/Documents/Graphs%20for%20Review.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orp.justice.govt.nz\Groups\Wellington%20Justice%20Centre\JUSTCF-VOL1\Data\dbdata\Cannabis%20Policy%20Team\Drug%20Policy\MoDAA%20Review\20210603%20MoDAA%20Review%20data%20graphs%20.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hinkley\AppData\Local\Microsoft\Windows\INetCache\Content.Outlook\M8RUN72F\DIVERSION%20GRAPHS%201610%2024%20JUNE.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https://mohgovtnz-my.sharepoint.com/personal/martin_wall_health_govt_nz/Documents/Graphs%20for%20Review.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hinkley\AppData\Local\Microsoft\Windows\INetCache\Content.Outlook\M8RUN72F\AOD%20Referrals%20from%20PO%206%20mth%20periods%20v4%20Quarters%20+%20GRAPHS%20with%20org%20type%20split%20110621.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hinkley\AppData\Local\Microsoft\Windows\INetCache\Content.Outlook\M8RUN72F\Referrals%20to%20AOD%20by%20Referral%20Source%20v2%20250621.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https://mohgovtnz-my.sharepoint.com/personal/martin_wall_health_govt_nz/Documents/Graphs%20for%20Revi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ohgovtnz-my.sharepoint.com/personal/martin_wall_health_govt_nz/Documents/Graphs%20for%20Revi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townse\AppData\Local\Microsoft\Windows\INetCache\Content.Outlook\AA6Q26X2\Graphs%20for%20Review%20(0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townse\AppData\Local\Microsoft\Windows\INetCache\Content.Outlook\AA6Q26X2\Graphs%20for%20Review%20(0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hinkley\AppData\Local\Microsoft\Windows\INetCache\Content.Outlook\M8RUN72F\DIVERSION%20GRAPHS%201610%2024%20JU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hinkley\AppData\Local\Microsoft\Windows\INetCache\Content.Outlook\M8RUN72F\DIVERSION%20GRAPHS%2020210621%20Adult%20diversion%20for%20possession%20and%20use%20of%20drugs%20v2%20with%20case%20outcome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townse\AppData\Local\Microsoft\Windows\INetCache\Content.Outlook\AA6Q26X2\Graphs%20for%20Review%20(00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Graph1!$F$4</c:f>
              <c:strCache>
                <c:ptCount val="1"/>
                <c:pt idx="0">
                  <c:v>PERCENT NON-COURT</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trendline>
            <c:spPr>
              <a:ln w="19050" cap="rnd">
                <a:solidFill>
                  <a:schemeClr val="accent1">
                    <a:shade val="76000"/>
                  </a:schemeClr>
                </a:solidFill>
                <a:prstDash val="sysDot"/>
              </a:ln>
              <a:effectLst/>
            </c:spPr>
            <c:trendlineType val="exp"/>
            <c:dispRSqr val="0"/>
            <c:dispEq val="0"/>
          </c:trendline>
          <c:cat>
            <c:strRef>
              <c:f>Graph1!$A$5:$A$25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Graph1!$F$5:$F$25</c:f>
              <c:numCache>
                <c:formatCode>0%</c:formatCode>
                <c:ptCount val="21"/>
                <c:pt idx="0">
                  <c:v>0.63352601156069366</c:v>
                </c:pt>
                <c:pt idx="1">
                  <c:v>0.65616438356164386</c:v>
                </c:pt>
                <c:pt idx="2">
                  <c:v>0.67524916943521596</c:v>
                </c:pt>
                <c:pt idx="3">
                  <c:v>0.66473429951690821</c:v>
                </c:pt>
                <c:pt idx="4">
                  <c:v>0.62459893048128345</c:v>
                </c:pt>
                <c:pt idx="5">
                  <c:v>0.58402971216341693</c:v>
                </c:pt>
                <c:pt idx="6">
                  <c:v>0.63288718929254306</c:v>
                </c:pt>
                <c:pt idx="7">
                  <c:v>0.58421672555948179</c:v>
                </c:pt>
                <c:pt idx="8">
                  <c:v>0.61751152073732718</c:v>
                </c:pt>
                <c:pt idx="9">
                  <c:v>0.60371517027863775</c:v>
                </c:pt>
                <c:pt idx="10">
                  <c:v>0.64469453376205788</c:v>
                </c:pt>
                <c:pt idx="11">
                  <c:v>0.6816443594646272</c:v>
                </c:pt>
                <c:pt idx="12">
                  <c:v>0.67957405614714428</c:v>
                </c:pt>
                <c:pt idx="13">
                  <c:v>0.66423357664233573</c:v>
                </c:pt>
                <c:pt idx="14">
                  <c:v>0.72178683385579934</c:v>
                </c:pt>
                <c:pt idx="15">
                  <c:v>0.7531914893617021</c:v>
                </c:pt>
                <c:pt idx="16">
                  <c:v>0.74333925399644762</c:v>
                </c:pt>
                <c:pt idx="17">
                  <c:v>0.76235955056179772</c:v>
                </c:pt>
                <c:pt idx="18">
                  <c:v>0.77644230769230771</c:v>
                </c:pt>
                <c:pt idx="19">
                  <c:v>0.79435028248587569</c:v>
                </c:pt>
                <c:pt idx="20">
                  <c:v>0.82021151586368979</c:v>
                </c:pt>
              </c:numCache>
            </c:numRef>
          </c:val>
          <c:smooth val="0"/>
          <c:extLst>
            <c:ext xmlns:c16="http://schemas.microsoft.com/office/drawing/2014/chart" uri="{C3380CC4-5D6E-409C-BE32-E72D297353CC}">
              <c16:uniqueId val="{00000001-D590-4333-9553-C9A2A1A32829}"/>
            </c:ext>
          </c:extLst>
        </c:ser>
        <c:dLbls>
          <c:showLegendKey val="0"/>
          <c:showVal val="0"/>
          <c:showCatName val="0"/>
          <c:showSerName val="0"/>
          <c:showPercent val="0"/>
          <c:showBubbleSize val="0"/>
        </c:dLbls>
        <c:marker val="1"/>
        <c:smooth val="0"/>
        <c:axId val="629460936"/>
        <c:axId val="625704392"/>
      </c:lineChart>
      <c:scatterChart>
        <c:scatterStyle val="lineMarker"/>
        <c:varyColors val="0"/>
        <c:ser>
          <c:idx val="1"/>
          <c:order val="1"/>
          <c:tx>
            <c:strRef>
              <c:f>Graph1!$B$30</c:f>
              <c:strCache>
                <c:ptCount val="1"/>
                <c:pt idx="0">
                  <c:v>2019Q2</c:v>
                </c:pt>
              </c:strCache>
            </c:strRef>
          </c:tx>
          <c:spPr>
            <a:ln w="15875" cap="rnd">
              <a:solidFill>
                <a:schemeClr val="tx1"/>
              </a:solidFill>
              <a:prstDash val="sysDot"/>
              <a:round/>
            </a:ln>
            <a:effectLst/>
          </c:spPr>
          <c:marker>
            <c:symbol val="circle"/>
            <c:size val="5"/>
            <c:spPr>
              <a:solidFill>
                <a:schemeClr val="accent1">
                  <a:tint val="77000"/>
                </a:schemeClr>
              </a:solidFill>
              <a:ln w="9525">
                <a:solidFill>
                  <a:schemeClr val="accent1">
                    <a:tint val="77000"/>
                  </a:schemeClr>
                </a:solidFill>
              </a:ln>
              <a:effectLst/>
            </c:spPr>
          </c:marker>
          <c:xVal>
            <c:numRef>
              <c:f>Graph1!$A$31:$A$32</c:f>
              <c:numCache>
                <c:formatCode>General</c:formatCode>
                <c:ptCount val="2"/>
                <c:pt idx="0">
                  <c:v>14</c:v>
                </c:pt>
                <c:pt idx="1">
                  <c:v>14</c:v>
                </c:pt>
              </c:numCache>
            </c:numRef>
          </c:xVal>
          <c:yVal>
            <c:numRef>
              <c:f>Graph1!$B$31:$B$32</c:f>
              <c:numCache>
                <c:formatCode>General</c:formatCode>
                <c:ptCount val="2"/>
                <c:pt idx="0">
                  <c:v>0</c:v>
                </c:pt>
                <c:pt idx="1">
                  <c:v>1</c:v>
                </c:pt>
              </c:numCache>
            </c:numRef>
          </c:yVal>
          <c:smooth val="0"/>
          <c:extLst>
            <c:ext xmlns:c16="http://schemas.microsoft.com/office/drawing/2014/chart" uri="{C3380CC4-5D6E-409C-BE32-E72D297353CC}">
              <c16:uniqueId val="{00000002-D590-4333-9553-C9A2A1A32829}"/>
            </c:ext>
          </c:extLst>
        </c:ser>
        <c:dLbls>
          <c:showLegendKey val="0"/>
          <c:showVal val="0"/>
          <c:showCatName val="0"/>
          <c:showSerName val="0"/>
          <c:showPercent val="0"/>
          <c:showBubbleSize val="0"/>
        </c:dLbls>
        <c:axId val="629460936"/>
        <c:axId val="625704392"/>
      </c:scatterChart>
      <c:catAx>
        <c:axId val="62946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704392"/>
        <c:crosses val="autoZero"/>
        <c:auto val="1"/>
        <c:lblAlgn val="ctr"/>
        <c:lblOffset val="100"/>
        <c:noMultiLvlLbl val="0"/>
      </c:catAx>
      <c:valAx>
        <c:axId val="625704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460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37846148305201E-2"/>
          <c:y val="0.12962864096639651"/>
          <c:w val="0.89487896345718365"/>
          <c:h val="0.64928086063358681"/>
        </c:manualLayout>
      </c:layout>
      <c:lineChart>
        <c:grouping val="standard"/>
        <c:varyColors val="0"/>
        <c:ser>
          <c:idx val="0"/>
          <c:order val="0"/>
          <c:tx>
            <c:strRef>
              <c:f>Graph2_all!$B$30</c:f>
              <c:strCache>
                <c:ptCount val="1"/>
                <c:pt idx="0">
                  <c:v>EUROPEAN</c:v>
                </c:pt>
              </c:strCache>
            </c:strRef>
          </c:tx>
          <c:spPr>
            <a:ln w="15875" cap="rnd">
              <a:solidFill>
                <a:schemeClr val="accent1"/>
              </a:solidFill>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Graph2_all!$A$31:$A$51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Graph2_all!$B$31:$B$51</c:f>
              <c:numCache>
                <c:formatCode>0%</c:formatCode>
                <c:ptCount val="21"/>
                <c:pt idx="0">
                  <c:v>0.41466666666666668</c:v>
                </c:pt>
                <c:pt idx="1">
                  <c:v>0.44933920704845814</c:v>
                </c:pt>
                <c:pt idx="2">
                  <c:v>0.47680157946692991</c:v>
                </c:pt>
                <c:pt idx="3">
                  <c:v>0.45048966267682261</c:v>
                </c:pt>
                <c:pt idx="4">
                  <c:v>0.40654205607476634</c:v>
                </c:pt>
                <c:pt idx="5">
                  <c:v>0.31211498973305957</c:v>
                </c:pt>
                <c:pt idx="6">
                  <c:v>0.40598290598290598</c:v>
                </c:pt>
                <c:pt idx="7">
                  <c:v>0.3491271820448878</c:v>
                </c:pt>
                <c:pt idx="8">
                  <c:v>0.38451443569553806</c:v>
                </c:pt>
                <c:pt idx="9">
                  <c:v>0.40219560878243515</c:v>
                </c:pt>
                <c:pt idx="10">
                  <c:v>0.42725409836065575</c:v>
                </c:pt>
                <c:pt idx="11">
                  <c:v>0.42775881683731515</c:v>
                </c:pt>
                <c:pt idx="12">
                  <c:v>0.4237875288683603</c:v>
                </c:pt>
                <c:pt idx="13">
                  <c:v>0.38662033014769764</c:v>
                </c:pt>
                <c:pt idx="14">
                  <c:v>0.46576663452266154</c:v>
                </c:pt>
                <c:pt idx="15">
                  <c:v>0.51094890510948909</c:v>
                </c:pt>
                <c:pt idx="16">
                  <c:v>0.48949579831932771</c:v>
                </c:pt>
                <c:pt idx="17">
                  <c:v>0.50970149253731345</c:v>
                </c:pt>
                <c:pt idx="18">
                  <c:v>0.52583586626139822</c:v>
                </c:pt>
                <c:pt idx="19">
                  <c:v>0.52097428958051417</c:v>
                </c:pt>
                <c:pt idx="20">
                  <c:v>0.54914196567862716</c:v>
                </c:pt>
              </c:numCache>
            </c:numRef>
          </c:val>
          <c:smooth val="0"/>
          <c:extLst>
            <c:ext xmlns:c16="http://schemas.microsoft.com/office/drawing/2014/chart" uri="{C3380CC4-5D6E-409C-BE32-E72D297353CC}">
              <c16:uniqueId val="{00000000-D85A-4B8A-AD27-6341279E49B6}"/>
            </c:ext>
          </c:extLst>
        </c:ser>
        <c:ser>
          <c:idx val="1"/>
          <c:order val="1"/>
          <c:tx>
            <c:strRef>
              <c:f>Graph2_all!$C$30</c:f>
              <c:strCache>
                <c:ptCount val="1"/>
                <c:pt idx="0">
                  <c:v>MAORI</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Graph2_all!$A$31:$A$51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Graph2_all!$C$31:$C$51</c:f>
              <c:numCache>
                <c:formatCode>0%</c:formatCode>
                <c:ptCount val="21"/>
                <c:pt idx="0">
                  <c:v>0.4</c:v>
                </c:pt>
                <c:pt idx="1">
                  <c:v>0.42827004219409281</c:v>
                </c:pt>
                <c:pt idx="2">
                  <c:v>0.39636913767019666</c:v>
                </c:pt>
                <c:pt idx="3">
                  <c:v>0.40998217468805703</c:v>
                </c:pt>
                <c:pt idx="4">
                  <c:v>0.33106960950764008</c:v>
                </c:pt>
                <c:pt idx="5">
                  <c:v>0.3431241655540721</c:v>
                </c:pt>
                <c:pt idx="6">
                  <c:v>0.39767054908485855</c:v>
                </c:pt>
                <c:pt idx="7">
                  <c:v>0.34765625</c:v>
                </c:pt>
                <c:pt idx="8">
                  <c:v>0.35643564356435642</c:v>
                </c:pt>
                <c:pt idx="9">
                  <c:v>0.36899563318777295</c:v>
                </c:pt>
                <c:pt idx="10">
                  <c:v>0.39077340569877883</c:v>
                </c:pt>
                <c:pt idx="11">
                  <c:v>0.39469578783151327</c:v>
                </c:pt>
                <c:pt idx="12">
                  <c:v>0.38159879336349922</c:v>
                </c:pt>
                <c:pt idx="13">
                  <c:v>0.39327024185068349</c:v>
                </c:pt>
                <c:pt idx="14">
                  <c:v>0.44634146341463415</c:v>
                </c:pt>
                <c:pt idx="15">
                  <c:v>0.49795918367346936</c:v>
                </c:pt>
                <c:pt idx="16">
                  <c:v>0.44312169312169314</c:v>
                </c:pt>
                <c:pt idx="17">
                  <c:v>0.51141552511415522</c:v>
                </c:pt>
                <c:pt idx="18">
                  <c:v>0.5</c:v>
                </c:pt>
                <c:pt idx="19">
                  <c:v>0.51771653543307083</c:v>
                </c:pt>
                <c:pt idx="20">
                  <c:v>0.55899419729206967</c:v>
                </c:pt>
              </c:numCache>
            </c:numRef>
          </c:val>
          <c:smooth val="0"/>
          <c:extLst>
            <c:ext xmlns:c16="http://schemas.microsoft.com/office/drawing/2014/chart" uri="{C3380CC4-5D6E-409C-BE32-E72D297353CC}">
              <c16:uniqueId val="{00000001-D85A-4B8A-AD27-6341279E49B6}"/>
            </c:ext>
          </c:extLst>
        </c:ser>
        <c:ser>
          <c:idx val="2"/>
          <c:order val="2"/>
          <c:tx>
            <c:strRef>
              <c:f>Graph2_all!$D$30</c:f>
              <c:strCache>
                <c:ptCount val="1"/>
                <c:pt idx="0">
                  <c:v>PACIFIC</c:v>
                </c:pt>
              </c:strCache>
            </c:strRef>
          </c:tx>
          <c:spPr>
            <a:ln w="15875" cap="rnd">
              <a:solidFill>
                <a:schemeClr val="accent3"/>
              </a:solidFill>
              <a:round/>
            </a:ln>
            <a:effectLst/>
          </c:spPr>
          <c:marker>
            <c:symbol val="circ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Graph2_all!$A$31:$A$51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Graph2_all!$D$31:$D$51</c:f>
              <c:numCache>
                <c:formatCode>0%</c:formatCode>
                <c:ptCount val="21"/>
                <c:pt idx="0">
                  <c:v>0.28358208955223879</c:v>
                </c:pt>
                <c:pt idx="1">
                  <c:v>0.42148760330578511</c:v>
                </c:pt>
                <c:pt idx="2">
                  <c:v>0.46739130434782611</c:v>
                </c:pt>
                <c:pt idx="3">
                  <c:v>0.28048780487804881</c:v>
                </c:pt>
                <c:pt idx="4">
                  <c:v>0.42028985507246375</c:v>
                </c:pt>
                <c:pt idx="5">
                  <c:v>0.33750000000000002</c:v>
                </c:pt>
                <c:pt idx="6">
                  <c:v>0.28712871287128711</c:v>
                </c:pt>
                <c:pt idx="7">
                  <c:v>0.37209302325581395</c:v>
                </c:pt>
                <c:pt idx="8">
                  <c:v>0.25714285714285712</c:v>
                </c:pt>
                <c:pt idx="9">
                  <c:v>0.29591836734693877</c:v>
                </c:pt>
                <c:pt idx="10">
                  <c:v>0.42105263157894735</c:v>
                </c:pt>
                <c:pt idx="11">
                  <c:v>0.39772727272727271</c:v>
                </c:pt>
                <c:pt idx="12">
                  <c:v>0.32051282051282054</c:v>
                </c:pt>
                <c:pt idx="13">
                  <c:v>0.36585365853658536</c:v>
                </c:pt>
                <c:pt idx="14">
                  <c:v>0.4098360655737705</c:v>
                </c:pt>
                <c:pt idx="15">
                  <c:v>0.42857142857142855</c:v>
                </c:pt>
                <c:pt idx="16">
                  <c:v>0.36283185840707965</c:v>
                </c:pt>
                <c:pt idx="17">
                  <c:v>0.51798561151079137</c:v>
                </c:pt>
                <c:pt idx="18">
                  <c:v>0.47126436781609193</c:v>
                </c:pt>
                <c:pt idx="19">
                  <c:v>0.41935483870967744</c:v>
                </c:pt>
                <c:pt idx="20">
                  <c:v>0.3968253968253968</c:v>
                </c:pt>
              </c:numCache>
            </c:numRef>
          </c:val>
          <c:smooth val="0"/>
          <c:extLst>
            <c:ext xmlns:c16="http://schemas.microsoft.com/office/drawing/2014/chart" uri="{C3380CC4-5D6E-409C-BE32-E72D297353CC}">
              <c16:uniqueId val="{00000002-D85A-4B8A-AD27-6341279E49B6}"/>
            </c:ext>
          </c:extLst>
        </c:ser>
        <c:ser>
          <c:idx val="3"/>
          <c:order val="3"/>
          <c:tx>
            <c:strRef>
              <c:f>Graph2_all!$E$30</c:f>
              <c:strCache>
                <c:ptCount val="1"/>
                <c:pt idx="0">
                  <c:v>OTHER</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Graph2_all!$A$31:$A$51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Graph2_all!$E$31:$E$51</c:f>
              <c:numCache>
                <c:formatCode>0%</c:formatCode>
                <c:ptCount val="21"/>
                <c:pt idx="0">
                  <c:v>0.6404494382022472</c:v>
                </c:pt>
                <c:pt idx="1">
                  <c:v>0.57046979865771807</c:v>
                </c:pt>
                <c:pt idx="2">
                  <c:v>0.76119402985074625</c:v>
                </c:pt>
                <c:pt idx="3">
                  <c:v>0.61428571428571432</c:v>
                </c:pt>
                <c:pt idx="4">
                  <c:v>0.66379310344827591</c:v>
                </c:pt>
                <c:pt idx="5">
                  <c:v>0.63636363636363635</c:v>
                </c:pt>
                <c:pt idx="6">
                  <c:v>0.64634146341463417</c:v>
                </c:pt>
                <c:pt idx="7">
                  <c:v>0.63636363636363635</c:v>
                </c:pt>
                <c:pt idx="8">
                  <c:v>0.66055045871559637</c:v>
                </c:pt>
                <c:pt idx="9">
                  <c:v>0.55747126436781613</c:v>
                </c:pt>
                <c:pt idx="10">
                  <c:v>0.74611398963730569</c:v>
                </c:pt>
                <c:pt idx="11">
                  <c:v>0.69364161849710981</c:v>
                </c:pt>
                <c:pt idx="12">
                  <c:v>0.78378378378378377</c:v>
                </c:pt>
                <c:pt idx="13">
                  <c:v>0.7142857142857143</c:v>
                </c:pt>
                <c:pt idx="14">
                  <c:v>0.76525821596244137</c:v>
                </c:pt>
                <c:pt idx="15">
                  <c:v>0.8080357142857143</c:v>
                </c:pt>
                <c:pt idx="16">
                  <c:v>0.78846153846153844</c:v>
                </c:pt>
                <c:pt idx="17">
                  <c:v>0.82926829268292679</c:v>
                </c:pt>
                <c:pt idx="18">
                  <c:v>0.86381322957198448</c:v>
                </c:pt>
                <c:pt idx="19">
                  <c:v>0.79797979797979801</c:v>
                </c:pt>
                <c:pt idx="20">
                  <c:v>0.83333333333333337</c:v>
                </c:pt>
              </c:numCache>
            </c:numRef>
          </c:val>
          <c:smooth val="0"/>
          <c:extLst>
            <c:ext xmlns:c16="http://schemas.microsoft.com/office/drawing/2014/chart" uri="{C3380CC4-5D6E-409C-BE32-E72D297353CC}">
              <c16:uniqueId val="{00000003-D85A-4B8A-AD27-6341279E49B6}"/>
            </c:ext>
          </c:extLst>
        </c:ser>
        <c:dLbls>
          <c:showLegendKey val="0"/>
          <c:showVal val="0"/>
          <c:showCatName val="0"/>
          <c:showSerName val="0"/>
          <c:showPercent val="0"/>
          <c:showBubbleSize val="0"/>
        </c:dLbls>
        <c:marker val="1"/>
        <c:smooth val="0"/>
        <c:axId val="441186368"/>
        <c:axId val="441188008"/>
      </c:lineChart>
      <c:scatterChart>
        <c:scatterStyle val="lineMarker"/>
        <c:varyColors val="0"/>
        <c:ser>
          <c:idx val="4"/>
          <c:order val="4"/>
          <c:tx>
            <c:strRef>
              <c:f>Graph2_all!$A$54</c:f>
              <c:strCache>
                <c:ptCount val="1"/>
                <c:pt idx="0">
                  <c:v>MODAA</c:v>
                </c:pt>
              </c:strCache>
            </c:strRef>
          </c:tx>
          <c:spPr>
            <a:ln w="12700" cap="rnd">
              <a:solidFill>
                <a:schemeClr val="tx1"/>
              </a:solidFill>
              <a:prstDash val="sysDash"/>
              <a:round/>
            </a:ln>
            <a:effectLst/>
          </c:spPr>
          <c:marker>
            <c:symbol val="none"/>
          </c:marker>
          <c:xVal>
            <c:numRef>
              <c:f>Graph2_all!$A$55:$A$56</c:f>
              <c:numCache>
                <c:formatCode>General</c:formatCode>
                <c:ptCount val="2"/>
                <c:pt idx="0">
                  <c:v>14</c:v>
                </c:pt>
                <c:pt idx="1">
                  <c:v>14</c:v>
                </c:pt>
              </c:numCache>
            </c:numRef>
          </c:xVal>
          <c:yVal>
            <c:numRef>
              <c:f>Graph2_all!$B$55:$B$56</c:f>
              <c:numCache>
                <c:formatCode>General</c:formatCode>
                <c:ptCount val="2"/>
                <c:pt idx="0">
                  <c:v>0</c:v>
                </c:pt>
                <c:pt idx="1">
                  <c:v>1</c:v>
                </c:pt>
              </c:numCache>
            </c:numRef>
          </c:yVal>
          <c:smooth val="0"/>
          <c:extLst>
            <c:ext xmlns:c16="http://schemas.microsoft.com/office/drawing/2014/chart" uri="{C3380CC4-5D6E-409C-BE32-E72D297353CC}">
              <c16:uniqueId val="{00000004-D85A-4B8A-AD27-6341279E49B6}"/>
            </c:ext>
          </c:extLst>
        </c:ser>
        <c:dLbls>
          <c:showLegendKey val="0"/>
          <c:showVal val="0"/>
          <c:showCatName val="0"/>
          <c:showSerName val="0"/>
          <c:showPercent val="0"/>
          <c:showBubbleSize val="0"/>
        </c:dLbls>
        <c:axId val="441186368"/>
        <c:axId val="441188008"/>
      </c:scatterChart>
      <c:catAx>
        <c:axId val="44118636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1188008"/>
        <c:crosses val="autoZero"/>
        <c:auto val="1"/>
        <c:lblAlgn val="ctr"/>
        <c:lblOffset val="100"/>
        <c:noMultiLvlLbl val="0"/>
      </c:catAx>
      <c:valAx>
        <c:axId val="441188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11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Sheet1!$AA$261</c:f>
              <c:strCache>
                <c:ptCount val="1"/>
                <c:pt idx="0">
                  <c:v>Māori</c:v>
                </c:pt>
              </c:strCache>
            </c:strRef>
          </c:tx>
          <c:spPr>
            <a:ln w="28575" cap="rnd">
              <a:solidFill>
                <a:schemeClr val="accent1"/>
              </a:solidFill>
              <a:round/>
            </a:ln>
            <a:effectLst/>
          </c:spPr>
          <c:marker>
            <c:symbol val="none"/>
          </c:marker>
          <c:cat>
            <c:numRef>
              <c:f>Sheet1!$AB$260:$AL$260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Sheet1!$AB$261:$AL$261</c:f>
              <c:numCache>
                <c:formatCode>General</c:formatCode>
                <c:ptCount val="11"/>
                <c:pt idx="0">
                  <c:v>1615</c:v>
                </c:pt>
                <c:pt idx="1">
                  <c:v>1232</c:v>
                </c:pt>
                <c:pt idx="2">
                  <c:v>1046</c:v>
                </c:pt>
                <c:pt idx="3">
                  <c:v>845</c:v>
                </c:pt>
                <c:pt idx="4">
                  <c:v>718</c:v>
                </c:pt>
                <c:pt idx="5">
                  <c:v>654</c:v>
                </c:pt>
                <c:pt idx="6">
                  <c:v>666</c:v>
                </c:pt>
                <c:pt idx="7">
                  <c:v>712</c:v>
                </c:pt>
                <c:pt idx="8">
                  <c:v>763</c:v>
                </c:pt>
                <c:pt idx="9">
                  <c:v>694</c:v>
                </c:pt>
                <c:pt idx="10">
                  <c:v>599</c:v>
                </c:pt>
              </c:numCache>
            </c:numRef>
          </c:val>
          <c:smooth val="0"/>
          <c:extLst>
            <c:ext xmlns:c16="http://schemas.microsoft.com/office/drawing/2014/chart" uri="{C3380CC4-5D6E-409C-BE32-E72D297353CC}">
              <c16:uniqueId val="{00000000-F7B5-49FD-A525-69CEE17591FD}"/>
            </c:ext>
          </c:extLst>
        </c:ser>
        <c:ser>
          <c:idx val="1"/>
          <c:order val="1"/>
          <c:tx>
            <c:strRef>
              <c:f>Sheet1!$AA$262</c:f>
              <c:strCache>
                <c:ptCount val="1"/>
                <c:pt idx="0">
                  <c:v>Non-Māori</c:v>
                </c:pt>
              </c:strCache>
            </c:strRef>
          </c:tx>
          <c:spPr>
            <a:ln w="28575" cap="rnd">
              <a:solidFill>
                <a:schemeClr val="accent2"/>
              </a:solidFill>
              <a:round/>
            </a:ln>
            <a:effectLst/>
          </c:spPr>
          <c:marker>
            <c:symbol val="none"/>
          </c:marker>
          <c:cat>
            <c:numRef>
              <c:f>Sheet1!$AB$260:$AL$260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Sheet1!$AB$262:$AL$262</c:f>
              <c:numCache>
                <c:formatCode>General</c:formatCode>
                <c:ptCount val="11"/>
                <c:pt idx="0">
                  <c:v>2981</c:v>
                </c:pt>
                <c:pt idx="1">
                  <c:v>2085</c:v>
                </c:pt>
                <c:pt idx="2">
                  <c:v>1817</c:v>
                </c:pt>
                <c:pt idx="3">
                  <c:v>1362</c:v>
                </c:pt>
                <c:pt idx="4">
                  <c:v>1170</c:v>
                </c:pt>
                <c:pt idx="5">
                  <c:v>1094</c:v>
                </c:pt>
                <c:pt idx="6">
                  <c:v>1109</c:v>
                </c:pt>
                <c:pt idx="7">
                  <c:v>1183</c:v>
                </c:pt>
                <c:pt idx="8">
                  <c:v>1069</c:v>
                </c:pt>
                <c:pt idx="9">
                  <c:v>1029</c:v>
                </c:pt>
                <c:pt idx="10">
                  <c:v>798</c:v>
                </c:pt>
              </c:numCache>
            </c:numRef>
          </c:val>
          <c:smooth val="0"/>
          <c:extLst>
            <c:ext xmlns:c16="http://schemas.microsoft.com/office/drawing/2014/chart" uri="{C3380CC4-5D6E-409C-BE32-E72D297353CC}">
              <c16:uniqueId val="{00000001-F7B5-49FD-A525-69CEE17591FD}"/>
            </c:ext>
          </c:extLst>
        </c:ser>
        <c:dLbls>
          <c:showLegendKey val="0"/>
          <c:showVal val="0"/>
          <c:showCatName val="0"/>
          <c:showSerName val="0"/>
          <c:showPercent val="0"/>
          <c:showBubbleSize val="0"/>
        </c:dLbls>
        <c:smooth val="0"/>
        <c:axId val="386496496"/>
        <c:axId val="386503056"/>
      </c:lineChart>
      <c:catAx>
        <c:axId val="3864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03056"/>
        <c:crosses val="autoZero"/>
        <c:auto val="1"/>
        <c:lblAlgn val="ctr"/>
        <c:lblOffset val="100"/>
        <c:noMultiLvlLbl val="0"/>
      </c:catAx>
      <c:valAx>
        <c:axId val="38650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49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'B:\Analytical Projects\Misuse ofDrugs Amendment\[Copy of 20210621 Adult diversion for possession and use of drugs v2.xlsx]Sheet1'!$O$78</c:f>
              <c:strCache>
                <c:ptCount val="1"/>
                <c:pt idx="0">
                  <c:v>Maori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[1]Sheet1!$Q$59:$AA$59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[1]Sheet1!$Q$78:$AA$78</c:f>
              <c:numCache>
                <c:formatCode>General</c:formatCode>
                <c:ptCount val="11"/>
                <c:pt idx="0">
                  <c:v>0.73410404624277459</c:v>
                </c:pt>
                <c:pt idx="1">
                  <c:v>0.75579809004092768</c:v>
                </c:pt>
                <c:pt idx="2">
                  <c:v>0.73522064945878429</c:v>
                </c:pt>
                <c:pt idx="3">
                  <c:v>0.796875</c:v>
                </c:pt>
                <c:pt idx="4">
                  <c:v>0.76229508196721307</c:v>
                </c:pt>
                <c:pt idx="5">
                  <c:v>0.74092615769712145</c:v>
                </c:pt>
                <c:pt idx="6">
                  <c:v>0.72824791418355184</c:v>
                </c:pt>
                <c:pt idx="7">
                  <c:v>0.69976635514018692</c:v>
                </c:pt>
                <c:pt idx="8">
                  <c:v>0.66815642458100555</c:v>
                </c:pt>
                <c:pt idx="9">
                  <c:v>0.6544378698224852</c:v>
                </c:pt>
                <c:pt idx="10">
                  <c:v>0.62616822429906538</c:v>
                </c:pt>
              </c:numCache>
            </c:numRef>
          </c:val>
          <c:smooth val="0"/>
          <c:extLst>
            <c:ext xmlns:c16="http://schemas.microsoft.com/office/drawing/2014/chart" uri="{C3380CC4-5D6E-409C-BE32-E72D297353CC}">
              <c16:uniqueId val="{00000000-DC87-44A4-ACCB-9D59DEDFF831}"/>
            </c:ext>
          </c:extLst>
        </c:ser>
        <c:ser>
          <c:idx val="2"/>
          <c:order val="1"/>
          <c:tx>
            <c:strRef>
              <c:f>'B:\Analytical Projects\Misuse ofDrugs Amendment\[Copy of 20210621 Adult diversion for possession and use of drugs v2.xlsx]Sheet1'!$O$79</c:f>
              <c:strCache>
                <c:ptCount val="1"/>
                <c:pt idx="0">
                  <c:v>non-Maori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[1]Sheet1!$Q$59:$AA$59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[1]Sheet1!$Q$79:$AA$79</c:f>
              <c:numCache>
                <c:formatCode>General</c:formatCode>
                <c:ptCount val="11"/>
                <c:pt idx="0">
                  <c:v>0.61170528817587644</c:v>
                </c:pt>
                <c:pt idx="1">
                  <c:v>0.63983228511530399</c:v>
                </c:pt>
                <c:pt idx="2">
                  <c:v>0.64199903892359445</c:v>
                </c:pt>
                <c:pt idx="3">
                  <c:v>0.65195137555982086</c:v>
                </c:pt>
                <c:pt idx="4">
                  <c:v>0.62985074626865667</c:v>
                </c:pt>
                <c:pt idx="5">
                  <c:v>0.63549160671462834</c:v>
                </c:pt>
                <c:pt idx="6">
                  <c:v>0.64405426975259372</c:v>
                </c:pt>
                <c:pt idx="7">
                  <c:v>0.59386413440467489</c:v>
                </c:pt>
                <c:pt idx="8">
                  <c:v>0.62388302193338752</c:v>
                </c:pt>
                <c:pt idx="9">
                  <c:v>0.56937394247038919</c:v>
                </c:pt>
                <c:pt idx="10">
                  <c:v>0.5438786565547129</c:v>
                </c:pt>
              </c:numCache>
            </c:numRef>
          </c:val>
          <c:smooth val="0"/>
          <c:extLst>
            <c:ext xmlns:c16="http://schemas.microsoft.com/office/drawing/2014/chart" uri="{C3380CC4-5D6E-409C-BE32-E72D297353CC}">
              <c16:uniqueId val="{00000001-DC87-44A4-ACCB-9D59DEDFF831}"/>
            </c:ext>
          </c:extLst>
        </c:ser>
        <c:dLbls>
          <c:showLegendKey val="0"/>
          <c:showVal val="0"/>
          <c:showCatName val="0"/>
          <c:showSerName val="0"/>
          <c:showPercent val="0"/>
          <c:showBubbleSize val="0"/>
        </c:dLbls>
        <c:marker val="1"/>
        <c:smooth val="0"/>
        <c:axId val="831849952"/>
        <c:axId val="831847984"/>
      </c:lineChart>
      <c:scatterChart>
        <c:scatterStyle val="lineMarker"/>
        <c:varyColors val="0"/>
        <c:ser>
          <c:idx val="0"/>
          <c:order val="2"/>
          <c:tx>
            <c:strRef>
              <c:f>'B:\Analytical Projects\Misuse ofDrugs Amendment\[Copy of 20210621 Adult diversion for possession and use of drugs v2.xlsx]Sheet1'!$AC$71</c:f>
              <c:strCache>
                <c:ptCount val="1"/>
                <c:pt idx="0">
                  <c:v>MODAA</c:v>
                </c:pt>
              </c:strCache>
            </c:strRef>
          </c:tx>
          <c:spPr>
            <a:ln w="19050" cap="rnd">
              <a:solidFill>
                <a:schemeClr val="tx1"/>
              </a:solidFill>
              <a:prstDash val="sysDot"/>
              <a:round/>
            </a:ln>
            <a:effectLst/>
          </c:spPr>
          <c:marker>
            <c:symbol val="none"/>
          </c:marker>
          <c:xVal>
            <c:numRef>
              <c:f>[1]Sheet1!$AC$72:$AC$73</c:f>
              <c:numCache>
                <c:formatCode>General</c:formatCode>
                <c:ptCount val="2"/>
                <c:pt idx="0">
                  <c:v>10</c:v>
                </c:pt>
                <c:pt idx="1">
                  <c:v>10</c:v>
                </c:pt>
              </c:numCache>
            </c:numRef>
          </c:xVal>
          <c:yVal>
            <c:numRef>
              <c:f>[1]Sheet1!$AD$72:$AD$73</c:f>
              <c:numCache>
                <c:formatCode>General</c:formatCode>
                <c:ptCount val="2"/>
                <c:pt idx="0">
                  <c:v>0</c:v>
                </c:pt>
                <c:pt idx="1">
                  <c:v>1</c:v>
                </c:pt>
              </c:numCache>
            </c:numRef>
          </c:yVal>
          <c:smooth val="0"/>
          <c:extLst>
            <c:ext xmlns:c16="http://schemas.microsoft.com/office/drawing/2014/chart" uri="{C3380CC4-5D6E-409C-BE32-E72D297353CC}">
              <c16:uniqueId val="{00000002-DC87-44A4-ACCB-9D59DEDFF831}"/>
            </c:ext>
          </c:extLst>
        </c:ser>
        <c:dLbls>
          <c:showLegendKey val="0"/>
          <c:showVal val="0"/>
          <c:showCatName val="0"/>
          <c:showSerName val="0"/>
          <c:showPercent val="0"/>
          <c:showBubbleSize val="0"/>
        </c:dLbls>
        <c:axId val="831849952"/>
        <c:axId val="831847984"/>
      </c:scatterChart>
      <c:catAx>
        <c:axId val="83184995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847984"/>
        <c:crosses val="autoZero"/>
        <c:auto val="1"/>
        <c:lblAlgn val="ctr"/>
        <c:lblOffset val="100"/>
        <c:noMultiLvlLbl val="0"/>
      </c:catAx>
      <c:valAx>
        <c:axId val="831847984"/>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84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Percentage</a:t>
            </a:r>
            <a:r>
              <a:rPr lang="en-NZ" baseline="0"/>
              <a:t> of diversions referred for counselling</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Graph9!$B$11</c:f>
              <c:strCache>
                <c:ptCount val="1"/>
                <c:pt idx="0">
                  <c:v>Cannabis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Graph9!$A$12:$A$16</c:f>
              <c:numCache>
                <c:formatCode>General</c:formatCode>
                <c:ptCount val="5"/>
                <c:pt idx="0">
                  <c:v>2016</c:v>
                </c:pt>
                <c:pt idx="1">
                  <c:v>2017</c:v>
                </c:pt>
                <c:pt idx="2">
                  <c:v>2018</c:v>
                </c:pt>
                <c:pt idx="3">
                  <c:v>2019</c:v>
                </c:pt>
                <c:pt idx="4">
                  <c:v>2020</c:v>
                </c:pt>
              </c:numCache>
            </c:numRef>
          </c:cat>
          <c:val>
            <c:numRef>
              <c:f>Graph9!$B$12:$B$16</c:f>
              <c:numCache>
                <c:formatCode>0%</c:formatCode>
                <c:ptCount val="5"/>
                <c:pt idx="0">
                  <c:v>0.63</c:v>
                </c:pt>
                <c:pt idx="1">
                  <c:v>0.62</c:v>
                </c:pt>
                <c:pt idx="2">
                  <c:v>0.7</c:v>
                </c:pt>
                <c:pt idx="3">
                  <c:v>0.76</c:v>
                </c:pt>
                <c:pt idx="4">
                  <c:v>0.46</c:v>
                </c:pt>
              </c:numCache>
            </c:numRef>
          </c:val>
          <c:smooth val="0"/>
          <c:extLst>
            <c:ext xmlns:c16="http://schemas.microsoft.com/office/drawing/2014/chart" uri="{C3380CC4-5D6E-409C-BE32-E72D297353CC}">
              <c16:uniqueId val="{00000000-B18C-4A80-85E7-1722FFC999A2}"/>
            </c:ext>
          </c:extLst>
        </c:ser>
        <c:ser>
          <c:idx val="1"/>
          <c:order val="1"/>
          <c:tx>
            <c:strRef>
              <c:f>Graph9!$C$11</c:f>
              <c:strCache>
                <c:ptCount val="1"/>
                <c:pt idx="0">
                  <c:v>All drugs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Graph9!$A$12:$A$16</c:f>
              <c:numCache>
                <c:formatCode>General</c:formatCode>
                <c:ptCount val="5"/>
                <c:pt idx="0">
                  <c:v>2016</c:v>
                </c:pt>
                <c:pt idx="1">
                  <c:v>2017</c:v>
                </c:pt>
                <c:pt idx="2">
                  <c:v>2018</c:v>
                </c:pt>
                <c:pt idx="3">
                  <c:v>2019</c:v>
                </c:pt>
                <c:pt idx="4">
                  <c:v>2020</c:v>
                </c:pt>
              </c:numCache>
            </c:numRef>
          </c:cat>
          <c:val>
            <c:numRef>
              <c:f>Graph9!$C$12:$C$16</c:f>
              <c:numCache>
                <c:formatCode>0%</c:formatCode>
                <c:ptCount val="5"/>
                <c:pt idx="0">
                  <c:v>0.61</c:v>
                </c:pt>
                <c:pt idx="1">
                  <c:v>0.6</c:v>
                </c:pt>
                <c:pt idx="2">
                  <c:v>0.69</c:v>
                </c:pt>
                <c:pt idx="3">
                  <c:v>0.74</c:v>
                </c:pt>
                <c:pt idx="4">
                  <c:v>0.5</c:v>
                </c:pt>
              </c:numCache>
            </c:numRef>
          </c:val>
          <c:smooth val="0"/>
          <c:extLst>
            <c:ext xmlns:c16="http://schemas.microsoft.com/office/drawing/2014/chart" uri="{C3380CC4-5D6E-409C-BE32-E72D297353CC}">
              <c16:uniqueId val="{00000001-B18C-4A80-85E7-1722FFC999A2}"/>
            </c:ext>
          </c:extLst>
        </c:ser>
        <c:dLbls>
          <c:showLegendKey val="0"/>
          <c:showVal val="0"/>
          <c:showCatName val="0"/>
          <c:showSerName val="0"/>
          <c:showPercent val="0"/>
          <c:showBubbleSize val="0"/>
        </c:dLbls>
        <c:marker val="1"/>
        <c:smooth val="0"/>
        <c:axId val="538681560"/>
        <c:axId val="538683856"/>
      </c:lineChart>
      <c:catAx>
        <c:axId val="53868156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683856"/>
        <c:crosses val="autoZero"/>
        <c:auto val="1"/>
        <c:lblAlgn val="ctr"/>
        <c:lblOffset val="100"/>
        <c:noMultiLvlLbl val="0"/>
      </c:catAx>
      <c:valAx>
        <c:axId val="53868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681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GRAPHS!$B$9</c:f>
              <c:strCache>
                <c:ptCount val="1"/>
                <c:pt idx="0">
                  <c:v>All Services</c:v>
                </c:pt>
              </c:strCache>
            </c:strRef>
          </c:tx>
          <c:spPr>
            <a:ln w="28575" cap="rnd">
              <a:solidFill>
                <a:schemeClr val="accent2"/>
              </a:solidFill>
              <a:round/>
            </a:ln>
            <a:effectLst/>
          </c:spPr>
          <c:marker>
            <c:symbol val="none"/>
          </c:marker>
          <c:cat>
            <c:strRef>
              <c:f>GRAPHS!$A$10:$A$33</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GRAPHS!$B$10:$B$33</c:f>
              <c:numCache>
                <c:formatCode>General</c:formatCode>
                <c:ptCount val="24"/>
                <c:pt idx="0">
                  <c:v>81</c:v>
                </c:pt>
                <c:pt idx="1">
                  <c:v>196</c:v>
                </c:pt>
                <c:pt idx="2">
                  <c:v>244</c:v>
                </c:pt>
                <c:pt idx="3">
                  <c:v>322</c:v>
                </c:pt>
                <c:pt idx="4">
                  <c:v>300</c:v>
                </c:pt>
                <c:pt idx="5">
                  <c:v>495</c:v>
                </c:pt>
                <c:pt idx="6">
                  <c:v>535</c:v>
                </c:pt>
                <c:pt idx="7">
                  <c:v>409</c:v>
                </c:pt>
                <c:pt idx="8">
                  <c:v>405</c:v>
                </c:pt>
                <c:pt idx="9">
                  <c:v>352</c:v>
                </c:pt>
                <c:pt idx="10">
                  <c:v>332</c:v>
                </c:pt>
                <c:pt idx="11">
                  <c:v>244</c:v>
                </c:pt>
                <c:pt idx="12">
                  <c:v>360</c:v>
                </c:pt>
                <c:pt idx="13">
                  <c:v>517</c:v>
                </c:pt>
                <c:pt idx="14">
                  <c:v>416</c:v>
                </c:pt>
                <c:pt idx="15">
                  <c:v>368</c:v>
                </c:pt>
                <c:pt idx="16">
                  <c:v>321</c:v>
                </c:pt>
                <c:pt idx="17">
                  <c:v>414</c:v>
                </c:pt>
                <c:pt idx="18">
                  <c:v>488</c:v>
                </c:pt>
                <c:pt idx="19">
                  <c:v>248</c:v>
                </c:pt>
                <c:pt idx="20">
                  <c:v>221</c:v>
                </c:pt>
                <c:pt idx="21">
                  <c:v>426</c:v>
                </c:pt>
                <c:pt idx="22">
                  <c:v>465</c:v>
                </c:pt>
                <c:pt idx="23">
                  <c:v>362</c:v>
                </c:pt>
              </c:numCache>
            </c:numRef>
          </c:val>
          <c:smooth val="0"/>
          <c:extLst>
            <c:ext xmlns:c16="http://schemas.microsoft.com/office/drawing/2014/chart" uri="{C3380CC4-5D6E-409C-BE32-E72D297353CC}">
              <c16:uniqueId val="{00000000-1575-4D41-A4DD-8CE079255A5F}"/>
            </c:ext>
          </c:extLst>
        </c:ser>
        <c:ser>
          <c:idx val="2"/>
          <c:order val="2"/>
          <c:tx>
            <c:strRef>
              <c:f>GRAPHS!$C$9</c:f>
              <c:strCache>
                <c:ptCount val="1"/>
                <c:pt idx="0">
                  <c:v>DHB Provider Arm Services</c:v>
                </c:pt>
              </c:strCache>
            </c:strRef>
          </c:tx>
          <c:spPr>
            <a:ln w="28575" cap="rnd">
              <a:solidFill>
                <a:schemeClr val="accent3"/>
              </a:solidFill>
              <a:round/>
            </a:ln>
            <a:effectLst/>
          </c:spPr>
          <c:marker>
            <c:symbol val="none"/>
          </c:marker>
          <c:cat>
            <c:strRef>
              <c:f>GRAPHS!$A$10:$A$33</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GRAPHS!$C$10:$C$33</c:f>
              <c:numCache>
                <c:formatCode>General</c:formatCode>
                <c:ptCount val="24"/>
                <c:pt idx="0">
                  <c:v>37</c:v>
                </c:pt>
                <c:pt idx="1">
                  <c:v>72</c:v>
                </c:pt>
                <c:pt idx="2">
                  <c:v>120</c:v>
                </c:pt>
                <c:pt idx="3">
                  <c:v>242</c:v>
                </c:pt>
                <c:pt idx="4">
                  <c:v>173</c:v>
                </c:pt>
                <c:pt idx="5">
                  <c:v>373</c:v>
                </c:pt>
                <c:pt idx="6">
                  <c:v>382</c:v>
                </c:pt>
                <c:pt idx="7">
                  <c:v>305</c:v>
                </c:pt>
                <c:pt idx="8">
                  <c:v>292</c:v>
                </c:pt>
                <c:pt idx="9">
                  <c:v>229</c:v>
                </c:pt>
                <c:pt idx="10">
                  <c:v>202</c:v>
                </c:pt>
                <c:pt idx="11">
                  <c:v>134</c:v>
                </c:pt>
                <c:pt idx="12">
                  <c:v>251</c:v>
                </c:pt>
                <c:pt idx="13">
                  <c:v>360</c:v>
                </c:pt>
                <c:pt idx="14">
                  <c:v>282</c:v>
                </c:pt>
                <c:pt idx="15">
                  <c:v>257</c:v>
                </c:pt>
                <c:pt idx="16">
                  <c:v>231</c:v>
                </c:pt>
                <c:pt idx="17">
                  <c:v>316</c:v>
                </c:pt>
                <c:pt idx="18">
                  <c:v>369</c:v>
                </c:pt>
                <c:pt idx="19">
                  <c:v>155</c:v>
                </c:pt>
                <c:pt idx="20">
                  <c:v>158</c:v>
                </c:pt>
                <c:pt idx="21">
                  <c:v>318</c:v>
                </c:pt>
                <c:pt idx="22">
                  <c:v>352</c:v>
                </c:pt>
                <c:pt idx="23">
                  <c:v>252</c:v>
                </c:pt>
              </c:numCache>
            </c:numRef>
          </c:val>
          <c:smooth val="0"/>
          <c:extLst>
            <c:ext xmlns:c16="http://schemas.microsoft.com/office/drawing/2014/chart" uri="{C3380CC4-5D6E-409C-BE32-E72D297353CC}">
              <c16:uniqueId val="{00000001-1575-4D41-A4DD-8CE079255A5F}"/>
            </c:ext>
          </c:extLst>
        </c:ser>
        <c:ser>
          <c:idx val="3"/>
          <c:order val="3"/>
          <c:tx>
            <c:strRef>
              <c:f>GRAPHS!$D$9</c:f>
              <c:strCache>
                <c:ptCount val="1"/>
                <c:pt idx="0">
                  <c:v>NGO Services</c:v>
                </c:pt>
              </c:strCache>
            </c:strRef>
          </c:tx>
          <c:spPr>
            <a:ln w="28575" cap="rnd">
              <a:solidFill>
                <a:schemeClr val="accent4"/>
              </a:solidFill>
              <a:round/>
            </a:ln>
            <a:effectLst/>
          </c:spPr>
          <c:marker>
            <c:symbol val="none"/>
          </c:marker>
          <c:cat>
            <c:strRef>
              <c:f>GRAPHS!$A$10:$A$33</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GRAPHS!$D$10:$D$33</c:f>
              <c:numCache>
                <c:formatCode>General</c:formatCode>
                <c:ptCount val="24"/>
                <c:pt idx="0">
                  <c:v>44</c:v>
                </c:pt>
                <c:pt idx="1">
                  <c:v>124</c:v>
                </c:pt>
                <c:pt idx="2">
                  <c:v>124</c:v>
                </c:pt>
                <c:pt idx="3">
                  <c:v>80</c:v>
                </c:pt>
                <c:pt idx="4">
                  <c:v>127</c:v>
                </c:pt>
                <c:pt idx="5">
                  <c:v>122</c:v>
                </c:pt>
                <c:pt idx="6">
                  <c:v>153</c:v>
                </c:pt>
                <c:pt idx="7">
                  <c:v>104</c:v>
                </c:pt>
                <c:pt idx="8">
                  <c:v>113</c:v>
                </c:pt>
                <c:pt idx="9">
                  <c:v>123</c:v>
                </c:pt>
                <c:pt idx="10">
                  <c:v>130</c:v>
                </c:pt>
                <c:pt idx="11">
                  <c:v>110</c:v>
                </c:pt>
                <c:pt idx="12">
                  <c:v>109</c:v>
                </c:pt>
                <c:pt idx="13">
                  <c:v>157</c:v>
                </c:pt>
                <c:pt idx="14">
                  <c:v>134</c:v>
                </c:pt>
                <c:pt idx="15">
                  <c:v>111</c:v>
                </c:pt>
                <c:pt idx="16">
                  <c:v>90</c:v>
                </c:pt>
                <c:pt idx="17">
                  <c:v>98</c:v>
                </c:pt>
                <c:pt idx="18">
                  <c:v>119</c:v>
                </c:pt>
                <c:pt idx="19">
                  <c:v>93</c:v>
                </c:pt>
                <c:pt idx="20">
                  <c:v>63</c:v>
                </c:pt>
                <c:pt idx="21">
                  <c:v>108</c:v>
                </c:pt>
                <c:pt idx="22">
                  <c:v>113</c:v>
                </c:pt>
                <c:pt idx="23">
                  <c:v>110</c:v>
                </c:pt>
              </c:numCache>
            </c:numRef>
          </c:val>
          <c:smooth val="0"/>
          <c:extLst>
            <c:ext xmlns:c16="http://schemas.microsoft.com/office/drawing/2014/chart" uri="{C3380CC4-5D6E-409C-BE32-E72D297353CC}">
              <c16:uniqueId val="{00000002-1575-4D41-A4DD-8CE079255A5F}"/>
            </c:ext>
          </c:extLst>
        </c:ser>
        <c:dLbls>
          <c:showLegendKey val="0"/>
          <c:showVal val="0"/>
          <c:showCatName val="0"/>
          <c:showSerName val="0"/>
          <c:showPercent val="0"/>
          <c:showBubbleSize val="0"/>
        </c:dLbls>
        <c:smooth val="0"/>
        <c:axId val="511556216"/>
        <c:axId val="511552608"/>
        <c:extLst>
          <c:ext xmlns:c15="http://schemas.microsoft.com/office/drawing/2012/chart" uri="{02D57815-91ED-43cb-92C2-25804820EDAC}">
            <c15:filteredLineSeries>
              <c15:ser>
                <c:idx val="0"/>
                <c:order val="0"/>
                <c:tx>
                  <c:strRef>
                    <c:extLst>
                      <c:ext uri="{02D57815-91ED-43cb-92C2-25804820EDAC}">
                        <c15:formulaRef>
                          <c15:sqref>GRAPHS!$A$9</c15:sqref>
                        </c15:formulaRef>
                      </c:ext>
                    </c:extLst>
                    <c:strCache>
                      <c:ptCount val="1"/>
                      <c:pt idx="0">
                        <c:v>Calendar Year</c:v>
                      </c:pt>
                    </c:strCache>
                  </c:strRef>
                </c:tx>
                <c:spPr>
                  <a:ln w="28575" cap="rnd">
                    <a:solidFill>
                      <a:schemeClr val="accent1"/>
                    </a:solidFill>
                    <a:round/>
                  </a:ln>
                  <a:effectLst/>
                </c:spPr>
                <c:marker>
                  <c:symbol val="none"/>
                </c:marker>
                <c:cat>
                  <c:strRef>
                    <c:extLst>
                      <c:ext uri="{02D57815-91ED-43cb-92C2-25804820EDAC}">
                        <c15:formulaRef>
                          <c15:sqref>GRAPHS!$A$10:$A$33</c15:sqref>
                        </c15:formulaRef>
                      </c:ext>
                    </c:extLst>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extLst>
                      <c:ext uri="{02D57815-91ED-43cb-92C2-25804820EDAC}">
                        <c15:formulaRef>
                          <c15:sqref>GRAPHS!$A$10:$A$15</c15:sqref>
                        </c15:formulaRef>
                      </c:ext>
                    </c:extLst>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3-1575-4D41-A4DD-8CE079255A5F}"/>
                  </c:ext>
                </c:extLst>
              </c15:ser>
            </c15:filteredLineSeries>
          </c:ext>
        </c:extLst>
      </c:lineChart>
      <c:catAx>
        <c:axId val="51155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552608"/>
        <c:crosses val="autoZero"/>
        <c:auto val="1"/>
        <c:lblAlgn val="ctr"/>
        <c:lblOffset val="100"/>
        <c:noMultiLvlLbl val="0"/>
      </c:catAx>
      <c:valAx>
        <c:axId val="51155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55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Referrals to AOD teams by referral source</a:t>
            </a:r>
          </a:p>
          <a:p>
            <a:pPr>
              <a:defRPr sz="1000"/>
            </a:pPr>
            <a:endParaRPr lang="en-US" sz="1000"/>
          </a:p>
        </c:rich>
      </c:tx>
      <c:layout>
        <c:manualLayout>
          <c:xMode val="edge"/>
          <c:yMode val="edge"/>
          <c:x val="0.37139122440203448"/>
          <c:y val="2.283104612392655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49839923855672E-2"/>
          <c:y val="7.6252565810369433E-2"/>
          <c:w val="0.9448495861094286"/>
          <c:h val="0.59325328162998292"/>
        </c:manualLayout>
      </c:layout>
      <c:lineChart>
        <c:grouping val="standard"/>
        <c:varyColors val="0"/>
        <c:ser>
          <c:idx val="0"/>
          <c:order val="0"/>
          <c:tx>
            <c:strRef>
              <c:f>GRAPH!$A$31</c:f>
              <c:strCache>
                <c:ptCount val="1"/>
                <c:pt idx="0">
                  <c:v>Self or relative referral</c:v>
                </c:pt>
              </c:strCache>
            </c:strRef>
          </c:tx>
          <c:spPr>
            <a:ln w="38100" cap="rnd">
              <a:solidFill>
                <a:schemeClr val="accent1"/>
              </a:solidFill>
              <a:round/>
            </a:ln>
            <a:effectLst/>
          </c:spPr>
          <c:marker>
            <c:symbol val="none"/>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GRAPH!$B$31:$Y$31</c:f>
              <c:numCache>
                <c:formatCode>0%</c:formatCode>
                <c:ptCount val="24"/>
                <c:pt idx="0">
                  <c:v>0.39280527315383756</c:v>
                </c:pt>
                <c:pt idx="1">
                  <c:v>0.36338278931750739</c:v>
                </c:pt>
                <c:pt idx="2">
                  <c:v>0.37847766193074389</c:v>
                </c:pt>
                <c:pt idx="3">
                  <c:v>0.36930010604453872</c:v>
                </c:pt>
                <c:pt idx="4">
                  <c:v>0.38759561939353915</c:v>
                </c:pt>
                <c:pt idx="5">
                  <c:v>0.36157250715959388</c:v>
                </c:pt>
                <c:pt idx="6">
                  <c:v>0.35023380444491148</c:v>
                </c:pt>
                <c:pt idx="7">
                  <c:v>0.33790352735884333</c:v>
                </c:pt>
                <c:pt idx="8">
                  <c:v>0.35093271152564959</c:v>
                </c:pt>
                <c:pt idx="9">
                  <c:v>0.34644820523876252</c:v>
                </c:pt>
                <c:pt idx="10">
                  <c:v>0.35214692188308327</c:v>
                </c:pt>
                <c:pt idx="11">
                  <c:v>0.34005225830533781</c:v>
                </c:pt>
                <c:pt idx="12">
                  <c:v>0.33922549766126403</c:v>
                </c:pt>
                <c:pt idx="13">
                  <c:v>0.33443956749812653</c:v>
                </c:pt>
                <c:pt idx="14">
                  <c:v>0.3327034067112723</c:v>
                </c:pt>
                <c:pt idx="15">
                  <c:v>0.31923827547459932</c:v>
                </c:pt>
                <c:pt idx="16">
                  <c:v>0.34257285003553661</c:v>
                </c:pt>
                <c:pt idx="17">
                  <c:v>0.32418096723868955</c:v>
                </c:pt>
                <c:pt idx="18">
                  <c:v>0.33219398622876106</c:v>
                </c:pt>
                <c:pt idx="19">
                  <c:v>0.32237798848234539</c:v>
                </c:pt>
                <c:pt idx="20">
                  <c:v>0.33309892170651667</c:v>
                </c:pt>
                <c:pt idx="21">
                  <c:v>0.31845520734409621</c:v>
                </c:pt>
                <c:pt idx="22">
                  <c:v>0.32164112287354507</c:v>
                </c:pt>
                <c:pt idx="23">
                  <c:v>0.31937139994991237</c:v>
                </c:pt>
              </c:numCache>
            </c:numRef>
          </c:val>
          <c:smooth val="0"/>
          <c:extLst>
            <c:ext xmlns:c16="http://schemas.microsoft.com/office/drawing/2014/chart" uri="{C3380CC4-5D6E-409C-BE32-E72D297353CC}">
              <c16:uniqueId val="{00000000-F446-45D4-8090-D60D10E7EDD9}"/>
            </c:ext>
          </c:extLst>
        </c:ser>
        <c:ser>
          <c:idx val="1"/>
          <c:order val="1"/>
          <c:tx>
            <c:strRef>
              <c:f>GRAPH!$A$32</c:f>
              <c:strCache>
                <c:ptCount val="1"/>
                <c:pt idx="0">
                  <c:v>Justice (Courts)</c:v>
                </c:pt>
              </c:strCache>
            </c:strRef>
          </c:tx>
          <c:spPr>
            <a:ln w="38100" cap="rnd">
              <a:solidFill>
                <a:schemeClr val="accent2"/>
              </a:solidFill>
              <a:round/>
            </a:ln>
            <a:effectLst/>
          </c:spPr>
          <c:marker>
            <c:symbol val="none"/>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GRAPH!$B$32:$Y$32</c:f>
              <c:numCache>
                <c:formatCode>0%</c:formatCode>
                <c:ptCount val="24"/>
                <c:pt idx="0">
                  <c:v>0.22204222991844486</c:v>
                </c:pt>
                <c:pt idx="1">
                  <c:v>0.22682492581602373</c:v>
                </c:pt>
                <c:pt idx="2">
                  <c:v>0.22737831559613203</c:v>
                </c:pt>
                <c:pt idx="3">
                  <c:v>0.21845174973488865</c:v>
                </c:pt>
                <c:pt idx="4">
                  <c:v>0.21264652468218589</c:v>
                </c:pt>
                <c:pt idx="5">
                  <c:v>0.22910700338453527</c:v>
                </c:pt>
                <c:pt idx="6">
                  <c:v>0.23007408185782588</c:v>
                </c:pt>
                <c:pt idx="7">
                  <c:v>0.22335784619219742</c:v>
                </c:pt>
                <c:pt idx="8">
                  <c:v>0.23451032644903397</c:v>
                </c:pt>
                <c:pt idx="9">
                  <c:v>0.23569041716072006</c:v>
                </c:pt>
                <c:pt idx="10">
                  <c:v>0.23016037247801346</c:v>
                </c:pt>
                <c:pt idx="11">
                  <c:v>0.23248724648500685</c:v>
                </c:pt>
                <c:pt idx="12">
                  <c:v>0.24915696725769607</c:v>
                </c:pt>
                <c:pt idx="13">
                  <c:v>0.24156942511508403</c:v>
                </c:pt>
                <c:pt idx="14">
                  <c:v>0.24597783339292098</c:v>
                </c:pt>
                <c:pt idx="15">
                  <c:v>0.25530782423561416</c:v>
                </c:pt>
                <c:pt idx="16">
                  <c:v>0.23858728336340276</c:v>
                </c:pt>
                <c:pt idx="17">
                  <c:v>0.23671346853874156</c:v>
                </c:pt>
                <c:pt idx="18">
                  <c:v>0.24302769108832417</c:v>
                </c:pt>
                <c:pt idx="19">
                  <c:v>0.24954918271188412</c:v>
                </c:pt>
                <c:pt idx="20">
                  <c:v>0.24496015002344115</c:v>
                </c:pt>
                <c:pt idx="21">
                  <c:v>0.24161126938904717</c:v>
                </c:pt>
                <c:pt idx="22">
                  <c:v>0.25843998525306788</c:v>
                </c:pt>
                <c:pt idx="23">
                  <c:v>0.25162784873528676</c:v>
                </c:pt>
              </c:numCache>
            </c:numRef>
          </c:val>
          <c:smooth val="0"/>
          <c:extLst>
            <c:ext xmlns:c16="http://schemas.microsoft.com/office/drawing/2014/chart" uri="{C3380CC4-5D6E-409C-BE32-E72D297353CC}">
              <c16:uniqueId val="{00000001-F446-45D4-8090-D60D10E7EDD9}"/>
            </c:ext>
          </c:extLst>
        </c:ser>
        <c:ser>
          <c:idx val="2"/>
          <c:order val="2"/>
          <c:tx>
            <c:strRef>
              <c:f>GRAPH!$A$33</c:f>
              <c:strCache>
                <c:ptCount val="1"/>
                <c:pt idx="0">
                  <c:v>Other AOD Teams</c:v>
                </c:pt>
              </c:strCache>
            </c:strRef>
          </c:tx>
          <c:spPr>
            <a:ln w="38100" cap="rnd">
              <a:solidFill>
                <a:schemeClr val="accent3"/>
              </a:solidFill>
              <a:round/>
            </a:ln>
            <a:effectLst/>
          </c:spPr>
          <c:marker>
            <c:symbol val="none"/>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GRAPH!$B$33:$Y$33</c:f>
              <c:numCache>
                <c:formatCode>0%</c:formatCode>
                <c:ptCount val="24"/>
                <c:pt idx="0">
                  <c:v>0.12417606971288124</c:v>
                </c:pt>
                <c:pt idx="1">
                  <c:v>0.12474777448071217</c:v>
                </c:pt>
                <c:pt idx="2">
                  <c:v>0.1337583058721841</c:v>
                </c:pt>
                <c:pt idx="3">
                  <c:v>0.14720307529162249</c:v>
                </c:pt>
                <c:pt idx="4">
                  <c:v>0.13163832480325793</c:v>
                </c:pt>
                <c:pt idx="5">
                  <c:v>0.12632127050247333</c:v>
                </c:pt>
                <c:pt idx="6">
                  <c:v>0.15042294961382863</c:v>
                </c:pt>
                <c:pt idx="7">
                  <c:v>0.16215879346877726</c:v>
                </c:pt>
                <c:pt idx="8">
                  <c:v>0.14179435931601156</c:v>
                </c:pt>
                <c:pt idx="9">
                  <c:v>0.14239517085264633</c:v>
                </c:pt>
                <c:pt idx="10">
                  <c:v>0.15178479048111743</c:v>
                </c:pt>
                <c:pt idx="11">
                  <c:v>0.16436481274107254</c:v>
                </c:pt>
                <c:pt idx="12">
                  <c:v>0.14462090721200913</c:v>
                </c:pt>
                <c:pt idx="13">
                  <c:v>0.14345359169253827</c:v>
                </c:pt>
                <c:pt idx="14">
                  <c:v>0.14290821798866132</c:v>
                </c:pt>
                <c:pt idx="15">
                  <c:v>0.15707611331243718</c:v>
                </c:pt>
                <c:pt idx="16">
                  <c:v>0.1506205237548521</c:v>
                </c:pt>
                <c:pt idx="17">
                  <c:v>0.14446177847113884</c:v>
                </c:pt>
                <c:pt idx="18">
                  <c:v>0.15083964927923912</c:v>
                </c:pt>
                <c:pt idx="19">
                  <c:v>0.1571170961549648</c:v>
                </c:pt>
                <c:pt idx="20">
                  <c:v>0.14885138302859821</c:v>
                </c:pt>
                <c:pt idx="21">
                  <c:v>0.16049382716049382</c:v>
                </c:pt>
                <c:pt idx="22">
                  <c:v>0.16184757992310528</c:v>
                </c:pt>
                <c:pt idx="23">
                  <c:v>0.17468069120961682</c:v>
                </c:pt>
              </c:numCache>
            </c:numRef>
          </c:val>
          <c:smooth val="0"/>
          <c:extLst>
            <c:ext xmlns:c16="http://schemas.microsoft.com/office/drawing/2014/chart" uri="{C3380CC4-5D6E-409C-BE32-E72D297353CC}">
              <c16:uniqueId val="{00000002-F446-45D4-8090-D60D10E7EDD9}"/>
            </c:ext>
          </c:extLst>
        </c:ser>
        <c:ser>
          <c:idx val="3"/>
          <c:order val="3"/>
          <c:tx>
            <c:strRef>
              <c:f>GRAPH!$A$34</c:f>
              <c:strCache>
                <c:ptCount val="1"/>
                <c:pt idx="0">
                  <c:v>General practitioner</c:v>
                </c:pt>
              </c:strCache>
            </c:strRef>
          </c:tx>
          <c:spPr>
            <a:ln w="38100" cap="rnd">
              <a:solidFill>
                <a:schemeClr val="accent4"/>
              </a:solidFill>
              <a:round/>
            </a:ln>
            <a:effectLst/>
          </c:spPr>
          <c:marker>
            <c:symbol val="none"/>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GRAPH!$B$34:$Y$34</c:f>
              <c:numCache>
                <c:formatCode>0%</c:formatCode>
                <c:ptCount val="24"/>
                <c:pt idx="0">
                  <c:v>4.8430342978438165E-2</c:v>
                </c:pt>
                <c:pt idx="1">
                  <c:v>4.5578635014836798E-2</c:v>
                </c:pt>
                <c:pt idx="2">
                  <c:v>4.2083085732807522E-2</c:v>
                </c:pt>
                <c:pt idx="3">
                  <c:v>4.6858430540827146E-2</c:v>
                </c:pt>
                <c:pt idx="4">
                  <c:v>3.5936382147377689E-2</c:v>
                </c:pt>
                <c:pt idx="5">
                  <c:v>4.5769330903410572E-2</c:v>
                </c:pt>
                <c:pt idx="6">
                  <c:v>5.0859034308832027E-2</c:v>
                </c:pt>
                <c:pt idx="7">
                  <c:v>5.3533590926087497E-2</c:v>
                </c:pt>
                <c:pt idx="8">
                  <c:v>5.7350655118809685E-2</c:v>
                </c:pt>
                <c:pt idx="9">
                  <c:v>5.395063059178614E-2</c:v>
                </c:pt>
                <c:pt idx="10">
                  <c:v>5.4733574754267975E-2</c:v>
                </c:pt>
                <c:pt idx="11">
                  <c:v>5.8292895358964786E-2</c:v>
                </c:pt>
                <c:pt idx="12">
                  <c:v>5.7978896986837815E-2</c:v>
                </c:pt>
                <c:pt idx="13">
                  <c:v>6.2038325661064125E-2</c:v>
                </c:pt>
                <c:pt idx="14">
                  <c:v>7.1556259257367583E-2</c:v>
                </c:pt>
                <c:pt idx="15">
                  <c:v>6.9312200603229054E-2</c:v>
                </c:pt>
                <c:pt idx="16">
                  <c:v>6.6808813077469789E-2</c:v>
                </c:pt>
                <c:pt idx="17">
                  <c:v>7.1606864274570983E-2</c:v>
                </c:pt>
                <c:pt idx="18">
                  <c:v>6.5636300589488286E-2</c:v>
                </c:pt>
                <c:pt idx="19">
                  <c:v>8.3241230876621483E-2</c:v>
                </c:pt>
                <c:pt idx="20">
                  <c:v>7.1495546179090486E-2</c:v>
                </c:pt>
                <c:pt idx="21">
                  <c:v>6.3311174422285538E-2</c:v>
                </c:pt>
                <c:pt idx="22">
                  <c:v>6.1831779638700166E-2</c:v>
                </c:pt>
                <c:pt idx="23">
                  <c:v>6.4800901577761083E-2</c:v>
                </c:pt>
              </c:numCache>
            </c:numRef>
          </c:val>
          <c:smooth val="0"/>
          <c:extLst>
            <c:ext xmlns:c16="http://schemas.microsoft.com/office/drawing/2014/chart" uri="{C3380CC4-5D6E-409C-BE32-E72D297353CC}">
              <c16:uniqueId val="{00000003-F446-45D4-8090-D60D10E7EDD9}"/>
            </c:ext>
          </c:extLst>
        </c:ser>
        <c:ser>
          <c:idx val="4"/>
          <c:order val="4"/>
          <c:tx>
            <c:strRef>
              <c:f>GRAPH!$A$35</c:f>
              <c:strCache>
                <c:ptCount val="1"/>
                <c:pt idx="0">
                  <c:v>Other</c:v>
                </c:pt>
              </c:strCache>
            </c:strRef>
          </c:tx>
          <c:spPr>
            <a:ln w="15875" cap="rnd">
              <a:solidFill>
                <a:schemeClr val="bg1">
                  <a:lumMod val="85000"/>
                </a:schemeClr>
              </a:solidFill>
              <a:round/>
            </a:ln>
            <a:effectLst/>
          </c:spPr>
          <c:marker>
            <c:symbol val="square"/>
            <c:size val="4"/>
            <c:spPr>
              <a:solidFill>
                <a:schemeClr val="accent5"/>
              </a:solidFill>
              <a:ln w="9525">
                <a:solidFill>
                  <a:schemeClr val="accent5"/>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GRAPH!$B$35:$Y$35</c:f>
              <c:numCache>
                <c:formatCode>0%</c:formatCode>
                <c:ptCount val="24"/>
                <c:pt idx="0">
                  <c:v>6.155736789185566E-2</c:v>
                </c:pt>
                <c:pt idx="1">
                  <c:v>4.5459940652818991E-2</c:v>
                </c:pt>
                <c:pt idx="2">
                  <c:v>4.5864621036140675E-2</c:v>
                </c:pt>
                <c:pt idx="3">
                  <c:v>3.4597030752916223E-2</c:v>
                </c:pt>
                <c:pt idx="4">
                  <c:v>3.0873369654944693E-2</c:v>
                </c:pt>
                <c:pt idx="5">
                  <c:v>3.85837021608956E-2</c:v>
                </c:pt>
                <c:pt idx="6">
                  <c:v>2.8739557610466034E-2</c:v>
                </c:pt>
                <c:pt idx="7">
                  <c:v>3.9137479745731021E-2</c:v>
                </c:pt>
                <c:pt idx="8">
                  <c:v>3.0868310015545193E-2</c:v>
                </c:pt>
                <c:pt idx="9">
                  <c:v>3.2930904387194135E-2</c:v>
                </c:pt>
                <c:pt idx="10">
                  <c:v>3.6730470770822553E-2</c:v>
                </c:pt>
                <c:pt idx="11">
                  <c:v>3.7016299614283939E-2</c:v>
                </c:pt>
                <c:pt idx="12">
                  <c:v>3.4428369411508758E-2</c:v>
                </c:pt>
                <c:pt idx="13">
                  <c:v>4.014559469007601E-2</c:v>
                </c:pt>
                <c:pt idx="14">
                  <c:v>4.2852035343991013E-2</c:v>
                </c:pt>
                <c:pt idx="15">
                  <c:v>3.7258264829380806E-2</c:v>
                </c:pt>
                <c:pt idx="16">
                  <c:v>3.8488874309769834E-2</c:v>
                </c:pt>
                <c:pt idx="17">
                  <c:v>3.9677587103484138E-2</c:v>
                </c:pt>
                <c:pt idx="18">
                  <c:v>3.536929707237331E-2</c:v>
                </c:pt>
                <c:pt idx="19">
                  <c:v>3.3796754115525567E-2</c:v>
                </c:pt>
                <c:pt idx="20">
                  <c:v>3.4927332395686829E-2</c:v>
                </c:pt>
                <c:pt idx="21">
                  <c:v>2.9756251978474202E-2</c:v>
                </c:pt>
                <c:pt idx="22">
                  <c:v>2.8756517617317113E-2</c:v>
                </c:pt>
                <c:pt idx="23">
                  <c:v>2.8988229401452542E-2</c:v>
                </c:pt>
              </c:numCache>
            </c:numRef>
          </c:val>
          <c:smooth val="0"/>
          <c:extLst>
            <c:ext xmlns:c16="http://schemas.microsoft.com/office/drawing/2014/chart" uri="{C3380CC4-5D6E-409C-BE32-E72D297353CC}">
              <c16:uniqueId val="{00000004-F446-45D4-8090-D60D10E7EDD9}"/>
            </c:ext>
          </c:extLst>
        </c:ser>
        <c:ser>
          <c:idx val="5"/>
          <c:order val="5"/>
          <c:tx>
            <c:strRef>
              <c:f>GRAPH!$A$36</c:f>
              <c:strCache>
                <c:ptCount val="1"/>
                <c:pt idx="0">
                  <c:v>Adult community mental health services</c:v>
                </c:pt>
              </c:strCache>
            </c:strRef>
          </c:tx>
          <c:spPr>
            <a:ln w="15875" cap="rnd">
              <a:solidFill>
                <a:schemeClr val="bg1">
                  <a:lumMod val="85000"/>
                </a:schemeClr>
              </a:solidFill>
              <a:round/>
            </a:ln>
            <a:effectLst/>
          </c:spPr>
          <c:marker>
            <c:symbol val="square"/>
            <c:size val="3"/>
            <c:spPr>
              <a:solidFill>
                <a:schemeClr val="accent6"/>
              </a:solidFill>
              <a:ln w="9525">
                <a:solidFill>
                  <a:schemeClr val="accent6"/>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GRAPH!$B$36:$Y$36</c:f>
              <c:numCache>
                <c:formatCode>0%</c:formatCode>
                <c:ptCount val="24"/>
                <c:pt idx="0">
                  <c:v>3.0946262987375711E-2</c:v>
                </c:pt>
                <c:pt idx="1">
                  <c:v>3.8694362017804157E-2</c:v>
                </c:pt>
                <c:pt idx="2">
                  <c:v>3.219707201123656E-2</c:v>
                </c:pt>
                <c:pt idx="3">
                  <c:v>3.3470307529162246E-2</c:v>
                </c:pt>
                <c:pt idx="4">
                  <c:v>3.3680039623576026E-2</c:v>
                </c:pt>
                <c:pt idx="5">
                  <c:v>3.7958864878937779E-2</c:v>
                </c:pt>
                <c:pt idx="6">
                  <c:v>3.8827299952713709E-2</c:v>
                </c:pt>
                <c:pt idx="7">
                  <c:v>3.7330175744733893E-2</c:v>
                </c:pt>
                <c:pt idx="8">
                  <c:v>3.5864978902953586E-2</c:v>
                </c:pt>
                <c:pt idx="9">
                  <c:v>3.8536164708418669E-2</c:v>
                </c:pt>
                <c:pt idx="10">
                  <c:v>3.5023279875840661E-2</c:v>
                </c:pt>
                <c:pt idx="11">
                  <c:v>4.0189125295508277E-2</c:v>
                </c:pt>
                <c:pt idx="12">
                  <c:v>3.6386380942021103E-2</c:v>
                </c:pt>
                <c:pt idx="13">
                  <c:v>3.0082432287763621E-2</c:v>
                </c:pt>
                <c:pt idx="14">
                  <c:v>2.722304509934113E-2</c:v>
                </c:pt>
                <c:pt idx="15">
                  <c:v>3.3236737831923831E-2</c:v>
                </c:pt>
                <c:pt idx="16">
                  <c:v>3.2857689574107486E-2</c:v>
                </c:pt>
                <c:pt idx="17">
                  <c:v>3.2553302132085286E-2</c:v>
                </c:pt>
                <c:pt idx="18">
                  <c:v>2.7195720017833259E-2</c:v>
                </c:pt>
                <c:pt idx="19">
                  <c:v>3.0597405619219357E-2</c:v>
                </c:pt>
                <c:pt idx="20">
                  <c:v>2.6664322550398498E-2</c:v>
                </c:pt>
                <c:pt idx="21">
                  <c:v>3.2763532763532763E-2</c:v>
                </c:pt>
                <c:pt idx="22">
                  <c:v>3.0125875599094118E-2</c:v>
                </c:pt>
                <c:pt idx="23">
                  <c:v>2.7360380666165789E-2</c:v>
                </c:pt>
              </c:numCache>
            </c:numRef>
          </c:val>
          <c:smooth val="0"/>
          <c:extLst>
            <c:ext xmlns:c16="http://schemas.microsoft.com/office/drawing/2014/chart" uri="{C3380CC4-5D6E-409C-BE32-E72D297353CC}">
              <c16:uniqueId val="{00000005-F446-45D4-8090-D60D10E7EDD9}"/>
            </c:ext>
          </c:extLst>
        </c:ser>
        <c:ser>
          <c:idx val="6"/>
          <c:order val="6"/>
          <c:tx>
            <c:strRef>
              <c:f>GRAPH!$A$37</c:f>
              <c:strCache>
                <c:ptCount val="1"/>
                <c:pt idx="0">
                  <c:v>Education Sector</c:v>
                </c:pt>
              </c:strCache>
            </c:strRef>
          </c:tx>
          <c:spPr>
            <a:ln w="15875" cap="rnd">
              <a:solidFill>
                <a:schemeClr val="bg1">
                  <a:lumMod val="85000"/>
                </a:schemeClr>
              </a:solidFill>
              <a:round/>
            </a:ln>
            <a:effectLst/>
          </c:spPr>
          <c:marker>
            <c:symbol val="square"/>
            <c:size val="3"/>
            <c:spPr>
              <a:solidFill>
                <a:schemeClr val="accent1">
                  <a:lumMod val="60000"/>
                </a:schemeClr>
              </a:solidFill>
              <a:ln w="9525">
                <a:solidFill>
                  <a:schemeClr val="accent1">
                    <a:lumMod val="6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GRAPH!$B$37:$Y$37</c:f>
              <c:numCache>
                <c:formatCode>0%</c:formatCode>
                <c:ptCount val="24"/>
                <c:pt idx="0">
                  <c:v>3.3348229248128698E-2</c:v>
                </c:pt>
                <c:pt idx="1">
                  <c:v>5.6795252225519288E-2</c:v>
                </c:pt>
                <c:pt idx="2">
                  <c:v>3.0900545621522339E-2</c:v>
                </c:pt>
                <c:pt idx="3">
                  <c:v>2.6179745493107105E-2</c:v>
                </c:pt>
                <c:pt idx="4">
                  <c:v>3.7917560948764514E-2</c:v>
                </c:pt>
                <c:pt idx="5">
                  <c:v>4.4936214527466808E-2</c:v>
                </c:pt>
                <c:pt idx="6">
                  <c:v>2.8949718909262859E-2</c:v>
                </c:pt>
                <c:pt idx="7">
                  <c:v>2.106443973575969E-2</c:v>
                </c:pt>
                <c:pt idx="8">
                  <c:v>3.6864312680435267E-2</c:v>
                </c:pt>
                <c:pt idx="9">
                  <c:v>4.3818044626495634E-2</c:v>
                </c:pt>
                <c:pt idx="10">
                  <c:v>3.6782203828246249E-2</c:v>
                </c:pt>
                <c:pt idx="11">
                  <c:v>2.0592260793828542E-2</c:v>
                </c:pt>
                <c:pt idx="12">
                  <c:v>3.2851082345262697E-2</c:v>
                </c:pt>
                <c:pt idx="13">
                  <c:v>3.9342682796274488E-2</c:v>
                </c:pt>
                <c:pt idx="14">
                  <c:v>3.171765667296593E-2</c:v>
                </c:pt>
                <c:pt idx="15">
                  <c:v>1.8569992311786621E-2</c:v>
                </c:pt>
                <c:pt idx="16">
                  <c:v>2.646110108796676E-2</c:v>
                </c:pt>
                <c:pt idx="17">
                  <c:v>4.0873634945397815E-2</c:v>
                </c:pt>
                <c:pt idx="18">
                  <c:v>3.3982265814633178E-2</c:v>
                </c:pt>
                <c:pt idx="19">
                  <c:v>1.3495433657146181E-2</c:v>
                </c:pt>
                <c:pt idx="20">
                  <c:v>3.1469760900140649E-2</c:v>
                </c:pt>
                <c:pt idx="21">
                  <c:v>2.1446660335549223E-2</c:v>
                </c:pt>
                <c:pt idx="22">
                  <c:v>2.7913835782377418E-2</c:v>
                </c:pt>
                <c:pt idx="23">
                  <c:v>1.7468069120961684E-2</c:v>
                </c:pt>
              </c:numCache>
            </c:numRef>
          </c:val>
          <c:smooth val="0"/>
          <c:extLst>
            <c:ext xmlns:c16="http://schemas.microsoft.com/office/drawing/2014/chart" uri="{C3380CC4-5D6E-409C-BE32-E72D297353CC}">
              <c16:uniqueId val="{00000006-F446-45D4-8090-D60D10E7EDD9}"/>
            </c:ext>
          </c:extLst>
        </c:ser>
        <c:ser>
          <c:idx val="7"/>
          <c:order val="7"/>
          <c:tx>
            <c:strRef>
              <c:f>GRAPH!$A$38</c:f>
              <c:strCache>
                <c:ptCount val="1"/>
                <c:pt idx="0">
                  <c:v>Police</c:v>
                </c:pt>
              </c:strCache>
            </c:strRef>
          </c:tx>
          <c:spPr>
            <a:ln w="38100" cap="rnd">
              <a:solidFill>
                <a:schemeClr val="accent2">
                  <a:lumMod val="60000"/>
                </a:schemeClr>
              </a:solidFill>
              <a:round/>
            </a:ln>
            <a:effectLst/>
          </c:spPr>
          <c:marker>
            <c:symbol val="none"/>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GRAPH!$B$38:$Y$38</c:f>
              <c:numCache>
                <c:formatCode>0%</c:formatCode>
                <c:ptCount val="24"/>
                <c:pt idx="0">
                  <c:v>4.5246341190928385E-3</c:v>
                </c:pt>
                <c:pt idx="1">
                  <c:v>1.1632047477744807E-2</c:v>
                </c:pt>
                <c:pt idx="2">
                  <c:v>1.3181351628761277E-2</c:v>
                </c:pt>
                <c:pt idx="3">
                  <c:v>2.1341463414634148E-2</c:v>
                </c:pt>
                <c:pt idx="4">
                  <c:v>1.650982334489021E-2</c:v>
                </c:pt>
                <c:pt idx="5">
                  <c:v>2.5774537880760218E-2</c:v>
                </c:pt>
                <c:pt idx="6">
                  <c:v>2.8109073714075554E-2</c:v>
                </c:pt>
                <c:pt idx="7">
                  <c:v>2.5489218496821637E-2</c:v>
                </c:pt>
                <c:pt idx="8">
                  <c:v>2.2485009993337773E-2</c:v>
                </c:pt>
                <c:pt idx="9">
                  <c:v>1.8971650317990731E-2</c:v>
                </c:pt>
                <c:pt idx="10">
                  <c:v>1.7175375064666321E-2</c:v>
                </c:pt>
                <c:pt idx="11">
                  <c:v>1.517979345526938E-2</c:v>
                </c:pt>
                <c:pt idx="12">
                  <c:v>1.9580115305123463E-2</c:v>
                </c:pt>
                <c:pt idx="13">
                  <c:v>2.7673696606359061E-2</c:v>
                </c:pt>
                <c:pt idx="14">
                  <c:v>2.1247254711680881E-2</c:v>
                </c:pt>
                <c:pt idx="15">
                  <c:v>2.1763557868590692E-2</c:v>
                </c:pt>
                <c:pt idx="16">
                  <c:v>1.7549614564539937E-2</c:v>
                </c:pt>
                <c:pt idx="17">
                  <c:v>2.1528861154446178E-2</c:v>
                </c:pt>
                <c:pt idx="18">
                  <c:v>2.417397334918512E-2</c:v>
                </c:pt>
                <c:pt idx="19">
                  <c:v>1.4426153219707987E-2</c:v>
                </c:pt>
                <c:pt idx="20">
                  <c:v>1.2951242381622128E-2</c:v>
                </c:pt>
                <c:pt idx="21">
                  <c:v>3.3713200379867046E-2</c:v>
                </c:pt>
                <c:pt idx="22">
                  <c:v>2.4490440827934903E-2</c:v>
                </c:pt>
                <c:pt idx="23">
                  <c:v>2.266466316053093E-2</c:v>
                </c:pt>
              </c:numCache>
            </c:numRef>
          </c:val>
          <c:smooth val="0"/>
          <c:extLst>
            <c:ext xmlns:c16="http://schemas.microsoft.com/office/drawing/2014/chart" uri="{C3380CC4-5D6E-409C-BE32-E72D297353CC}">
              <c16:uniqueId val="{00000007-F446-45D4-8090-D60D10E7EDD9}"/>
            </c:ext>
          </c:extLst>
        </c:ser>
        <c:ser>
          <c:idx val="8"/>
          <c:order val="8"/>
          <c:tx>
            <c:strRef>
              <c:f>GRAPH!$A$39</c:f>
              <c:strCache>
                <c:ptCount val="1"/>
                <c:pt idx="0">
                  <c:v>All Others</c:v>
                </c:pt>
              </c:strCache>
            </c:strRef>
          </c:tx>
          <c:spPr>
            <a:ln w="15875" cap="rnd">
              <a:solidFill>
                <a:schemeClr val="bg1">
                  <a:lumMod val="85000"/>
                </a:schemeClr>
              </a:solidFill>
              <a:round/>
            </a:ln>
            <a:effectLst/>
          </c:spPr>
          <c:marker>
            <c:symbol val="square"/>
            <c:size val="3"/>
            <c:spPr>
              <a:solidFill>
                <a:schemeClr val="accent3">
                  <a:lumMod val="60000"/>
                </a:schemeClr>
              </a:solidFill>
              <a:ln w="9525">
                <a:solidFill>
                  <a:schemeClr val="accent3">
                    <a:lumMod val="6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GRAPH!$B$39:$Y$39</c:f>
              <c:numCache>
                <c:formatCode>0%</c:formatCode>
                <c:ptCount val="24"/>
                <c:pt idx="0">
                  <c:v>1.3238744274382751E-2</c:v>
                </c:pt>
                <c:pt idx="1">
                  <c:v>1.3234421364985163E-2</c:v>
                </c:pt>
                <c:pt idx="2">
                  <c:v>1.3883636756523149E-2</c:v>
                </c:pt>
                <c:pt idx="3">
                  <c:v>1.504506892895016E-2</c:v>
                </c:pt>
                <c:pt idx="4">
                  <c:v>2.8782125364591932E-2</c:v>
                </c:pt>
                <c:pt idx="5">
                  <c:v>1.2288466545170528E-2</c:v>
                </c:pt>
                <c:pt idx="6">
                  <c:v>1.4973992539273893E-2</c:v>
                </c:pt>
                <c:pt idx="7">
                  <c:v>1.4333790352735885E-2</c:v>
                </c:pt>
                <c:pt idx="8">
                  <c:v>1.5711747723739729E-2</c:v>
                </c:pt>
                <c:pt idx="9">
                  <c:v>1.4013150803061335E-2</c:v>
                </c:pt>
                <c:pt idx="10">
                  <c:v>1.339886187273668E-2</c:v>
                </c:pt>
                <c:pt idx="11">
                  <c:v>1.5677491601343786E-2</c:v>
                </c:pt>
                <c:pt idx="12">
                  <c:v>1.4032415968671816E-2</c:v>
                </c:pt>
                <c:pt idx="13">
                  <c:v>1.4612996467187667E-2</c:v>
                </c:pt>
                <c:pt idx="14">
                  <c:v>1.6752643138056082E-2</c:v>
                </c:pt>
                <c:pt idx="15">
                  <c:v>1.7032349636288368E-2</c:v>
                </c:pt>
                <c:pt idx="16">
                  <c:v>1.4816029741402876E-2</c:v>
                </c:pt>
                <c:pt idx="17">
                  <c:v>1.4768590743629744E-2</c:v>
                </c:pt>
                <c:pt idx="18">
                  <c:v>1.3127260117897657E-2</c:v>
                </c:pt>
                <c:pt idx="19">
                  <c:v>1.3728113547786632E-2</c:v>
                </c:pt>
                <c:pt idx="20">
                  <c:v>1.3654477262072199E-2</c:v>
                </c:pt>
                <c:pt idx="21">
                  <c:v>1.4245014245014245E-2</c:v>
                </c:pt>
                <c:pt idx="22">
                  <c:v>1.0059514404592617E-2</c:v>
                </c:pt>
                <c:pt idx="23">
                  <c:v>1.0017530678687703E-2</c:v>
                </c:pt>
              </c:numCache>
            </c:numRef>
          </c:val>
          <c:smooth val="0"/>
          <c:extLst>
            <c:ext xmlns:c16="http://schemas.microsoft.com/office/drawing/2014/chart" uri="{C3380CC4-5D6E-409C-BE32-E72D297353CC}">
              <c16:uniqueId val="{00000008-F446-45D4-8090-D60D10E7EDD9}"/>
            </c:ext>
          </c:extLst>
        </c:ser>
        <c:ser>
          <c:idx val="9"/>
          <c:order val="9"/>
          <c:tx>
            <c:strRef>
              <c:f>GRAPH!$A$40</c:f>
              <c:strCache>
                <c:ptCount val="1"/>
                <c:pt idx="0">
                  <c:v>Unknown</c:v>
                </c:pt>
              </c:strCache>
            </c:strRef>
          </c:tx>
          <c:spPr>
            <a:ln w="15875" cap="rnd">
              <a:solidFill>
                <a:schemeClr val="bg1">
                  <a:lumMod val="85000"/>
                </a:schemeClr>
              </a:solidFill>
              <a:round/>
            </a:ln>
            <a:effectLst/>
          </c:spPr>
          <c:marker>
            <c:symbol val="square"/>
            <c:size val="3"/>
            <c:spPr>
              <a:solidFill>
                <a:schemeClr val="accent4">
                  <a:lumMod val="60000"/>
                </a:schemeClr>
              </a:solidFill>
              <a:ln w="9525">
                <a:solidFill>
                  <a:schemeClr val="accent4">
                    <a:lumMod val="6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GRAPH!$B$40:$Y$40</c:f>
              <c:numCache>
                <c:formatCode>0%</c:formatCode>
                <c:ptCount val="24"/>
                <c:pt idx="0">
                  <c:v>1.631102670092727E-2</c:v>
                </c:pt>
                <c:pt idx="1">
                  <c:v>1.9465875370919882E-2</c:v>
                </c:pt>
                <c:pt idx="2">
                  <c:v>1.9988115174760953E-2</c:v>
                </c:pt>
                <c:pt idx="3">
                  <c:v>2.2600742311770942E-2</c:v>
                </c:pt>
                <c:pt idx="4">
                  <c:v>2.7571404985966649E-2</c:v>
                </c:pt>
                <c:pt idx="5">
                  <c:v>2.4472793543348085E-2</c:v>
                </c:pt>
                <c:pt idx="6">
                  <c:v>2.5902380076708875E-2</c:v>
                </c:pt>
                <c:pt idx="7">
                  <c:v>2.2871743736756826E-2</c:v>
                </c:pt>
                <c:pt idx="8">
                  <c:v>1.7155229846768819E-2</c:v>
                </c:pt>
                <c:pt idx="9">
                  <c:v>1.8163199310121808E-2</c:v>
                </c:pt>
                <c:pt idx="10">
                  <c:v>1.4071391619244698E-2</c:v>
                </c:pt>
                <c:pt idx="11">
                  <c:v>1.188254323752644E-2</c:v>
                </c:pt>
                <c:pt idx="12">
                  <c:v>1.0769063417817904E-2</c:v>
                </c:pt>
                <c:pt idx="13">
                  <c:v>6.9585697462798413E-3</c:v>
                </c:pt>
                <c:pt idx="14">
                  <c:v>6.1290157822156393E-3</c:v>
                </c:pt>
                <c:pt idx="15">
                  <c:v>6.4462712165119168E-3</c:v>
                </c:pt>
                <c:pt idx="16">
                  <c:v>5.4124979498113828E-3</c:v>
                </c:pt>
                <c:pt idx="17">
                  <c:v>5.5642225689027562E-3</c:v>
                </c:pt>
                <c:pt idx="18">
                  <c:v>6.241640659830584E-3</c:v>
                </c:pt>
                <c:pt idx="19">
                  <c:v>6.107847129311849E-3</c:v>
                </c:pt>
                <c:pt idx="20">
                  <c:v>7.1495546179090484E-3</c:v>
                </c:pt>
                <c:pt idx="21">
                  <c:v>7.0433681544792657E-3</c:v>
                </c:pt>
                <c:pt idx="22">
                  <c:v>7.373466055722336E-3</c:v>
                </c:pt>
                <c:pt idx="23">
                  <c:v>8.9531680440771352E-3</c:v>
                </c:pt>
              </c:numCache>
            </c:numRef>
          </c:val>
          <c:smooth val="0"/>
          <c:extLst>
            <c:ext xmlns:c16="http://schemas.microsoft.com/office/drawing/2014/chart" uri="{C3380CC4-5D6E-409C-BE32-E72D297353CC}">
              <c16:uniqueId val="{00000009-F446-45D4-8090-D60D10E7EDD9}"/>
            </c:ext>
          </c:extLst>
        </c:ser>
        <c:ser>
          <c:idx val="10"/>
          <c:order val="10"/>
          <c:tx>
            <c:strRef>
              <c:f>GRAPH!$A$41</c:f>
              <c:strCache>
                <c:ptCount val="1"/>
                <c:pt idx="0">
                  <c:v>Hospital referral (non-psychiatric)</c:v>
                </c:pt>
              </c:strCache>
            </c:strRef>
          </c:tx>
          <c:spPr>
            <a:ln w="15875" cap="rnd">
              <a:solidFill>
                <a:schemeClr val="bg1">
                  <a:lumMod val="85000"/>
                </a:schemeClr>
              </a:solidFill>
              <a:round/>
            </a:ln>
            <a:effectLst/>
          </c:spPr>
          <c:marker>
            <c:symbol val="square"/>
            <c:size val="3"/>
            <c:spPr>
              <a:solidFill>
                <a:schemeClr val="accent5">
                  <a:lumMod val="60000"/>
                </a:schemeClr>
              </a:solidFill>
              <a:ln w="9525">
                <a:solidFill>
                  <a:schemeClr val="accent5">
                    <a:lumMod val="6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GRAPH!$B$41:$Y$41</c:f>
              <c:numCache>
                <c:formatCode>0%</c:formatCode>
                <c:ptCount val="24"/>
                <c:pt idx="0">
                  <c:v>1.1786392581834433E-2</c:v>
                </c:pt>
                <c:pt idx="1">
                  <c:v>1.0919881305637983E-2</c:v>
                </c:pt>
                <c:pt idx="2">
                  <c:v>9.3457943925233638E-3</c:v>
                </c:pt>
                <c:pt idx="3">
                  <c:v>1.1399787910922587E-2</c:v>
                </c:pt>
                <c:pt idx="4">
                  <c:v>1.1281712619008309E-2</c:v>
                </c:pt>
                <c:pt idx="5">
                  <c:v>8.6435824004165579E-3</c:v>
                </c:pt>
                <c:pt idx="6">
                  <c:v>9.6674197446540225E-3</c:v>
                </c:pt>
                <c:pt idx="7">
                  <c:v>1.240184469649757E-2</c:v>
                </c:pt>
                <c:pt idx="8">
                  <c:v>1.1547856984232734E-2</c:v>
                </c:pt>
                <c:pt idx="9">
                  <c:v>1.0509863102296001E-2</c:v>
                </c:pt>
                <c:pt idx="10">
                  <c:v>1.2105535437144335E-2</c:v>
                </c:pt>
                <c:pt idx="11">
                  <c:v>1.2069180042304343E-2</c:v>
                </c:pt>
                <c:pt idx="12">
                  <c:v>1.1802458392254977E-2</c:v>
                </c:pt>
                <c:pt idx="13">
                  <c:v>9.7955251043785468E-3</c:v>
                </c:pt>
                <c:pt idx="14">
                  <c:v>1.1951580775320497E-2</c:v>
                </c:pt>
                <c:pt idx="15">
                  <c:v>1.1354899757525579E-2</c:v>
                </c:pt>
                <c:pt idx="16">
                  <c:v>1.3995954294461757E-2</c:v>
                </c:pt>
                <c:pt idx="17">
                  <c:v>1.3468538741549662E-2</c:v>
                </c:pt>
                <c:pt idx="18">
                  <c:v>1.4712438698172091E-2</c:v>
                </c:pt>
                <c:pt idx="19">
                  <c:v>2.1406549938921528E-2</c:v>
                </c:pt>
                <c:pt idx="20">
                  <c:v>2.0100796999531177E-2</c:v>
                </c:pt>
                <c:pt idx="21">
                  <c:v>1.9705603038936374E-2</c:v>
                </c:pt>
                <c:pt idx="22">
                  <c:v>1.9171011744878074E-2</c:v>
                </c:pt>
                <c:pt idx="23">
                  <c:v>2.053593789130979E-2</c:v>
                </c:pt>
              </c:numCache>
            </c:numRef>
          </c:val>
          <c:smooth val="0"/>
          <c:extLst>
            <c:ext xmlns:c16="http://schemas.microsoft.com/office/drawing/2014/chart" uri="{C3380CC4-5D6E-409C-BE32-E72D297353CC}">
              <c16:uniqueId val="{0000000A-F446-45D4-8090-D60D10E7EDD9}"/>
            </c:ext>
          </c:extLst>
        </c:ser>
        <c:ser>
          <c:idx val="11"/>
          <c:order val="11"/>
          <c:tx>
            <c:strRef>
              <c:f>GRAPH!$A$42</c:f>
              <c:strCache>
                <c:ptCount val="1"/>
                <c:pt idx="0">
                  <c:v>Community Support Service</c:v>
                </c:pt>
              </c:strCache>
            </c:strRef>
          </c:tx>
          <c:spPr>
            <a:ln w="15875" cap="rnd">
              <a:solidFill>
                <a:schemeClr val="bg1">
                  <a:lumMod val="85000"/>
                </a:schemeClr>
              </a:solidFill>
              <a:round/>
            </a:ln>
            <a:effectLst/>
          </c:spPr>
          <c:marker>
            <c:symbol val="square"/>
            <c:size val="3"/>
            <c:spPr>
              <a:solidFill>
                <a:schemeClr val="accent6">
                  <a:lumMod val="60000"/>
                </a:schemeClr>
              </a:solidFill>
              <a:ln w="9525">
                <a:solidFill>
                  <a:schemeClr val="accent6">
                    <a:lumMod val="60000"/>
                  </a:schemeClr>
                </a:solidFill>
              </a:ln>
              <a:effectLst/>
            </c:spPr>
          </c:marker>
          <c:dPt>
            <c:idx val="10"/>
            <c:marker>
              <c:symbol val="square"/>
              <c:size val="3"/>
              <c:spPr>
                <a:solidFill>
                  <a:schemeClr val="accent6">
                    <a:lumMod val="60000"/>
                  </a:schemeClr>
                </a:solidFill>
                <a:ln w="9525">
                  <a:solidFill>
                    <a:schemeClr val="bg1">
                      <a:lumMod val="85000"/>
                    </a:schemeClr>
                  </a:solidFill>
                </a:ln>
                <a:effectLst/>
              </c:spPr>
            </c:marker>
            <c:bubble3D val="0"/>
            <c:extLst>
              <c:ext xmlns:c16="http://schemas.microsoft.com/office/drawing/2014/chart" uri="{C3380CC4-5D6E-409C-BE32-E72D297353CC}">
                <c16:uniqueId val="{0000000B-F446-45D4-8090-D60D10E7EDD9}"/>
              </c:ext>
            </c:extLst>
          </c:dPt>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GRAPH!$B$42:$Y$42</c:f>
              <c:numCache>
                <c:formatCode>0%</c:formatCode>
                <c:ptCount val="24"/>
                <c:pt idx="0">
                  <c:v>1.301530555245224E-2</c:v>
                </c:pt>
                <c:pt idx="1">
                  <c:v>1.2047477744807121E-2</c:v>
                </c:pt>
                <c:pt idx="2">
                  <c:v>1.6422667603046837E-2</c:v>
                </c:pt>
                <c:pt idx="3">
                  <c:v>1.4647401908801696E-2</c:v>
                </c:pt>
                <c:pt idx="4">
                  <c:v>1.7390347256617686E-2</c:v>
                </c:pt>
                <c:pt idx="5">
                  <c:v>1.3017443374121323E-2</c:v>
                </c:pt>
                <c:pt idx="6">
                  <c:v>1.2399516629012767E-2</c:v>
                </c:pt>
                <c:pt idx="7">
                  <c:v>1.2214882213635796E-2</c:v>
                </c:pt>
                <c:pt idx="8">
                  <c:v>1.3324450366422385E-2</c:v>
                </c:pt>
                <c:pt idx="9">
                  <c:v>1.3689770399913766E-2</c:v>
                </c:pt>
                <c:pt idx="10">
                  <c:v>1.2415933781686497E-2</c:v>
                </c:pt>
                <c:pt idx="11">
                  <c:v>1.1260420554933433E-2</c:v>
                </c:pt>
                <c:pt idx="12">
                  <c:v>1.1041009463722398E-2</c:v>
                </c:pt>
                <c:pt idx="13">
                  <c:v>1.0973129215287442E-2</c:v>
                </c:pt>
                <c:pt idx="14">
                  <c:v>1.2258031564431279E-2</c:v>
                </c:pt>
                <c:pt idx="15">
                  <c:v>1.188716068365959E-2</c:v>
                </c:pt>
                <c:pt idx="16">
                  <c:v>1.016893554206987E-2</c:v>
                </c:pt>
                <c:pt idx="17">
                  <c:v>1.2532501300052002E-2</c:v>
                </c:pt>
                <c:pt idx="18">
                  <c:v>1.2631891811561897E-2</c:v>
                </c:pt>
                <c:pt idx="19">
                  <c:v>1.3379093711825956E-2</c:v>
                </c:pt>
                <c:pt idx="20">
                  <c:v>1.3068448195030474E-2</c:v>
                </c:pt>
                <c:pt idx="21">
                  <c:v>1.2266540044317821E-2</c:v>
                </c:pt>
                <c:pt idx="22">
                  <c:v>1.1165534312950967E-2</c:v>
                </c:pt>
                <c:pt idx="23">
                  <c:v>1.0956674179814675E-2</c:v>
                </c:pt>
              </c:numCache>
            </c:numRef>
          </c:val>
          <c:smooth val="0"/>
          <c:extLst>
            <c:ext xmlns:c16="http://schemas.microsoft.com/office/drawing/2014/chart" uri="{C3380CC4-5D6E-409C-BE32-E72D297353CC}">
              <c16:uniqueId val="{0000000C-F446-45D4-8090-D60D10E7EDD9}"/>
            </c:ext>
          </c:extLst>
        </c:ser>
        <c:ser>
          <c:idx val="12"/>
          <c:order val="12"/>
          <c:tx>
            <c:strRef>
              <c:f>GRAPH!$A$43</c:f>
              <c:strCache>
                <c:ptCount val="1"/>
                <c:pt idx="0">
                  <c:v>Social Welfare</c:v>
                </c:pt>
              </c:strCache>
            </c:strRef>
          </c:tx>
          <c:spPr>
            <a:ln w="15875" cap="rnd">
              <a:solidFill>
                <a:schemeClr val="bg1">
                  <a:lumMod val="85000"/>
                </a:schemeClr>
              </a:solidFill>
              <a:round/>
            </a:ln>
            <a:effectLst/>
          </c:spPr>
          <c:marker>
            <c:symbol val="square"/>
            <c:size val="3"/>
            <c:spPr>
              <a:solidFill>
                <a:schemeClr val="accent1">
                  <a:lumMod val="80000"/>
                  <a:lumOff val="20000"/>
                </a:schemeClr>
              </a:solidFill>
              <a:ln w="9525">
                <a:solidFill>
                  <a:schemeClr val="accent1">
                    <a:lumMod val="80000"/>
                    <a:lumOff val="2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GRAPH!$B$43:$Y$43</c:f>
              <c:numCache>
                <c:formatCode>0%</c:formatCode>
                <c:ptCount val="24"/>
                <c:pt idx="0">
                  <c:v>5.2508099653669985E-3</c:v>
                </c:pt>
                <c:pt idx="1">
                  <c:v>6.1721068249258161E-3</c:v>
                </c:pt>
                <c:pt idx="2">
                  <c:v>8.5354653989519746E-3</c:v>
                </c:pt>
                <c:pt idx="3">
                  <c:v>9.6765641569459167E-3</c:v>
                </c:pt>
                <c:pt idx="4">
                  <c:v>7.2643222717516925E-3</c:v>
                </c:pt>
                <c:pt idx="5">
                  <c:v>8.0187451184587349E-3</c:v>
                </c:pt>
                <c:pt idx="6">
                  <c:v>8.1962906530762356E-3</c:v>
                </c:pt>
                <c:pt idx="7">
                  <c:v>1.0407578212638664E-2</c:v>
                </c:pt>
                <c:pt idx="8">
                  <c:v>9.2715967133022437E-3</c:v>
                </c:pt>
                <c:pt idx="9">
                  <c:v>8.0845100786892318E-3</c:v>
                </c:pt>
                <c:pt idx="10">
                  <c:v>9.1050181065700977E-3</c:v>
                </c:pt>
                <c:pt idx="11">
                  <c:v>9.2696279706358086E-3</c:v>
                </c:pt>
                <c:pt idx="12">
                  <c:v>1.0225171326008919E-2</c:v>
                </c:pt>
                <c:pt idx="13">
                  <c:v>8.1361738571887384E-3</c:v>
                </c:pt>
                <c:pt idx="14">
                  <c:v>8.274171305991113E-3</c:v>
                </c:pt>
                <c:pt idx="15">
                  <c:v>9.9355372878348804E-3</c:v>
                </c:pt>
                <c:pt idx="16">
                  <c:v>7.5993658083210319E-3</c:v>
                </c:pt>
                <c:pt idx="17">
                  <c:v>8.944357774310973E-3</c:v>
                </c:pt>
                <c:pt idx="18">
                  <c:v>8.3717243770743549E-3</c:v>
                </c:pt>
                <c:pt idx="19">
                  <c:v>7.2130766098539934E-3</c:v>
                </c:pt>
                <c:pt idx="20">
                  <c:v>8.3802156586966717E-3</c:v>
                </c:pt>
                <c:pt idx="21">
                  <c:v>9.3383982272871157E-3</c:v>
                </c:pt>
                <c:pt idx="22">
                  <c:v>7.6894717438247221E-3</c:v>
                </c:pt>
                <c:pt idx="23">
                  <c:v>6.5113949411470069E-3</c:v>
                </c:pt>
              </c:numCache>
            </c:numRef>
          </c:val>
          <c:smooth val="0"/>
          <c:extLst>
            <c:ext xmlns:c16="http://schemas.microsoft.com/office/drawing/2014/chart" uri="{C3380CC4-5D6E-409C-BE32-E72D297353CC}">
              <c16:uniqueId val="{0000000D-F446-45D4-8090-D60D10E7EDD9}"/>
            </c:ext>
          </c:extLst>
        </c:ser>
        <c:ser>
          <c:idx val="13"/>
          <c:order val="13"/>
          <c:tx>
            <c:strRef>
              <c:f>GRAPH!$A$44</c:f>
              <c:strCache>
                <c:ptCount val="1"/>
                <c:pt idx="0">
                  <c:v>Maori</c:v>
                </c:pt>
              </c:strCache>
            </c:strRef>
          </c:tx>
          <c:spPr>
            <a:ln w="15875" cap="rnd">
              <a:solidFill>
                <a:schemeClr val="bg1">
                  <a:lumMod val="85000"/>
                </a:schemeClr>
              </a:solidFill>
              <a:round/>
            </a:ln>
            <a:effectLst/>
          </c:spPr>
          <c:marker>
            <c:symbol val="square"/>
            <c:size val="3"/>
            <c:spPr>
              <a:solidFill>
                <a:schemeClr val="accent2">
                  <a:lumMod val="80000"/>
                  <a:lumOff val="20000"/>
                </a:schemeClr>
              </a:solidFill>
              <a:ln w="9525">
                <a:solidFill>
                  <a:schemeClr val="accent2">
                    <a:lumMod val="80000"/>
                    <a:lumOff val="2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GRAPH!$B$44:$Y$44</c:f>
              <c:numCache>
                <c:formatCode>0%</c:formatCode>
                <c:ptCount val="24"/>
                <c:pt idx="0">
                  <c:v>2.9047033850966371E-3</c:v>
                </c:pt>
                <c:pt idx="1">
                  <c:v>4.5103857566765578E-3</c:v>
                </c:pt>
                <c:pt idx="2">
                  <c:v>5.8343687537140082E-3</c:v>
                </c:pt>
                <c:pt idx="3">
                  <c:v>6.1638388123011669E-3</c:v>
                </c:pt>
                <c:pt idx="4">
                  <c:v>3.3569974134610094E-3</c:v>
                </c:pt>
                <c:pt idx="5">
                  <c:v>5.2590471231450144E-3</c:v>
                </c:pt>
                <c:pt idx="6">
                  <c:v>4.6235485735301842E-3</c:v>
                </c:pt>
                <c:pt idx="7">
                  <c:v>6.8552910382649879E-3</c:v>
                </c:pt>
                <c:pt idx="8">
                  <c:v>4.1638907395069955E-3</c:v>
                </c:pt>
                <c:pt idx="9">
                  <c:v>5.8208472566562463E-3</c:v>
                </c:pt>
                <c:pt idx="10">
                  <c:v>6.3114330056906363E-3</c:v>
                </c:pt>
                <c:pt idx="11">
                  <c:v>7.9009580689311937E-3</c:v>
                </c:pt>
                <c:pt idx="12">
                  <c:v>6.4179266833460239E-3</c:v>
                </c:pt>
                <c:pt idx="13">
                  <c:v>7.6544267209078254E-3</c:v>
                </c:pt>
                <c:pt idx="14">
                  <c:v>7.9166453853618673E-3</c:v>
                </c:pt>
                <c:pt idx="15">
                  <c:v>8.2796144065290667E-3</c:v>
                </c:pt>
                <c:pt idx="16">
                  <c:v>6.6699469684544307E-3</c:v>
                </c:pt>
                <c:pt idx="17">
                  <c:v>7.9563182527301098E-3</c:v>
                </c:pt>
                <c:pt idx="18">
                  <c:v>9.610145142913756E-3</c:v>
                </c:pt>
                <c:pt idx="19">
                  <c:v>8.7254958990169267E-3</c:v>
                </c:pt>
                <c:pt idx="20">
                  <c:v>8.9076418190342233E-3</c:v>
                </c:pt>
                <c:pt idx="21">
                  <c:v>7.5973409306742644E-3</c:v>
                </c:pt>
                <c:pt idx="22">
                  <c:v>8.0054774319271074E-3</c:v>
                </c:pt>
                <c:pt idx="23">
                  <c:v>8.3896819434009524E-3</c:v>
                </c:pt>
              </c:numCache>
            </c:numRef>
          </c:val>
          <c:smooth val="0"/>
          <c:extLst>
            <c:ext xmlns:c16="http://schemas.microsoft.com/office/drawing/2014/chart" uri="{C3380CC4-5D6E-409C-BE32-E72D297353CC}">
              <c16:uniqueId val="{0000000E-F446-45D4-8090-D60D10E7EDD9}"/>
            </c:ext>
          </c:extLst>
        </c:ser>
        <c:ser>
          <c:idx val="14"/>
          <c:order val="14"/>
          <c:tx>
            <c:strRef>
              <c:f>GRAPH!$A$45</c:f>
              <c:strCache>
                <c:ptCount val="1"/>
                <c:pt idx="0">
                  <c:v>Needs assessment and co-ordination service</c:v>
                </c:pt>
              </c:strCache>
            </c:strRef>
          </c:tx>
          <c:spPr>
            <a:ln w="15875" cap="rnd">
              <a:solidFill>
                <a:schemeClr val="bg1">
                  <a:lumMod val="85000"/>
                </a:schemeClr>
              </a:solidFill>
              <a:round/>
            </a:ln>
            <a:effectLst/>
          </c:spPr>
          <c:marker>
            <c:symbol val="square"/>
            <c:size val="3"/>
            <c:spPr>
              <a:solidFill>
                <a:schemeClr val="accent3">
                  <a:lumMod val="80000"/>
                  <a:lumOff val="20000"/>
                </a:schemeClr>
              </a:solidFill>
              <a:ln w="9525">
                <a:solidFill>
                  <a:schemeClr val="accent3">
                    <a:lumMod val="80000"/>
                    <a:lumOff val="2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GRAPH!$B$45:$Y$45</c:f>
              <c:numCache>
                <c:formatCode>0%</c:formatCode>
                <c:ptCount val="24"/>
                <c:pt idx="0">
                  <c:v>3.7984582728186793E-3</c:v>
                </c:pt>
                <c:pt idx="1">
                  <c:v>3.6201780415430268E-3</c:v>
                </c:pt>
                <c:pt idx="2">
                  <c:v>5.2401274917616555E-3</c:v>
                </c:pt>
                <c:pt idx="3">
                  <c:v>7.2242841993637331E-3</c:v>
                </c:pt>
                <c:pt idx="4">
                  <c:v>4.9529470034670627E-3</c:v>
                </c:pt>
                <c:pt idx="5">
                  <c:v>5.9359541785993231E-3</c:v>
                </c:pt>
                <c:pt idx="6">
                  <c:v>6.5675405874008304E-3</c:v>
                </c:pt>
                <c:pt idx="7">
                  <c:v>5.7958369687149446E-3</c:v>
                </c:pt>
                <c:pt idx="8">
                  <c:v>4.2749278258938485E-3</c:v>
                </c:pt>
                <c:pt idx="9">
                  <c:v>4.2039452409184004E-3</c:v>
                </c:pt>
                <c:pt idx="10">
                  <c:v>4.8629073978272118E-3</c:v>
                </c:pt>
                <c:pt idx="11">
                  <c:v>7.4032599228567872E-3</c:v>
                </c:pt>
                <c:pt idx="12">
                  <c:v>6.9618187751550095E-3</c:v>
                </c:pt>
                <c:pt idx="13">
                  <c:v>7.2262070442136814E-3</c:v>
                </c:pt>
                <c:pt idx="14">
                  <c:v>5.9757903876602484E-3</c:v>
                </c:pt>
                <c:pt idx="15">
                  <c:v>7.6290732745874978E-3</c:v>
                </c:pt>
                <c:pt idx="16">
                  <c:v>7.2166639330818435E-3</c:v>
                </c:pt>
                <c:pt idx="17">
                  <c:v>8.2683307332293288E-3</c:v>
                </c:pt>
                <c:pt idx="18">
                  <c:v>6.9846931193342249E-3</c:v>
                </c:pt>
                <c:pt idx="19">
                  <c:v>6.5732069105927521E-3</c:v>
                </c:pt>
                <c:pt idx="20">
                  <c:v>5.0984528832630095E-3</c:v>
                </c:pt>
                <c:pt idx="21">
                  <c:v>6.7268122823678379E-3</c:v>
                </c:pt>
                <c:pt idx="22">
                  <c:v>4.4240796334334021E-3</c:v>
                </c:pt>
                <c:pt idx="23">
                  <c:v>7.0122714750813922E-3</c:v>
                </c:pt>
              </c:numCache>
            </c:numRef>
          </c:val>
          <c:smooth val="0"/>
          <c:extLst>
            <c:ext xmlns:c16="http://schemas.microsoft.com/office/drawing/2014/chart" uri="{C3380CC4-5D6E-409C-BE32-E72D297353CC}">
              <c16:uniqueId val="{0000000F-F446-45D4-8090-D60D10E7EDD9}"/>
            </c:ext>
          </c:extLst>
        </c:ser>
        <c:ser>
          <c:idx val="15"/>
          <c:order val="15"/>
          <c:tx>
            <c:strRef>
              <c:f>GRAPH!$A$46</c:f>
              <c:strCache>
                <c:ptCount val="1"/>
                <c:pt idx="0">
                  <c:v>Accident and emergency</c:v>
                </c:pt>
              </c:strCache>
            </c:strRef>
          </c:tx>
          <c:spPr>
            <a:ln w="15875" cap="rnd">
              <a:solidFill>
                <a:schemeClr val="bg1">
                  <a:lumMod val="85000"/>
                </a:schemeClr>
              </a:solidFill>
              <a:round/>
            </a:ln>
            <a:effectLst/>
          </c:spPr>
          <c:marker>
            <c:symbol val="square"/>
            <c:size val="3"/>
            <c:spPr>
              <a:solidFill>
                <a:schemeClr val="accent4">
                  <a:lumMod val="80000"/>
                  <a:lumOff val="20000"/>
                </a:schemeClr>
              </a:solidFill>
              <a:ln w="9525">
                <a:solidFill>
                  <a:schemeClr val="bg1">
                    <a:lumMod val="85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GRAPH!$B$46:$Y$46</c:f>
              <c:numCache>
                <c:formatCode>0%</c:formatCode>
                <c:ptCount val="24"/>
                <c:pt idx="0">
                  <c:v>4.5804937995754663E-3</c:v>
                </c:pt>
                <c:pt idx="1">
                  <c:v>5.1632047477744806E-3</c:v>
                </c:pt>
                <c:pt idx="2">
                  <c:v>4.2137107665712282E-3</c:v>
                </c:pt>
                <c:pt idx="3">
                  <c:v>5.3022269353128317E-3</c:v>
                </c:pt>
                <c:pt idx="4">
                  <c:v>3.6871938803588137E-3</c:v>
                </c:pt>
                <c:pt idx="5">
                  <c:v>2.7076282218172353E-3</c:v>
                </c:pt>
                <c:pt idx="6">
                  <c:v>2.8897178584563654E-3</c:v>
                </c:pt>
                <c:pt idx="7">
                  <c:v>6.6683285554032159E-3</c:v>
                </c:pt>
                <c:pt idx="8">
                  <c:v>5.773928492116367E-3</c:v>
                </c:pt>
                <c:pt idx="9">
                  <c:v>3.880564837770831E-3</c:v>
                </c:pt>
                <c:pt idx="10">
                  <c:v>4.3455768235902744E-3</c:v>
                </c:pt>
                <c:pt idx="11">
                  <c:v>5.0391937290033594E-3</c:v>
                </c:pt>
                <c:pt idx="12">
                  <c:v>3.970412270205591E-3</c:v>
                </c:pt>
                <c:pt idx="13">
                  <c:v>4.8174713628091207E-3</c:v>
                </c:pt>
                <c:pt idx="14">
                  <c:v>5.7714898615863937E-3</c:v>
                </c:pt>
                <c:pt idx="15">
                  <c:v>6.5054113194156962E-3</c:v>
                </c:pt>
                <c:pt idx="16">
                  <c:v>9.7315619703679402E-3</c:v>
                </c:pt>
                <c:pt idx="17">
                  <c:v>7.3322932917316693E-3</c:v>
                </c:pt>
                <c:pt idx="18">
                  <c:v>6.0434933372962799E-3</c:v>
                </c:pt>
                <c:pt idx="19">
                  <c:v>7.4457565004944449E-3</c:v>
                </c:pt>
                <c:pt idx="20">
                  <c:v>7.8527894983591185E-3</c:v>
                </c:pt>
                <c:pt idx="21">
                  <c:v>6.8850902184235518E-3</c:v>
                </c:pt>
                <c:pt idx="22">
                  <c:v>8.5321535787644173E-3</c:v>
                </c:pt>
                <c:pt idx="23">
                  <c:v>1.0080140245429501E-2</c:v>
                </c:pt>
              </c:numCache>
            </c:numRef>
          </c:val>
          <c:smooth val="0"/>
          <c:extLst>
            <c:ext xmlns:c16="http://schemas.microsoft.com/office/drawing/2014/chart" uri="{C3380CC4-5D6E-409C-BE32-E72D297353CC}">
              <c16:uniqueId val="{00000010-F446-45D4-8090-D60D10E7EDD9}"/>
            </c:ext>
          </c:extLst>
        </c:ser>
        <c:ser>
          <c:idx val="16"/>
          <c:order val="16"/>
          <c:tx>
            <c:strRef>
              <c:f>GRAPH!$A$47</c:f>
              <c:strCache>
                <c:ptCount val="1"/>
                <c:pt idx="0">
                  <c:v>Child adolescent and family/whanau mental health services</c:v>
                </c:pt>
              </c:strCache>
            </c:strRef>
          </c:tx>
          <c:spPr>
            <a:ln w="15875" cap="rnd">
              <a:solidFill>
                <a:schemeClr val="bg1">
                  <a:lumMod val="85000"/>
                </a:schemeClr>
              </a:solidFill>
              <a:round/>
            </a:ln>
            <a:effectLst/>
          </c:spPr>
          <c:marker>
            <c:symbol val="square"/>
            <c:size val="3"/>
            <c:spPr>
              <a:solidFill>
                <a:schemeClr val="accent5">
                  <a:lumMod val="80000"/>
                  <a:lumOff val="20000"/>
                </a:schemeClr>
              </a:solidFill>
              <a:ln w="9525">
                <a:solidFill>
                  <a:schemeClr val="accent5">
                    <a:lumMod val="80000"/>
                    <a:lumOff val="20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GRAPH!$B$47:$Y$47</c:f>
              <c:numCache>
                <c:formatCode>0%</c:formatCode>
                <c:ptCount val="24"/>
                <c:pt idx="0">
                  <c:v>6.0887051726064125E-3</c:v>
                </c:pt>
                <c:pt idx="1">
                  <c:v>5.7566765578635016E-3</c:v>
                </c:pt>
                <c:pt idx="2">
                  <c:v>5.0780616930473773E-3</c:v>
                </c:pt>
                <c:pt idx="3">
                  <c:v>5.5010604453870626E-3</c:v>
                </c:pt>
                <c:pt idx="4">
                  <c:v>4.7878487700181611E-3</c:v>
                </c:pt>
                <c:pt idx="5">
                  <c:v>4.5821400676907056E-3</c:v>
                </c:pt>
                <c:pt idx="6">
                  <c:v>5.0438711711238374E-3</c:v>
                </c:pt>
                <c:pt idx="7">
                  <c:v>4.9856662096472645E-3</c:v>
                </c:pt>
                <c:pt idx="8">
                  <c:v>3.9418165667332887E-3</c:v>
                </c:pt>
                <c:pt idx="9">
                  <c:v>4.4195321763501128E-3</c:v>
                </c:pt>
                <c:pt idx="10">
                  <c:v>4.6559751681324365E-3</c:v>
                </c:pt>
                <c:pt idx="11">
                  <c:v>5.9723777528928705E-3</c:v>
                </c:pt>
                <c:pt idx="12">
                  <c:v>4.7318611987381704E-3</c:v>
                </c:pt>
                <c:pt idx="13">
                  <c:v>5.6739107161974094E-3</c:v>
                </c:pt>
                <c:pt idx="14">
                  <c:v>4.7499872312171208E-3</c:v>
                </c:pt>
                <c:pt idx="15">
                  <c:v>4.6720681293985454E-3</c:v>
                </c:pt>
                <c:pt idx="16">
                  <c:v>5.5218413427368654E-3</c:v>
                </c:pt>
                <c:pt idx="17">
                  <c:v>5.2522100884035364E-3</c:v>
                </c:pt>
                <c:pt idx="18">
                  <c:v>5.449051369693367E-3</c:v>
                </c:pt>
                <c:pt idx="19">
                  <c:v>4.6535978128090282E-3</c:v>
                </c:pt>
                <c:pt idx="20">
                  <c:v>5.3914674167838727E-3</c:v>
                </c:pt>
                <c:pt idx="21">
                  <c:v>5.9354226020892692E-3</c:v>
                </c:pt>
                <c:pt idx="22">
                  <c:v>4.7927529362195185E-3</c:v>
                </c:pt>
                <c:pt idx="23">
                  <c:v>5.0713749060856501E-3</c:v>
                </c:pt>
              </c:numCache>
            </c:numRef>
          </c:val>
          <c:smooth val="0"/>
          <c:extLst>
            <c:ext xmlns:c16="http://schemas.microsoft.com/office/drawing/2014/chart" uri="{C3380CC4-5D6E-409C-BE32-E72D297353CC}">
              <c16:uniqueId val="{00000011-F446-45D4-8090-D60D10E7EDD9}"/>
            </c:ext>
          </c:extLst>
        </c:ser>
        <c:ser>
          <c:idx val="17"/>
          <c:order val="17"/>
          <c:tx>
            <c:strRef>
              <c:f>GRAPH!$A$48</c:f>
              <c:strCache>
                <c:ptCount val="1"/>
                <c:pt idx="0">
                  <c:v>Psychiatric inpatient</c:v>
                </c:pt>
              </c:strCache>
            </c:strRef>
          </c:tx>
          <c:spPr>
            <a:ln w="15875" cap="rnd">
              <a:solidFill>
                <a:schemeClr val="bg1">
                  <a:lumMod val="85000"/>
                </a:schemeClr>
              </a:solidFill>
              <a:round/>
            </a:ln>
            <a:effectLst/>
          </c:spPr>
          <c:marker>
            <c:symbol val="square"/>
            <c:size val="3"/>
            <c:spPr>
              <a:solidFill>
                <a:schemeClr val="accent6">
                  <a:lumMod val="80000"/>
                  <a:lumOff val="20000"/>
                </a:schemeClr>
              </a:solidFill>
              <a:ln w="9525">
                <a:solidFill>
                  <a:schemeClr val="bg1">
                    <a:lumMod val="85000"/>
                  </a:schemeClr>
                </a:solidFill>
              </a:ln>
              <a:effectLst/>
            </c:spPr>
          </c:marker>
          <c:cat>
            <c:strRef>
              <c:f>GRAPH!$B$30:$Y$30</c:f>
              <c:strCache>
                <c:ptCount val="24"/>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pt idx="16">
                  <c:v>2019 Q1</c:v>
                </c:pt>
                <c:pt idx="17">
                  <c:v>2019 Q2</c:v>
                </c:pt>
                <c:pt idx="18">
                  <c:v>2019 Q3</c:v>
                </c:pt>
                <c:pt idx="19">
                  <c:v>2019 Q4</c:v>
                </c:pt>
                <c:pt idx="20">
                  <c:v>2020 Q1</c:v>
                </c:pt>
                <c:pt idx="21">
                  <c:v>2020 Q2</c:v>
                </c:pt>
                <c:pt idx="22">
                  <c:v>2020 Q3</c:v>
                </c:pt>
                <c:pt idx="23">
                  <c:v>2020 Q4</c:v>
                </c:pt>
              </c:strCache>
            </c:strRef>
          </c:cat>
          <c:val>
            <c:numRef>
              <c:f>GRAPH!$B$48:$Y$48</c:f>
              <c:numCache>
                <c:formatCode>0%</c:formatCode>
                <c:ptCount val="24"/>
                <c:pt idx="0">
                  <c:v>5.1949502848843707E-3</c:v>
                </c:pt>
                <c:pt idx="1">
                  <c:v>5.9940652818991098E-3</c:v>
                </c:pt>
                <c:pt idx="2">
                  <c:v>7.6170925395710656E-3</c:v>
                </c:pt>
                <c:pt idx="3">
                  <c:v>5.0371155885471901E-3</c:v>
                </c:pt>
                <c:pt idx="4">
                  <c:v>4.1274558362225525E-3</c:v>
                </c:pt>
                <c:pt idx="5">
                  <c:v>5.0507680291590733E-3</c:v>
                </c:pt>
                <c:pt idx="6">
                  <c:v>3.5202017548468449E-3</c:v>
                </c:pt>
                <c:pt idx="7">
                  <c:v>3.4899663467530847E-3</c:v>
                </c:pt>
                <c:pt idx="8">
                  <c:v>4.1638907395069955E-3</c:v>
                </c:pt>
                <c:pt idx="9">
                  <c:v>4.4734289102080415E-3</c:v>
                </c:pt>
                <c:pt idx="10">
                  <c:v>4.1903776513191934E-3</c:v>
                </c:pt>
                <c:pt idx="11">
                  <c:v>5.3502550702998631E-3</c:v>
                </c:pt>
                <c:pt idx="12">
                  <c:v>5.8196453823561407E-3</c:v>
                </c:pt>
                <c:pt idx="13">
                  <c:v>5.4062734182635692E-3</c:v>
                </c:pt>
                <c:pt idx="14">
                  <c:v>4.0349353899586295E-3</c:v>
                </c:pt>
                <c:pt idx="15">
                  <c:v>4.4946478206872083E-3</c:v>
                </c:pt>
                <c:pt idx="16">
                  <c:v>4.9204526816467118E-3</c:v>
                </c:pt>
                <c:pt idx="17">
                  <c:v>4.3161726469058762E-3</c:v>
                </c:pt>
                <c:pt idx="18">
                  <c:v>4.4087779263882699E-3</c:v>
                </c:pt>
                <c:pt idx="19">
                  <c:v>6.1660171019719623E-3</c:v>
                </c:pt>
                <c:pt idx="20">
                  <c:v>5.9774964838255973E-3</c:v>
                </c:pt>
                <c:pt idx="21">
                  <c:v>8.70528648306426E-3</c:v>
                </c:pt>
                <c:pt idx="22">
                  <c:v>3.7394006425448992E-3</c:v>
                </c:pt>
                <c:pt idx="23">
                  <c:v>5.5096418732782371E-3</c:v>
                </c:pt>
              </c:numCache>
            </c:numRef>
          </c:val>
          <c:smooth val="0"/>
          <c:extLst>
            <c:ext xmlns:c16="http://schemas.microsoft.com/office/drawing/2014/chart" uri="{C3380CC4-5D6E-409C-BE32-E72D297353CC}">
              <c16:uniqueId val="{00000012-F446-45D4-8090-D60D10E7EDD9}"/>
            </c:ext>
          </c:extLst>
        </c:ser>
        <c:dLbls>
          <c:showLegendKey val="0"/>
          <c:showVal val="0"/>
          <c:showCatName val="0"/>
          <c:showSerName val="0"/>
          <c:showPercent val="0"/>
          <c:showBubbleSize val="0"/>
        </c:dLbls>
        <c:smooth val="0"/>
        <c:axId val="938389576"/>
        <c:axId val="938395480"/>
      </c:lineChart>
      <c:catAx>
        <c:axId val="93838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395480"/>
        <c:crosses val="autoZero"/>
        <c:auto val="1"/>
        <c:lblAlgn val="ctr"/>
        <c:lblOffset val="100"/>
        <c:noMultiLvlLbl val="0"/>
      </c:catAx>
      <c:valAx>
        <c:axId val="938395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389576"/>
        <c:crosses val="autoZero"/>
        <c:crossBetween val="between"/>
      </c:valAx>
      <c:spPr>
        <a:noFill/>
        <a:ln>
          <a:noFill/>
        </a:ln>
        <a:effectLst/>
      </c:spPr>
    </c:plotArea>
    <c:legend>
      <c:legendPos val="b"/>
      <c:layout>
        <c:manualLayout>
          <c:xMode val="edge"/>
          <c:yMode val="edge"/>
          <c:x val="4.2031878882272583E-2"/>
          <c:y val="0.76839433709594107"/>
          <c:w val="0.94602660625295454"/>
          <c:h val="0.179370296488326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'Separated Graphs'!$A$11</c:f>
              <c:strCache>
                <c:ptCount val="1"/>
                <c:pt idx="0">
                  <c:v>Quantity - Police</c:v>
                </c:pt>
              </c:strCache>
            </c:strRef>
          </c:tx>
          <c:spPr>
            <a:solidFill>
              <a:schemeClr val="accent2">
                <a:lumMod val="75000"/>
              </a:schemeClr>
            </a:solidFill>
            <a:ln>
              <a:noFill/>
            </a:ln>
            <a:effectLst/>
          </c:spPr>
          <c:invertIfNegative val="0"/>
          <c:cat>
            <c:strRef>
              <c:f>'Separated Graphs'!$B$10:$H$10</c:f>
              <c:strCache>
                <c:ptCount val="7"/>
                <c:pt idx="0">
                  <c:v>2015</c:v>
                </c:pt>
                <c:pt idx="1">
                  <c:v>2016</c:v>
                </c:pt>
                <c:pt idx="2">
                  <c:v>2017</c:v>
                </c:pt>
                <c:pt idx="3">
                  <c:v>2018</c:v>
                </c:pt>
                <c:pt idx="4">
                  <c:v>2019</c:v>
                </c:pt>
                <c:pt idx="5">
                  <c:v>2020</c:v>
                </c:pt>
                <c:pt idx="6">
                  <c:v>2021*</c:v>
                </c:pt>
              </c:strCache>
            </c:strRef>
          </c:cat>
          <c:val>
            <c:numRef>
              <c:f>'Separated Graphs'!$B$11:$H$11</c:f>
              <c:numCache>
                <c:formatCode>#,##0.00</c:formatCode>
                <c:ptCount val="7"/>
                <c:pt idx="0">
                  <c:v>38515.379999999997</c:v>
                </c:pt>
                <c:pt idx="1">
                  <c:v>185382.22</c:v>
                </c:pt>
                <c:pt idx="2">
                  <c:v>51233.34</c:v>
                </c:pt>
                <c:pt idx="3">
                  <c:v>37550.720000000001</c:v>
                </c:pt>
                <c:pt idx="4">
                  <c:v>13248.53</c:v>
                </c:pt>
                <c:pt idx="5">
                  <c:v>9062.26</c:v>
                </c:pt>
                <c:pt idx="6">
                  <c:v>1236.6400000000001</c:v>
                </c:pt>
              </c:numCache>
            </c:numRef>
          </c:val>
          <c:extLst>
            <c:ext xmlns:c16="http://schemas.microsoft.com/office/drawing/2014/chart" uri="{C3380CC4-5D6E-409C-BE32-E72D297353CC}">
              <c16:uniqueId val="{00000000-9051-4344-8F7D-1B204D488195}"/>
            </c:ext>
          </c:extLst>
        </c:ser>
        <c:ser>
          <c:idx val="1"/>
          <c:order val="1"/>
          <c:tx>
            <c:strRef>
              <c:f>'Separated Graphs'!$A$12</c:f>
              <c:strCache>
                <c:ptCount val="1"/>
                <c:pt idx="0">
                  <c:v>Quantity - Customs</c:v>
                </c:pt>
              </c:strCache>
            </c:strRef>
          </c:tx>
          <c:spPr>
            <a:solidFill>
              <a:schemeClr val="tx2"/>
            </a:solidFill>
            <a:ln>
              <a:noFill/>
            </a:ln>
            <a:effectLst/>
          </c:spPr>
          <c:invertIfNegative val="0"/>
          <c:cat>
            <c:strRef>
              <c:f>'Separated Graphs'!$B$10:$H$10</c:f>
              <c:strCache>
                <c:ptCount val="7"/>
                <c:pt idx="0">
                  <c:v>2015</c:v>
                </c:pt>
                <c:pt idx="1">
                  <c:v>2016</c:v>
                </c:pt>
                <c:pt idx="2">
                  <c:v>2017</c:v>
                </c:pt>
                <c:pt idx="3">
                  <c:v>2018</c:v>
                </c:pt>
                <c:pt idx="4">
                  <c:v>2019</c:v>
                </c:pt>
                <c:pt idx="5">
                  <c:v>2020</c:v>
                </c:pt>
                <c:pt idx="6">
                  <c:v>2021*</c:v>
                </c:pt>
              </c:strCache>
            </c:strRef>
          </c:cat>
          <c:val>
            <c:numRef>
              <c:f>'Separated Graphs'!$B$12:$H$12</c:f>
              <c:numCache>
                <c:formatCode>General</c:formatCode>
                <c:ptCount val="7"/>
                <c:pt idx="0">
                  <c:v>101.4</c:v>
                </c:pt>
                <c:pt idx="1">
                  <c:v>71</c:v>
                </c:pt>
                <c:pt idx="2">
                  <c:v>0.95</c:v>
                </c:pt>
                <c:pt idx="3">
                  <c:v>7.1</c:v>
                </c:pt>
                <c:pt idx="4">
                  <c:v>0</c:v>
                </c:pt>
                <c:pt idx="5">
                  <c:v>0</c:v>
                </c:pt>
                <c:pt idx="6">
                  <c:v>0</c:v>
                </c:pt>
              </c:numCache>
            </c:numRef>
          </c:val>
          <c:extLst>
            <c:ext xmlns:c16="http://schemas.microsoft.com/office/drawing/2014/chart" uri="{C3380CC4-5D6E-409C-BE32-E72D297353CC}">
              <c16:uniqueId val="{00000001-9051-4344-8F7D-1B204D488195}"/>
            </c:ext>
          </c:extLst>
        </c:ser>
        <c:dLbls>
          <c:showLegendKey val="0"/>
          <c:showVal val="0"/>
          <c:showCatName val="0"/>
          <c:showSerName val="0"/>
          <c:showPercent val="0"/>
          <c:showBubbleSize val="0"/>
        </c:dLbls>
        <c:gapWidth val="150"/>
        <c:overlap val="100"/>
        <c:axId val="2089562351"/>
        <c:axId val="1977098991"/>
      </c:barChart>
      <c:catAx>
        <c:axId val="208956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098991"/>
        <c:crosses val="autoZero"/>
        <c:auto val="1"/>
        <c:lblAlgn val="ctr"/>
        <c:lblOffset val="100"/>
        <c:noMultiLvlLbl val="0"/>
      </c:catAx>
      <c:valAx>
        <c:axId val="1977098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Grams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56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Graph1!$N$4</c:f>
              <c:strCache>
                <c:ptCount val="1"/>
                <c:pt idx="0">
                  <c:v>formal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Graph1!$A$5:$A$25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Graph1!$N$5:$N$25</c:f>
              <c:numCache>
                <c:formatCode>0%</c:formatCode>
                <c:ptCount val="21"/>
                <c:pt idx="0">
                  <c:v>0.29364161849710985</c:v>
                </c:pt>
                <c:pt idx="1">
                  <c:v>0.31780821917808222</c:v>
                </c:pt>
                <c:pt idx="2">
                  <c:v>0.27823920265780733</c:v>
                </c:pt>
                <c:pt idx="3">
                  <c:v>0.27729468599033819</c:v>
                </c:pt>
                <c:pt idx="4">
                  <c:v>0.22780748663101605</c:v>
                </c:pt>
                <c:pt idx="5">
                  <c:v>0.24976787372330547</c:v>
                </c:pt>
                <c:pt idx="6">
                  <c:v>0.23996175908221798</c:v>
                </c:pt>
                <c:pt idx="7">
                  <c:v>0.22497055359246171</c:v>
                </c:pt>
                <c:pt idx="8">
                  <c:v>0.22350230414746544</c:v>
                </c:pt>
                <c:pt idx="9">
                  <c:v>0.21981424148606812</c:v>
                </c:pt>
                <c:pt idx="10">
                  <c:v>0.21704180064308681</c:v>
                </c:pt>
                <c:pt idx="11">
                  <c:v>0.24856596558317401</c:v>
                </c:pt>
                <c:pt idx="12">
                  <c:v>0.23814133591481124</c:v>
                </c:pt>
                <c:pt idx="13">
                  <c:v>0.22700729927007299</c:v>
                </c:pt>
                <c:pt idx="14">
                  <c:v>0.26880877742946707</c:v>
                </c:pt>
                <c:pt idx="15">
                  <c:v>0.28851063829787232</c:v>
                </c:pt>
                <c:pt idx="16">
                  <c:v>0.28952042628774421</c:v>
                </c:pt>
                <c:pt idx="17">
                  <c:v>0.35898876404494384</c:v>
                </c:pt>
                <c:pt idx="18">
                  <c:v>0.44391025641025639</c:v>
                </c:pt>
                <c:pt idx="19">
                  <c:v>0.42937853107344631</c:v>
                </c:pt>
                <c:pt idx="20">
                  <c:v>0.50411280846063455</c:v>
                </c:pt>
              </c:numCache>
            </c:numRef>
          </c:val>
          <c:smooth val="0"/>
          <c:extLst>
            <c:ext xmlns:c16="http://schemas.microsoft.com/office/drawing/2014/chart" uri="{C3380CC4-5D6E-409C-BE32-E72D297353CC}">
              <c16:uniqueId val="{00000000-8F6B-4047-B4E4-3CE8CACEED8A}"/>
            </c:ext>
          </c:extLst>
        </c:ser>
        <c:ser>
          <c:idx val="1"/>
          <c:order val="1"/>
          <c:tx>
            <c:strRef>
              <c:f>Graph1!$O$4</c:f>
              <c:strCache>
                <c:ptCount val="1"/>
                <c:pt idx="0">
                  <c:v>informal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Graph1!$A$5:$A$25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Graph1!$O$5:$O$25</c:f>
              <c:numCache>
                <c:formatCode>0%</c:formatCode>
                <c:ptCount val="21"/>
                <c:pt idx="0">
                  <c:v>0.29826589595375724</c:v>
                </c:pt>
                <c:pt idx="1">
                  <c:v>0.27945205479452057</c:v>
                </c:pt>
                <c:pt idx="2">
                  <c:v>0.34219269102990035</c:v>
                </c:pt>
                <c:pt idx="3">
                  <c:v>0.32463768115942027</c:v>
                </c:pt>
                <c:pt idx="4">
                  <c:v>0.36470588235294116</c:v>
                </c:pt>
                <c:pt idx="5">
                  <c:v>0.28876508820798513</c:v>
                </c:pt>
                <c:pt idx="6">
                  <c:v>0.32695984703632885</c:v>
                </c:pt>
                <c:pt idx="7">
                  <c:v>0.31684334511189632</c:v>
                </c:pt>
                <c:pt idx="8">
                  <c:v>0.31682027649769584</c:v>
                </c:pt>
                <c:pt idx="9">
                  <c:v>0.31965944272445823</c:v>
                </c:pt>
                <c:pt idx="10">
                  <c:v>0.362540192926045</c:v>
                </c:pt>
                <c:pt idx="11">
                  <c:v>0.37189292543021035</c:v>
                </c:pt>
                <c:pt idx="12">
                  <c:v>0.36979670861568248</c:v>
                </c:pt>
                <c:pt idx="13">
                  <c:v>0.35766423357664234</c:v>
                </c:pt>
                <c:pt idx="14">
                  <c:v>0.36598746081504702</c:v>
                </c:pt>
                <c:pt idx="15">
                  <c:v>0.37957446808510636</c:v>
                </c:pt>
                <c:pt idx="16">
                  <c:v>0.39076376554174069</c:v>
                </c:pt>
                <c:pt idx="17">
                  <c:v>0.36235955056179775</c:v>
                </c:pt>
                <c:pt idx="18">
                  <c:v>0.27243589743589741</c:v>
                </c:pt>
                <c:pt idx="19">
                  <c:v>0.28135593220338984</c:v>
                </c:pt>
                <c:pt idx="20">
                  <c:v>0.24206815511163338</c:v>
                </c:pt>
              </c:numCache>
            </c:numRef>
          </c:val>
          <c:smooth val="0"/>
          <c:extLst>
            <c:ext xmlns:c16="http://schemas.microsoft.com/office/drawing/2014/chart" uri="{C3380CC4-5D6E-409C-BE32-E72D297353CC}">
              <c16:uniqueId val="{00000001-8F6B-4047-B4E4-3CE8CACEED8A}"/>
            </c:ext>
          </c:extLst>
        </c:ser>
        <c:ser>
          <c:idx val="2"/>
          <c:order val="2"/>
          <c:tx>
            <c:strRef>
              <c:f>Graph1!$P$4</c:f>
              <c:strCache>
                <c:ptCount val="1"/>
                <c:pt idx="0">
                  <c:v>TPO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Graph1!$A$5:$A$25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Graph1!$P$5:$P$25</c:f>
              <c:numCache>
                <c:formatCode>0%</c:formatCode>
                <c:ptCount val="21"/>
                <c:pt idx="0">
                  <c:v>1.1560693641618497E-2</c:v>
                </c:pt>
                <c:pt idx="1">
                  <c:v>1.5753424657534248E-2</c:v>
                </c:pt>
                <c:pt idx="2">
                  <c:v>9.1362126245847185E-3</c:v>
                </c:pt>
                <c:pt idx="3">
                  <c:v>1.1594202898550725E-2</c:v>
                </c:pt>
                <c:pt idx="4">
                  <c:v>6.4171122994652408E-3</c:v>
                </c:pt>
                <c:pt idx="5">
                  <c:v>1.1142061281337047E-2</c:v>
                </c:pt>
                <c:pt idx="6">
                  <c:v>1.6252390057361378E-2</c:v>
                </c:pt>
                <c:pt idx="7">
                  <c:v>5.8892815076560662E-3</c:v>
                </c:pt>
                <c:pt idx="8">
                  <c:v>2.6497695852534562E-2</c:v>
                </c:pt>
                <c:pt idx="9">
                  <c:v>2.1671826625386997E-2</c:v>
                </c:pt>
                <c:pt idx="10">
                  <c:v>2.652733118971061E-2</c:v>
                </c:pt>
                <c:pt idx="11">
                  <c:v>2.4856596558317401E-2</c:v>
                </c:pt>
                <c:pt idx="12">
                  <c:v>2.904162633107454E-2</c:v>
                </c:pt>
                <c:pt idx="13">
                  <c:v>3.8686131386861312E-2</c:v>
                </c:pt>
                <c:pt idx="14">
                  <c:v>4.4670846394984323E-2</c:v>
                </c:pt>
                <c:pt idx="15">
                  <c:v>4.0851063829787232E-2</c:v>
                </c:pt>
                <c:pt idx="16">
                  <c:v>2.3978685612788632E-2</c:v>
                </c:pt>
                <c:pt idx="17">
                  <c:v>8.988764044943821E-3</c:v>
                </c:pt>
                <c:pt idx="18">
                  <c:v>2.1634615384615384E-2</c:v>
                </c:pt>
                <c:pt idx="19">
                  <c:v>3.1638418079096044E-2</c:v>
                </c:pt>
                <c:pt idx="20">
                  <c:v>4.465334900117509E-2</c:v>
                </c:pt>
              </c:numCache>
            </c:numRef>
          </c:val>
          <c:smooth val="0"/>
          <c:extLst>
            <c:ext xmlns:c16="http://schemas.microsoft.com/office/drawing/2014/chart" uri="{C3380CC4-5D6E-409C-BE32-E72D297353CC}">
              <c16:uniqueId val="{00000002-8F6B-4047-B4E4-3CE8CACEED8A}"/>
            </c:ext>
          </c:extLst>
        </c:ser>
        <c:ser>
          <c:idx val="3"/>
          <c:order val="3"/>
          <c:tx>
            <c:strRef>
              <c:f>Graph1!$Q$4</c:f>
              <c:strCache>
                <c:ptCount val="1"/>
                <c:pt idx="0">
                  <c:v>Other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Graph1!$A$5:$A$25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Graph1!$Q$5:$Q$25</c:f>
              <c:numCache>
                <c:formatCode>0%</c:formatCode>
                <c:ptCount val="21"/>
                <c:pt idx="0">
                  <c:v>3.0057803468208091E-2</c:v>
                </c:pt>
                <c:pt idx="1">
                  <c:v>4.3150684931506852E-2</c:v>
                </c:pt>
                <c:pt idx="2">
                  <c:v>4.5681063122923589E-2</c:v>
                </c:pt>
                <c:pt idx="3">
                  <c:v>5.1207729468599035E-2</c:v>
                </c:pt>
                <c:pt idx="4">
                  <c:v>2.5668449197860963E-2</c:v>
                </c:pt>
                <c:pt idx="5">
                  <c:v>3.4354688950789226E-2</c:v>
                </c:pt>
                <c:pt idx="6">
                  <c:v>4.9713193116634802E-2</c:v>
                </c:pt>
                <c:pt idx="7">
                  <c:v>3.6513545347467612E-2</c:v>
                </c:pt>
                <c:pt idx="8">
                  <c:v>5.0691244239631339E-2</c:v>
                </c:pt>
                <c:pt idx="9">
                  <c:v>4.2569659442724457E-2</c:v>
                </c:pt>
                <c:pt idx="10">
                  <c:v>3.8585209003215437E-2</c:v>
                </c:pt>
                <c:pt idx="11">
                  <c:v>3.6328871892925434E-2</c:v>
                </c:pt>
                <c:pt idx="12">
                  <c:v>4.2594385285575992E-2</c:v>
                </c:pt>
                <c:pt idx="13">
                  <c:v>4.0875912408759124E-2</c:v>
                </c:pt>
                <c:pt idx="14">
                  <c:v>4.2319749216300939E-2</c:v>
                </c:pt>
                <c:pt idx="15">
                  <c:v>4.425531914893617E-2</c:v>
                </c:pt>
                <c:pt idx="16">
                  <c:v>3.9076376554174071E-2</c:v>
                </c:pt>
                <c:pt idx="17">
                  <c:v>3.2022471910112357E-2</c:v>
                </c:pt>
                <c:pt idx="18">
                  <c:v>3.8461538461538464E-2</c:v>
                </c:pt>
                <c:pt idx="19">
                  <c:v>5.19774011299435E-2</c:v>
                </c:pt>
                <c:pt idx="20">
                  <c:v>2.9377203290246769E-2</c:v>
                </c:pt>
              </c:numCache>
            </c:numRef>
          </c:val>
          <c:smooth val="0"/>
          <c:extLst>
            <c:ext xmlns:c16="http://schemas.microsoft.com/office/drawing/2014/chart" uri="{C3380CC4-5D6E-409C-BE32-E72D297353CC}">
              <c16:uniqueId val="{00000003-8F6B-4047-B4E4-3CE8CACEED8A}"/>
            </c:ext>
          </c:extLst>
        </c:ser>
        <c:dLbls>
          <c:showLegendKey val="0"/>
          <c:showVal val="0"/>
          <c:showCatName val="0"/>
          <c:showSerName val="0"/>
          <c:showPercent val="0"/>
          <c:showBubbleSize val="0"/>
        </c:dLbls>
        <c:marker val="1"/>
        <c:smooth val="0"/>
        <c:axId val="773397960"/>
        <c:axId val="773399600"/>
      </c:lineChart>
      <c:scatterChart>
        <c:scatterStyle val="lineMarker"/>
        <c:varyColors val="0"/>
        <c:ser>
          <c:idx val="4"/>
          <c:order val="4"/>
          <c:tx>
            <c:strRef>
              <c:f>Graph1!$A$30</c:f>
              <c:strCache>
                <c:ptCount val="1"/>
                <c:pt idx="0">
                  <c:v>MODAA</c:v>
                </c:pt>
              </c:strCache>
            </c:strRef>
          </c:tx>
          <c:spPr>
            <a:ln w="15875" cap="rnd">
              <a:solidFill>
                <a:schemeClr val="tx1"/>
              </a:solidFill>
              <a:prstDash val="sysDot"/>
              <a:round/>
            </a:ln>
            <a:effectLst/>
          </c:spPr>
          <c:marker>
            <c:symbol val="circle"/>
            <c:size val="5"/>
            <c:spPr>
              <a:solidFill>
                <a:schemeClr val="accent5"/>
              </a:solidFill>
              <a:ln w="9525">
                <a:solidFill>
                  <a:schemeClr val="accent5"/>
                </a:solidFill>
              </a:ln>
              <a:effectLst/>
            </c:spPr>
          </c:marker>
          <c:xVal>
            <c:numRef>
              <c:f>Graph1!$A$31:$A$32</c:f>
              <c:numCache>
                <c:formatCode>General</c:formatCode>
                <c:ptCount val="2"/>
                <c:pt idx="0">
                  <c:v>14</c:v>
                </c:pt>
                <c:pt idx="1">
                  <c:v>14</c:v>
                </c:pt>
              </c:numCache>
            </c:numRef>
          </c:xVal>
          <c:yVal>
            <c:numRef>
              <c:f>Graph1!$B$31:$B$32</c:f>
              <c:numCache>
                <c:formatCode>General</c:formatCode>
                <c:ptCount val="2"/>
                <c:pt idx="0">
                  <c:v>0</c:v>
                </c:pt>
                <c:pt idx="1">
                  <c:v>1</c:v>
                </c:pt>
              </c:numCache>
            </c:numRef>
          </c:yVal>
          <c:smooth val="0"/>
          <c:extLst>
            <c:ext xmlns:c16="http://schemas.microsoft.com/office/drawing/2014/chart" uri="{C3380CC4-5D6E-409C-BE32-E72D297353CC}">
              <c16:uniqueId val="{00000004-8F6B-4047-B4E4-3CE8CACEED8A}"/>
            </c:ext>
          </c:extLst>
        </c:ser>
        <c:dLbls>
          <c:showLegendKey val="0"/>
          <c:showVal val="0"/>
          <c:showCatName val="0"/>
          <c:showSerName val="0"/>
          <c:showPercent val="0"/>
          <c:showBubbleSize val="0"/>
        </c:dLbls>
        <c:axId val="773397960"/>
        <c:axId val="773399600"/>
      </c:scatterChart>
      <c:catAx>
        <c:axId val="77339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99600"/>
        <c:crosses val="autoZero"/>
        <c:auto val="1"/>
        <c:lblAlgn val="ctr"/>
        <c:lblOffset val="100"/>
        <c:noMultiLvlLbl val="0"/>
      </c:catAx>
      <c:valAx>
        <c:axId val="77339960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9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Graph1_all!$F$4</c:f>
              <c:strCache>
                <c:ptCount val="1"/>
                <c:pt idx="0">
                  <c:v>PERCENT NON-COURT</c:v>
                </c:pt>
              </c:strCache>
            </c:strRef>
          </c:tx>
          <c:spPr>
            <a:ln w="15875" cap="rnd">
              <a:solidFill>
                <a:schemeClr val="accent1"/>
              </a:solidFill>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prstDash val="dash"/>
              </a:ln>
              <a:effectLst/>
            </c:spPr>
            <c:trendlineType val="linear"/>
            <c:dispRSqr val="0"/>
            <c:dispEq val="0"/>
          </c:trendline>
          <c:cat>
            <c:strRef>
              <c:f>Graph1_all!$A$5:$A$25</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Graph1_all!$F$5:$F$25</c:f>
              <c:numCache>
                <c:formatCode>0%</c:formatCode>
                <c:ptCount val="21"/>
                <c:pt idx="0">
                  <c:v>0.41689560439560441</c:v>
                </c:pt>
                <c:pt idx="1">
                  <c:v>0.44708882277943052</c:v>
                </c:pt>
                <c:pt idx="2">
                  <c:v>0.46842105263157896</c:v>
                </c:pt>
                <c:pt idx="3">
                  <c:v>0.44242068155111636</c:v>
                </c:pt>
                <c:pt idx="4">
                  <c:v>0.39815950920245397</c:v>
                </c:pt>
                <c:pt idx="5">
                  <c:v>0.35053653551354114</c:v>
                </c:pt>
                <c:pt idx="6">
                  <c:v>0.41842397336293008</c:v>
                </c:pt>
                <c:pt idx="7">
                  <c:v>0.37467362924281983</c:v>
                </c:pt>
                <c:pt idx="8">
                  <c:v>0.3872010342598578</c:v>
                </c:pt>
                <c:pt idx="9">
                  <c:v>0.39589041095890409</c:v>
                </c:pt>
                <c:pt idx="10">
                  <c:v>0.44427786106946526</c:v>
                </c:pt>
                <c:pt idx="11">
                  <c:v>0.44020213363279059</c:v>
                </c:pt>
                <c:pt idx="12">
                  <c:v>0.4408482142857143</c:v>
                </c:pt>
                <c:pt idx="13">
                  <c:v>0.41812984891792571</c:v>
                </c:pt>
                <c:pt idx="14">
                  <c:v>0.48448905109489049</c:v>
                </c:pt>
                <c:pt idx="15">
                  <c:v>0.53484923381117155</c:v>
                </c:pt>
                <c:pt idx="16">
                  <c:v>0.49581074420896992</c:v>
                </c:pt>
                <c:pt idx="17">
                  <c:v>0.54686423156443831</c:v>
                </c:pt>
                <c:pt idx="18">
                  <c:v>0.55663587749149246</c:v>
                </c:pt>
                <c:pt idx="19">
                  <c:v>0.55209024552090247</c:v>
                </c:pt>
                <c:pt idx="20">
                  <c:v>0.58244111349036398</c:v>
                </c:pt>
              </c:numCache>
            </c:numRef>
          </c:val>
          <c:smooth val="0"/>
          <c:extLst>
            <c:ext xmlns:c16="http://schemas.microsoft.com/office/drawing/2014/chart" uri="{C3380CC4-5D6E-409C-BE32-E72D297353CC}">
              <c16:uniqueId val="{00000001-AFC9-4DAB-AE85-7F310937D8A5}"/>
            </c:ext>
          </c:extLst>
        </c:ser>
        <c:dLbls>
          <c:showLegendKey val="0"/>
          <c:showVal val="0"/>
          <c:showCatName val="0"/>
          <c:showSerName val="0"/>
          <c:showPercent val="0"/>
          <c:showBubbleSize val="0"/>
        </c:dLbls>
        <c:marker val="1"/>
        <c:smooth val="0"/>
        <c:axId val="440907160"/>
        <c:axId val="440899944"/>
      </c:lineChart>
      <c:scatterChart>
        <c:scatterStyle val="lineMarker"/>
        <c:varyColors val="0"/>
        <c:ser>
          <c:idx val="1"/>
          <c:order val="1"/>
          <c:tx>
            <c:strRef>
              <c:f>Graph1_all!$A$29</c:f>
              <c:strCache>
                <c:ptCount val="1"/>
                <c:pt idx="0">
                  <c:v>MODAA</c:v>
                </c:pt>
              </c:strCache>
            </c:strRef>
          </c:tx>
          <c:spPr>
            <a:ln w="12700" cap="rnd">
              <a:solidFill>
                <a:schemeClr val="tx1"/>
              </a:solidFill>
              <a:prstDash val="sysDot"/>
              <a:round/>
            </a:ln>
            <a:effectLst/>
          </c:spPr>
          <c:marker>
            <c:symbol val="none"/>
          </c:marker>
          <c:xVal>
            <c:numRef>
              <c:f>Graph1_all!$A$30:$A$31</c:f>
              <c:numCache>
                <c:formatCode>General</c:formatCode>
                <c:ptCount val="2"/>
                <c:pt idx="0">
                  <c:v>14</c:v>
                </c:pt>
                <c:pt idx="1">
                  <c:v>14</c:v>
                </c:pt>
              </c:numCache>
            </c:numRef>
          </c:xVal>
          <c:yVal>
            <c:numRef>
              <c:f>Graph1_all!$B$30:$B$31</c:f>
              <c:numCache>
                <c:formatCode>General</c:formatCode>
                <c:ptCount val="2"/>
                <c:pt idx="0">
                  <c:v>0</c:v>
                </c:pt>
                <c:pt idx="1">
                  <c:v>1</c:v>
                </c:pt>
              </c:numCache>
            </c:numRef>
          </c:yVal>
          <c:smooth val="0"/>
          <c:extLst>
            <c:ext xmlns:c16="http://schemas.microsoft.com/office/drawing/2014/chart" uri="{C3380CC4-5D6E-409C-BE32-E72D297353CC}">
              <c16:uniqueId val="{00000002-AFC9-4DAB-AE85-7F310937D8A5}"/>
            </c:ext>
          </c:extLst>
        </c:ser>
        <c:dLbls>
          <c:showLegendKey val="0"/>
          <c:showVal val="0"/>
          <c:showCatName val="0"/>
          <c:showSerName val="0"/>
          <c:showPercent val="0"/>
          <c:showBubbleSize val="0"/>
        </c:dLbls>
        <c:axId val="440907160"/>
        <c:axId val="440899944"/>
      </c:scatterChart>
      <c:catAx>
        <c:axId val="44090716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0899944"/>
        <c:crosses val="autoZero"/>
        <c:auto val="1"/>
        <c:lblAlgn val="ctr"/>
        <c:lblOffset val="100"/>
        <c:noMultiLvlLbl val="0"/>
      </c:catAx>
      <c:valAx>
        <c:axId val="440899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0907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1735706949674"/>
          <c:y val="5.441503833786792E-2"/>
          <c:w val="0.86632492881097434"/>
          <c:h val="0.62926843518787212"/>
        </c:manualLayout>
      </c:layout>
      <c:lineChart>
        <c:grouping val="standard"/>
        <c:varyColors val="0"/>
        <c:ser>
          <c:idx val="0"/>
          <c:order val="0"/>
          <c:tx>
            <c:strRef>
              <c:f>Graph4!$K$5</c:f>
              <c:strCache>
                <c:ptCount val="1"/>
                <c:pt idx="0">
                  <c:v>1ST TIME</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cat>
            <c:strRef>
              <c:f>Graph4!$A$6:$A$26</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Graph4!$K$6:$K$26</c:f>
              <c:numCache>
                <c:formatCode>0%</c:formatCode>
                <c:ptCount val="21"/>
                <c:pt idx="0">
                  <c:v>0.84328358208955223</c:v>
                </c:pt>
                <c:pt idx="1">
                  <c:v>0.83627204030226698</c:v>
                </c:pt>
                <c:pt idx="2">
                  <c:v>0.85029940119760483</c:v>
                </c:pt>
                <c:pt idx="3">
                  <c:v>0.85396825396825393</c:v>
                </c:pt>
                <c:pt idx="4">
                  <c:v>0.87096774193548387</c:v>
                </c:pt>
                <c:pt idx="5">
                  <c:v>0.80656934306569339</c:v>
                </c:pt>
                <c:pt idx="6">
                  <c:v>0.80212014134275622</c:v>
                </c:pt>
                <c:pt idx="7">
                  <c:v>0.82377049180327866</c:v>
                </c:pt>
                <c:pt idx="8">
                  <c:v>0.83966244725738393</c:v>
                </c:pt>
                <c:pt idx="9">
                  <c:v>0.86956521739130432</c:v>
                </c:pt>
                <c:pt idx="10">
                  <c:v>0.90853658536585369</c:v>
                </c:pt>
                <c:pt idx="11">
                  <c:v>0.89130434782608692</c:v>
                </c:pt>
                <c:pt idx="12">
                  <c:v>0.91512915129151295</c:v>
                </c:pt>
                <c:pt idx="13">
                  <c:v>0.89173789173789175</c:v>
                </c:pt>
                <c:pt idx="14">
                  <c:v>0.90614886731391586</c:v>
                </c:pt>
                <c:pt idx="15">
                  <c:v>0.94059405940594054</c:v>
                </c:pt>
                <c:pt idx="16">
                  <c:v>0.9285714285714286</c:v>
                </c:pt>
                <c:pt idx="17">
                  <c:v>0.93029490616621979</c:v>
                </c:pt>
                <c:pt idx="18">
                  <c:v>0.94769230769230772</c:v>
                </c:pt>
                <c:pt idx="19">
                  <c:v>0.88841201716738194</c:v>
                </c:pt>
                <c:pt idx="20">
                  <c:v>0.96363636363636362</c:v>
                </c:pt>
              </c:numCache>
            </c:numRef>
          </c:val>
          <c:smooth val="0"/>
          <c:extLst>
            <c:ext xmlns:c16="http://schemas.microsoft.com/office/drawing/2014/chart" uri="{C3380CC4-5D6E-409C-BE32-E72D297353CC}">
              <c16:uniqueId val="{00000000-C5BC-403C-B3C0-3B4A9A768AFC}"/>
            </c:ext>
          </c:extLst>
        </c:ser>
        <c:ser>
          <c:idx val="1"/>
          <c:order val="1"/>
          <c:tx>
            <c:strRef>
              <c:f>Graph4!$L$5</c:f>
              <c:strCache>
                <c:ptCount val="1"/>
                <c:pt idx="0">
                  <c:v>REPEAT</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cat>
            <c:strRef>
              <c:f>Graph4!$A$6:$A$26</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Graph4!$L$6:$L$26</c:f>
              <c:numCache>
                <c:formatCode>0%</c:formatCode>
                <c:ptCount val="21"/>
                <c:pt idx="0">
                  <c:v>0.53936348408710222</c:v>
                </c:pt>
                <c:pt idx="1">
                  <c:v>0.58889934148635936</c:v>
                </c:pt>
                <c:pt idx="2">
                  <c:v>0.60804597701149421</c:v>
                </c:pt>
                <c:pt idx="3">
                  <c:v>0.58194444444444449</c:v>
                </c:pt>
                <c:pt idx="4">
                  <c:v>0.53566229985443958</c:v>
                </c:pt>
                <c:pt idx="5">
                  <c:v>0.50809464508094648</c:v>
                </c:pt>
                <c:pt idx="6">
                  <c:v>0.57011795543905641</c:v>
                </c:pt>
                <c:pt idx="7">
                  <c:v>0.48760330578512395</c:v>
                </c:pt>
                <c:pt idx="8">
                  <c:v>0.53407290015847864</c:v>
                </c:pt>
                <c:pt idx="9">
                  <c:v>0.52366565961732126</c:v>
                </c:pt>
                <c:pt idx="10">
                  <c:v>0.55021834061135366</c:v>
                </c:pt>
                <c:pt idx="11">
                  <c:v>0.60649350649350653</c:v>
                </c:pt>
                <c:pt idx="12">
                  <c:v>0.59580052493438318</c:v>
                </c:pt>
                <c:pt idx="13">
                  <c:v>0.58586849852796863</c:v>
                </c:pt>
                <c:pt idx="14">
                  <c:v>0.66287487073422957</c:v>
                </c:pt>
                <c:pt idx="15">
                  <c:v>0.68807339449541283</c:v>
                </c:pt>
                <c:pt idx="16">
                  <c:v>0.68604651162790697</c:v>
                </c:pt>
                <c:pt idx="17">
                  <c:v>0.7178393745557925</c:v>
                </c:pt>
                <c:pt idx="18">
                  <c:v>0.71614301191765983</c:v>
                </c:pt>
                <c:pt idx="19">
                  <c:v>0.76073619631901845</c:v>
                </c:pt>
                <c:pt idx="20">
                  <c:v>0.77020602218700474</c:v>
                </c:pt>
              </c:numCache>
            </c:numRef>
          </c:val>
          <c:smooth val="0"/>
          <c:extLst>
            <c:ext xmlns:c16="http://schemas.microsoft.com/office/drawing/2014/chart" uri="{C3380CC4-5D6E-409C-BE32-E72D297353CC}">
              <c16:uniqueId val="{00000001-C5BC-403C-B3C0-3B4A9A768AFC}"/>
            </c:ext>
          </c:extLst>
        </c:ser>
        <c:dLbls>
          <c:showLegendKey val="0"/>
          <c:showVal val="0"/>
          <c:showCatName val="0"/>
          <c:showSerName val="0"/>
          <c:showPercent val="0"/>
          <c:showBubbleSize val="0"/>
        </c:dLbls>
        <c:marker val="1"/>
        <c:smooth val="0"/>
        <c:axId val="768405344"/>
        <c:axId val="768401736"/>
      </c:lineChart>
      <c:scatterChart>
        <c:scatterStyle val="lineMarker"/>
        <c:varyColors val="0"/>
        <c:ser>
          <c:idx val="2"/>
          <c:order val="2"/>
          <c:tx>
            <c:strRef>
              <c:f>Graph4!$A$29</c:f>
              <c:strCache>
                <c:ptCount val="1"/>
                <c:pt idx="0">
                  <c:v>MODAA</c:v>
                </c:pt>
              </c:strCache>
            </c:strRef>
          </c:tx>
          <c:spPr>
            <a:ln w="12700" cap="rnd">
              <a:solidFill>
                <a:schemeClr val="accent3"/>
              </a:solidFill>
              <a:prstDash val="sysDash"/>
              <a:round/>
            </a:ln>
            <a:effectLst/>
          </c:spPr>
          <c:marker>
            <c:symbol val="none"/>
          </c:marker>
          <c:xVal>
            <c:numRef>
              <c:f>Graph4!$A$30:$A$31</c:f>
              <c:numCache>
                <c:formatCode>General</c:formatCode>
                <c:ptCount val="2"/>
                <c:pt idx="0">
                  <c:v>14</c:v>
                </c:pt>
                <c:pt idx="1">
                  <c:v>14</c:v>
                </c:pt>
              </c:numCache>
            </c:numRef>
          </c:xVal>
          <c:yVal>
            <c:numRef>
              <c:f>Graph4!$B$30:$B$31</c:f>
              <c:numCache>
                <c:formatCode>General</c:formatCode>
                <c:ptCount val="2"/>
                <c:pt idx="0">
                  <c:v>0</c:v>
                </c:pt>
                <c:pt idx="1">
                  <c:v>1</c:v>
                </c:pt>
              </c:numCache>
            </c:numRef>
          </c:yVal>
          <c:smooth val="0"/>
          <c:extLst>
            <c:ext xmlns:c16="http://schemas.microsoft.com/office/drawing/2014/chart" uri="{C3380CC4-5D6E-409C-BE32-E72D297353CC}">
              <c16:uniqueId val="{00000002-C5BC-403C-B3C0-3B4A9A768AFC}"/>
            </c:ext>
          </c:extLst>
        </c:ser>
        <c:dLbls>
          <c:showLegendKey val="0"/>
          <c:showVal val="0"/>
          <c:showCatName val="0"/>
          <c:showSerName val="0"/>
          <c:showPercent val="0"/>
          <c:showBubbleSize val="0"/>
        </c:dLbls>
        <c:axId val="768405344"/>
        <c:axId val="768401736"/>
      </c:scatterChart>
      <c:catAx>
        <c:axId val="7684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01736"/>
        <c:crosses val="autoZero"/>
        <c:auto val="1"/>
        <c:lblAlgn val="ctr"/>
        <c:lblOffset val="100"/>
        <c:noMultiLvlLbl val="0"/>
      </c:catAx>
      <c:valAx>
        <c:axId val="768401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 6'!$H$6</c:f>
              <c:strCache>
                <c:ptCount val="1"/>
                <c:pt idx="0">
                  <c:v>&lt;=17</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cat>
            <c:strRef>
              <c:f>'Graph 6'!$A$7:$A$27</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 6'!$H$7:$H$27</c:f>
              <c:numCache>
                <c:formatCode>0%</c:formatCode>
                <c:ptCount val="21"/>
                <c:pt idx="0">
                  <c:v>0.91208791208791207</c:v>
                </c:pt>
                <c:pt idx="1">
                  <c:v>0.88516746411483249</c:v>
                </c:pt>
                <c:pt idx="2">
                  <c:v>0.92592592592592593</c:v>
                </c:pt>
                <c:pt idx="3">
                  <c:v>0.91200000000000003</c:v>
                </c:pt>
                <c:pt idx="4">
                  <c:v>0.90740740740740744</c:v>
                </c:pt>
                <c:pt idx="5">
                  <c:v>0.80808080808080807</c:v>
                </c:pt>
                <c:pt idx="6">
                  <c:v>0.88976377952755903</c:v>
                </c:pt>
                <c:pt idx="7">
                  <c:v>0.9135802469135802</c:v>
                </c:pt>
                <c:pt idx="8">
                  <c:v>0.92307692307692313</c:v>
                </c:pt>
                <c:pt idx="9">
                  <c:v>0.92024539877300615</c:v>
                </c:pt>
                <c:pt idx="10">
                  <c:v>0.9308176100628931</c:v>
                </c:pt>
                <c:pt idx="11">
                  <c:v>0.9152542372881356</c:v>
                </c:pt>
                <c:pt idx="12">
                  <c:v>0.93805309734513276</c:v>
                </c:pt>
                <c:pt idx="13">
                  <c:v>0.92</c:v>
                </c:pt>
                <c:pt idx="14">
                  <c:v>0.97115384615384615</c:v>
                </c:pt>
                <c:pt idx="15">
                  <c:v>0.9363636363636364</c:v>
                </c:pt>
                <c:pt idx="16">
                  <c:v>0.96551724137931039</c:v>
                </c:pt>
                <c:pt idx="17">
                  <c:v>0.97241379310344822</c:v>
                </c:pt>
                <c:pt idx="18">
                  <c:v>0.98113207547169812</c:v>
                </c:pt>
                <c:pt idx="19">
                  <c:v>1</c:v>
                </c:pt>
                <c:pt idx="20">
                  <c:v>1</c:v>
                </c:pt>
              </c:numCache>
            </c:numRef>
          </c:val>
          <c:smooth val="0"/>
          <c:extLst>
            <c:ext xmlns:c16="http://schemas.microsoft.com/office/drawing/2014/chart" uri="{C3380CC4-5D6E-409C-BE32-E72D297353CC}">
              <c16:uniqueId val="{00000000-94FE-43D4-B1EB-631FDA664B90}"/>
            </c:ext>
          </c:extLst>
        </c:ser>
        <c:ser>
          <c:idx val="1"/>
          <c:order val="1"/>
          <c:tx>
            <c:strRef>
              <c:f>'Graph 6'!$I$6</c:f>
              <c:strCache>
                <c:ptCount val="1"/>
                <c:pt idx="0">
                  <c:v>&gt;=18</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cat>
            <c:strRef>
              <c:f>'Graph 6'!$A$7:$A$27</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 6'!$I$7:$I$27</c:f>
              <c:numCache>
                <c:formatCode>0%</c:formatCode>
                <c:ptCount val="21"/>
                <c:pt idx="0">
                  <c:v>0.60077519379844957</c:v>
                </c:pt>
                <c:pt idx="1">
                  <c:v>0.61790567545963226</c:v>
                </c:pt>
                <c:pt idx="2">
                  <c:v>0.6362763915547025</c:v>
                </c:pt>
                <c:pt idx="3">
                  <c:v>0.63076923076923075</c:v>
                </c:pt>
                <c:pt idx="4">
                  <c:v>0.5876662636033857</c:v>
                </c:pt>
                <c:pt idx="5">
                  <c:v>0.5609007164790174</c:v>
                </c:pt>
                <c:pt idx="6">
                  <c:v>0.59738846572361259</c:v>
                </c:pt>
                <c:pt idx="7">
                  <c:v>0.54947916666666663</c:v>
                </c:pt>
                <c:pt idx="8">
                  <c:v>0.5759162303664922</c:v>
                </c:pt>
                <c:pt idx="9">
                  <c:v>0.55762411347517726</c:v>
                </c:pt>
                <c:pt idx="10">
                  <c:v>0.60239852398523985</c:v>
                </c:pt>
                <c:pt idx="11">
                  <c:v>0.65193965517241381</c:v>
                </c:pt>
                <c:pt idx="12">
                  <c:v>0.64782608695652177</c:v>
                </c:pt>
                <c:pt idx="13">
                  <c:v>0.63278688524590165</c:v>
                </c:pt>
                <c:pt idx="14">
                  <c:v>0.69965870307167233</c:v>
                </c:pt>
                <c:pt idx="15">
                  <c:v>0.73427230046948355</c:v>
                </c:pt>
                <c:pt idx="16">
                  <c:v>0.72473532242540906</c:v>
                </c:pt>
                <c:pt idx="17">
                  <c:v>0.74373088685015287</c:v>
                </c:pt>
                <c:pt idx="18">
                  <c:v>0.75744308231173385</c:v>
                </c:pt>
                <c:pt idx="19">
                  <c:v>0.77503090234857852</c:v>
                </c:pt>
                <c:pt idx="20">
                  <c:v>0.80657395701643486</c:v>
                </c:pt>
              </c:numCache>
            </c:numRef>
          </c:val>
          <c:smooth val="0"/>
          <c:extLst>
            <c:ext xmlns:c16="http://schemas.microsoft.com/office/drawing/2014/chart" uri="{C3380CC4-5D6E-409C-BE32-E72D297353CC}">
              <c16:uniqueId val="{00000001-94FE-43D4-B1EB-631FDA664B90}"/>
            </c:ext>
          </c:extLst>
        </c:ser>
        <c:dLbls>
          <c:showLegendKey val="0"/>
          <c:showVal val="0"/>
          <c:showCatName val="0"/>
          <c:showSerName val="0"/>
          <c:showPercent val="0"/>
          <c:showBubbleSize val="0"/>
        </c:dLbls>
        <c:marker val="1"/>
        <c:smooth val="0"/>
        <c:axId val="689334656"/>
        <c:axId val="689334000"/>
      </c:lineChart>
      <c:scatterChart>
        <c:scatterStyle val="lineMarker"/>
        <c:varyColors val="0"/>
        <c:ser>
          <c:idx val="2"/>
          <c:order val="2"/>
          <c:tx>
            <c:strRef>
              <c:f>'Graph 6'!$A$30</c:f>
              <c:strCache>
                <c:ptCount val="1"/>
                <c:pt idx="0">
                  <c:v>MODAA</c:v>
                </c:pt>
              </c:strCache>
            </c:strRef>
          </c:tx>
          <c:spPr>
            <a:ln w="12700" cap="rnd">
              <a:solidFill>
                <a:schemeClr val="accent3"/>
              </a:solidFill>
              <a:prstDash val="sysDot"/>
              <a:round/>
            </a:ln>
            <a:effectLst/>
          </c:spPr>
          <c:marker>
            <c:symbol val="circle"/>
            <c:size val="5"/>
            <c:spPr>
              <a:solidFill>
                <a:schemeClr val="accent3"/>
              </a:solidFill>
              <a:ln w="9525">
                <a:solidFill>
                  <a:schemeClr val="accent3"/>
                </a:solidFill>
              </a:ln>
              <a:effectLst/>
            </c:spPr>
          </c:marker>
          <c:xVal>
            <c:numRef>
              <c:f>'Graph 6'!$A$31:$A$32</c:f>
              <c:numCache>
                <c:formatCode>General</c:formatCode>
                <c:ptCount val="2"/>
                <c:pt idx="0">
                  <c:v>14</c:v>
                </c:pt>
                <c:pt idx="1">
                  <c:v>14</c:v>
                </c:pt>
              </c:numCache>
            </c:numRef>
          </c:xVal>
          <c:yVal>
            <c:numRef>
              <c:f>'Graph 6'!$B$31:$B$32</c:f>
              <c:numCache>
                <c:formatCode>General</c:formatCode>
                <c:ptCount val="2"/>
                <c:pt idx="0">
                  <c:v>0</c:v>
                </c:pt>
                <c:pt idx="1">
                  <c:v>1</c:v>
                </c:pt>
              </c:numCache>
            </c:numRef>
          </c:yVal>
          <c:smooth val="0"/>
          <c:extLst>
            <c:ext xmlns:c16="http://schemas.microsoft.com/office/drawing/2014/chart" uri="{C3380CC4-5D6E-409C-BE32-E72D297353CC}">
              <c16:uniqueId val="{00000002-94FE-43D4-B1EB-631FDA664B90}"/>
            </c:ext>
          </c:extLst>
        </c:ser>
        <c:dLbls>
          <c:showLegendKey val="0"/>
          <c:showVal val="0"/>
          <c:showCatName val="0"/>
          <c:showSerName val="0"/>
          <c:showPercent val="0"/>
          <c:showBubbleSize val="0"/>
        </c:dLbls>
        <c:axId val="689334656"/>
        <c:axId val="689334000"/>
      </c:scatterChart>
      <c:catAx>
        <c:axId val="6893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34000"/>
        <c:crosses val="autoZero"/>
        <c:auto val="1"/>
        <c:lblAlgn val="ctr"/>
        <c:lblOffset val="100"/>
        <c:noMultiLvlLbl val="0"/>
      </c:catAx>
      <c:valAx>
        <c:axId val="6893340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3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GRAPH3!$U$5</c:f>
              <c:strCache>
                <c:ptCount val="1"/>
                <c:pt idx="0">
                  <c:v>Cannabis</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cat>
            <c:strRef>
              <c:f>GRAPH3!$A$6:$A$26</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GRAPH3!$U$6:$U$26</c:f>
              <c:numCache>
                <c:formatCode>0%</c:formatCode>
                <c:ptCount val="21"/>
                <c:pt idx="0">
                  <c:v>0.74362606232294615</c:v>
                </c:pt>
                <c:pt idx="1">
                  <c:v>0.74737691686844232</c:v>
                </c:pt>
                <c:pt idx="2">
                  <c:v>0.78230616302186884</c:v>
                </c:pt>
                <c:pt idx="3">
                  <c:v>0.79382716049382718</c:v>
                </c:pt>
                <c:pt idx="4">
                  <c:v>0.74898236092265946</c:v>
                </c:pt>
                <c:pt idx="5">
                  <c:v>0.68438914027149322</c:v>
                </c:pt>
                <c:pt idx="6">
                  <c:v>0.72684642438452518</c:v>
                </c:pt>
                <c:pt idx="7">
                  <c:v>0.70892018779342725</c:v>
                </c:pt>
                <c:pt idx="8">
                  <c:v>0.73559822747415071</c:v>
                </c:pt>
                <c:pt idx="9">
                  <c:v>0.71168582375478928</c:v>
                </c:pt>
                <c:pt idx="10">
                  <c:v>0.77263581488933597</c:v>
                </c:pt>
                <c:pt idx="11">
                  <c:v>0.80778588807785889</c:v>
                </c:pt>
                <c:pt idx="12">
                  <c:v>0.81670822942643395</c:v>
                </c:pt>
                <c:pt idx="13">
                  <c:v>0.77096483318304776</c:v>
                </c:pt>
                <c:pt idx="14">
                  <c:v>0.83333333333333337</c:v>
                </c:pt>
                <c:pt idx="15">
                  <c:v>0.86263096623981372</c:v>
                </c:pt>
                <c:pt idx="16">
                  <c:v>0.84615384615384615</c:v>
                </c:pt>
                <c:pt idx="17">
                  <c:v>0.83912747102931151</c:v>
                </c:pt>
                <c:pt idx="18">
                  <c:v>0.8737373737373737</c:v>
                </c:pt>
                <c:pt idx="19">
                  <c:v>0.89004457652303115</c:v>
                </c:pt>
                <c:pt idx="20">
                  <c:v>0.90620272314674732</c:v>
                </c:pt>
              </c:numCache>
            </c:numRef>
          </c:val>
          <c:smooth val="0"/>
          <c:extLst>
            <c:ext xmlns:c16="http://schemas.microsoft.com/office/drawing/2014/chart" uri="{C3380CC4-5D6E-409C-BE32-E72D297353CC}">
              <c16:uniqueId val="{00000000-7ECA-4CE9-A27D-EC052D4FC038}"/>
            </c:ext>
          </c:extLst>
        </c:ser>
        <c:ser>
          <c:idx val="1"/>
          <c:order val="1"/>
          <c:tx>
            <c:strRef>
              <c:f>GRAPH3!$V$5</c:f>
              <c:strCache>
                <c:ptCount val="1"/>
                <c:pt idx="0">
                  <c:v>Meth</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cat>
            <c:strRef>
              <c:f>GRAPH3!$A$6:$A$26</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GRAPH3!$V$6:$V$26</c:f>
              <c:numCache>
                <c:formatCode>0%</c:formatCode>
                <c:ptCount val="21"/>
                <c:pt idx="0">
                  <c:v>4.7619047619047616E-2</c:v>
                </c:pt>
                <c:pt idx="1">
                  <c:v>6.8571428571428575E-2</c:v>
                </c:pt>
                <c:pt idx="2">
                  <c:v>4.4871794871794872E-2</c:v>
                </c:pt>
                <c:pt idx="3">
                  <c:v>3.8216560509554139E-2</c:v>
                </c:pt>
                <c:pt idx="4">
                  <c:v>8.1250000000000003E-2</c:v>
                </c:pt>
                <c:pt idx="5">
                  <c:v>6.8322981366459631E-2</c:v>
                </c:pt>
                <c:pt idx="6">
                  <c:v>7.6388888888888895E-2</c:v>
                </c:pt>
                <c:pt idx="7">
                  <c:v>8.2191780821917804E-2</c:v>
                </c:pt>
                <c:pt idx="8">
                  <c:v>6.1224489795918366E-2</c:v>
                </c:pt>
                <c:pt idx="9">
                  <c:v>4.1666666666666664E-2</c:v>
                </c:pt>
                <c:pt idx="10">
                  <c:v>5.2884615384615384E-2</c:v>
                </c:pt>
                <c:pt idx="11">
                  <c:v>0.10227272727272728</c:v>
                </c:pt>
                <c:pt idx="12">
                  <c:v>8.0459770114942528E-2</c:v>
                </c:pt>
                <c:pt idx="13">
                  <c:v>8.1218274111675121E-2</c:v>
                </c:pt>
                <c:pt idx="14">
                  <c:v>0.25892857142857145</c:v>
                </c:pt>
                <c:pt idx="15">
                  <c:v>0.36363636363636365</c:v>
                </c:pt>
                <c:pt idx="16">
                  <c:v>0.40890688259109309</c:v>
                </c:pt>
                <c:pt idx="17">
                  <c:v>0.34412955465587042</c:v>
                </c:pt>
                <c:pt idx="18">
                  <c:v>0.34020618556701032</c:v>
                </c:pt>
                <c:pt idx="19">
                  <c:v>0.42748091603053434</c:v>
                </c:pt>
                <c:pt idx="20">
                  <c:v>0.48507462686567165</c:v>
                </c:pt>
              </c:numCache>
            </c:numRef>
          </c:val>
          <c:smooth val="0"/>
          <c:extLst>
            <c:ext xmlns:c16="http://schemas.microsoft.com/office/drawing/2014/chart" uri="{C3380CC4-5D6E-409C-BE32-E72D297353CC}">
              <c16:uniqueId val="{00000001-7ECA-4CE9-A27D-EC052D4FC038}"/>
            </c:ext>
          </c:extLst>
        </c:ser>
        <c:ser>
          <c:idx val="2"/>
          <c:order val="2"/>
          <c:tx>
            <c:strRef>
              <c:f>GRAPH3!$W$5</c:f>
              <c:strCache>
                <c:ptCount val="1"/>
                <c:pt idx="0">
                  <c:v>Other</c:v>
                </c:pt>
              </c:strCache>
            </c:strRef>
          </c:tx>
          <c:spPr>
            <a:ln w="15875" cap="rnd">
              <a:solidFill>
                <a:schemeClr val="accent3"/>
              </a:solidFill>
              <a:round/>
            </a:ln>
            <a:effectLst/>
          </c:spPr>
          <c:marker>
            <c:symbol val="circle"/>
            <c:size val="5"/>
            <c:spPr>
              <a:solidFill>
                <a:schemeClr val="accent3"/>
              </a:solidFill>
              <a:ln w="9525">
                <a:solidFill>
                  <a:schemeClr val="accent3"/>
                </a:solidFill>
              </a:ln>
              <a:effectLst/>
            </c:spPr>
          </c:marker>
          <c:cat>
            <c:strRef>
              <c:f>GRAPH3!$A$6:$A$26</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GRAPH3!$W$6:$W$26</c:f>
              <c:numCache>
                <c:formatCode>0%</c:formatCode>
                <c:ptCount val="21"/>
                <c:pt idx="0">
                  <c:v>0.51515151515151514</c:v>
                </c:pt>
                <c:pt idx="1">
                  <c:v>0.43478260869565216</c:v>
                </c:pt>
                <c:pt idx="2">
                  <c:v>0.45238095238095238</c:v>
                </c:pt>
                <c:pt idx="3">
                  <c:v>0.57352941176470584</c:v>
                </c:pt>
                <c:pt idx="4">
                  <c:v>0.5</c:v>
                </c:pt>
                <c:pt idx="5">
                  <c:v>0.40625</c:v>
                </c:pt>
                <c:pt idx="6">
                  <c:v>0.63265306122448983</c:v>
                </c:pt>
                <c:pt idx="7">
                  <c:v>0.484375</c:v>
                </c:pt>
                <c:pt idx="8">
                  <c:v>0.65909090909090906</c:v>
                </c:pt>
                <c:pt idx="9">
                  <c:v>0.5178571428571429</c:v>
                </c:pt>
                <c:pt idx="10">
                  <c:v>0.54761904761904767</c:v>
                </c:pt>
                <c:pt idx="11">
                  <c:v>0.64583333333333337</c:v>
                </c:pt>
                <c:pt idx="12">
                  <c:v>0.57894736842105265</c:v>
                </c:pt>
                <c:pt idx="13">
                  <c:v>0.609375</c:v>
                </c:pt>
                <c:pt idx="14">
                  <c:v>0.5892857142857143</c:v>
                </c:pt>
                <c:pt idx="15">
                  <c:v>0.7567567567567568</c:v>
                </c:pt>
                <c:pt idx="16">
                  <c:v>0.73972602739726023</c:v>
                </c:pt>
                <c:pt idx="17">
                  <c:v>0.62121212121212122</c:v>
                </c:pt>
                <c:pt idx="18">
                  <c:v>0.59375</c:v>
                </c:pt>
                <c:pt idx="19">
                  <c:v>0.59259259259259256</c:v>
                </c:pt>
                <c:pt idx="20">
                  <c:v>0.6071428571428571</c:v>
                </c:pt>
              </c:numCache>
            </c:numRef>
          </c:val>
          <c:smooth val="0"/>
          <c:extLst>
            <c:ext xmlns:c16="http://schemas.microsoft.com/office/drawing/2014/chart" uri="{C3380CC4-5D6E-409C-BE32-E72D297353CC}">
              <c16:uniqueId val="{00000002-7ECA-4CE9-A27D-EC052D4FC038}"/>
            </c:ext>
          </c:extLst>
        </c:ser>
        <c:dLbls>
          <c:showLegendKey val="0"/>
          <c:showVal val="0"/>
          <c:showCatName val="0"/>
          <c:showSerName val="0"/>
          <c:showPercent val="0"/>
          <c:showBubbleSize val="0"/>
        </c:dLbls>
        <c:marker val="1"/>
        <c:smooth val="0"/>
        <c:axId val="575243032"/>
        <c:axId val="575244016"/>
      </c:lineChart>
      <c:scatterChart>
        <c:scatterStyle val="lineMarker"/>
        <c:varyColors val="0"/>
        <c:ser>
          <c:idx val="3"/>
          <c:order val="3"/>
          <c:tx>
            <c:strRef>
              <c:f>GRAPH3!$A$29</c:f>
              <c:strCache>
                <c:ptCount val="1"/>
                <c:pt idx="0">
                  <c:v>MODAA</c:v>
                </c:pt>
              </c:strCache>
            </c:strRef>
          </c:tx>
          <c:spPr>
            <a:ln w="12700" cap="rnd">
              <a:solidFill>
                <a:schemeClr val="tx1"/>
              </a:solidFill>
              <a:prstDash val="sysDash"/>
              <a:round/>
            </a:ln>
            <a:effectLst/>
          </c:spPr>
          <c:marker>
            <c:symbol val="circle"/>
            <c:size val="5"/>
            <c:spPr>
              <a:solidFill>
                <a:schemeClr val="accent4"/>
              </a:solidFill>
              <a:ln w="9525">
                <a:solidFill>
                  <a:schemeClr val="accent4"/>
                </a:solidFill>
              </a:ln>
              <a:effectLst/>
            </c:spPr>
          </c:marker>
          <c:xVal>
            <c:numRef>
              <c:f>GRAPH3!$A$30:$A$31</c:f>
              <c:numCache>
                <c:formatCode>General</c:formatCode>
                <c:ptCount val="2"/>
                <c:pt idx="0">
                  <c:v>14</c:v>
                </c:pt>
                <c:pt idx="1">
                  <c:v>14</c:v>
                </c:pt>
              </c:numCache>
            </c:numRef>
          </c:xVal>
          <c:yVal>
            <c:numRef>
              <c:f>GRAPH3!$B$30:$B$31</c:f>
              <c:numCache>
                <c:formatCode>General</c:formatCode>
                <c:ptCount val="2"/>
                <c:pt idx="0">
                  <c:v>0</c:v>
                </c:pt>
                <c:pt idx="1">
                  <c:v>1</c:v>
                </c:pt>
              </c:numCache>
            </c:numRef>
          </c:yVal>
          <c:smooth val="0"/>
          <c:extLst>
            <c:ext xmlns:c16="http://schemas.microsoft.com/office/drawing/2014/chart" uri="{C3380CC4-5D6E-409C-BE32-E72D297353CC}">
              <c16:uniqueId val="{00000003-7ECA-4CE9-A27D-EC052D4FC038}"/>
            </c:ext>
          </c:extLst>
        </c:ser>
        <c:dLbls>
          <c:showLegendKey val="0"/>
          <c:showVal val="0"/>
          <c:showCatName val="0"/>
          <c:showSerName val="0"/>
          <c:showPercent val="0"/>
          <c:showBubbleSize val="0"/>
        </c:dLbls>
        <c:axId val="575243032"/>
        <c:axId val="575244016"/>
      </c:scatterChart>
      <c:catAx>
        <c:axId val="57524303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244016"/>
        <c:crosses val="autoZero"/>
        <c:auto val="1"/>
        <c:lblAlgn val="ctr"/>
        <c:lblOffset val="100"/>
        <c:noMultiLvlLbl val="0"/>
      </c:catAx>
      <c:valAx>
        <c:axId val="5752440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243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87995813170841E-2"/>
          <c:y val="0.17556451644428114"/>
          <c:w val="0.91444084477106291"/>
          <c:h val="0.57269993820090359"/>
        </c:manualLayout>
      </c:layout>
      <c:lineChart>
        <c:grouping val="standard"/>
        <c:varyColors val="0"/>
        <c:ser>
          <c:idx val="0"/>
          <c:order val="0"/>
          <c:tx>
            <c:strRef>
              <c:f>Sheet1!$B$48</c:f>
              <c:strCache>
                <c:ptCount val="1"/>
                <c:pt idx="0">
                  <c:v>Methamphetamine</c:v>
                </c:pt>
              </c:strCache>
            </c:strRef>
          </c:tx>
          <c:spPr>
            <a:ln w="28575" cap="rnd">
              <a:solidFill>
                <a:schemeClr val="accent1"/>
              </a:solidFill>
              <a:round/>
            </a:ln>
            <a:effectLst/>
          </c:spPr>
          <c:cat>
            <c:numRef>
              <c:f>Sheet1!$Y$47:$AI$47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Sheet1!$Y$48:$AI$48</c:f>
              <c:numCache>
                <c:formatCode>0%</c:formatCode>
                <c:ptCount val="11"/>
                <c:pt idx="0">
                  <c:v>3.2402234636871509E-2</c:v>
                </c:pt>
                <c:pt idx="1">
                  <c:v>1.7759562841530054E-2</c:v>
                </c:pt>
                <c:pt idx="2">
                  <c:v>1.2515644555694618E-2</c:v>
                </c:pt>
                <c:pt idx="3">
                  <c:v>1.7241379310344827E-2</c:v>
                </c:pt>
                <c:pt idx="4">
                  <c:v>1.7687074829931974E-2</c:v>
                </c:pt>
                <c:pt idx="5">
                  <c:v>2.0359281437125749E-2</c:v>
                </c:pt>
                <c:pt idx="6">
                  <c:v>1.8072289156626505E-2</c:v>
                </c:pt>
                <c:pt idx="7">
                  <c:v>2.0036429872495445E-2</c:v>
                </c:pt>
                <c:pt idx="8">
                  <c:v>2.0797227036395149E-2</c:v>
                </c:pt>
                <c:pt idx="9">
                  <c:v>1.8272425249169437E-2</c:v>
                </c:pt>
                <c:pt idx="10">
                  <c:v>3.2323232323232323E-2</c:v>
                </c:pt>
              </c:numCache>
            </c:numRef>
          </c:val>
          <c:smooth val="0"/>
          <c:extLst>
            <c:ext xmlns:c16="http://schemas.microsoft.com/office/drawing/2014/chart" uri="{C3380CC4-5D6E-409C-BE32-E72D297353CC}">
              <c16:uniqueId val="{00000000-10A4-48A4-9205-CDF496CBF0FA}"/>
            </c:ext>
          </c:extLst>
        </c:ser>
        <c:ser>
          <c:idx val="2"/>
          <c:order val="1"/>
          <c:tx>
            <c:strRef>
              <c:f>Sheet1!$B$50</c:f>
              <c:strCache>
                <c:ptCount val="1"/>
                <c:pt idx="0">
                  <c:v>Cannabis</c:v>
                </c:pt>
              </c:strCache>
            </c:strRef>
          </c:tx>
          <c:spPr>
            <a:ln w="28575" cap="rnd">
              <a:solidFill>
                <a:schemeClr val="accent3"/>
              </a:solidFill>
              <a:round/>
            </a:ln>
            <a:effectLst/>
          </c:spPr>
          <c:cat>
            <c:numRef>
              <c:f>Sheet1!$Y$47:$AI$47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Sheet1!$Y$50:$AI$50</c:f>
              <c:numCache>
                <c:formatCode>0%</c:formatCode>
                <c:ptCount val="11"/>
                <c:pt idx="0">
                  <c:v>0.19526627218934911</c:v>
                </c:pt>
                <c:pt idx="1">
                  <c:v>0.14714603409933283</c:v>
                </c:pt>
                <c:pt idx="2">
                  <c:v>0.16237716424894713</c:v>
                </c:pt>
                <c:pt idx="3">
                  <c:v>0.12988734261100066</c:v>
                </c:pt>
                <c:pt idx="4">
                  <c:v>0.1437908496732026</c:v>
                </c:pt>
                <c:pt idx="5">
                  <c:v>0.16700000000000001</c:v>
                </c:pt>
                <c:pt idx="6">
                  <c:v>0.16114285714285714</c:v>
                </c:pt>
                <c:pt idx="7">
                  <c:v>0.18807339449541285</c:v>
                </c:pt>
                <c:pt idx="8">
                  <c:v>0.15091863517060367</c:v>
                </c:pt>
                <c:pt idx="9">
                  <c:v>0.17103235747303544</c:v>
                </c:pt>
                <c:pt idx="10">
                  <c:v>0.12264150943396226</c:v>
                </c:pt>
              </c:numCache>
            </c:numRef>
          </c:val>
          <c:smooth val="0"/>
          <c:extLst>
            <c:ext xmlns:c16="http://schemas.microsoft.com/office/drawing/2014/chart" uri="{C3380CC4-5D6E-409C-BE32-E72D297353CC}">
              <c16:uniqueId val="{00000001-10A4-48A4-9205-CDF496CBF0FA}"/>
            </c:ext>
          </c:extLst>
        </c:ser>
        <c:ser>
          <c:idx val="3"/>
          <c:order val="2"/>
          <c:tx>
            <c:strRef>
              <c:f>Sheet1!$B$51</c:f>
              <c:strCache>
                <c:ptCount val="1"/>
                <c:pt idx="0">
                  <c:v>Other Class B / C</c:v>
                </c:pt>
              </c:strCache>
            </c:strRef>
          </c:tx>
          <c:spPr>
            <a:ln w="28575" cap="rnd">
              <a:solidFill>
                <a:schemeClr val="accent4"/>
              </a:solidFill>
              <a:round/>
            </a:ln>
            <a:effectLst/>
          </c:spPr>
          <c:cat>
            <c:numRef>
              <c:f>Sheet1!$Y$47:$AI$47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Sheet1!$Y$51:$AI$51</c:f>
              <c:numCache>
                <c:formatCode>0%</c:formatCode>
                <c:ptCount val="11"/>
                <c:pt idx="0">
                  <c:v>0.11403508771929824</c:v>
                </c:pt>
                <c:pt idx="1">
                  <c:v>0.10126582278481013</c:v>
                </c:pt>
                <c:pt idx="2">
                  <c:v>7.5235109717868343E-2</c:v>
                </c:pt>
                <c:pt idx="3">
                  <c:v>7.0469798657718116E-2</c:v>
                </c:pt>
                <c:pt idx="4">
                  <c:v>7.179487179487179E-2</c:v>
                </c:pt>
                <c:pt idx="5">
                  <c:v>4.9723756906077346E-2</c:v>
                </c:pt>
                <c:pt idx="6">
                  <c:v>7.2625698324022353E-2</c:v>
                </c:pt>
                <c:pt idx="7">
                  <c:v>0.11055276381909548</c:v>
                </c:pt>
                <c:pt idx="8">
                  <c:v>8.387096774193549E-2</c:v>
                </c:pt>
                <c:pt idx="9">
                  <c:v>0.1092436974789916</c:v>
                </c:pt>
                <c:pt idx="10">
                  <c:v>0.22131147540983606</c:v>
                </c:pt>
              </c:numCache>
            </c:numRef>
          </c:val>
          <c:smooth val="0"/>
          <c:extLst>
            <c:ext xmlns:c16="http://schemas.microsoft.com/office/drawing/2014/chart" uri="{C3380CC4-5D6E-409C-BE32-E72D297353CC}">
              <c16:uniqueId val="{00000002-10A4-48A4-9205-CDF496CBF0FA}"/>
            </c:ext>
          </c:extLst>
        </c:ser>
        <c:dLbls>
          <c:showLegendKey val="0"/>
          <c:showVal val="0"/>
          <c:showCatName val="0"/>
          <c:showSerName val="0"/>
          <c:showPercent val="0"/>
          <c:showBubbleSize val="0"/>
        </c:dLbls>
        <c:marker val="1"/>
        <c:smooth val="0"/>
        <c:axId val="733415176"/>
        <c:axId val="733411240"/>
      </c:lineChart>
      <c:scatterChart>
        <c:scatterStyle val="lineMarker"/>
        <c:varyColors val="0"/>
        <c:ser>
          <c:idx val="1"/>
          <c:order val="3"/>
          <c:tx>
            <c:strRef>
              <c:f>Sheet1!$AJ$57</c:f>
              <c:strCache>
                <c:ptCount val="1"/>
                <c:pt idx="0">
                  <c:v>MODAA</c:v>
                </c:pt>
              </c:strCache>
            </c:strRef>
          </c:tx>
          <c:spPr>
            <a:ln w="12700">
              <a:solidFill>
                <a:schemeClr val="tx1"/>
              </a:solidFill>
              <a:prstDash val="sysDot"/>
            </a:ln>
          </c:spPr>
          <c:marker>
            <c:symbol val="none"/>
          </c:marker>
          <c:xVal>
            <c:numRef>
              <c:f>Sheet1!$AJ$58:$AJ$59</c:f>
              <c:numCache>
                <c:formatCode>General</c:formatCode>
                <c:ptCount val="2"/>
                <c:pt idx="0">
                  <c:v>10</c:v>
                </c:pt>
                <c:pt idx="1">
                  <c:v>10</c:v>
                </c:pt>
              </c:numCache>
            </c:numRef>
          </c:xVal>
          <c:yVal>
            <c:numRef>
              <c:f>Sheet1!$AK$58:$AK$59</c:f>
              <c:numCache>
                <c:formatCode>General</c:formatCode>
                <c:ptCount val="2"/>
                <c:pt idx="0">
                  <c:v>0</c:v>
                </c:pt>
                <c:pt idx="1">
                  <c:v>0.25</c:v>
                </c:pt>
              </c:numCache>
            </c:numRef>
          </c:yVal>
          <c:smooth val="0"/>
          <c:extLst>
            <c:ext xmlns:c16="http://schemas.microsoft.com/office/drawing/2014/chart" uri="{C3380CC4-5D6E-409C-BE32-E72D297353CC}">
              <c16:uniqueId val="{00000003-10A4-48A4-9205-CDF496CBF0FA}"/>
            </c:ext>
          </c:extLst>
        </c:ser>
        <c:dLbls>
          <c:showLegendKey val="0"/>
          <c:showVal val="0"/>
          <c:showCatName val="0"/>
          <c:showSerName val="0"/>
          <c:showPercent val="0"/>
          <c:showBubbleSize val="0"/>
        </c:dLbls>
        <c:axId val="733415176"/>
        <c:axId val="733411240"/>
      </c:scatterChart>
      <c:catAx>
        <c:axId val="73341517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vert="horz"/>
          <a:lstStyle/>
          <a:p>
            <a:pPr>
              <a:defRPr/>
            </a:pPr>
            <a:endParaRPr lang="en-US"/>
          </a:p>
        </c:txPr>
        <c:crossAx val="733411240"/>
        <c:crosses val="autoZero"/>
        <c:auto val="1"/>
        <c:lblAlgn val="ctr"/>
        <c:lblOffset val="100"/>
        <c:noMultiLvlLbl val="0"/>
      </c:catAx>
      <c:valAx>
        <c:axId val="733411240"/>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vert="horz"/>
          <a:lstStyle/>
          <a:p>
            <a:pPr>
              <a:defRPr/>
            </a:pPr>
            <a:endParaRPr lang="en-US"/>
          </a:p>
        </c:txPr>
        <c:crossAx val="733415176"/>
        <c:crosses val="autoZero"/>
        <c:crossBetween val="between"/>
      </c:valAx>
    </c:plotArea>
    <c:legend>
      <c:legendPos val="b"/>
      <c:layout>
        <c:manualLayout>
          <c:xMode val="edge"/>
          <c:yMode val="edge"/>
          <c:x val="3.3333333333333333E-2"/>
          <c:y val="0.86004214261949652"/>
          <c:w val="0.9642857142857143"/>
          <c:h val="9.253695063570623E-2"/>
        </c:manualLayout>
      </c:layout>
      <c:overlay val="0"/>
      <c:spPr>
        <a:noFill/>
        <a:ln>
          <a:noFill/>
        </a:ln>
        <a:effectLst/>
      </c:spPr>
      <c:txPr>
        <a:bodyPr rot="0" vert="horz"/>
        <a:lstStyle/>
        <a:p>
          <a:pPr>
            <a:defRPr sz="1000" baseline="0"/>
          </a:pPr>
          <a:endParaRPr lang="en-US"/>
        </a:p>
      </c:txPr>
    </c:legend>
    <c:plotVisOnly val="1"/>
    <c:dispBlanksAs val="gap"/>
    <c:showDLblsOverMax val="0"/>
  </c:chart>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Sheet1!$Y$2:$AI$2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Sheet1!$Y$9:$AI$9</c:f>
              <c:numCache>
                <c:formatCode>0%</c:formatCode>
                <c:ptCount val="11"/>
                <c:pt idx="0">
                  <c:v>0.55470737913486001</c:v>
                </c:pt>
                <c:pt idx="1">
                  <c:v>0.43983957219251335</c:v>
                </c:pt>
                <c:pt idx="2">
                  <c:v>0.42708333333333331</c:v>
                </c:pt>
                <c:pt idx="3">
                  <c:v>0.38534278959810875</c:v>
                </c:pt>
                <c:pt idx="4">
                  <c:v>0.390625</c:v>
                </c:pt>
                <c:pt idx="5">
                  <c:v>0.39841688654353563</c:v>
                </c:pt>
                <c:pt idx="6">
                  <c:v>0.37037037037037035</c:v>
                </c:pt>
                <c:pt idx="7">
                  <c:v>0.41114058355437666</c:v>
                </c:pt>
                <c:pt idx="8">
                  <c:v>0.32748538011695905</c:v>
                </c:pt>
                <c:pt idx="9">
                  <c:v>0.32258064516129031</c:v>
                </c:pt>
                <c:pt idx="10">
                  <c:v>0.31404958677685951</c:v>
                </c:pt>
              </c:numCache>
            </c:numRef>
          </c:val>
          <c:smooth val="0"/>
          <c:extLst>
            <c:ext xmlns:c16="http://schemas.microsoft.com/office/drawing/2014/chart" uri="{C3380CC4-5D6E-409C-BE32-E72D297353CC}">
              <c16:uniqueId val="{00000000-A8AB-4F27-8055-5F7EBB90DF19}"/>
            </c:ext>
          </c:extLst>
        </c:ser>
        <c:dLbls>
          <c:showLegendKey val="0"/>
          <c:showVal val="0"/>
          <c:showCatName val="0"/>
          <c:showSerName val="0"/>
          <c:showPercent val="0"/>
          <c:showBubbleSize val="0"/>
        </c:dLbls>
        <c:marker val="1"/>
        <c:smooth val="0"/>
        <c:axId val="733425016"/>
        <c:axId val="733426984"/>
      </c:lineChart>
      <c:scatterChart>
        <c:scatterStyle val="lineMarker"/>
        <c:varyColors val="0"/>
        <c:ser>
          <c:idx val="1"/>
          <c:order val="1"/>
          <c:tx>
            <c:strRef>
              <c:f>Sheet1!$AJ$11</c:f>
              <c:strCache>
                <c:ptCount val="1"/>
                <c:pt idx="0">
                  <c:v>MODAA</c:v>
                </c:pt>
              </c:strCache>
            </c:strRef>
          </c:tx>
          <c:spPr>
            <a:ln w="12700">
              <a:solidFill>
                <a:schemeClr val="tx1"/>
              </a:solidFill>
              <a:prstDash val="sysDot"/>
            </a:ln>
          </c:spPr>
          <c:xVal>
            <c:numRef>
              <c:f>Sheet1!$AJ$12:$AJ$13</c:f>
              <c:numCache>
                <c:formatCode>General</c:formatCode>
                <c:ptCount val="2"/>
                <c:pt idx="0">
                  <c:v>10</c:v>
                </c:pt>
                <c:pt idx="1">
                  <c:v>10</c:v>
                </c:pt>
              </c:numCache>
            </c:numRef>
          </c:xVal>
          <c:yVal>
            <c:numRef>
              <c:f>Sheet1!$AK$12:$AK$13</c:f>
              <c:numCache>
                <c:formatCode>General</c:formatCode>
                <c:ptCount val="2"/>
                <c:pt idx="0">
                  <c:v>0</c:v>
                </c:pt>
                <c:pt idx="1">
                  <c:v>0.8</c:v>
                </c:pt>
              </c:numCache>
            </c:numRef>
          </c:yVal>
          <c:smooth val="0"/>
          <c:extLst>
            <c:ext xmlns:c16="http://schemas.microsoft.com/office/drawing/2014/chart" uri="{C3380CC4-5D6E-409C-BE32-E72D297353CC}">
              <c16:uniqueId val="{00000001-A8AB-4F27-8055-5F7EBB90DF19}"/>
            </c:ext>
          </c:extLst>
        </c:ser>
        <c:dLbls>
          <c:showLegendKey val="0"/>
          <c:showVal val="0"/>
          <c:showCatName val="0"/>
          <c:showSerName val="0"/>
          <c:showPercent val="0"/>
          <c:showBubbleSize val="0"/>
        </c:dLbls>
        <c:axId val="733425016"/>
        <c:axId val="733426984"/>
      </c:scatterChart>
      <c:catAx>
        <c:axId val="73342501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vert="horz"/>
          <a:lstStyle/>
          <a:p>
            <a:pPr>
              <a:defRPr/>
            </a:pPr>
            <a:endParaRPr lang="en-US"/>
          </a:p>
        </c:txPr>
        <c:crossAx val="733426984"/>
        <c:crosses val="autoZero"/>
        <c:auto val="1"/>
        <c:lblAlgn val="ctr"/>
        <c:lblOffset val="100"/>
        <c:noMultiLvlLbl val="0"/>
      </c:catAx>
      <c:valAx>
        <c:axId val="7334269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solidFill>
          </a:ln>
          <a:effectLst/>
        </c:spPr>
        <c:txPr>
          <a:bodyPr rot="-60000000" vert="horz"/>
          <a:lstStyle/>
          <a:p>
            <a:pPr>
              <a:defRPr/>
            </a:pPr>
            <a:endParaRPr lang="en-US"/>
          </a:p>
        </c:txPr>
        <c:crossAx val="733425016"/>
        <c:crosses val="autoZero"/>
        <c:crossBetween val="between"/>
      </c:valAx>
    </c:plotArea>
    <c:plotVisOnly val="1"/>
    <c:dispBlanksAs val="gap"/>
    <c:showDLblsOverMax val="0"/>
  </c:chart>
  <c:txPr>
    <a:bodyPr/>
    <a:lstStyle/>
    <a:p>
      <a:pPr>
        <a:defRPr sz="12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40317475843472E-2"/>
          <c:y val="4.9807561693457097E-2"/>
          <c:w val="0.88347275135417302"/>
          <c:h val="0.82397501421672525"/>
        </c:manualLayout>
      </c:layout>
      <c:lineChart>
        <c:grouping val="standard"/>
        <c:varyColors val="0"/>
        <c:ser>
          <c:idx val="0"/>
          <c:order val="0"/>
          <c:tx>
            <c:strRef>
              <c:f>Graph2!$B$30</c:f>
              <c:strCache>
                <c:ptCount val="1"/>
                <c:pt idx="0">
                  <c:v>EUROPEAN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Graph2!$A$31:$A$51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Graph2!$B$31:$B$51</c:f>
              <c:numCache>
                <c:formatCode>0%</c:formatCode>
                <c:ptCount val="21"/>
                <c:pt idx="0">
                  <c:v>0.62556053811659196</c:v>
                </c:pt>
                <c:pt idx="1">
                  <c:v>0.6601123595505618</c:v>
                </c:pt>
                <c:pt idx="2">
                  <c:v>0.69099378881987583</c:v>
                </c:pt>
                <c:pt idx="3">
                  <c:v>0.67437722419928825</c:v>
                </c:pt>
                <c:pt idx="4">
                  <c:v>0.6155378486055777</c:v>
                </c:pt>
                <c:pt idx="5">
                  <c:v>0.54011741682974557</c:v>
                </c:pt>
                <c:pt idx="6">
                  <c:v>0.64023210831721467</c:v>
                </c:pt>
                <c:pt idx="7">
                  <c:v>0.56705882352941173</c:v>
                </c:pt>
                <c:pt idx="8">
                  <c:v>0.63725490196078427</c:v>
                </c:pt>
                <c:pt idx="9">
                  <c:v>0.62176165803108807</c:v>
                </c:pt>
                <c:pt idx="10">
                  <c:v>0.64141414141414144</c:v>
                </c:pt>
                <c:pt idx="11">
                  <c:v>0.67251461988304095</c:v>
                </c:pt>
                <c:pt idx="12">
                  <c:v>0.67223382045929014</c:v>
                </c:pt>
                <c:pt idx="13">
                  <c:v>0.62824675324675328</c:v>
                </c:pt>
                <c:pt idx="14">
                  <c:v>0.68903436988543376</c:v>
                </c:pt>
                <c:pt idx="15">
                  <c:v>0.75</c:v>
                </c:pt>
                <c:pt idx="16">
                  <c:v>0.74513618677042803</c:v>
                </c:pt>
                <c:pt idx="17">
                  <c:v>0.7419768934531451</c:v>
                </c:pt>
                <c:pt idx="18">
                  <c:v>0.75855855855855858</c:v>
                </c:pt>
                <c:pt idx="19">
                  <c:v>0.78325123152709364</c:v>
                </c:pt>
                <c:pt idx="20">
                  <c:v>0.81793478260869568</c:v>
                </c:pt>
              </c:numCache>
            </c:numRef>
          </c:val>
          <c:smooth val="0"/>
          <c:extLst>
            <c:ext xmlns:c16="http://schemas.microsoft.com/office/drawing/2014/chart" uri="{C3380CC4-5D6E-409C-BE32-E72D297353CC}">
              <c16:uniqueId val="{00000000-90DD-423A-A613-FD42DD0E9B4B}"/>
            </c:ext>
          </c:extLst>
        </c:ser>
        <c:ser>
          <c:idx val="1"/>
          <c:order val="1"/>
          <c:tx>
            <c:strRef>
              <c:f>Graph2!$C$30</c:f>
              <c:strCache>
                <c:ptCount val="1"/>
                <c:pt idx="0">
                  <c:v>MAORI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Graph2!$A$31:$A$51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Graph2!$C$31:$C$51</c:f>
              <c:numCache>
                <c:formatCode>0%</c:formatCode>
                <c:ptCount val="21"/>
                <c:pt idx="0">
                  <c:v>0.63174603174603172</c:v>
                </c:pt>
                <c:pt idx="1">
                  <c:v>0.650709219858156</c:v>
                </c:pt>
                <c:pt idx="2">
                  <c:v>0.60519480519480517</c:v>
                </c:pt>
                <c:pt idx="3">
                  <c:v>0.63607594936708856</c:v>
                </c:pt>
                <c:pt idx="4">
                  <c:v>0.58471760797342198</c:v>
                </c:pt>
                <c:pt idx="5">
                  <c:v>0.58910891089108908</c:v>
                </c:pt>
                <c:pt idx="6">
                  <c:v>0.60059171597633132</c:v>
                </c:pt>
                <c:pt idx="7">
                  <c:v>0.53113553113553114</c:v>
                </c:pt>
                <c:pt idx="8">
                  <c:v>0.56342182890855452</c:v>
                </c:pt>
                <c:pt idx="9">
                  <c:v>0.57035647279549717</c:v>
                </c:pt>
                <c:pt idx="10">
                  <c:v>0.57377049180327866</c:v>
                </c:pt>
                <c:pt idx="11">
                  <c:v>0.63788300835654599</c:v>
                </c:pt>
                <c:pt idx="12">
                  <c:v>0.61307901907356943</c:v>
                </c:pt>
                <c:pt idx="13">
                  <c:v>0.64591439688715957</c:v>
                </c:pt>
                <c:pt idx="14">
                  <c:v>0.71764705882352942</c:v>
                </c:pt>
                <c:pt idx="15">
                  <c:v>0.71750000000000003</c:v>
                </c:pt>
                <c:pt idx="16">
                  <c:v>0.69689119170984459</c:v>
                </c:pt>
                <c:pt idx="17">
                  <c:v>0.72600619195046434</c:v>
                </c:pt>
                <c:pt idx="18">
                  <c:v>0.71830985915492962</c:v>
                </c:pt>
                <c:pt idx="19">
                  <c:v>0.75085324232081907</c:v>
                </c:pt>
                <c:pt idx="20">
                  <c:v>0.77887788778877887</c:v>
                </c:pt>
              </c:numCache>
            </c:numRef>
          </c:val>
          <c:smooth val="0"/>
          <c:extLst>
            <c:ext xmlns:c16="http://schemas.microsoft.com/office/drawing/2014/chart" uri="{C3380CC4-5D6E-409C-BE32-E72D297353CC}">
              <c16:uniqueId val="{00000001-90DD-423A-A613-FD42DD0E9B4B}"/>
            </c:ext>
          </c:extLst>
        </c:ser>
        <c:ser>
          <c:idx val="2"/>
          <c:order val="2"/>
          <c:tx>
            <c:strRef>
              <c:f>Graph2!$D$30</c:f>
              <c:strCache>
                <c:ptCount val="1"/>
                <c:pt idx="0">
                  <c:v>PACIFIC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Graph2!$A$31:$A$51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Graph2!$D$31:$D$51</c:f>
              <c:numCache>
                <c:formatCode>0%</c:formatCode>
                <c:ptCount val="21"/>
                <c:pt idx="0">
                  <c:v>0.45714285714285713</c:v>
                </c:pt>
                <c:pt idx="1">
                  <c:v>0.56944444444444442</c:v>
                </c:pt>
                <c:pt idx="2">
                  <c:v>0.6271186440677966</c:v>
                </c:pt>
                <c:pt idx="3">
                  <c:v>0.53488372093023251</c:v>
                </c:pt>
                <c:pt idx="4">
                  <c:v>0.6</c:v>
                </c:pt>
                <c:pt idx="5">
                  <c:v>0.51162790697674421</c:v>
                </c:pt>
                <c:pt idx="6">
                  <c:v>0.41379310344827586</c:v>
                </c:pt>
                <c:pt idx="7">
                  <c:v>0.62222222222222223</c:v>
                </c:pt>
                <c:pt idx="8">
                  <c:v>0.4358974358974359</c:v>
                </c:pt>
                <c:pt idx="9">
                  <c:v>0.52</c:v>
                </c:pt>
                <c:pt idx="10">
                  <c:v>0.625</c:v>
                </c:pt>
                <c:pt idx="11">
                  <c:v>0.67441860465116277</c:v>
                </c:pt>
                <c:pt idx="12">
                  <c:v>0.63888888888888884</c:v>
                </c:pt>
                <c:pt idx="13">
                  <c:v>0.66101694915254239</c:v>
                </c:pt>
                <c:pt idx="14">
                  <c:v>0.66153846153846152</c:v>
                </c:pt>
                <c:pt idx="15">
                  <c:v>0.5892857142857143</c:v>
                </c:pt>
                <c:pt idx="16">
                  <c:v>0.53333333333333333</c:v>
                </c:pt>
                <c:pt idx="17">
                  <c:v>0.73563218390804597</c:v>
                </c:pt>
                <c:pt idx="18">
                  <c:v>0.74468085106382975</c:v>
                </c:pt>
                <c:pt idx="19">
                  <c:v>0.7407407407407407</c:v>
                </c:pt>
                <c:pt idx="20">
                  <c:v>0.65517241379310343</c:v>
                </c:pt>
              </c:numCache>
            </c:numRef>
          </c:val>
          <c:smooth val="0"/>
          <c:extLst>
            <c:ext xmlns:c16="http://schemas.microsoft.com/office/drawing/2014/chart" uri="{C3380CC4-5D6E-409C-BE32-E72D297353CC}">
              <c16:uniqueId val="{00000002-90DD-423A-A613-FD42DD0E9B4B}"/>
            </c:ext>
          </c:extLst>
        </c:ser>
        <c:ser>
          <c:idx val="3"/>
          <c:order val="3"/>
          <c:tx>
            <c:strRef>
              <c:f>Graph2!$E$30</c:f>
              <c:strCache>
                <c:ptCount val="1"/>
                <c:pt idx="0">
                  <c:v>OTHER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Graph2!$A$31:$A$51</c:f>
              <c:strCache>
                <c:ptCount val="21"/>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strCache>
            </c:strRef>
          </c:cat>
          <c:val>
            <c:numRef>
              <c:f>Graph2!$E$31:$E$51</c:f>
              <c:numCache>
                <c:formatCode>0%</c:formatCode>
                <c:ptCount val="21"/>
                <c:pt idx="0">
                  <c:v>0.78260869565217395</c:v>
                </c:pt>
                <c:pt idx="1">
                  <c:v>0.7142857142857143</c:v>
                </c:pt>
                <c:pt idx="2">
                  <c:v>0.84482758620689657</c:v>
                </c:pt>
                <c:pt idx="3">
                  <c:v>0.74561403508771928</c:v>
                </c:pt>
                <c:pt idx="4">
                  <c:v>0.82758620689655171</c:v>
                </c:pt>
                <c:pt idx="5">
                  <c:v>0.78151260504201681</c:v>
                </c:pt>
                <c:pt idx="6">
                  <c:v>0.78195488721804507</c:v>
                </c:pt>
                <c:pt idx="7">
                  <c:v>0.77358490566037741</c:v>
                </c:pt>
                <c:pt idx="8">
                  <c:v>0.82926829268292679</c:v>
                </c:pt>
                <c:pt idx="9">
                  <c:v>0.69230769230769229</c:v>
                </c:pt>
                <c:pt idx="10">
                  <c:v>0.85534591194968557</c:v>
                </c:pt>
                <c:pt idx="11">
                  <c:v>0.83969465648854957</c:v>
                </c:pt>
                <c:pt idx="12">
                  <c:v>0.8741721854304636</c:v>
                </c:pt>
                <c:pt idx="13">
                  <c:v>0.83977900552486184</c:v>
                </c:pt>
                <c:pt idx="14">
                  <c:v>0.86857142857142855</c:v>
                </c:pt>
                <c:pt idx="15">
                  <c:v>0.89714285714285713</c:v>
                </c:pt>
                <c:pt idx="16">
                  <c:v>0.92168674698795183</c:v>
                </c:pt>
                <c:pt idx="17">
                  <c:v>0.91791044776119401</c:v>
                </c:pt>
                <c:pt idx="18">
                  <c:v>0.94090909090909092</c:v>
                </c:pt>
                <c:pt idx="19">
                  <c:v>0.91194968553459121</c:v>
                </c:pt>
                <c:pt idx="20">
                  <c:v>0.94039735099337751</c:v>
                </c:pt>
              </c:numCache>
            </c:numRef>
          </c:val>
          <c:smooth val="0"/>
          <c:extLst>
            <c:ext xmlns:c16="http://schemas.microsoft.com/office/drawing/2014/chart" uri="{C3380CC4-5D6E-409C-BE32-E72D297353CC}">
              <c16:uniqueId val="{00000003-90DD-423A-A613-FD42DD0E9B4B}"/>
            </c:ext>
          </c:extLst>
        </c:ser>
        <c:dLbls>
          <c:showLegendKey val="0"/>
          <c:showVal val="0"/>
          <c:showCatName val="0"/>
          <c:showSerName val="0"/>
          <c:showPercent val="0"/>
          <c:showBubbleSize val="0"/>
        </c:dLbls>
        <c:marker val="1"/>
        <c:smooth val="0"/>
        <c:axId val="622391608"/>
        <c:axId val="413089736"/>
      </c:lineChart>
      <c:scatterChart>
        <c:scatterStyle val="lineMarker"/>
        <c:varyColors val="0"/>
        <c:ser>
          <c:idx val="4"/>
          <c:order val="4"/>
          <c:tx>
            <c:v>MODAA</c:v>
          </c:tx>
          <c:spPr>
            <a:ln w="28575" cap="rnd">
              <a:solidFill>
                <a:schemeClr val="tx1"/>
              </a:solidFill>
              <a:prstDash val="sysDot"/>
              <a:round/>
            </a:ln>
            <a:effectLst/>
          </c:spPr>
          <c:marker>
            <c:symbol val="circle"/>
            <c:size val="5"/>
            <c:spPr>
              <a:solidFill>
                <a:schemeClr val="accent5"/>
              </a:solidFill>
              <a:ln w="9525">
                <a:solidFill>
                  <a:schemeClr val="accent5"/>
                </a:solidFill>
              </a:ln>
              <a:effectLst/>
            </c:spPr>
          </c:marker>
          <c:xVal>
            <c:numRef>
              <c:f>Graph2!$A$56:$A$57</c:f>
              <c:numCache>
                <c:formatCode>General</c:formatCode>
                <c:ptCount val="2"/>
                <c:pt idx="0">
                  <c:v>14</c:v>
                </c:pt>
                <c:pt idx="1">
                  <c:v>14</c:v>
                </c:pt>
              </c:numCache>
            </c:numRef>
          </c:xVal>
          <c:yVal>
            <c:numRef>
              <c:f>Graph2!$B$56:$B$57</c:f>
              <c:numCache>
                <c:formatCode>General</c:formatCode>
                <c:ptCount val="2"/>
                <c:pt idx="0">
                  <c:v>0</c:v>
                </c:pt>
                <c:pt idx="1">
                  <c:v>1</c:v>
                </c:pt>
              </c:numCache>
            </c:numRef>
          </c:yVal>
          <c:smooth val="0"/>
          <c:extLst>
            <c:ext xmlns:c16="http://schemas.microsoft.com/office/drawing/2014/chart" uri="{C3380CC4-5D6E-409C-BE32-E72D297353CC}">
              <c16:uniqueId val="{00000004-90DD-423A-A613-FD42DD0E9B4B}"/>
            </c:ext>
          </c:extLst>
        </c:ser>
        <c:dLbls>
          <c:showLegendKey val="0"/>
          <c:showVal val="0"/>
          <c:showCatName val="0"/>
          <c:showSerName val="0"/>
          <c:showPercent val="0"/>
          <c:showBubbleSize val="0"/>
        </c:dLbls>
        <c:axId val="622391608"/>
        <c:axId val="413089736"/>
      </c:scatterChart>
      <c:catAx>
        <c:axId val="622391608"/>
        <c:scaling>
          <c:orientation val="minMax"/>
        </c:scaling>
        <c:delete val="1"/>
        <c:axPos val="b"/>
        <c:numFmt formatCode="General" sourceLinked="1"/>
        <c:majorTickMark val="none"/>
        <c:minorTickMark val="none"/>
        <c:tickLblPos val="nextTo"/>
        <c:crossAx val="413089736"/>
        <c:crosses val="autoZero"/>
        <c:auto val="1"/>
        <c:lblAlgn val="ctr"/>
        <c:lblOffset val="100"/>
        <c:noMultiLvlLbl val="0"/>
      </c:catAx>
      <c:valAx>
        <c:axId val="413089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391608"/>
        <c:crosses val="autoZero"/>
        <c:crossBetween val="between"/>
      </c:valAx>
      <c:spPr>
        <a:noFill/>
        <a:ln w="1270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Gra</b:Tag>
    <b:SourceType>Report</b:SourceType>
    <b:Guid>{FBCB0583-52EB-4C55-8676-E2F740DC3612}</b:Guid>
    <b:Title>Graph 1: Wastewater sampling from ESR</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75A782C49BFD84FBAFA9E3E6CEFD86B" ma:contentTypeVersion="7" ma:contentTypeDescription="Create a new document." ma:contentTypeScope="" ma:versionID="1354d58a3997af0ec2df42062a5615e5">
  <xsd:schema xmlns:xsd="http://www.w3.org/2001/XMLSchema" xmlns:xs="http://www.w3.org/2001/XMLSchema" xmlns:p="http://schemas.microsoft.com/office/2006/metadata/properties" xmlns:ns3="768ffc60-c849-4d2b-a2be-6252244cc0b0" xmlns:ns4="756cd861-b9ae-43a0-b318-56945ac6e600" targetNamespace="http://schemas.microsoft.com/office/2006/metadata/properties" ma:root="true" ma:fieldsID="c6002235feb1ba8d61b8afae78645627" ns3:_="" ns4:_="">
    <xsd:import namespace="768ffc60-c849-4d2b-a2be-6252244cc0b0"/>
    <xsd:import namespace="756cd861-b9ae-43a0-b318-56945ac6e6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ffc60-c849-4d2b-a2be-6252244cc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6cd861-b9ae-43a0-b318-56945ac6e6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001852-F935-4BC7-B7C4-73165CB4C738}">
  <ds:schemaRefs>
    <ds:schemaRef ds:uri="http://schemas.openxmlformats.org/officeDocument/2006/bibliography"/>
  </ds:schemaRefs>
</ds:datastoreItem>
</file>

<file path=customXml/itemProps3.xml><?xml version="1.0" encoding="utf-8"?>
<ds:datastoreItem xmlns:ds="http://schemas.openxmlformats.org/officeDocument/2006/customXml" ds:itemID="{7DC167FE-92C3-426E-869C-6E8AF9104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ffc60-c849-4d2b-a2be-6252244cc0b0"/>
    <ds:schemaRef ds:uri="756cd861-b9ae-43a0-b318-56945ac6e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2D80-98EA-47DE-964C-4215BAD327B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20882A3-8D31-4249-9D2E-F53B71BC4B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31224</Words>
  <Characters>177983</Characters>
  <Application>Microsoft Office Word</Application>
  <DocSecurity>4</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2021-11-11T21:23:00Z</dcterms:created>
  <dcterms:modified xsi:type="dcterms:W3CDTF">2021-11-11T21:23:00Z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0x010100975A782C49BFD84FBAFA9E3E6CEFD86B</vt:lpwstr>
  </property>
</Properties>
</file>