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AD494" w14:textId="77777777" w:rsidR="00C86248" w:rsidRDefault="00C533E1" w:rsidP="00926083">
      <w:pPr>
        <w:pStyle w:val="Title"/>
      </w:pPr>
      <w:r>
        <w:t>Suicide Data related to Mental Health Service Users (201</w:t>
      </w:r>
      <w:r w:rsidR="00DD6F1A">
        <w:t>7</w:t>
      </w:r>
      <w:r>
        <w:t>)</w:t>
      </w:r>
    </w:p>
    <w:p w14:paraId="3599E850" w14:textId="77777777" w:rsidR="00C05132" w:rsidRDefault="00C05132" w:rsidP="00A06BE4"/>
    <w:p w14:paraId="6C7227E4" w14:textId="77777777" w:rsidR="00142954" w:rsidRPr="00142954" w:rsidRDefault="00142954" w:rsidP="00142954">
      <w:pPr>
        <w:sectPr w:rsidR="00142954" w:rsidRPr="00142954" w:rsidSect="00925892">
          <w:headerReference w:type="default" r:id="rId8"/>
          <w:footerReference w:type="default" r:id="rId9"/>
          <w:pgSz w:w="11907" w:h="16834" w:code="9"/>
          <w:pgMar w:top="5670" w:right="1134" w:bottom="1134" w:left="1134" w:header="567" w:footer="851" w:gutter="0"/>
          <w:pgNumType w:start="1"/>
          <w:cols w:space="720"/>
        </w:sectPr>
      </w:pPr>
    </w:p>
    <w:p w14:paraId="72714611" w14:textId="77777777" w:rsidR="00812764" w:rsidRDefault="00812764" w:rsidP="00812764">
      <w:pPr>
        <w:spacing w:before="180"/>
      </w:pPr>
      <w:r>
        <w:lastRenderedPageBreak/>
        <w:t>Note: the nature of the information covered in this report was previously reported in the Office of the Director of Mental Health and Addiction Services Annual Reports. The information is now being published separately as the Suicide Prevention Office has been established. It refers specifically to deaths by suicide, or deaths of undetermined intent, by mental health service users.</w:t>
      </w:r>
    </w:p>
    <w:p w14:paraId="7E99FE45" w14:textId="77777777" w:rsidR="00812764" w:rsidRDefault="00812764" w:rsidP="00812764">
      <w:pPr>
        <w:spacing w:before="180"/>
      </w:pPr>
      <w:r>
        <w:t>Mental health service users are defined in this context as people who accessed district health board or non-government organisation specialist mental health services (including services treating people with alcohol and other drugs (AOD) addiction) in the year before their death. People with no history of mental health service use in the year before their death are referred to as ‘non-service users’ here, although it is acknowledged that some non-service users may have used mental health or AOD services at some earlier time in their lives. This data includes ages 10–64 years.</w:t>
      </w:r>
    </w:p>
    <w:p w14:paraId="74BCA642" w14:textId="77777777" w:rsidR="00D27922" w:rsidRPr="00D27922" w:rsidRDefault="00812764" w:rsidP="00812764">
      <w:pPr>
        <w:spacing w:before="180"/>
      </w:pPr>
      <w:r>
        <w:t xml:space="preserve">Caution should be taken when interpreting the data provided, given the small statistical base. Further statistics on deaths by suicide is available on the </w:t>
      </w:r>
      <w:hyperlink r:id="rId10" w:history="1">
        <w:r w:rsidRPr="00812764">
          <w:rPr>
            <w:rStyle w:val="Hyperlink"/>
          </w:rPr>
          <w:t>https://www.health.govt.nz/our-work/mental-health-and-addiction/suicide-prevention-new-zealand</w:t>
        </w:r>
      </w:hyperlink>
      <w:r>
        <w:t xml:space="preserve"> webpage on the Ministry of Health’s website.</w:t>
      </w:r>
    </w:p>
    <w:p w14:paraId="0443224C" w14:textId="77777777" w:rsidR="00A80363" w:rsidRPr="00C05132" w:rsidRDefault="00A80363" w:rsidP="00A63DFF">
      <w:pPr>
        <w:pStyle w:val="Imprint"/>
        <w:spacing w:before="1200"/>
        <w:rPr>
          <w:rFonts w:cs="Segoe UI"/>
        </w:rPr>
      </w:pPr>
      <w:r w:rsidRPr="00C05132">
        <w:rPr>
          <w:rFonts w:cs="Segoe UI"/>
        </w:rPr>
        <w:t xml:space="preserve">Citation: </w:t>
      </w:r>
      <w:r w:rsidR="00442C1C" w:rsidRPr="00C05132">
        <w:rPr>
          <w:rFonts w:cs="Segoe UI"/>
        </w:rPr>
        <w:t xml:space="preserve">Ministry of Health. </w:t>
      </w:r>
      <w:r w:rsidR="00C533E1">
        <w:rPr>
          <w:rFonts w:cs="Segoe UI"/>
        </w:rPr>
        <w:t>2021</w:t>
      </w:r>
      <w:r w:rsidR="00442C1C" w:rsidRPr="00C05132">
        <w:rPr>
          <w:rFonts w:cs="Segoe UI"/>
        </w:rPr>
        <w:t xml:space="preserve">. </w:t>
      </w:r>
      <w:r w:rsidR="00C533E1">
        <w:rPr>
          <w:rFonts w:cs="Segoe UI"/>
          <w:i/>
        </w:rPr>
        <w:t>Suicide Data related to Mental Health Service Users (201</w:t>
      </w:r>
      <w:r w:rsidR="00DD6F1A">
        <w:rPr>
          <w:rFonts w:cs="Segoe UI"/>
          <w:i/>
        </w:rPr>
        <w:t>7</w:t>
      </w:r>
      <w:r w:rsidR="00C533E1">
        <w:rPr>
          <w:rFonts w:cs="Segoe UI"/>
          <w:i/>
        </w:rPr>
        <w:t>)</w:t>
      </w:r>
      <w:r w:rsidR="00442C1C" w:rsidRPr="00C05132">
        <w:rPr>
          <w:rFonts w:cs="Segoe UI"/>
        </w:rPr>
        <w:t>. Wellington: Ministry of Health.</w:t>
      </w:r>
    </w:p>
    <w:p w14:paraId="1E877BE1" w14:textId="6CC2A9A1" w:rsidR="00C86248" w:rsidRDefault="00C86248">
      <w:pPr>
        <w:pStyle w:val="Imprint"/>
      </w:pPr>
      <w:r>
        <w:t xml:space="preserve">Published in </w:t>
      </w:r>
      <w:r w:rsidR="00475713">
        <w:t>December</w:t>
      </w:r>
      <w:r w:rsidR="00C533E1">
        <w:t xml:space="preserve"> </w:t>
      </w:r>
      <w:r w:rsidR="003235C6">
        <w:t>20</w:t>
      </w:r>
      <w:r w:rsidR="008017B4">
        <w:t>21</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4EA8180A" w14:textId="041C1923" w:rsidR="00082CD6" w:rsidRPr="009C0F2D" w:rsidRDefault="00082CD6" w:rsidP="00082CD6">
      <w:pPr>
        <w:pStyle w:val="Imprint"/>
      </w:pPr>
      <w:r w:rsidRPr="009C0F2D">
        <w:t xml:space="preserve">HP </w:t>
      </w:r>
      <w:r w:rsidR="00B400F3">
        <w:t>7991</w:t>
      </w:r>
    </w:p>
    <w:p w14:paraId="21AF2568" w14:textId="77777777" w:rsidR="00C86248" w:rsidRDefault="008C64C4" w:rsidP="00D27922">
      <w:pPr>
        <w:spacing w:before="360"/>
      </w:pPr>
      <w:r>
        <w:rPr>
          <w:noProof/>
          <w:lang w:eastAsia="en-NZ"/>
        </w:rPr>
        <w:drawing>
          <wp:inline distT="0" distB="0" distL="0" distR="0" wp14:anchorId="526A55C2" wp14:editId="0B44F155">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573ABE3A" w14:textId="77777777" w:rsidR="00A63DFF" w:rsidRDefault="00A63DFF" w:rsidP="00A63DFF">
      <w:pPr>
        <w:pStyle w:val="Imprint"/>
        <w:spacing w:before="240" w:after="480"/>
      </w:pPr>
      <w:r>
        <w:t xml:space="preserve">This document is available at </w:t>
      </w:r>
      <w:hyperlink r:id="rId12" w:history="1">
        <w:r w:rsidR="00476B21" w:rsidRPr="0013096C">
          <w:rPr>
            <w:rStyle w:val="Hyperlink"/>
          </w:rPr>
          <w:t>health.govt.nz</w:t>
        </w:r>
      </w:hyperlink>
    </w:p>
    <w:tbl>
      <w:tblPr>
        <w:tblW w:w="0" w:type="auto"/>
        <w:tblLayout w:type="fixed"/>
        <w:tblLook w:val="04A0" w:firstRow="1" w:lastRow="0" w:firstColumn="1" w:lastColumn="0" w:noHBand="0" w:noVBand="1"/>
      </w:tblPr>
      <w:tblGrid>
        <w:gridCol w:w="1526"/>
        <w:gridCol w:w="6061"/>
      </w:tblGrid>
      <w:tr w:rsidR="00A63DFF" w:rsidRPr="00A63DFF" w14:paraId="370909A3" w14:textId="77777777" w:rsidTr="00A63DFF">
        <w:trPr>
          <w:cantSplit/>
        </w:trPr>
        <w:tc>
          <w:tcPr>
            <w:tcW w:w="1526" w:type="dxa"/>
          </w:tcPr>
          <w:p w14:paraId="03A0A0CC" w14:textId="77777777" w:rsidR="00A63DFF" w:rsidRPr="00A63DFF" w:rsidRDefault="00A63DFF" w:rsidP="00F103BE">
            <w:pPr>
              <w:spacing w:before="240"/>
              <w:rPr>
                <w:rFonts w:cs="Segoe UI"/>
                <w:sz w:val="15"/>
                <w:szCs w:val="15"/>
              </w:rPr>
            </w:pPr>
            <w:r w:rsidRPr="00A63DFF">
              <w:rPr>
                <w:rFonts w:cs="Segoe UI"/>
                <w:b/>
                <w:noProof/>
                <w:sz w:val="15"/>
                <w:szCs w:val="15"/>
                <w:lang w:eastAsia="en-NZ"/>
              </w:rPr>
              <w:drawing>
                <wp:inline distT="0" distB="0" distL="0" distR="0" wp14:anchorId="572E64D7" wp14:editId="29DF8198">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444570E6"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70C38322" w14:textId="77777777" w:rsidR="007E74F1" w:rsidRPr="001F45A7" w:rsidRDefault="007E74F1" w:rsidP="006E2886">
      <w:pPr>
        <w:pStyle w:val="Imprint"/>
      </w:pPr>
    </w:p>
    <w:p w14:paraId="178AB626" w14:textId="77777777" w:rsidR="00C86248" w:rsidRDefault="00C86248">
      <w:pPr>
        <w:jc w:val="center"/>
        <w:sectPr w:rsidR="00C86248" w:rsidSect="00925892">
          <w:footerReference w:type="even" r:id="rId14"/>
          <w:footerReference w:type="default" r:id="rId15"/>
          <w:pgSz w:w="11907" w:h="16834" w:code="9"/>
          <w:pgMar w:top="1701" w:right="2268" w:bottom="1134" w:left="2268" w:header="0" w:footer="0" w:gutter="0"/>
          <w:cols w:space="720"/>
          <w:vAlign w:val="bottom"/>
        </w:sectPr>
      </w:pPr>
    </w:p>
    <w:p w14:paraId="3F7AA0F4" w14:textId="77777777" w:rsidR="00C86248" w:rsidRDefault="00C86248" w:rsidP="00025A6F">
      <w:pPr>
        <w:pStyle w:val="IntroHead"/>
      </w:pPr>
      <w:bookmarkStart w:id="0" w:name="_Toc405792991"/>
      <w:bookmarkStart w:id="1" w:name="_Toc405793224"/>
      <w:r>
        <w:lastRenderedPageBreak/>
        <w:t>Contents</w:t>
      </w:r>
      <w:bookmarkEnd w:id="0"/>
      <w:bookmarkEnd w:id="1"/>
    </w:p>
    <w:p w14:paraId="41B3A877" w14:textId="232CF05D" w:rsidR="00EE447B" w:rsidRDefault="00EE447B">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89166212" w:history="1">
        <w:r w:rsidRPr="00CD5035">
          <w:rPr>
            <w:rStyle w:val="Hyperlink"/>
            <w:noProof/>
          </w:rPr>
          <w:t>Overview</w:t>
        </w:r>
        <w:r>
          <w:rPr>
            <w:noProof/>
            <w:webHidden/>
          </w:rPr>
          <w:tab/>
        </w:r>
        <w:r>
          <w:rPr>
            <w:noProof/>
            <w:webHidden/>
          </w:rPr>
          <w:fldChar w:fldCharType="begin"/>
        </w:r>
        <w:r>
          <w:rPr>
            <w:noProof/>
            <w:webHidden/>
          </w:rPr>
          <w:instrText xml:space="preserve"> PAGEREF _Toc89166212 \h </w:instrText>
        </w:r>
        <w:r>
          <w:rPr>
            <w:noProof/>
            <w:webHidden/>
          </w:rPr>
        </w:r>
        <w:r>
          <w:rPr>
            <w:noProof/>
            <w:webHidden/>
          </w:rPr>
          <w:fldChar w:fldCharType="separate"/>
        </w:r>
        <w:r w:rsidR="000261BB">
          <w:rPr>
            <w:noProof/>
            <w:webHidden/>
          </w:rPr>
          <w:t>1</w:t>
        </w:r>
        <w:r>
          <w:rPr>
            <w:noProof/>
            <w:webHidden/>
          </w:rPr>
          <w:fldChar w:fldCharType="end"/>
        </w:r>
      </w:hyperlink>
    </w:p>
    <w:p w14:paraId="2452AB62" w14:textId="1282FD65" w:rsidR="00EE447B" w:rsidRDefault="00EE447B">
      <w:pPr>
        <w:pStyle w:val="TOC1"/>
        <w:rPr>
          <w:rFonts w:asciiTheme="minorHAnsi" w:eastAsiaTheme="minorEastAsia" w:hAnsiTheme="minorHAnsi" w:cstheme="minorBidi"/>
          <w:noProof/>
          <w:sz w:val="22"/>
          <w:szCs w:val="22"/>
          <w:lang w:eastAsia="en-NZ"/>
        </w:rPr>
      </w:pPr>
      <w:hyperlink w:anchor="_Toc89166213" w:history="1">
        <w:r w:rsidRPr="00CD5035">
          <w:rPr>
            <w:rStyle w:val="Hyperlink"/>
            <w:noProof/>
          </w:rPr>
          <w:t>Prevalence of suicide in the population for the 2017 year</w:t>
        </w:r>
        <w:r>
          <w:rPr>
            <w:noProof/>
            <w:webHidden/>
          </w:rPr>
          <w:tab/>
        </w:r>
        <w:r>
          <w:rPr>
            <w:noProof/>
            <w:webHidden/>
          </w:rPr>
          <w:fldChar w:fldCharType="begin"/>
        </w:r>
        <w:r>
          <w:rPr>
            <w:noProof/>
            <w:webHidden/>
          </w:rPr>
          <w:instrText xml:space="preserve"> PAGEREF _Toc89166213 \h </w:instrText>
        </w:r>
        <w:r>
          <w:rPr>
            <w:noProof/>
            <w:webHidden/>
          </w:rPr>
        </w:r>
        <w:r>
          <w:rPr>
            <w:noProof/>
            <w:webHidden/>
          </w:rPr>
          <w:fldChar w:fldCharType="separate"/>
        </w:r>
        <w:r w:rsidR="000261BB">
          <w:rPr>
            <w:noProof/>
            <w:webHidden/>
          </w:rPr>
          <w:t>2</w:t>
        </w:r>
        <w:r>
          <w:rPr>
            <w:noProof/>
            <w:webHidden/>
          </w:rPr>
          <w:fldChar w:fldCharType="end"/>
        </w:r>
      </w:hyperlink>
    </w:p>
    <w:p w14:paraId="12859364" w14:textId="1695A64C" w:rsidR="00EE447B" w:rsidRDefault="00EE447B">
      <w:pPr>
        <w:pStyle w:val="TOC1"/>
        <w:rPr>
          <w:rFonts w:asciiTheme="minorHAnsi" w:eastAsiaTheme="minorEastAsia" w:hAnsiTheme="minorHAnsi" w:cstheme="minorBidi"/>
          <w:noProof/>
          <w:sz w:val="22"/>
          <w:szCs w:val="22"/>
          <w:lang w:eastAsia="en-NZ"/>
        </w:rPr>
      </w:pPr>
      <w:hyperlink w:anchor="_Toc89166214" w:history="1">
        <w:r w:rsidRPr="00CD5035">
          <w:rPr>
            <w:rStyle w:val="Hyperlink"/>
            <w:noProof/>
          </w:rPr>
          <w:t>Changes in number of suicides over time</w:t>
        </w:r>
        <w:r>
          <w:rPr>
            <w:noProof/>
            <w:webHidden/>
          </w:rPr>
          <w:tab/>
        </w:r>
        <w:r>
          <w:rPr>
            <w:noProof/>
            <w:webHidden/>
          </w:rPr>
          <w:fldChar w:fldCharType="begin"/>
        </w:r>
        <w:r>
          <w:rPr>
            <w:noProof/>
            <w:webHidden/>
          </w:rPr>
          <w:instrText xml:space="preserve"> PAGEREF _Toc89166214 \h </w:instrText>
        </w:r>
        <w:r>
          <w:rPr>
            <w:noProof/>
            <w:webHidden/>
          </w:rPr>
        </w:r>
        <w:r>
          <w:rPr>
            <w:noProof/>
            <w:webHidden/>
          </w:rPr>
          <w:fldChar w:fldCharType="separate"/>
        </w:r>
        <w:r w:rsidR="000261BB">
          <w:rPr>
            <w:noProof/>
            <w:webHidden/>
          </w:rPr>
          <w:t>3</w:t>
        </w:r>
        <w:r>
          <w:rPr>
            <w:noProof/>
            <w:webHidden/>
          </w:rPr>
          <w:fldChar w:fldCharType="end"/>
        </w:r>
      </w:hyperlink>
    </w:p>
    <w:p w14:paraId="29740D11" w14:textId="17368F71" w:rsidR="00EE447B" w:rsidRDefault="00EE447B">
      <w:pPr>
        <w:pStyle w:val="TOC2"/>
        <w:rPr>
          <w:rFonts w:asciiTheme="minorHAnsi" w:eastAsiaTheme="minorEastAsia" w:hAnsiTheme="minorHAnsi" w:cstheme="minorBidi"/>
          <w:noProof/>
          <w:sz w:val="22"/>
          <w:szCs w:val="22"/>
          <w:lang w:eastAsia="en-NZ"/>
        </w:rPr>
      </w:pPr>
      <w:hyperlink w:anchor="_Toc89166215" w:history="1">
        <w:r w:rsidRPr="00CD5035">
          <w:rPr>
            <w:rStyle w:val="Hyperlink"/>
            <w:noProof/>
          </w:rPr>
          <w:t>Sex and age in relation to suicide</w:t>
        </w:r>
        <w:r>
          <w:rPr>
            <w:noProof/>
            <w:webHidden/>
          </w:rPr>
          <w:tab/>
        </w:r>
        <w:r>
          <w:rPr>
            <w:noProof/>
            <w:webHidden/>
          </w:rPr>
          <w:fldChar w:fldCharType="begin"/>
        </w:r>
        <w:r>
          <w:rPr>
            <w:noProof/>
            <w:webHidden/>
          </w:rPr>
          <w:instrText xml:space="preserve"> PAGEREF _Toc89166215 \h </w:instrText>
        </w:r>
        <w:r>
          <w:rPr>
            <w:noProof/>
            <w:webHidden/>
          </w:rPr>
        </w:r>
        <w:r>
          <w:rPr>
            <w:noProof/>
            <w:webHidden/>
          </w:rPr>
          <w:fldChar w:fldCharType="separate"/>
        </w:r>
        <w:r w:rsidR="000261BB">
          <w:rPr>
            <w:noProof/>
            <w:webHidden/>
          </w:rPr>
          <w:t>4</w:t>
        </w:r>
        <w:r>
          <w:rPr>
            <w:noProof/>
            <w:webHidden/>
          </w:rPr>
          <w:fldChar w:fldCharType="end"/>
        </w:r>
      </w:hyperlink>
    </w:p>
    <w:p w14:paraId="6425FF51" w14:textId="10FD83D1" w:rsidR="00EE447B" w:rsidRDefault="00EE447B">
      <w:pPr>
        <w:pStyle w:val="TOC2"/>
        <w:rPr>
          <w:rFonts w:asciiTheme="minorHAnsi" w:eastAsiaTheme="minorEastAsia" w:hAnsiTheme="minorHAnsi" w:cstheme="minorBidi"/>
          <w:noProof/>
          <w:sz w:val="22"/>
          <w:szCs w:val="22"/>
          <w:lang w:eastAsia="en-NZ"/>
        </w:rPr>
      </w:pPr>
      <w:hyperlink w:anchor="_Toc89166216" w:history="1">
        <w:r w:rsidRPr="00CD5035">
          <w:rPr>
            <w:rStyle w:val="Hyperlink"/>
            <w:noProof/>
          </w:rPr>
          <w:t>Ethnicity and suicide</w:t>
        </w:r>
        <w:r>
          <w:rPr>
            <w:noProof/>
            <w:webHidden/>
          </w:rPr>
          <w:tab/>
        </w:r>
        <w:r>
          <w:rPr>
            <w:noProof/>
            <w:webHidden/>
          </w:rPr>
          <w:fldChar w:fldCharType="begin"/>
        </w:r>
        <w:r>
          <w:rPr>
            <w:noProof/>
            <w:webHidden/>
          </w:rPr>
          <w:instrText xml:space="preserve"> PAGEREF _Toc89166216 \h </w:instrText>
        </w:r>
        <w:r>
          <w:rPr>
            <w:noProof/>
            <w:webHidden/>
          </w:rPr>
        </w:r>
        <w:r>
          <w:rPr>
            <w:noProof/>
            <w:webHidden/>
          </w:rPr>
          <w:fldChar w:fldCharType="separate"/>
        </w:r>
        <w:r w:rsidR="000261BB">
          <w:rPr>
            <w:noProof/>
            <w:webHidden/>
          </w:rPr>
          <w:t>5</w:t>
        </w:r>
        <w:r>
          <w:rPr>
            <w:noProof/>
            <w:webHidden/>
          </w:rPr>
          <w:fldChar w:fldCharType="end"/>
        </w:r>
      </w:hyperlink>
    </w:p>
    <w:p w14:paraId="20C0C4D5" w14:textId="41A920EF" w:rsidR="00EE447B" w:rsidRDefault="00EE447B">
      <w:pPr>
        <w:pStyle w:val="TOC2"/>
        <w:rPr>
          <w:rFonts w:asciiTheme="minorHAnsi" w:eastAsiaTheme="minorEastAsia" w:hAnsiTheme="minorHAnsi" w:cstheme="minorBidi"/>
          <w:noProof/>
          <w:sz w:val="22"/>
          <w:szCs w:val="22"/>
          <w:lang w:eastAsia="en-NZ"/>
        </w:rPr>
      </w:pPr>
      <w:hyperlink w:anchor="_Toc89166217" w:history="1">
        <w:r w:rsidRPr="00CD5035">
          <w:rPr>
            <w:rStyle w:val="Hyperlink"/>
            <w:noProof/>
          </w:rPr>
          <w:t>Service users who died by suicide during 2017</w:t>
        </w:r>
        <w:r>
          <w:rPr>
            <w:noProof/>
            <w:webHidden/>
          </w:rPr>
          <w:tab/>
        </w:r>
        <w:r>
          <w:rPr>
            <w:noProof/>
            <w:webHidden/>
          </w:rPr>
          <w:fldChar w:fldCharType="begin"/>
        </w:r>
        <w:r>
          <w:rPr>
            <w:noProof/>
            <w:webHidden/>
          </w:rPr>
          <w:instrText xml:space="preserve"> PAGEREF _Toc89166217 \h </w:instrText>
        </w:r>
        <w:r>
          <w:rPr>
            <w:noProof/>
            <w:webHidden/>
          </w:rPr>
        </w:r>
        <w:r>
          <w:rPr>
            <w:noProof/>
            <w:webHidden/>
          </w:rPr>
          <w:fldChar w:fldCharType="separate"/>
        </w:r>
        <w:r w:rsidR="000261BB">
          <w:rPr>
            <w:noProof/>
            <w:webHidden/>
          </w:rPr>
          <w:t>6</w:t>
        </w:r>
        <w:r>
          <w:rPr>
            <w:noProof/>
            <w:webHidden/>
          </w:rPr>
          <w:fldChar w:fldCharType="end"/>
        </w:r>
      </w:hyperlink>
    </w:p>
    <w:p w14:paraId="1E4BE344" w14:textId="7ED934AB" w:rsidR="00EE447B" w:rsidRDefault="00EE447B">
      <w:pPr>
        <w:pStyle w:val="TOC2"/>
        <w:rPr>
          <w:rFonts w:asciiTheme="minorHAnsi" w:eastAsiaTheme="minorEastAsia" w:hAnsiTheme="minorHAnsi" w:cstheme="minorBidi"/>
          <w:noProof/>
          <w:sz w:val="22"/>
          <w:szCs w:val="22"/>
          <w:lang w:eastAsia="en-NZ"/>
        </w:rPr>
      </w:pPr>
      <w:hyperlink w:anchor="_Toc89166218" w:history="1">
        <w:r w:rsidRPr="00CD5035">
          <w:rPr>
            <w:rStyle w:val="Hyperlink"/>
            <w:noProof/>
          </w:rPr>
          <w:t>An overview of service users who died by suicide2001–2017</w:t>
        </w:r>
        <w:r>
          <w:rPr>
            <w:noProof/>
            <w:webHidden/>
          </w:rPr>
          <w:tab/>
        </w:r>
        <w:r>
          <w:rPr>
            <w:noProof/>
            <w:webHidden/>
          </w:rPr>
          <w:fldChar w:fldCharType="begin"/>
        </w:r>
        <w:r>
          <w:rPr>
            <w:noProof/>
            <w:webHidden/>
          </w:rPr>
          <w:instrText xml:space="preserve"> PAGEREF _Toc89166218 \h </w:instrText>
        </w:r>
        <w:r>
          <w:rPr>
            <w:noProof/>
            <w:webHidden/>
          </w:rPr>
        </w:r>
        <w:r>
          <w:rPr>
            <w:noProof/>
            <w:webHidden/>
          </w:rPr>
          <w:fldChar w:fldCharType="separate"/>
        </w:r>
        <w:r w:rsidR="000261BB">
          <w:rPr>
            <w:noProof/>
            <w:webHidden/>
          </w:rPr>
          <w:t>6</w:t>
        </w:r>
        <w:r>
          <w:rPr>
            <w:noProof/>
            <w:webHidden/>
          </w:rPr>
          <w:fldChar w:fldCharType="end"/>
        </w:r>
      </w:hyperlink>
    </w:p>
    <w:p w14:paraId="47E3DCD9" w14:textId="605A70E8" w:rsidR="00C86248" w:rsidRDefault="00EE447B">
      <w:r>
        <w:rPr>
          <w:rFonts w:ascii="Segoe UI Semibold" w:hAnsi="Segoe UI Semibold"/>
          <w:b/>
          <w:sz w:val="24"/>
        </w:rPr>
        <w:fldChar w:fldCharType="end"/>
      </w:r>
    </w:p>
    <w:p w14:paraId="0B9C5278" w14:textId="77777777" w:rsidR="002B76A7" w:rsidRDefault="002B76A7" w:rsidP="002B76A7">
      <w:pPr>
        <w:pStyle w:val="TOC1"/>
        <w:keepNext/>
      </w:pPr>
      <w:r>
        <w:t>List of Tables</w:t>
      </w:r>
    </w:p>
    <w:p w14:paraId="07146CB6" w14:textId="53BB811E" w:rsidR="004258BC" w:rsidRDefault="002B76A7">
      <w:pPr>
        <w:pStyle w:val="TOC3"/>
        <w:rPr>
          <w:rFonts w:asciiTheme="minorHAnsi" w:eastAsiaTheme="minorEastAsia" w:hAnsiTheme="minorHAnsi" w:cstheme="minorBidi"/>
          <w:noProof/>
          <w:sz w:val="22"/>
          <w:szCs w:val="22"/>
          <w:lang w:eastAsia="en-NZ"/>
        </w:rPr>
      </w:pPr>
      <w:r>
        <w:rPr>
          <w:sz w:val="20"/>
        </w:rPr>
        <w:fldChar w:fldCharType="begin"/>
      </w:r>
      <w:r>
        <w:instrText xml:space="preserve"> TOC \t "Table,3" </w:instrText>
      </w:r>
      <w:r>
        <w:rPr>
          <w:sz w:val="20"/>
        </w:rPr>
        <w:fldChar w:fldCharType="separate"/>
      </w:r>
      <w:r w:rsidR="004258BC">
        <w:rPr>
          <w:noProof/>
        </w:rPr>
        <w:t>Table 1:</w:t>
      </w:r>
      <w:r w:rsidR="004258BC">
        <w:rPr>
          <w:noProof/>
        </w:rPr>
        <w:tab/>
        <w:t>Number and age-standardised rate of suicide, by service use, people aged 10–64 years, 2017</w:t>
      </w:r>
      <w:r w:rsidR="004258BC">
        <w:rPr>
          <w:noProof/>
        </w:rPr>
        <w:tab/>
      </w:r>
      <w:r w:rsidR="004258BC">
        <w:rPr>
          <w:noProof/>
        </w:rPr>
        <w:fldChar w:fldCharType="begin"/>
      </w:r>
      <w:r w:rsidR="004258BC">
        <w:rPr>
          <w:noProof/>
        </w:rPr>
        <w:instrText xml:space="preserve"> PAGEREF _Toc88807946 \h </w:instrText>
      </w:r>
      <w:r w:rsidR="004258BC">
        <w:rPr>
          <w:noProof/>
        </w:rPr>
      </w:r>
      <w:r w:rsidR="004258BC">
        <w:rPr>
          <w:noProof/>
        </w:rPr>
        <w:fldChar w:fldCharType="separate"/>
      </w:r>
      <w:r w:rsidR="000261BB">
        <w:rPr>
          <w:noProof/>
        </w:rPr>
        <w:t>2</w:t>
      </w:r>
      <w:r w:rsidR="004258BC">
        <w:rPr>
          <w:noProof/>
        </w:rPr>
        <w:fldChar w:fldCharType="end"/>
      </w:r>
    </w:p>
    <w:p w14:paraId="359B2E8D" w14:textId="72C9D97D" w:rsidR="004258BC" w:rsidRDefault="004258BC">
      <w:pPr>
        <w:pStyle w:val="TOC3"/>
        <w:rPr>
          <w:rFonts w:asciiTheme="minorHAnsi" w:eastAsiaTheme="minorEastAsia" w:hAnsiTheme="minorHAnsi" w:cstheme="minorBidi"/>
          <w:noProof/>
          <w:sz w:val="22"/>
          <w:szCs w:val="22"/>
          <w:lang w:eastAsia="en-NZ"/>
        </w:rPr>
      </w:pPr>
      <w:r>
        <w:rPr>
          <w:noProof/>
        </w:rPr>
        <w:t>Table 2:</w:t>
      </w:r>
      <w:r>
        <w:rPr>
          <w:noProof/>
        </w:rPr>
        <w:tab/>
        <w:t>Number and age-standardised rate of suicide, by service use and sex, people aged 10–64 years, 2017</w:t>
      </w:r>
      <w:r>
        <w:rPr>
          <w:noProof/>
        </w:rPr>
        <w:tab/>
      </w:r>
      <w:r>
        <w:rPr>
          <w:noProof/>
        </w:rPr>
        <w:fldChar w:fldCharType="begin"/>
      </w:r>
      <w:r>
        <w:rPr>
          <w:noProof/>
        </w:rPr>
        <w:instrText xml:space="preserve"> PAGEREF _Toc88807947 \h </w:instrText>
      </w:r>
      <w:r>
        <w:rPr>
          <w:noProof/>
        </w:rPr>
      </w:r>
      <w:r>
        <w:rPr>
          <w:noProof/>
        </w:rPr>
        <w:fldChar w:fldCharType="separate"/>
      </w:r>
      <w:r w:rsidR="000261BB">
        <w:rPr>
          <w:noProof/>
        </w:rPr>
        <w:t>4</w:t>
      </w:r>
      <w:r>
        <w:rPr>
          <w:noProof/>
        </w:rPr>
        <w:fldChar w:fldCharType="end"/>
      </w:r>
    </w:p>
    <w:p w14:paraId="1D55A60D" w14:textId="35A82508" w:rsidR="004258BC" w:rsidRDefault="004258BC">
      <w:pPr>
        <w:pStyle w:val="TOC3"/>
        <w:rPr>
          <w:rFonts w:asciiTheme="minorHAnsi" w:eastAsiaTheme="minorEastAsia" w:hAnsiTheme="minorHAnsi" w:cstheme="minorBidi"/>
          <w:noProof/>
          <w:sz w:val="22"/>
          <w:szCs w:val="22"/>
          <w:lang w:eastAsia="en-NZ"/>
        </w:rPr>
      </w:pPr>
      <w:r>
        <w:rPr>
          <w:noProof/>
        </w:rPr>
        <w:t>Table 3:</w:t>
      </w:r>
      <w:r>
        <w:rPr>
          <w:noProof/>
        </w:rPr>
        <w:tab/>
        <w:t>Number and age-specific rate of suicide, by age-group, sex and service use, people aged 15–64 years, 2017</w:t>
      </w:r>
      <w:r>
        <w:rPr>
          <w:noProof/>
        </w:rPr>
        <w:tab/>
      </w:r>
      <w:r>
        <w:rPr>
          <w:noProof/>
        </w:rPr>
        <w:fldChar w:fldCharType="begin"/>
      </w:r>
      <w:r>
        <w:rPr>
          <w:noProof/>
        </w:rPr>
        <w:instrText xml:space="preserve"> PAGEREF _Toc88807948 \h </w:instrText>
      </w:r>
      <w:r>
        <w:rPr>
          <w:noProof/>
        </w:rPr>
      </w:r>
      <w:r>
        <w:rPr>
          <w:noProof/>
        </w:rPr>
        <w:fldChar w:fldCharType="separate"/>
      </w:r>
      <w:r w:rsidR="000261BB">
        <w:rPr>
          <w:noProof/>
        </w:rPr>
        <w:t>4</w:t>
      </w:r>
      <w:r>
        <w:rPr>
          <w:noProof/>
        </w:rPr>
        <w:fldChar w:fldCharType="end"/>
      </w:r>
    </w:p>
    <w:p w14:paraId="79CFF77E" w14:textId="61961A42" w:rsidR="004258BC" w:rsidRDefault="004258BC">
      <w:pPr>
        <w:pStyle w:val="TOC3"/>
        <w:rPr>
          <w:rFonts w:asciiTheme="minorHAnsi" w:eastAsiaTheme="minorEastAsia" w:hAnsiTheme="minorHAnsi" w:cstheme="minorBidi"/>
          <w:noProof/>
          <w:sz w:val="22"/>
          <w:szCs w:val="22"/>
          <w:lang w:eastAsia="en-NZ"/>
        </w:rPr>
      </w:pPr>
      <w:r>
        <w:rPr>
          <w:noProof/>
        </w:rPr>
        <w:t>Table 4:</w:t>
      </w:r>
      <w:r>
        <w:rPr>
          <w:noProof/>
        </w:rPr>
        <w:tab/>
        <w:t>Number and age-standardised rate of suicide and deaths of undetermined intent, by ethnicity and service use, people aged 10–64 years, 2017</w:t>
      </w:r>
      <w:r>
        <w:rPr>
          <w:noProof/>
        </w:rPr>
        <w:tab/>
      </w:r>
      <w:r>
        <w:rPr>
          <w:noProof/>
        </w:rPr>
        <w:fldChar w:fldCharType="begin"/>
      </w:r>
      <w:r>
        <w:rPr>
          <w:noProof/>
        </w:rPr>
        <w:instrText xml:space="preserve"> PAGEREF _Toc88807949 \h </w:instrText>
      </w:r>
      <w:r>
        <w:rPr>
          <w:noProof/>
        </w:rPr>
      </w:r>
      <w:r>
        <w:rPr>
          <w:noProof/>
        </w:rPr>
        <w:fldChar w:fldCharType="separate"/>
      </w:r>
      <w:r w:rsidR="000261BB">
        <w:rPr>
          <w:noProof/>
        </w:rPr>
        <w:t>5</w:t>
      </w:r>
      <w:r>
        <w:rPr>
          <w:noProof/>
        </w:rPr>
        <w:fldChar w:fldCharType="end"/>
      </w:r>
    </w:p>
    <w:p w14:paraId="3A569482" w14:textId="77777777" w:rsidR="002B76A7" w:rsidRDefault="002B76A7" w:rsidP="003A5FEA">
      <w:r>
        <w:fldChar w:fldCharType="end"/>
      </w:r>
    </w:p>
    <w:p w14:paraId="268C2342" w14:textId="77777777" w:rsidR="0033448B" w:rsidRDefault="0033448B" w:rsidP="0033448B">
      <w:pPr>
        <w:pStyle w:val="TOC1"/>
        <w:keepNext/>
      </w:pPr>
      <w:r>
        <w:t>List of Figures</w:t>
      </w:r>
    </w:p>
    <w:p w14:paraId="69316142" w14:textId="2CC4E5D8" w:rsidR="004258BC" w:rsidRDefault="0033448B">
      <w:pPr>
        <w:pStyle w:val="TOC3"/>
        <w:rPr>
          <w:rFonts w:asciiTheme="minorHAnsi" w:eastAsiaTheme="minorEastAsia" w:hAnsiTheme="minorHAnsi" w:cstheme="minorBidi"/>
          <w:noProof/>
          <w:sz w:val="22"/>
          <w:szCs w:val="22"/>
          <w:lang w:eastAsia="en-NZ"/>
        </w:rPr>
      </w:pPr>
      <w:r>
        <w:fldChar w:fldCharType="begin"/>
      </w:r>
      <w:r>
        <w:instrText xml:space="preserve"> TOC \t "Figure,3" </w:instrText>
      </w:r>
      <w:r>
        <w:fldChar w:fldCharType="separate"/>
      </w:r>
      <w:r w:rsidR="004258BC">
        <w:rPr>
          <w:noProof/>
        </w:rPr>
        <w:t>Figure 1:</w:t>
      </w:r>
      <w:r w:rsidR="004258BC">
        <w:rPr>
          <w:noProof/>
        </w:rPr>
        <w:tab/>
        <w:t>Age-standardised rate of suicide, by service use, in people aged 10–64 years, 2001–2017</w:t>
      </w:r>
      <w:r w:rsidR="004258BC">
        <w:rPr>
          <w:noProof/>
        </w:rPr>
        <w:tab/>
      </w:r>
      <w:r w:rsidR="004258BC">
        <w:rPr>
          <w:noProof/>
        </w:rPr>
        <w:fldChar w:fldCharType="begin"/>
      </w:r>
      <w:r w:rsidR="004258BC">
        <w:rPr>
          <w:noProof/>
        </w:rPr>
        <w:instrText xml:space="preserve"> PAGEREF _Toc88807955 \h </w:instrText>
      </w:r>
      <w:r w:rsidR="004258BC">
        <w:rPr>
          <w:noProof/>
        </w:rPr>
      </w:r>
      <w:r w:rsidR="004258BC">
        <w:rPr>
          <w:noProof/>
        </w:rPr>
        <w:fldChar w:fldCharType="separate"/>
      </w:r>
      <w:r w:rsidR="000261BB">
        <w:rPr>
          <w:noProof/>
        </w:rPr>
        <w:t>3</w:t>
      </w:r>
      <w:r w:rsidR="004258BC">
        <w:rPr>
          <w:noProof/>
        </w:rPr>
        <w:fldChar w:fldCharType="end"/>
      </w:r>
    </w:p>
    <w:p w14:paraId="266D095B" w14:textId="0C908F21" w:rsidR="004258BC" w:rsidRDefault="004258BC">
      <w:pPr>
        <w:pStyle w:val="TOC3"/>
        <w:rPr>
          <w:rFonts w:asciiTheme="minorHAnsi" w:eastAsiaTheme="minorEastAsia" w:hAnsiTheme="minorHAnsi" w:cstheme="minorBidi"/>
          <w:noProof/>
          <w:sz w:val="22"/>
          <w:szCs w:val="22"/>
          <w:lang w:eastAsia="en-NZ"/>
        </w:rPr>
      </w:pPr>
      <w:r>
        <w:rPr>
          <w:noProof/>
        </w:rPr>
        <w:t>Figure 2:</w:t>
      </w:r>
      <w:r>
        <w:rPr>
          <w:noProof/>
        </w:rPr>
        <w:tab/>
        <w:t>Age-specific rate of suicide, by age-group, sex and service use, people aged 15–64 years, 2017</w:t>
      </w:r>
      <w:r>
        <w:rPr>
          <w:noProof/>
        </w:rPr>
        <w:tab/>
      </w:r>
      <w:r>
        <w:rPr>
          <w:noProof/>
        </w:rPr>
        <w:fldChar w:fldCharType="begin"/>
      </w:r>
      <w:r>
        <w:rPr>
          <w:noProof/>
        </w:rPr>
        <w:instrText xml:space="preserve"> PAGEREF _Toc88807956 \h </w:instrText>
      </w:r>
      <w:r>
        <w:rPr>
          <w:noProof/>
        </w:rPr>
      </w:r>
      <w:r>
        <w:rPr>
          <w:noProof/>
        </w:rPr>
        <w:fldChar w:fldCharType="separate"/>
      </w:r>
      <w:r w:rsidR="000261BB">
        <w:rPr>
          <w:noProof/>
        </w:rPr>
        <w:t>5</w:t>
      </w:r>
      <w:r>
        <w:rPr>
          <w:noProof/>
        </w:rPr>
        <w:fldChar w:fldCharType="end"/>
      </w:r>
    </w:p>
    <w:p w14:paraId="400C9C82" w14:textId="77777777" w:rsidR="0033448B" w:rsidRPr="000A0158" w:rsidRDefault="0033448B" w:rsidP="0033448B">
      <w:r>
        <w:fldChar w:fldCharType="end"/>
      </w:r>
    </w:p>
    <w:p w14:paraId="3EDD06C3" w14:textId="77777777" w:rsidR="00FB0A5B" w:rsidRDefault="00FB0A5B" w:rsidP="003A5FEA"/>
    <w:p w14:paraId="40593105" w14:textId="77777777" w:rsidR="001D3E4E" w:rsidRDefault="001D3E4E" w:rsidP="003A5FEA">
      <w:pPr>
        <w:sectPr w:rsidR="001D3E4E" w:rsidSect="00925892">
          <w:headerReference w:type="even" r:id="rId16"/>
          <w:headerReference w:type="default" r:id="rId17"/>
          <w:footerReference w:type="even" r:id="rId18"/>
          <w:footerReference w:type="default" r:id="rId19"/>
          <w:pgSz w:w="11907" w:h="16840" w:code="9"/>
          <w:pgMar w:top="1418" w:right="1701" w:bottom="1134" w:left="1843" w:header="284" w:footer="425" w:gutter="284"/>
          <w:pgNumType w:fmt="lowerRoman"/>
          <w:cols w:space="720"/>
        </w:sectPr>
      </w:pPr>
    </w:p>
    <w:p w14:paraId="38BA5FEA" w14:textId="77777777" w:rsidR="008C2973" w:rsidRDefault="00C533E1" w:rsidP="00F54E74">
      <w:pPr>
        <w:pStyle w:val="Heading1"/>
      </w:pPr>
      <w:bookmarkStart w:id="2" w:name="_Toc89166212"/>
      <w:r>
        <w:lastRenderedPageBreak/>
        <w:t>Overview</w:t>
      </w:r>
      <w:bookmarkEnd w:id="2"/>
    </w:p>
    <w:p w14:paraId="60FE5857" w14:textId="77777777" w:rsidR="00812764" w:rsidRDefault="00812764" w:rsidP="00376E90">
      <w:r w:rsidRPr="00AB243F">
        <w:t>Every suicide is a tragedy and has a significant impact on friends, whānau and communities. People who die by suicide are almost always acutely distressed but are not necessarily mentally ill.</w:t>
      </w:r>
    </w:p>
    <w:p w14:paraId="188FF4A0" w14:textId="77777777" w:rsidR="00812764" w:rsidRPr="00AB243F" w:rsidRDefault="00812764" w:rsidP="00376E90"/>
    <w:p w14:paraId="65A84AA1" w14:textId="77777777" w:rsidR="00812764" w:rsidRPr="00AB243F" w:rsidRDefault="00812764" w:rsidP="00376E90">
      <w:r w:rsidRPr="00AB243F">
        <w:t>It is important to note that, statistically, the number of suicides per year is at a level that is classified as a low base rate event. This means that there can be quite large differences each year in the number of suicides that occur compared with a previous year, but this change is not a clear or reliable indicator of a decrease or increase in rates. Even large fluctuations in rates over short periods of time can be unreliable. Understanding data in specific population groups, including mental health service users, is even more difficult because the numbers are smaller. Therefore, looking at patterns over very long periods of time is necessary to understand longer-term trends.</w:t>
      </w:r>
    </w:p>
    <w:p w14:paraId="0443FEA6" w14:textId="77777777" w:rsidR="00812764" w:rsidRDefault="00812764" w:rsidP="00376E90"/>
    <w:p w14:paraId="3F8CD8F5" w14:textId="77777777" w:rsidR="00812764" w:rsidRPr="00AB243F" w:rsidRDefault="00812764" w:rsidP="00376E90">
      <w:r w:rsidRPr="00AB243F">
        <w:t>In addition, methodological developments have highlighted improved ways of reporting data from low base events tha</w:t>
      </w:r>
      <w:r>
        <w:t>t are</w:t>
      </w:r>
      <w:r w:rsidRPr="00AB243F">
        <w:t xml:space="preserve"> presented in this report. The intention is to improve the way in which data </w:t>
      </w:r>
      <w:r>
        <w:t>is</w:t>
      </w:r>
      <w:r w:rsidRPr="00AB243F">
        <w:t xml:space="preserve"> analysed and presented</w:t>
      </w:r>
      <w:r>
        <w:t xml:space="preserve"> over time</w:t>
      </w:r>
      <w:r w:rsidRPr="00AB243F">
        <w:t>.</w:t>
      </w:r>
    </w:p>
    <w:p w14:paraId="196C00C1" w14:textId="77777777" w:rsidR="00812764" w:rsidRDefault="00812764" w:rsidP="00376E90"/>
    <w:p w14:paraId="5F65A61B" w14:textId="77777777" w:rsidR="00812764" w:rsidRPr="007C110E" w:rsidRDefault="00812764" w:rsidP="00376E90">
      <w:pPr>
        <w:pStyle w:val="Heading1"/>
      </w:pPr>
      <w:bookmarkStart w:id="3" w:name="_Toc76372797"/>
      <w:bookmarkStart w:id="4" w:name="_Toc89166213"/>
      <w:r w:rsidRPr="0021531A">
        <w:lastRenderedPageBreak/>
        <w:t>Prevalence</w:t>
      </w:r>
      <w:r w:rsidRPr="007C110E">
        <w:t xml:space="preserve"> of suicide in the population</w:t>
      </w:r>
      <w:r>
        <w:t xml:space="preserve"> for the 2017 year</w:t>
      </w:r>
      <w:bookmarkEnd w:id="3"/>
      <w:bookmarkEnd w:id="4"/>
    </w:p>
    <w:p w14:paraId="59A24A46" w14:textId="77777777" w:rsidR="00812764" w:rsidRPr="002D053D" w:rsidRDefault="00812764" w:rsidP="00376E90">
      <w:r w:rsidRPr="002D053D">
        <w:t>In 2017, there were 531 suicides recorded in the mortality database</w:t>
      </w:r>
      <w:r w:rsidR="00376E90">
        <w:t>.</w:t>
      </w:r>
      <w:r w:rsidRPr="00376E90">
        <w:rPr>
          <w:rStyle w:val="FootnoteReference"/>
        </w:rPr>
        <w:footnoteReference w:id="1"/>
      </w:r>
      <w:r w:rsidRPr="002D053D">
        <w:t xml:space="preserve"> A further 13</w:t>
      </w:r>
      <w:r w:rsidR="00376E90">
        <w:t> </w:t>
      </w:r>
      <w:r w:rsidRPr="002D053D">
        <w:t>deaths of undetermined intent were recorded and are included in this report.</w:t>
      </w:r>
    </w:p>
    <w:p w14:paraId="420851EC" w14:textId="77777777" w:rsidR="00812764" w:rsidRPr="002D053D" w:rsidRDefault="00812764" w:rsidP="00376E90"/>
    <w:p w14:paraId="543B9330" w14:textId="6054BAA2" w:rsidR="00812764" w:rsidRDefault="00376E90" w:rsidP="00376E90">
      <w:r>
        <w:fldChar w:fldCharType="begin"/>
      </w:r>
      <w:r>
        <w:instrText xml:space="preserve"> REF _Ref88806866 \h </w:instrText>
      </w:r>
      <w:r>
        <w:fldChar w:fldCharType="separate"/>
      </w:r>
      <w:r w:rsidR="000261BB">
        <w:t>Table </w:t>
      </w:r>
      <w:r w:rsidR="000261BB">
        <w:rPr>
          <w:noProof/>
        </w:rPr>
        <w:t>1</w:t>
      </w:r>
      <w:r>
        <w:fldChar w:fldCharType="end"/>
      </w:r>
      <w:r w:rsidR="00812764" w:rsidRPr="002D053D">
        <w:t xml:space="preserve"> </w:t>
      </w:r>
      <w:r w:rsidR="00812764">
        <w:t>provides data about these 544 suicide deaths (including undetermined intent) in 2017.</w:t>
      </w:r>
      <w:r w:rsidR="00812764" w:rsidRPr="002D053D">
        <w:t xml:space="preserve"> Of these 544 people, 225 had contact with mental health services in the year before death</w:t>
      </w:r>
      <w:r w:rsidR="00812764">
        <w:t>.</w:t>
      </w:r>
    </w:p>
    <w:p w14:paraId="0C8A8B15" w14:textId="77777777" w:rsidR="00812764" w:rsidRDefault="00812764" w:rsidP="00376E90"/>
    <w:p w14:paraId="3A0654A9" w14:textId="5A9B18AF" w:rsidR="00812764" w:rsidRPr="002D053D" w:rsidRDefault="00812764" w:rsidP="00376E90">
      <w:r>
        <w:t xml:space="preserve">Age standardised rates for service users and non-service users should not be compared directly because of the significantly different population type and size (denominators), rather the rates in each group should be compared over time as shown in </w:t>
      </w:r>
      <w:r w:rsidR="00376E90">
        <w:fldChar w:fldCharType="begin"/>
      </w:r>
      <w:r w:rsidR="00376E90">
        <w:instrText xml:space="preserve"> REF _Ref88806888 \h </w:instrText>
      </w:r>
      <w:r w:rsidR="00376E90">
        <w:fldChar w:fldCharType="separate"/>
      </w:r>
      <w:r w:rsidR="000261BB">
        <w:t>Figure </w:t>
      </w:r>
      <w:r w:rsidR="000261BB">
        <w:rPr>
          <w:noProof/>
        </w:rPr>
        <w:t>1</w:t>
      </w:r>
      <w:r w:rsidR="00376E90">
        <w:fldChar w:fldCharType="end"/>
      </w:r>
      <w:r>
        <w:t>.</w:t>
      </w:r>
    </w:p>
    <w:p w14:paraId="1FEA9B6F" w14:textId="77777777" w:rsidR="00812764" w:rsidRPr="00A84F04" w:rsidRDefault="00812764" w:rsidP="00376E90"/>
    <w:p w14:paraId="0659A21B" w14:textId="124D4090" w:rsidR="00812764" w:rsidRPr="00A84F04" w:rsidRDefault="00376E90" w:rsidP="00376E90">
      <w:pPr>
        <w:pStyle w:val="Table"/>
      </w:pPr>
      <w:bookmarkStart w:id="5" w:name="_Ref88806866"/>
      <w:bookmarkStart w:id="6" w:name="_Toc86766051"/>
      <w:bookmarkStart w:id="7" w:name="_Toc88807946"/>
      <w:r>
        <w:t>Table </w:t>
      </w:r>
      <w:fldSimple w:instr=" SEQ Table \* ARABIC ">
        <w:r w:rsidR="000261BB">
          <w:rPr>
            <w:noProof/>
          </w:rPr>
          <w:t>1</w:t>
        </w:r>
      </w:fldSimple>
      <w:bookmarkEnd w:id="5"/>
      <w:r w:rsidR="00812764" w:rsidRPr="0067492E">
        <w:t xml:space="preserve">: Number and age-standardised rate of suicide, by service use, people aged 10–64 years, </w:t>
      </w:r>
      <w:r w:rsidR="00812764" w:rsidRPr="00F0330B">
        <w:t>2017</w:t>
      </w:r>
      <w:bookmarkEnd w:id="6"/>
      <w:bookmarkEnd w:id="7"/>
    </w:p>
    <w:tbl>
      <w:tblPr>
        <w:tblW w:w="7371"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1E0" w:firstRow="1" w:lastRow="1" w:firstColumn="1" w:lastColumn="1" w:noHBand="0" w:noVBand="0"/>
      </w:tblPr>
      <w:tblGrid>
        <w:gridCol w:w="3686"/>
        <w:gridCol w:w="1417"/>
        <w:gridCol w:w="2268"/>
      </w:tblGrid>
      <w:tr w:rsidR="00812764" w:rsidRPr="00376E90" w14:paraId="2A540BC7" w14:textId="77777777" w:rsidTr="00376E90">
        <w:trPr>
          <w:cantSplit/>
          <w:trHeight w:val="309"/>
        </w:trPr>
        <w:tc>
          <w:tcPr>
            <w:tcW w:w="3686" w:type="dxa"/>
            <w:tcBorders>
              <w:top w:val="nil"/>
              <w:bottom w:val="nil"/>
            </w:tcBorders>
            <w:shd w:val="clear" w:color="auto" w:fill="D9D9D9" w:themeFill="background1" w:themeFillShade="D9"/>
          </w:tcPr>
          <w:p w14:paraId="37ACA2CD" w14:textId="77777777" w:rsidR="00812764" w:rsidRPr="00376E90" w:rsidRDefault="00812764" w:rsidP="00376E90">
            <w:pPr>
              <w:pStyle w:val="TableText"/>
              <w:rPr>
                <w:b/>
              </w:rPr>
            </w:pPr>
          </w:p>
        </w:tc>
        <w:tc>
          <w:tcPr>
            <w:tcW w:w="1417" w:type="dxa"/>
            <w:tcBorders>
              <w:top w:val="nil"/>
              <w:bottom w:val="nil"/>
            </w:tcBorders>
            <w:shd w:val="clear" w:color="auto" w:fill="D9D9D9" w:themeFill="background1" w:themeFillShade="D9"/>
          </w:tcPr>
          <w:p w14:paraId="74EE66C4" w14:textId="77777777" w:rsidR="00812764" w:rsidRPr="00376E90" w:rsidRDefault="00812764" w:rsidP="00376E90">
            <w:pPr>
              <w:pStyle w:val="TableText"/>
              <w:jc w:val="center"/>
              <w:rPr>
                <w:b/>
              </w:rPr>
            </w:pPr>
            <w:r w:rsidRPr="00376E90">
              <w:rPr>
                <w:b/>
              </w:rPr>
              <w:t>Number</w:t>
            </w:r>
          </w:p>
        </w:tc>
        <w:tc>
          <w:tcPr>
            <w:tcW w:w="2268" w:type="dxa"/>
            <w:tcBorders>
              <w:top w:val="nil"/>
              <w:bottom w:val="nil"/>
            </w:tcBorders>
            <w:shd w:val="clear" w:color="auto" w:fill="D9D9D9" w:themeFill="background1" w:themeFillShade="D9"/>
          </w:tcPr>
          <w:p w14:paraId="78E9544D" w14:textId="77777777" w:rsidR="00812764" w:rsidRPr="00376E90" w:rsidRDefault="00812764" w:rsidP="00376E90">
            <w:pPr>
              <w:pStyle w:val="TableText"/>
              <w:jc w:val="center"/>
              <w:rPr>
                <w:b/>
              </w:rPr>
            </w:pPr>
            <w:r w:rsidRPr="00376E90">
              <w:rPr>
                <w:b/>
              </w:rPr>
              <w:t>Age-standardised rate</w:t>
            </w:r>
          </w:p>
        </w:tc>
      </w:tr>
      <w:tr w:rsidR="00812764" w:rsidRPr="00376E90" w14:paraId="43FF2093" w14:textId="77777777" w:rsidTr="00376E90">
        <w:trPr>
          <w:cantSplit/>
          <w:trHeight w:val="321"/>
        </w:trPr>
        <w:tc>
          <w:tcPr>
            <w:tcW w:w="3686" w:type="dxa"/>
            <w:tcBorders>
              <w:top w:val="nil"/>
              <w:bottom w:val="nil"/>
            </w:tcBorders>
            <w:shd w:val="clear" w:color="auto" w:fill="F2F2F2" w:themeFill="background1" w:themeFillShade="F2"/>
            <w:hideMark/>
          </w:tcPr>
          <w:p w14:paraId="7554AA3B" w14:textId="77777777" w:rsidR="00812764" w:rsidRPr="00376E90" w:rsidRDefault="00812764" w:rsidP="00376E90">
            <w:pPr>
              <w:pStyle w:val="TableText"/>
              <w:rPr>
                <w:b/>
              </w:rPr>
            </w:pPr>
            <w:r w:rsidRPr="00376E90">
              <w:rPr>
                <w:b/>
              </w:rPr>
              <w:t>Deaths due to intentional self-harm</w:t>
            </w:r>
          </w:p>
        </w:tc>
        <w:tc>
          <w:tcPr>
            <w:tcW w:w="1417" w:type="dxa"/>
            <w:tcBorders>
              <w:top w:val="nil"/>
              <w:bottom w:val="nil"/>
            </w:tcBorders>
            <w:shd w:val="clear" w:color="auto" w:fill="F2F2F2" w:themeFill="background1" w:themeFillShade="F2"/>
          </w:tcPr>
          <w:p w14:paraId="4C138A93" w14:textId="77777777" w:rsidR="00812764" w:rsidRPr="00376E90" w:rsidRDefault="00812764" w:rsidP="00376E90">
            <w:pPr>
              <w:pStyle w:val="TableText"/>
              <w:tabs>
                <w:tab w:val="decimal" w:pos="793"/>
              </w:tabs>
              <w:rPr>
                <w:b/>
              </w:rPr>
            </w:pPr>
          </w:p>
        </w:tc>
        <w:tc>
          <w:tcPr>
            <w:tcW w:w="2268" w:type="dxa"/>
            <w:tcBorders>
              <w:top w:val="nil"/>
              <w:bottom w:val="nil"/>
            </w:tcBorders>
            <w:shd w:val="clear" w:color="auto" w:fill="F2F2F2" w:themeFill="background1" w:themeFillShade="F2"/>
          </w:tcPr>
          <w:p w14:paraId="24B80E08" w14:textId="77777777" w:rsidR="00812764" w:rsidRPr="00376E90" w:rsidRDefault="00812764" w:rsidP="00376E90">
            <w:pPr>
              <w:pStyle w:val="TableText"/>
              <w:tabs>
                <w:tab w:val="decimal" w:pos="1071"/>
              </w:tabs>
              <w:rPr>
                <w:b/>
              </w:rPr>
            </w:pPr>
          </w:p>
        </w:tc>
      </w:tr>
      <w:tr w:rsidR="00812764" w:rsidRPr="00A84F04" w14:paraId="29C21FEF" w14:textId="77777777" w:rsidTr="00376E90">
        <w:trPr>
          <w:cantSplit/>
          <w:trHeight w:val="309"/>
        </w:trPr>
        <w:tc>
          <w:tcPr>
            <w:tcW w:w="3686" w:type="dxa"/>
            <w:tcBorders>
              <w:top w:val="nil"/>
            </w:tcBorders>
            <w:hideMark/>
          </w:tcPr>
          <w:p w14:paraId="2D916ECF" w14:textId="77777777" w:rsidR="00812764" w:rsidRPr="00A84F04" w:rsidRDefault="00812764" w:rsidP="00376E90">
            <w:pPr>
              <w:pStyle w:val="TableText"/>
            </w:pPr>
            <w:r w:rsidRPr="00A84F04">
              <w:t>Service users</w:t>
            </w:r>
          </w:p>
        </w:tc>
        <w:tc>
          <w:tcPr>
            <w:tcW w:w="1417" w:type="dxa"/>
            <w:tcBorders>
              <w:top w:val="nil"/>
            </w:tcBorders>
          </w:tcPr>
          <w:p w14:paraId="3F54D903" w14:textId="77777777" w:rsidR="00812764" w:rsidRPr="00A84F04" w:rsidRDefault="00812764" w:rsidP="00376E90">
            <w:pPr>
              <w:pStyle w:val="TableText"/>
              <w:tabs>
                <w:tab w:val="decimal" w:pos="793"/>
              </w:tabs>
            </w:pPr>
            <w:r>
              <w:t>220</w:t>
            </w:r>
          </w:p>
        </w:tc>
        <w:tc>
          <w:tcPr>
            <w:tcW w:w="2268" w:type="dxa"/>
            <w:tcBorders>
              <w:top w:val="nil"/>
            </w:tcBorders>
          </w:tcPr>
          <w:p w14:paraId="35160B74" w14:textId="77777777" w:rsidR="00812764" w:rsidRPr="00A84F04" w:rsidRDefault="00812764" w:rsidP="00376E90">
            <w:pPr>
              <w:pStyle w:val="TableText"/>
              <w:tabs>
                <w:tab w:val="decimal" w:pos="1071"/>
              </w:tabs>
            </w:pPr>
            <w:r>
              <w:t>132.9</w:t>
            </w:r>
          </w:p>
        </w:tc>
      </w:tr>
      <w:tr w:rsidR="00812764" w:rsidRPr="00A84F04" w14:paraId="69B1BE7B" w14:textId="77777777" w:rsidTr="00376E90">
        <w:trPr>
          <w:cantSplit/>
          <w:trHeight w:val="309"/>
        </w:trPr>
        <w:tc>
          <w:tcPr>
            <w:tcW w:w="3686" w:type="dxa"/>
            <w:hideMark/>
          </w:tcPr>
          <w:p w14:paraId="174FCF8B" w14:textId="77777777" w:rsidR="00812764" w:rsidRPr="00A84F04" w:rsidRDefault="00812764" w:rsidP="00376E90">
            <w:pPr>
              <w:pStyle w:val="TableText"/>
            </w:pPr>
            <w:r w:rsidRPr="00A84F04">
              <w:t>Non-service users</w:t>
            </w:r>
          </w:p>
        </w:tc>
        <w:tc>
          <w:tcPr>
            <w:tcW w:w="1417" w:type="dxa"/>
          </w:tcPr>
          <w:p w14:paraId="6BD9D86B" w14:textId="77777777" w:rsidR="00812764" w:rsidRPr="00A84F04" w:rsidRDefault="00812764" w:rsidP="00376E90">
            <w:pPr>
              <w:pStyle w:val="TableText"/>
              <w:tabs>
                <w:tab w:val="decimal" w:pos="793"/>
              </w:tabs>
            </w:pPr>
            <w:r>
              <w:t>311</w:t>
            </w:r>
          </w:p>
        </w:tc>
        <w:tc>
          <w:tcPr>
            <w:tcW w:w="2268" w:type="dxa"/>
          </w:tcPr>
          <w:p w14:paraId="1F50614E" w14:textId="77777777" w:rsidR="00812764" w:rsidRPr="00A84F04" w:rsidRDefault="00812764" w:rsidP="00376E90">
            <w:pPr>
              <w:pStyle w:val="TableText"/>
              <w:tabs>
                <w:tab w:val="decimal" w:pos="1071"/>
              </w:tabs>
            </w:pPr>
            <w:r>
              <w:t>7.5</w:t>
            </w:r>
          </w:p>
        </w:tc>
      </w:tr>
      <w:tr w:rsidR="00812764" w:rsidRPr="00376E90" w14:paraId="24D96EA2" w14:textId="77777777" w:rsidTr="00376E90">
        <w:trPr>
          <w:cantSplit/>
          <w:trHeight w:val="309"/>
        </w:trPr>
        <w:tc>
          <w:tcPr>
            <w:tcW w:w="3686" w:type="dxa"/>
            <w:tcBorders>
              <w:bottom w:val="single" w:sz="4" w:space="0" w:color="A6A6A6" w:themeColor="background1" w:themeShade="A6"/>
            </w:tcBorders>
            <w:hideMark/>
          </w:tcPr>
          <w:p w14:paraId="62E56A05" w14:textId="77777777" w:rsidR="00812764" w:rsidRPr="00376E90" w:rsidRDefault="00812764" w:rsidP="00376E90">
            <w:pPr>
              <w:pStyle w:val="TableText"/>
              <w:rPr>
                <w:b/>
              </w:rPr>
            </w:pPr>
            <w:r w:rsidRPr="00376E90">
              <w:rPr>
                <w:b/>
              </w:rPr>
              <w:t>Total</w:t>
            </w:r>
          </w:p>
        </w:tc>
        <w:tc>
          <w:tcPr>
            <w:tcW w:w="1417" w:type="dxa"/>
            <w:tcBorders>
              <w:bottom w:val="single" w:sz="4" w:space="0" w:color="A6A6A6" w:themeColor="background1" w:themeShade="A6"/>
            </w:tcBorders>
          </w:tcPr>
          <w:p w14:paraId="16212CE4" w14:textId="77777777" w:rsidR="00812764" w:rsidRPr="00376E90" w:rsidRDefault="00812764" w:rsidP="00376E90">
            <w:pPr>
              <w:pStyle w:val="TableText"/>
              <w:tabs>
                <w:tab w:val="decimal" w:pos="793"/>
              </w:tabs>
              <w:rPr>
                <w:b/>
              </w:rPr>
            </w:pPr>
            <w:r w:rsidRPr="00376E90">
              <w:rPr>
                <w:b/>
              </w:rPr>
              <w:t>531</w:t>
            </w:r>
          </w:p>
        </w:tc>
        <w:tc>
          <w:tcPr>
            <w:tcW w:w="2268" w:type="dxa"/>
            <w:tcBorders>
              <w:bottom w:val="single" w:sz="4" w:space="0" w:color="A6A6A6" w:themeColor="background1" w:themeShade="A6"/>
            </w:tcBorders>
          </w:tcPr>
          <w:p w14:paraId="11C3EFF6" w14:textId="77777777" w:rsidR="00812764" w:rsidRPr="00376E90" w:rsidRDefault="00812764" w:rsidP="00376E90">
            <w:pPr>
              <w:pStyle w:val="TableText"/>
              <w:tabs>
                <w:tab w:val="decimal" w:pos="1071"/>
              </w:tabs>
              <w:rPr>
                <w:b/>
              </w:rPr>
            </w:pPr>
            <w:r w:rsidRPr="00376E90">
              <w:rPr>
                <w:b/>
              </w:rPr>
              <w:t>12.9</w:t>
            </w:r>
          </w:p>
        </w:tc>
      </w:tr>
      <w:tr w:rsidR="00812764" w:rsidRPr="00376E90" w14:paraId="0E73DF2E" w14:textId="77777777" w:rsidTr="00376E90">
        <w:trPr>
          <w:cantSplit/>
          <w:trHeight w:val="309"/>
        </w:trPr>
        <w:tc>
          <w:tcPr>
            <w:tcW w:w="3686" w:type="dxa"/>
            <w:tcBorders>
              <w:top w:val="single" w:sz="4" w:space="0" w:color="A6A6A6" w:themeColor="background1" w:themeShade="A6"/>
              <w:bottom w:val="nil"/>
            </w:tcBorders>
            <w:shd w:val="clear" w:color="auto" w:fill="F2F2F2" w:themeFill="background1" w:themeFillShade="F2"/>
            <w:hideMark/>
          </w:tcPr>
          <w:p w14:paraId="44761485" w14:textId="77777777" w:rsidR="00812764" w:rsidRPr="00376E90" w:rsidRDefault="00812764" w:rsidP="00376E90">
            <w:pPr>
              <w:pStyle w:val="TableText"/>
              <w:rPr>
                <w:b/>
              </w:rPr>
            </w:pPr>
            <w:r w:rsidRPr="00376E90">
              <w:rPr>
                <w:b/>
              </w:rPr>
              <w:t>Deaths of undetermined intent</w:t>
            </w:r>
          </w:p>
        </w:tc>
        <w:tc>
          <w:tcPr>
            <w:tcW w:w="1417" w:type="dxa"/>
            <w:tcBorders>
              <w:top w:val="single" w:sz="4" w:space="0" w:color="A6A6A6" w:themeColor="background1" w:themeShade="A6"/>
              <w:bottom w:val="nil"/>
            </w:tcBorders>
            <w:shd w:val="clear" w:color="auto" w:fill="F2F2F2" w:themeFill="background1" w:themeFillShade="F2"/>
          </w:tcPr>
          <w:p w14:paraId="00FDF9BA" w14:textId="77777777" w:rsidR="00812764" w:rsidRPr="00376E90" w:rsidRDefault="00812764" w:rsidP="00376E90">
            <w:pPr>
              <w:pStyle w:val="TableText"/>
              <w:tabs>
                <w:tab w:val="decimal" w:pos="793"/>
              </w:tabs>
              <w:rPr>
                <w:b/>
              </w:rPr>
            </w:pPr>
          </w:p>
        </w:tc>
        <w:tc>
          <w:tcPr>
            <w:tcW w:w="2268" w:type="dxa"/>
            <w:tcBorders>
              <w:top w:val="single" w:sz="4" w:space="0" w:color="A6A6A6" w:themeColor="background1" w:themeShade="A6"/>
              <w:bottom w:val="nil"/>
            </w:tcBorders>
            <w:shd w:val="clear" w:color="auto" w:fill="F2F2F2" w:themeFill="background1" w:themeFillShade="F2"/>
          </w:tcPr>
          <w:p w14:paraId="2A620C05" w14:textId="77777777" w:rsidR="00812764" w:rsidRPr="00376E90" w:rsidRDefault="00812764" w:rsidP="00376E90">
            <w:pPr>
              <w:pStyle w:val="TableText"/>
              <w:tabs>
                <w:tab w:val="decimal" w:pos="1071"/>
              </w:tabs>
              <w:rPr>
                <w:b/>
              </w:rPr>
            </w:pPr>
          </w:p>
        </w:tc>
      </w:tr>
      <w:tr w:rsidR="00812764" w:rsidRPr="00A84F04" w14:paraId="539C2947" w14:textId="77777777" w:rsidTr="00376E90">
        <w:trPr>
          <w:cantSplit/>
          <w:trHeight w:val="309"/>
        </w:trPr>
        <w:tc>
          <w:tcPr>
            <w:tcW w:w="3686" w:type="dxa"/>
            <w:tcBorders>
              <w:top w:val="nil"/>
            </w:tcBorders>
            <w:hideMark/>
          </w:tcPr>
          <w:p w14:paraId="0E45B201" w14:textId="77777777" w:rsidR="00812764" w:rsidRPr="00A84F04" w:rsidRDefault="00812764" w:rsidP="00376E90">
            <w:pPr>
              <w:pStyle w:val="TableText"/>
            </w:pPr>
            <w:r w:rsidRPr="00A84F04">
              <w:t>Service users</w:t>
            </w:r>
          </w:p>
        </w:tc>
        <w:tc>
          <w:tcPr>
            <w:tcW w:w="1417" w:type="dxa"/>
            <w:tcBorders>
              <w:top w:val="nil"/>
            </w:tcBorders>
          </w:tcPr>
          <w:p w14:paraId="22CA9ABB" w14:textId="77777777" w:rsidR="00812764" w:rsidRPr="00A84F04" w:rsidRDefault="00812764" w:rsidP="00376E90">
            <w:pPr>
              <w:pStyle w:val="TableText"/>
              <w:tabs>
                <w:tab w:val="decimal" w:pos="793"/>
              </w:tabs>
            </w:pPr>
            <w:r>
              <w:t>5</w:t>
            </w:r>
          </w:p>
        </w:tc>
        <w:tc>
          <w:tcPr>
            <w:tcW w:w="2268" w:type="dxa"/>
            <w:tcBorders>
              <w:top w:val="nil"/>
            </w:tcBorders>
          </w:tcPr>
          <w:p w14:paraId="519EC944" w14:textId="77777777" w:rsidR="00812764" w:rsidRPr="00A84F04" w:rsidRDefault="00812764" w:rsidP="00376E90">
            <w:pPr>
              <w:pStyle w:val="TableText"/>
              <w:tabs>
                <w:tab w:val="decimal" w:pos="1071"/>
              </w:tabs>
            </w:pPr>
            <w:r>
              <w:t>3.2</w:t>
            </w:r>
          </w:p>
        </w:tc>
      </w:tr>
      <w:tr w:rsidR="00812764" w:rsidRPr="00A84F04" w14:paraId="12550FAF" w14:textId="77777777" w:rsidTr="00376E90">
        <w:trPr>
          <w:cantSplit/>
          <w:trHeight w:val="309"/>
        </w:trPr>
        <w:tc>
          <w:tcPr>
            <w:tcW w:w="3686" w:type="dxa"/>
            <w:hideMark/>
          </w:tcPr>
          <w:p w14:paraId="28E87CC9" w14:textId="77777777" w:rsidR="00812764" w:rsidRPr="00A84F04" w:rsidRDefault="00812764" w:rsidP="00376E90">
            <w:pPr>
              <w:pStyle w:val="TableText"/>
            </w:pPr>
            <w:r w:rsidRPr="00A84F04">
              <w:t>Non-service users</w:t>
            </w:r>
          </w:p>
        </w:tc>
        <w:tc>
          <w:tcPr>
            <w:tcW w:w="1417" w:type="dxa"/>
          </w:tcPr>
          <w:p w14:paraId="7A07E563" w14:textId="77777777" w:rsidR="00812764" w:rsidRPr="00A84F04" w:rsidRDefault="00812764" w:rsidP="00376E90">
            <w:pPr>
              <w:pStyle w:val="TableText"/>
              <w:tabs>
                <w:tab w:val="decimal" w:pos="793"/>
              </w:tabs>
            </w:pPr>
            <w:r>
              <w:t>8</w:t>
            </w:r>
          </w:p>
        </w:tc>
        <w:tc>
          <w:tcPr>
            <w:tcW w:w="2268" w:type="dxa"/>
          </w:tcPr>
          <w:p w14:paraId="1BF7F3EA" w14:textId="77777777" w:rsidR="00812764" w:rsidRPr="00A84F04" w:rsidRDefault="00812764" w:rsidP="00376E90">
            <w:pPr>
              <w:pStyle w:val="TableText"/>
              <w:tabs>
                <w:tab w:val="decimal" w:pos="1071"/>
              </w:tabs>
            </w:pPr>
            <w:r>
              <w:t>0.2</w:t>
            </w:r>
          </w:p>
        </w:tc>
      </w:tr>
      <w:tr w:rsidR="00812764" w:rsidRPr="00376E90" w14:paraId="1010AF99" w14:textId="77777777" w:rsidTr="00376E90">
        <w:trPr>
          <w:cantSplit/>
          <w:trHeight w:val="309"/>
        </w:trPr>
        <w:tc>
          <w:tcPr>
            <w:tcW w:w="3686" w:type="dxa"/>
            <w:hideMark/>
          </w:tcPr>
          <w:p w14:paraId="64475E79" w14:textId="77777777" w:rsidR="00812764" w:rsidRPr="00376E90" w:rsidRDefault="00812764" w:rsidP="00376E90">
            <w:pPr>
              <w:pStyle w:val="TableText"/>
              <w:rPr>
                <w:b/>
              </w:rPr>
            </w:pPr>
            <w:r w:rsidRPr="00376E90">
              <w:rPr>
                <w:b/>
              </w:rPr>
              <w:t>Total</w:t>
            </w:r>
          </w:p>
        </w:tc>
        <w:tc>
          <w:tcPr>
            <w:tcW w:w="1417" w:type="dxa"/>
          </w:tcPr>
          <w:p w14:paraId="2100471D" w14:textId="77777777" w:rsidR="00812764" w:rsidRPr="00376E90" w:rsidRDefault="00812764" w:rsidP="00376E90">
            <w:pPr>
              <w:pStyle w:val="TableText"/>
              <w:tabs>
                <w:tab w:val="decimal" w:pos="793"/>
              </w:tabs>
              <w:rPr>
                <w:b/>
              </w:rPr>
            </w:pPr>
            <w:r w:rsidRPr="00376E90">
              <w:rPr>
                <w:b/>
              </w:rPr>
              <w:t>13</w:t>
            </w:r>
          </w:p>
        </w:tc>
        <w:tc>
          <w:tcPr>
            <w:tcW w:w="2268" w:type="dxa"/>
          </w:tcPr>
          <w:p w14:paraId="22B4E061" w14:textId="77777777" w:rsidR="00812764" w:rsidRPr="00376E90" w:rsidRDefault="00812764" w:rsidP="00376E90">
            <w:pPr>
              <w:pStyle w:val="TableText"/>
              <w:tabs>
                <w:tab w:val="decimal" w:pos="1071"/>
              </w:tabs>
              <w:rPr>
                <w:b/>
              </w:rPr>
            </w:pPr>
            <w:r w:rsidRPr="00376E90">
              <w:rPr>
                <w:b/>
              </w:rPr>
              <w:t>0.3</w:t>
            </w:r>
          </w:p>
        </w:tc>
      </w:tr>
    </w:tbl>
    <w:p w14:paraId="6B2D498F" w14:textId="77777777" w:rsidR="00812764" w:rsidRPr="00A84F04" w:rsidRDefault="00812764" w:rsidP="00376E90">
      <w:pPr>
        <w:pStyle w:val="Note"/>
      </w:pPr>
      <w:r w:rsidRPr="00A84F04">
        <w:t>Notes:</w:t>
      </w:r>
      <w:r>
        <w:t xml:space="preserve"> </w:t>
      </w:r>
      <w:r w:rsidRPr="00A84F04">
        <w:t>Age-standardised rate is per 100,000, standardised to the World Health Organization (WHO) standard population aged 0–64 years.</w:t>
      </w:r>
      <w:r>
        <w:t xml:space="preserve"> </w:t>
      </w:r>
      <w:r w:rsidRPr="00A84F04">
        <w:t>Service user denominator excludes service users of unknown age.</w:t>
      </w:r>
    </w:p>
    <w:p w14:paraId="436BF001" w14:textId="77777777" w:rsidR="00812764" w:rsidRPr="00A84F04" w:rsidRDefault="00812764" w:rsidP="00376E90">
      <w:pPr>
        <w:pStyle w:val="Source"/>
      </w:pPr>
      <w:r w:rsidRPr="00A84F04">
        <w:t>Source: Ministry of Health mortality database data;</w:t>
      </w:r>
      <w:r>
        <w:t xml:space="preserve"> extracted on </w:t>
      </w:r>
      <w:r w:rsidRPr="00FE5CC6">
        <w:t>19 April 2021</w:t>
      </w:r>
      <w:r>
        <w:t>.</w:t>
      </w:r>
    </w:p>
    <w:p w14:paraId="1EE33659" w14:textId="77777777" w:rsidR="00812764" w:rsidRDefault="00812764" w:rsidP="00376E90"/>
    <w:p w14:paraId="0DA8C1F6" w14:textId="77777777" w:rsidR="00812764" w:rsidRPr="00A84F04" w:rsidRDefault="00812764" w:rsidP="00376E90">
      <w:pPr>
        <w:pStyle w:val="Heading1"/>
      </w:pPr>
      <w:bookmarkStart w:id="8" w:name="_Toc76372798"/>
      <w:bookmarkStart w:id="9" w:name="_Toc89166214"/>
      <w:r w:rsidRPr="00A84F04">
        <w:lastRenderedPageBreak/>
        <w:t>Changes in number of suicides over time</w:t>
      </w:r>
      <w:bookmarkEnd w:id="8"/>
      <w:bookmarkEnd w:id="9"/>
    </w:p>
    <w:p w14:paraId="1E25B4BD" w14:textId="2C13F466" w:rsidR="00812764" w:rsidRDefault="00376E90" w:rsidP="00376E90">
      <w:r>
        <w:fldChar w:fldCharType="begin"/>
      </w:r>
      <w:r>
        <w:instrText xml:space="preserve"> REF _Ref88806888 \h </w:instrText>
      </w:r>
      <w:r>
        <w:fldChar w:fldCharType="separate"/>
      </w:r>
      <w:r w:rsidR="000261BB">
        <w:t>Figure </w:t>
      </w:r>
      <w:r w:rsidR="000261BB">
        <w:rPr>
          <w:noProof/>
        </w:rPr>
        <w:t>1</w:t>
      </w:r>
      <w:r>
        <w:fldChar w:fldCharType="end"/>
      </w:r>
      <w:r w:rsidR="00812764" w:rsidRPr="008F1ADC">
        <w:t xml:space="preserve"> shows the changes in the rates of suicide by service users and non-service users between 2001 and 2017.</w:t>
      </w:r>
    </w:p>
    <w:p w14:paraId="27937D3F" w14:textId="77777777" w:rsidR="00812764" w:rsidRPr="008F1ADC" w:rsidRDefault="00812764" w:rsidP="00376E90"/>
    <w:p w14:paraId="60389168" w14:textId="19D47962" w:rsidR="00812764" w:rsidRDefault="00376E90" w:rsidP="00376E90">
      <w:pPr>
        <w:pStyle w:val="Figure"/>
      </w:pPr>
      <w:bookmarkStart w:id="10" w:name="_Ref88806888"/>
      <w:bookmarkStart w:id="11" w:name="_Toc2845735"/>
      <w:bookmarkStart w:id="12" w:name="_Toc86766062"/>
      <w:bookmarkStart w:id="13" w:name="_Toc88807955"/>
      <w:r>
        <w:t>Figure </w:t>
      </w:r>
      <w:fldSimple w:instr=" SEQ Figure \* ARABIC ">
        <w:r w:rsidR="000261BB">
          <w:rPr>
            <w:noProof/>
          </w:rPr>
          <w:t>1</w:t>
        </w:r>
      </w:fldSimple>
      <w:bookmarkEnd w:id="10"/>
      <w:r w:rsidR="00812764" w:rsidRPr="00A84F04">
        <w:t xml:space="preserve">: Age-standardised rate of suicide, by service use, </w:t>
      </w:r>
      <w:r w:rsidR="00812764">
        <w:t xml:space="preserve">in </w:t>
      </w:r>
      <w:r w:rsidR="00812764" w:rsidRPr="00A84F04">
        <w:t>people aged 10–64 years, 2001–201</w:t>
      </w:r>
      <w:bookmarkEnd w:id="11"/>
      <w:r w:rsidR="00812764">
        <w:t>7</w:t>
      </w:r>
      <w:bookmarkEnd w:id="12"/>
      <w:bookmarkEnd w:id="13"/>
    </w:p>
    <w:p w14:paraId="752F3378" w14:textId="77777777" w:rsidR="00376E90" w:rsidRPr="00376E90" w:rsidRDefault="00812764" w:rsidP="00376E90">
      <w:pPr>
        <w:pStyle w:val="Note"/>
      </w:pPr>
      <w:r>
        <w:rPr>
          <w:noProof/>
          <w:lang w:eastAsia="en-NZ"/>
        </w:rPr>
        <w:drawing>
          <wp:inline distT="0" distB="0" distL="0" distR="0" wp14:anchorId="7E7B76DC" wp14:editId="21B85D85">
            <wp:extent cx="5128953" cy="2759825"/>
            <wp:effectExtent l="0" t="0" r="0" b="2540"/>
            <wp:docPr id="8" name="Chart 8" descr="This chart shows the age standardised rate of suicide in people aged 10-64 years has decreased overall from almost 200 in 2001 to about 150 in 2017 for service users and remained constant around under 10 for non-service users.">
              <a:extLst xmlns:a="http://schemas.openxmlformats.org/drawingml/2006/main">
                <a:ext uri="{FF2B5EF4-FFF2-40B4-BE49-F238E27FC236}">
                  <a16:creationId xmlns:a16="http://schemas.microsoft.com/office/drawing/2014/main" id="{954482D7-1638-4F1D-87BB-C9C7BDBD19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ED689FE" w14:textId="77777777" w:rsidR="00812764" w:rsidRPr="00376E90" w:rsidRDefault="00812764" w:rsidP="00376E90">
      <w:pPr>
        <w:pStyle w:val="Note"/>
      </w:pPr>
      <w:r w:rsidRPr="00D42152">
        <w:rPr>
          <w:rStyle w:val="NoteChar"/>
        </w:rPr>
        <w:t>Notes: Age-standardised rate is per 100,000 population, standardised to the WHO standard population aged</w:t>
      </w:r>
      <w:r w:rsidR="00376E90">
        <w:rPr>
          <w:rStyle w:val="NoteChar"/>
        </w:rPr>
        <w:t xml:space="preserve"> </w:t>
      </w:r>
      <w:r w:rsidRPr="00D42152">
        <w:rPr>
          <w:rStyle w:val="NoteChar"/>
        </w:rPr>
        <w:t>0–64 years. The service user population is much smaller than the non-service user population and will therefore produce rates more prone to fluctuation from year to year.</w:t>
      </w:r>
    </w:p>
    <w:p w14:paraId="77789170" w14:textId="77777777" w:rsidR="00812764" w:rsidRDefault="00812764" w:rsidP="00376E90">
      <w:pPr>
        <w:pStyle w:val="Source"/>
      </w:pPr>
      <w:r w:rsidRPr="00FE5CC6">
        <w:t>Source: Ministry of Health mortality database data, extracted on 19 April 2021.</w:t>
      </w:r>
    </w:p>
    <w:p w14:paraId="6770706B" w14:textId="77777777" w:rsidR="00376E90" w:rsidRPr="00376E90" w:rsidRDefault="00376E90" w:rsidP="00376E90"/>
    <w:p w14:paraId="5F95A717" w14:textId="77777777" w:rsidR="00812764" w:rsidRPr="00B91179" w:rsidRDefault="00812764" w:rsidP="00376E90">
      <w:pPr>
        <w:pStyle w:val="Heading2"/>
      </w:pPr>
      <w:bookmarkStart w:id="14" w:name="_Toc76372799"/>
      <w:bookmarkStart w:id="15" w:name="_Toc89166215"/>
      <w:r w:rsidRPr="00B91179">
        <w:lastRenderedPageBreak/>
        <w:t>Sex and age in relation to suicide</w:t>
      </w:r>
      <w:bookmarkEnd w:id="14"/>
      <w:bookmarkEnd w:id="15"/>
    </w:p>
    <w:p w14:paraId="0B37FE9E" w14:textId="7895BB60" w:rsidR="00812764" w:rsidRDefault="00812764" w:rsidP="00376E90">
      <w:pPr>
        <w:keepNext/>
      </w:pPr>
      <w:r w:rsidRPr="008F1ADC">
        <w:t xml:space="preserve">For 2017, as </w:t>
      </w:r>
      <w:r w:rsidR="00376E90">
        <w:fldChar w:fldCharType="begin"/>
      </w:r>
      <w:r w:rsidR="00376E90">
        <w:instrText xml:space="preserve"> REF _Ref88807221 \h </w:instrText>
      </w:r>
      <w:r w:rsidR="00376E90">
        <w:fldChar w:fldCharType="separate"/>
      </w:r>
      <w:r w:rsidR="000261BB">
        <w:t>Table </w:t>
      </w:r>
      <w:r w:rsidR="000261BB">
        <w:rPr>
          <w:noProof/>
        </w:rPr>
        <w:t>2</w:t>
      </w:r>
      <w:r w:rsidR="00376E90">
        <w:fldChar w:fldCharType="end"/>
      </w:r>
      <w:r w:rsidRPr="008F1ADC">
        <w:t xml:space="preserve"> show</w:t>
      </w:r>
      <w:r>
        <w:t>s</w:t>
      </w:r>
      <w:r w:rsidRPr="008F1ADC">
        <w:t xml:space="preserve"> more males than females died by suicide. Of the service users who died by suicide in 2017, 30.</w:t>
      </w:r>
      <w:r>
        <w:t>2</w:t>
      </w:r>
      <w:r w:rsidRPr="008F1ADC">
        <w:t xml:space="preserve"> percent were female, and </w:t>
      </w:r>
      <w:r>
        <w:t>69.8</w:t>
      </w:r>
      <w:r w:rsidRPr="008F1ADC">
        <w:t xml:space="preserve"> percent were male.</w:t>
      </w:r>
    </w:p>
    <w:p w14:paraId="7E2F9E07" w14:textId="77777777" w:rsidR="00812764" w:rsidRPr="008F1ADC" w:rsidRDefault="00812764" w:rsidP="00376E90">
      <w:pPr>
        <w:keepNext/>
      </w:pPr>
    </w:p>
    <w:p w14:paraId="03CE8050" w14:textId="77777777" w:rsidR="00812764" w:rsidRDefault="00812764" w:rsidP="00376E90">
      <w:pPr>
        <w:keepNext/>
      </w:pPr>
      <w:r w:rsidRPr="008F1ADC">
        <w:t xml:space="preserve">When considering these numbers, it is important to note that these age-standardised rates </w:t>
      </w:r>
      <w:r>
        <w:t xml:space="preserve">by sex </w:t>
      </w:r>
      <w:r w:rsidRPr="008F1ADC">
        <w:t xml:space="preserve">are </w:t>
      </w:r>
      <w:r>
        <w:t xml:space="preserve">even more </w:t>
      </w:r>
      <w:r w:rsidRPr="008F1ADC">
        <w:t>highly variable over time because they are derived from a small service user population.</w:t>
      </w:r>
    </w:p>
    <w:p w14:paraId="241D23A7" w14:textId="77777777" w:rsidR="00812764" w:rsidRPr="008F1ADC" w:rsidRDefault="00812764" w:rsidP="00376E90">
      <w:pPr>
        <w:keepNext/>
      </w:pPr>
    </w:p>
    <w:p w14:paraId="0CED860D" w14:textId="3C505926" w:rsidR="00812764" w:rsidRPr="00A84F04" w:rsidRDefault="00376E90" w:rsidP="00376E90">
      <w:pPr>
        <w:pStyle w:val="Table"/>
      </w:pPr>
      <w:bookmarkStart w:id="16" w:name="_Ref88807221"/>
      <w:bookmarkStart w:id="17" w:name="_Toc86766052"/>
      <w:bookmarkStart w:id="18" w:name="_Toc88807947"/>
      <w:r>
        <w:t>Table </w:t>
      </w:r>
      <w:fldSimple w:instr=" SEQ Table \* ARABIC ">
        <w:r w:rsidR="000261BB">
          <w:rPr>
            <w:noProof/>
          </w:rPr>
          <w:t>2</w:t>
        </w:r>
      </w:fldSimple>
      <w:bookmarkEnd w:id="16"/>
      <w:r w:rsidR="00812764" w:rsidRPr="00A84F04">
        <w:t>: Number and age-standardised rate of suicide, by service use and sex, people aged 10–64 years, 201</w:t>
      </w:r>
      <w:r w:rsidR="00812764">
        <w:t>7</w:t>
      </w:r>
      <w:bookmarkEnd w:id="17"/>
      <w:bookmarkEnd w:id="18"/>
    </w:p>
    <w:tbl>
      <w:tblPr>
        <w:tblW w:w="0" w:type="auto"/>
        <w:tblInd w:w="57" w:type="dxa"/>
        <w:tblLayout w:type="fixed"/>
        <w:tblCellMar>
          <w:left w:w="57" w:type="dxa"/>
          <w:right w:w="57" w:type="dxa"/>
        </w:tblCellMar>
        <w:tblLook w:val="01E0" w:firstRow="1" w:lastRow="1" w:firstColumn="1" w:lastColumn="1" w:noHBand="0" w:noVBand="0"/>
      </w:tblPr>
      <w:tblGrid>
        <w:gridCol w:w="1318"/>
        <w:gridCol w:w="1127"/>
        <w:gridCol w:w="1127"/>
        <w:gridCol w:w="1127"/>
        <w:gridCol w:w="1127"/>
        <w:gridCol w:w="1127"/>
        <w:gridCol w:w="1127"/>
      </w:tblGrid>
      <w:tr w:rsidR="00812764" w:rsidRPr="00376E90" w14:paraId="67DDCB27" w14:textId="77777777" w:rsidTr="00376E90">
        <w:trPr>
          <w:cantSplit/>
        </w:trPr>
        <w:tc>
          <w:tcPr>
            <w:tcW w:w="1318" w:type="dxa"/>
            <w:vMerge w:val="restart"/>
            <w:tcBorders>
              <w:top w:val="nil"/>
              <w:left w:val="nil"/>
              <w:bottom w:val="nil"/>
              <w:right w:val="single" w:sz="4" w:space="0" w:color="A6A6A6" w:themeColor="background1" w:themeShade="A6"/>
            </w:tcBorders>
            <w:shd w:val="clear" w:color="auto" w:fill="D9D9D9" w:themeFill="background1" w:themeFillShade="D9"/>
            <w:hideMark/>
          </w:tcPr>
          <w:p w14:paraId="0F3C6609" w14:textId="77777777" w:rsidR="00812764" w:rsidRPr="00376E90" w:rsidRDefault="00812764" w:rsidP="00376E90">
            <w:pPr>
              <w:pStyle w:val="TableText"/>
              <w:keepNext/>
              <w:rPr>
                <w:b/>
              </w:rPr>
            </w:pPr>
            <w:r w:rsidRPr="00376E90">
              <w:rPr>
                <w:b/>
              </w:rPr>
              <w:t>Sex</w:t>
            </w:r>
          </w:p>
        </w:tc>
        <w:tc>
          <w:tcPr>
            <w:tcW w:w="2254" w:type="dxa"/>
            <w:gridSpan w:val="2"/>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hideMark/>
          </w:tcPr>
          <w:p w14:paraId="1B231B6C" w14:textId="77777777" w:rsidR="00812764" w:rsidRPr="00376E90" w:rsidRDefault="00812764" w:rsidP="00376E90">
            <w:pPr>
              <w:pStyle w:val="TableText"/>
              <w:keepNext/>
              <w:jc w:val="center"/>
              <w:rPr>
                <w:b/>
              </w:rPr>
            </w:pPr>
            <w:r w:rsidRPr="00376E90">
              <w:rPr>
                <w:b/>
              </w:rPr>
              <w:t>Service users</w:t>
            </w:r>
          </w:p>
        </w:tc>
        <w:tc>
          <w:tcPr>
            <w:tcW w:w="2254" w:type="dxa"/>
            <w:gridSpan w:val="2"/>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hideMark/>
          </w:tcPr>
          <w:p w14:paraId="2CDFC1E5" w14:textId="77777777" w:rsidR="00812764" w:rsidRPr="00376E90" w:rsidRDefault="00812764" w:rsidP="00376E90">
            <w:pPr>
              <w:pStyle w:val="TableText"/>
              <w:keepNext/>
              <w:jc w:val="center"/>
              <w:rPr>
                <w:b/>
              </w:rPr>
            </w:pPr>
            <w:r w:rsidRPr="00376E90">
              <w:rPr>
                <w:b/>
              </w:rPr>
              <w:t>Non-service users</w:t>
            </w:r>
          </w:p>
        </w:tc>
        <w:tc>
          <w:tcPr>
            <w:tcW w:w="2254" w:type="dxa"/>
            <w:gridSpan w:val="2"/>
            <w:tcBorders>
              <w:top w:val="nil"/>
              <w:left w:val="single" w:sz="4" w:space="0" w:color="A6A6A6" w:themeColor="background1" w:themeShade="A6"/>
              <w:bottom w:val="nil"/>
              <w:right w:val="nil"/>
            </w:tcBorders>
            <w:shd w:val="clear" w:color="auto" w:fill="D9D9D9" w:themeFill="background1" w:themeFillShade="D9"/>
            <w:hideMark/>
          </w:tcPr>
          <w:p w14:paraId="1F1E48DB" w14:textId="77777777" w:rsidR="00812764" w:rsidRPr="00376E90" w:rsidRDefault="00812764" w:rsidP="00376E90">
            <w:pPr>
              <w:pStyle w:val="TableText"/>
              <w:keepNext/>
              <w:jc w:val="center"/>
              <w:rPr>
                <w:b/>
              </w:rPr>
            </w:pPr>
            <w:r w:rsidRPr="00376E90">
              <w:rPr>
                <w:b/>
              </w:rPr>
              <w:t>Total</w:t>
            </w:r>
          </w:p>
        </w:tc>
      </w:tr>
      <w:tr w:rsidR="00812764" w:rsidRPr="00376E90" w14:paraId="5C2A30D8" w14:textId="77777777" w:rsidTr="00376E90">
        <w:trPr>
          <w:cantSplit/>
        </w:trPr>
        <w:tc>
          <w:tcPr>
            <w:tcW w:w="1318" w:type="dxa"/>
            <w:vMerge/>
            <w:tcBorders>
              <w:top w:val="nil"/>
              <w:left w:val="nil"/>
              <w:bottom w:val="nil"/>
              <w:right w:val="single" w:sz="4" w:space="0" w:color="A6A6A6" w:themeColor="background1" w:themeShade="A6"/>
            </w:tcBorders>
            <w:vAlign w:val="center"/>
            <w:hideMark/>
          </w:tcPr>
          <w:p w14:paraId="42C78FF4" w14:textId="77777777" w:rsidR="00812764" w:rsidRPr="00376E90" w:rsidRDefault="00812764" w:rsidP="00376E90">
            <w:pPr>
              <w:pStyle w:val="TableText"/>
              <w:rPr>
                <w:b/>
              </w:rPr>
            </w:pPr>
          </w:p>
        </w:tc>
        <w:tc>
          <w:tcPr>
            <w:tcW w:w="1127" w:type="dxa"/>
            <w:tcBorders>
              <w:top w:val="nil"/>
              <w:left w:val="single" w:sz="4" w:space="0" w:color="A6A6A6" w:themeColor="background1" w:themeShade="A6"/>
              <w:bottom w:val="nil"/>
              <w:right w:val="nil"/>
            </w:tcBorders>
            <w:shd w:val="clear" w:color="auto" w:fill="D9D9D9" w:themeFill="background1" w:themeFillShade="D9"/>
            <w:hideMark/>
          </w:tcPr>
          <w:p w14:paraId="7CEA55FC" w14:textId="77777777" w:rsidR="00812764" w:rsidRPr="00376E90" w:rsidRDefault="00812764" w:rsidP="00376E90">
            <w:pPr>
              <w:pStyle w:val="TableText"/>
              <w:spacing w:before="0"/>
              <w:jc w:val="center"/>
              <w:rPr>
                <w:b/>
              </w:rPr>
            </w:pPr>
            <w:r w:rsidRPr="00376E90">
              <w:rPr>
                <w:b/>
              </w:rPr>
              <w:t>Number</w:t>
            </w:r>
          </w:p>
        </w:tc>
        <w:tc>
          <w:tcPr>
            <w:tcW w:w="1127" w:type="dxa"/>
            <w:tcBorders>
              <w:top w:val="nil"/>
              <w:left w:val="nil"/>
              <w:bottom w:val="nil"/>
              <w:right w:val="single" w:sz="4" w:space="0" w:color="A6A6A6" w:themeColor="background1" w:themeShade="A6"/>
            </w:tcBorders>
            <w:shd w:val="clear" w:color="auto" w:fill="D9D9D9" w:themeFill="background1" w:themeFillShade="D9"/>
            <w:hideMark/>
          </w:tcPr>
          <w:p w14:paraId="44F1964A" w14:textId="77777777" w:rsidR="00812764" w:rsidRPr="00376E90" w:rsidRDefault="00812764" w:rsidP="00376E90">
            <w:pPr>
              <w:pStyle w:val="TableText"/>
              <w:spacing w:before="0"/>
              <w:jc w:val="center"/>
              <w:rPr>
                <w:b/>
              </w:rPr>
            </w:pPr>
            <w:r w:rsidRPr="00376E90">
              <w:rPr>
                <w:b/>
              </w:rPr>
              <w:t>ASR</w:t>
            </w:r>
          </w:p>
        </w:tc>
        <w:tc>
          <w:tcPr>
            <w:tcW w:w="1127" w:type="dxa"/>
            <w:tcBorders>
              <w:top w:val="nil"/>
              <w:left w:val="single" w:sz="4" w:space="0" w:color="A6A6A6" w:themeColor="background1" w:themeShade="A6"/>
              <w:bottom w:val="nil"/>
              <w:right w:val="nil"/>
            </w:tcBorders>
            <w:shd w:val="clear" w:color="auto" w:fill="D9D9D9" w:themeFill="background1" w:themeFillShade="D9"/>
            <w:hideMark/>
          </w:tcPr>
          <w:p w14:paraId="031F6489" w14:textId="77777777" w:rsidR="00812764" w:rsidRPr="00376E90" w:rsidRDefault="00812764" w:rsidP="00376E90">
            <w:pPr>
              <w:pStyle w:val="TableText"/>
              <w:spacing w:before="0"/>
              <w:jc w:val="center"/>
              <w:rPr>
                <w:b/>
              </w:rPr>
            </w:pPr>
            <w:r w:rsidRPr="00376E90">
              <w:rPr>
                <w:b/>
              </w:rPr>
              <w:t>Number</w:t>
            </w:r>
          </w:p>
        </w:tc>
        <w:tc>
          <w:tcPr>
            <w:tcW w:w="1127" w:type="dxa"/>
            <w:tcBorders>
              <w:top w:val="nil"/>
              <w:left w:val="nil"/>
              <w:bottom w:val="nil"/>
              <w:right w:val="single" w:sz="4" w:space="0" w:color="A6A6A6" w:themeColor="background1" w:themeShade="A6"/>
            </w:tcBorders>
            <w:shd w:val="clear" w:color="auto" w:fill="D9D9D9" w:themeFill="background1" w:themeFillShade="D9"/>
            <w:hideMark/>
          </w:tcPr>
          <w:p w14:paraId="66609277" w14:textId="77777777" w:rsidR="00812764" w:rsidRPr="00376E90" w:rsidRDefault="00812764" w:rsidP="00376E90">
            <w:pPr>
              <w:pStyle w:val="TableText"/>
              <w:spacing w:before="0"/>
              <w:jc w:val="center"/>
              <w:rPr>
                <w:b/>
              </w:rPr>
            </w:pPr>
            <w:r w:rsidRPr="00376E90">
              <w:rPr>
                <w:b/>
              </w:rPr>
              <w:t>ASR</w:t>
            </w:r>
          </w:p>
        </w:tc>
        <w:tc>
          <w:tcPr>
            <w:tcW w:w="1127" w:type="dxa"/>
            <w:tcBorders>
              <w:top w:val="nil"/>
              <w:left w:val="single" w:sz="4" w:space="0" w:color="A6A6A6" w:themeColor="background1" w:themeShade="A6"/>
              <w:bottom w:val="nil"/>
              <w:right w:val="nil"/>
            </w:tcBorders>
            <w:shd w:val="clear" w:color="auto" w:fill="D9D9D9" w:themeFill="background1" w:themeFillShade="D9"/>
            <w:hideMark/>
          </w:tcPr>
          <w:p w14:paraId="21DFD001" w14:textId="77777777" w:rsidR="00812764" w:rsidRPr="00376E90" w:rsidRDefault="00812764" w:rsidP="00376E90">
            <w:pPr>
              <w:pStyle w:val="TableText"/>
              <w:spacing w:before="0"/>
              <w:jc w:val="center"/>
              <w:rPr>
                <w:b/>
              </w:rPr>
            </w:pPr>
            <w:r w:rsidRPr="00376E90">
              <w:rPr>
                <w:b/>
              </w:rPr>
              <w:t>Number</w:t>
            </w:r>
          </w:p>
        </w:tc>
        <w:tc>
          <w:tcPr>
            <w:tcW w:w="1127" w:type="dxa"/>
            <w:shd w:val="clear" w:color="auto" w:fill="D9D9D9" w:themeFill="background1" w:themeFillShade="D9"/>
            <w:hideMark/>
          </w:tcPr>
          <w:p w14:paraId="223B68A4" w14:textId="77777777" w:rsidR="00812764" w:rsidRPr="00376E90" w:rsidRDefault="00812764" w:rsidP="00376E90">
            <w:pPr>
              <w:pStyle w:val="TableText"/>
              <w:spacing w:before="0"/>
              <w:jc w:val="center"/>
              <w:rPr>
                <w:b/>
              </w:rPr>
            </w:pPr>
            <w:r w:rsidRPr="00376E90">
              <w:rPr>
                <w:b/>
              </w:rPr>
              <w:t>ASR</w:t>
            </w:r>
          </w:p>
        </w:tc>
      </w:tr>
      <w:tr w:rsidR="00812764" w:rsidRPr="00A84F04" w14:paraId="3AB8E30D" w14:textId="77777777" w:rsidTr="00376E90">
        <w:trPr>
          <w:cantSplit/>
        </w:trPr>
        <w:tc>
          <w:tcPr>
            <w:tcW w:w="1318" w:type="dxa"/>
            <w:tcBorders>
              <w:top w:val="nil"/>
              <w:left w:val="nil"/>
              <w:bottom w:val="single" w:sz="4" w:space="0" w:color="A6A6A6" w:themeColor="background1" w:themeShade="A6"/>
              <w:right w:val="single" w:sz="4" w:space="0" w:color="A6A6A6" w:themeColor="background1" w:themeShade="A6"/>
            </w:tcBorders>
            <w:hideMark/>
          </w:tcPr>
          <w:p w14:paraId="59A0C36E" w14:textId="77777777" w:rsidR="00812764" w:rsidRPr="00A84F04" w:rsidRDefault="00812764" w:rsidP="00376E90">
            <w:pPr>
              <w:pStyle w:val="TableText"/>
            </w:pPr>
            <w:r w:rsidRPr="00A84F04">
              <w:t>Males</w:t>
            </w:r>
          </w:p>
        </w:tc>
        <w:tc>
          <w:tcPr>
            <w:tcW w:w="1127" w:type="dxa"/>
            <w:tcBorders>
              <w:top w:val="nil"/>
              <w:left w:val="single" w:sz="4" w:space="0" w:color="A6A6A6" w:themeColor="background1" w:themeShade="A6"/>
              <w:bottom w:val="single" w:sz="4" w:space="0" w:color="A6A6A6" w:themeColor="background1" w:themeShade="A6"/>
              <w:right w:val="nil"/>
            </w:tcBorders>
            <w:hideMark/>
          </w:tcPr>
          <w:p w14:paraId="0776418F" w14:textId="77777777" w:rsidR="00812764" w:rsidRPr="00A84F04" w:rsidRDefault="00812764" w:rsidP="00376E90">
            <w:pPr>
              <w:pStyle w:val="TableText"/>
              <w:tabs>
                <w:tab w:val="decimal" w:pos="610"/>
              </w:tabs>
            </w:pPr>
            <w:r>
              <w:t>157</w:t>
            </w:r>
          </w:p>
        </w:tc>
        <w:tc>
          <w:tcPr>
            <w:tcW w:w="1127" w:type="dxa"/>
            <w:tcBorders>
              <w:top w:val="nil"/>
              <w:left w:val="nil"/>
              <w:bottom w:val="single" w:sz="4" w:space="0" w:color="A6A6A6" w:themeColor="background1" w:themeShade="A6"/>
              <w:right w:val="single" w:sz="4" w:space="0" w:color="A6A6A6" w:themeColor="background1" w:themeShade="A6"/>
            </w:tcBorders>
            <w:hideMark/>
          </w:tcPr>
          <w:p w14:paraId="5EBDC252" w14:textId="77777777" w:rsidR="00812764" w:rsidRPr="00A84F04" w:rsidRDefault="00812764" w:rsidP="00376E90">
            <w:pPr>
              <w:pStyle w:val="TableText"/>
              <w:tabs>
                <w:tab w:val="decimal" w:pos="567"/>
              </w:tabs>
            </w:pPr>
            <w:r>
              <w:t>177.6</w:t>
            </w:r>
          </w:p>
        </w:tc>
        <w:tc>
          <w:tcPr>
            <w:tcW w:w="1127" w:type="dxa"/>
            <w:tcBorders>
              <w:top w:val="nil"/>
              <w:left w:val="single" w:sz="4" w:space="0" w:color="A6A6A6" w:themeColor="background1" w:themeShade="A6"/>
              <w:bottom w:val="single" w:sz="4" w:space="0" w:color="A6A6A6" w:themeColor="background1" w:themeShade="A6"/>
              <w:right w:val="nil"/>
            </w:tcBorders>
            <w:hideMark/>
          </w:tcPr>
          <w:p w14:paraId="30D4A68C" w14:textId="77777777" w:rsidR="00812764" w:rsidRPr="00A84F04" w:rsidRDefault="00812764" w:rsidP="00376E90">
            <w:pPr>
              <w:pStyle w:val="TableText"/>
              <w:tabs>
                <w:tab w:val="decimal" w:pos="610"/>
              </w:tabs>
            </w:pPr>
            <w:r>
              <w:t>251</w:t>
            </w:r>
          </w:p>
        </w:tc>
        <w:tc>
          <w:tcPr>
            <w:tcW w:w="1127" w:type="dxa"/>
            <w:tcBorders>
              <w:top w:val="nil"/>
              <w:left w:val="nil"/>
              <w:bottom w:val="single" w:sz="4" w:space="0" w:color="A6A6A6" w:themeColor="background1" w:themeShade="A6"/>
              <w:right w:val="single" w:sz="4" w:space="0" w:color="A6A6A6" w:themeColor="background1" w:themeShade="A6"/>
            </w:tcBorders>
            <w:hideMark/>
          </w:tcPr>
          <w:p w14:paraId="69060BC5" w14:textId="77777777" w:rsidR="00812764" w:rsidRPr="00A84F04" w:rsidRDefault="00812764" w:rsidP="00376E90">
            <w:pPr>
              <w:pStyle w:val="TableText"/>
              <w:tabs>
                <w:tab w:val="decimal" w:pos="510"/>
              </w:tabs>
            </w:pPr>
            <w:r>
              <w:t>12.0</w:t>
            </w:r>
          </w:p>
        </w:tc>
        <w:tc>
          <w:tcPr>
            <w:tcW w:w="1127" w:type="dxa"/>
            <w:tcBorders>
              <w:top w:val="nil"/>
              <w:left w:val="single" w:sz="4" w:space="0" w:color="A6A6A6" w:themeColor="background1" w:themeShade="A6"/>
              <w:bottom w:val="single" w:sz="4" w:space="0" w:color="A6A6A6" w:themeColor="background1" w:themeShade="A6"/>
              <w:right w:val="nil"/>
            </w:tcBorders>
            <w:hideMark/>
          </w:tcPr>
          <w:p w14:paraId="27FE6646" w14:textId="77777777" w:rsidR="00812764" w:rsidRPr="00A84F04" w:rsidRDefault="00812764" w:rsidP="00376E90">
            <w:pPr>
              <w:pStyle w:val="TableText"/>
              <w:tabs>
                <w:tab w:val="decimal" w:pos="610"/>
              </w:tabs>
            </w:pPr>
            <w:r>
              <w:t>408</w:t>
            </w:r>
          </w:p>
        </w:tc>
        <w:tc>
          <w:tcPr>
            <w:tcW w:w="1127" w:type="dxa"/>
            <w:tcBorders>
              <w:top w:val="nil"/>
              <w:left w:val="nil"/>
              <w:bottom w:val="single" w:sz="4" w:space="0" w:color="A6A6A6" w:themeColor="background1" w:themeShade="A6"/>
              <w:right w:val="nil"/>
            </w:tcBorders>
            <w:hideMark/>
          </w:tcPr>
          <w:p w14:paraId="65A65FDF" w14:textId="77777777" w:rsidR="00812764" w:rsidRPr="00A84F04" w:rsidRDefault="00812764" w:rsidP="00376E90">
            <w:pPr>
              <w:pStyle w:val="TableText"/>
              <w:tabs>
                <w:tab w:val="decimal" w:pos="510"/>
              </w:tabs>
            </w:pPr>
            <w:r>
              <w:t>19.0</w:t>
            </w:r>
          </w:p>
        </w:tc>
      </w:tr>
      <w:tr w:rsidR="00812764" w:rsidRPr="00A84F04" w14:paraId="37FCDD8B" w14:textId="77777777" w:rsidTr="00376E90">
        <w:trPr>
          <w:cantSplit/>
        </w:trPr>
        <w:tc>
          <w:tcPr>
            <w:tcW w:w="131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61EB38EC" w14:textId="77777777" w:rsidR="00812764" w:rsidRPr="00A84F04" w:rsidRDefault="00812764" w:rsidP="00376E90">
            <w:pPr>
              <w:pStyle w:val="TableText"/>
            </w:pPr>
            <w:r w:rsidRPr="00A84F04">
              <w:t>Females</w:t>
            </w:r>
          </w:p>
        </w:tc>
        <w:tc>
          <w:tcPr>
            <w:tcW w:w="112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17F38F5A" w14:textId="77777777" w:rsidR="00812764" w:rsidRPr="00A84F04" w:rsidRDefault="00812764" w:rsidP="00376E90">
            <w:pPr>
              <w:pStyle w:val="TableText"/>
              <w:tabs>
                <w:tab w:val="decimal" w:pos="610"/>
              </w:tabs>
            </w:pPr>
            <w:r>
              <w:t>68</w:t>
            </w:r>
          </w:p>
        </w:tc>
        <w:tc>
          <w:tcPr>
            <w:tcW w:w="1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75CF2C76" w14:textId="77777777" w:rsidR="00812764" w:rsidRPr="00A84F04" w:rsidRDefault="00812764" w:rsidP="00376E90">
            <w:pPr>
              <w:pStyle w:val="TableText"/>
              <w:tabs>
                <w:tab w:val="decimal" w:pos="567"/>
              </w:tabs>
            </w:pPr>
            <w:r>
              <w:t>88.0</w:t>
            </w:r>
          </w:p>
        </w:tc>
        <w:tc>
          <w:tcPr>
            <w:tcW w:w="112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27E9909F" w14:textId="77777777" w:rsidR="00812764" w:rsidRPr="00A84F04" w:rsidRDefault="00812764" w:rsidP="00376E90">
            <w:pPr>
              <w:pStyle w:val="TableText"/>
              <w:tabs>
                <w:tab w:val="decimal" w:pos="610"/>
              </w:tabs>
            </w:pPr>
            <w:r>
              <w:t>68</w:t>
            </w:r>
          </w:p>
        </w:tc>
        <w:tc>
          <w:tcPr>
            <w:tcW w:w="1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465DF103" w14:textId="77777777" w:rsidR="00812764" w:rsidRPr="00A84F04" w:rsidRDefault="00812764" w:rsidP="00376E90">
            <w:pPr>
              <w:pStyle w:val="TableText"/>
              <w:tabs>
                <w:tab w:val="decimal" w:pos="510"/>
              </w:tabs>
            </w:pPr>
            <w:r>
              <w:t>3.4</w:t>
            </w:r>
          </w:p>
        </w:tc>
        <w:tc>
          <w:tcPr>
            <w:tcW w:w="112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1CF3E459" w14:textId="77777777" w:rsidR="00812764" w:rsidRPr="00A84F04" w:rsidRDefault="00812764" w:rsidP="00376E90">
            <w:pPr>
              <w:pStyle w:val="TableText"/>
              <w:tabs>
                <w:tab w:val="decimal" w:pos="610"/>
              </w:tabs>
            </w:pPr>
            <w:r>
              <w:t>136</w:t>
            </w:r>
          </w:p>
        </w:tc>
        <w:tc>
          <w:tcPr>
            <w:tcW w:w="1127" w:type="dxa"/>
            <w:tcBorders>
              <w:top w:val="single" w:sz="4" w:space="0" w:color="A6A6A6" w:themeColor="background1" w:themeShade="A6"/>
              <w:left w:val="nil"/>
              <w:bottom w:val="single" w:sz="4" w:space="0" w:color="A6A6A6" w:themeColor="background1" w:themeShade="A6"/>
              <w:right w:val="nil"/>
            </w:tcBorders>
            <w:hideMark/>
          </w:tcPr>
          <w:p w14:paraId="538BDF28" w14:textId="77777777" w:rsidR="00812764" w:rsidRPr="00A84F04" w:rsidRDefault="00812764" w:rsidP="00376E90">
            <w:pPr>
              <w:pStyle w:val="TableText"/>
              <w:tabs>
                <w:tab w:val="decimal" w:pos="510"/>
              </w:tabs>
            </w:pPr>
            <w:r>
              <w:t>6.4</w:t>
            </w:r>
          </w:p>
        </w:tc>
      </w:tr>
      <w:tr w:rsidR="00812764" w:rsidRPr="00376E90" w14:paraId="1C23487E" w14:textId="77777777" w:rsidTr="00376E90">
        <w:trPr>
          <w:cantSplit/>
        </w:trPr>
        <w:tc>
          <w:tcPr>
            <w:tcW w:w="131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7ACBF96E" w14:textId="77777777" w:rsidR="00812764" w:rsidRPr="00376E90" w:rsidRDefault="00812764" w:rsidP="00376E90">
            <w:pPr>
              <w:pStyle w:val="TableText"/>
              <w:rPr>
                <w:b/>
              </w:rPr>
            </w:pPr>
            <w:r w:rsidRPr="00376E90">
              <w:rPr>
                <w:b/>
              </w:rPr>
              <w:t>Total</w:t>
            </w:r>
          </w:p>
        </w:tc>
        <w:tc>
          <w:tcPr>
            <w:tcW w:w="112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7E2CEC4A" w14:textId="77777777" w:rsidR="00812764" w:rsidRPr="00376E90" w:rsidRDefault="00812764" w:rsidP="00376E90">
            <w:pPr>
              <w:pStyle w:val="TableText"/>
              <w:tabs>
                <w:tab w:val="decimal" w:pos="610"/>
              </w:tabs>
              <w:rPr>
                <w:b/>
              </w:rPr>
            </w:pPr>
            <w:r w:rsidRPr="00376E90">
              <w:rPr>
                <w:b/>
              </w:rPr>
              <w:t>225</w:t>
            </w:r>
          </w:p>
        </w:tc>
        <w:tc>
          <w:tcPr>
            <w:tcW w:w="1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1C71D27D" w14:textId="77777777" w:rsidR="00812764" w:rsidRPr="00376E90" w:rsidRDefault="00812764" w:rsidP="00376E90">
            <w:pPr>
              <w:pStyle w:val="TableText"/>
              <w:tabs>
                <w:tab w:val="decimal" w:pos="567"/>
              </w:tabs>
              <w:rPr>
                <w:b/>
              </w:rPr>
            </w:pPr>
            <w:r w:rsidRPr="00376E90">
              <w:rPr>
                <w:b/>
              </w:rPr>
              <w:t>136.1</w:t>
            </w:r>
          </w:p>
        </w:tc>
        <w:tc>
          <w:tcPr>
            <w:tcW w:w="112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55A4C5C6" w14:textId="77777777" w:rsidR="00812764" w:rsidRPr="00376E90" w:rsidRDefault="00812764" w:rsidP="00376E90">
            <w:pPr>
              <w:pStyle w:val="TableText"/>
              <w:tabs>
                <w:tab w:val="decimal" w:pos="610"/>
              </w:tabs>
              <w:rPr>
                <w:b/>
              </w:rPr>
            </w:pPr>
            <w:r w:rsidRPr="00376E90">
              <w:rPr>
                <w:b/>
              </w:rPr>
              <w:t>319</w:t>
            </w:r>
          </w:p>
        </w:tc>
        <w:tc>
          <w:tcPr>
            <w:tcW w:w="1127"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2D4417E5" w14:textId="77777777" w:rsidR="00812764" w:rsidRPr="00376E90" w:rsidRDefault="00812764" w:rsidP="00376E90">
            <w:pPr>
              <w:pStyle w:val="TableText"/>
              <w:tabs>
                <w:tab w:val="decimal" w:pos="510"/>
              </w:tabs>
              <w:rPr>
                <w:b/>
              </w:rPr>
            </w:pPr>
            <w:r w:rsidRPr="00376E90">
              <w:rPr>
                <w:b/>
              </w:rPr>
              <w:t>7.7</w:t>
            </w:r>
          </w:p>
        </w:tc>
        <w:tc>
          <w:tcPr>
            <w:tcW w:w="112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2855734D" w14:textId="77777777" w:rsidR="00812764" w:rsidRPr="00376E90" w:rsidRDefault="00812764" w:rsidP="00376E90">
            <w:pPr>
              <w:pStyle w:val="TableText"/>
              <w:tabs>
                <w:tab w:val="decimal" w:pos="610"/>
              </w:tabs>
              <w:rPr>
                <w:b/>
              </w:rPr>
            </w:pPr>
            <w:r w:rsidRPr="00376E90">
              <w:rPr>
                <w:b/>
              </w:rPr>
              <w:t>544</w:t>
            </w:r>
          </w:p>
        </w:tc>
        <w:tc>
          <w:tcPr>
            <w:tcW w:w="1127" w:type="dxa"/>
            <w:tcBorders>
              <w:top w:val="single" w:sz="4" w:space="0" w:color="A6A6A6" w:themeColor="background1" w:themeShade="A6"/>
              <w:left w:val="nil"/>
              <w:bottom w:val="single" w:sz="4" w:space="0" w:color="A6A6A6" w:themeColor="background1" w:themeShade="A6"/>
              <w:right w:val="nil"/>
            </w:tcBorders>
            <w:hideMark/>
          </w:tcPr>
          <w:p w14:paraId="713512E8" w14:textId="77777777" w:rsidR="00812764" w:rsidRPr="00376E90" w:rsidRDefault="00812764" w:rsidP="00376E90">
            <w:pPr>
              <w:pStyle w:val="TableText"/>
              <w:tabs>
                <w:tab w:val="decimal" w:pos="510"/>
              </w:tabs>
              <w:rPr>
                <w:b/>
              </w:rPr>
            </w:pPr>
            <w:r w:rsidRPr="00376E90">
              <w:rPr>
                <w:b/>
              </w:rPr>
              <w:t>12.6</w:t>
            </w:r>
          </w:p>
        </w:tc>
      </w:tr>
    </w:tbl>
    <w:p w14:paraId="10A0C725" w14:textId="77777777" w:rsidR="00812764" w:rsidRPr="00A84F04" w:rsidRDefault="00812764" w:rsidP="00376E90">
      <w:pPr>
        <w:pStyle w:val="Note"/>
      </w:pPr>
      <w:r w:rsidRPr="00A84F04">
        <w:t>Notes: ASR = Age-standardised rate.</w:t>
      </w:r>
      <w:r>
        <w:t xml:space="preserve"> </w:t>
      </w:r>
      <w:r w:rsidRPr="00A84F04">
        <w:t>Includes deaths of undetermined intent. Age-standardised rate is per 100,000, standardised to the WHO standard population aged 0–64 years.</w:t>
      </w:r>
      <w:r>
        <w:t xml:space="preserve"> </w:t>
      </w:r>
      <w:r w:rsidRPr="00A84F04">
        <w:t>Service user denominator excludes service users of unknown age.</w:t>
      </w:r>
    </w:p>
    <w:p w14:paraId="030480DB" w14:textId="77777777" w:rsidR="00812764" w:rsidRPr="00A84F04" w:rsidRDefault="00812764" w:rsidP="00376E90">
      <w:pPr>
        <w:pStyle w:val="Source"/>
      </w:pPr>
      <w:r w:rsidRPr="00FE5CC6">
        <w:t>Source: Ministry of Health mortality database data, extracted on 19 April 2021.</w:t>
      </w:r>
    </w:p>
    <w:p w14:paraId="5ECFFDB1" w14:textId="77777777" w:rsidR="00812764" w:rsidRDefault="00812764" w:rsidP="00376E90"/>
    <w:p w14:paraId="6C44489E" w14:textId="790BC937" w:rsidR="00812764" w:rsidRDefault="00376E90" w:rsidP="00376E90">
      <w:r>
        <w:fldChar w:fldCharType="begin"/>
      </w:r>
      <w:r>
        <w:instrText xml:space="preserve"> REF _Ref88807378 \h </w:instrText>
      </w:r>
      <w:r>
        <w:fldChar w:fldCharType="separate"/>
      </w:r>
      <w:r w:rsidR="000261BB">
        <w:t>Table </w:t>
      </w:r>
      <w:r w:rsidR="000261BB">
        <w:rPr>
          <w:noProof/>
        </w:rPr>
        <w:t>3</w:t>
      </w:r>
      <w:r>
        <w:fldChar w:fldCharType="end"/>
      </w:r>
      <w:r w:rsidR="00812764" w:rsidRPr="008F1ADC">
        <w:t xml:space="preserve"> </w:t>
      </w:r>
      <w:r w:rsidR="00812764">
        <w:t xml:space="preserve">and </w:t>
      </w:r>
      <w:r>
        <w:fldChar w:fldCharType="begin"/>
      </w:r>
      <w:r>
        <w:instrText xml:space="preserve"> REF _Ref88807402 \h </w:instrText>
      </w:r>
      <w:r>
        <w:fldChar w:fldCharType="separate"/>
      </w:r>
      <w:r w:rsidR="000261BB">
        <w:t>Figure </w:t>
      </w:r>
      <w:r w:rsidR="000261BB">
        <w:rPr>
          <w:noProof/>
        </w:rPr>
        <w:t>2</w:t>
      </w:r>
      <w:r>
        <w:fldChar w:fldCharType="end"/>
      </w:r>
      <w:r w:rsidR="00812764">
        <w:t xml:space="preserve"> </w:t>
      </w:r>
      <w:r w:rsidR="00812764" w:rsidRPr="008F1ADC">
        <w:t>show the number and rates of suicide</w:t>
      </w:r>
      <w:r w:rsidR="00812764">
        <w:t xml:space="preserve"> by age band and sex</w:t>
      </w:r>
      <w:r w:rsidR="00812764" w:rsidRPr="008F1ADC">
        <w:t xml:space="preserve"> for 2017. The rate of suicide among female service users was highest for those aged</w:t>
      </w:r>
      <w:r w:rsidR="000E2796">
        <w:br/>
      </w:r>
      <w:r w:rsidR="00812764">
        <w:t>55</w:t>
      </w:r>
      <w:r w:rsidR="000E2796">
        <w:t>–</w:t>
      </w:r>
      <w:r w:rsidR="00812764" w:rsidRPr="008F1ADC">
        <w:t xml:space="preserve">64 years, at </w:t>
      </w:r>
      <w:r w:rsidR="00812764">
        <w:t>203.2</w:t>
      </w:r>
      <w:r w:rsidR="00812764" w:rsidRPr="008F1ADC">
        <w:t xml:space="preserve">. per 100,000. The rate of suicide among male service users was highest for those aged </w:t>
      </w:r>
      <w:r w:rsidR="00812764">
        <w:t>45</w:t>
      </w:r>
      <w:r w:rsidR="000E2796">
        <w:t>–</w:t>
      </w:r>
      <w:r w:rsidR="00812764">
        <w:t>54</w:t>
      </w:r>
      <w:r w:rsidR="00812764" w:rsidRPr="008F1ADC">
        <w:t xml:space="preserve"> years, at </w:t>
      </w:r>
      <w:r w:rsidR="00812764">
        <w:t>296.7</w:t>
      </w:r>
      <w:r w:rsidR="000E2796">
        <w:t xml:space="preserve"> per 100,000.</w:t>
      </w:r>
    </w:p>
    <w:p w14:paraId="12A2B3A9" w14:textId="77777777" w:rsidR="00812764" w:rsidRPr="008F1ADC" w:rsidRDefault="00812764" w:rsidP="000E2796"/>
    <w:p w14:paraId="06D3215B" w14:textId="1C673831" w:rsidR="00812764" w:rsidRPr="00A84F04" w:rsidRDefault="00376E90" w:rsidP="00376E90">
      <w:pPr>
        <w:pStyle w:val="Table"/>
      </w:pPr>
      <w:bookmarkStart w:id="19" w:name="_Ref88807378"/>
      <w:bookmarkStart w:id="20" w:name="_Toc86766053"/>
      <w:bookmarkStart w:id="21" w:name="_Toc88807948"/>
      <w:r>
        <w:t>Table </w:t>
      </w:r>
      <w:fldSimple w:instr=" SEQ Table \* ARABIC ">
        <w:r w:rsidR="000261BB">
          <w:rPr>
            <w:noProof/>
          </w:rPr>
          <w:t>3</w:t>
        </w:r>
      </w:fldSimple>
      <w:bookmarkEnd w:id="19"/>
      <w:r w:rsidR="00812764" w:rsidRPr="00A84F04">
        <w:t>: Number and age-</w:t>
      </w:r>
      <w:r w:rsidR="00812764">
        <w:t>specific</w:t>
      </w:r>
      <w:r w:rsidR="00812764" w:rsidRPr="00A84F04">
        <w:t xml:space="preserve"> rate of suicide, by age-group, sex and service use, people aged 1</w:t>
      </w:r>
      <w:r w:rsidR="00812764">
        <w:t>5</w:t>
      </w:r>
      <w:r w:rsidR="00812764" w:rsidRPr="00A84F04">
        <w:t>–64 years, 201</w:t>
      </w:r>
      <w:r w:rsidR="00812764">
        <w:t>7</w:t>
      </w:r>
      <w:bookmarkEnd w:id="20"/>
      <w:bookmarkEnd w:id="21"/>
    </w:p>
    <w:tbl>
      <w:tblPr>
        <w:tblW w:w="0" w:type="auto"/>
        <w:tblInd w:w="57" w:type="dxa"/>
        <w:tblLayout w:type="fixed"/>
        <w:tblCellMar>
          <w:left w:w="57" w:type="dxa"/>
          <w:right w:w="57" w:type="dxa"/>
        </w:tblCellMar>
        <w:tblLook w:val="04A0" w:firstRow="1" w:lastRow="0" w:firstColumn="1" w:lastColumn="0" w:noHBand="0" w:noVBand="1"/>
      </w:tblPr>
      <w:tblGrid>
        <w:gridCol w:w="1260"/>
        <w:gridCol w:w="852"/>
        <w:gridCol w:w="853"/>
        <w:gridCol w:w="852"/>
        <w:gridCol w:w="853"/>
        <w:gridCol w:w="852"/>
        <w:gridCol w:w="853"/>
        <w:gridCol w:w="852"/>
        <w:gridCol w:w="853"/>
      </w:tblGrid>
      <w:tr w:rsidR="00812764" w:rsidRPr="000E2796" w14:paraId="6BF4F690" w14:textId="77777777" w:rsidTr="000E2796">
        <w:trPr>
          <w:cantSplit/>
        </w:trPr>
        <w:tc>
          <w:tcPr>
            <w:tcW w:w="1260" w:type="dxa"/>
            <w:vMerge w:val="restart"/>
            <w:tcBorders>
              <w:top w:val="nil"/>
              <w:left w:val="nil"/>
              <w:right w:val="single" w:sz="4" w:space="0" w:color="A6A6A6" w:themeColor="background1" w:themeShade="A6"/>
            </w:tcBorders>
            <w:shd w:val="clear" w:color="auto" w:fill="D9D9D9" w:themeFill="background1" w:themeFillShade="D9"/>
            <w:hideMark/>
          </w:tcPr>
          <w:p w14:paraId="6CB3540E" w14:textId="77777777" w:rsidR="00812764" w:rsidRPr="000E2796" w:rsidRDefault="00812764" w:rsidP="000E2796">
            <w:pPr>
              <w:pStyle w:val="TableText"/>
              <w:rPr>
                <w:b/>
                <w:lang w:eastAsia="en-NZ"/>
              </w:rPr>
            </w:pPr>
            <w:r w:rsidRPr="000E2796">
              <w:rPr>
                <w:b/>
                <w:lang w:eastAsia="en-NZ"/>
              </w:rPr>
              <w:t xml:space="preserve">Age band </w:t>
            </w:r>
            <w:r w:rsidR="000E2796" w:rsidRPr="000E2796">
              <w:rPr>
                <w:b/>
                <w:lang w:eastAsia="en-NZ"/>
              </w:rPr>
              <w:t>y</w:t>
            </w:r>
            <w:r w:rsidRPr="000E2796">
              <w:rPr>
                <w:b/>
                <w:lang w:eastAsia="en-NZ"/>
              </w:rPr>
              <w:t>ears</w:t>
            </w:r>
          </w:p>
        </w:tc>
        <w:tc>
          <w:tcPr>
            <w:tcW w:w="3410" w:type="dxa"/>
            <w:gridSpan w:val="4"/>
            <w:tcBorders>
              <w:top w:val="nil"/>
              <w:left w:val="single" w:sz="4" w:space="0" w:color="A6A6A6" w:themeColor="background1" w:themeShade="A6"/>
              <w:right w:val="single" w:sz="4" w:space="0" w:color="A6A6A6" w:themeColor="background1" w:themeShade="A6"/>
            </w:tcBorders>
            <w:shd w:val="clear" w:color="auto" w:fill="D9D9D9" w:themeFill="background1" w:themeFillShade="D9"/>
            <w:noWrap/>
            <w:vAlign w:val="bottom"/>
            <w:hideMark/>
          </w:tcPr>
          <w:p w14:paraId="36AC9F89" w14:textId="77777777" w:rsidR="00812764" w:rsidRPr="000E2796" w:rsidRDefault="00812764" w:rsidP="000E2796">
            <w:pPr>
              <w:pStyle w:val="TableText"/>
              <w:jc w:val="center"/>
              <w:rPr>
                <w:b/>
                <w:lang w:eastAsia="en-NZ"/>
              </w:rPr>
            </w:pPr>
            <w:r w:rsidRPr="000E2796">
              <w:rPr>
                <w:b/>
                <w:lang w:eastAsia="en-NZ"/>
              </w:rPr>
              <w:t>Service users</w:t>
            </w:r>
          </w:p>
        </w:tc>
        <w:tc>
          <w:tcPr>
            <w:tcW w:w="3410" w:type="dxa"/>
            <w:gridSpan w:val="4"/>
            <w:tcBorders>
              <w:top w:val="nil"/>
              <w:left w:val="single" w:sz="4" w:space="0" w:color="A6A6A6" w:themeColor="background1" w:themeShade="A6"/>
            </w:tcBorders>
            <w:shd w:val="clear" w:color="auto" w:fill="D9D9D9" w:themeFill="background1" w:themeFillShade="D9"/>
            <w:noWrap/>
            <w:vAlign w:val="bottom"/>
            <w:hideMark/>
          </w:tcPr>
          <w:p w14:paraId="17712DC1" w14:textId="77777777" w:rsidR="00812764" w:rsidRPr="000E2796" w:rsidRDefault="00812764" w:rsidP="000E2796">
            <w:pPr>
              <w:pStyle w:val="TableText"/>
              <w:jc w:val="center"/>
              <w:rPr>
                <w:b/>
                <w:lang w:eastAsia="en-NZ"/>
              </w:rPr>
            </w:pPr>
            <w:r w:rsidRPr="000E2796">
              <w:rPr>
                <w:b/>
                <w:lang w:eastAsia="en-NZ"/>
              </w:rPr>
              <w:t>Non-service users</w:t>
            </w:r>
          </w:p>
        </w:tc>
      </w:tr>
      <w:tr w:rsidR="000E2796" w:rsidRPr="000E2796" w14:paraId="46A07210" w14:textId="77777777" w:rsidTr="000E2796">
        <w:trPr>
          <w:cantSplit/>
        </w:trPr>
        <w:tc>
          <w:tcPr>
            <w:tcW w:w="1260" w:type="dxa"/>
            <w:vMerge/>
            <w:tcBorders>
              <w:left w:val="nil"/>
              <w:right w:val="single" w:sz="4" w:space="0" w:color="A6A6A6" w:themeColor="background1" w:themeShade="A6"/>
            </w:tcBorders>
            <w:shd w:val="clear" w:color="auto" w:fill="D9D9D9" w:themeFill="background1" w:themeFillShade="D9"/>
            <w:vAlign w:val="center"/>
            <w:hideMark/>
          </w:tcPr>
          <w:p w14:paraId="2FA3EE05" w14:textId="77777777" w:rsidR="00812764" w:rsidRPr="000E2796" w:rsidRDefault="00812764" w:rsidP="000E2796">
            <w:pPr>
              <w:pStyle w:val="TableText"/>
              <w:rPr>
                <w:b/>
                <w:lang w:eastAsia="en-NZ"/>
              </w:rPr>
            </w:pPr>
          </w:p>
        </w:tc>
        <w:tc>
          <w:tcPr>
            <w:tcW w:w="1705"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noWrap/>
            <w:vAlign w:val="bottom"/>
            <w:hideMark/>
          </w:tcPr>
          <w:p w14:paraId="3EEF0B76" w14:textId="77777777" w:rsidR="00812764" w:rsidRPr="000E2796" w:rsidRDefault="00812764" w:rsidP="000E2796">
            <w:pPr>
              <w:pStyle w:val="TableText"/>
              <w:spacing w:before="0"/>
              <w:jc w:val="center"/>
              <w:rPr>
                <w:b/>
                <w:lang w:eastAsia="en-NZ"/>
              </w:rPr>
            </w:pPr>
            <w:r w:rsidRPr="000E2796">
              <w:rPr>
                <w:b/>
                <w:lang w:eastAsia="en-NZ"/>
              </w:rPr>
              <w:t>Female</w:t>
            </w:r>
          </w:p>
        </w:tc>
        <w:tc>
          <w:tcPr>
            <w:tcW w:w="1705"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noWrap/>
            <w:vAlign w:val="bottom"/>
            <w:hideMark/>
          </w:tcPr>
          <w:p w14:paraId="739778F1" w14:textId="77777777" w:rsidR="00812764" w:rsidRPr="000E2796" w:rsidRDefault="00812764" w:rsidP="000E2796">
            <w:pPr>
              <w:pStyle w:val="TableText"/>
              <w:spacing w:before="0"/>
              <w:jc w:val="center"/>
              <w:rPr>
                <w:b/>
                <w:lang w:eastAsia="en-NZ"/>
              </w:rPr>
            </w:pPr>
            <w:r w:rsidRPr="000E2796">
              <w:rPr>
                <w:b/>
                <w:lang w:eastAsia="en-NZ"/>
              </w:rPr>
              <w:t>Male</w:t>
            </w:r>
          </w:p>
        </w:tc>
        <w:tc>
          <w:tcPr>
            <w:tcW w:w="1705"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noWrap/>
            <w:vAlign w:val="bottom"/>
            <w:hideMark/>
          </w:tcPr>
          <w:p w14:paraId="1507B5E8" w14:textId="77777777" w:rsidR="00812764" w:rsidRPr="000E2796" w:rsidRDefault="00812764" w:rsidP="000E2796">
            <w:pPr>
              <w:pStyle w:val="TableText"/>
              <w:spacing w:before="0"/>
              <w:jc w:val="center"/>
              <w:rPr>
                <w:b/>
                <w:lang w:eastAsia="en-NZ"/>
              </w:rPr>
            </w:pPr>
            <w:r w:rsidRPr="000E2796">
              <w:rPr>
                <w:b/>
                <w:lang w:eastAsia="en-NZ"/>
              </w:rPr>
              <w:t>Female</w:t>
            </w:r>
          </w:p>
        </w:tc>
        <w:tc>
          <w:tcPr>
            <w:tcW w:w="1705" w:type="dxa"/>
            <w:gridSpan w:val="2"/>
            <w:tcBorders>
              <w:left w:val="single" w:sz="4" w:space="0" w:color="A6A6A6" w:themeColor="background1" w:themeShade="A6"/>
            </w:tcBorders>
            <w:shd w:val="clear" w:color="auto" w:fill="D9D9D9" w:themeFill="background1" w:themeFillShade="D9"/>
            <w:noWrap/>
            <w:vAlign w:val="bottom"/>
            <w:hideMark/>
          </w:tcPr>
          <w:p w14:paraId="63DA3E99" w14:textId="77777777" w:rsidR="00812764" w:rsidRPr="000E2796" w:rsidRDefault="00812764" w:rsidP="000E2796">
            <w:pPr>
              <w:pStyle w:val="TableText"/>
              <w:spacing w:before="0"/>
              <w:jc w:val="center"/>
              <w:rPr>
                <w:b/>
                <w:lang w:eastAsia="en-NZ"/>
              </w:rPr>
            </w:pPr>
            <w:r w:rsidRPr="000E2796">
              <w:rPr>
                <w:b/>
                <w:lang w:eastAsia="en-NZ"/>
              </w:rPr>
              <w:t>Male</w:t>
            </w:r>
          </w:p>
        </w:tc>
      </w:tr>
      <w:tr w:rsidR="000E2796" w:rsidRPr="000E2796" w14:paraId="11B94B61" w14:textId="77777777" w:rsidTr="000E2796">
        <w:trPr>
          <w:cantSplit/>
        </w:trPr>
        <w:tc>
          <w:tcPr>
            <w:tcW w:w="1260" w:type="dxa"/>
            <w:vMerge/>
            <w:tcBorders>
              <w:left w:val="nil"/>
              <w:right w:val="single" w:sz="4" w:space="0" w:color="A6A6A6" w:themeColor="background1" w:themeShade="A6"/>
            </w:tcBorders>
            <w:shd w:val="clear" w:color="auto" w:fill="D9D9D9" w:themeFill="background1" w:themeFillShade="D9"/>
            <w:vAlign w:val="center"/>
            <w:hideMark/>
          </w:tcPr>
          <w:p w14:paraId="14449AAB" w14:textId="77777777" w:rsidR="00812764" w:rsidRPr="000E2796" w:rsidRDefault="00812764" w:rsidP="000E2796">
            <w:pPr>
              <w:pStyle w:val="TableText"/>
              <w:rPr>
                <w:b/>
                <w:lang w:eastAsia="en-NZ"/>
              </w:rPr>
            </w:pPr>
          </w:p>
        </w:tc>
        <w:tc>
          <w:tcPr>
            <w:tcW w:w="852" w:type="dxa"/>
            <w:tcBorders>
              <w:left w:val="single" w:sz="4" w:space="0" w:color="A6A6A6" w:themeColor="background1" w:themeShade="A6"/>
            </w:tcBorders>
            <w:shd w:val="clear" w:color="auto" w:fill="D9D9D9" w:themeFill="background1" w:themeFillShade="D9"/>
            <w:noWrap/>
            <w:vAlign w:val="bottom"/>
            <w:hideMark/>
          </w:tcPr>
          <w:p w14:paraId="26EE5735" w14:textId="77777777" w:rsidR="00812764" w:rsidRPr="000E2796" w:rsidRDefault="00812764" w:rsidP="000E2796">
            <w:pPr>
              <w:pStyle w:val="TableText"/>
              <w:spacing w:before="0"/>
              <w:jc w:val="center"/>
              <w:rPr>
                <w:b/>
                <w:lang w:eastAsia="en-NZ"/>
              </w:rPr>
            </w:pPr>
            <w:r w:rsidRPr="000E2796">
              <w:rPr>
                <w:b/>
                <w:lang w:eastAsia="en-NZ"/>
              </w:rPr>
              <w:t>Number</w:t>
            </w:r>
          </w:p>
        </w:tc>
        <w:tc>
          <w:tcPr>
            <w:tcW w:w="853" w:type="dxa"/>
            <w:tcBorders>
              <w:right w:val="single" w:sz="4" w:space="0" w:color="A6A6A6" w:themeColor="background1" w:themeShade="A6"/>
            </w:tcBorders>
            <w:shd w:val="clear" w:color="auto" w:fill="D9D9D9" w:themeFill="background1" w:themeFillShade="D9"/>
            <w:noWrap/>
            <w:vAlign w:val="bottom"/>
            <w:hideMark/>
          </w:tcPr>
          <w:p w14:paraId="209451DD" w14:textId="77777777" w:rsidR="00812764" w:rsidRPr="000E2796" w:rsidRDefault="00812764" w:rsidP="000E2796">
            <w:pPr>
              <w:pStyle w:val="TableText"/>
              <w:spacing w:before="0"/>
              <w:jc w:val="center"/>
              <w:rPr>
                <w:b/>
                <w:lang w:eastAsia="en-NZ"/>
              </w:rPr>
            </w:pPr>
            <w:r w:rsidRPr="000E2796">
              <w:rPr>
                <w:b/>
                <w:lang w:eastAsia="en-NZ"/>
              </w:rPr>
              <w:t>ASR</w:t>
            </w:r>
          </w:p>
        </w:tc>
        <w:tc>
          <w:tcPr>
            <w:tcW w:w="852" w:type="dxa"/>
            <w:tcBorders>
              <w:left w:val="single" w:sz="4" w:space="0" w:color="A6A6A6" w:themeColor="background1" w:themeShade="A6"/>
            </w:tcBorders>
            <w:shd w:val="clear" w:color="auto" w:fill="D9D9D9" w:themeFill="background1" w:themeFillShade="D9"/>
            <w:noWrap/>
            <w:vAlign w:val="bottom"/>
            <w:hideMark/>
          </w:tcPr>
          <w:p w14:paraId="75155B4E" w14:textId="77777777" w:rsidR="00812764" w:rsidRPr="000E2796" w:rsidRDefault="00812764" w:rsidP="000E2796">
            <w:pPr>
              <w:pStyle w:val="TableText"/>
              <w:spacing w:before="0"/>
              <w:jc w:val="center"/>
              <w:rPr>
                <w:b/>
                <w:lang w:eastAsia="en-NZ"/>
              </w:rPr>
            </w:pPr>
            <w:r w:rsidRPr="000E2796">
              <w:rPr>
                <w:b/>
                <w:lang w:eastAsia="en-NZ"/>
              </w:rPr>
              <w:t>Number</w:t>
            </w:r>
          </w:p>
        </w:tc>
        <w:tc>
          <w:tcPr>
            <w:tcW w:w="853" w:type="dxa"/>
            <w:tcBorders>
              <w:right w:val="single" w:sz="4" w:space="0" w:color="A6A6A6" w:themeColor="background1" w:themeShade="A6"/>
            </w:tcBorders>
            <w:shd w:val="clear" w:color="auto" w:fill="D9D9D9" w:themeFill="background1" w:themeFillShade="D9"/>
            <w:noWrap/>
            <w:vAlign w:val="bottom"/>
            <w:hideMark/>
          </w:tcPr>
          <w:p w14:paraId="4F5CBF3D" w14:textId="77777777" w:rsidR="00812764" w:rsidRPr="000E2796" w:rsidRDefault="00812764" w:rsidP="000E2796">
            <w:pPr>
              <w:pStyle w:val="TableText"/>
              <w:spacing w:before="0"/>
              <w:jc w:val="center"/>
              <w:rPr>
                <w:b/>
                <w:lang w:eastAsia="en-NZ"/>
              </w:rPr>
            </w:pPr>
            <w:r w:rsidRPr="000E2796">
              <w:rPr>
                <w:b/>
                <w:lang w:eastAsia="en-NZ"/>
              </w:rPr>
              <w:t>ASR</w:t>
            </w:r>
          </w:p>
        </w:tc>
        <w:tc>
          <w:tcPr>
            <w:tcW w:w="852" w:type="dxa"/>
            <w:tcBorders>
              <w:left w:val="single" w:sz="4" w:space="0" w:color="A6A6A6" w:themeColor="background1" w:themeShade="A6"/>
            </w:tcBorders>
            <w:shd w:val="clear" w:color="auto" w:fill="D9D9D9" w:themeFill="background1" w:themeFillShade="D9"/>
            <w:noWrap/>
            <w:vAlign w:val="bottom"/>
            <w:hideMark/>
          </w:tcPr>
          <w:p w14:paraId="34216366" w14:textId="77777777" w:rsidR="00812764" w:rsidRPr="000E2796" w:rsidRDefault="00812764" w:rsidP="000E2796">
            <w:pPr>
              <w:pStyle w:val="TableText"/>
              <w:spacing w:before="0"/>
              <w:jc w:val="center"/>
              <w:rPr>
                <w:b/>
                <w:lang w:eastAsia="en-NZ"/>
              </w:rPr>
            </w:pPr>
            <w:r w:rsidRPr="000E2796">
              <w:rPr>
                <w:b/>
                <w:lang w:eastAsia="en-NZ"/>
              </w:rPr>
              <w:t>Number</w:t>
            </w:r>
          </w:p>
        </w:tc>
        <w:tc>
          <w:tcPr>
            <w:tcW w:w="853" w:type="dxa"/>
            <w:tcBorders>
              <w:right w:val="single" w:sz="4" w:space="0" w:color="A6A6A6" w:themeColor="background1" w:themeShade="A6"/>
            </w:tcBorders>
            <w:shd w:val="clear" w:color="auto" w:fill="D9D9D9" w:themeFill="background1" w:themeFillShade="D9"/>
            <w:noWrap/>
            <w:vAlign w:val="bottom"/>
            <w:hideMark/>
          </w:tcPr>
          <w:p w14:paraId="7FEF0A88" w14:textId="77777777" w:rsidR="00812764" w:rsidRPr="000E2796" w:rsidRDefault="00812764" w:rsidP="000E2796">
            <w:pPr>
              <w:pStyle w:val="TableText"/>
              <w:spacing w:before="0"/>
              <w:jc w:val="center"/>
              <w:rPr>
                <w:b/>
                <w:lang w:eastAsia="en-NZ"/>
              </w:rPr>
            </w:pPr>
            <w:r w:rsidRPr="000E2796">
              <w:rPr>
                <w:b/>
                <w:lang w:eastAsia="en-NZ"/>
              </w:rPr>
              <w:t>ASR</w:t>
            </w:r>
          </w:p>
        </w:tc>
        <w:tc>
          <w:tcPr>
            <w:tcW w:w="852" w:type="dxa"/>
            <w:tcBorders>
              <w:left w:val="single" w:sz="4" w:space="0" w:color="A6A6A6" w:themeColor="background1" w:themeShade="A6"/>
            </w:tcBorders>
            <w:shd w:val="clear" w:color="auto" w:fill="D9D9D9" w:themeFill="background1" w:themeFillShade="D9"/>
            <w:noWrap/>
            <w:vAlign w:val="bottom"/>
            <w:hideMark/>
          </w:tcPr>
          <w:p w14:paraId="1073F261" w14:textId="77777777" w:rsidR="00812764" w:rsidRPr="000E2796" w:rsidRDefault="00812764" w:rsidP="000E2796">
            <w:pPr>
              <w:pStyle w:val="TableText"/>
              <w:spacing w:before="0"/>
              <w:jc w:val="center"/>
              <w:rPr>
                <w:b/>
                <w:lang w:eastAsia="en-NZ"/>
              </w:rPr>
            </w:pPr>
            <w:r w:rsidRPr="000E2796">
              <w:rPr>
                <w:b/>
                <w:lang w:eastAsia="en-NZ"/>
              </w:rPr>
              <w:t>Number</w:t>
            </w:r>
          </w:p>
        </w:tc>
        <w:tc>
          <w:tcPr>
            <w:tcW w:w="853" w:type="dxa"/>
            <w:shd w:val="clear" w:color="auto" w:fill="D9D9D9" w:themeFill="background1" w:themeFillShade="D9"/>
            <w:noWrap/>
            <w:vAlign w:val="bottom"/>
            <w:hideMark/>
          </w:tcPr>
          <w:p w14:paraId="4B26272A" w14:textId="77777777" w:rsidR="00812764" w:rsidRPr="000E2796" w:rsidRDefault="00812764" w:rsidP="000E2796">
            <w:pPr>
              <w:pStyle w:val="TableText"/>
              <w:spacing w:before="0"/>
              <w:jc w:val="center"/>
              <w:rPr>
                <w:b/>
                <w:lang w:eastAsia="en-NZ"/>
              </w:rPr>
            </w:pPr>
            <w:r w:rsidRPr="000E2796">
              <w:rPr>
                <w:b/>
                <w:lang w:eastAsia="en-NZ"/>
              </w:rPr>
              <w:t>ASR</w:t>
            </w:r>
          </w:p>
        </w:tc>
      </w:tr>
      <w:tr w:rsidR="00812764" w:rsidRPr="0045311B" w14:paraId="5782D012" w14:textId="77777777" w:rsidTr="000E2796">
        <w:trPr>
          <w:cantSplit/>
        </w:trPr>
        <w:tc>
          <w:tcPr>
            <w:tcW w:w="1260" w:type="dxa"/>
            <w:tcBorders>
              <w:left w:val="nil"/>
              <w:bottom w:val="single" w:sz="4" w:space="0" w:color="A6A6A6" w:themeColor="background1" w:themeShade="A6"/>
              <w:right w:val="single" w:sz="4" w:space="0" w:color="A6A6A6" w:themeColor="background1" w:themeShade="A6"/>
            </w:tcBorders>
            <w:shd w:val="clear" w:color="auto" w:fill="auto"/>
            <w:noWrap/>
            <w:vAlign w:val="bottom"/>
            <w:hideMark/>
          </w:tcPr>
          <w:p w14:paraId="0C8D88E8" w14:textId="77777777" w:rsidR="00812764" w:rsidRPr="0045311B" w:rsidRDefault="00812764" w:rsidP="000E2796">
            <w:pPr>
              <w:pStyle w:val="TableText"/>
              <w:rPr>
                <w:lang w:eastAsia="en-NZ"/>
              </w:rPr>
            </w:pPr>
            <w:r w:rsidRPr="00E143E3">
              <w:rPr>
                <w:lang w:eastAsia="en-NZ"/>
              </w:rPr>
              <w:t>15</w:t>
            </w:r>
            <w:r w:rsidR="000E2796">
              <w:rPr>
                <w:lang w:eastAsia="en-NZ"/>
              </w:rPr>
              <w:t>–</w:t>
            </w:r>
            <w:r w:rsidRPr="00E143E3">
              <w:rPr>
                <w:lang w:eastAsia="en-NZ"/>
              </w:rPr>
              <w:t>24</w:t>
            </w:r>
          </w:p>
        </w:tc>
        <w:tc>
          <w:tcPr>
            <w:tcW w:w="852" w:type="dxa"/>
            <w:tcBorders>
              <w:left w:val="single" w:sz="4" w:space="0" w:color="A6A6A6" w:themeColor="background1" w:themeShade="A6"/>
              <w:bottom w:val="single" w:sz="4" w:space="0" w:color="A6A6A6" w:themeColor="background1" w:themeShade="A6"/>
            </w:tcBorders>
            <w:shd w:val="clear" w:color="auto" w:fill="auto"/>
            <w:noWrap/>
            <w:vAlign w:val="bottom"/>
            <w:hideMark/>
          </w:tcPr>
          <w:p w14:paraId="2CC9D664" w14:textId="77777777" w:rsidR="00812764" w:rsidRPr="0045311B" w:rsidRDefault="00812764" w:rsidP="000E2796">
            <w:pPr>
              <w:pStyle w:val="TableText"/>
              <w:jc w:val="center"/>
              <w:rPr>
                <w:lang w:eastAsia="en-NZ"/>
              </w:rPr>
            </w:pPr>
            <w:r w:rsidRPr="0045311B">
              <w:rPr>
                <w:lang w:eastAsia="en-NZ"/>
              </w:rPr>
              <w:t>19</w:t>
            </w:r>
          </w:p>
        </w:tc>
        <w:tc>
          <w:tcPr>
            <w:tcW w:w="853" w:type="dxa"/>
            <w:tcBorders>
              <w:bottom w:val="single" w:sz="4" w:space="0" w:color="A6A6A6" w:themeColor="background1" w:themeShade="A6"/>
              <w:right w:val="single" w:sz="4" w:space="0" w:color="A6A6A6" w:themeColor="background1" w:themeShade="A6"/>
            </w:tcBorders>
            <w:shd w:val="clear" w:color="auto" w:fill="auto"/>
            <w:noWrap/>
            <w:vAlign w:val="bottom"/>
            <w:hideMark/>
          </w:tcPr>
          <w:p w14:paraId="56329750" w14:textId="77777777" w:rsidR="00812764" w:rsidRPr="0045311B" w:rsidRDefault="00812764" w:rsidP="000E2796">
            <w:pPr>
              <w:pStyle w:val="TableText"/>
              <w:tabs>
                <w:tab w:val="decimal" w:pos="425"/>
              </w:tabs>
              <w:rPr>
                <w:lang w:eastAsia="en-NZ"/>
              </w:rPr>
            </w:pPr>
            <w:r w:rsidRPr="0045311B">
              <w:rPr>
                <w:lang w:eastAsia="en-NZ"/>
              </w:rPr>
              <w:t>102.9</w:t>
            </w:r>
          </w:p>
        </w:tc>
        <w:tc>
          <w:tcPr>
            <w:tcW w:w="852" w:type="dxa"/>
            <w:tcBorders>
              <w:left w:val="single" w:sz="4" w:space="0" w:color="A6A6A6" w:themeColor="background1" w:themeShade="A6"/>
              <w:bottom w:val="single" w:sz="4" w:space="0" w:color="A6A6A6" w:themeColor="background1" w:themeShade="A6"/>
            </w:tcBorders>
            <w:shd w:val="clear" w:color="auto" w:fill="auto"/>
            <w:noWrap/>
            <w:vAlign w:val="bottom"/>
            <w:hideMark/>
          </w:tcPr>
          <w:p w14:paraId="6DE3C1DC" w14:textId="77777777" w:rsidR="00812764" w:rsidRPr="0045311B" w:rsidRDefault="00812764" w:rsidP="000E2796">
            <w:pPr>
              <w:pStyle w:val="TableText"/>
              <w:jc w:val="center"/>
              <w:rPr>
                <w:lang w:eastAsia="en-NZ"/>
              </w:rPr>
            </w:pPr>
            <w:r w:rsidRPr="0045311B">
              <w:rPr>
                <w:lang w:eastAsia="en-NZ"/>
              </w:rPr>
              <w:t>30</w:t>
            </w:r>
          </w:p>
        </w:tc>
        <w:tc>
          <w:tcPr>
            <w:tcW w:w="853" w:type="dxa"/>
            <w:tcBorders>
              <w:bottom w:val="single" w:sz="4" w:space="0" w:color="A6A6A6" w:themeColor="background1" w:themeShade="A6"/>
              <w:right w:val="single" w:sz="4" w:space="0" w:color="A6A6A6" w:themeColor="background1" w:themeShade="A6"/>
            </w:tcBorders>
            <w:shd w:val="clear" w:color="auto" w:fill="auto"/>
            <w:noWrap/>
            <w:vAlign w:val="bottom"/>
            <w:hideMark/>
          </w:tcPr>
          <w:p w14:paraId="5591010B" w14:textId="77777777" w:rsidR="00812764" w:rsidRPr="0045311B" w:rsidRDefault="00812764" w:rsidP="000E2796">
            <w:pPr>
              <w:pStyle w:val="TableText"/>
              <w:jc w:val="center"/>
              <w:rPr>
                <w:lang w:eastAsia="en-NZ"/>
              </w:rPr>
            </w:pPr>
            <w:r w:rsidRPr="0045311B">
              <w:rPr>
                <w:lang w:eastAsia="en-NZ"/>
              </w:rPr>
              <w:t>167.1</w:t>
            </w:r>
          </w:p>
        </w:tc>
        <w:tc>
          <w:tcPr>
            <w:tcW w:w="852" w:type="dxa"/>
            <w:tcBorders>
              <w:left w:val="single" w:sz="4" w:space="0" w:color="A6A6A6" w:themeColor="background1" w:themeShade="A6"/>
              <w:bottom w:val="single" w:sz="4" w:space="0" w:color="A6A6A6" w:themeColor="background1" w:themeShade="A6"/>
            </w:tcBorders>
            <w:shd w:val="clear" w:color="auto" w:fill="auto"/>
            <w:noWrap/>
            <w:vAlign w:val="bottom"/>
            <w:hideMark/>
          </w:tcPr>
          <w:p w14:paraId="36E1E108" w14:textId="77777777" w:rsidR="00812764" w:rsidRPr="0045311B" w:rsidRDefault="00812764" w:rsidP="000E2796">
            <w:pPr>
              <w:pStyle w:val="TableText"/>
              <w:tabs>
                <w:tab w:val="decimal" w:pos="425"/>
              </w:tabs>
              <w:rPr>
                <w:lang w:eastAsia="en-NZ"/>
              </w:rPr>
            </w:pPr>
            <w:r w:rsidRPr="0045311B">
              <w:rPr>
                <w:lang w:eastAsia="en-NZ"/>
              </w:rPr>
              <w:t>23</w:t>
            </w:r>
          </w:p>
        </w:tc>
        <w:tc>
          <w:tcPr>
            <w:tcW w:w="853" w:type="dxa"/>
            <w:tcBorders>
              <w:bottom w:val="single" w:sz="4" w:space="0" w:color="A6A6A6" w:themeColor="background1" w:themeShade="A6"/>
              <w:right w:val="single" w:sz="4" w:space="0" w:color="A6A6A6" w:themeColor="background1" w:themeShade="A6"/>
            </w:tcBorders>
            <w:shd w:val="clear" w:color="auto" w:fill="auto"/>
            <w:noWrap/>
            <w:vAlign w:val="bottom"/>
            <w:hideMark/>
          </w:tcPr>
          <w:p w14:paraId="1282C82D" w14:textId="77777777" w:rsidR="00812764" w:rsidRPr="0045311B" w:rsidRDefault="00812764" w:rsidP="000E2796">
            <w:pPr>
              <w:pStyle w:val="TableText"/>
              <w:jc w:val="center"/>
              <w:rPr>
                <w:lang w:eastAsia="en-NZ"/>
              </w:rPr>
            </w:pPr>
            <w:r w:rsidRPr="0045311B">
              <w:rPr>
                <w:lang w:eastAsia="en-NZ"/>
              </w:rPr>
              <w:t>7.5</w:t>
            </w:r>
          </w:p>
        </w:tc>
        <w:tc>
          <w:tcPr>
            <w:tcW w:w="852" w:type="dxa"/>
            <w:tcBorders>
              <w:left w:val="single" w:sz="4" w:space="0" w:color="A6A6A6" w:themeColor="background1" w:themeShade="A6"/>
              <w:bottom w:val="single" w:sz="4" w:space="0" w:color="A6A6A6" w:themeColor="background1" w:themeShade="A6"/>
            </w:tcBorders>
            <w:shd w:val="clear" w:color="auto" w:fill="auto"/>
            <w:noWrap/>
            <w:vAlign w:val="bottom"/>
            <w:hideMark/>
          </w:tcPr>
          <w:p w14:paraId="3E4618C6" w14:textId="77777777" w:rsidR="00812764" w:rsidRPr="0045311B" w:rsidRDefault="00812764" w:rsidP="000E2796">
            <w:pPr>
              <w:pStyle w:val="TableText"/>
              <w:jc w:val="center"/>
              <w:rPr>
                <w:lang w:eastAsia="en-NZ"/>
              </w:rPr>
            </w:pPr>
            <w:r w:rsidRPr="0045311B">
              <w:rPr>
                <w:lang w:eastAsia="en-NZ"/>
              </w:rPr>
              <w:t>56</w:t>
            </w:r>
          </w:p>
        </w:tc>
        <w:tc>
          <w:tcPr>
            <w:tcW w:w="853" w:type="dxa"/>
            <w:tcBorders>
              <w:bottom w:val="single" w:sz="4" w:space="0" w:color="A6A6A6" w:themeColor="background1" w:themeShade="A6"/>
            </w:tcBorders>
            <w:shd w:val="clear" w:color="auto" w:fill="auto"/>
            <w:noWrap/>
            <w:vAlign w:val="bottom"/>
            <w:hideMark/>
          </w:tcPr>
          <w:p w14:paraId="22314723" w14:textId="77777777" w:rsidR="00812764" w:rsidRPr="0045311B" w:rsidRDefault="00812764" w:rsidP="000E2796">
            <w:pPr>
              <w:pStyle w:val="TableText"/>
              <w:jc w:val="center"/>
              <w:rPr>
                <w:lang w:eastAsia="en-NZ"/>
              </w:rPr>
            </w:pPr>
            <w:r w:rsidRPr="0045311B">
              <w:rPr>
                <w:lang w:eastAsia="en-NZ"/>
              </w:rPr>
              <w:t>17.0</w:t>
            </w:r>
          </w:p>
        </w:tc>
      </w:tr>
      <w:tr w:rsidR="00812764" w:rsidRPr="0045311B" w14:paraId="4D7C04A2" w14:textId="77777777" w:rsidTr="000E2796">
        <w:trPr>
          <w:cantSplit/>
        </w:trPr>
        <w:tc>
          <w:tcPr>
            <w:tcW w:w="126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hideMark/>
          </w:tcPr>
          <w:p w14:paraId="507531E2" w14:textId="77777777" w:rsidR="00812764" w:rsidRPr="0045311B" w:rsidRDefault="00812764" w:rsidP="000E2796">
            <w:pPr>
              <w:pStyle w:val="TableText"/>
              <w:rPr>
                <w:lang w:eastAsia="en-NZ"/>
              </w:rPr>
            </w:pPr>
            <w:r w:rsidRPr="00E143E3">
              <w:rPr>
                <w:lang w:eastAsia="en-NZ"/>
              </w:rPr>
              <w:t>25</w:t>
            </w:r>
            <w:r w:rsidR="000E2796">
              <w:rPr>
                <w:lang w:eastAsia="en-NZ"/>
              </w:rPr>
              <w:t>–</w:t>
            </w:r>
            <w:r w:rsidRPr="00E143E3">
              <w:rPr>
                <w:lang w:eastAsia="en-NZ"/>
              </w:rPr>
              <w:t>34</w:t>
            </w:r>
          </w:p>
        </w:tc>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14:paraId="3B0781CB" w14:textId="77777777" w:rsidR="00812764" w:rsidRPr="0045311B" w:rsidRDefault="00812764" w:rsidP="000E2796">
            <w:pPr>
              <w:pStyle w:val="TableText"/>
              <w:jc w:val="center"/>
              <w:rPr>
                <w:lang w:eastAsia="en-NZ"/>
              </w:rPr>
            </w:pPr>
            <w:r w:rsidRPr="0045311B">
              <w:rPr>
                <w:lang w:eastAsia="en-NZ"/>
              </w:rPr>
              <w:t>11</w:t>
            </w:r>
          </w:p>
        </w:tc>
        <w:tc>
          <w:tcPr>
            <w:tcW w:w="853"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2A0B28A8" w14:textId="77777777" w:rsidR="00812764" w:rsidRPr="0045311B" w:rsidRDefault="00812764" w:rsidP="000E2796">
            <w:pPr>
              <w:pStyle w:val="TableText"/>
              <w:tabs>
                <w:tab w:val="decimal" w:pos="425"/>
              </w:tabs>
              <w:rPr>
                <w:lang w:eastAsia="en-NZ"/>
              </w:rPr>
            </w:pPr>
            <w:r w:rsidRPr="0045311B">
              <w:rPr>
                <w:lang w:eastAsia="en-NZ"/>
              </w:rPr>
              <w:t>82.1</w:t>
            </w:r>
          </w:p>
        </w:tc>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14:paraId="09237BB1" w14:textId="77777777" w:rsidR="00812764" w:rsidRPr="0045311B" w:rsidRDefault="00812764" w:rsidP="000E2796">
            <w:pPr>
              <w:pStyle w:val="TableText"/>
              <w:jc w:val="center"/>
              <w:rPr>
                <w:lang w:eastAsia="en-NZ"/>
              </w:rPr>
            </w:pPr>
            <w:r w:rsidRPr="0045311B">
              <w:rPr>
                <w:lang w:eastAsia="en-NZ"/>
              </w:rPr>
              <w:t>43</w:t>
            </w:r>
          </w:p>
        </w:tc>
        <w:tc>
          <w:tcPr>
            <w:tcW w:w="853"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314CF3CB" w14:textId="77777777" w:rsidR="00812764" w:rsidRPr="0045311B" w:rsidRDefault="00812764" w:rsidP="000E2796">
            <w:pPr>
              <w:pStyle w:val="TableText"/>
              <w:jc w:val="center"/>
              <w:rPr>
                <w:lang w:eastAsia="en-NZ"/>
              </w:rPr>
            </w:pPr>
            <w:r w:rsidRPr="0045311B">
              <w:rPr>
                <w:lang w:eastAsia="en-NZ"/>
              </w:rPr>
              <w:t>272.0</w:t>
            </w:r>
          </w:p>
        </w:tc>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14:paraId="703178F4" w14:textId="77777777" w:rsidR="00812764" w:rsidRPr="0045311B" w:rsidRDefault="00812764" w:rsidP="000E2796">
            <w:pPr>
              <w:pStyle w:val="TableText"/>
              <w:tabs>
                <w:tab w:val="decimal" w:pos="425"/>
              </w:tabs>
              <w:rPr>
                <w:lang w:eastAsia="en-NZ"/>
              </w:rPr>
            </w:pPr>
            <w:r w:rsidRPr="0045311B">
              <w:rPr>
                <w:lang w:eastAsia="en-NZ"/>
              </w:rPr>
              <w:t>16</w:t>
            </w:r>
          </w:p>
        </w:tc>
        <w:tc>
          <w:tcPr>
            <w:tcW w:w="853"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34FA0A0C" w14:textId="77777777" w:rsidR="00812764" w:rsidRPr="0045311B" w:rsidRDefault="00812764" w:rsidP="000E2796">
            <w:pPr>
              <w:pStyle w:val="TableText"/>
              <w:jc w:val="center"/>
              <w:rPr>
                <w:lang w:eastAsia="en-NZ"/>
              </w:rPr>
            </w:pPr>
            <w:r w:rsidRPr="0045311B">
              <w:rPr>
                <w:lang w:eastAsia="en-NZ"/>
              </w:rPr>
              <w:t>4.9</w:t>
            </w:r>
          </w:p>
        </w:tc>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14:paraId="77604D4A" w14:textId="77777777" w:rsidR="00812764" w:rsidRPr="0045311B" w:rsidRDefault="00812764" w:rsidP="000E2796">
            <w:pPr>
              <w:pStyle w:val="TableText"/>
              <w:jc w:val="center"/>
              <w:rPr>
                <w:lang w:eastAsia="en-NZ"/>
              </w:rPr>
            </w:pPr>
            <w:r w:rsidRPr="0045311B">
              <w:rPr>
                <w:lang w:eastAsia="en-NZ"/>
              </w:rPr>
              <w:t>46</w:t>
            </w:r>
          </w:p>
        </w:tc>
        <w:tc>
          <w:tcPr>
            <w:tcW w:w="853" w:type="dxa"/>
            <w:tcBorders>
              <w:top w:val="single" w:sz="4" w:space="0" w:color="A6A6A6" w:themeColor="background1" w:themeShade="A6"/>
              <w:bottom w:val="single" w:sz="4" w:space="0" w:color="A6A6A6" w:themeColor="background1" w:themeShade="A6"/>
            </w:tcBorders>
            <w:shd w:val="clear" w:color="auto" w:fill="auto"/>
            <w:noWrap/>
            <w:vAlign w:val="bottom"/>
            <w:hideMark/>
          </w:tcPr>
          <w:p w14:paraId="44821568" w14:textId="77777777" w:rsidR="00812764" w:rsidRPr="0045311B" w:rsidRDefault="00812764" w:rsidP="000E2796">
            <w:pPr>
              <w:pStyle w:val="TableText"/>
              <w:jc w:val="center"/>
              <w:rPr>
                <w:lang w:eastAsia="en-NZ"/>
              </w:rPr>
            </w:pPr>
            <w:r w:rsidRPr="0045311B">
              <w:rPr>
                <w:lang w:eastAsia="en-NZ"/>
              </w:rPr>
              <w:t>14.3</w:t>
            </w:r>
          </w:p>
        </w:tc>
      </w:tr>
      <w:tr w:rsidR="00812764" w:rsidRPr="0045311B" w14:paraId="596BEA97" w14:textId="77777777" w:rsidTr="000E2796">
        <w:trPr>
          <w:cantSplit/>
        </w:trPr>
        <w:tc>
          <w:tcPr>
            <w:tcW w:w="126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hideMark/>
          </w:tcPr>
          <w:p w14:paraId="29CA8A21" w14:textId="77777777" w:rsidR="00812764" w:rsidRPr="0045311B" w:rsidRDefault="00812764" w:rsidP="000E2796">
            <w:pPr>
              <w:pStyle w:val="TableText"/>
              <w:rPr>
                <w:lang w:eastAsia="en-NZ"/>
              </w:rPr>
            </w:pPr>
            <w:r w:rsidRPr="00E143E3">
              <w:rPr>
                <w:lang w:eastAsia="en-NZ"/>
              </w:rPr>
              <w:t>35</w:t>
            </w:r>
            <w:r w:rsidR="000E2796">
              <w:rPr>
                <w:lang w:eastAsia="en-NZ"/>
              </w:rPr>
              <w:t>–</w:t>
            </w:r>
            <w:r w:rsidRPr="00E143E3">
              <w:rPr>
                <w:lang w:eastAsia="en-NZ"/>
              </w:rPr>
              <w:t>44</w:t>
            </w:r>
          </w:p>
        </w:tc>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14:paraId="5A21CE35" w14:textId="77777777" w:rsidR="00812764" w:rsidRPr="0045311B" w:rsidRDefault="00812764" w:rsidP="000E2796">
            <w:pPr>
              <w:pStyle w:val="TableText"/>
              <w:jc w:val="center"/>
              <w:rPr>
                <w:lang w:eastAsia="en-NZ"/>
              </w:rPr>
            </w:pPr>
            <w:r w:rsidRPr="0045311B">
              <w:rPr>
                <w:lang w:eastAsia="en-NZ"/>
              </w:rPr>
              <w:t>10</w:t>
            </w:r>
          </w:p>
        </w:tc>
        <w:tc>
          <w:tcPr>
            <w:tcW w:w="853"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5DF0A643" w14:textId="77777777" w:rsidR="00812764" w:rsidRPr="0045311B" w:rsidRDefault="00812764" w:rsidP="000E2796">
            <w:pPr>
              <w:pStyle w:val="TableText"/>
              <w:tabs>
                <w:tab w:val="decimal" w:pos="425"/>
              </w:tabs>
              <w:rPr>
                <w:lang w:eastAsia="en-NZ"/>
              </w:rPr>
            </w:pPr>
            <w:r w:rsidRPr="0045311B">
              <w:rPr>
                <w:lang w:eastAsia="en-NZ"/>
              </w:rPr>
              <w:t>96.9</w:t>
            </w:r>
          </w:p>
        </w:tc>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14:paraId="74273E77" w14:textId="77777777" w:rsidR="00812764" w:rsidRPr="0045311B" w:rsidRDefault="00812764" w:rsidP="000E2796">
            <w:pPr>
              <w:pStyle w:val="TableText"/>
              <w:jc w:val="center"/>
              <w:rPr>
                <w:lang w:eastAsia="en-NZ"/>
              </w:rPr>
            </w:pPr>
            <w:r w:rsidRPr="0045311B">
              <w:rPr>
                <w:lang w:eastAsia="en-NZ"/>
              </w:rPr>
              <w:t>34</w:t>
            </w:r>
          </w:p>
        </w:tc>
        <w:tc>
          <w:tcPr>
            <w:tcW w:w="853"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20944B2D" w14:textId="77777777" w:rsidR="00812764" w:rsidRPr="0045311B" w:rsidRDefault="00812764" w:rsidP="000E2796">
            <w:pPr>
              <w:pStyle w:val="TableText"/>
              <w:jc w:val="center"/>
              <w:rPr>
                <w:lang w:eastAsia="en-NZ"/>
              </w:rPr>
            </w:pPr>
            <w:r w:rsidRPr="0045311B">
              <w:rPr>
                <w:lang w:eastAsia="en-NZ"/>
              </w:rPr>
              <w:t>276.4</w:t>
            </w:r>
          </w:p>
        </w:tc>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14:paraId="7414BF35" w14:textId="77777777" w:rsidR="00812764" w:rsidRPr="0045311B" w:rsidRDefault="00812764" w:rsidP="000E2796">
            <w:pPr>
              <w:pStyle w:val="TableText"/>
              <w:tabs>
                <w:tab w:val="decimal" w:pos="425"/>
              </w:tabs>
              <w:rPr>
                <w:lang w:eastAsia="en-NZ"/>
              </w:rPr>
            </w:pPr>
            <w:r w:rsidRPr="0045311B">
              <w:rPr>
                <w:lang w:eastAsia="en-NZ"/>
              </w:rPr>
              <w:t>6</w:t>
            </w:r>
          </w:p>
        </w:tc>
        <w:tc>
          <w:tcPr>
            <w:tcW w:w="853"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5AF8477E" w14:textId="77777777" w:rsidR="00812764" w:rsidRPr="0045311B" w:rsidRDefault="00812764" w:rsidP="000E2796">
            <w:pPr>
              <w:pStyle w:val="TableText"/>
              <w:jc w:val="center"/>
              <w:rPr>
                <w:lang w:eastAsia="en-NZ"/>
              </w:rPr>
            </w:pPr>
            <w:r w:rsidRPr="0045311B">
              <w:rPr>
                <w:lang w:eastAsia="en-NZ"/>
              </w:rPr>
              <w:t>2.0</w:t>
            </w:r>
          </w:p>
        </w:tc>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14:paraId="01DB94B4" w14:textId="77777777" w:rsidR="00812764" w:rsidRPr="0045311B" w:rsidRDefault="00812764" w:rsidP="000E2796">
            <w:pPr>
              <w:pStyle w:val="TableText"/>
              <w:jc w:val="center"/>
              <w:rPr>
                <w:lang w:eastAsia="en-NZ"/>
              </w:rPr>
            </w:pPr>
            <w:r w:rsidRPr="0045311B">
              <w:rPr>
                <w:lang w:eastAsia="en-NZ"/>
              </w:rPr>
              <w:t>45</w:t>
            </w:r>
          </w:p>
        </w:tc>
        <w:tc>
          <w:tcPr>
            <w:tcW w:w="853" w:type="dxa"/>
            <w:tcBorders>
              <w:top w:val="single" w:sz="4" w:space="0" w:color="A6A6A6" w:themeColor="background1" w:themeShade="A6"/>
              <w:bottom w:val="single" w:sz="4" w:space="0" w:color="A6A6A6" w:themeColor="background1" w:themeShade="A6"/>
            </w:tcBorders>
            <w:shd w:val="clear" w:color="auto" w:fill="auto"/>
            <w:noWrap/>
            <w:vAlign w:val="bottom"/>
            <w:hideMark/>
          </w:tcPr>
          <w:p w14:paraId="5FE46E64" w14:textId="77777777" w:rsidR="00812764" w:rsidRPr="0045311B" w:rsidRDefault="00812764" w:rsidP="000E2796">
            <w:pPr>
              <w:pStyle w:val="TableText"/>
              <w:jc w:val="center"/>
              <w:rPr>
                <w:lang w:eastAsia="en-NZ"/>
              </w:rPr>
            </w:pPr>
            <w:r w:rsidRPr="0045311B">
              <w:rPr>
                <w:lang w:eastAsia="en-NZ"/>
              </w:rPr>
              <w:t>16.8</w:t>
            </w:r>
          </w:p>
        </w:tc>
      </w:tr>
      <w:tr w:rsidR="00812764" w:rsidRPr="0045311B" w14:paraId="7F3437FD" w14:textId="77777777" w:rsidTr="000E2796">
        <w:trPr>
          <w:cantSplit/>
        </w:trPr>
        <w:tc>
          <w:tcPr>
            <w:tcW w:w="126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hideMark/>
          </w:tcPr>
          <w:p w14:paraId="1C1381CB" w14:textId="77777777" w:rsidR="00812764" w:rsidRPr="0045311B" w:rsidRDefault="00812764" w:rsidP="000E2796">
            <w:pPr>
              <w:pStyle w:val="TableText"/>
              <w:rPr>
                <w:lang w:eastAsia="en-NZ"/>
              </w:rPr>
            </w:pPr>
            <w:r w:rsidRPr="00E143E3">
              <w:rPr>
                <w:lang w:eastAsia="en-NZ"/>
              </w:rPr>
              <w:t>45</w:t>
            </w:r>
            <w:r w:rsidR="000E2796">
              <w:rPr>
                <w:lang w:eastAsia="en-NZ"/>
              </w:rPr>
              <w:t>–</w:t>
            </w:r>
            <w:r w:rsidRPr="00E143E3">
              <w:rPr>
                <w:lang w:eastAsia="en-NZ"/>
              </w:rPr>
              <w:t>54</w:t>
            </w:r>
          </w:p>
        </w:tc>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14:paraId="3367018B" w14:textId="77777777" w:rsidR="00812764" w:rsidRPr="0045311B" w:rsidRDefault="00812764" w:rsidP="000E2796">
            <w:pPr>
              <w:pStyle w:val="TableText"/>
              <w:jc w:val="center"/>
              <w:rPr>
                <w:lang w:eastAsia="en-NZ"/>
              </w:rPr>
            </w:pPr>
            <w:r w:rsidRPr="0045311B">
              <w:rPr>
                <w:lang w:eastAsia="en-NZ"/>
              </w:rPr>
              <w:t>12</w:t>
            </w:r>
          </w:p>
        </w:tc>
        <w:tc>
          <w:tcPr>
            <w:tcW w:w="853"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11B2FF33" w14:textId="77777777" w:rsidR="00812764" w:rsidRPr="0045311B" w:rsidRDefault="00812764" w:rsidP="000E2796">
            <w:pPr>
              <w:pStyle w:val="TableText"/>
              <w:tabs>
                <w:tab w:val="decimal" w:pos="425"/>
              </w:tabs>
              <w:rPr>
                <w:lang w:eastAsia="en-NZ"/>
              </w:rPr>
            </w:pPr>
            <w:r w:rsidRPr="0045311B">
              <w:rPr>
                <w:lang w:eastAsia="en-NZ"/>
              </w:rPr>
              <w:t>127.4</w:t>
            </w:r>
          </w:p>
        </w:tc>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14:paraId="1AF508DE" w14:textId="77777777" w:rsidR="00812764" w:rsidRPr="0045311B" w:rsidRDefault="00812764" w:rsidP="000E2796">
            <w:pPr>
              <w:pStyle w:val="TableText"/>
              <w:jc w:val="center"/>
              <w:rPr>
                <w:lang w:eastAsia="en-NZ"/>
              </w:rPr>
            </w:pPr>
            <w:r w:rsidRPr="0045311B">
              <w:rPr>
                <w:lang w:eastAsia="en-NZ"/>
              </w:rPr>
              <w:t>33</w:t>
            </w:r>
          </w:p>
        </w:tc>
        <w:tc>
          <w:tcPr>
            <w:tcW w:w="853"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4561EF1C" w14:textId="77777777" w:rsidR="00812764" w:rsidRPr="0045311B" w:rsidRDefault="00812764" w:rsidP="000E2796">
            <w:pPr>
              <w:pStyle w:val="TableText"/>
              <w:jc w:val="center"/>
              <w:rPr>
                <w:lang w:eastAsia="en-NZ"/>
              </w:rPr>
            </w:pPr>
            <w:r w:rsidRPr="0045311B">
              <w:rPr>
                <w:lang w:eastAsia="en-NZ"/>
              </w:rPr>
              <w:t>296.7</w:t>
            </w:r>
          </w:p>
        </w:tc>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14:paraId="591EE36E" w14:textId="77777777" w:rsidR="00812764" w:rsidRPr="0045311B" w:rsidRDefault="00812764" w:rsidP="000E2796">
            <w:pPr>
              <w:pStyle w:val="TableText"/>
              <w:tabs>
                <w:tab w:val="decimal" w:pos="425"/>
              </w:tabs>
              <w:rPr>
                <w:lang w:eastAsia="en-NZ"/>
              </w:rPr>
            </w:pPr>
            <w:r w:rsidRPr="0045311B">
              <w:rPr>
                <w:lang w:eastAsia="en-NZ"/>
              </w:rPr>
              <w:t>12</w:t>
            </w:r>
          </w:p>
        </w:tc>
        <w:tc>
          <w:tcPr>
            <w:tcW w:w="853"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1107E022" w14:textId="77777777" w:rsidR="00812764" w:rsidRPr="0045311B" w:rsidRDefault="00812764" w:rsidP="000E2796">
            <w:pPr>
              <w:pStyle w:val="TableText"/>
              <w:jc w:val="center"/>
              <w:rPr>
                <w:lang w:eastAsia="en-NZ"/>
              </w:rPr>
            </w:pPr>
            <w:r w:rsidRPr="0045311B">
              <w:rPr>
                <w:lang w:eastAsia="en-NZ"/>
              </w:rPr>
              <w:t>3.7</w:t>
            </w:r>
          </w:p>
        </w:tc>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14:paraId="762E44C7" w14:textId="77777777" w:rsidR="00812764" w:rsidRPr="0045311B" w:rsidRDefault="00812764" w:rsidP="000E2796">
            <w:pPr>
              <w:pStyle w:val="TableText"/>
              <w:jc w:val="center"/>
              <w:rPr>
                <w:lang w:eastAsia="en-NZ"/>
              </w:rPr>
            </w:pPr>
            <w:r w:rsidRPr="0045311B">
              <w:rPr>
                <w:lang w:eastAsia="en-NZ"/>
              </w:rPr>
              <w:t>60</w:t>
            </w:r>
          </w:p>
        </w:tc>
        <w:tc>
          <w:tcPr>
            <w:tcW w:w="853" w:type="dxa"/>
            <w:tcBorders>
              <w:top w:val="single" w:sz="4" w:space="0" w:color="A6A6A6" w:themeColor="background1" w:themeShade="A6"/>
              <w:bottom w:val="single" w:sz="4" w:space="0" w:color="A6A6A6" w:themeColor="background1" w:themeShade="A6"/>
            </w:tcBorders>
            <w:shd w:val="clear" w:color="auto" w:fill="auto"/>
            <w:noWrap/>
            <w:vAlign w:val="bottom"/>
            <w:hideMark/>
          </w:tcPr>
          <w:p w14:paraId="68116A9F" w14:textId="77777777" w:rsidR="00812764" w:rsidRPr="0045311B" w:rsidRDefault="00812764" w:rsidP="000E2796">
            <w:pPr>
              <w:pStyle w:val="TableText"/>
              <w:jc w:val="center"/>
              <w:rPr>
                <w:lang w:eastAsia="en-NZ"/>
              </w:rPr>
            </w:pPr>
            <w:r w:rsidRPr="0045311B">
              <w:rPr>
                <w:lang w:eastAsia="en-NZ"/>
              </w:rPr>
              <w:t>20.3</w:t>
            </w:r>
          </w:p>
        </w:tc>
      </w:tr>
      <w:tr w:rsidR="00812764" w:rsidRPr="0045311B" w14:paraId="1F661527" w14:textId="77777777" w:rsidTr="000E2796">
        <w:trPr>
          <w:cantSplit/>
        </w:trPr>
        <w:tc>
          <w:tcPr>
            <w:tcW w:w="126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hideMark/>
          </w:tcPr>
          <w:p w14:paraId="1154EA23" w14:textId="77777777" w:rsidR="00812764" w:rsidRPr="0045311B" w:rsidRDefault="00812764" w:rsidP="000E2796">
            <w:pPr>
              <w:pStyle w:val="TableText"/>
              <w:rPr>
                <w:lang w:eastAsia="en-NZ"/>
              </w:rPr>
            </w:pPr>
            <w:r w:rsidRPr="00E143E3">
              <w:rPr>
                <w:lang w:eastAsia="en-NZ"/>
              </w:rPr>
              <w:t>55</w:t>
            </w:r>
            <w:r w:rsidR="000E2796">
              <w:rPr>
                <w:lang w:eastAsia="en-NZ"/>
              </w:rPr>
              <w:t>–</w:t>
            </w:r>
            <w:r w:rsidRPr="00E143E3">
              <w:rPr>
                <w:lang w:eastAsia="en-NZ"/>
              </w:rPr>
              <w:t>64</w:t>
            </w:r>
          </w:p>
        </w:tc>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14:paraId="01A6F2B2" w14:textId="77777777" w:rsidR="00812764" w:rsidRPr="0045311B" w:rsidRDefault="00812764" w:rsidP="000E2796">
            <w:pPr>
              <w:pStyle w:val="TableText"/>
              <w:jc w:val="center"/>
              <w:rPr>
                <w:lang w:eastAsia="en-NZ"/>
              </w:rPr>
            </w:pPr>
            <w:r w:rsidRPr="0045311B">
              <w:rPr>
                <w:lang w:eastAsia="en-NZ"/>
              </w:rPr>
              <w:t>13</w:t>
            </w:r>
          </w:p>
        </w:tc>
        <w:tc>
          <w:tcPr>
            <w:tcW w:w="853"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CB9500E" w14:textId="77777777" w:rsidR="00812764" w:rsidRPr="0045311B" w:rsidRDefault="00812764" w:rsidP="000E2796">
            <w:pPr>
              <w:pStyle w:val="TableText"/>
              <w:tabs>
                <w:tab w:val="decimal" w:pos="425"/>
              </w:tabs>
              <w:rPr>
                <w:lang w:eastAsia="en-NZ"/>
              </w:rPr>
            </w:pPr>
            <w:r w:rsidRPr="0045311B">
              <w:rPr>
                <w:lang w:eastAsia="en-NZ"/>
              </w:rPr>
              <w:t>203.2</w:t>
            </w:r>
          </w:p>
        </w:tc>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14:paraId="6C412E88" w14:textId="77777777" w:rsidR="00812764" w:rsidRPr="0045311B" w:rsidRDefault="00812764" w:rsidP="000E2796">
            <w:pPr>
              <w:pStyle w:val="TableText"/>
              <w:jc w:val="center"/>
              <w:rPr>
                <w:lang w:eastAsia="en-NZ"/>
              </w:rPr>
            </w:pPr>
            <w:r w:rsidRPr="0045311B">
              <w:rPr>
                <w:lang w:eastAsia="en-NZ"/>
              </w:rPr>
              <w:t>16</w:t>
            </w:r>
          </w:p>
        </w:tc>
        <w:tc>
          <w:tcPr>
            <w:tcW w:w="853"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1BA3101E" w14:textId="77777777" w:rsidR="00812764" w:rsidRPr="0045311B" w:rsidRDefault="00812764" w:rsidP="000E2796">
            <w:pPr>
              <w:pStyle w:val="TableText"/>
              <w:jc w:val="center"/>
              <w:rPr>
                <w:lang w:eastAsia="en-NZ"/>
              </w:rPr>
            </w:pPr>
            <w:r w:rsidRPr="0045311B">
              <w:rPr>
                <w:lang w:eastAsia="en-NZ"/>
              </w:rPr>
              <w:t>238.7</w:t>
            </w:r>
          </w:p>
        </w:tc>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14:paraId="59AE1A5A" w14:textId="77777777" w:rsidR="00812764" w:rsidRPr="0045311B" w:rsidRDefault="00812764" w:rsidP="000E2796">
            <w:pPr>
              <w:pStyle w:val="TableText"/>
              <w:tabs>
                <w:tab w:val="decimal" w:pos="425"/>
              </w:tabs>
              <w:rPr>
                <w:lang w:eastAsia="en-NZ"/>
              </w:rPr>
            </w:pPr>
            <w:r w:rsidRPr="0045311B">
              <w:rPr>
                <w:lang w:eastAsia="en-NZ"/>
              </w:rPr>
              <w:t>8</w:t>
            </w:r>
          </w:p>
        </w:tc>
        <w:tc>
          <w:tcPr>
            <w:tcW w:w="853"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0735C52B" w14:textId="77777777" w:rsidR="00812764" w:rsidRPr="0045311B" w:rsidRDefault="00812764" w:rsidP="000E2796">
            <w:pPr>
              <w:pStyle w:val="TableText"/>
              <w:jc w:val="center"/>
              <w:rPr>
                <w:lang w:eastAsia="en-NZ"/>
              </w:rPr>
            </w:pPr>
            <w:r w:rsidRPr="0045311B">
              <w:rPr>
                <w:lang w:eastAsia="en-NZ"/>
              </w:rPr>
              <w:t>2.8</w:t>
            </w:r>
          </w:p>
        </w:tc>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14:paraId="34D9A743" w14:textId="77777777" w:rsidR="00812764" w:rsidRPr="0045311B" w:rsidRDefault="00812764" w:rsidP="000E2796">
            <w:pPr>
              <w:pStyle w:val="TableText"/>
              <w:jc w:val="center"/>
              <w:rPr>
                <w:lang w:eastAsia="en-NZ"/>
              </w:rPr>
            </w:pPr>
            <w:r w:rsidRPr="0045311B">
              <w:rPr>
                <w:lang w:eastAsia="en-NZ"/>
              </w:rPr>
              <w:t>40</w:t>
            </w:r>
          </w:p>
        </w:tc>
        <w:tc>
          <w:tcPr>
            <w:tcW w:w="853" w:type="dxa"/>
            <w:tcBorders>
              <w:top w:val="single" w:sz="4" w:space="0" w:color="A6A6A6" w:themeColor="background1" w:themeShade="A6"/>
              <w:bottom w:val="single" w:sz="4" w:space="0" w:color="A6A6A6" w:themeColor="background1" w:themeShade="A6"/>
            </w:tcBorders>
            <w:shd w:val="clear" w:color="auto" w:fill="auto"/>
            <w:noWrap/>
            <w:vAlign w:val="bottom"/>
            <w:hideMark/>
          </w:tcPr>
          <w:p w14:paraId="1CF2885D" w14:textId="77777777" w:rsidR="00812764" w:rsidRPr="0045311B" w:rsidRDefault="00812764" w:rsidP="000E2796">
            <w:pPr>
              <w:pStyle w:val="TableText"/>
              <w:jc w:val="center"/>
              <w:rPr>
                <w:lang w:eastAsia="en-NZ"/>
              </w:rPr>
            </w:pPr>
            <w:r w:rsidRPr="0045311B">
              <w:rPr>
                <w:lang w:eastAsia="en-NZ"/>
              </w:rPr>
              <w:t>14.9</w:t>
            </w:r>
          </w:p>
        </w:tc>
      </w:tr>
    </w:tbl>
    <w:p w14:paraId="2A4649F1" w14:textId="77777777" w:rsidR="00812764" w:rsidRPr="00BC6548" w:rsidRDefault="00812764" w:rsidP="000E2796">
      <w:pPr>
        <w:pStyle w:val="Note"/>
      </w:pPr>
      <w:r w:rsidRPr="00BC6548">
        <w:t>Notes: ASR = Age-s</w:t>
      </w:r>
      <w:r>
        <w:t>pecific</w:t>
      </w:r>
      <w:r w:rsidRPr="00BC6548">
        <w:t xml:space="preserve"> rate. Includes deaths of undetermined intent.</w:t>
      </w:r>
      <w:r w:rsidR="000E2796">
        <w:t xml:space="preserve"> </w:t>
      </w:r>
      <w:r>
        <w:t>The 10–14-year-old age group was excluded from this analysis because of the small numbers.</w:t>
      </w:r>
    </w:p>
    <w:p w14:paraId="658F750B" w14:textId="77777777" w:rsidR="00812764" w:rsidRPr="00BC6548" w:rsidRDefault="00812764" w:rsidP="000E2796">
      <w:pPr>
        <w:pStyle w:val="Source"/>
      </w:pPr>
      <w:r w:rsidRPr="00FE5CC6">
        <w:t>Source: Ministry of Health mortality database data, extracted on 19 April 2021.</w:t>
      </w:r>
    </w:p>
    <w:p w14:paraId="4B8A26AC" w14:textId="77777777" w:rsidR="00812764" w:rsidRDefault="00812764" w:rsidP="000E2796"/>
    <w:p w14:paraId="0DFA821C" w14:textId="6BD51201" w:rsidR="00812764" w:rsidRDefault="00376E90" w:rsidP="00376E90">
      <w:pPr>
        <w:pStyle w:val="Figure"/>
      </w:pPr>
      <w:bookmarkStart w:id="22" w:name="_Ref88807402"/>
      <w:bookmarkStart w:id="23" w:name="_Toc86766063"/>
      <w:bookmarkStart w:id="24" w:name="_Toc88807956"/>
      <w:r>
        <w:lastRenderedPageBreak/>
        <w:t>Figure </w:t>
      </w:r>
      <w:fldSimple w:instr=" SEQ Figure \* ARABIC ">
        <w:r w:rsidR="000261BB">
          <w:rPr>
            <w:noProof/>
          </w:rPr>
          <w:t>2</w:t>
        </w:r>
      </w:fldSimple>
      <w:bookmarkEnd w:id="22"/>
      <w:r w:rsidR="00812764" w:rsidRPr="00A84F04">
        <w:t>: Age-</w:t>
      </w:r>
      <w:r w:rsidR="00812764">
        <w:t xml:space="preserve">specific rate </w:t>
      </w:r>
      <w:r w:rsidR="00812764" w:rsidRPr="00A84F04">
        <w:t>of suicide, by age-group, sex and service use, people aged 1</w:t>
      </w:r>
      <w:r w:rsidR="00812764">
        <w:t>5</w:t>
      </w:r>
      <w:r w:rsidR="00812764" w:rsidRPr="00A84F04">
        <w:t>–64 years, 201</w:t>
      </w:r>
      <w:r w:rsidR="00812764">
        <w:t>7</w:t>
      </w:r>
      <w:bookmarkEnd w:id="23"/>
      <w:bookmarkEnd w:id="24"/>
    </w:p>
    <w:p w14:paraId="5E5E15AE" w14:textId="77777777" w:rsidR="00812764" w:rsidRDefault="00812764" w:rsidP="00812764">
      <w:r>
        <w:rPr>
          <w:noProof/>
          <w:lang w:eastAsia="en-NZ"/>
        </w:rPr>
        <w:drawing>
          <wp:inline distT="0" distB="0" distL="0" distR="0" wp14:anchorId="4EA4E44C" wp14:editId="2B845371">
            <wp:extent cx="4724400" cy="2876550"/>
            <wp:effectExtent l="0" t="0" r="0" b="0"/>
            <wp:docPr id="9" name="Chart 9" descr="This bar chart shows the age-specific rate of suicide by age group, sex and service group for people aged 15-64 years with male service users higher in each age group than female service users.">
              <a:extLst xmlns:a="http://schemas.openxmlformats.org/drawingml/2006/main">
                <a:ext uri="{FF2B5EF4-FFF2-40B4-BE49-F238E27FC236}">
                  <a16:creationId xmlns:a16="http://schemas.microsoft.com/office/drawing/2014/main" id="{0FB6CAE7-F4F7-4248-A968-D7D38A20DC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A72A62D" w14:textId="77777777" w:rsidR="00812764" w:rsidRDefault="00812764" w:rsidP="00812764">
      <w:pPr>
        <w:pStyle w:val="Source"/>
      </w:pPr>
      <w:r w:rsidRPr="00FE5CC6">
        <w:t>Source: Ministry of Health mortality database data, extracted on 19 April 2021.</w:t>
      </w:r>
    </w:p>
    <w:p w14:paraId="7B5DF0C0" w14:textId="77777777" w:rsidR="00812764" w:rsidRDefault="00812764" w:rsidP="00812764"/>
    <w:p w14:paraId="5DE9DEDF" w14:textId="77777777" w:rsidR="00812764" w:rsidRPr="00A84F04" w:rsidRDefault="00812764" w:rsidP="00A61E95">
      <w:pPr>
        <w:pStyle w:val="Heading2"/>
      </w:pPr>
      <w:bookmarkStart w:id="25" w:name="_Toc76372800"/>
      <w:bookmarkStart w:id="26" w:name="_Toc89166216"/>
      <w:r w:rsidRPr="00A84F04">
        <w:t>Ethnicity and suicide</w:t>
      </w:r>
      <w:bookmarkEnd w:id="25"/>
      <w:bookmarkEnd w:id="26"/>
    </w:p>
    <w:p w14:paraId="70180B38" w14:textId="31A9B9FA" w:rsidR="00812764" w:rsidRPr="008F1ADC" w:rsidRDefault="00812764" w:rsidP="00A61E95">
      <w:r w:rsidRPr="008F1ADC">
        <w:t xml:space="preserve">For 2017, </w:t>
      </w:r>
      <w:r w:rsidR="00A61E95">
        <w:fldChar w:fldCharType="begin"/>
      </w:r>
      <w:r w:rsidR="00A61E95">
        <w:instrText xml:space="preserve"> REF _Ref88807805 \h </w:instrText>
      </w:r>
      <w:r w:rsidR="00A61E95">
        <w:fldChar w:fldCharType="separate"/>
      </w:r>
      <w:r w:rsidR="000261BB">
        <w:t>Table </w:t>
      </w:r>
      <w:r w:rsidR="000261BB">
        <w:rPr>
          <w:noProof/>
        </w:rPr>
        <w:t>4</w:t>
      </w:r>
      <w:r w:rsidR="00A61E95">
        <w:fldChar w:fldCharType="end"/>
      </w:r>
      <w:r w:rsidRPr="008F1ADC">
        <w:t xml:space="preserve"> indicates among people using mental health services in 2017, the age-standardised rate of suicide was higher for Māori (105.6 per 100,000 service users) than for Pacific peoples (36.7 per 100,000 service users), but lower than the age-standardised rate of suicide for those in the ‘Other’ category (153.5 per 100,000 service users). The suicide rate for Māori non-service users was higher than for al</w:t>
      </w:r>
      <w:r w:rsidR="00A61E95">
        <w:t xml:space="preserve">l non-Māori non-service users. </w:t>
      </w:r>
      <w:r w:rsidR="004614CD">
        <w:t>(</w:t>
      </w:r>
      <w:r w:rsidRPr="008F1ADC">
        <w:t>Note: the suicide rate for Pacific peoples is highly variable over time.</w:t>
      </w:r>
      <w:r w:rsidR="004614CD">
        <w:t>)</w:t>
      </w:r>
    </w:p>
    <w:p w14:paraId="657346FF" w14:textId="77777777" w:rsidR="00812764" w:rsidRPr="00A84F04" w:rsidRDefault="00812764" w:rsidP="00A61E95"/>
    <w:p w14:paraId="127794F5" w14:textId="297D6BBC" w:rsidR="00812764" w:rsidRPr="00A84F04" w:rsidRDefault="00A61E95" w:rsidP="00A61E95">
      <w:pPr>
        <w:pStyle w:val="Table"/>
      </w:pPr>
      <w:bookmarkStart w:id="27" w:name="_Ref88807805"/>
      <w:bookmarkStart w:id="28" w:name="_Toc86766054"/>
      <w:bookmarkStart w:id="29" w:name="_Toc88807949"/>
      <w:r>
        <w:t>Table </w:t>
      </w:r>
      <w:fldSimple w:instr=" SEQ Table \* ARABIC ">
        <w:r w:rsidR="000261BB">
          <w:rPr>
            <w:noProof/>
          </w:rPr>
          <w:t>4</w:t>
        </w:r>
      </w:fldSimple>
      <w:bookmarkEnd w:id="27"/>
      <w:r w:rsidR="00812764" w:rsidRPr="00A84F04">
        <w:t>: Number and age-standardised rate of suicide and deaths of undetermined intent, by ethnicity and service use, people aged 10–64 years, 201</w:t>
      </w:r>
      <w:r w:rsidR="00812764">
        <w:t>7</w:t>
      </w:r>
      <w:bookmarkEnd w:id="28"/>
      <w:bookmarkEnd w:id="29"/>
    </w:p>
    <w:tbl>
      <w:tblPr>
        <w:tblW w:w="8085" w:type="dxa"/>
        <w:tblInd w:w="5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57" w:type="dxa"/>
          <w:right w:w="57" w:type="dxa"/>
        </w:tblCellMar>
        <w:tblLook w:val="01E0" w:firstRow="1" w:lastRow="1" w:firstColumn="1" w:lastColumn="1" w:noHBand="0" w:noVBand="0"/>
      </w:tblPr>
      <w:tblGrid>
        <w:gridCol w:w="1276"/>
        <w:gridCol w:w="1134"/>
        <w:gridCol w:w="1135"/>
        <w:gridCol w:w="1135"/>
        <w:gridCol w:w="1135"/>
        <w:gridCol w:w="1135"/>
        <w:gridCol w:w="1135"/>
      </w:tblGrid>
      <w:tr w:rsidR="00812764" w:rsidRPr="00A84F04" w14:paraId="7FA00BE1" w14:textId="77777777" w:rsidTr="00A61E95">
        <w:trPr>
          <w:cantSplit/>
        </w:trPr>
        <w:tc>
          <w:tcPr>
            <w:tcW w:w="1276" w:type="dxa"/>
            <w:vMerge w:val="restart"/>
            <w:tcBorders>
              <w:top w:val="nil"/>
              <w:left w:val="nil"/>
              <w:bottom w:val="nil"/>
              <w:right w:val="single" w:sz="4" w:space="0" w:color="A6A6A6" w:themeColor="background1" w:themeShade="A6"/>
            </w:tcBorders>
            <w:shd w:val="clear" w:color="auto" w:fill="D9D9D9" w:themeFill="background1" w:themeFillShade="D9"/>
            <w:hideMark/>
          </w:tcPr>
          <w:p w14:paraId="109A3933" w14:textId="77777777" w:rsidR="00812764" w:rsidRPr="0098718F" w:rsidRDefault="00812764" w:rsidP="00A61E95">
            <w:pPr>
              <w:pStyle w:val="TableText"/>
              <w:rPr>
                <w:b/>
                <w:bCs/>
              </w:rPr>
            </w:pPr>
            <w:r w:rsidRPr="0098718F">
              <w:rPr>
                <w:b/>
                <w:bCs/>
              </w:rPr>
              <w:t>Ethnicity</w:t>
            </w:r>
          </w:p>
        </w:tc>
        <w:tc>
          <w:tcPr>
            <w:tcW w:w="2269" w:type="dxa"/>
            <w:gridSpan w:val="2"/>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hideMark/>
          </w:tcPr>
          <w:p w14:paraId="079103DE" w14:textId="77777777" w:rsidR="00812764" w:rsidRPr="0098718F" w:rsidRDefault="00812764" w:rsidP="008D6835">
            <w:pPr>
              <w:pStyle w:val="TableText"/>
              <w:jc w:val="center"/>
              <w:rPr>
                <w:b/>
                <w:bCs/>
              </w:rPr>
            </w:pPr>
            <w:r w:rsidRPr="0098718F">
              <w:rPr>
                <w:b/>
                <w:bCs/>
              </w:rPr>
              <w:t>Service users</w:t>
            </w:r>
          </w:p>
        </w:tc>
        <w:tc>
          <w:tcPr>
            <w:tcW w:w="2270" w:type="dxa"/>
            <w:gridSpan w:val="2"/>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hideMark/>
          </w:tcPr>
          <w:p w14:paraId="614E00D0" w14:textId="77777777" w:rsidR="00812764" w:rsidRPr="0098718F" w:rsidRDefault="00812764" w:rsidP="008D6835">
            <w:pPr>
              <w:pStyle w:val="TableText"/>
              <w:jc w:val="center"/>
              <w:rPr>
                <w:b/>
                <w:bCs/>
              </w:rPr>
            </w:pPr>
            <w:r w:rsidRPr="0098718F">
              <w:rPr>
                <w:b/>
                <w:bCs/>
              </w:rPr>
              <w:t>Non-service users</w:t>
            </w:r>
          </w:p>
        </w:tc>
        <w:tc>
          <w:tcPr>
            <w:tcW w:w="2270" w:type="dxa"/>
            <w:gridSpan w:val="2"/>
            <w:tcBorders>
              <w:top w:val="nil"/>
              <w:left w:val="single" w:sz="4" w:space="0" w:color="A6A6A6" w:themeColor="background1" w:themeShade="A6"/>
              <w:bottom w:val="nil"/>
              <w:right w:val="nil"/>
            </w:tcBorders>
            <w:shd w:val="clear" w:color="auto" w:fill="D9D9D9" w:themeFill="background1" w:themeFillShade="D9"/>
            <w:hideMark/>
          </w:tcPr>
          <w:p w14:paraId="08820900" w14:textId="77777777" w:rsidR="00812764" w:rsidRPr="0098718F" w:rsidRDefault="00812764" w:rsidP="008D6835">
            <w:pPr>
              <w:pStyle w:val="TableText"/>
              <w:jc w:val="center"/>
              <w:rPr>
                <w:b/>
                <w:bCs/>
              </w:rPr>
            </w:pPr>
            <w:r w:rsidRPr="0098718F">
              <w:rPr>
                <w:b/>
                <w:bCs/>
              </w:rPr>
              <w:t>Total</w:t>
            </w:r>
          </w:p>
        </w:tc>
      </w:tr>
      <w:tr w:rsidR="00812764" w:rsidRPr="00A84F04" w14:paraId="74C836F1" w14:textId="77777777" w:rsidTr="00A61E95">
        <w:trPr>
          <w:cantSplit/>
        </w:trPr>
        <w:tc>
          <w:tcPr>
            <w:tcW w:w="1276" w:type="dxa"/>
            <w:vMerge/>
            <w:tcBorders>
              <w:top w:val="nil"/>
              <w:left w:val="nil"/>
              <w:bottom w:val="nil"/>
              <w:right w:val="single" w:sz="4" w:space="0" w:color="A6A6A6" w:themeColor="background1" w:themeShade="A6"/>
            </w:tcBorders>
            <w:vAlign w:val="center"/>
            <w:hideMark/>
          </w:tcPr>
          <w:p w14:paraId="39F4B07F" w14:textId="77777777" w:rsidR="00812764" w:rsidRPr="0098718F" w:rsidRDefault="00812764" w:rsidP="00A61E95">
            <w:pPr>
              <w:rPr>
                <w:b/>
                <w:bCs/>
              </w:rPr>
            </w:pPr>
          </w:p>
        </w:tc>
        <w:tc>
          <w:tcPr>
            <w:tcW w:w="1134" w:type="dxa"/>
            <w:tcBorders>
              <w:top w:val="nil"/>
              <w:left w:val="single" w:sz="4" w:space="0" w:color="A6A6A6" w:themeColor="background1" w:themeShade="A6"/>
              <w:bottom w:val="nil"/>
              <w:right w:val="nil"/>
            </w:tcBorders>
            <w:shd w:val="clear" w:color="auto" w:fill="D9D9D9" w:themeFill="background1" w:themeFillShade="D9"/>
            <w:hideMark/>
          </w:tcPr>
          <w:p w14:paraId="7B23D86B" w14:textId="77777777" w:rsidR="00812764" w:rsidRPr="0098718F" w:rsidRDefault="00812764" w:rsidP="00A61E95">
            <w:pPr>
              <w:pStyle w:val="TableText"/>
              <w:spacing w:before="0"/>
              <w:jc w:val="center"/>
              <w:rPr>
                <w:b/>
                <w:bCs/>
              </w:rPr>
            </w:pPr>
            <w:r w:rsidRPr="0098718F">
              <w:rPr>
                <w:b/>
                <w:bCs/>
              </w:rPr>
              <w:t>Number of deaths</w:t>
            </w:r>
          </w:p>
        </w:tc>
        <w:tc>
          <w:tcPr>
            <w:tcW w:w="1135" w:type="dxa"/>
            <w:tcBorders>
              <w:top w:val="nil"/>
              <w:left w:val="nil"/>
              <w:bottom w:val="nil"/>
              <w:right w:val="single" w:sz="4" w:space="0" w:color="A6A6A6" w:themeColor="background1" w:themeShade="A6"/>
            </w:tcBorders>
            <w:shd w:val="clear" w:color="auto" w:fill="D9D9D9" w:themeFill="background1" w:themeFillShade="D9"/>
            <w:hideMark/>
          </w:tcPr>
          <w:p w14:paraId="29326A5F" w14:textId="77777777" w:rsidR="00812764" w:rsidRPr="0098718F" w:rsidRDefault="00812764" w:rsidP="00A61E95">
            <w:pPr>
              <w:pStyle w:val="TableText"/>
              <w:spacing w:before="0"/>
              <w:jc w:val="center"/>
              <w:rPr>
                <w:b/>
                <w:bCs/>
              </w:rPr>
            </w:pPr>
            <w:r w:rsidRPr="0098718F">
              <w:rPr>
                <w:b/>
                <w:bCs/>
              </w:rPr>
              <w:t>ASR</w:t>
            </w:r>
          </w:p>
        </w:tc>
        <w:tc>
          <w:tcPr>
            <w:tcW w:w="1135" w:type="dxa"/>
            <w:tcBorders>
              <w:top w:val="nil"/>
              <w:left w:val="single" w:sz="4" w:space="0" w:color="A6A6A6" w:themeColor="background1" w:themeShade="A6"/>
              <w:bottom w:val="nil"/>
              <w:right w:val="nil"/>
            </w:tcBorders>
            <w:shd w:val="clear" w:color="auto" w:fill="D9D9D9" w:themeFill="background1" w:themeFillShade="D9"/>
            <w:hideMark/>
          </w:tcPr>
          <w:p w14:paraId="0E278EC3" w14:textId="77777777" w:rsidR="00812764" w:rsidRPr="0098718F" w:rsidRDefault="00812764" w:rsidP="00A61E95">
            <w:pPr>
              <w:pStyle w:val="TableText"/>
              <w:spacing w:before="0"/>
              <w:jc w:val="center"/>
              <w:rPr>
                <w:b/>
                <w:bCs/>
              </w:rPr>
            </w:pPr>
            <w:r w:rsidRPr="0098718F">
              <w:rPr>
                <w:b/>
                <w:bCs/>
              </w:rPr>
              <w:t>Number of deaths</w:t>
            </w:r>
          </w:p>
        </w:tc>
        <w:tc>
          <w:tcPr>
            <w:tcW w:w="1135" w:type="dxa"/>
            <w:tcBorders>
              <w:top w:val="nil"/>
              <w:left w:val="nil"/>
              <w:bottom w:val="nil"/>
              <w:right w:val="single" w:sz="4" w:space="0" w:color="A6A6A6" w:themeColor="background1" w:themeShade="A6"/>
            </w:tcBorders>
            <w:shd w:val="clear" w:color="auto" w:fill="D9D9D9" w:themeFill="background1" w:themeFillShade="D9"/>
            <w:hideMark/>
          </w:tcPr>
          <w:p w14:paraId="1E9C96EC" w14:textId="77777777" w:rsidR="00812764" w:rsidRPr="0098718F" w:rsidRDefault="00812764" w:rsidP="00A61E95">
            <w:pPr>
              <w:pStyle w:val="TableText"/>
              <w:spacing w:before="0"/>
              <w:jc w:val="center"/>
              <w:rPr>
                <w:b/>
                <w:bCs/>
              </w:rPr>
            </w:pPr>
            <w:r w:rsidRPr="0098718F">
              <w:rPr>
                <w:b/>
                <w:bCs/>
              </w:rPr>
              <w:t>ASR</w:t>
            </w:r>
          </w:p>
        </w:tc>
        <w:tc>
          <w:tcPr>
            <w:tcW w:w="1135" w:type="dxa"/>
            <w:tcBorders>
              <w:top w:val="nil"/>
              <w:left w:val="single" w:sz="4" w:space="0" w:color="A6A6A6" w:themeColor="background1" w:themeShade="A6"/>
              <w:bottom w:val="nil"/>
              <w:right w:val="nil"/>
            </w:tcBorders>
            <w:shd w:val="clear" w:color="auto" w:fill="D9D9D9" w:themeFill="background1" w:themeFillShade="D9"/>
            <w:hideMark/>
          </w:tcPr>
          <w:p w14:paraId="7856AB88" w14:textId="77777777" w:rsidR="00812764" w:rsidRPr="0098718F" w:rsidRDefault="00812764" w:rsidP="00A61E95">
            <w:pPr>
              <w:pStyle w:val="TableText"/>
              <w:spacing w:before="0"/>
              <w:jc w:val="center"/>
              <w:rPr>
                <w:b/>
                <w:bCs/>
              </w:rPr>
            </w:pPr>
            <w:r w:rsidRPr="0098718F">
              <w:rPr>
                <w:b/>
                <w:bCs/>
              </w:rPr>
              <w:t>Number of deaths</w:t>
            </w:r>
          </w:p>
        </w:tc>
        <w:tc>
          <w:tcPr>
            <w:tcW w:w="1135" w:type="dxa"/>
            <w:tcBorders>
              <w:top w:val="nil"/>
              <w:left w:val="nil"/>
              <w:bottom w:val="nil"/>
              <w:right w:val="nil"/>
            </w:tcBorders>
            <w:shd w:val="clear" w:color="auto" w:fill="D9D9D9" w:themeFill="background1" w:themeFillShade="D9"/>
            <w:hideMark/>
          </w:tcPr>
          <w:p w14:paraId="2FFF6B68" w14:textId="77777777" w:rsidR="00812764" w:rsidRPr="0098718F" w:rsidRDefault="00812764" w:rsidP="00A61E95">
            <w:pPr>
              <w:pStyle w:val="TableText"/>
              <w:spacing w:before="0"/>
              <w:jc w:val="center"/>
              <w:rPr>
                <w:b/>
                <w:bCs/>
              </w:rPr>
            </w:pPr>
            <w:r w:rsidRPr="0098718F">
              <w:rPr>
                <w:b/>
                <w:bCs/>
              </w:rPr>
              <w:t>ASR</w:t>
            </w:r>
          </w:p>
        </w:tc>
      </w:tr>
      <w:tr w:rsidR="00812764" w:rsidRPr="00A84F04" w14:paraId="5C1F36C4" w14:textId="77777777" w:rsidTr="00A61E95">
        <w:trPr>
          <w:cantSplit/>
        </w:trPr>
        <w:tc>
          <w:tcPr>
            <w:tcW w:w="1276" w:type="dxa"/>
            <w:tcBorders>
              <w:top w:val="nil"/>
              <w:left w:val="nil"/>
              <w:bottom w:val="single" w:sz="4" w:space="0" w:color="A6A6A6" w:themeColor="background1" w:themeShade="A6"/>
              <w:right w:val="single" w:sz="4" w:space="0" w:color="A6A6A6" w:themeColor="background1" w:themeShade="A6"/>
            </w:tcBorders>
            <w:hideMark/>
          </w:tcPr>
          <w:p w14:paraId="3FF0A44D" w14:textId="77777777" w:rsidR="00812764" w:rsidRPr="00A84F04" w:rsidRDefault="00812764" w:rsidP="00A61E95">
            <w:pPr>
              <w:pStyle w:val="TableText"/>
            </w:pPr>
            <w:r w:rsidRPr="00A84F04">
              <w:t>Māori</w:t>
            </w:r>
          </w:p>
        </w:tc>
        <w:tc>
          <w:tcPr>
            <w:tcW w:w="1134" w:type="dxa"/>
            <w:tcBorders>
              <w:top w:val="nil"/>
              <w:left w:val="single" w:sz="4" w:space="0" w:color="A6A6A6" w:themeColor="background1" w:themeShade="A6"/>
              <w:bottom w:val="single" w:sz="4" w:space="0" w:color="A6A6A6" w:themeColor="background1" w:themeShade="A6"/>
              <w:right w:val="nil"/>
            </w:tcBorders>
            <w:hideMark/>
          </w:tcPr>
          <w:p w14:paraId="0DDBF56B" w14:textId="77777777" w:rsidR="00812764" w:rsidRPr="00A84F04" w:rsidRDefault="00812764" w:rsidP="00A61E95">
            <w:pPr>
              <w:pStyle w:val="TableText"/>
              <w:tabs>
                <w:tab w:val="decimal" w:pos="652"/>
              </w:tabs>
            </w:pPr>
            <w:r>
              <w:t>57</w:t>
            </w:r>
          </w:p>
        </w:tc>
        <w:tc>
          <w:tcPr>
            <w:tcW w:w="1135" w:type="dxa"/>
            <w:tcBorders>
              <w:top w:val="nil"/>
              <w:left w:val="nil"/>
              <w:bottom w:val="single" w:sz="4" w:space="0" w:color="A6A6A6" w:themeColor="background1" w:themeShade="A6"/>
              <w:right w:val="single" w:sz="4" w:space="0" w:color="A6A6A6" w:themeColor="background1" w:themeShade="A6"/>
            </w:tcBorders>
            <w:hideMark/>
          </w:tcPr>
          <w:p w14:paraId="4A62BC5F" w14:textId="77777777" w:rsidR="00812764" w:rsidRPr="00A84F04" w:rsidRDefault="00812764" w:rsidP="00A61E95">
            <w:pPr>
              <w:pStyle w:val="TableText"/>
              <w:tabs>
                <w:tab w:val="decimal" w:pos="567"/>
              </w:tabs>
            </w:pPr>
            <w:r>
              <w:t>105.6</w:t>
            </w:r>
          </w:p>
        </w:tc>
        <w:tc>
          <w:tcPr>
            <w:tcW w:w="1135" w:type="dxa"/>
            <w:tcBorders>
              <w:top w:val="nil"/>
              <w:left w:val="single" w:sz="4" w:space="0" w:color="A6A6A6" w:themeColor="background1" w:themeShade="A6"/>
              <w:bottom w:val="single" w:sz="4" w:space="0" w:color="A6A6A6" w:themeColor="background1" w:themeShade="A6"/>
              <w:right w:val="nil"/>
            </w:tcBorders>
            <w:hideMark/>
          </w:tcPr>
          <w:p w14:paraId="48E172AF" w14:textId="77777777" w:rsidR="00812764" w:rsidRPr="00A84F04" w:rsidRDefault="00812764" w:rsidP="00A61E95">
            <w:pPr>
              <w:pStyle w:val="TableText"/>
              <w:tabs>
                <w:tab w:val="decimal" w:pos="652"/>
              </w:tabs>
            </w:pPr>
            <w:r>
              <w:t>88</w:t>
            </w:r>
          </w:p>
        </w:tc>
        <w:tc>
          <w:tcPr>
            <w:tcW w:w="1135" w:type="dxa"/>
            <w:tcBorders>
              <w:top w:val="nil"/>
              <w:left w:val="nil"/>
              <w:bottom w:val="single" w:sz="4" w:space="0" w:color="A6A6A6" w:themeColor="background1" w:themeShade="A6"/>
              <w:right w:val="single" w:sz="4" w:space="0" w:color="A6A6A6" w:themeColor="background1" w:themeShade="A6"/>
            </w:tcBorders>
            <w:hideMark/>
          </w:tcPr>
          <w:p w14:paraId="0BF98C2D" w14:textId="77777777" w:rsidR="00812764" w:rsidRPr="00A84F04" w:rsidRDefault="00812764" w:rsidP="00A61E95">
            <w:pPr>
              <w:pStyle w:val="TableText"/>
              <w:tabs>
                <w:tab w:val="decimal" w:pos="567"/>
              </w:tabs>
            </w:pPr>
            <w:r>
              <w:t>15.2</w:t>
            </w:r>
          </w:p>
        </w:tc>
        <w:tc>
          <w:tcPr>
            <w:tcW w:w="1135" w:type="dxa"/>
            <w:tcBorders>
              <w:top w:val="nil"/>
              <w:left w:val="single" w:sz="4" w:space="0" w:color="A6A6A6" w:themeColor="background1" w:themeShade="A6"/>
              <w:bottom w:val="single" w:sz="4" w:space="0" w:color="A6A6A6" w:themeColor="background1" w:themeShade="A6"/>
              <w:right w:val="nil"/>
            </w:tcBorders>
            <w:hideMark/>
          </w:tcPr>
          <w:p w14:paraId="7F8363B3" w14:textId="77777777" w:rsidR="00812764" w:rsidRPr="00A84F04" w:rsidRDefault="00812764" w:rsidP="00A61E95">
            <w:pPr>
              <w:pStyle w:val="TableText"/>
              <w:tabs>
                <w:tab w:val="decimal" w:pos="652"/>
              </w:tabs>
            </w:pPr>
            <w:r>
              <w:t>145</w:t>
            </w:r>
          </w:p>
        </w:tc>
        <w:tc>
          <w:tcPr>
            <w:tcW w:w="1135" w:type="dxa"/>
            <w:tcBorders>
              <w:top w:val="nil"/>
              <w:left w:val="nil"/>
              <w:bottom w:val="single" w:sz="4" w:space="0" w:color="A6A6A6" w:themeColor="background1" w:themeShade="A6"/>
              <w:right w:val="nil"/>
            </w:tcBorders>
            <w:hideMark/>
          </w:tcPr>
          <w:p w14:paraId="6E94C38F" w14:textId="77777777" w:rsidR="00812764" w:rsidRPr="00A84F04" w:rsidRDefault="00812764" w:rsidP="00A61E95">
            <w:pPr>
              <w:pStyle w:val="TableText"/>
              <w:tabs>
                <w:tab w:val="decimal" w:pos="567"/>
              </w:tabs>
            </w:pPr>
            <w:r>
              <w:t>26.2</w:t>
            </w:r>
          </w:p>
        </w:tc>
      </w:tr>
      <w:tr w:rsidR="00812764" w:rsidRPr="00A84F04" w14:paraId="09007DB2" w14:textId="77777777" w:rsidTr="00A61E95">
        <w:trPr>
          <w:cantSplit/>
        </w:trPr>
        <w:tc>
          <w:tcPr>
            <w:tcW w:w="127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3484D3BF" w14:textId="77777777" w:rsidR="00812764" w:rsidRPr="00A84F04" w:rsidRDefault="00812764" w:rsidP="00A61E95">
            <w:pPr>
              <w:pStyle w:val="TableText"/>
            </w:pPr>
            <w:r w:rsidRPr="00A84F04">
              <w:t>Pacific</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66BC185B" w14:textId="77777777" w:rsidR="00812764" w:rsidRPr="00A84F04" w:rsidRDefault="00812764" w:rsidP="00A61E95">
            <w:pPr>
              <w:pStyle w:val="TableText"/>
              <w:tabs>
                <w:tab w:val="decimal" w:pos="652"/>
              </w:tabs>
            </w:pPr>
            <w:r>
              <w:t>5</w:t>
            </w:r>
          </w:p>
        </w:tc>
        <w:tc>
          <w:tcPr>
            <w:tcW w:w="113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58FF5052" w14:textId="77777777" w:rsidR="00812764" w:rsidRPr="00A84F04" w:rsidRDefault="00812764" w:rsidP="00A61E95">
            <w:pPr>
              <w:pStyle w:val="TableText"/>
              <w:tabs>
                <w:tab w:val="decimal" w:pos="567"/>
              </w:tabs>
            </w:pPr>
            <w:r>
              <w:t>36.7</w:t>
            </w:r>
          </w:p>
        </w:tc>
        <w:tc>
          <w:tcPr>
            <w:tcW w:w="113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55B93DE4" w14:textId="77777777" w:rsidR="00812764" w:rsidRPr="00A84F04" w:rsidRDefault="00812764" w:rsidP="00A61E95">
            <w:pPr>
              <w:pStyle w:val="TableText"/>
              <w:tabs>
                <w:tab w:val="decimal" w:pos="652"/>
              </w:tabs>
            </w:pPr>
            <w:r>
              <w:t>17</w:t>
            </w:r>
          </w:p>
        </w:tc>
        <w:tc>
          <w:tcPr>
            <w:tcW w:w="113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3E884771" w14:textId="77777777" w:rsidR="00812764" w:rsidRPr="00A84F04" w:rsidRDefault="00812764" w:rsidP="00A61E95">
            <w:pPr>
              <w:pStyle w:val="TableText"/>
              <w:tabs>
                <w:tab w:val="decimal" w:pos="567"/>
              </w:tabs>
            </w:pPr>
            <w:r>
              <w:t>6.4</w:t>
            </w:r>
          </w:p>
        </w:tc>
        <w:tc>
          <w:tcPr>
            <w:tcW w:w="113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0D299E4F" w14:textId="77777777" w:rsidR="00812764" w:rsidRPr="00A84F04" w:rsidRDefault="00812764" w:rsidP="00A61E95">
            <w:pPr>
              <w:pStyle w:val="TableText"/>
              <w:tabs>
                <w:tab w:val="decimal" w:pos="652"/>
              </w:tabs>
            </w:pPr>
            <w:r>
              <w:t>22</w:t>
            </w:r>
          </w:p>
        </w:tc>
        <w:tc>
          <w:tcPr>
            <w:tcW w:w="1135" w:type="dxa"/>
            <w:tcBorders>
              <w:top w:val="single" w:sz="4" w:space="0" w:color="A6A6A6" w:themeColor="background1" w:themeShade="A6"/>
              <w:left w:val="nil"/>
              <w:bottom w:val="single" w:sz="4" w:space="0" w:color="A6A6A6" w:themeColor="background1" w:themeShade="A6"/>
              <w:right w:val="nil"/>
            </w:tcBorders>
            <w:hideMark/>
          </w:tcPr>
          <w:p w14:paraId="10AAF187" w14:textId="77777777" w:rsidR="00812764" w:rsidRPr="00A84F04" w:rsidRDefault="00812764" w:rsidP="00A61E95">
            <w:pPr>
              <w:pStyle w:val="TableText"/>
              <w:tabs>
                <w:tab w:val="decimal" w:pos="567"/>
              </w:tabs>
            </w:pPr>
            <w:r>
              <w:t>9.0</w:t>
            </w:r>
          </w:p>
        </w:tc>
      </w:tr>
      <w:tr w:rsidR="00812764" w:rsidRPr="00A84F04" w14:paraId="57BC280A" w14:textId="77777777" w:rsidTr="00A61E95">
        <w:trPr>
          <w:cantSplit/>
        </w:trPr>
        <w:tc>
          <w:tcPr>
            <w:tcW w:w="127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72E2CB3C" w14:textId="77777777" w:rsidR="00812764" w:rsidRPr="00A84F04" w:rsidRDefault="00812764" w:rsidP="00A61E95">
            <w:pPr>
              <w:pStyle w:val="TableText"/>
            </w:pPr>
            <w:r w:rsidRPr="00A84F04">
              <w:t>Other</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019BB822" w14:textId="77777777" w:rsidR="00812764" w:rsidRPr="00A84F04" w:rsidRDefault="00812764" w:rsidP="00A61E95">
            <w:pPr>
              <w:pStyle w:val="TableText"/>
              <w:tabs>
                <w:tab w:val="decimal" w:pos="652"/>
              </w:tabs>
            </w:pPr>
            <w:r>
              <w:t>163</w:t>
            </w:r>
          </w:p>
        </w:tc>
        <w:tc>
          <w:tcPr>
            <w:tcW w:w="113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4DF3A33A" w14:textId="77777777" w:rsidR="00812764" w:rsidRPr="00A84F04" w:rsidRDefault="00812764" w:rsidP="00A61E95">
            <w:pPr>
              <w:pStyle w:val="TableText"/>
              <w:tabs>
                <w:tab w:val="decimal" w:pos="567"/>
              </w:tabs>
            </w:pPr>
            <w:r>
              <w:t>153.5</w:t>
            </w:r>
          </w:p>
        </w:tc>
        <w:tc>
          <w:tcPr>
            <w:tcW w:w="113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16C9CEBA" w14:textId="77777777" w:rsidR="00812764" w:rsidRPr="00A84F04" w:rsidRDefault="00812764" w:rsidP="00A61E95">
            <w:pPr>
              <w:pStyle w:val="TableText"/>
              <w:tabs>
                <w:tab w:val="decimal" w:pos="652"/>
              </w:tabs>
            </w:pPr>
            <w:r>
              <w:t>214</w:t>
            </w:r>
          </w:p>
        </w:tc>
        <w:tc>
          <w:tcPr>
            <w:tcW w:w="113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570C6EAA" w14:textId="77777777" w:rsidR="00812764" w:rsidRPr="00A84F04" w:rsidRDefault="00812764" w:rsidP="00A61E95">
            <w:pPr>
              <w:pStyle w:val="TableText"/>
              <w:tabs>
                <w:tab w:val="decimal" w:pos="567"/>
              </w:tabs>
            </w:pPr>
            <w:r>
              <w:t>6.2</w:t>
            </w:r>
          </w:p>
        </w:tc>
        <w:tc>
          <w:tcPr>
            <w:tcW w:w="113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12FE5956" w14:textId="77777777" w:rsidR="00812764" w:rsidRPr="00A84F04" w:rsidRDefault="00812764" w:rsidP="00A61E95">
            <w:pPr>
              <w:pStyle w:val="TableText"/>
              <w:tabs>
                <w:tab w:val="decimal" w:pos="652"/>
              </w:tabs>
            </w:pPr>
            <w:r>
              <w:t>377</w:t>
            </w:r>
          </w:p>
        </w:tc>
        <w:tc>
          <w:tcPr>
            <w:tcW w:w="1135" w:type="dxa"/>
            <w:tcBorders>
              <w:top w:val="single" w:sz="4" w:space="0" w:color="A6A6A6" w:themeColor="background1" w:themeShade="A6"/>
              <w:left w:val="nil"/>
              <w:bottom w:val="single" w:sz="4" w:space="0" w:color="A6A6A6" w:themeColor="background1" w:themeShade="A6"/>
              <w:right w:val="nil"/>
            </w:tcBorders>
            <w:hideMark/>
          </w:tcPr>
          <w:p w14:paraId="42B5E918" w14:textId="77777777" w:rsidR="00812764" w:rsidRPr="00A84F04" w:rsidRDefault="00812764" w:rsidP="00A61E95">
            <w:pPr>
              <w:pStyle w:val="TableText"/>
              <w:tabs>
                <w:tab w:val="decimal" w:pos="567"/>
              </w:tabs>
            </w:pPr>
            <w:r>
              <w:t>10.9</w:t>
            </w:r>
          </w:p>
        </w:tc>
      </w:tr>
      <w:tr w:rsidR="00812764" w:rsidRPr="00A84F04" w14:paraId="440F0915" w14:textId="77777777" w:rsidTr="00A61E95">
        <w:trPr>
          <w:cantSplit/>
        </w:trPr>
        <w:tc>
          <w:tcPr>
            <w:tcW w:w="127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6858FE2B" w14:textId="77777777" w:rsidR="00812764" w:rsidRPr="00283016" w:rsidRDefault="00812764" w:rsidP="00A61E95">
            <w:pPr>
              <w:pStyle w:val="TableText"/>
              <w:rPr>
                <w:b/>
                <w:bCs/>
              </w:rPr>
            </w:pPr>
            <w:r w:rsidRPr="00283016">
              <w:rPr>
                <w:b/>
                <w:bCs/>
              </w:rPr>
              <w:t>Total</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391B9F19" w14:textId="77777777" w:rsidR="00812764" w:rsidRPr="00283016" w:rsidRDefault="00812764" w:rsidP="00A61E95">
            <w:pPr>
              <w:pStyle w:val="TableText"/>
              <w:tabs>
                <w:tab w:val="decimal" w:pos="652"/>
              </w:tabs>
              <w:rPr>
                <w:b/>
                <w:bCs/>
              </w:rPr>
            </w:pPr>
            <w:r w:rsidRPr="00283016">
              <w:rPr>
                <w:b/>
                <w:bCs/>
              </w:rPr>
              <w:t>225</w:t>
            </w:r>
          </w:p>
        </w:tc>
        <w:tc>
          <w:tcPr>
            <w:tcW w:w="113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73B35600" w14:textId="77777777" w:rsidR="00812764" w:rsidRPr="00283016" w:rsidRDefault="00812764" w:rsidP="00A61E95">
            <w:pPr>
              <w:pStyle w:val="TableText"/>
              <w:tabs>
                <w:tab w:val="decimal" w:pos="567"/>
              </w:tabs>
              <w:rPr>
                <w:b/>
                <w:bCs/>
              </w:rPr>
            </w:pPr>
            <w:r w:rsidRPr="00283016">
              <w:rPr>
                <w:b/>
                <w:bCs/>
              </w:rPr>
              <w:t>136.1</w:t>
            </w:r>
          </w:p>
        </w:tc>
        <w:tc>
          <w:tcPr>
            <w:tcW w:w="113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41F728A0" w14:textId="77777777" w:rsidR="00812764" w:rsidRPr="00283016" w:rsidRDefault="00812764" w:rsidP="00A61E95">
            <w:pPr>
              <w:pStyle w:val="TableText"/>
              <w:tabs>
                <w:tab w:val="decimal" w:pos="652"/>
              </w:tabs>
              <w:rPr>
                <w:b/>
                <w:bCs/>
              </w:rPr>
            </w:pPr>
            <w:r w:rsidRPr="00283016">
              <w:rPr>
                <w:b/>
                <w:bCs/>
              </w:rPr>
              <w:t>319</w:t>
            </w:r>
          </w:p>
        </w:tc>
        <w:tc>
          <w:tcPr>
            <w:tcW w:w="113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hideMark/>
          </w:tcPr>
          <w:p w14:paraId="41DE47E2" w14:textId="77777777" w:rsidR="00812764" w:rsidRPr="00283016" w:rsidRDefault="00812764" w:rsidP="00A61E95">
            <w:pPr>
              <w:pStyle w:val="TableText"/>
              <w:tabs>
                <w:tab w:val="decimal" w:pos="567"/>
              </w:tabs>
              <w:rPr>
                <w:b/>
                <w:bCs/>
              </w:rPr>
            </w:pPr>
            <w:r w:rsidRPr="00283016">
              <w:rPr>
                <w:b/>
                <w:bCs/>
              </w:rPr>
              <w:t>7.7</w:t>
            </w:r>
          </w:p>
        </w:tc>
        <w:tc>
          <w:tcPr>
            <w:tcW w:w="113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hideMark/>
          </w:tcPr>
          <w:p w14:paraId="07788711" w14:textId="77777777" w:rsidR="00812764" w:rsidRPr="00283016" w:rsidRDefault="00812764" w:rsidP="00A61E95">
            <w:pPr>
              <w:pStyle w:val="TableText"/>
              <w:tabs>
                <w:tab w:val="decimal" w:pos="652"/>
              </w:tabs>
              <w:rPr>
                <w:b/>
                <w:bCs/>
              </w:rPr>
            </w:pPr>
            <w:r w:rsidRPr="00283016">
              <w:rPr>
                <w:b/>
                <w:bCs/>
              </w:rPr>
              <w:t>544</w:t>
            </w:r>
          </w:p>
        </w:tc>
        <w:tc>
          <w:tcPr>
            <w:tcW w:w="1135" w:type="dxa"/>
            <w:tcBorders>
              <w:top w:val="single" w:sz="4" w:space="0" w:color="A6A6A6" w:themeColor="background1" w:themeShade="A6"/>
              <w:left w:val="nil"/>
              <w:bottom w:val="single" w:sz="4" w:space="0" w:color="A6A6A6" w:themeColor="background1" w:themeShade="A6"/>
              <w:right w:val="nil"/>
            </w:tcBorders>
            <w:hideMark/>
          </w:tcPr>
          <w:p w14:paraId="35E2421C" w14:textId="77777777" w:rsidR="00812764" w:rsidRPr="00283016" w:rsidRDefault="00812764" w:rsidP="00A61E95">
            <w:pPr>
              <w:pStyle w:val="TableText"/>
              <w:tabs>
                <w:tab w:val="decimal" w:pos="567"/>
              </w:tabs>
              <w:rPr>
                <w:b/>
                <w:bCs/>
              </w:rPr>
            </w:pPr>
            <w:r w:rsidRPr="00283016">
              <w:rPr>
                <w:b/>
                <w:bCs/>
              </w:rPr>
              <w:t>12.6</w:t>
            </w:r>
          </w:p>
        </w:tc>
      </w:tr>
    </w:tbl>
    <w:p w14:paraId="0FDC4D76" w14:textId="77777777" w:rsidR="00812764" w:rsidRPr="00A84F04" w:rsidRDefault="00812764" w:rsidP="00A61E95">
      <w:pPr>
        <w:pStyle w:val="Note"/>
      </w:pPr>
      <w:r w:rsidRPr="00A84F04">
        <w:t>Note: ASR = Age-standardised rate.</w:t>
      </w:r>
    </w:p>
    <w:p w14:paraId="119471C0" w14:textId="77777777" w:rsidR="00812764" w:rsidRPr="00A84F04" w:rsidRDefault="00812764" w:rsidP="00A61E95">
      <w:pPr>
        <w:pStyle w:val="Source"/>
      </w:pPr>
      <w:r w:rsidRPr="00FE5CC6">
        <w:t>Source: Ministry of Health mortality database data, extracted on 19 April 2021.</w:t>
      </w:r>
    </w:p>
    <w:p w14:paraId="06DC89FA" w14:textId="77777777" w:rsidR="00812764" w:rsidRPr="00A84F04" w:rsidRDefault="00812764" w:rsidP="00A61E95"/>
    <w:p w14:paraId="55A5EA46" w14:textId="77777777" w:rsidR="00812764" w:rsidRPr="008F1ADC" w:rsidRDefault="00812764" w:rsidP="00A61E95">
      <w:pPr>
        <w:pStyle w:val="Heading2"/>
      </w:pPr>
      <w:bookmarkStart w:id="30" w:name="_Toc76372801"/>
      <w:bookmarkStart w:id="31" w:name="_Toc89166217"/>
      <w:r w:rsidRPr="008F1ADC">
        <w:lastRenderedPageBreak/>
        <w:t>Service users who died by suicide</w:t>
      </w:r>
      <w:r>
        <w:t xml:space="preserve"> </w:t>
      </w:r>
      <w:r w:rsidRPr="008F1ADC">
        <w:t>during 2017</w:t>
      </w:r>
      <w:bookmarkEnd w:id="30"/>
      <w:bookmarkEnd w:id="31"/>
    </w:p>
    <w:p w14:paraId="591970F2" w14:textId="77777777" w:rsidR="00812764" w:rsidRDefault="00812764" w:rsidP="00A61E95">
      <w:r w:rsidRPr="008F1ADC">
        <w:t>Of the 225 service users who died by suicide</w:t>
      </w:r>
      <w:r>
        <w:t xml:space="preserve"> and undetermined intent</w:t>
      </w:r>
      <w:r w:rsidRPr="008F1ADC">
        <w:t xml:space="preserve"> in 2017, five died while they were inpatients, eight died within a week of being discharged, and 55</w:t>
      </w:r>
      <w:r w:rsidR="00A61E95">
        <w:t> </w:t>
      </w:r>
      <w:r w:rsidRPr="008F1ADC">
        <w:t>died within 12 months of discharge</w:t>
      </w:r>
      <w:r>
        <w:t xml:space="preserve"> from an inpatient service</w:t>
      </w:r>
      <w:r w:rsidR="00A61E95">
        <w:t>.</w:t>
      </w:r>
      <w:r w:rsidRPr="00A61E95">
        <w:rPr>
          <w:rStyle w:val="FootnoteReference"/>
        </w:rPr>
        <w:footnoteReference w:id="2"/>
      </w:r>
    </w:p>
    <w:p w14:paraId="400ED4DF" w14:textId="77777777" w:rsidR="00812764" w:rsidRPr="008F1ADC" w:rsidRDefault="00812764" w:rsidP="00A61E95"/>
    <w:p w14:paraId="14094A81" w14:textId="77777777" w:rsidR="00812764" w:rsidRPr="008F1ADC" w:rsidRDefault="00812764" w:rsidP="00A61E95">
      <w:pPr>
        <w:pStyle w:val="Heading2"/>
      </w:pPr>
      <w:bookmarkStart w:id="32" w:name="_Toc76372802"/>
      <w:bookmarkStart w:id="33" w:name="_Toc89166218"/>
      <w:r w:rsidRPr="008F1ADC">
        <w:t xml:space="preserve">An overview of service users </w:t>
      </w:r>
      <w:r>
        <w:t>who died</w:t>
      </w:r>
      <w:r w:rsidRPr="008F1ADC">
        <w:t xml:space="preserve"> by suicide2001–2017</w:t>
      </w:r>
      <w:bookmarkEnd w:id="32"/>
      <w:bookmarkEnd w:id="33"/>
    </w:p>
    <w:p w14:paraId="437BE206" w14:textId="77777777" w:rsidR="00812764" w:rsidRDefault="00812764" w:rsidP="00A61E95">
      <w:r w:rsidRPr="008F1ADC">
        <w:t>From 2001 to 2017, 3,057 service users died by suicide.</w:t>
      </w:r>
      <w:r w:rsidRPr="00A61E95">
        <w:rPr>
          <w:rStyle w:val="FootnoteReference"/>
        </w:rPr>
        <w:footnoteReference w:id="3"/>
      </w:r>
      <w:r w:rsidRPr="008F1ADC">
        <w:t xml:space="preserve"> Of this total, 60 service users (2.0</w:t>
      </w:r>
      <w:r w:rsidR="00A61E95">
        <w:t> </w:t>
      </w:r>
      <w:r w:rsidRPr="008F1ADC">
        <w:t>percent) died while inpatients, 186 (6.1 percent) died within a week of being discharged and 871 (28.5 percent) died within 12 months of discharge</w:t>
      </w:r>
      <w:r>
        <w:t xml:space="preserve"> from an inpatient service.</w:t>
      </w:r>
    </w:p>
    <w:p w14:paraId="029ACBA3" w14:textId="77777777" w:rsidR="00812764" w:rsidRPr="008F1ADC" w:rsidRDefault="00812764" w:rsidP="00A61E95"/>
    <w:p w14:paraId="0782DC53" w14:textId="77777777" w:rsidR="00812764" w:rsidRPr="008F1ADC" w:rsidRDefault="00812764" w:rsidP="00A61E95">
      <w:r w:rsidRPr="008F1ADC">
        <w:t>Of the 3,057 service user</w:t>
      </w:r>
      <w:r>
        <w:t>s who</w:t>
      </w:r>
      <w:r w:rsidRPr="008F1ADC">
        <w:t xml:space="preserve"> </w:t>
      </w:r>
      <w:r>
        <w:t xml:space="preserve">died by </w:t>
      </w:r>
      <w:r w:rsidRPr="008F1ADC">
        <w:t>suicide since 2001, 3,017 had received treatment from a community mental health team in the 12 months before their death, and 730 had received treatment from an alcohol and drug team in the 12 months before their death.</w:t>
      </w:r>
    </w:p>
    <w:p w14:paraId="424B00CB" w14:textId="77777777" w:rsidR="000F3CDA" w:rsidRDefault="000F3CDA" w:rsidP="00A61E95"/>
    <w:sectPr w:rsidR="000F3CDA" w:rsidSect="002B7BEC">
      <w:footerReference w:type="even" r:id="rId22"/>
      <w:footerReference w:type="default" r:id="rId23"/>
      <w:pgSz w:w="11907" w:h="16834" w:code="9"/>
      <w:pgMar w:top="1418" w:right="1701" w:bottom="1134" w:left="1843" w:header="284" w:footer="425" w:gutter="284"/>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658B2" w14:textId="77777777" w:rsidR="004C69BB" w:rsidRDefault="004C69BB">
      <w:r>
        <w:separator/>
      </w:r>
    </w:p>
    <w:p w14:paraId="3005542B" w14:textId="77777777" w:rsidR="004C69BB" w:rsidRDefault="004C69BB"/>
  </w:endnote>
  <w:endnote w:type="continuationSeparator" w:id="0">
    <w:p w14:paraId="1E6168F0" w14:textId="77777777" w:rsidR="004C69BB" w:rsidRDefault="004C69BB">
      <w:r>
        <w:continuationSeparator/>
      </w:r>
    </w:p>
    <w:p w14:paraId="1A03798F" w14:textId="77777777" w:rsidR="004C69BB" w:rsidRDefault="004C6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3401E" w14:textId="77777777" w:rsidR="00105770" w:rsidRPr="00581136" w:rsidRDefault="00105770" w:rsidP="005A79E5">
    <w:pPr>
      <w:pStyle w:val="Footer"/>
      <w:pBdr>
        <w:bottom w:val="single" w:sz="4" w:space="1" w:color="auto"/>
      </w:pBdr>
      <w:tabs>
        <w:tab w:val="right" w:pos="9639"/>
      </w:tabs>
      <w:rPr>
        <w:b/>
      </w:rPr>
    </w:pPr>
    <w:r w:rsidRPr="00581136">
      <w:rPr>
        <w:b/>
      </w:rPr>
      <w:t>Released 20</w:t>
    </w:r>
    <w:r w:rsidR="00FB0A5B">
      <w:rPr>
        <w:b/>
      </w:rPr>
      <w:t>2</w:t>
    </w:r>
    <w:r w:rsidR="008017B4">
      <w:rPr>
        <w:b/>
      </w:rPr>
      <w:t>1</w:t>
    </w:r>
    <w:r w:rsidRPr="00581136">
      <w:rPr>
        <w:b/>
      </w:rPr>
      <w:tab/>
      <w:t>health.govt.nz</w:t>
    </w:r>
  </w:p>
  <w:p w14:paraId="35EF96A4" w14:textId="77777777" w:rsidR="00105770" w:rsidRPr="005A79E5" w:rsidRDefault="00105770">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66D55" w14:textId="77777777" w:rsidR="00105770" w:rsidRDefault="00105770"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C7DAC" w14:textId="77777777" w:rsidR="00105770" w:rsidRDefault="001057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105770" w14:paraId="34E2EE33" w14:textId="77777777" w:rsidTr="00D662F8">
      <w:trPr>
        <w:cantSplit/>
      </w:trPr>
      <w:tc>
        <w:tcPr>
          <w:tcW w:w="709" w:type="dxa"/>
          <w:vAlign w:val="center"/>
        </w:tcPr>
        <w:p w14:paraId="33E4DE17" w14:textId="77777777" w:rsidR="00105770" w:rsidRPr="00931466" w:rsidRDefault="00105770"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FB0A5B">
            <w:rPr>
              <w:rStyle w:val="PageNumber"/>
              <w:noProof/>
            </w:rPr>
            <w:t>vi</w:t>
          </w:r>
          <w:r w:rsidRPr="00931466">
            <w:rPr>
              <w:rStyle w:val="PageNumber"/>
            </w:rPr>
            <w:fldChar w:fldCharType="end"/>
          </w:r>
        </w:p>
      </w:tc>
      <w:tc>
        <w:tcPr>
          <w:tcW w:w="8080" w:type="dxa"/>
          <w:vAlign w:val="center"/>
        </w:tcPr>
        <w:p w14:paraId="6E28F8EF" w14:textId="77777777" w:rsidR="00105770" w:rsidRDefault="00245748" w:rsidP="00117F59">
          <w:pPr>
            <w:pStyle w:val="RectoFooter"/>
            <w:jc w:val="left"/>
          </w:pPr>
          <w:r>
            <w:t>[title]: [subhead]</w:t>
          </w:r>
        </w:p>
      </w:tc>
    </w:tr>
  </w:tbl>
  <w:p w14:paraId="00D8DA4C" w14:textId="77777777" w:rsidR="00105770" w:rsidRPr="00571223" w:rsidRDefault="00105770"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105770" w14:paraId="259A1938" w14:textId="77777777" w:rsidTr="006E2886">
      <w:trPr>
        <w:cantSplit/>
      </w:trPr>
      <w:tc>
        <w:tcPr>
          <w:tcW w:w="8080" w:type="dxa"/>
          <w:vAlign w:val="center"/>
        </w:tcPr>
        <w:p w14:paraId="6CFFDEBA" w14:textId="77777777" w:rsidR="00105770" w:rsidRDefault="00C533E1" w:rsidP="00DD6F1A">
          <w:pPr>
            <w:pStyle w:val="RectoFooter"/>
          </w:pPr>
          <w:r>
            <w:t>suicide data related to mental health service users (201</w:t>
          </w:r>
          <w:r w:rsidR="00DD6F1A">
            <w:t>7</w:t>
          </w:r>
          <w:r>
            <w:t>)</w:t>
          </w:r>
        </w:p>
      </w:tc>
      <w:tc>
        <w:tcPr>
          <w:tcW w:w="709" w:type="dxa"/>
          <w:vAlign w:val="center"/>
        </w:tcPr>
        <w:p w14:paraId="2F107660" w14:textId="77777777" w:rsidR="00105770" w:rsidRPr="00931466" w:rsidRDefault="00105770"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0F3CDA">
            <w:rPr>
              <w:rStyle w:val="PageNumber"/>
              <w:noProof/>
            </w:rPr>
            <w:t>iii</w:t>
          </w:r>
          <w:r w:rsidRPr="00931466">
            <w:rPr>
              <w:rStyle w:val="PageNumber"/>
            </w:rPr>
            <w:fldChar w:fldCharType="end"/>
          </w:r>
        </w:p>
      </w:tc>
    </w:tr>
  </w:tbl>
  <w:p w14:paraId="23C632BE" w14:textId="77777777" w:rsidR="00105770" w:rsidRPr="00581EB8" w:rsidRDefault="00105770"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Ind w:w="-567" w:type="dxa"/>
      <w:tblLayout w:type="fixed"/>
      <w:tblLook w:val="04A0" w:firstRow="1" w:lastRow="0" w:firstColumn="1" w:lastColumn="0" w:noHBand="0" w:noVBand="1"/>
    </w:tblPr>
    <w:tblGrid>
      <w:gridCol w:w="675"/>
      <w:gridCol w:w="9072"/>
    </w:tblGrid>
    <w:tr w:rsidR="00105770" w14:paraId="5009DA4B" w14:textId="77777777" w:rsidTr="006E2886">
      <w:trPr>
        <w:cantSplit/>
      </w:trPr>
      <w:tc>
        <w:tcPr>
          <w:tcW w:w="675" w:type="dxa"/>
          <w:vAlign w:val="center"/>
        </w:tcPr>
        <w:p w14:paraId="4DED751E" w14:textId="77777777" w:rsidR="00105770" w:rsidRPr="00931466" w:rsidRDefault="00105770"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0F3CDA">
            <w:rPr>
              <w:rStyle w:val="PageNumber"/>
              <w:noProof/>
            </w:rPr>
            <w:t>6</w:t>
          </w:r>
          <w:r w:rsidRPr="00931466">
            <w:rPr>
              <w:rStyle w:val="PageNumber"/>
            </w:rPr>
            <w:fldChar w:fldCharType="end"/>
          </w:r>
        </w:p>
      </w:tc>
      <w:tc>
        <w:tcPr>
          <w:tcW w:w="9072" w:type="dxa"/>
          <w:vAlign w:val="center"/>
        </w:tcPr>
        <w:p w14:paraId="29B2EBB9" w14:textId="77777777" w:rsidR="00105770" w:rsidRDefault="00C533E1" w:rsidP="00DD6F1A">
          <w:pPr>
            <w:pStyle w:val="RectoFooter"/>
            <w:ind w:left="-108"/>
            <w:jc w:val="left"/>
          </w:pPr>
          <w:r>
            <w:t>suicide data related to mental health service users (201</w:t>
          </w:r>
          <w:r w:rsidR="00DD6F1A">
            <w:t>7</w:t>
          </w:r>
          <w:r>
            <w:t>)</w:t>
          </w:r>
        </w:p>
      </w:tc>
    </w:tr>
  </w:tbl>
  <w:p w14:paraId="25085108" w14:textId="77777777" w:rsidR="00105770" w:rsidRPr="00571223" w:rsidRDefault="00105770"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105770" w14:paraId="2DD900C6" w14:textId="77777777" w:rsidTr="006E2886">
      <w:trPr>
        <w:cantSplit/>
      </w:trPr>
      <w:tc>
        <w:tcPr>
          <w:tcW w:w="8080" w:type="dxa"/>
          <w:vAlign w:val="center"/>
        </w:tcPr>
        <w:p w14:paraId="25DD058F" w14:textId="77777777" w:rsidR="00105770" w:rsidRDefault="00C533E1" w:rsidP="00DD6F1A">
          <w:pPr>
            <w:pStyle w:val="RectoFooter"/>
          </w:pPr>
          <w:r>
            <w:t>suicide data related to mental health service users (201</w:t>
          </w:r>
          <w:r w:rsidR="00DD6F1A">
            <w:t>7</w:t>
          </w:r>
          <w:r>
            <w:t>)</w:t>
          </w:r>
        </w:p>
      </w:tc>
      <w:tc>
        <w:tcPr>
          <w:tcW w:w="709" w:type="dxa"/>
          <w:vAlign w:val="center"/>
        </w:tcPr>
        <w:p w14:paraId="2B2B0E86" w14:textId="77777777" w:rsidR="00105770" w:rsidRPr="00931466" w:rsidRDefault="00105770"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0F3CDA">
            <w:rPr>
              <w:rStyle w:val="PageNumber"/>
              <w:noProof/>
            </w:rPr>
            <w:t>5</w:t>
          </w:r>
          <w:r w:rsidRPr="00931466">
            <w:rPr>
              <w:rStyle w:val="PageNumber"/>
            </w:rPr>
            <w:fldChar w:fldCharType="end"/>
          </w:r>
        </w:p>
      </w:tc>
    </w:tr>
  </w:tbl>
  <w:p w14:paraId="78FF7A74" w14:textId="77777777" w:rsidR="00105770" w:rsidRPr="00581EB8" w:rsidRDefault="00105770"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8A3BD" w14:textId="77777777" w:rsidR="004C69BB" w:rsidRPr="00A26E6B" w:rsidRDefault="004C69BB" w:rsidP="00A26E6B"/>
  </w:footnote>
  <w:footnote w:type="continuationSeparator" w:id="0">
    <w:p w14:paraId="7A7EC069" w14:textId="77777777" w:rsidR="004C69BB" w:rsidRDefault="004C69BB">
      <w:r>
        <w:continuationSeparator/>
      </w:r>
    </w:p>
    <w:p w14:paraId="6BA86DF5" w14:textId="77777777" w:rsidR="004C69BB" w:rsidRDefault="004C69BB"/>
  </w:footnote>
  <w:footnote w:id="1">
    <w:p w14:paraId="19760C75" w14:textId="77777777" w:rsidR="00812764" w:rsidRPr="00075432" w:rsidRDefault="00812764" w:rsidP="00376E90">
      <w:pPr>
        <w:pStyle w:val="FootnoteText"/>
      </w:pPr>
      <w:r w:rsidRPr="00376E90">
        <w:rPr>
          <w:rStyle w:val="FootnoteReference"/>
        </w:rPr>
        <w:footnoteRef/>
      </w:r>
      <w:r w:rsidR="00376E90">
        <w:tab/>
      </w:r>
      <w:r w:rsidRPr="00075432">
        <w:t>These numbers are subject to change. The mortality database is a dynamic collection, and changes can be made even after the data is considered nominally final.</w:t>
      </w:r>
    </w:p>
  </w:footnote>
  <w:footnote w:id="2">
    <w:p w14:paraId="60C894E8" w14:textId="77777777" w:rsidR="00812764" w:rsidRPr="00862F41" w:rsidRDefault="00812764" w:rsidP="00812764">
      <w:pPr>
        <w:pStyle w:val="FootnoteText"/>
        <w:rPr>
          <w:szCs w:val="17"/>
        </w:rPr>
      </w:pPr>
      <w:r w:rsidRPr="00862F41">
        <w:rPr>
          <w:rStyle w:val="FootnoteReference"/>
          <w:szCs w:val="17"/>
        </w:rPr>
        <w:footnoteRef/>
      </w:r>
      <w:r w:rsidRPr="00862F41">
        <w:rPr>
          <w:szCs w:val="17"/>
        </w:rPr>
        <w:t xml:space="preserve">   Excluding those who received treatment on the day of their death and those who died within a week of being discharged from an inpatient service.</w:t>
      </w:r>
    </w:p>
  </w:footnote>
  <w:footnote w:id="3">
    <w:p w14:paraId="0A056F29" w14:textId="77777777" w:rsidR="00812764" w:rsidRPr="00862F41" w:rsidRDefault="00812764" w:rsidP="00812764">
      <w:pPr>
        <w:pStyle w:val="FootnoteText"/>
        <w:rPr>
          <w:szCs w:val="17"/>
        </w:rPr>
      </w:pPr>
      <w:r w:rsidRPr="00862F41">
        <w:rPr>
          <w:rStyle w:val="FootnoteReference"/>
          <w:szCs w:val="17"/>
        </w:rPr>
        <w:footnoteRef/>
      </w:r>
      <w:r w:rsidRPr="00862F41">
        <w:rPr>
          <w:szCs w:val="17"/>
        </w:rPr>
        <w:t xml:space="preserve">   Includes deaths of undetermined intent.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4A0" w:firstRow="1" w:lastRow="0" w:firstColumn="1" w:lastColumn="0" w:noHBand="0" w:noVBand="1"/>
    </w:tblPr>
    <w:tblGrid>
      <w:gridCol w:w="5210"/>
      <w:gridCol w:w="4429"/>
    </w:tblGrid>
    <w:tr w:rsidR="00105770" w14:paraId="7A354A44" w14:textId="77777777" w:rsidTr="005A79E5">
      <w:trPr>
        <w:cantSplit/>
      </w:trPr>
      <w:tc>
        <w:tcPr>
          <w:tcW w:w="5210" w:type="dxa"/>
        </w:tcPr>
        <w:p w14:paraId="1A30CED8" w14:textId="77777777" w:rsidR="00105770" w:rsidRDefault="00105770" w:rsidP="008814E8">
          <w:pPr>
            <w:pStyle w:val="Header"/>
          </w:pPr>
          <w:r>
            <w:rPr>
              <w:noProof/>
              <w:lang w:eastAsia="en-NZ"/>
            </w:rPr>
            <w:drawing>
              <wp:inline distT="0" distB="0" distL="0" distR="0" wp14:anchorId="5F0B51C6" wp14:editId="40B95109">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inistry of Health logo"/>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5D7C076A" w14:textId="77777777" w:rsidR="00105770" w:rsidRDefault="00105770" w:rsidP="008814E8">
          <w:pPr>
            <w:pStyle w:val="Header"/>
            <w:jc w:val="right"/>
          </w:pPr>
          <w:r>
            <w:rPr>
              <w:noProof/>
              <w:lang w:eastAsia="en-NZ"/>
            </w:rPr>
            <w:drawing>
              <wp:inline distT="0" distB="0" distL="0" distR="0" wp14:anchorId="364EBB9B" wp14:editId="2629A1A7">
                <wp:extent cx="1720735" cy="177135"/>
                <wp:effectExtent l="0" t="0" r="0" b="0"/>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ew Zealand Government logo"/>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696F0DF5" w14:textId="77777777" w:rsidR="00105770" w:rsidRDefault="001057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15E40" w14:textId="77777777" w:rsidR="00105770" w:rsidRDefault="00105770"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17926" w14:textId="77777777" w:rsidR="00105770" w:rsidRDefault="00105770"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50D64"/>
    <w:multiLevelType w:val="multilevel"/>
    <w:tmpl w:val="33B63C2A"/>
    <w:lvl w:ilvl="0">
      <w:start w:val="1"/>
      <w:numFmt w:val="bullet"/>
      <w:lvlText w:val=""/>
      <w:lvlJc w:val="left"/>
      <w:pPr>
        <w:ind w:left="357" w:hanging="357"/>
      </w:pPr>
      <w:rPr>
        <w:rFonts w:ascii="Symbol" w:hAnsi="Symbol" w:hint="default"/>
        <w:sz w:val="22"/>
        <w:szCs w:val="22"/>
        <w:vertAlign w:val="baseline"/>
      </w:rPr>
    </w:lvl>
    <w:lvl w:ilvl="1">
      <w:start w:val="1"/>
      <w:numFmt w:val="bullet"/>
      <w:lvlText w:val=""/>
      <w:lvlJc w:val="left"/>
      <w:pPr>
        <w:tabs>
          <w:tab w:val="num" w:pos="1424"/>
        </w:tabs>
        <w:ind w:left="1066" w:hanging="357"/>
      </w:pPr>
      <w:rPr>
        <w:rFonts w:ascii="Symbol" w:hAnsi="Symbol" w:hint="default"/>
        <w:sz w:val="22"/>
        <w:vertAlign w:val="superscript"/>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 w15:restartNumberingAfterBreak="0">
    <w:nsid w:val="00D817C7"/>
    <w:multiLevelType w:val="multilevel"/>
    <w:tmpl w:val="7A1E5B0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623B1E"/>
    <w:multiLevelType w:val="hybridMultilevel"/>
    <w:tmpl w:val="4A3E85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1B64AE7"/>
    <w:multiLevelType w:val="hybridMultilevel"/>
    <w:tmpl w:val="7AF4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5" w15:restartNumberingAfterBreak="0">
    <w:nsid w:val="05954F30"/>
    <w:multiLevelType w:val="hybridMultilevel"/>
    <w:tmpl w:val="40485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6FA6483"/>
    <w:multiLevelType w:val="hybridMultilevel"/>
    <w:tmpl w:val="8394396E"/>
    <w:lvl w:ilvl="0" w:tplc="14090001">
      <w:start w:val="1"/>
      <w:numFmt w:val="bullet"/>
      <w:lvlText w:val=""/>
      <w:lvlJc w:val="left"/>
      <w:pPr>
        <w:ind w:left="790" w:hanging="360"/>
      </w:pPr>
      <w:rPr>
        <w:rFonts w:ascii="Symbol" w:hAnsi="Symbol" w:hint="default"/>
      </w:rPr>
    </w:lvl>
    <w:lvl w:ilvl="1" w:tplc="14090003" w:tentative="1">
      <w:start w:val="1"/>
      <w:numFmt w:val="bullet"/>
      <w:lvlText w:val="o"/>
      <w:lvlJc w:val="left"/>
      <w:pPr>
        <w:ind w:left="1510" w:hanging="360"/>
      </w:pPr>
      <w:rPr>
        <w:rFonts w:ascii="Courier New" w:hAnsi="Courier New" w:cs="Courier New" w:hint="default"/>
      </w:rPr>
    </w:lvl>
    <w:lvl w:ilvl="2" w:tplc="14090005" w:tentative="1">
      <w:start w:val="1"/>
      <w:numFmt w:val="bullet"/>
      <w:lvlText w:val=""/>
      <w:lvlJc w:val="left"/>
      <w:pPr>
        <w:ind w:left="2230" w:hanging="360"/>
      </w:pPr>
      <w:rPr>
        <w:rFonts w:ascii="Wingdings" w:hAnsi="Wingdings" w:hint="default"/>
      </w:rPr>
    </w:lvl>
    <w:lvl w:ilvl="3" w:tplc="14090001" w:tentative="1">
      <w:start w:val="1"/>
      <w:numFmt w:val="bullet"/>
      <w:lvlText w:val=""/>
      <w:lvlJc w:val="left"/>
      <w:pPr>
        <w:ind w:left="2950" w:hanging="360"/>
      </w:pPr>
      <w:rPr>
        <w:rFonts w:ascii="Symbol" w:hAnsi="Symbol" w:hint="default"/>
      </w:rPr>
    </w:lvl>
    <w:lvl w:ilvl="4" w:tplc="14090003" w:tentative="1">
      <w:start w:val="1"/>
      <w:numFmt w:val="bullet"/>
      <w:lvlText w:val="o"/>
      <w:lvlJc w:val="left"/>
      <w:pPr>
        <w:ind w:left="3670" w:hanging="360"/>
      </w:pPr>
      <w:rPr>
        <w:rFonts w:ascii="Courier New" w:hAnsi="Courier New" w:cs="Courier New" w:hint="default"/>
      </w:rPr>
    </w:lvl>
    <w:lvl w:ilvl="5" w:tplc="14090005" w:tentative="1">
      <w:start w:val="1"/>
      <w:numFmt w:val="bullet"/>
      <w:lvlText w:val=""/>
      <w:lvlJc w:val="left"/>
      <w:pPr>
        <w:ind w:left="4390" w:hanging="360"/>
      </w:pPr>
      <w:rPr>
        <w:rFonts w:ascii="Wingdings" w:hAnsi="Wingdings" w:hint="default"/>
      </w:rPr>
    </w:lvl>
    <w:lvl w:ilvl="6" w:tplc="14090001" w:tentative="1">
      <w:start w:val="1"/>
      <w:numFmt w:val="bullet"/>
      <w:lvlText w:val=""/>
      <w:lvlJc w:val="left"/>
      <w:pPr>
        <w:ind w:left="5110" w:hanging="360"/>
      </w:pPr>
      <w:rPr>
        <w:rFonts w:ascii="Symbol" w:hAnsi="Symbol" w:hint="default"/>
      </w:rPr>
    </w:lvl>
    <w:lvl w:ilvl="7" w:tplc="14090003" w:tentative="1">
      <w:start w:val="1"/>
      <w:numFmt w:val="bullet"/>
      <w:lvlText w:val="o"/>
      <w:lvlJc w:val="left"/>
      <w:pPr>
        <w:ind w:left="5830" w:hanging="360"/>
      </w:pPr>
      <w:rPr>
        <w:rFonts w:ascii="Courier New" w:hAnsi="Courier New" w:cs="Courier New" w:hint="default"/>
      </w:rPr>
    </w:lvl>
    <w:lvl w:ilvl="8" w:tplc="14090005" w:tentative="1">
      <w:start w:val="1"/>
      <w:numFmt w:val="bullet"/>
      <w:lvlText w:val=""/>
      <w:lvlJc w:val="left"/>
      <w:pPr>
        <w:ind w:left="6550" w:hanging="360"/>
      </w:pPr>
      <w:rPr>
        <w:rFonts w:ascii="Wingdings" w:hAnsi="Wingdings" w:hint="default"/>
      </w:rPr>
    </w:lvl>
  </w:abstractNum>
  <w:abstractNum w:abstractNumId="7" w15:restartNumberingAfterBreak="0">
    <w:nsid w:val="076735CD"/>
    <w:multiLevelType w:val="hybridMultilevel"/>
    <w:tmpl w:val="8C5057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8142377"/>
    <w:multiLevelType w:val="hybridMultilevel"/>
    <w:tmpl w:val="C02C123E"/>
    <w:lvl w:ilvl="0" w:tplc="78E449E2">
      <w:start w:val="1"/>
      <w:numFmt w:val="lowerRoman"/>
      <w:lvlText w:val="%1."/>
      <w:lvlJc w:val="left"/>
      <w:pPr>
        <w:ind w:left="1440" w:hanging="720"/>
      </w:pPr>
      <w:rPr>
        <w:rFonts w:hint="default"/>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0C8C07BC"/>
    <w:multiLevelType w:val="hybridMultilevel"/>
    <w:tmpl w:val="ABA8FA9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0D8C5D5A"/>
    <w:multiLevelType w:val="multilevel"/>
    <w:tmpl w:val="2CD092E4"/>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1" w15:restartNumberingAfterBreak="0">
    <w:nsid w:val="12370A65"/>
    <w:multiLevelType w:val="multilevel"/>
    <w:tmpl w:val="14090029"/>
    <w:lvl w:ilvl="0">
      <w:start w:val="1"/>
      <w:numFmt w:val="decimal"/>
      <w:suff w:val="space"/>
      <w:lvlText w:val="Chapter %1"/>
      <w:lvlJc w:val="left"/>
      <w:pPr>
        <w:ind w:left="397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AD060F0"/>
    <w:multiLevelType w:val="multilevel"/>
    <w:tmpl w:val="8362BF2E"/>
    <w:lvl w:ilvl="0">
      <w:start w:val="1"/>
      <w:numFmt w:val="upperRoman"/>
      <w:lvlText w:val="%1."/>
      <w:lvlJc w:val="right"/>
      <w:pPr>
        <w:ind w:left="357" w:hanging="357"/>
      </w:pPr>
      <w:rPr>
        <w:rFonts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3" w15:restartNumberingAfterBreak="0">
    <w:nsid w:val="1C39728D"/>
    <w:multiLevelType w:val="hybridMultilevel"/>
    <w:tmpl w:val="FD204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D905CD6"/>
    <w:multiLevelType w:val="hybridMultilevel"/>
    <w:tmpl w:val="B16E54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EA0626C"/>
    <w:multiLevelType w:val="multilevel"/>
    <w:tmpl w:val="1422C38A"/>
    <w:lvl w:ilvl="0">
      <w:start w:val="1"/>
      <w:numFmt w:val="upperRoman"/>
      <w:lvlText w:val="%1."/>
      <w:lvlJc w:val="right"/>
      <w:pPr>
        <w:ind w:left="357" w:hanging="357"/>
      </w:pPr>
      <w:rPr>
        <w:rFonts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6" w15:restartNumberingAfterBreak="0">
    <w:nsid w:val="2F3E22D3"/>
    <w:multiLevelType w:val="multilevel"/>
    <w:tmpl w:val="758E542E"/>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7" w15:restartNumberingAfterBreak="0">
    <w:nsid w:val="34DB6753"/>
    <w:multiLevelType w:val="multilevel"/>
    <w:tmpl w:val="CFA0ECDC"/>
    <w:lvl w:ilvl="0">
      <w:start w:val="1"/>
      <w:numFmt w:val="decimal"/>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8" w15:restartNumberingAfterBreak="0">
    <w:nsid w:val="35C46315"/>
    <w:multiLevelType w:val="hybridMultilevel"/>
    <w:tmpl w:val="98C66A74"/>
    <w:lvl w:ilvl="0" w:tplc="B4C469B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9" w15:restartNumberingAfterBreak="0">
    <w:nsid w:val="36F214BA"/>
    <w:multiLevelType w:val="multilevel"/>
    <w:tmpl w:val="9C9A3D3A"/>
    <w:lvl w:ilvl="0">
      <w:start w:val="1"/>
      <w:numFmt w:val="bullet"/>
      <w:lvlText w:val=""/>
      <w:lvlJc w:val="left"/>
      <w:pPr>
        <w:ind w:left="357" w:hanging="357"/>
      </w:pPr>
      <w:rPr>
        <w:rFonts w:ascii="Symbol" w:hAnsi="Symbol"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o"/>
      <w:lvlJc w:val="left"/>
      <w:pPr>
        <w:tabs>
          <w:tab w:val="num" w:pos="1785"/>
        </w:tabs>
        <w:ind w:left="1428" w:hanging="357"/>
      </w:pPr>
      <w:rPr>
        <w:rFonts w:ascii="Courier New" w:hAnsi="Courier New" w:cs="Courier New"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0" w15:restartNumberingAfterBreak="0">
    <w:nsid w:val="3BBE233B"/>
    <w:multiLevelType w:val="multilevel"/>
    <w:tmpl w:val="050295EA"/>
    <w:lvl w:ilvl="0">
      <w:start w:val="1"/>
      <w:numFmt w:val="bullet"/>
      <w:lvlText w:val=""/>
      <w:lvlJc w:val="left"/>
      <w:pPr>
        <w:ind w:left="357" w:hanging="357"/>
      </w:pPr>
      <w:rPr>
        <w:rFonts w:ascii="Symbol" w:hAnsi="Symbol" w:hint="default"/>
        <w:sz w:val="22"/>
        <w:szCs w:val="22"/>
        <w:vertAlign w:val="baseline"/>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1"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7264AA"/>
    <w:multiLevelType w:val="multilevel"/>
    <w:tmpl w:val="48462F1A"/>
    <w:lvl w:ilvl="0">
      <w:start w:val="1"/>
      <w:numFmt w:val="bullet"/>
      <w:lvlText w:val=""/>
      <w:lvlJc w:val="left"/>
      <w:pPr>
        <w:ind w:left="357" w:hanging="357"/>
      </w:pPr>
      <w:rPr>
        <w:rFonts w:ascii="Symbol" w:hAnsi="Symbol"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4" w15:restartNumberingAfterBreak="0">
    <w:nsid w:val="46A02079"/>
    <w:multiLevelType w:val="multilevel"/>
    <w:tmpl w:val="F910959A"/>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5" w15:restartNumberingAfterBreak="0">
    <w:nsid w:val="4F843D9E"/>
    <w:multiLevelType w:val="multilevel"/>
    <w:tmpl w:val="68EA507E"/>
    <w:lvl w:ilvl="0">
      <w:start w:val="1"/>
      <w:numFmt w:val="decimal"/>
      <w:suff w:val="nothing"/>
      <w:lvlText w:val="Chapter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F8D26E9"/>
    <w:multiLevelType w:val="hybridMultilevel"/>
    <w:tmpl w:val="FB3CB93A"/>
    <w:lvl w:ilvl="0" w:tplc="39B8B2EC">
      <w:start w:val="1"/>
      <w:numFmt w:val="bullet"/>
      <w:lvlText w:val=""/>
      <w:lvlJc w:val="left"/>
      <w:pPr>
        <w:tabs>
          <w:tab w:val="num" w:pos="284"/>
        </w:tabs>
        <w:ind w:left="284" w:hanging="284"/>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B51688"/>
    <w:multiLevelType w:val="hybridMultilevel"/>
    <w:tmpl w:val="204EC29E"/>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0FC17C7"/>
    <w:multiLevelType w:val="hybridMultilevel"/>
    <w:tmpl w:val="A13AAA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55167D45"/>
    <w:multiLevelType w:val="hybridMultilevel"/>
    <w:tmpl w:val="3A80A0FC"/>
    <w:lvl w:ilvl="0" w:tplc="0E74F91C">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0" w15:restartNumberingAfterBreak="0">
    <w:nsid w:val="55E73FA0"/>
    <w:multiLevelType w:val="multilevel"/>
    <w:tmpl w:val="1AAA43B4"/>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1" w15:restartNumberingAfterBreak="0">
    <w:nsid w:val="59BE1EDB"/>
    <w:multiLevelType w:val="hybridMultilevel"/>
    <w:tmpl w:val="BBB6D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B441916"/>
    <w:multiLevelType w:val="multilevel"/>
    <w:tmpl w:val="33189EF0"/>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3" w15:restartNumberingAfterBreak="0">
    <w:nsid w:val="5C44586F"/>
    <w:multiLevelType w:val="multilevel"/>
    <w:tmpl w:val="DE3893F2"/>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4" w15:restartNumberingAfterBreak="0">
    <w:nsid w:val="5D8323CD"/>
    <w:multiLevelType w:val="multilevel"/>
    <w:tmpl w:val="419A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3834E8"/>
    <w:multiLevelType w:val="hybridMultilevel"/>
    <w:tmpl w:val="E8DCE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82320D"/>
    <w:multiLevelType w:val="hybridMultilevel"/>
    <w:tmpl w:val="C0029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00F2C85"/>
    <w:multiLevelType w:val="hybridMultilevel"/>
    <w:tmpl w:val="6A54B99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71272775"/>
    <w:multiLevelType w:val="hybridMultilevel"/>
    <w:tmpl w:val="FE12A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8EA6977"/>
    <w:multiLevelType w:val="multilevel"/>
    <w:tmpl w:val="8848D1A2"/>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40"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abstractNum w:abstractNumId="41" w15:restartNumberingAfterBreak="0">
    <w:nsid w:val="7EE56D14"/>
    <w:multiLevelType w:val="multilevel"/>
    <w:tmpl w:val="D98A295A"/>
    <w:lvl w:ilvl="0">
      <w:start w:val="1"/>
      <w:numFmt w:val="bullet"/>
      <w:lvlText w:val=""/>
      <w:lvlJc w:val="left"/>
      <w:pPr>
        <w:ind w:left="357" w:hanging="357"/>
      </w:pPr>
      <w:rPr>
        <w:rFonts w:ascii="Symbol" w:hAnsi="Symbol"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num w:numId="1">
    <w:abstractNumId w:val="40"/>
  </w:num>
  <w:num w:numId="2">
    <w:abstractNumId w:val="21"/>
  </w:num>
  <w:num w:numId="3">
    <w:abstractNumId w:val="22"/>
  </w:num>
  <w:num w:numId="4">
    <w:abstractNumId w:val="4"/>
  </w:num>
  <w:num w:numId="5">
    <w:abstractNumId w:val="1"/>
  </w:num>
  <w:num w:numId="6">
    <w:abstractNumId w:val="26"/>
  </w:num>
  <w:num w:numId="7">
    <w:abstractNumId w:val="34"/>
  </w:num>
  <w:num w:numId="8">
    <w:abstractNumId w:val="3"/>
  </w:num>
  <w:num w:numId="9">
    <w:abstractNumId w:val="35"/>
  </w:num>
  <w:num w:numId="10">
    <w:abstractNumId w:val="28"/>
  </w:num>
  <w:num w:numId="11">
    <w:abstractNumId w:val="15"/>
  </w:num>
  <w:num w:numId="12">
    <w:abstractNumId w:val="20"/>
  </w:num>
  <w:num w:numId="13">
    <w:abstractNumId w:val="0"/>
  </w:num>
  <w:num w:numId="14">
    <w:abstractNumId w:val="12"/>
  </w:num>
  <w:num w:numId="15">
    <w:abstractNumId w:val="18"/>
  </w:num>
  <w:num w:numId="16">
    <w:abstractNumId w:val="29"/>
  </w:num>
  <w:num w:numId="17">
    <w:abstractNumId w:val="8"/>
  </w:num>
  <w:num w:numId="18">
    <w:abstractNumId w:val="14"/>
  </w:num>
  <w:num w:numId="19">
    <w:abstractNumId w:val="9"/>
  </w:num>
  <w:num w:numId="20">
    <w:abstractNumId w:val="6"/>
  </w:num>
  <w:num w:numId="21">
    <w:abstractNumId w:val="38"/>
  </w:num>
  <w:num w:numId="22">
    <w:abstractNumId w:val="13"/>
  </w:num>
  <w:num w:numId="23">
    <w:abstractNumId w:val="36"/>
  </w:num>
  <w:num w:numId="24">
    <w:abstractNumId w:val="2"/>
  </w:num>
  <w:num w:numId="25">
    <w:abstractNumId w:val="7"/>
  </w:num>
  <w:num w:numId="26">
    <w:abstractNumId w:val="5"/>
  </w:num>
  <w:num w:numId="27">
    <w:abstractNumId w:val="31"/>
  </w:num>
  <w:num w:numId="28">
    <w:abstractNumId w:val="37"/>
  </w:num>
  <w:num w:numId="29">
    <w:abstractNumId w:val="17"/>
  </w:num>
  <w:num w:numId="30">
    <w:abstractNumId w:val="11"/>
  </w:num>
  <w:num w:numId="31">
    <w:abstractNumId w:val="27"/>
  </w:num>
  <w:num w:numId="32">
    <w:abstractNumId w:val="19"/>
  </w:num>
  <w:num w:numId="33">
    <w:abstractNumId w:val="41"/>
  </w:num>
  <w:num w:numId="34">
    <w:abstractNumId w:val="16"/>
  </w:num>
  <w:num w:numId="35">
    <w:abstractNumId w:val="33"/>
  </w:num>
  <w:num w:numId="36">
    <w:abstractNumId w:val="30"/>
  </w:num>
  <w:num w:numId="37">
    <w:abstractNumId w:val="39"/>
  </w:num>
  <w:num w:numId="38">
    <w:abstractNumId w:val="32"/>
  </w:num>
  <w:num w:numId="39">
    <w:abstractNumId w:val="23"/>
  </w:num>
  <w:num w:numId="40">
    <w:abstractNumId w:val="24"/>
  </w:num>
  <w:num w:numId="41">
    <w:abstractNumId w:val="10"/>
  </w:num>
  <w:num w:numId="42">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361B"/>
    <w:rsid w:val="00005BB5"/>
    <w:rsid w:val="00025A6F"/>
    <w:rsid w:val="0002618D"/>
    <w:rsid w:val="000261BB"/>
    <w:rsid w:val="00030B26"/>
    <w:rsid w:val="00030E84"/>
    <w:rsid w:val="00032C0A"/>
    <w:rsid w:val="00035257"/>
    <w:rsid w:val="00035D68"/>
    <w:rsid w:val="00036027"/>
    <w:rsid w:val="00040166"/>
    <w:rsid w:val="000419A9"/>
    <w:rsid w:val="00045613"/>
    <w:rsid w:val="00047899"/>
    <w:rsid w:val="00053921"/>
    <w:rsid w:val="00054B44"/>
    <w:rsid w:val="0006006B"/>
    <w:rsid w:val="0006228D"/>
    <w:rsid w:val="00072BD6"/>
    <w:rsid w:val="00075B78"/>
    <w:rsid w:val="000763E9"/>
    <w:rsid w:val="00082CD6"/>
    <w:rsid w:val="0008437D"/>
    <w:rsid w:val="00085AFE"/>
    <w:rsid w:val="00094800"/>
    <w:rsid w:val="000A0158"/>
    <w:rsid w:val="000A373D"/>
    <w:rsid w:val="000A41ED"/>
    <w:rsid w:val="000B0730"/>
    <w:rsid w:val="000D19F4"/>
    <w:rsid w:val="000D58DD"/>
    <w:rsid w:val="000E2796"/>
    <w:rsid w:val="000F1F42"/>
    <w:rsid w:val="000F2AE2"/>
    <w:rsid w:val="000F2BFF"/>
    <w:rsid w:val="000F3CDA"/>
    <w:rsid w:val="00102063"/>
    <w:rsid w:val="0010541C"/>
    <w:rsid w:val="00105770"/>
    <w:rsid w:val="00106F93"/>
    <w:rsid w:val="00111D50"/>
    <w:rsid w:val="00113B8E"/>
    <w:rsid w:val="00117F59"/>
    <w:rsid w:val="0012053C"/>
    <w:rsid w:val="00122363"/>
    <w:rsid w:val="00125D45"/>
    <w:rsid w:val="001342C7"/>
    <w:rsid w:val="0013585C"/>
    <w:rsid w:val="00142261"/>
    <w:rsid w:val="00142954"/>
    <w:rsid w:val="001460E0"/>
    <w:rsid w:val="001472F0"/>
    <w:rsid w:val="00147F71"/>
    <w:rsid w:val="00150A6E"/>
    <w:rsid w:val="0016304B"/>
    <w:rsid w:val="0016318F"/>
    <w:rsid w:val="0016468A"/>
    <w:rsid w:val="0017070E"/>
    <w:rsid w:val="00174F02"/>
    <w:rsid w:val="0018376C"/>
    <w:rsid w:val="0018662D"/>
    <w:rsid w:val="00197427"/>
    <w:rsid w:val="001A21B4"/>
    <w:rsid w:val="001A5CF5"/>
    <w:rsid w:val="001B39D2"/>
    <w:rsid w:val="001B4BF8"/>
    <w:rsid w:val="001B7B14"/>
    <w:rsid w:val="001C4326"/>
    <w:rsid w:val="001C665E"/>
    <w:rsid w:val="001D3541"/>
    <w:rsid w:val="001D3E4E"/>
    <w:rsid w:val="001E254A"/>
    <w:rsid w:val="001E7386"/>
    <w:rsid w:val="001F45A7"/>
    <w:rsid w:val="001F5E27"/>
    <w:rsid w:val="0020027C"/>
    <w:rsid w:val="00201A01"/>
    <w:rsid w:val="0020754B"/>
    <w:rsid w:val="002104D3"/>
    <w:rsid w:val="00213A33"/>
    <w:rsid w:val="0021763B"/>
    <w:rsid w:val="00232E9F"/>
    <w:rsid w:val="00245748"/>
    <w:rsid w:val="00246DB1"/>
    <w:rsid w:val="002476B5"/>
    <w:rsid w:val="002520CC"/>
    <w:rsid w:val="00253ECF"/>
    <w:rsid w:val="00254044"/>
    <w:rsid w:val="002546A1"/>
    <w:rsid w:val="002575E8"/>
    <w:rsid w:val="00257EF1"/>
    <w:rsid w:val="002628F4"/>
    <w:rsid w:val="00275D08"/>
    <w:rsid w:val="002839AF"/>
    <w:rsid w:val="002858E3"/>
    <w:rsid w:val="0029190A"/>
    <w:rsid w:val="00292C5A"/>
    <w:rsid w:val="00295241"/>
    <w:rsid w:val="002A4DFC"/>
    <w:rsid w:val="002B047D"/>
    <w:rsid w:val="002B732B"/>
    <w:rsid w:val="002B76A7"/>
    <w:rsid w:val="002B7BEC"/>
    <w:rsid w:val="002C2219"/>
    <w:rsid w:val="002C2552"/>
    <w:rsid w:val="002C380A"/>
    <w:rsid w:val="002D0DF2"/>
    <w:rsid w:val="002D23BD"/>
    <w:rsid w:val="002E0B47"/>
    <w:rsid w:val="002F3A0D"/>
    <w:rsid w:val="002F4685"/>
    <w:rsid w:val="002F7213"/>
    <w:rsid w:val="0030382F"/>
    <w:rsid w:val="0030408D"/>
    <w:rsid w:val="003060E4"/>
    <w:rsid w:val="003160E7"/>
    <w:rsid w:val="0031739E"/>
    <w:rsid w:val="00317DA3"/>
    <w:rsid w:val="003212F4"/>
    <w:rsid w:val="00321381"/>
    <w:rsid w:val="003235C6"/>
    <w:rsid w:val="003309CA"/>
    <w:rsid w:val="003325AB"/>
    <w:rsid w:val="003332D1"/>
    <w:rsid w:val="0033412B"/>
    <w:rsid w:val="0033448B"/>
    <w:rsid w:val="00341161"/>
    <w:rsid w:val="00343365"/>
    <w:rsid w:val="003445F4"/>
    <w:rsid w:val="00353501"/>
    <w:rsid w:val="00353734"/>
    <w:rsid w:val="003538D4"/>
    <w:rsid w:val="003606F8"/>
    <w:rsid w:val="003648EF"/>
    <w:rsid w:val="003673E6"/>
    <w:rsid w:val="00376E90"/>
    <w:rsid w:val="00377264"/>
    <w:rsid w:val="003779D2"/>
    <w:rsid w:val="00385E38"/>
    <w:rsid w:val="003A26A5"/>
    <w:rsid w:val="003A3761"/>
    <w:rsid w:val="003A512D"/>
    <w:rsid w:val="003A5FEA"/>
    <w:rsid w:val="003A710B"/>
    <w:rsid w:val="003B1D10"/>
    <w:rsid w:val="003B7402"/>
    <w:rsid w:val="003B7953"/>
    <w:rsid w:val="003C310C"/>
    <w:rsid w:val="003C76D4"/>
    <w:rsid w:val="003D137D"/>
    <w:rsid w:val="003D2CC5"/>
    <w:rsid w:val="003D3E5C"/>
    <w:rsid w:val="003E04C1"/>
    <w:rsid w:val="003E0887"/>
    <w:rsid w:val="003E74C8"/>
    <w:rsid w:val="003E74E2"/>
    <w:rsid w:val="003E7C46"/>
    <w:rsid w:val="003F2106"/>
    <w:rsid w:val="003F52A7"/>
    <w:rsid w:val="003F7013"/>
    <w:rsid w:val="003F7F6A"/>
    <w:rsid w:val="0040240C"/>
    <w:rsid w:val="00413021"/>
    <w:rsid w:val="00414C35"/>
    <w:rsid w:val="004171B7"/>
    <w:rsid w:val="00423325"/>
    <w:rsid w:val="004258BC"/>
    <w:rsid w:val="004301C6"/>
    <w:rsid w:val="0043478F"/>
    <w:rsid w:val="0043602B"/>
    <w:rsid w:val="004367D2"/>
    <w:rsid w:val="00440BE0"/>
    <w:rsid w:val="00442A06"/>
    <w:rsid w:val="00442C1C"/>
    <w:rsid w:val="0044584B"/>
    <w:rsid w:val="00447CB7"/>
    <w:rsid w:val="00455CC9"/>
    <w:rsid w:val="00460826"/>
    <w:rsid w:val="00460B1E"/>
    <w:rsid w:val="00460EA7"/>
    <w:rsid w:val="004614CD"/>
    <w:rsid w:val="0046195B"/>
    <w:rsid w:val="0046362D"/>
    <w:rsid w:val="0046596D"/>
    <w:rsid w:val="00475713"/>
    <w:rsid w:val="00476B21"/>
    <w:rsid w:val="004852AB"/>
    <w:rsid w:val="00487C04"/>
    <w:rsid w:val="004907E1"/>
    <w:rsid w:val="00494C8E"/>
    <w:rsid w:val="004A035B"/>
    <w:rsid w:val="004A2108"/>
    <w:rsid w:val="004A38D7"/>
    <w:rsid w:val="004A778C"/>
    <w:rsid w:val="004B14DD"/>
    <w:rsid w:val="004B48C7"/>
    <w:rsid w:val="004C2E6A"/>
    <w:rsid w:val="004C64B8"/>
    <w:rsid w:val="004C69BB"/>
    <w:rsid w:val="004D2A2D"/>
    <w:rsid w:val="004D479F"/>
    <w:rsid w:val="004D6689"/>
    <w:rsid w:val="004E1842"/>
    <w:rsid w:val="004E1D1D"/>
    <w:rsid w:val="004E7AC8"/>
    <w:rsid w:val="004F05F4"/>
    <w:rsid w:val="004F0C94"/>
    <w:rsid w:val="004F4E9A"/>
    <w:rsid w:val="005019AE"/>
    <w:rsid w:val="00503749"/>
    <w:rsid w:val="00503D59"/>
    <w:rsid w:val="00504CF4"/>
    <w:rsid w:val="0050635B"/>
    <w:rsid w:val="005075B3"/>
    <w:rsid w:val="005151C2"/>
    <w:rsid w:val="005275E8"/>
    <w:rsid w:val="005309FE"/>
    <w:rsid w:val="0053199F"/>
    <w:rsid w:val="00531E12"/>
    <w:rsid w:val="005326C1"/>
    <w:rsid w:val="00533B90"/>
    <w:rsid w:val="005410F8"/>
    <w:rsid w:val="005448EC"/>
    <w:rsid w:val="00545963"/>
    <w:rsid w:val="00550256"/>
    <w:rsid w:val="00553165"/>
    <w:rsid w:val="00553958"/>
    <w:rsid w:val="00556BB7"/>
    <w:rsid w:val="0055763D"/>
    <w:rsid w:val="00561516"/>
    <w:rsid w:val="005621F2"/>
    <w:rsid w:val="00567B58"/>
    <w:rsid w:val="00571223"/>
    <w:rsid w:val="005763E0"/>
    <w:rsid w:val="00581136"/>
    <w:rsid w:val="00581EB8"/>
    <w:rsid w:val="005839E7"/>
    <w:rsid w:val="0058437F"/>
    <w:rsid w:val="005A27CA"/>
    <w:rsid w:val="005A43BD"/>
    <w:rsid w:val="005A79E5"/>
    <w:rsid w:val="005D034C"/>
    <w:rsid w:val="005D0AB1"/>
    <w:rsid w:val="005E226E"/>
    <w:rsid w:val="005E2636"/>
    <w:rsid w:val="006015D7"/>
    <w:rsid w:val="00601B21"/>
    <w:rsid w:val="006041F0"/>
    <w:rsid w:val="00605C6D"/>
    <w:rsid w:val="006120CA"/>
    <w:rsid w:val="0061443A"/>
    <w:rsid w:val="00624174"/>
    <w:rsid w:val="00626CF8"/>
    <w:rsid w:val="006314AF"/>
    <w:rsid w:val="00634003"/>
    <w:rsid w:val="00634ED8"/>
    <w:rsid w:val="00636D7D"/>
    <w:rsid w:val="00637408"/>
    <w:rsid w:val="00642868"/>
    <w:rsid w:val="00647AFE"/>
    <w:rsid w:val="00650417"/>
    <w:rsid w:val="006512BC"/>
    <w:rsid w:val="00653A5A"/>
    <w:rsid w:val="006554AC"/>
    <w:rsid w:val="00656F28"/>
    <w:rsid w:val="006575F4"/>
    <w:rsid w:val="006579E6"/>
    <w:rsid w:val="00660682"/>
    <w:rsid w:val="00660F74"/>
    <w:rsid w:val="00663EDC"/>
    <w:rsid w:val="00671078"/>
    <w:rsid w:val="00674117"/>
    <w:rsid w:val="006758CA"/>
    <w:rsid w:val="00680A04"/>
    <w:rsid w:val="00686D80"/>
    <w:rsid w:val="00694895"/>
    <w:rsid w:val="00697E2E"/>
    <w:rsid w:val="006A25A2"/>
    <w:rsid w:val="006A3B87"/>
    <w:rsid w:val="006B0A88"/>
    <w:rsid w:val="006B0E73"/>
    <w:rsid w:val="006B1E3D"/>
    <w:rsid w:val="006B4A4D"/>
    <w:rsid w:val="006B5695"/>
    <w:rsid w:val="006B62E6"/>
    <w:rsid w:val="006B7B2E"/>
    <w:rsid w:val="006C78EB"/>
    <w:rsid w:val="006D1660"/>
    <w:rsid w:val="006D63E5"/>
    <w:rsid w:val="006E1753"/>
    <w:rsid w:val="006E2886"/>
    <w:rsid w:val="006E3911"/>
    <w:rsid w:val="006E69F4"/>
    <w:rsid w:val="006F1B67"/>
    <w:rsid w:val="006F4D9C"/>
    <w:rsid w:val="0070091D"/>
    <w:rsid w:val="00702854"/>
    <w:rsid w:val="0071741C"/>
    <w:rsid w:val="00742B90"/>
    <w:rsid w:val="0074434D"/>
    <w:rsid w:val="00752E53"/>
    <w:rsid w:val="007570C4"/>
    <w:rsid w:val="007605B8"/>
    <w:rsid w:val="00771B1E"/>
    <w:rsid w:val="00773C95"/>
    <w:rsid w:val="0078171E"/>
    <w:rsid w:val="0078658E"/>
    <w:rsid w:val="007920E2"/>
    <w:rsid w:val="0079566E"/>
    <w:rsid w:val="00795B34"/>
    <w:rsid w:val="007A067F"/>
    <w:rsid w:val="007B1770"/>
    <w:rsid w:val="007B4D3E"/>
    <w:rsid w:val="007B7C70"/>
    <w:rsid w:val="007B7DEB"/>
    <w:rsid w:val="007C0449"/>
    <w:rsid w:val="007C43B6"/>
    <w:rsid w:val="007D2151"/>
    <w:rsid w:val="007D3B90"/>
    <w:rsid w:val="007D42CC"/>
    <w:rsid w:val="007D5DE4"/>
    <w:rsid w:val="007D7C3A"/>
    <w:rsid w:val="007E0777"/>
    <w:rsid w:val="007E1341"/>
    <w:rsid w:val="007E1B41"/>
    <w:rsid w:val="007E1EC4"/>
    <w:rsid w:val="007E30B9"/>
    <w:rsid w:val="007E74F1"/>
    <w:rsid w:val="007F0F0C"/>
    <w:rsid w:val="007F1288"/>
    <w:rsid w:val="007F3E11"/>
    <w:rsid w:val="00800A8A"/>
    <w:rsid w:val="0080155C"/>
    <w:rsid w:val="008017B4"/>
    <w:rsid w:val="00802D35"/>
    <w:rsid w:val="008052E1"/>
    <w:rsid w:val="00805473"/>
    <w:rsid w:val="00811EEB"/>
    <w:rsid w:val="00812764"/>
    <w:rsid w:val="0082081A"/>
    <w:rsid w:val="00822F2C"/>
    <w:rsid w:val="00823DEE"/>
    <w:rsid w:val="008305E8"/>
    <w:rsid w:val="00836165"/>
    <w:rsid w:val="008365B2"/>
    <w:rsid w:val="0084640C"/>
    <w:rsid w:val="00856088"/>
    <w:rsid w:val="00860826"/>
    <w:rsid w:val="00860E21"/>
    <w:rsid w:val="00863117"/>
    <w:rsid w:val="0086388B"/>
    <w:rsid w:val="008642E5"/>
    <w:rsid w:val="00864488"/>
    <w:rsid w:val="00870A36"/>
    <w:rsid w:val="00872D93"/>
    <w:rsid w:val="00880470"/>
    <w:rsid w:val="00880D94"/>
    <w:rsid w:val="008814E8"/>
    <w:rsid w:val="00886F64"/>
    <w:rsid w:val="008924DE"/>
    <w:rsid w:val="008A3755"/>
    <w:rsid w:val="008A5D85"/>
    <w:rsid w:val="008B19DC"/>
    <w:rsid w:val="008B264F"/>
    <w:rsid w:val="008B6F83"/>
    <w:rsid w:val="008B7FD8"/>
    <w:rsid w:val="008C08E5"/>
    <w:rsid w:val="008C2973"/>
    <w:rsid w:val="008C6324"/>
    <w:rsid w:val="008C64C4"/>
    <w:rsid w:val="008D2CDD"/>
    <w:rsid w:val="008D74D5"/>
    <w:rsid w:val="008D7C9F"/>
    <w:rsid w:val="008E04BA"/>
    <w:rsid w:val="008E0ED1"/>
    <w:rsid w:val="008E2083"/>
    <w:rsid w:val="008E3A07"/>
    <w:rsid w:val="008E537B"/>
    <w:rsid w:val="008F29BE"/>
    <w:rsid w:val="008F4AE5"/>
    <w:rsid w:val="008F51EB"/>
    <w:rsid w:val="00900197"/>
    <w:rsid w:val="00902F55"/>
    <w:rsid w:val="0090582B"/>
    <w:rsid w:val="009060C0"/>
    <w:rsid w:val="009133F5"/>
    <w:rsid w:val="0091756F"/>
    <w:rsid w:val="00920A27"/>
    <w:rsid w:val="00921216"/>
    <w:rsid w:val="009216CC"/>
    <w:rsid w:val="00922E41"/>
    <w:rsid w:val="00925892"/>
    <w:rsid w:val="00926083"/>
    <w:rsid w:val="00926D08"/>
    <w:rsid w:val="00930D08"/>
    <w:rsid w:val="00931466"/>
    <w:rsid w:val="00932D69"/>
    <w:rsid w:val="009354FD"/>
    <w:rsid w:val="00935589"/>
    <w:rsid w:val="00937408"/>
    <w:rsid w:val="009427FA"/>
    <w:rsid w:val="00944647"/>
    <w:rsid w:val="00946282"/>
    <w:rsid w:val="009469E2"/>
    <w:rsid w:val="0095565C"/>
    <w:rsid w:val="00964AB6"/>
    <w:rsid w:val="00966F9A"/>
    <w:rsid w:val="00977B8A"/>
    <w:rsid w:val="00982971"/>
    <w:rsid w:val="009845AD"/>
    <w:rsid w:val="00984835"/>
    <w:rsid w:val="009933EF"/>
    <w:rsid w:val="00995BA0"/>
    <w:rsid w:val="009A0B04"/>
    <w:rsid w:val="009A418B"/>
    <w:rsid w:val="009A426F"/>
    <w:rsid w:val="009A42D5"/>
    <w:rsid w:val="009A4473"/>
    <w:rsid w:val="009B05C9"/>
    <w:rsid w:val="009B286C"/>
    <w:rsid w:val="009C151C"/>
    <w:rsid w:val="009C440A"/>
    <w:rsid w:val="009D5125"/>
    <w:rsid w:val="009D60B8"/>
    <w:rsid w:val="009D7D4B"/>
    <w:rsid w:val="009E36ED"/>
    <w:rsid w:val="009E3B47"/>
    <w:rsid w:val="009E3C8C"/>
    <w:rsid w:val="009E6B77"/>
    <w:rsid w:val="009F4372"/>
    <w:rsid w:val="009F460A"/>
    <w:rsid w:val="00A043FB"/>
    <w:rsid w:val="00A06BE4"/>
    <w:rsid w:val="00A0729C"/>
    <w:rsid w:val="00A073CF"/>
    <w:rsid w:val="00A07779"/>
    <w:rsid w:val="00A1166A"/>
    <w:rsid w:val="00A20B2E"/>
    <w:rsid w:val="00A24F33"/>
    <w:rsid w:val="00A25069"/>
    <w:rsid w:val="00A26E6B"/>
    <w:rsid w:val="00A3068F"/>
    <w:rsid w:val="00A3145B"/>
    <w:rsid w:val="00A339D0"/>
    <w:rsid w:val="00A3415C"/>
    <w:rsid w:val="00A41002"/>
    <w:rsid w:val="00A4201A"/>
    <w:rsid w:val="00A5465D"/>
    <w:rsid w:val="00A553CE"/>
    <w:rsid w:val="00A5677A"/>
    <w:rsid w:val="00A56DCC"/>
    <w:rsid w:val="00A61E95"/>
    <w:rsid w:val="00A625E8"/>
    <w:rsid w:val="00A63DFF"/>
    <w:rsid w:val="00A64496"/>
    <w:rsid w:val="00A6490D"/>
    <w:rsid w:val="00A67033"/>
    <w:rsid w:val="00A7415D"/>
    <w:rsid w:val="00A80363"/>
    <w:rsid w:val="00A80939"/>
    <w:rsid w:val="00A81789"/>
    <w:rsid w:val="00A83E9D"/>
    <w:rsid w:val="00A87C05"/>
    <w:rsid w:val="00A9169D"/>
    <w:rsid w:val="00A93598"/>
    <w:rsid w:val="00A97A3A"/>
    <w:rsid w:val="00AA240C"/>
    <w:rsid w:val="00AB0332"/>
    <w:rsid w:val="00AB0DC2"/>
    <w:rsid w:val="00AC101C"/>
    <w:rsid w:val="00AD4CF1"/>
    <w:rsid w:val="00AD5988"/>
    <w:rsid w:val="00AD6293"/>
    <w:rsid w:val="00AE1643"/>
    <w:rsid w:val="00AE16AF"/>
    <w:rsid w:val="00AF372E"/>
    <w:rsid w:val="00AF7800"/>
    <w:rsid w:val="00B00CF5"/>
    <w:rsid w:val="00B072E0"/>
    <w:rsid w:val="00B1007E"/>
    <w:rsid w:val="00B13D41"/>
    <w:rsid w:val="00B221E3"/>
    <w:rsid w:val="00B253F6"/>
    <w:rsid w:val="00B26675"/>
    <w:rsid w:val="00B305DB"/>
    <w:rsid w:val="00B332F8"/>
    <w:rsid w:val="00B3492B"/>
    <w:rsid w:val="00B400F3"/>
    <w:rsid w:val="00B4646F"/>
    <w:rsid w:val="00B55C7D"/>
    <w:rsid w:val="00B63038"/>
    <w:rsid w:val="00B64BD8"/>
    <w:rsid w:val="00B701D1"/>
    <w:rsid w:val="00B73AF2"/>
    <w:rsid w:val="00B73D79"/>
    <w:rsid w:val="00B7551A"/>
    <w:rsid w:val="00B773F1"/>
    <w:rsid w:val="00B86AB1"/>
    <w:rsid w:val="00B87726"/>
    <w:rsid w:val="00B91B22"/>
    <w:rsid w:val="00BA7EBA"/>
    <w:rsid w:val="00BB2A06"/>
    <w:rsid w:val="00BB2CBB"/>
    <w:rsid w:val="00BB4198"/>
    <w:rsid w:val="00BC03EE"/>
    <w:rsid w:val="00BC59F1"/>
    <w:rsid w:val="00BD488E"/>
    <w:rsid w:val="00BE3646"/>
    <w:rsid w:val="00BF3DE1"/>
    <w:rsid w:val="00BF4843"/>
    <w:rsid w:val="00BF5205"/>
    <w:rsid w:val="00C05132"/>
    <w:rsid w:val="00C12508"/>
    <w:rsid w:val="00C23728"/>
    <w:rsid w:val="00C3026C"/>
    <w:rsid w:val="00C313A9"/>
    <w:rsid w:val="00C347C8"/>
    <w:rsid w:val="00C358E4"/>
    <w:rsid w:val="00C418EE"/>
    <w:rsid w:val="00C441CF"/>
    <w:rsid w:val="00C45AA2"/>
    <w:rsid w:val="00C4792C"/>
    <w:rsid w:val="00C533E1"/>
    <w:rsid w:val="00C55BEF"/>
    <w:rsid w:val="00C57C00"/>
    <w:rsid w:val="00C601AF"/>
    <w:rsid w:val="00C61A63"/>
    <w:rsid w:val="00C66296"/>
    <w:rsid w:val="00C7394D"/>
    <w:rsid w:val="00C756B7"/>
    <w:rsid w:val="00C77282"/>
    <w:rsid w:val="00C84DE5"/>
    <w:rsid w:val="00C86248"/>
    <w:rsid w:val="00C90B31"/>
    <w:rsid w:val="00C919F8"/>
    <w:rsid w:val="00CA0D6F"/>
    <w:rsid w:val="00CA4C33"/>
    <w:rsid w:val="00CA6F4A"/>
    <w:rsid w:val="00CB3483"/>
    <w:rsid w:val="00CB6427"/>
    <w:rsid w:val="00CC0FBE"/>
    <w:rsid w:val="00CC1560"/>
    <w:rsid w:val="00CD077C"/>
    <w:rsid w:val="00CD2119"/>
    <w:rsid w:val="00CD237A"/>
    <w:rsid w:val="00CD30EF"/>
    <w:rsid w:val="00CD36AC"/>
    <w:rsid w:val="00CE13A3"/>
    <w:rsid w:val="00CE36BC"/>
    <w:rsid w:val="00CF1747"/>
    <w:rsid w:val="00CF1B67"/>
    <w:rsid w:val="00CF60ED"/>
    <w:rsid w:val="00D05D74"/>
    <w:rsid w:val="00D20C59"/>
    <w:rsid w:val="00D22071"/>
    <w:rsid w:val="00D23323"/>
    <w:rsid w:val="00D2392A"/>
    <w:rsid w:val="00D25FFE"/>
    <w:rsid w:val="00D27922"/>
    <w:rsid w:val="00D27A64"/>
    <w:rsid w:val="00D37D80"/>
    <w:rsid w:val="00D442F3"/>
    <w:rsid w:val="00D44483"/>
    <w:rsid w:val="00D4476F"/>
    <w:rsid w:val="00D50573"/>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A0232"/>
    <w:rsid w:val="00DA7F9E"/>
    <w:rsid w:val="00DB39CF"/>
    <w:rsid w:val="00DB7256"/>
    <w:rsid w:val="00DC0401"/>
    <w:rsid w:val="00DC20BD"/>
    <w:rsid w:val="00DD0BCD"/>
    <w:rsid w:val="00DD447A"/>
    <w:rsid w:val="00DD6F1A"/>
    <w:rsid w:val="00DE3B20"/>
    <w:rsid w:val="00DE6C94"/>
    <w:rsid w:val="00DE6FD7"/>
    <w:rsid w:val="00DF0C7C"/>
    <w:rsid w:val="00E01F89"/>
    <w:rsid w:val="00E10B18"/>
    <w:rsid w:val="00E23271"/>
    <w:rsid w:val="00E24F80"/>
    <w:rsid w:val="00E259F3"/>
    <w:rsid w:val="00E30985"/>
    <w:rsid w:val="00E33238"/>
    <w:rsid w:val="00E33934"/>
    <w:rsid w:val="00E376B7"/>
    <w:rsid w:val="00E42F5D"/>
    <w:rsid w:val="00E4486C"/>
    <w:rsid w:val="00E460B6"/>
    <w:rsid w:val="00E511D5"/>
    <w:rsid w:val="00E53A9F"/>
    <w:rsid w:val="00E57349"/>
    <w:rsid w:val="00E60249"/>
    <w:rsid w:val="00E62238"/>
    <w:rsid w:val="00E65269"/>
    <w:rsid w:val="00E66F0C"/>
    <w:rsid w:val="00E76D66"/>
    <w:rsid w:val="00EA796A"/>
    <w:rsid w:val="00EB1856"/>
    <w:rsid w:val="00EB3ECE"/>
    <w:rsid w:val="00EC50CE"/>
    <w:rsid w:val="00EC5B34"/>
    <w:rsid w:val="00ED021E"/>
    <w:rsid w:val="00ED323C"/>
    <w:rsid w:val="00EE2D5C"/>
    <w:rsid w:val="00EE447B"/>
    <w:rsid w:val="00EE4ADE"/>
    <w:rsid w:val="00EE4DE8"/>
    <w:rsid w:val="00EE5CB7"/>
    <w:rsid w:val="00F000BF"/>
    <w:rsid w:val="00F024FE"/>
    <w:rsid w:val="00F05AD4"/>
    <w:rsid w:val="00F103BE"/>
    <w:rsid w:val="00F10EB6"/>
    <w:rsid w:val="00F13F07"/>
    <w:rsid w:val="00F140B2"/>
    <w:rsid w:val="00F16595"/>
    <w:rsid w:val="00F25970"/>
    <w:rsid w:val="00F311A9"/>
    <w:rsid w:val="00F31343"/>
    <w:rsid w:val="00F37381"/>
    <w:rsid w:val="00F5180D"/>
    <w:rsid w:val="00F54E74"/>
    <w:rsid w:val="00F63781"/>
    <w:rsid w:val="00F67496"/>
    <w:rsid w:val="00F7421E"/>
    <w:rsid w:val="00F801BA"/>
    <w:rsid w:val="00F807AD"/>
    <w:rsid w:val="00F9366A"/>
    <w:rsid w:val="00F946C9"/>
    <w:rsid w:val="00FA0EA5"/>
    <w:rsid w:val="00FA68C7"/>
    <w:rsid w:val="00FA74EE"/>
    <w:rsid w:val="00FB0A5B"/>
    <w:rsid w:val="00FB1B8E"/>
    <w:rsid w:val="00FC3711"/>
    <w:rsid w:val="00FC46E7"/>
    <w:rsid w:val="00FC5D25"/>
    <w:rsid w:val="00FD0D7E"/>
    <w:rsid w:val="00FD16C4"/>
    <w:rsid w:val="00FD362F"/>
    <w:rsid w:val="00FD47FE"/>
    <w:rsid w:val="00FD4FFB"/>
    <w:rsid w:val="00FE022F"/>
    <w:rsid w:val="00FE57C7"/>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3860D"/>
  <w15:docId w15:val="{C685C496-4819-431E-A627-2432C4655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qFormat="1"/>
    <w:lsdException w:name="Body Text 3" w:semiHidden="1" w:unhideWhenUsed="1" w:qFormat="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qFormat/>
    <w:rsid w:val="00DA7F9E"/>
    <w:pPr>
      <w:pageBreakBefore/>
      <w:spacing w:after="360"/>
      <w:outlineLvl w:val="0"/>
    </w:pPr>
    <w:rPr>
      <w:b/>
      <w:color w:val="23305D"/>
      <w:spacing w:val="-10"/>
      <w:sz w:val="72"/>
    </w:rPr>
  </w:style>
  <w:style w:type="paragraph" w:styleId="Heading2">
    <w:name w:val="heading 2"/>
    <w:basedOn w:val="Normal"/>
    <w:next w:val="Normal"/>
    <w:link w:val="Heading2Char"/>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27FA"/>
    <w:rPr>
      <w:rFonts w:ascii="Segoe UI" w:hAnsi="Segoe UI"/>
      <w:b/>
      <w:color w:val="23305D"/>
      <w:spacing w:val="-10"/>
      <w:sz w:val="72"/>
      <w:lang w:eastAsia="en-GB"/>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656F28"/>
    <w:pPr>
      <w:tabs>
        <w:tab w:val="right" w:pos="8080"/>
      </w:tabs>
      <w:spacing w:before="60"/>
      <w:ind w:left="284" w:right="567"/>
    </w:pPr>
  </w:style>
  <w:style w:type="paragraph" w:styleId="TOC3">
    <w:name w:val="toc 3"/>
    <w:basedOn w:val="Normal"/>
    <w:next w:val="Normal"/>
    <w:uiPriority w:val="39"/>
    <w:rsid w:val="004258BC"/>
    <w:pPr>
      <w:tabs>
        <w:tab w:val="right" w:pos="8080"/>
      </w:tabs>
      <w:spacing w:before="120"/>
      <w:ind w:left="992" w:right="567" w:hanging="992"/>
    </w:pPr>
  </w:style>
  <w:style w:type="paragraph" w:customStyle="1" w:styleId="Bullet">
    <w:name w:val="Bullet"/>
    <w:basedOn w:val="Normal"/>
    <w:link w:val="BulletChar"/>
    <w:uiPriority w:val="99"/>
    <w:qFormat/>
    <w:rsid w:val="00FA0EA5"/>
    <w:pPr>
      <w:numPr>
        <w:numId w:val="1"/>
      </w:numPr>
      <w:tabs>
        <w:tab w:val="clear" w:pos="284"/>
      </w:tabs>
      <w:spacing w:before="90"/>
    </w:pPr>
  </w:style>
  <w:style w:type="character" w:customStyle="1" w:styleId="BulletChar">
    <w:name w:val="Bullet Char"/>
    <w:link w:val="Bullet"/>
    <w:uiPriority w:val="99"/>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uiPriority w:val="99"/>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0419A9"/>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qFormat/>
    <w:rsid w:val="00F54E74"/>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Roman">
    <w:name w:val="Roman"/>
    <w:basedOn w:val="Normal"/>
    <w:qFormat/>
    <w:rsid w:val="00AD6293"/>
    <w:pPr>
      <w:numPr>
        <w:ilvl w:val="5"/>
        <w:numId w:val="5"/>
      </w:numPr>
      <w:spacing w:before="90"/>
    </w:pPr>
    <w:rPr>
      <w:rFonts w:eastAsia="Arial Unicode MS"/>
    </w:rPr>
  </w:style>
  <w:style w:type="character" w:styleId="CommentReference">
    <w:name w:val="annotation reference"/>
    <w:basedOn w:val="DefaultParagraphFont"/>
    <w:uiPriority w:val="99"/>
    <w:semiHidden/>
    <w:unhideWhenUsed/>
    <w:rsid w:val="0082081A"/>
    <w:rPr>
      <w:sz w:val="16"/>
      <w:szCs w:val="16"/>
    </w:rPr>
  </w:style>
  <w:style w:type="paragraph" w:styleId="CommentText">
    <w:name w:val="annotation text"/>
    <w:basedOn w:val="Normal"/>
    <w:link w:val="CommentTextChar"/>
    <w:uiPriority w:val="99"/>
    <w:semiHidden/>
    <w:unhideWhenUsed/>
    <w:rsid w:val="0082081A"/>
    <w:rPr>
      <w:sz w:val="48"/>
    </w:rPr>
  </w:style>
  <w:style w:type="character" w:customStyle="1" w:styleId="CommentTextChar">
    <w:name w:val="Comment Text Char"/>
    <w:basedOn w:val="DefaultParagraphFont"/>
    <w:link w:val="CommentText"/>
    <w:uiPriority w:val="99"/>
    <w:semiHidden/>
    <w:rsid w:val="0082081A"/>
    <w:rPr>
      <w:rFonts w:ascii="Segoe UI" w:hAnsi="Segoe UI"/>
      <w:sz w:val="48"/>
      <w:lang w:eastAsia="en-GB"/>
    </w:rPr>
  </w:style>
  <w:style w:type="paragraph" w:styleId="CommentSubject">
    <w:name w:val="annotation subject"/>
    <w:basedOn w:val="CommentText"/>
    <w:next w:val="CommentText"/>
    <w:link w:val="CommentSubjectChar"/>
    <w:semiHidden/>
    <w:unhideWhenUsed/>
    <w:rsid w:val="0082081A"/>
    <w:rPr>
      <w:b/>
      <w:bCs/>
    </w:rPr>
  </w:style>
  <w:style w:type="character" w:customStyle="1" w:styleId="CommentSubjectChar">
    <w:name w:val="Comment Subject Char"/>
    <w:basedOn w:val="CommentTextChar"/>
    <w:link w:val="CommentSubject"/>
    <w:semiHidden/>
    <w:rsid w:val="0082081A"/>
    <w:rPr>
      <w:rFonts w:ascii="Segoe UI" w:hAnsi="Segoe UI"/>
      <w:b/>
      <w:bCs/>
      <w:sz w:val="48"/>
      <w:lang w:eastAsia="en-GB"/>
    </w:rPr>
  </w:style>
  <w:style w:type="paragraph" w:styleId="BalloonText">
    <w:name w:val="Balloon Text"/>
    <w:basedOn w:val="Normal"/>
    <w:link w:val="BalloonTextChar"/>
    <w:semiHidden/>
    <w:unhideWhenUsed/>
    <w:rsid w:val="0082081A"/>
    <w:rPr>
      <w:rFonts w:ascii="Tahoma" w:hAnsi="Tahoma" w:cs="Tahoma"/>
      <w:sz w:val="16"/>
      <w:szCs w:val="16"/>
    </w:rPr>
  </w:style>
  <w:style w:type="character" w:customStyle="1" w:styleId="BalloonTextChar">
    <w:name w:val="Balloon Text Char"/>
    <w:basedOn w:val="DefaultParagraphFont"/>
    <w:link w:val="BalloonText"/>
    <w:semiHidden/>
    <w:rsid w:val="0082081A"/>
    <w:rPr>
      <w:rFonts w:ascii="Tahoma" w:hAnsi="Tahoma" w:cs="Tahoma"/>
      <w:sz w:val="16"/>
      <w:szCs w:val="16"/>
      <w:lang w:eastAsia="en-GB"/>
    </w:rPr>
  </w:style>
  <w:style w:type="paragraph" w:styleId="Caption">
    <w:name w:val="caption"/>
    <w:basedOn w:val="Normal"/>
    <w:next w:val="Normal"/>
    <w:unhideWhenUsed/>
    <w:qFormat/>
    <w:rsid w:val="00805473"/>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hyperlink" Target="http://www.health.govt.nz"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yperlink" Target="https://www.health.govt.nz/our-work/mental-health-and-addiction/suicide-prevention-new-zealand"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Emeha\AppData\Local\Microsoft\Windows\INetCache\Content.Outlook\RVLH5BAC\Year_Summary_202104.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947223706903674E-2"/>
          <c:y val="0.14769552418893478"/>
          <c:w val="0.92220426841139014"/>
          <c:h val="0.70277168128092304"/>
        </c:manualLayout>
      </c:layout>
      <c:lineChart>
        <c:grouping val="standard"/>
        <c:varyColors val="0"/>
        <c:ser>
          <c:idx val="0"/>
          <c:order val="0"/>
          <c:tx>
            <c:v>Service users</c:v>
          </c:tx>
          <c:spPr>
            <a:ln w="28575" cap="rnd">
              <a:solidFill>
                <a:schemeClr val="accent1"/>
              </a:solidFill>
              <a:round/>
            </a:ln>
            <a:effectLst/>
          </c:spPr>
          <c:marker>
            <c:symbol val="none"/>
          </c:marker>
          <c:cat>
            <c:numLit>
              <c:formatCode>General</c:formatCode>
              <c:ptCount val="17"/>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numLit>
          </c:cat>
          <c:val>
            <c:numRef>
              <c:f>(Yr_Summ_Intent!$D$11,Yr_Summ_Intent!$D$15,Yr_Summ_Intent!$D$19,Yr_Summ_Intent!$D$23,Yr_Summ_Intent!$D$27,Yr_Summ_Intent!$D$31,Yr_Summ_Intent!$D$35,Yr_Summ_Intent!$D$39,Yr_Summ_Intent!$D$43,Yr_Summ_Intent!$D$47,Yr_Summ_Intent!$D$51,Yr_Summ_Intent!$D$55,Yr_Summ_Intent!$D$59,Yr_Summ_Intent!$D$63,Yr_Summ_Intent!$D$67,Yr_Summ_Intent!$D$71,Yr_Summ_Intent!$D$75)</c:f>
              <c:numCache>
                <c:formatCode>0.0</c:formatCode>
                <c:ptCount val="17"/>
                <c:pt idx="0">
                  <c:v>189.81656330606017</c:v>
                </c:pt>
                <c:pt idx="1">
                  <c:v>155.79923988595513</c:v>
                </c:pt>
                <c:pt idx="2">
                  <c:v>193.4431469320169</c:v>
                </c:pt>
                <c:pt idx="3">
                  <c:v>176.90691919578222</c:v>
                </c:pt>
                <c:pt idx="4">
                  <c:v>158.28472578465048</c:v>
                </c:pt>
                <c:pt idx="5">
                  <c:v>182.7217671363328</c:v>
                </c:pt>
                <c:pt idx="6">
                  <c:v>157.19360192021321</c:v>
                </c:pt>
                <c:pt idx="7">
                  <c:v>146.09125299770022</c:v>
                </c:pt>
                <c:pt idx="8">
                  <c:v>140.75722969998805</c:v>
                </c:pt>
                <c:pt idx="9">
                  <c:v>126.12412335736691</c:v>
                </c:pt>
                <c:pt idx="10">
                  <c:v>128.63924379748426</c:v>
                </c:pt>
                <c:pt idx="11">
                  <c:v>138.21358575247422</c:v>
                </c:pt>
                <c:pt idx="12">
                  <c:v>119.45987466162369</c:v>
                </c:pt>
                <c:pt idx="13">
                  <c:v>143.80910764113312</c:v>
                </c:pt>
                <c:pt idx="14">
                  <c:v>131.93429867888923</c:v>
                </c:pt>
                <c:pt idx="15">
                  <c:v>138.34800027372657</c:v>
                </c:pt>
                <c:pt idx="16">
                  <c:v>136.07704470787081</c:v>
                </c:pt>
              </c:numCache>
            </c:numRef>
          </c:val>
          <c:smooth val="0"/>
          <c:extLst>
            <c:ext xmlns:c16="http://schemas.microsoft.com/office/drawing/2014/chart" uri="{C3380CC4-5D6E-409C-BE32-E72D297353CC}">
              <c16:uniqueId val="{00000000-1423-4BD3-9C4A-0CA86697204E}"/>
            </c:ext>
          </c:extLst>
        </c:ser>
        <c:ser>
          <c:idx val="1"/>
          <c:order val="1"/>
          <c:tx>
            <c:v>Non-service users</c:v>
          </c:tx>
          <c:spPr>
            <a:ln w="28575" cap="rnd">
              <a:solidFill>
                <a:schemeClr val="accent2"/>
              </a:solidFill>
              <a:round/>
            </a:ln>
            <a:effectLst/>
          </c:spPr>
          <c:marker>
            <c:symbol val="none"/>
          </c:marker>
          <c:cat>
            <c:numLit>
              <c:formatCode>General</c:formatCode>
              <c:ptCount val="17"/>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numLit>
          </c:cat>
          <c:val>
            <c:numRef>
              <c:f>(Yr_Summ_Intent!$F$11,Yr_Summ_Intent!$F$15,Yr_Summ_Intent!$F$19,Yr_Summ_Intent!$F$23,Yr_Summ_Intent!$F$27,Yr_Summ_Intent!$F$31,Yr_Summ_Intent!$F$35,Yr_Summ_Intent!$F$39,Yr_Summ_Intent!$F$43,Yr_Summ_Intent!$F$47,Yr_Summ_Intent!$F$51,Yr_Summ_Intent!$F$55,Yr_Summ_Intent!$F$59,Yr_Summ_Intent!$F$63,Yr_Summ_Intent!$F$67,Yr_Summ_Intent!$F$71,Yr_Summ_Intent!$F$75)</c:f>
              <c:numCache>
                <c:formatCode>0.0</c:formatCode>
                <c:ptCount val="17"/>
                <c:pt idx="0">
                  <c:v>9.0041742627565746</c:v>
                </c:pt>
                <c:pt idx="1">
                  <c:v>8.9498299906679044</c:v>
                </c:pt>
                <c:pt idx="2">
                  <c:v>8.5107167826700181</c:v>
                </c:pt>
                <c:pt idx="3">
                  <c:v>8.4182056851607232</c:v>
                </c:pt>
                <c:pt idx="4">
                  <c:v>9.5739635081590038</c:v>
                </c:pt>
                <c:pt idx="5">
                  <c:v>8.5648943878942028</c:v>
                </c:pt>
                <c:pt idx="6">
                  <c:v>8.0326054859111764</c:v>
                </c:pt>
                <c:pt idx="7">
                  <c:v>8.5409014390858253</c:v>
                </c:pt>
                <c:pt idx="8">
                  <c:v>8.3293708562447684</c:v>
                </c:pt>
                <c:pt idx="9">
                  <c:v>8.6760516075868175</c:v>
                </c:pt>
                <c:pt idx="10">
                  <c:v>7.4098332649371876</c:v>
                </c:pt>
                <c:pt idx="11">
                  <c:v>8.2253519608013086</c:v>
                </c:pt>
                <c:pt idx="12">
                  <c:v>7.7887802230659524</c:v>
                </c:pt>
                <c:pt idx="13">
                  <c:v>6.5445419558265998</c:v>
                </c:pt>
                <c:pt idx="14">
                  <c:v>6.9617689722535987</c:v>
                </c:pt>
                <c:pt idx="15">
                  <c:v>7.2851583046881805</c:v>
                </c:pt>
                <c:pt idx="16">
                  <c:v>7.6547964711205587</c:v>
                </c:pt>
              </c:numCache>
            </c:numRef>
          </c:val>
          <c:smooth val="0"/>
          <c:extLst>
            <c:ext xmlns:c16="http://schemas.microsoft.com/office/drawing/2014/chart" uri="{C3380CC4-5D6E-409C-BE32-E72D297353CC}">
              <c16:uniqueId val="{00000001-1423-4BD3-9C4A-0CA86697204E}"/>
            </c:ext>
          </c:extLst>
        </c:ser>
        <c:dLbls>
          <c:showLegendKey val="0"/>
          <c:showVal val="0"/>
          <c:showCatName val="0"/>
          <c:showSerName val="0"/>
          <c:showPercent val="0"/>
          <c:showBubbleSize val="0"/>
        </c:dLbls>
        <c:smooth val="0"/>
        <c:axId val="278993536"/>
        <c:axId val="278999808"/>
      </c:lineChart>
      <c:catAx>
        <c:axId val="278993536"/>
        <c:scaling>
          <c:orientation val="minMax"/>
        </c:scaling>
        <c:delete val="0"/>
        <c:axPos val="b"/>
        <c:title>
          <c:tx>
            <c:rich>
              <a:bodyPr rot="0" vert="horz"/>
              <a:lstStyle/>
              <a:p>
                <a:pPr>
                  <a:defRPr b="0"/>
                </a:pPr>
                <a:r>
                  <a:rPr lang="en-NZ" b="0"/>
                  <a:t>Year</a:t>
                </a:r>
              </a:p>
            </c:rich>
          </c:tx>
          <c:overlay val="0"/>
          <c:spPr>
            <a:noFill/>
            <a:ln>
              <a:noFill/>
            </a:ln>
            <a:effectLst/>
          </c:spPr>
        </c:title>
        <c:numFmt formatCode="General" sourceLinked="1"/>
        <c:majorTickMark val="none"/>
        <c:minorTickMark val="out"/>
        <c:tickLblPos val="nextTo"/>
        <c:spPr>
          <a:noFill/>
          <a:ln w="9525" cap="flat" cmpd="sng" algn="ctr">
            <a:solidFill>
              <a:schemeClr val="tx1"/>
            </a:solidFill>
            <a:round/>
          </a:ln>
          <a:effectLst/>
        </c:spPr>
        <c:txPr>
          <a:bodyPr rot="-60000000" vert="horz"/>
          <a:lstStyle/>
          <a:p>
            <a:pPr>
              <a:defRPr/>
            </a:pPr>
            <a:endParaRPr lang="en-US"/>
          </a:p>
        </c:txPr>
        <c:crossAx val="278999808"/>
        <c:crosses val="autoZero"/>
        <c:auto val="1"/>
        <c:lblAlgn val="ctr"/>
        <c:lblOffset val="100"/>
        <c:noMultiLvlLbl val="0"/>
      </c:catAx>
      <c:valAx>
        <c:axId val="278999808"/>
        <c:scaling>
          <c:orientation val="minMax"/>
        </c:scaling>
        <c:delete val="0"/>
        <c:axPos val="l"/>
        <c:title>
          <c:tx>
            <c:rich>
              <a:bodyPr rot="0"/>
              <a:lstStyle/>
              <a:p>
                <a:pPr algn="l">
                  <a:defRPr b="0"/>
                </a:pPr>
                <a:r>
                  <a:rPr lang="en-NZ" b="0"/>
                  <a:t>Age-standardised rate</a:t>
                </a:r>
              </a:p>
            </c:rich>
          </c:tx>
          <c:layout>
            <c:manualLayout>
              <c:xMode val="edge"/>
              <c:yMode val="edge"/>
              <c:x val="0"/>
              <c:y val="7.2105570137064804E-4"/>
            </c:manualLayout>
          </c:layout>
          <c:overlay val="0"/>
          <c:spPr>
            <a:noFill/>
            <a:ln>
              <a:noFill/>
            </a:ln>
            <a:effectLst/>
          </c:spPr>
        </c:title>
        <c:numFmt formatCode="0" sourceLinked="0"/>
        <c:majorTickMark val="out"/>
        <c:minorTickMark val="none"/>
        <c:tickLblPos val="nextTo"/>
        <c:spPr>
          <a:noFill/>
          <a:ln>
            <a:solidFill>
              <a:schemeClr val="tx1"/>
            </a:solidFill>
          </a:ln>
          <a:effectLst/>
        </c:spPr>
        <c:txPr>
          <a:bodyPr rot="-60000000" vert="horz"/>
          <a:lstStyle/>
          <a:p>
            <a:pPr>
              <a:defRPr/>
            </a:pPr>
            <a:endParaRPr lang="en-US"/>
          </a:p>
        </c:txPr>
        <c:crossAx val="278993536"/>
        <c:crosses val="autoZero"/>
        <c:crossBetween val="between"/>
      </c:valAx>
      <c:spPr>
        <a:noFill/>
        <a:ln>
          <a:noFill/>
        </a:ln>
        <a:effectLst/>
      </c:spPr>
    </c:plotArea>
    <c:legend>
      <c:legendPos val="b"/>
      <c:layout>
        <c:manualLayout>
          <c:xMode val="edge"/>
          <c:yMode val="edge"/>
          <c:x val="0.69656159200835677"/>
          <c:y val="3.2514371286411277E-2"/>
          <c:w val="0.27363652041421666"/>
          <c:h val="0.1423620760640214"/>
        </c:manualLayout>
      </c:layout>
      <c:overlay val="0"/>
      <c:spPr>
        <a:noFill/>
        <a:ln>
          <a:noFill/>
        </a:ln>
        <a:effectLst/>
      </c:spPr>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latin typeface="Segoe UI" panose="020B0502040204020203" pitchFamily="34" charset="0"/>
          <a:cs typeface="Segoe UI" panose="020B0502040204020203"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endParaRPr lang="en-NZ"/>
          </a:p>
        </c:rich>
      </c:tx>
      <c:overlay val="0"/>
      <c:spPr>
        <a:noFill/>
        <a:ln>
          <a:noFill/>
        </a:ln>
        <a:effectLst/>
      </c:spPr>
    </c:title>
    <c:autoTitleDeleted val="0"/>
    <c:plotArea>
      <c:layout>
        <c:manualLayout>
          <c:layoutTarget val="inner"/>
          <c:xMode val="edge"/>
          <c:yMode val="edge"/>
          <c:x val="7.3009336396400476E-2"/>
          <c:y val="0.11959582839047578"/>
          <c:w val="0.91003634550702739"/>
          <c:h val="0.6936844535366754"/>
        </c:manualLayout>
      </c:layout>
      <c:barChart>
        <c:barDir val="col"/>
        <c:grouping val="clustered"/>
        <c:varyColors val="0"/>
        <c:ser>
          <c:idx val="0"/>
          <c:order val="0"/>
          <c:tx>
            <c:strRef>
              <c:f>Sheet1!$N$17:$N$18</c:f>
              <c:strCache>
                <c:ptCount val="2"/>
                <c:pt idx="1">
                  <c:v>Female Service users </c:v>
                </c:pt>
              </c:strCache>
            </c:strRef>
          </c:tx>
          <c:spPr>
            <a:solidFill>
              <a:schemeClr val="accent1"/>
            </a:solidFill>
            <a:ln>
              <a:noFill/>
            </a:ln>
            <a:effectLst/>
          </c:spPr>
          <c:invertIfNegative val="0"/>
          <c:cat>
            <c:strRef>
              <c:f>Sheet1!$M$19:$M$23</c:f>
              <c:strCache>
                <c:ptCount val="5"/>
                <c:pt idx="0">
                  <c:v>15-24</c:v>
                </c:pt>
                <c:pt idx="1">
                  <c:v>25-34</c:v>
                </c:pt>
                <c:pt idx="2">
                  <c:v>35-44</c:v>
                </c:pt>
                <c:pt idx="3">
                  <c:v>45-54</c:v>
                </c:pt>
                <c:pt idx="4">
                  <c:v>55-64</c:v>
                </c:pt>
              </c:strCache>
            </c:strRef>
          </c:cat>
          <c:val>
            <c:numRef>
              <c:f>Sheet1!$N$19:$N$23</c:f>
              <c:numCache>
                <c:formatCode>0.0</c:formatCode>
                <c:ptCount val="5"/>
                <c:pt idx="0">
                  <c:v>102.85281221241813</c:v>
                </c:pt>
                <c:pt idx="1">
                  <c:v>82.144724068404145</c:v>
                </c:pt>
                <c:pt idx="2">
                  <c:v>96.927401376369104</c:v>
                </c:pt>
                <c:pt idx="3">
                  <c:v>127.44265080713679</c:v>
                </c:pt>
                <c:pt idx="4">
                  <c:v>203.18849640512661</c:v>
                </c:pt>
              </c:numCache>
            </c:numRef>
          </c:val>
          <c:extLst>
            <c:ext xmlns:c16="http://schemas.microsoft.com/office/drawing/2014/chart" uri="{C3380CC4-5D6E-409C-BE32-E72D297353CC}">
              <c16:uniqueId val="{00000000-0086-4A8C-BB9F-83F6F2BDEB34}"/>
            </c:ext>
          </c:extLst>
        </c:ser>
        <c:ser>
          <c:idx val="1"/>
          <c:order val="1"/>
          <c:tx>
            <c:strRef>
              <c:f>Sheet1!$O$17:$O$18</c:f>
              <c:strCache>
                <c:ptCount val="2"/>
                <c:pt idx="1">
                  <c:v>Male service users</c:v>
                </c:pt>
              </c:strCache>
            </c:strRef>
          </c:tx>
          <c:spPr>
            <a:solidFill>
              <a:schemeClr val="accent2"/>
            </a:solidFill>
            <a:ln>
              <a:noFill/>
            </a:ln>
            <a:effectLst/>
          </c:spPr>
          <c:invertIfNegative val="0"/>
          <c:cat>
            <c:strRef>
              <c:f>Sheet1!$M$19:$M$23</c:f>
              <c:strCache>
                <c:ptCount val="5"/>
                <c:pt idx="0">
                  <c:v>15-24</c:v>
                </c:pt>
                <c:pt idx="1">
                  <c:v>25-34</c:v>
                </c:pt>
                <c:pt idx="2">
                  <c:v>35-44</c:v>
                </c:pt>
                <c:pt idx="3">
                  <c:v>45-54</c:v>
                </c:pt>
                <c:pt idx="4">
                  <c:v>55-64</c:v>
                </c:pt>
              </c:strCache>
            </c:strRef>
          </c:cat>
          <c:val>
            <c:numRef>
              <c:f>Sheet1!$O$19:$O$23</c:f>
              <c:numCache>
                <c:formatCode>0.0</c:formatCode>
                <c:ptCount val="5"/>
                <c:pt idx="0">
                  <c:v>167.07507239919804</c:v>
                </c:pt>
                <c:pt idx="1">
                  <c:v>272.0485891433633</c:v>
                </c:pt>
                <c:pt idx="2">
                  <c:v>276.44523945036184</c:v>
                </c:pt>
                <c:pt idx="3">
                  <c:v>296.70922495953965</c:v>
                </c:pt>
                <c:pt idx="4">
                  <c:v>238.69908995971952</c:v>
                </c:pt>
              </c:numCache>
            </c:numRef>
          </c:val>
          <c:extLst>
            <c:ext xmlns:c16="http://schemas.microsoft.com/office/drawing/2014/chart" uri="{C3380CC4-5D6E-409C-BE32-E72D297353CC}">
              <c16:uniqueId val="{00000001-0086-4A8C-BB9F-83F6F2BDEB34}"/>
            </c:ext>
          </c:extLst>
        </c:ser>
        <c:dLbls>
          <c:showLegendKey val="0"/>
          <c:showVal val="0"/>
          <c:showCatName val="0"/>
          <c:showSerName val="0"/>
          <c:showPercent val="0"/>
          <c:showBubbleSize val="0"/>
        </c:dLbls>
        <c:gapWidth val="219"/>
        <c:overlap val="-27"/>
        <c:axId val="279054592"/>
        <c:axId val="279060864"/>
      </c:barChart>
      <c:catAx>
        <c:axId val="279054592"/>
        <c:scaling>
          <c:orientation val="minMax"/>
        </c:scaling>
        <c:delete val="0"/>
        <c:axPos val="b"/>
        <c:title>
          <c:tx>
            <c:rich>
              <a:bodyPr rot="0" vert="horz"/>
              <a:lstStyle/>
              <a:p>
                <a:pPr>
                  <a:defRPr b="0"/>
                </a:pPr>
                <a:r>
                  <a:rPr lang="en-NZ" b="0"/>
                  <a:t>Age group</a:t>
                </a:r>
              </a:p>
            </c:rich>
          </c:tx>
          <c:layout>
            <c:manualLayout>
              <c:xMode val="edge"/>
              <c:yMode val="edge"/>
              <c:x val="0.46594003891453561"/>
              <c:y val="0.9063096417583563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50000"/>
                <a:lumOff val="50000"/>
              </a:schemeClr>
            </a:solidFill>
            <a:round/>
          </a:ln>
          <a:effectLst/>
        </c:spPr>
        <c:txPr>
          <a:bodyPr rot="-60000000" vert="horz"/>
          <a:lstStyle/>
          <a:p>
            <a:pPr>
              <a:defRPr/>
            </a:pPr>
            <a:endParaRPr lang="en-US"/>
          </a:p>
        </c:txPr>
        <c:crossAx val="279060864"/>
        <c:crosses val="autoZero"/>
        <c:auto val="1"/>
        <c:lblAlgn val="ctr"/>
        <c:lblOffset val="100"/>
        <c:noMultiLvlLbl val="0"/>
      </c:catAx>
      <c:valAx>
        <c:axId val="279060864"/>
        <c:scaling>
          <c:orientation val="minMax"/>
        </c:scaling>
        <c:delete val="0"/>
        <c:axPos val="l"/>
        <c:title>
          <c:tx>
            <c:rich>
              <a:bodyPr rot="0"/>
              <a:lstStyle/>
              <a:p>
                <a:pPr algn="l">
                  <a:defRPr b="0"/>
                </a:pPr>
                <a:r>
                  <a:rPr lang="en-NZ" b="0"/>
                  <a:t>Age specific rate</a:t>
                </a:r>
              </a:p>
            </c:rich>
          </c:tx>
          <c:layout>
            <c:manualLayout>
              <c:xMode val="edge"/>
              <c:yMode val="edge"/>
              <c:x val="2.2265620615258002E-3"/>
              <c:y val="3.5031548208791789E-3"/>
            </c:manualLayout>
          </c:layout>
          <c:overlay val="0"/>
          <c:spPr>
            <a:noFill/>
            <a:ln>
              <a:noFill/>
            </a:ln>
            <a:effectLst/>
          </c:spPr>
        </c:title>
        <c:numFmt formatCode="0" sourceLinked="0"/>
        <c:majorTickMark val="none"/>
        <c:minorTickMark val="none"/>
        <c:tickLblPos val="nextTo"/>
        <c:spPr>
          <a:noFill/>
          <a:ln>
            <a:solidFill>
              <a:schemeClr val="tx1">
                <a:lumMod val="50000"/>
                <a:lumOff val="50000"/>
              </a:schemeClr>
            </a:solidFill>
          </a:ln>
          <a:effectLst/>
        </c:spPr>
        <c:txPr>
          <a:bodyPr rot="-60000000" vert="horz"/>
          <a:lstStyle/>
          <a:p>
            <a:pPr>
              <a:defRPr/>
            </a:pPr>
            <a:endParaRPr lang="en-US"/>
          </a:p>
        </c:txPr>
        <c:crossAx val="279054592"/>
        <c:crosses val="autoZero"/>
        <c:crossBetween val="between"/>
      </c:valAx>
      <c:spPr>
        <a:noFill/>
        <a:ln>
          <a:noFill/>
        </a:ln>
        <a:effectLst/>
      </c:spPr>
    </c:plotArea>
    <c:legend>
      <c:legendPos val="b"/>
      <c:layout>
        <c:manualLayout>
          <c:xMode val="edge"/>
          <c:yMode val="edge"/>
          <c:x val="0.69923621699205929"/>
          <c:y val="2.7484312805270577E-3"/>
          <c:w val="0.19319977139954281"/>
          <c:h val="0.20243868523057137"/>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latin typeface="Segoe UI" panose="020B0502040204020203" pitchFamily="34" charset="0"/>
          <a:cs typeface="Segoe UI" panose="020B0502040204020203"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84797-A2ED-482D-AA6E-79F275FEC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26</TotalTime>
  <Pages>10</Pages>
  <Words>1675</Words>
  <Characters>9552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Suicide Data related to Mental Health Service Users (2017)</dc:title>
  <dc:creator>Ministry of Health</dc:creator>
  <cp:lastModifiedBy>Ministry of Health</cp:lastModifiedBy>
  <cp:revision>18</cp:revision>
  <cp:lastPrinted>2021-11-29T23:27:00Z</cp:lastPrinted>
  <dcterms:created xsi:type="dcterms:W3CDTF">2021-11-26T03:34:00Z</dcterms:created>
  <dcterms:modified xsi:type="dcterms:W3CDTF">2021-11-29T23:27:00Z</dcterms:modified>
</cp:coreProperties>
</file>