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0664922A" w:rsidR="008348B7" w:rsidRPr="00DD748F" w:rsidRDefault="00E0793A" w:rsidP="00242284">
            <w:pPr>
              <w:pStyle w:val="Title"/>
            </w:pPr>
            <w:r w:rsidRPr="00E0793A">
              <w:t>Smokefree Aotearoa</w:t>
            </w:r>
            <w:r w:rsidR="00242284" w:rsidRPr="00242284">
              <w:rPr>
                <w:b w:val="0"/>
              </w:rPr>
              <w:br/>
            </w:r>
            <w:r>
              <w:rPr>
                <w:b w:val="0"/>
              </w:rPr>
              <w:t>2025</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4F1B026D" w:rsidR="00423830" w:rsidRPr="00242284" w:rsidRDefault="00E0793A" w:rsidP="00242284">
            <w:pPr>
              <w:spacing w:after="120"/>
              <w:jc w:val="right"/>
              <w:rPr>
                <w:rFonts w:cs="Segoe UI"/>
                <w:color w:val="002B7F"/>
                <w:sz w:val="28"/>
                <w:szCs w:val="28"/>
              </w:rPr>
            </w:pPr>
            <w:r w:rsidRPr="0035219B">
              <w:rPr>
                <w:rFonts w:cs="Segoe UI"/>
                <w:sz w:val="28"/>
                <w:szCs w:val="28"/>
              </w:rPr>
              <w:t>December</w:t>
            </w:r>
            <w:r w:rsidR="00B341F9" w:rsidRPr="0035219B">
              <w:rPr>
                <w:rFonts w:cs="Segoe UI"/>
                <w:sz w:val="28"/>
                <w:szCs w:val="28"/>
              </w:rPr>
              <w:t xml:space="preserve"> 202</w:t>
            </w:r>
            <w:r w:rsidR="00DC5325" w:rsidRPr="0035219B">
              <w:rPr>
                <w:rFonts w:cs="Segoe UI"/>
                <w:sz w:val="28"/>
                <w:szCs w:val="28"/>
              </w:rPr>
              <w:t>1</w:t>
            </w:r>
          </w:p>
        </w:tc>
      </w:tr>
    </w:tbl>
    <w:p w14:paraId="068F0D58" w14:textId="77777777" w:rsidR="008348B7" w:rsidRDefault="008348B7" w:rsidP="00A401D7">
      <w:pPr>
        <w:spacing w:after="360"/>
      </w:pPr>
    </w:p>
    <w:p w14:paraId="64589B3D" w14:textId="0324F550" w:rsidR="00E0793A" w:rsidRDefault="00E0793A" w:rsidP="0024329E">
      <w:pPr>
        <w:pStyle w:val="Heading1"/>
        <w:spacing w:before="480"/>
      </w:pPr>
      <w:r>
        <w:t>Our Vision</w:t>
      </w:r>
    </w:p>
    <w:p w14:paraId="18380681" w14:textId="4090C4B3" w:rsidR="00242284" w:rsidRDefault="00E0793A" w:rsidP="00A401D7">
      <w:r w:rsidRPr="00E0793A">
        <w:t>Eliminate the harm smoked tobacco products cause our communities by transforming Aotearoa to a smokefree nation by 2025.</w:t>
      </w:r>
    </w:p>
    <w:p w14:paraId="4D75646C" w14:textId="5B013BB3" w:rsidR="00E0793A" w:rsidRDefault="00E0793A" w:rsidP="0024329E">
      <w:pPr>
        <w:pStyle w:val="Heading1"/>
        <w:spacing w:before="480"/>
      </w:pPr>
      <w:r>
        <w:t>Our Goal</w:t>
      </w:r>
    </w:p>
    <w:p w14:paraId="2B9A6E9C" w14:textId="7865F7E3" w:rsidR="00E0793A" w:rsidRDefault="00E0793A" w:rsidP="00E0793A">
      <w:r w:rsidRPr="00E0793A">
        <w:t xml:space="preserve">By 2025, daily smoking prevalence is less than 5 percent for all population groups in New </w:t>
      </w:r>
      <w:proofErr w:type="gramStart"/>
      <w:r w:rsidRPr="00E0793A">
        <w:t>Zealand.*</w:t>
      </w:r>
      <w:proofErr w:type="gramEnd"/>
    </w:p>
    <w:p w14:paraId="385E3D88" w14:textId="45EC686A" w:rsidR="00A401D7" w:rsidRPr="00E0793A" w:rsidRDefault="00E0793A" w:rsidP="0024329E">
      <w:pPr>
        <w:pStyle w:val="Heading1"/>
        <w:spacing w:before="480"/>
      </w:pPr>
      <w:proofErr w:type="spellStart"/>
      <w:r w:rsidRPr="00E0793A">
        <w:t>Te</w:t>
      </w:r>
      <w:proofErr w:type="spellEnd"/>
      <w:r w:rsidRPr="00E0793A">
        <w:t xml:space="preserve"> </w:t>
      </w:r>
      <w:proofErr w:type="spellStart"/>
      <w:r w:rsidRPr="00E0793A">
        <w:t>Tiriti</w:t>
      </w:r>
      <w:proofErr w:type="spellEnd"/>
      <w:r w:rsidRPr="00E0793A">
        <w:t xml:space="preserve"> o Waitangi principles that apply to our work</w:t>
      </w:r>
    </w:p>
    <w:p w14:paraId="50B468E7" w14:textId="77777777" w:rsidR="00E0793A" w:rsidRPr="00E0793A" w:rsidRDefault="00E0793A" w:rsidP="00E0793A">
      <w:pPr>
        <w:pStyle w:val="Heading2"/>
      </w:pPr>
      <w:r w:rsidRPr="00E0793A">
        <w:t>Tino rangatiratanga</w:t>
      </w:r>
    </w:p>
    <w:p w14:paraId="34294142" w14:textId="77777777" w:rsidR="00E0793A" w:rsidRDefault="00E0793A" w:rsidP="00E0793A">
      <w:r>
        <w:t>Māori have self-determination over their futures.</w:t>
      </w:r>
    </w:p>
    <w:p w14:paraId="2DB94490" w14:textId="77777777" w:rsidR="00E0793A" w:rsidRPr="00E0793A" w:rsidRDefault="00E0793A" w:rsidP="00E0793A">
      <w:pPr>
        <w:pStyle w:val="Heading2"/>
      </w:pPr>
      <w:r w:rsidRPr="00E0793A">
        <w:t>Equity</w:t>
      </w:r>
    </w:p>
    <w:p w14:paraId="37881C02" w14:textId="77777777" w:rsidR="00E0793A" w:rsidRDefault="00E0793A" w:rsidP="00E0793A">
      <w:r>
        <w:t>The Crown is committed to achieving equitable health outcomes for Māori.</w:t>
      </w:r>
    </w:p>
    <w:p w14:paraId="7BA74E71" w14:textId="77777777" w:rsidR="00E0793A" w:rsidRDefault="00E0793A" w:rsidP="00E0793A">
      <w:pPr>
        <w:pStyle w:val="Heading2"/>
      </w:pPr>
      <w:r>
        <w:t>Active protection</w:t>
      </w:r>
    </w:p>
    <w:p w14:paraId="5C793D76" w14:textId="77777777" w:rsidR="00E0793A" w:rsidRDefault="00E0793A" w:rsidP="00E0793A">
      <w:r>
        <w:t>The Crown takes all reasonable steps to protect Māori interests and achieve equitable health outcomes for Māori.</w:t>
      </w:r>
    </w:p>
    <w:p w14:paraId="1D13C527" w14:textId="40A97C41" w:rsidR="00E0793A" w:rsidRDefault="00E0793A" w:rsidP="00E0793A">
      <w:pPr>
        <w:pStyle w:val="Heading2"/>
      </w:pPr>
      <w:r>
        <w:t>Options</w:t>
      </w:r>
    </w:p>
    <w:p w14:paraId="1A7F32AD" w14:textId="77777777" w:rsidR="00E0793A" w:rsidRDefault="00E0793A" w:rsidP="00E0793A">
      <w:r>
        <w:t>The Crown provides options for Māori to meet their unique cultural, spiritual, and physical needs.</w:t>
      </w:r>
    </w:p>
    <w:p w14:paraId="1CC7D198" w14:textId="77777777" w:rsidR="00E0793A" w:rsidRDefault="00E0793A" w:rsidP="00E0793A">
      <w:pPr>
        <w:pStyle w:val="Heading2"/>
      </w:pPr>
      <w:r>
        <w:t>Partnership</w:t>
      </w:r>
    </w:p>
    <w:p w14:paraId="196E919D" w14:textId="24FED724" w:rsidR="00E0793A" w:rsidRDefault="00E0793A" w:rsidP="00E0793A">
      <w:r>
        <w:t>Power is shared equally with Māori</w:t>
      </w:r>
      <w:r w:rsidR="00F5030D">
        <w:t xml:space="preserve"> </w:t>
      </w:r>
      <w:r w:rsidRPr="00DC5325">
        <w:t>in the design, delivery and m</w:t>
      </w:r>
      <w:r>
        <w:t>onitoring of health and disability services.</w:t>
      </w:r>
    </w:p>
    <w:p w14:paraId="6F0EB3DF" w14:textId="77777777" w:rsidR="00E0793A" w:rsidRDefault="00E0793A" w:rsidP="0024329E"/>
    <w:p w14:paraId="7691503A" w14:textId="46E76DE8" w:rsidR="00E0793A" w:rsidRDefault="00E0793A" w:rsidP="0024329E"/>
    <w:p w14:paraId="377035EC" w14:textId="66D17400" w:rsidR="0024329E" w:rsidRDefault="0024329E" w:rsidP="0024329E"/>
    <w:p w14:paraId="0C5C18F7" w14:textId="443683F6" w:rsidR="0024329E" w:rsidRDefault="0024329E" w:rsidP="0024329E"/>
    <w:p w14:paraId="7A715219" w14:textId="36FACD46" w:rsidR="0024329E" w:rsidRDefault="0024329E" w:rsidP="0024329E">
      <w:r w:rsidRPr="0024329E">
        <w:t>* The prevalence goal is for smoking; it excludes vaping and the use of smokeless tobacco products.</w:t>
      </w:r>
    </w:p>
    <w:p w14:paraId="55F015DB" w14:textId="4EA1BA2A" w:rsidR="00E0793A" w:rsidRDefault="00E0793A" w:rsidP="00E0793A">
      <w:pPr>
        <w:pStyle w:val="Heading1"/>
      </w:pPr>
      <w:r>
        <w:lastRenderedPageBreak/>
        <w:t>W</w:t>
      </w:r>
      <w:r w:rsidRPr="00E0793A">
        <w:t>e will know we are succeeding when we achieve our three main outcomes</w:t>
      </w:r>
    </w:p>
    <w:p w14:paraId="0D3CB7AE" w14:textId="77777777" w:rsidR="00E0793A" w:rsidRPr="00E0793A" w:rsidRDefault="00E0793A" w:rsidP="00E0793A">
      <w:pPr>
        <w:pStyle w:val="Number"/>
        <w:rPr>
          <w:b/>
          <w:bCs/>
        </w:rPr>
      </w:pPr>
      <w:r w:rsidRPr="00E0793A">
        <w:rPr>
          <w:b/>
          <w:bCs/>
        </w:rPr>
        <w:t>Eliminate inequities in smoking rates and smoking-related illnesses</w:t>
      </w:r>
    </w:p>
    <w:p w14:paraId="01700F1E" w14:textId="2CF9F25D" w:rsidR="00E0793A" w:rsidRDefault="00E0793A" w:rsidP="00E0793A">
      <w:pPr>
        <w:pStyle w:val="Number"/>
        <w:numPr>
          <w:ilvl w:val="0"/>
          <w:numId w:val="0"/>
        </w:numPr>
        <w:ind w:left="567"/>
      </w:pPr>
      <w:r>
        <w:t>Smoking harms some people more than others. Smoking causes more harm to Māori, Pacific peoples and people living in the most deprived areas of Aotearoa. We need to remove these inequities.</w:t>
      </w:r>
    </w:p>
    <w:p w14:paraId="5CF52662" w14:textId="77777777" w:rsidR="00E0793A" w:rsidRPr="00E0793A" w:rsidRDefault="00E0793A" w:rsidP="00E0793A">
      <w:pPr>
        <w:pStyle w:val="Number"/>
        <w:rPr>
          <w:b/>
          <w:bCs/>
        </w:rPr>
      </w:pPr>
      <w:r w:rsidRPr="00E0793A">
        <w:rPr>
          <w:b/>
          <w:bCs/>
        </w:rPr>
        <w:t>Create a smokefree generation by increasing the number of children and young people who remain smokefree</w:t>
      </w:r>
    </w:p>
    <w:p w14:paraId="0BD3B1C1" w14:textId="1A0E8E2F" w:rsidR="00E0793A" w:rsidRDefault="00E0793A" w:rsidP="00E0793A">
      <w:pPr>
        <w:pStyle w:val="Number"/>
        <w:numPr>
          <w:ilvl w:val="0"/>
          <w:numId w:val="0"/>
        </w:numPr>
        <w:ind w:left="567"/>
      </w:pPr>
      <w:r>
        <w:t xml:space="preserve">Smoking harms children and young people. We need to prevent children and young people from starting to smoke and we need to help their parents and </w:t>
      </w:r>
      <w:proofErr w:type="spellStart"/>
      <w:r>
        <w:t>whānau</w:t>
      </w:r>
      <w:proofErr w:type="spellEnd"/>
      <w:r>
        <w:t xml:space="preserve"> and the adults around them to quit smoking.</w:t>
      </w:r>
    </w:p>
    <w:p w14:paraId="2883FE36" w14:textId="77777777" w:rsidR="00E0793A" w:rsidRPr="00E0793A" w:rsidRDefault="00E0793A" w:rsidP="00E0793A">
      <w:pPr>
        <w:pStyle w:val="Number"/>
        <w:rPr>
          <w:b/>
          <w:bCs/>
        </w:rPr>
      </w:pPr>
      <w:r w:rsidRPr="00E0793A">
        <w:rPr>
          <w:b/>
          <w:bCs/>
        </w:rPr>
        <w:t>Increase the number of people who successfully quit smoking</w:t>
      </w:r>
    </w:p>
    <w:p w14:paraId="3B7150F4" w14:textId="6ABC21A7" w:rsidR="00E0793A" w:rsidRPr="00E0793A" w:rsidRDefault="00E0793A" w:rsidP="00E0793A">
      <w:pPr>
        <w:pStyle w:val="Number"/>
        <w:numPr>
          <w:ilvl w:val="0"/>
          <w:numId w:val="0"/>
        </w:numPr>
        <w:ind w:left="567"/>
      </w:pPr>
      <w:r>
        <w:t>It is hard to stop smoking. We need to do more to make it easier for people who smoke to quit. We need to change the environment we live in so more people can quit smoking.</w:t>
      </w:r>
    </w:p>
    <w:p w14:paraId="3ABC205A" w14:textId="0927596D" w:rsidR="00E0793A" w:rsidRDefault="00E0793A" w:rsidP="0024329E">
      <w:pPr>
        <w:pStyle w:val="Heading1"/>
        <w:spacing w:before="480"/>
      </w:pPr>
      <w:r w:rsidRPr="00E0793A">
        <w:t>To achieve these outcomes, we will take actions under six focus areas</w:t>
      </w:r>
    </w:p>
    <w:p w14:paraId="3CA96481" w14:textId="102FD3ED" w:rsidR="00E0793A" w:rsidRPr="00E0793A" w:rsidRDefault="00E0793A" w:rsidP="00E0793A">
      <w:pPr>
        <w:pStyle w:val="Number"/>
        <w:numPr>
          <w:ilvl w:val="1"/>
          <w:numId w:val="7"/>
        </w:numPr>
        <w:spacing w:after="180"/>
        <w:rPr>
          <w:b/>
          <w:bCs/>
        </w:rPr>
      </w:pPr>
      <w:r w:rsidRPr="00E0793A">
        <w:rPr>
          <w:b/>
          <w:bCs/>
        </w:rPr>
        <w:t>Expand Māori leadership and decision-making</w:t>
      </w:r>
    </w:p>
    <w:p w14:paraId="0AB59EB3" w14:textId="5BA6A296" w:rsidR="00E0793A" w:rsidRDefault="00E0793A" w:rsidP="0024329E">
      <w:pPr>
        <w:ind w:left="567"/>
      </w:pPr>
      <w:r>
        <w:t>This focus area is about making Māori leadership and decision-making happen at all levels of the action plan.</w:t>
      </w:r>
    </w:p>
    <w:p w14:paraId="22B84A82" w14:textId="77777777" w:rsidR="00E0793A" w:rsidRDefault="00E0793A" w:rsidP="00E0793A"/>
    <w:p w14:paraId="447C3580" w14:textId="61A845BA" w:rsidR="00E0793A" w:rsidRDefault="00E0793A" w:rsidP="0024329E">
      <w:pPr>
        <w:ind w:left="567"/>
      </w:pPr>
      <w:r>
        <w:t>One of the key actions we’ll take is establishing the Smokefree 2025 Taskforce, which will make sure the action plan is on track to achieve a Smokefree 2025 for Māori.</w:t>
      </w:r>
    </w:p>
    <w:p w14:paraId="32314901" w14:textId="36C5E9D4" w:rsidR="00E0793A" w:rsidRPr="0024329E" w:rsidRDefault="00E0793A" w:rsidP="00E0793A">
      <w:pPr>
        <w:pStyle w:val="Number"/>
        <w:numPr>
          <w:ilvl w:val="1"/>
          <w:numId w:val="7"/>
        </w:numPr>
        <w:spacing w:after="180"/>
        <w:rPr>
          <w:b/>
          <w:bCs/>
        </w:rPr>
      </w:pPr>
      <w:r w:rsidRPr="00E0793A">
        <w:rPr>
          <w:b/>
          <w:bCs/>
        </w:rPr>
        <w:t>Increase health promotion and community action</w:t>
      </w:r>
    </w:p>
    <w:p w14:paraId="3BFF69AA" w14:textId="6BD7003E" w:rsidR="00E0793A" w:rsidRDefault="00E0793A" w:rsidP="0024329E">
      <w:pPr>
        <w:ind w:left="567"/>
      </w:pPr>
      <w:r>
        <w:t>This focus area commits us to delivering social media, health promotion programmes and other community activities that let the nation know we’re going smokefree.</w:t>
      </w:r>
    </w:p>
    <w:p w14:paraId="0FAFA900" w14:textId="77777777" w:rsidR="00E0793A" w:rsidRDefault="00E0793A" w:rsidP="00E0793A"/>
    <w:p w14:paraId="3CB2A7D6" w14:textId="244B251B" w:rsidR="00E0793A" w:rsidRDefault="00E0793A" w:rsidP="0024329E">
      <w:pPr>
        <w:ind w:left="567"/>
      </w:pPr>
      <w:r>
        <w:t>One of the key actions we’ll take is funding a smokefree movement so people can get behind the smokefree goal.</w:t>
      </w:r>
    </w:p>
    <w:p w14:paraId="689476C6" w14:textId="375A7725" w:rsidR="00E0793A" w:rsidRPr="0024329E" w:rsidRDefault="00E0793A" w:rsidP="00E0793A">
      <w:pPr>
        <w:pStyle w:val="Number"/>
        <w:numPr>
          <w:ilvl w:val="1"/>
          <w:numId w:val="7"/>
        </w:numPr>
        <w:spacing w:after="180"/>
        <w:rPr>
          <w:b/>
          <w:bCs/>
        </w:rPr>
      </w:pPr>
      <w:r w:rsidRPr="00E0793A">
        <w:rPr>
          <w:b/>
          <w:bCs/>
        </w:rPr>
        <w:t>Increase stop smoking services</w:t>
      </w:r>
    </w:p>
    <w:p w14:paraId="272000FA" w14:textId="5CA53FA5" w:rsidR="00E0793A" w:rsidRDefault="00E0793A" w:rsidP="0024329E">
      <w:pPr>
        <w:ind w:left="567"/>
      </w:pPr>
      <w:r>
        <w:t>This focus area commits us to delivering better and more targeted stop smoking services to meet the varied needs of our smoking population.</w:t>
      </w:r>
    </w:p>
    <w:p w14:paraId="4A878A69" w14:textId="77777777" w:rsidR="00E0793A" w:rsidRDefault="00E0793A" w:rsidP="00E0793A"/>
    <w:p w14:paraId="258A9FCD" w14:textId="0F87D700" w:rsidR="00E0793A" w:rsidRDefault="00E0793A" w:rsidP="0024329E">
      <w:pPr>
        <w:ind w:left="567"/>
      </w:pPr>
      <w:r>
        <w:t>One of the key actions we’ll take is investing directly with Pacific health providers to tailor stop smoking services for Pacific communities.</w:t>
      </w:r>
    </w:p>
    <w:p w14:paraId="694FDA16" w14:textId="376E7BF3" w:rsidR="0024329E" w:rsidRDefault="0024329E" w:rsidP="00E0793A"/>
    <w:p w14:paraId="2495D9B8" w14:textId="77777777" w:rsidR="0024329E" w:rsidRDefault="0024329E" w:rsidP="00E0793A"/>
    <w:p w14:paraId="3A31F110" w14:textId="28F9C370" w:rsidR="00E0793A" w:rsidRDefault="00E0793A" w:rsidP="00E0793A"/>
    <w:p w14:paraId="1A74FB77" w14:textId="77777777" w:rsidR="00E0793A" w:rsidRPr="00E0793A" w:rsidRDefault="00E0793A" w:rsidP="0024329E">
      <w:pPr>
        <w:pStyle w:val="Number"/>
        <w:numPr>
          <w:ilvl w:val="1"/>
          <w:numId w:val="7"/>
        </w:numPr>
        <w:spacing w:after="180"/>
        <w:rPr>
          <w:b/>
          <w:bCs/>
        </w:rPr>
      </w:pPr>
      <w:r w:rsidRPr="00E0793A">
        <w:rPr>
          <w:b/>
          <w:bCs/>
        </w:rPr>
        <w:lastRenderedPageBreak/>
        <w:t>Make it easier to quit and harder to become addicted to smoking</w:t>
      </w:r>
    </w:p>
    <w:p w14:paraId="69716011" w14:textId="4690E2A2" w:rsidR="00E0793A" w:rsidRDefault="00E0793A" w:rsidP="0024329E">
      <w:pPr>
        <w:ind w:left="567"/>
      </w:pPr>
      <w:r>
        <w:t>This focus area is about reducing nicotine levels in smoked tobacco products to help people who smoke quit smoking and help people, especially young people, to never become addicted.</w:t>
      </w:r>
    </w:p>
    <w:p w14:paraId="3F532AA8" w14:textId="77777777" w:rsidR="00E0793A" w:rsidRDefault="00E0793A" w:rsidP="00E0793A"/>
    <w:p w14:paraId="3D7F4B7C" w14:textId="02BF9DBF" w:rsidR="00E0793A" w:rsidRDefault="00E0793A" w:rsidP="0024329E">
      <w:pPr>
        <w:ind w:left="567"/>
      </w:pPr>
      <w:r>
        <w:t>It’s also about preventing smoked tobacco products from being designed in ways that keep people addicted.</w:t>
      </w:r>
    </w:p>
    <w:p w14:paraId="0C13471C" w14:textId="77777777" w:rsidR="00E0793A" w:rsidRDefault="00E0793A" w:rsidP="00E0793A"/>
    <w:p w14:paraId="002A66B3" w14:textId="77777777" w:rsidR="00E0793A" w:rsidRDefault="00E0793A" w:rsidP="0024329E">
      <w:pPr>
        <w:ind w:left="567"/>
      </w:pPr>
      <w:r>
        <w:t>One of the key actions we’ll take is to introduce rules that apply to the content of smoked tobacco products.</w:t>
      </w:r>
    </w:p>
    <w:p w14:paraId="5C3A97FB" w14:textId="77777777" w:rsidR="00E0793A" w:rsidRPr="0024329E" w:rsidRDefault="00E0793A" w:rsidP="0024329E">
      <w:pPr>
        <w:pStyle w:val="Number"/>
        <w:numPr>
          <w:ilvl w:val="1"/>
          <w:numId w:val="7"/>
        </w:numPr>
        <w:spacing w:after="180"/>
        <w:rPr>
          <w:b/>
          <w:bCs/>
        </w:rPr>
      </w:pPr>
      <w:r w:rsidRPr="0024329E">
        <w:rPr>
          <w:b/>
          <w:bCs/>
        </w:rPr>
        <w:t>Make smoked tobacco products harder to buy</w:t>
      </w:r>
    </w:p>
    <w:p w14:paraId="4EE5547F" w14:textId="45E595D1" w:rsidR="00E0793A" w:rsidRDefault="00E0793A" w:rsidP="0024329E">
      <w:pPr>
        <w:ind w:left="567"/>
      </w:pPr>
      <w:r>
        <w:t>This focus area is about reducing the number of shops that sell smoked tobacco products, especially in low-income communities where retail density is higher.</w:t>
      </w:r>
    </w:p>
    <w:p w14:paraId="13B13B76" w14:textId="77777777" w:rsidR="0024329E" w:rsidRDefault="0024329E" w:rsidP="00E0793A"/>
    <w:p w14:paraId="4EE75D95" w14:textId="4A68FA05" w:rsidR="00E0793A" w:rsidRDefault="00E0793A" w:rsidP="0024329E">
      <w:pPr>
        <w:ind w:firstLine="567"/>
      </w:pPr>
      <w:r>
        <w:t>It’s also about creating a smokefree generation.</w:t>
      </w:r>
      <w:r w:rsidR="0024329E">
        <w:t xml:space="preserve"> </w:t>
      </w:r>
    </w:p>
    <w:p w14:paraId="384C7C97" w14:textId="77777777" w:rsidR="0024329E" w:rsidRDefault="0024329E" w:rsidP="00E0793A"/>
    <w:p w14:paraId="7C0872C5" w14:textId="3906EC3F" w:rsidR="00E0793A" w:rsidRDefault="00E0793A" w:rsidP="0024329E">
      <w:pPr>
        <w:ind w:left="567"/>
      </w:pPr>
      <w:r>
        <w:t>One of the key actions we’ll take is to make</w:t>
      </w:r>
      <w:r w:rsidR="0024329E">
        <w:t xml:space="preserve"> </w:t>
      </w:r>
      <w:r>
        <w:t>it an offence to sell or supply smoked tobacco products to people born after a certain date.</w:t>
      </w:r>
    </w:p>
    <w:p w14:paraId="75A7B000" w14:textId="77777777" w:rsidR="00E0793A" w:rsidRPr="0024329E" w:rsidRDefault="00E0793A" w:rsidP="0024329E">
      <w:pPr>
        <w:pStyle w:val="Number"/>
        <w:numPr>
          <w:ilvl w:val="1"/>
          <w:numId w:val="7"/>
        </w:numPr>
        <w:spacing w:after="180"/>
        <w:rPr>
          <w:b/>
          <w:bCs/>
        </w:rPr>
      </w:pPr>
      <w:r w:rsidRPr="0024329E">
        <w:rPr>
          <w:b/>
          <w:bCs/>
        </w:rPr>
        <w:t>Ensure the law is followed by industry</w:t>
      </w:r>
    </w:p>
    <w:p w14:paraId="3D17EC4E" w14:textId="59A21064" w:rsidR="00E0793A" w:rsidRDefault="00E0793A" w:rsidP="0024329E">
      <w:pPr>
        <w:ind w:left="567"/>
      </w:pPr>
      <w:r>
        <w:t>This focus area is about having the right compliance and enforcement systems in place to stop people from importing, trading and selling tobacco products illegally.</w:t>
      </w:r>
    </w:p>
    <w:p w14:paraId="395BAE8F" w14:textId="77777777" w:rsidR="0024329E" w:rsidRDefault="0024329E" w:rsidP="00E0793A"/>
    <w:p w14:paraId="68EFABF6" w14:textId="1D407E22" w:rsidR="00E0793A" w:rsidRDefault="00E0793A" w:rsidP="0024329E">
      <w:pPr>
        <w:ind w:left="567"/>
      </w:pPr>
      <w:r>
        <w:t>One of the key actions we’ll take is introducing new penalties and</w:t>
      </w:r>
      <w:r w:rsidR="0024329E">
        <w:t xml:space="preserve"> </w:t>
      </w:r>
      <w:r>
        <w:t>offences for anyone in industry that doesn’t follow</w:t>
      </w:r>
      <w:r w:rsidR="0024329E">
        <w:t xml:space="preserve"> </w:t>
      </w:r>
      <w:r>
        <w:t>the rules.</w:t>
      </w:r>
    </w:p>
    <w:p w14:paraId="4DA4E62A" w14:textId="77777777" w:rsidR="00E0793A" w:rsidRDefault="00E0793A" w:rsidP="00E0793A">
      <w:r>
        <w:t xml:space="preserve"> </w:t>
      </w:r>
    </w:p>
    <w:p w14:paraId="4A1EC561" w14:textId="23CE236A" w:rsidR="00E0793A" w:rsidRDefault="00E0793A" w:rsidP="0024329E">
      <w:pPr>
        <w:pStyle w:val="Box"/>
      </w:pPr>
      <w:r>
        <w:t>We need your support to achieve a smokefree 2025. We must all work together to reduce the negative impacts of smoking in Aotearoa New Zealand.</w:t>
      </w:r>
    </w:p>
    <w:p w14:paraId="1986F833" w14:textId="20ED93CC" w:rsidR="00E0793A" w:rsidRDefault="00E0793A" w:rsidP="0024329E">
      <w:pPr>
        <w:pStyle w:val="Box"/>
      </w:pPr>
      <w:r>
        <w:t xml:space="preserve">Find out about all the actions in each focus area and look out for progress updates on the Smokefree Aotearoa 2025 webpage at </w:t>
      </w:r>
      <w:hyperlink r:id="rId11" w:history="1">
        <w:r w:rsidRPr="0024329E">
          <w:rPr>
            <w:rStyle w:val="Hyperlink"/>
            <w:b/>
            <w:bCs/>
          </w:rPr>
          <w:t>health.govt.nz/smokefree2025</w:t>
        </w:r>
      </w:hyperlink>
      <w:r w:rsidR="0024329E">
        <w:t xml:space="preserve"> </w:t>
      </w:r>
    </w:p>
    <w:p w14:paraId="69EC8DD3" w14:textId="77777777" w:rsidR="00E0793A" w:rsidRDefault="00E0793A" w:rsidP="00E0793A">
      <w:r>
        <w:t xml:space="preserve"> </w:t>
      </w:r>
    </w:p>
    <w:p w14:paraId="1249ADFE" w14:textId="77777777" w:rsidR="00E0793A" w:rsidRDefault="00E0793A" w:rsidP="0024329E"/>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5C345C5E">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6CA5101D" w:rsidR="00EB461E" w:rsidRDefault="0024329E" w:rsidP="002233D8">
      <w:pPr>
        <w:spacing w:before="240"/>
        <w:jc w:val="center"/>
        <w:rPr>
          <w:lang w:eastAsia="en-NZ"/>
        </w:rPr>
      </w:pPr>
      <w:r w:rsidRPr="00E7602C">
        <w:t>December 202</w:t>
      </w:r>
      <w:r w:rsidR="00DC5325" w:rsidRPr="00E7602C">
        <w:t>1</w:t>
      </w:r>
      <w:r w:rsidR="00C34608" w:rsidRPr="00DD748F">
        <w:br/>
      </w:r>
      <w:bookmarkStart w:id="0" w:name="_Hlk89763651"/>
      <w:r w:rsidR="00EB461E" w:rsidRPr="00DD748F">
        <w:rPr>
          <w:lang w:eastAsia="en-NZ"/>
        </w:rPr>
        <w:t>HP</w:t>
      </w:r>
      <w:r w:rsidR="00993386">
        <w:rPr>
          <w:lang w:eastAsia="en-NZ"/>
        </w:rPr>
        <w:t xml:space="preserve"> </w:t>
      </w:r>
      <w:bookmarkEnd w:id="0"/>
      <w:r w:rsidR="0031145D">
        <w:t>8002</w:t>
      </w:r>
    </w:p>
    <w:p w14:paraId="762C0BCA" w14:textId="77777777" w:rsidR="00660619" w:rsidRDefault="00660619" w:rsidP="00660619">
      <w:pPr>
        <w:rPr>
          <w:lang w:eastAsia="en-NZ"/>
        </w:rPr>
      </w:pPr>
    </w:p>
    <w:sectPr w:rsidR="00660619"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4BBD" w14:textId="77777777" w:rsidR="00D81884" w:rsidRDefault="00D81884">
      <w:r>
        <w:separator/>
      </w:r>
    </w:p>
  </w:endnote>
  <w:endnote w:type="continuationSeparator" w:id="0">
    <w:p w14:paraId="76530581" w14:textId="77777777" w:rsidR="00D81884" w:rsidRDefault="00D8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4E7C6E7D" w:rsidR="00525FFB" w:rsidRDefault="0024329E" w:rsidP="0024329E">
          <w:pPr>
            <w:pStyle w:val="RectoFooter"/>
            <w:jc w:val="left"/>
          </w:pPr>
          <w:r>
            <w:t>Smokefree Aotearoa 2025</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C5EAB91" w:rsidR="00525FFB" w:rsidRDefault="0024329E" w:rsidP="0024329E">
          <w:pPr>
            <w:pStyle w:val="RectoFooter"/>
          </w:pPr>
          <w:r>
            <w:t>Smokefree Aotearoa 2025</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2C079953" w:rsidR="00113C1B" w:rsidRDefault="0024329E" w:rsidP="0024329E">
          <w:pPr>
            <w:pStyle w:val="RectoFooter"/>
          </w:pPr>
          <w:r>
            <w:t>Smokefree Aotearoa 2025</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7A7B" w14:textId="77777777" w:rsidR="00D81884" w:rsidRPr="00680D2D" w:rsidRDefault="00D81884" w:rsidP="00680D2D">
      <w:pPr>
        <w:pStyle w:val="Footer"/>
      </w:pPr>
    </w:p>
  </w:footnote>
  <w:footnote w:type="continuationSeparator" w:id="0">
    <w:p w14:paraId="16A4856B" w14:textId="77777777" w:rsidR="00D81884" w:rsidRDefault="00D8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0F7F685F">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329E"/>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145D"/>
    <w:rsid w:val="0031520E"/>
    <w:rsid w:val="00324371"/>
    <w:rsid w:val="00334085"/>
    <w:rsid w:val="00343CC9"/>
    <w:rsid w:val="00351AC8"/>
    <w:rsid w:val="0035219B"/>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C0669"/>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4E6"/>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B55DA"/>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66250"/>
    <w:rsid w:val="00973036"/>
    <w:rsid w:val="009842E4"/>
    <w:rsid w:val="009874FB"/>
    <w:rsid w:val="00993386"/>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1884"/>
    <w:rsid w:val="00D84835"/>
    <w:rsid w:val="00D96F46"/>
    <w:rsid w:val="00DA050F"/>
    <w:rsid w:val="00DA12D6"/>
    <w:rsid w:val="00DA1DDB"/>
    <w:rsid w:val="00DA28EE"/>
    <w:rsid w:val="00DA30E7"/>
    <w:rsid w:val="00DA5318"/>
    <w:rsid w:val="00DA56D5"/>
    <w:rsid w:val="00DC5325"/>
    <w:rsid w:val="00DD2C28"/>
    <w:rsid w:val="00DD748F"/>
    <w:rsid w:val="00DE5ADA"/>
    <w:rsid w:val="00DF0496"/>
    <w:rsid w:val="00DF2727"/>
    <w:rsid w:val="00E062F3"/>
    <w:rsid w:val="00E0793A"/>
    <w:rsid w:val="00E100A7"/>
    <w:rsid w:val="00E158A8"/>
    <w:rsid w:val="00E2207D"/>
    <w:rsid w:val="00E2772A"/>
    <w:rsid w:val="00E27894"/>
    <w:rsid w:val="00E27F17"/>
    <w:rsid w:val="00E362D1"/>
    <w:rsid w:val="00E40493"/>
    <w:rsid w:val="00E43A89"/>
    <w:rsid w:val="00E44733"/>
    <w:rsid w:val="00E5476D"/>
    <w:rsid w:val="00E54AB1"/>
    <w:rsid w:val="00E6667B"/>
    <w:rsid w:val="00E7602C"/>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030D"/>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character" w:styleId="CommentReference">
    <w:name w:val="annotation reference"/>
    <w:basedOn w:val="DefaultParagraphFont"/>
    <w:uiPriority w:val="99"/>
    <w:semiHidden/>
    <w:unhideWhenUsed/>
    <w:rsid w:val="00DC5325"/>
    <w:rPr>
      <w:sz w:val="16"/>
      <w:szCs w:val="16"/>
    </w:rPr>
  </w:style>
  <w:style w:type="paragraph" w:styleId="CommentText">
    <w:name w:val="annotation text"/>
    <w:basedOn w:val="Normal"/>
    <w:link w:val="CommentTextChar"/>
    <w:uiPriority w:val="99"/>
    <w:semiHidden/>
    <w:unhideWhenUsed/>
    <w:rsid w:val="00DC5325"/>
    <w:pPr>
      <w:spacing w:line="240" w:lineRule="auto"/>
    </w:pPr>
    <w:rPr>
      <w:sz w:val="20"/>
      <w:szCs w:val="20"/>
    </w:rPr>
  </w:style>
  <w:style w:type="character" w:customStyle="1" w:styleId="CommentTextChar">
    <w:name w:val="Comment Text Char"/>
    <w:basedOn w:val="DefaultParagraphFont"/>
    <w:link w:val="CommentText"/>
    <w:uiPriority w:val="99"/>
    <w:semiHidden/>
    <w:rsid w:val="00DC5325"/>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C5325"/>
    <w:rPr>
      <w:b/>
      <w:bCs/>
    </w:rPr>
  </w:style>
  <w:style w:type="character" w:customStyle="1" w:styleId="CommentSubjectChar">
    <w:name w:val="Comment Subject Char"/>
    <w:basedOn w:val="CommentTextChar"/>
    <w:link w:val="CommentSubject"/>
    <w:uiPriority w:val="99"/>
    <w:semiHidden/>
    <w:rsid w:val="00DC5325"/>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ryan\AppData\Local\Microsoft\Windows\INetCache\Content.Outlook\M4N5OQVL\health.govt.nz\smokefree20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26</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Aotearoa 2025 fact sheet</dc:title>
  <dc:creator>Jane Adam;Ministry of Health</dc:creator>
  <cp:lastModifiedBy>Ministry of Health</cp:lastModifiedBy>
  <cp:revision>10</cp:revision>
  <cp:lastPrinted>2014-10-20T03:59:00Z</cp:lastPrinted>
  <dcterms:created xsi:type="dcterms:W3CDTF">2021-12-07T01:16:00Z</dcterms:created>
  <dcterms:modified xsi:type="dcterms:W3CDTF">2021-12-07T01:47:00Z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