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36391" w14:textId="77777777" w:rsidR="00786CD7" w:rsidRDefault="005160BD" w:rsidP="00965FEE">
      <w:pPr>
        <w:adjustRightInd w:val="0"/>
        <w:spacing w:before="6500"/>
        <w:jc w:val="center"/>
        <w:rPr>
          <w:b/>
          <w:color w:val="000000" w:themeColor="text1"/>
          <w:sz w:val="28"/>
          <w:szCs w:val="28"/>
        </w:rPr>
      </w:pPr>
      <w:r>
        <w:rPr>
          <w:b/>
          <w:noProof/>
          <w:color w:val="000000" w:themeColor="text1"/>
          <w:sz w:val="44"/>
          <w:szCs w:val="44"/>
        </w:rPr>
        <w:drawing>
          <wp:anchor distT="0" distB="0" distL="114300" distR="114300" simplePos="0" relativeHeight="251659264" behindDoc="1" locked="0" layoutInCell="1" allowOverlap="1" wp14:anchorId="59B154D5" wp14:editId="170E0493">
            <wp:simplePos x="0" y="0"/>
            <wp:positionH relativeFrom="margin">
              <wp:posOffset>2478405</wp:posOffset>
            </wp:positionH>
            <wp:positionV relativeFrom="paragraph">
              <wp:posOffset>1015184</wp:posOffset>
            </wp:positionV>
            <wp:extent cx="1970158" cy="1922119"/>
            <wp:effectExtent l="0" t="0" r="0" b="2540"/>
            <wp:wrapNone/>
            <wp:docPr id="5" name="Picture 5" descr="National Drug Intelligence Bure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ational Drug Intelligence Burea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0158" cy="1922119"/>
                    </a:xfrm>
                    <a:prstGeom prst="rect">
                      <a:avLst/>
                    </a:prstGeom>
                    <a:noFill/>
                  </pic:spPr>
                </pic:pic>
              </a:graphicData>
            </a:graphic>
            <wp14:sizeRelH relativeFrom="margin">
              <wp14:pctWidth>0</wp14:pctWidth>
            </wp14:sizeRelH>
            <wp14:sizeRelV relativeFrom="margin">
              <wp14:pctHeight>0</wp14:pctHeight>
            </wp14:sizeRelV>
          </wp:anchor>
        </w:drawing>
      </w:r>
      <w:r w:rsidR="003E0609" w:rsidRPr="004F2DC8">
        <w:rPr>
          <w:b/>
          <w:color w:val="000000" w:themeColor="text1"/>
          <w:sz w:val="44"/>
          <w:szCs w:val="44"/>
        </w:rPr>
        <w:t xml:space="preserve">A Guide to the </w:t>
      </w:r>
      <w:r w:rsidR="003E0609" w:rsidRPr="004F2DC8">
        <w:rPr>
          <w:b/>
          <w:color w:val="000000" w:themeColor="text1"/>
          <w:sz w:val="44"/>
          <w:szCs w:val="44"/>
        </w:rPr>
        <w:br/>
        <w:t xml:space="preserve">Practical Application of the </w:t>
      </w:r>
      <w:r w:rsidR="003E0609" w:rsidRPr="004F2DC8">
        <w:rPr>
          <w:b/>
          <w:color w:val="000000" w:themeColor="text1"/>
          <w:sz w:val="44"/>
          <w:szCs w:val="44"/>
        </w:rPr>
        <w:br/>
        <w:t xml:space="preserve">New Zealand </w:t>
      </w:r>
      <w:r w:rsidR="006B47B0">
        <w:rPr>
          <w:b/>
          <w:color w:val="000000" w:themeColor="text1"/>
          <w:sz w:val="44"/>
          <w:szCs w:val="44"/>
        </w:rPr>
        <w:t xml:space="preserve">Illicit </w:t>
      </w:r>
      <w:r w:rsidR="003E0609" w:rsidRPr="004F2DC8">
        <w:rPr>
          <w:b/>
          <w:color w:val="000000" w:themeColor="text1"/>
          <w:sz w:val="44"/>
          <w:szCs w:val="44"/>
        </w:rPr>
        <w:t>Drug Harm Index 20</w:t>
      </w:r>
      <w:r w:rsidR="00625AB7" w:rsidRPr="004F2DC8">
        <w:rPr>
          <w:b/>
          <w:color w:val="000000" w:themeColor="text1"/>
          <w:sz w:val="44"/>
          <w:szCs w:val="44"/>
        </w:rPr>
        <w:t>20</w:t>
      </w:r>
    </w:p>
    <w:p w14:paraId="2F618BF2" w14:textId="1762CE67" w:rsidR="00786CD7" w:rsidRDefault="00786CD7" w:rsidP="00786CD7">
      <w:pPr>
        <w:adjustRightInd w:val="0"/>
        <w:spacing w:before="0"/>
        <w:rPr>
          <w:b/>
          <w:color w:val="000000" w:themeColor="text1"/>
          <w:sz w:val="28"/>
          <w:szCs w:val="28"/>
        </w:rPr>
      </w:pPr>
    </w:p>
    <w:p w14:paraId="3325628B" w14:textId="3C424749" w:rsidR="00786CD7" w:rsidRDefault="00786CD7" w:rsidP="00786CD7">
      <w:pPr>
        <w:adjustRightInd w:val="0"/>
        <w:spacing w:before="0"/>
        <w:rPr>
          <w:b/>
          <w:color w:val="000000" w:themeColor="text1"/>
          <w:sz w:val="28"/>
          <w:szCs w:val="28"/>
        </w:rPr>
      </w:pPr>
    </w:p>
    <w:p w14:paraId="55B59EB9" w14:textId="33970BEE" w:rsidR="00786CD7" w:rsidRDefault="00786CD7" w:rsidP="00786CD7">
      <w:pPr>
        <w:adjustRightInd w:val="0"/>
        <w:spacing w:before="0"/>
        <w:rPr>
          <w:b/>
          <w:color w:val="000000" w:themeColor="text1"/>
          <w:sz w:val="28"/>
          <w:szCs w:val="28"/>
        </w:rPr>
      </w:pPr>
    </w:p>
    <w:p w14:paraId="44B17271" w14:textId="66802FBE" w:rsidR="00786CD7" w:rsidRDefault="00786CD7" w:rsidP="00786CD7">
      <w:pPr>
        <w:adjustRightInd w:val="0"/>
        <w:spacing w:before="0"/>
        <w:rPr>
          <w:b/>
          <w:color w:val="000000" w:themeColor="text1"/>
          <w:sz w:val="28"/>
          <w:szCs w:val="28"/>
        </w:rPr>
      </w:pPr>
    </w:p>
    <w:p w14:paraId="5EB46BEE" w14:textId="4A9D767B" w:rsidR="00786CD7" w:rsidRDefault="00786CD7" w:rsidP="00786CD7">
      <w:pPr>
        <w:adjustRightInd w:val="0"/>
        <w:spacing w:before="0"/>
        <w:rPr>
          <w:b/>
          <w:color w:val="000000" w:themeColor="text1"/>
          <w:sz w:val="28"/>
          <w:szCs w:val="28"/>
        </w:rPr>
      </w:pPr>
    </w:p>
    <w:p w14:paraId="15D7318A" w14:textId="7B944156" w:rsidR="00786CD7" w:rsidRDefault="00786CD7" w:rsidP="00786CD7">
      <w:pPr>
        <w:adjustRightInd w:val="0"/>
        <w:spacing w:before="0"/>
        <w:rPr>
          <w:b/>
          <w:color w:val="000000" w:themeColor="text1"/>
          <w:sz w:val="28"/>
          <w:szCs w:val="28"/>
        </w:rPr>
      </w:pPr>
    </w:p>
    <w:p w14:paraId="019B8804" w14:textId="4495051B" w:rsidR="00786CD7" w:rsidRDefault="00786CD7" w:rsidP="00786CD7">
      <w:pPr>
        <w:adjustRightInd w:val="0"/>
        <w:spacing w:before="0"/>
        <w:rPr>
          <w:b/>
          <w:color w:val="000000" w:themeColor="text1"/>
          <w:sz w:val="28"/>
          <w:szCs w:val="28"/>
        </w:rPr>
      </w:pPr>
    </w:p>
    <w:p w14:paraId="23F1C5C9" w14:textId="06A3A29C" w:rsidR="00786CD7" w:rsidRPr="00786CD7" w:rsidRDefault="00786CD7" w:rsidP="00786CD7">
      <w:pPr>
        <w:rPr>
          <w:sz w:val="28"/>
          <w:szCs w:val="28"/>
        </w:rPr>
      </w:pPr>
      <w:r w:rsidRPr="00535958">
        <w:rPr>
          <w:sz w:val="28"/>
          <w:szCs w:val="28"/>
        </w:rPr>
        <w:t>Version</w:t>
      </w:r>
      <w:r>
        <w:rPr>
          <w:sz w:val="28"/>
          <w:szCs w:val="28"/>
        </w:rPr>
        <w:t xml:space="preserve"> 1.1</w:t>
      </w:r>
    </w:p>
    <w:p w14:paraId="5C264667" w14:textId="5DA17DC5" w:rsidR="005B50D8" w:rsidRPr="00786CD7" w:rsidRDefault="005B50D8" w:rsidP="00786CD7">
      <w:pPr>
        <w:adjustRightInd w:val="0"/>
        <w:spacing w:before="0"/>
        <w:rPr>
          <w:b/>
          <w:color w:val="000000" w:themeColor="text1"/>
          <w:sz w:val="28"/>
          <w:szCs w:val="28"/>
        </w:rPr>
      </w:pPr>
    </w:p>
    <w:p w14:paraId="4367BB74" w14:textId="77777777" w:rsidR="00142954" w:rsidRPr="004F2DC8" w:rsidRDefault="00142954" w:rsidP="00142954">
      <w:pPr>
        <w:rPr>
          <w:color w:val="FF0000"/>
        </w:rPr>
        <w:sectPr w:rsidR="00142954" w:rsidRPr="004F2DC8" w:rsidSect="002507C5">
          <w:headerReference w:type="default" r:id="rId9"/>
          <w:pgSz w:w="11907" w:h="16834" w:code="9"/>
          <w:pgMar w:top="340" w:right="567" w:bottom="340" w:left="567" w:header="142" w:footer="142" w:gutter="0"/>
          <w:cols w:space="720"/>
        </w:sectPr>
      </w:pPr>
    </w:p>
    <w:p w14:paraId="48ED73B9" w14:textId="744CDB09" w:rsidR="000A459D" w:rsidRPr="00D27922" w:rsidRDefault="000A459D" w:rsidP="000A459D">
      <w:pPr>
        <w:jc w:val="center"/>
      </w:pPr>
      <w:r>
        <w:rPr>
          <w:i/>
          <w:iCs/>
        </w:rPr>
        <w:lastRenderedPageBreak/>
        <w:t>Please note: A Guide to the Practical Application of the Drug Harm Index has been corrected and republished following the identification of an error in the way some totals were calculated.</w:t>
      </w:r>
    </w:p>
    <w:p w14:paraId="50CC4E87" w14:textId="77777777" w:rsidR="000A459D" w:rsidRDefault="000A459D">
      <w:pPr>
        <w:pStyle w:val="Imprint"/>
        <w:rPr>
          <w:color w:val="000000" w:themeColor="text1"/>
        </w:rPr>
      </w:pPr>
    </w:p>
    <w:p w14:paraId="7D8F2967" w14:textId="25686C88" w:rsidR="00A80363" w:rsidRPr="00965FEE" w:rsidRDefault="00A80363">
      <w:pPr>
        <w:pStyle w:val="Imprint"/>
      </w:pPr>
      <w:r w:rsidRPr="004F2DC8">
        <w:rPr>
          <w:color w:val="000000" w:themeColor="text1"/>
        </w:rPr>
        <w:t xml:space="preserve">Citation: </w:t>
      </w:r>
      <w:r w:rsidR="000D5A4F" w:rsidRPr="004F2DC8">
        <w:rPr>
          <w:color w:val="000000" w:themeColor="text1"/>
        </w:rPr>
        <w:t>McFadden</w:t>
      </w:r>
      <w:r w:rsidR="004F2DC8" w:rsidRPr="004F2DC8">
        <w:rPr>
          <w:color w:val="000000" w:themeColor="text1"/>
        </w:rPr>
        <w:t xml:space="preserve"> M</w:t>
      </w:r>
      <w:r w:rsidR="00B3454E">
        <w:rPr>
          <w:color w:val="000000" w:themeColor="text1"/>
        </w:rPr>
        <w:t>.</w:t>
      </w:r>
      <w:r w:rsidR="004F2DC8" w:rsidRPr="004F2DC8">
        <w:rPr>
          <w:color w:val="000000" w:themeColor="text1"/>
        </w:rPr>
        <w:t>, Bellamore L</w:t>
      </w:r>
      <w:r w:rsidR="00B3454E">
        <w:rPr>
          <w:color w:val="000000" w:themeColor="text1"/>
        </w:rPr>
        <w:t>.</w:t>
      </w:r>
      <w:r w:rsidR="004F2DC8" w:rsidRPr="004F2DC8">
        <w:rPr>
          <w:color w:val="000000" w:themeColor="text1"/>
        </w:rPr>
        <w:t xml:space="preserve"> &amp; Mac</w:t>
      </w:r>
      <w:r w:rsidR="000D65D6">
        <w:rPr>
          <w:color w:val="000000" w:themeColor="text1"/>
        </w:rPr>
        <w:t>d</w:t>
      </w:r>
      <w:r w:rsidR="004F2DC8" w:rsidRPr="004F2DC8">
        <w:rPr>
          <w:color w:val="000000" w:themeColor="text1"/>
        </w:rPr>
        <w:t>onald B</w:t>
      </w:r>
      <w:r w:rsidR="00442C1C" w:rsidRPr="004F2DC8">
        <w:rPr>
          <w:color w:val="000000" w:themeColor="text1"/>
        </w:rPr>
        <w:t xml:space="preserve">. </w:t>
      </w:r>
      <w:r w:rsidR="004F2DC8" w:rsidRPr="004F2DC8">
        <w:rPr>
          <w:color w:val="000000" w:themeColor="text1"/>
        </w:rPr>
        <w:t>202</w:t>
      </w:r>
      <w:r w:rsidR="00786CD7">
        <w:rPr>
          <w:color w:val="000000" w:themeColor="text1"/>
        </w:rPr>
        <w:t>2</w:t>
      </w:r>
      <w:r w:rsidR="00442C1C" w:rsidRPr="004F2DC8">
        <w:rPr>
          <w:color w:val="000000" w:themeColor="text1"/>
        </w:rPr>
        <w:t xml:space="preserve">. </w:t>
      </w:r>
      <w:r w:rsidR="00EB6AE2" w:rsidRPr="004F2DC8">
        <w:rPr>
          <w:i/>
          <w:color w:val="000000" w:themeColor="text1"/>
        </w:rPr>
        <w:t>A Guide to the Practical Application of the</w:t>
      </w:r>
      <w:r w:rsidR="00965FEE">
        <w:rPr>
          <w:i/>
          <w:color w:val="000000" w:themeColor="text1"/>
        </w:rPr>
        <w:t xml:space="preserve"> </w:t>
      </w:r>
      <w:r w:rsidR="00EB6AE2" w:rsidRPr="004F2DC8">
        <w:rPr>
          <w:i/>
          <w:color w:val="000000" w:themeColor="text1"/>
        </w:rPr>
        <w:t>New Zealand</w:t>
      </w:r>
      <w:r w:rsidR="006B47B0">
        <w:rPr>
          <w:i/>
          <w:color w:val="000000" w:themeColor="text1"/>
        </w:rPr>
        <w:t xml:space="preserve"> Illicit</w:t>
      </w:r>
      <w:r w:rsidR="00EB6AE2" w:rsidRPr="004F2DC8">
        <w:rPr>
          <w:i/>
          <w:color w:val="000000" w:themeColor="text1"/>
        </w:rPr>
        <w:t xml:space="preserve"> Drug Harm Index 2</w:t>
      </w:r>
      <w:r w:rsidR="004F2DC8" w:rsidRPr="00965FEE">
        <w:rPr>
          <w:i/>
        </w:rPr>
        <w:t>020</w:t>
      </w:r>
      <w:r w:rsidR="00786CD7">
        <w:rPr>
          <w:i/>
        </w:rPr>
        <w:t>: Version 1.1</w:t>
      </w:r>
      <w:r w:rsidR="00442C1C" w:rsidRPr="00965FEE">
        <w:t>. Wellington: Ministry of Health.</w:t>
      </w:r>
    </w:p>
    <w:p w14:paraId="78345391" w14:textId="6812BD94" w:rsidR="00C86248" w:rsidRPr="00786CD7" w:rsidRDefault="009C5B49">
      <w:pPr>
        <w:pStyle w:val="Imprint"/>
      </w:pPr>
      <w:r w:rsidRPr="00786CD7">
        <w:t xml:space="preserve">Published in </w:t>
      </w:r>
      <w:r w:rsidR="00786CD7">
        <w:t>February 2022</w:t>
      </w:r>
      <w:r w:rsidR="005019AE" w:rsidRPr="00786CD7">
        <w:br/>
      </w:r>
      <w:r w:rsidR="00C86248" w:rsidRPr="00786CD7">
        <w:t>by the</w:t>
      </w:r>
      <w:r w:rsidR="00442C1C" w:rsidRPr="00786CD7">
        <w:t xml:space="preserve"> </w:t>
      </w:r>
      <w:r w:rsidR="00C86248" w:rsidRPr="00786CD7">
        <w:t>Ministry of Health</w:t>
      </w:r>
      <w:r w:rsidR="00C86248" w:rsidRPr="00786CD7">
        <w:br/>
        <w:t>PO Box 5013, Wellington</w:t>
      </w:r>
      <w:r w:rsidR="00A80363" w:rsidRPr="00786CD7">
        <w:t xml:space="preserve"> 6145</w:t>
      </w:r>
      <w:r w:rsidR="00C86248" w:rsidRPr="00786CD7">
        <w:t>, New Zealand</w:t>
      </w:r>
    </w:p>
    <w:p w14:paraId="0A76EB53" w14:textId="2C326F16" w:rsidR="00082CD6" w:rsidRPr="00965FEE" w:rsidRDefault="00D863D0" w:rsidP="00082CD6">
      <w:pPr>
        <w:pStyle w:val="Imprint"/>
      </w:pPr>
      <w:r w:rsidRPr="00786CD7">
        <w:t>ISBN</w:t>
      </w:r>
      <w:r w:rsidR="00442C1C" w:rsidRPr="00786CD7">
        <w:t>:</w:t>
      </w:r>
      <w:r w:rsidR="003E0609" w:rsidRPr="00786CD7">
        <w:t xml:space="preserve"> </w:t>
      </w:r>
      <w:r w:rsidR="00786CD7" w:rsidRPr="00CD7248">
        <w:rPr>
          <w:rStyle w:val="normaltextrun"/>
          <w:rFonts w:ascii="Calibri" w:hAnsi="Calibri" w:cs="Calibri"/>
          <w:color w:val="000000"/>
          <w:szCs w:val="22"/>
          <w:shd w:val="clear" w:color="auto" w:fill="FFFFFF"/>
          <w:lang w:val="en-US"/>
        </w:rPr>
        <w:t>978-1-99-110023-</w:t>
      </w:r>
      <w:proofErr w:type="gramStart"/>
      <w:r w:rsidR="00786CD7" w:rsidRPr="00CD7248">
        <w:rPr>
          <w:rStyle w:val="normaltextrun"/>
          <w:rFonts w:ascii="Calibri" w:hAnsi="Calibri" w:cs="Calibri"/>
          <w:color w:val="000000"/>
          <w:szCs w:val="22"/>
          <w:shd w:val="clear" w:color="auto" w:fill="FFFFFF"/>
          <w:lang w:val="en-US"/>
        </w:rPr>
        <w:t>8</w:t>
      </w:r>
      <w:r w:rsidR="00786CD7">
        <w:rPr>
          <w:rStyle w:val="eop"/>
          <w:rFonts w:ascii="Segoe UI" w:hAnsi="Segoe UI" w:cs="Segoe UI"/>
          <w:color w:val="000000"/>
          <w:sz w:val="20"/>
          <w:shd w:val="clear" w:color="auto" w:fill="FFFFFF"/>
        </w:rPr>
        <w:t> </w:t>
      </w:r>
      <w:r w:rsidR="00442C1C" w:rsidRPr="00786CD7">
        <w:t xml:space="preserve"> </w:t>
      </w:r>
      <w:r w:rsidRPr="00786CD7">
        <w:t>(</w:t>
      </w:r>
      <w:proofErr w:type="gramEnd"/>
      <w:r w:rsidR="00442C1C" w:rsidRPr="00786CD7">
        <w:t>online</w:t>
      </w:r>
      <w:r w:rsidRPr="00786CD7">
        <w:t>)</w:t>
      </w:r>
      <w:r w:rsidR="00082CD6" w:rsidRPr="00786CD7">
        <w:br/>
        <w:t xml:space="preserve">HP </w:t>
      </w:r>
      <w:r w:rsidR="00794019" w:rsidRPr="00786CD7">
        <w:t>7996</w:t>
      </w:r>
    </w:p>
    <w:p w14:paraId="0F2E7631" w14:textId="7B3ED72C" w:rsidR="00C86248" w:rsidRPr="00965FEE" w:rsidRDefault="00C86248">
      <w:pPr>
        <w:pStyle w:val="Imprint"/>
      </w:pPr>
      <w:r w:rsidRPr="00965FEE">
        <w:t xml:space="preserve">This document is available </w:t>
      </w:r>
      <w:r w:rsidR="0071741C" w:rsidRPr="00965FEE">
        <w:t xml:space="preserve">at </w:t>
      </w:r>
      <w:r w:rsidRPr="00965FEE">
        <w:t>h</w:t>
      </w:r>
      <w:r w:rsidR="00A80363" w:rsidRPr="00965FEE">
        <w:t>ealth</w:t>
      </w:r>
      <w:r w:rsidRPr="00965FEE">
        <w:t>.govt.nz</w:t>
      </w:r>
    </w:p>
    <w:p w14:paraId="047901A2" w14:textId="4167E01D" w:rsidR="00C86248" w:rsidRPr="00676962" w:rsidRDefault="00C86248">
      <w:pPr>
        <w:jc w:val="center"/>
      </w:pPr>
    </w:p>
    <w:p w14:paraId="0B5A8F17" w14:textId="77777777" w:rsidR="00C86248" w:rsidRPr="004F2DC8" w:rsidRDefault="00C86248">
      <w:pPr>
        <w:jc w:val="center"/>
        <w:rPr>
          <w:color w:val="FF0000"/>
        </w:rPr>
        <w:sectPr w:rsidR="00C86248" w:rsidRPr="004F2DC8" w:rsidSect="0009005F">
          <w:footerReference w:type="even" r:id="rId10"/>
          <w:footerReference w:type="default" r:id="rId11"/>
          <w:pgSz w:w="11907" w:h="16834" w:code="9"/>
          <w:pgMar w:top="1701" w:right="1418" w:bottom="1418" w:left="1418" w:header="425" w:footer="425" w:gutter="0"/>
          <w:cols w:space="720"/>
          <w:vAlign w:val="bottom"/>
        </w:sectPr>
      </w:pPr>
    </w:p>
    <w:p w14:paraId="75C14F14" w14:textId="77777777" w:rsidR="00435A41" w:rsidRDefault="00435A41">
      <w:pPr>
        <w:pStyle w:val="IntroHead"/>
        <w:rPr>
          <w:color w:val="000000" w:themeColor="text1"/>
        </w:rPr>
      </w:pPr>
      <w:bookmarkStart w:id="0" w:name="_Toc405792991"/>
      <w:bookmarkStart w:id="1" w:name="_Toc405793224"/>
    </w:p>
    <w:p w14:paraId="6B86A710" w14:textId="77777777" w:rsidR="00435A41" w:rsidRDefault="00435A41">
      <w:pPr>
        <w:pStyle w:val="IntroHead"/>
        <w:rPr>
          <w:color w:val="000000" w:themeColor="text1"/>
        </w:rPr>
      </w:pPr>
    </w:p>
    <w:p w14:paraId="24106358" w14:textId="77777777" w:rsidR="00435A41" w:rsidRDefault="00435A41">
      <w:pPr>
        <w:pStyle w:val="IntroHead"/>
        <w:rPr>
          <w:color w:val="000000" w:themeColor="text1"/>
        </w:rPr>
      </w:pPr>
    </w:p>
    <w:p w14:paraId="2C3013E3" w14:textId="27C3F811" w:rsidR="00C86248" w:rsidRPr="000C511E" w:rsidRDefault="00C86248">
      <w:pPr>
        <w:pStyle w:val="IntroHead"/>
        <w:rPr>
          <w:color w:val="000000" w:themeColor="text1"/>
        </w:rPr>
      </w:pPr>
      <w:r w:rsidRPr="000C511E">
        <w:rPr>
          <w:color w:val="000000" w:themeColor="text1"/>
        </w:rPr>
        <w:t>Contents</w:t>
      </w:r>
      <w:bookmarkEnd w:id="0"/>
      <w:bookmarkEnd w:id="1"/>
    </w:p>
    <w:p w14:paraId="7CB73442" w14:textId="4EB862D0" w:rsidR="001962C9" w:rsidRDefault="001962C9">
      <w:pPr>
        <w:pStyle w:val="TOC1"/>
        <w:rPr>
          <w:rFonts w:eastAsiaTheme="minorEastAsia" w:cstheme="minorBidi"/>
          <w:b w:val="0"/>
          <w:noProof/>
          <w:szCs w:val="22"/>
          <w:lang w:eastAsia="en-NZ"/>
        </w:rPr>
      </w:pPr>
      <w:r>
        <w:rPr>
          <w:color w:val="000000" w:themeColor="text1"/>
        </w:rPr>
        <w:fldChar w:fldCharType="begin"/>
      </w:r>
      <w:r>
        <w:rPr>
          <w:color w:val="000000" w:themeColor="text1"/>
        </w:rPr>
        <w:instrText xml:space="preserve"> TOC \o "1-2" \h \z \u </w:instrText>
      </w:r>
      <w:r>
        <w:rPr>
          <w:color w:val="000000" w:themeColor="text1"/>
        </w:rPr>
        <w:fldChar w:fldCharType="separate"/>
      </w:r>
      <w:hyperlink w:anchor="_Toc95475379" w:history="1">
        <w:r w:rsidRPr="00543C2B">
          <w:rPr>
            <w:rStyle w:val="Hyperlink"/>
            <w:noProof/>
          </w:rPr>
          <w:t>Background</w:t>
        </w:r>
        <w:r>
          <w:rPr>
            <w:noProof/>
            <w:webHidden/>
          </w:rPr>
          <w:tab/>
        </w:r>
        <w:r>
          <w:rPr>
            <w:noProof/>
            <w:webHidden/>
          </w:rPr>
          <w:fldChar w:fldCharType="begin"/>
        </w:r>
        <w:r>
          <w:rPr>
            <w:noProof/>
            <w:webHidden/>
          </w:rPr>
          <w:instrText xml:space="preserve"> PAGEREF _Toc95475379 \h </w:instrText>
        </w:r>
        <w:r>
          <w:rPr>
            <w:noProof/>
            <w:webHidden/>
          </w:rPr>
        </w:r>
        <w:r>
          <w:rPr>
            <w:noProof/>
            <w:webHidden/>
          </w:rPr>
          <w:fldChar w:fldCharType="separate"/>
        </w:r>
        <w:r w:rsidR="00EB41C8">
          <w:rPr>
            <w:noProof/>
            <w:webHidden/>
          </w:rPr>
          <w:t>1</w:t>
        </w:r>
        <w:r>
          <w:rPr>
            <w:noProof/>
            <w:webHidden/>
          </w:rPr>
          <w:fldChar w:fldCharType="end"/>
        </w:r>
      </w:hyperlink>
    </w:p>
    <w:p w14:paraId="1B5CC196" w14:textId="229E4284" w:rsidR="001962C9" w:rsidRDefault="00EB41C8">
      <w:pPr>
        <w:pStyle w:val="TOC1"/>
        <w:rPr>
          <w:rFonts w:eastAsiaTheme="minorEastAsia" w:cstheme="minorBidi"/>
          <w:b w:val="0"/>
          <w:noProof/>
          <w:szCs w:val="22"/>
          <w:lang w:eastAsia="en-NZ"/>
        </w:rPr>
      </w:pPr>
      <w:hyperlink w:anchor="_Toc95475380" w:history="1">
        <w:r w:rsidR="001962C9" w:rsidRPr="00543C2B">
          <w:rPr>
            <w:rStyle w:val="Hyperlink"/>
            <w:noProof/>
          </w:rPr>
          <w:t>Measuring the personal and community cost of illicit drug use</w:t>
        </w:r>
        <w:r w:rsidR="001962C9">
          <w:rPr>
            <w:noProof/>
            <w:webHidden/>
          </w:rPr>
          <w:tab/>
        </w:r>
        <w:r w:rsidR="001962C9">
          <w:rPr>
            <w:noProof/>
            <w:webHidden/>
          </w:rPr>
          <w:fldChar w:fldCharType="begin"/>
        </w:r>
        <w:r w:rsidR="001962C9">
          <w:rPr>
            <w:noProof/>
            <w:webHidden/>
          </w:rPr>
          <w:instrText xml:space="preserve"> PAGEREF _Toc95475380 \h </w:instrText>
        </w:r>
        <w:r w:rsidR="001962C9">
          <w:rPr>
            <w:noProof/>
            <w:webHidden/>
          </w:rPr>
        </w:r>
        <w:r w:rsidR="001962C9">
          <w:rPr>
            <w:noProof/>
            <w:webHidden/>
          </w:rPr>
          <w:fldChar w:fldCharType="separate"/>
        </w:r>
        <w:r>
          <w:rPr>
            <w:noProof/>
            <w:webHidden/>
          </w:rPr>
          <w:t>2</w:t>
        </w:r>
        <w:r w:rsidR="001962C9">
          <w:rPr>
            <w:noProof/>
            <w:webHidden/>
          </w:rPr>
          <w:fldChar w:fldCharType="end"/>
        </w:r>
      </w:hyperlink>
    </w:p>
    <w:p w14:paraId="507B69D6" w14:textId="1082F0F3" w:rsidR="001962C9" w:rsidRDefault="00EB41C8">
      <w:pPr>
        <w:pStyle w:val="TOC2"/>
        <w:rPr>
          <w:rFonts w:eastAsiaTheme="minorEastAsia" w:cstheme="minorBidi"/>
          <w:noProof/>
          <w:szCs w:val="22"/>
          <w:lang w:eastAsia="en-NZ"/>
        </w:rPr>
      </w:pPr>
      <w:hyperlink w:anchor="_Toc95475381" w:history="1">
        <w:r w:rsidR="001962C9" w:rsidRPr="00543C2B">
          <w:rPr>
            <w:rStyle w:val="Hyperlink"/>
            <w:noProof/>
          </w:rPr>
          <w:t>Step 1. Specifying the personal and community harms of interest</w:t>
        </w:r>
        <w:r w:rsidR="001962C9">
          <w:rPr>
            <w:noProof/>
            <w:webHidden/>
          </w:rPr>
          <w:tab/>
        </w:r>
        <w:r w:rsidR="001962C9">
          <w:rPr>
            <w:noProof/>
            <w:webHidden/>
          </w:rPr>
          <w:fldChar w:fldCharType="begin"/>
        </w:r>
        <w:r w:rsidR="001962C9">
          <w:rPr>
            <w:noProof/>
            <w:webHidden/>
          </w:rPr>
          <w:instrText xml:space="preserve"> PAGEREF _Toc95475381 \h </w:instrText>
        </w:r>
        <w:r w:rsidR="001962C9">
          <w:rPr>
            <w:noProof/>
            <w:webHidden/>
          </w:rPr>
        </w:r>
        <w:r w:rsidR="001962C9">
          <w:rPr>
            <w:noProof/>
            <w:webHidden/>
          </w:rPr>
          <w:fldChar w:fldCharType="separate"/>
        </w:r>
        <w:r>
          <w:rPr>
            <w:noProof/>
            <w:webHidden/>
          </w:rPr>
          <w:t>2</w:t>
        </w:r>
        <w:r w:rsidR="001962C9">
          <w:rPr>
            <w:noProof/>
            <w:webHidden/>
          </w:rPr>
          <w:fldChar w:fldCharType="end"/>
        </w:r>
      </w:hyperlink>
    </w:p>
    <w:p w14:paraId="2998287C" w14:textId="76DAE777" w:rsidR="001962C9" w:rsidRDefault="00EB41C8">
      <w:pPr>
        <w:pStyle w:val="TOC2"/>
        <w:rPr>
          <w:rFonts w:eastAsiaTheme="minorEastAsia" w:cstheme="minorBidi"/>
          <w:noProof/>
          <w:szCs w:val="22"/>
          <w:lang w:eastAsia="en-NZ"/>
        </w:rPr>
      </w:pPr>
      <w:hyperlink w:anchor="_Toc95475382" w:history="1">
        <w:r w:rsidR="001962C9" w:rsidRPr="00543C2B">
          <w:rPr>
            <w:rStyle w:val="Hyperlink"/>
            <w:noProof/>
          </w:rPr>
          <w:t>Step 2. Specifying drugs of interest</w:t>
        </w:r>
        <w:r w:rsidR="001962C9">
          <w:rPr>
            <w:noProof/>
            <w:webHidden/>
          </w:rPr>
          <w:tab/>
        </w:r>
        <w:r w:rsidR="001962C9">
          <w:rPr>
            <w:noProof/>
            <w:webHidden/>
          </w:rPr>
          <w:fldChar w:fldCharType="begin"/>
        </w:r>
        <w:r w:rsidR="001962C9">
          <w:rPr>
            <w:noProof/>
            <w:webHidden/>
          </w:rPr>
          <w:instrText xml:space="preserve"> PAGEREF _Toc95475382 \h </w:instrText>
        </w:r>
        <w:r w:rsidR="001962C9">
          <w:rPr>
            <w:noProof/>
            <w:webHidden/>
          </w:rPr>
        </w:r>
        <w:r w:rsidR="001962C9">
          <w:rPr>
            <w:noProof/>
            <w:webHidden/>
          </w:rPr>
          <w:fldChar w:fldCharType="separate"/>
        </w:r>
        <w:r>
          <w:rPr>
            <w:noProof/>
            <w:webHidden/>
          </w:rPr>
          <w:t>2</w:t>
        </w:r>
        <w:r w:rsidR="001962C9">
          <w:rPr>
            <w:noProof/>
            <w:webHidden/>
          </w:rPr>
          <w:fldChar w:fldCharType="end"/>
        </w:r>
      </w:hyperlink>
    </w:p>
    <w:p w14:paraId="4D55EC8C" w14:textId="4F761E36" w:rsidR="001962C9" w:rsidRDefault="00EB41C8">
      <w:pPr>
        <w:pStyle w:val="TOC2"/>
        <w:rPr>
          <w:rFonts w:eastAsiaTheme="minorEastAsia" w:cstheme="minorBidi"/>
          <w:noProof/>
          <w:szCs w:val="22"/>
          <w:lang w:eastAsia="en-NZ"/>
        </w:rPr>
      </w:pPr>
      <w:hyperlink w:anchor="_Toc95475383" w:history="1">
        <w:r w:rsidR="001962C9" w:rsidRPr="00543C2B">
          <w:rPr>
            <w:rStyle w:val="Hyperlink"/>
            <w:noProof/>
          </w:rPr>
          <w:t>Step 3. Specifying measures of personal and community cost</w:t>
        </w:r>
        <w:r w:rsidR="001962C9">
          <w:rPr>
            <w:noProof/>
            <w:webHidden/>
          </w:rPr>
          <w:tab/>
        </w:r>
        <w:r w:rsidR="001962C9">
          <w:rPr>
            <w:noProof/>
            <w:webHidden/>
          </w:rPr>
          <w:fldChar w:fldCharType="begin"/>
        </w:r>
        <w:r w:rsidR="001962C9">
          <w:rPr>
            <w:noProof/>
            <w:webHidden/>
          </w:rPr>
          <w:instrText xml:space="preserve"> PAGEREF _Toc95475383 \h </w:instrText>
        </w:r>
        <w:r w:rsidR="001962C9">
          <w:rPr>
            <w:noProof/>
            <w:webHidden/>
          </w:rPr>
        </w:r>
        <w:r w:rsidR="001962C9">
          <w:rPr>
            <w:noProof/>
            <w:webHidden/>
          </w:rPr>
          <w:fldChar w:fldCharType="separate"/>
        </w:r>
        <w:r>
          <w:rPr>
            <w:noProof/>
            <w:webHidden/>
          </w:rPr>
          <w:t>3</w:t>
        </w:r>
        <w:r w:rsidR="001962C9">
          <w:rPr>
            <w:noProof/>
            <w:webHidden/>
          </w:rPr>
          <w:fldChar w:fldCharType="end"/>
        </w:r>
      </w:hyperlink>
    </w:p>
    <w:p w14:paraId="746085FB" w14:textId="0A1DF5C1" w:rsidR="001962C9" w:rsidRDefault="00EB41C8">
      <w:pPr>
        <w:pStyle w:val="TOC2"/>
        <w:rPr>
          <w:rFonts w:eastAsiaTheme="minorEastAsia" w:cstheme="minorBidi"/>
          <w:noProof/>
          <w:szCs w:val="22"/>
          <w:lang w:eastAsia="en-NZ"/>
        </w:rPr>
      </w:pPr>
      <w:hyperlink w:anchor="_Toc95475384" w:history="1">
        <w:r w:rsidR="001962C9" w:rsidRPr="00543C2B">
          <w:rPr>
            <w:rStyle w:val="Hyperlink"/>
            <w:noProof/>
          </w:rPr>
          <w:t>Step 4. Estimating the extent of benefits related to an intervention</w:t>
        </w:r>
        <w:r w:rsidR="001962C9">
          <w:rPr>
            <w:noProof/>
            <w:webHidden/>
          </w:rPr>
          <w:tab/>
        </w:r>
        <w:r w:rsidR="001962C9">
          <w:rPr>
            <w:noProof/>
            <w:webHidden/>
          </w:rPr>
          <w:fldChar w:fldCharType="begin"/>
        </w:r>
        <w:r w:rsidR="001962C9">
          <w:rPr>
            <w:noProof/>
            <w:webHidden/>
          </w:rPr>
          <w:instrText xml:space="preserve"> PAGEREF _Toc95475384 \h </w:instrText>
        </w:r>
        <w:r w:rsidR="001962C9">
          <w:rPr>
            <w:noProof/>
            <w:webHidden/>
          </w:rPr>
        </w:r>
        <w:r w:rsidR="001962C9">
          <w:rPr>
            <w:noProof/>
            <w:webHidden/>
          </w:rPr>
          <w:fldChar w:fldCharType="separate"/>
        </w:r>
        <w:r>
          <w:rPr>
            <w:noProof/>
            <w:webHidden/>
          </w:rPr>
          <w:t>4</w:t>
        </w:r>
        <w:r w:rsidR="001962C9">
          <w:rPr>
            <w:noProof/>
            <w:webHidden/>
          </w:rPr>
          <w:fldChar w:fldCharType="end"/>
        </w:r>
      </w:hyperlink>
    </w:p>
    <w:p w14:paraId="3600E732" w14:textId="009905AA" w:rsidR="001962C9" w:rsidRDefault="00EB41C8">
      <w:pPr>
        <w:pStyle w:val="TOC2"/>
        <w:rPr>
          <w:rFonts w:eastAsiaTheme="minorEastAsia" w:cstheme="minorBidi"/>
          <w:noProof/>
          <w:szCs w:val="22"/>
          <w:lang w:eastAsia="en-NZ"/>
        </w:rPr>
      </w:pPr>
      <w:hyperlink w:anchor="_Toc95475385" w:history="1">
        <w:r w:rsidR="001962C9" w:rsidRPr="00543C2B">
          <w:rPr>
            <w:rStyle w:val="Hyperlink"/>
            <w:noProof/>
          </w:rPr>
          <w:t>Step 5. Measuring the costs of interventions</w:t>
        </w:r>
        <w:r w:rsidR="001962C9">
          <w:rPr>
            <w:noProof/>
            <w:webHidden/>
          </w:rPr>
          <w:tab/>
        </w:r>
        <w:r w:rsidR="001962C9">
          <w:rPr>
            <w:noProof/>
            <w:webHidden/>
          </w:rPr>
          <w:fldChar w:fldCharType="begin"/>
        </w:r>
        <w:r w:rsidR="001962C9">
          <w:rPr>
            <w:noProof/>
            <w:webHidden/>
          </w:rPr>
          <w:instrText xml:space="preserve"> PAGEREF _Toc95475385 \h </w:instrText>
        </w:r>
        <w:r w:rsidR="001962C9">
          <w:rPr>
            <w:noProof/>
            <w:webHidden/>
          </w:rPr>
        </w:r>
        <w:r w:rsidR="001962C9">
          <w:rPr>
            <w:noProof/>
            <w:webHidden/>
          </w:rPr>
          <w:fldChar w:fldCharType="separate"/>
        </w:r>
        <w:r>
          <w:rPr>
            <w:noProof/>
            <w:webHidden/>
          </w:rPr>
          <w:t>4</w:t>
        </w:r>
        <w:r w:rsidR="001962C9">
          <w:rPr>
            <w:noProof/>
            <w:webHidden/>
          </w:rPr>
          <w:fldChar w:fldCharType="end"/>
        </w:r>
      </w:hyperlink>
    </w:p>
    <w:p w14:paraId="5BB22A20" w14:textId="4CCBC8BD" w:rsidR="001962C9" w:rsidRDefault="00EB41C8">
      <w:pPr>
        <w:pStyle w:val="TOC1"/>
        <w:rPr>
          <w:rFonts w:eastAsiaTheme="minorEastAsia" w:cstheme="minorBidi"/>
          <w:b w:val="0"/>
          <w:noProof/>
          <w:szCs w:val="22"/>
          <w:lang w:eastAsia="en-NZ"/>
        </w:rPr>
      </w:pPr>
      <w:hyperlink w:anchor="_Toc95475386" w:history="1">
        <w:r w:rsidR="001962C9" w:rsidRPr="00543C2B">
          <w:rPr>
            <w:rStyle w:val="Hyperlink"/>
            <w:noProof/>
          </w:rPr>
          <w:t>Closing comments</w:t>
        </w:r>
        <w:r w:rsidR="001962C9">
          <w:rPr>
            <w:noProof/>
            <w:webHidden/>
          </w:rPr>
          <w:tab/>
        </w:r>
        <w:r w:rsidR="001962C9">
          <w:rPr>
            <w:noProof/>
            <w:webHidden/>
          </w:rPr>
          <w:fldChar w:fldCharType="begin"/>
        </w:r>
        <w:r w:rsidR="001962C9">
          <w:rPr>
            <w:noProof/>
            <w:webHidden/>
          </w:rPr>
          <w:instrText xml:space="preserve"> PAGEREF _Toc95475386 \h </w:instrText>
        </w:r>
        <w:r w:rsidR="001962C9">
          <w:rPr>
            <w:noProof/>
            <w:webHidden/>
          </w:rPr>
        </w:r>
        <w:r w:rsidR="001962C9">
          <w:rPr>
            <w:noProof/>
            <w:webHidden/>
          </w:rPr>
          <w:fldChar w:fldCharType="separate"/>
        </w:r>
        <w:r>
          <w:rPr>
            <w:noProof/>
            <w:webHidden/>
          </w:rPr>
          <w:t>5</w:t>
        </w:r>
        <w:r w:rsidR="001962C9">
          <w:rPr>
            <w:noProof/>
            <w:webHidden/>
          </w:rPr>
          <w:fldChar w:fldCharType="end"/>
        </w:r>
      </w:hyperlink>
    </w:p>
    <w:p w14:paraId="5D06F9F8" w14:textId="0DF5A0AD" w:rsidR="001962C9" w:rsidRDefault="00EB41C8">
      <w:pPr>
        <w:pStyle w:val="TOC1"/>
        <w:rPr>
          <w:rFonts w:eastAsiaTheme="minorEastAsia" w:cstheme="minorBidi"/>
          <w:b w:val="0"/>
          <w:noProof/>
          <w:szCs w:val="22"/>
          <w:lang w:eastAsia="en-NZ"/>
        </w:rPr>
      </w:pPr>
      <w:hyperlink w:anchor="_Toc95475387" w:history="1">
        <w:r w:rsidR="001962C9" w:rsidRPr="00543C2B">
          <w:rPr>
            <w:rStyle w:val="Hyperlink"/>
            <w:noProof/>
          </w:rPr>
          <w:t>Appendix One</w:t>
        </w:r>
        <w:r w:rsidR="001962C9">
          <w:rPr>
            <w:noProof/>
            <w:webHidden/>
          </w:rPr>
          <w:tab/>
        </w:r>
        <w:r w:rsidR="001962C9">
          <w:rPr>
            <w:noProof/>
            <w:webHidden/>
          </w:rPr>
          <w:fldChar w:fldCharType="begin"/>
        </w:r>
        <w:r w:rsidR="001962C9">
          <w:rPr>
            <w:noProof/>
            <w:webHidden/>
          </w:rPr>
          <w:instrText xml:space="preserve"> PAGEREF _Toc95475387 \h </w:instrText>
        </w:r>
        <w:r w:rsidR="001962C9">
          <w:rPr>
            <w:noProof/>
            <w:webHidden/>
          </w:rPr>
        </w:r>
        <w:r w:rsidR="001962C9">
          <w:rPr>
            <w:noProof/>
            <w:webHidden/>
          </w:rPr>
          <w:fldChar w:fldCharType="separate"/>
        </w:r>
        <w:r>
          <w:rPr>
            <w:noProof/>
            <w:webHidden/>
          </w:rPr>
          <w:t>6</w:t>
        </w:r>
        <w:r w:rsidR="001962C9">
          <w:rPr>
            <w:noProof/>
            <w:webHidden/>
          </w:rPr>
          <w:fldChar w:fldCharType="end"/>
        </w:r>
      </w:hyperlink>
    </w:p>
    <w:p w14:paraId="6FB091F5" w14:textId="5F4F53AB" w:rsidR="001962C9" w:rsidRDefault="00EB41C8">
      <w:pPr>
        <w:pStyle w:val="TOC2"/>
        <w:rPr>
          <w:rFonts w:eastAsiaTheme="minorEastAsia" w:cstheme="minorBidi"/>
          <w:noProof/>
          <w:szCs w:val="22"/>
          <w:lang w:eastAsia="en-NZ"/>
        </w:rPr>
      </w:pPr>
      <w:hyperlink w:anchor="_Toc95475388" w:history="1">
        <w:r w:rsidR="001962C9" w:rsidRPr="00543C2B">
          <w:rPr>
            <w:rStyle w:val="Hyperlink"/>
            <w:noProof/>
          </w:rPr>
          <w:t>Evaluations of overall effectiveness</w:t>
        </w:r>
        <w:r w:rsidR="001962C9">
          <w:rPr>
            <w:noProof/>
            <w:webHidden/>
          </w:rPr>
          <w:tab/>
        </w:r>
        <w:r w:rsidR="001962C9">
          <w:rPr>
            <w:noProof/>
            <w:webHidden/>
          </w:rPr>
          <w:fldChar w:fldCharType="begin"/>
        </w:r>
        <w:r w:rsidR="001962C9">
          <w:rPr>
            <w:noProof/>
            <w:webHidden/>
          </w:rPr>
          <w:instrText xml:space="preserve"> PAGEREF _Toc95475388 \h </w:instrText>
        </w:r>
        <w:r w:rsidR="001962C9">
          <w:rPr>
            <w:noProof/>
            <w:webHidden/>
          </w:rPr>
        </w:r>
        <w:r w:rsidR="001962C9">
          <w:rPr>
            <w:noProof/>
            <w:webHidden/>
          </w:rPr>
          <w:fldChar w:fldCharType="separate"/>
        </w:r>
        <w:r>
          <w:rPr>
            <w:noProof/>
            <w:webHidden/>
          </w:rPr>
          <w:t>6</w:t>
        </w:r>
        <w:r w:rsidR="001962C9">
          <w:rPr>
            <w:noProof/>
            <w:webHidden/>
          </w:rPr>
          <w:fldChar w:fldCharType="end"/>
        </w:r>
      </w:hyperlink>
    </w:p>
    <w:p w14:paraId="63DC4F4D" w14:textId="055C993E" w:rsidR="001962C9" w:rsidRDefault="00EB41C8">
      <w:pPr>
        <w:pStyle w:val="TOC2"/>
        <w:rPr>
          <w:rFonts w:eastAsiaTheme="minorEastAsia" w:cstheme="minorBidi"/>
          <w:noProof/>
          <w:szCs w:val="22"/>
          <w:lang w:eastAsia="en-NZ"/>
        </w:rPr>
      </w:pPr>
      <w:hyperlink w:anchor="_Toc95475389" w:history="1">
        <w:r w:rsidR="001962C9" w:rsidRPr="00543C2B">
          <w:rPr>
            <w:rStyle w:val="Hyperlink"/>
            <w:noProof/>
          </w:rPr>
          <w:t>Relative contributions to effectiveness</w:t>
        </w:r>
        <w:r w:rsidR="001962C9">
          <w:rPr>
            <w:noProof/>
            <w:webHidden/>
          </w:rPr>
          <w:tab/>
        </w:r>
        <w:r w:rsidR="001962C9">
          <w:rPr>
            <w:noProof/>
            <w:webHidden/>
          </w:rPr>
          <w:fldChar w:fldCharType="begin"/>
        </w:r>
        <w:r w:rsidR="001962C9">
          <w:rPr>
            <w:noProof/>
            <w:webHidden/>
          </w:rPr>
          <w:instrText xml:space="preserve"> PAGEREF _Toc95475389 \h </w:instrText>
        </w:r>
        <w:r w:rsidR="001962C9">
          <w:rPr>
            <w:noProof/>
            <w:webHidden/>
          </w:rPr>
        </w:r>
        <w:r w:rsidR="001962C9">
          <w:rPr>
            <w:noProof/>
            <w:webHidden/>
          </w:rPr>
          <w:fldChar w:fldCharType="separate"/>
        </w:r>
        <w:r>
          <w:rPr>
            <w:noProof/>
            <w:webHidden/>
          </w:rPr>
          <w:t>7</w:t>
        </w:r>
        <w:r w:rsidR="001962C9">
          <w:rPr>
            <w:noProof/>
            <w:webHidden/>
          </w:rPr>
          <w:fldChar w:fldCharType="end"/>
        </w:r>
      </w:hyperlink>
    </w:p>
    <w:p w14:paraId="15DB1B03" w14:textId="7121F040" w:rsidR="001962C9" w:rsidRDefault="00EB41C8">
      <w:pPr>
        <w:pStyle w:val="TOC1"/>
        <w:rPr>
          <w:rFonts w:eastAsiaTheme="minorEastAsia" w:cstheme="minorBidi"/>
          <w:b w:val="0"/>
          <w:noProof/>
          <w:szCs w:val="22"/>
          <w:lang w:eastAsia="en-NZ"/>
        </w:rPr>
      </w:pPr>
      <w:hyperlink w:anchor="_Toc95475390" w:history="1">
        <w:r w:rsidR="001962C9" w:rsidRPr="00543C2B">
          <w:rPr>
            <w:rStyle w:val="Hyperlink"/>
            <w:noProof/>
          </w:rPr>
          <w:t>Appendix Two</w:t>
        </w:r>
        <w:r w:rsidR="001962C9">
          <w:rPr>
            <w:noProof/>
            <w:webHidden/>
          </w:rPr>
          <w:tab/>
        </w:r>
        <w:r w:rsidR="001962C9">
          <w:rPr>
            <w:noProof/>
            <w:webHidden/>
          </w:rPr>
          <w:fldChar w:fldCharType="begin"/>
        </w:r>
        <w:r w:rsidR="001962C9">
          <w:rPr>
            <w:noProof/>
            <w:webHidden/>
          </w:rPr>
          <w:instrText xml:space="preserve"> PAGEREF _Toc95475390 \h </w:instrText>
        </w:r>
        <w:r w:rsidR="001962C9">
          <w:rPr>
            <w:noProof/>
            <w:webHidden/>
          </w:rPr>
        </w:r>
        <w:r w:rsidR="001962C9">
          <w:rPr>
            <w:noProof/>
            <w:webHidden/>
          </w:rPr>
          <w:fldChar w:fldCharType="separate"/>
        </w:r>
        <w:r>
          <w:rPr>
            <w:noProof/>
            <w:webHidden/>
          </w:rPr>
          <w:t>9</w:t>
        </w:r>
        <w:r w:rsidR="001962C9">
          <w:rPr>
            <w:noProof/>
            <w:webHidden/>
          </w:rPr>
          <w:fldChar w:fldCharType="end"/>
        </w:r>
      </w:hyperlink>
    </w:p>
    <w:p w14:paraId="11A7F3FF" w14:textId="3C705776" w:rsidR="001962C9" w:rsidRDefault="00EB41C8">
      <w:pPr>
        <w:pStyle w:val="TOC2"/>
        <w:rPr>
          <w:rFonts w:eastAsiaTheme="minorEastAsia" w:cstheme="minorBidi"/>
          <w:noProof/>
          <w:szCs w:val="22"/>
          <w:lang w:eastAsia="en-NZ"/>
        </w:rPr>
      </w:pPr>
      <w:hyperlink w:anchor="_Toc95475391" w:history="1">
        <w:r w:rsidR="001962C9" w:rsidRPr="00543C2B">
          <w:rPr>
            <w:rStyle w:val="Hyperlink"/>
            <w:noProof/>
          </w:rPr>
          <w:t>Table with incorrect numbers previously published in this guide</w:t>
        </w:r>
        <w:r w:rsidR="001962C9">
          <w:rPr>
            <w:noProof/>
            <w:webHidden/>
          </w:rPr>
          <w:tab/>
        </w:r>
        <w:r w:rsidR="001962C9">
          <w:rPr>
            <w:noProof/>
            <w:webHidden/>
          </w:rPr>
          <w:fldChar w:fldCharType="begin"/>
        </w:r>
        <w:r w:rsidR="001962C9">
          <w:rPr>
            <w:noProof/>
            <w:webHidden/>
          </w:rPr>
          <w:instrText xml:space="preserve"> PAGEREF _Toc95475391 \h </w:instrText>
        </w:r>
        <w:r w:rsidR="001962C9">
          <w:rPr>
            <w:noProof/>
            <w:webHidden/>
          </w:rPr>
        </w:r>
        <w:r w:rsidR="001962C9">
          <w:rPr>
            <w:noProof/>
            <w:webHidden/>
          </w:rPr>
          <w:fldChar w:fldCharType="separate"/>
        </w:r>
        <w:r>
          <w:rPr>
            <w:noProof/>
            <w:webHidden/>
          </w:rPr>
          <w:t>9</w:t>
        </w:r>
        <w:r w:rsidR="001962C9">
          <w:rPr>
            <w:noProof/>
            <w:webHidden/>
          </w:rPr>
          <w:fldChar w:fldCharType="end"/>
        </w:r>
      </w:hyperlink>
    </w:p>
    <w:p w14:paraId="350532C7" w14:textId="73483010" w:rsidR="00C86248" w:rsidRPr="006101D3" w:rsidRDefault="001962C9" w:rsidP="002507C5">
      <w:pPr>
        <w:rPr>
          <w:color w:val="000000" w:themeColor="text1"/>
        </w:rPr>
      </w:pPr>
      <w:r>
        <w:rPr>
          <w:color w:val="000000" w:themeColor="text1"/>
        </w:rPr>
        <w:fldChar w:fldCharType="end"/>
      </w:r>
    </w:p>
    <w:p w14:paraId="2379D1B7" w14:textId="583CCBEF" w:rsidR="00C86248" w:rsidRPr="004F2DC8" w:rsidRDefault="00C86248">
      <w:pPr>
        <w:rPr>
          <w:color w:val="FF0000"/>
        </w:rPr>
        <w:sectPr w:rsidR="00C86248" w:rsidRPr="004F2DC8" w:rsidSect="00ED5061">
          <w:headerReference w:type="even" r:id="rId12"/>
          <w:headerReference w:type="default" r:id="rId13"/>
          <w:footerReference w:type="even" r:id="rId14"/>
          <w:footerReference w:type="default" r:id="rId15"/>
          <w:pgSz w:w="11907" w:h="16840" w:code="9"/>
          <w:pgMar w:top="1701" w:right="1418" w:bottom="1418" w:left="1418" w:header="425" w:footer="425" w:gutter="0"/>
          <w:pgNumType w:fmt="lowerRoman"/>
          <w:cols w:space="720"/>
        </w:sectPr>
      </w:pPr>
    </w:p>
    <w:p w14:paraId="136F0FA8" w14:textId="77777777" w:rsidR="00AC5F01" w:rsidRPr="002538E0" w:rsidRDefault="00AC5F01" w:rsidP="000C511E">
      <w:pPr>
        <w:pStyle w:val="Heading1"/>
        <w:rPr>
          <w:color w:val="000000" w:themeColor="text1"/>
        </w:rPr>
      </w:pPr>
      <w:bookmarkStart w:id="2" w:name="_Toc95475379"/>
      <w:r w:rsidRPr="002538E0">
        <w:rPr>
          <w:color w:val="000000" w:themeColor="text1"/>
        </w:rPr>
        <w:lastRenderedPageBreak/>
        <w:t>Background</w:t>
      </w:r>
      <w:bookmarkEnd w:id="2"/>
    </w:p>
    <w:p w14:paraId="41D2695F" w14:textId="26883B9C" w:rsidR="008144AE" w:rsidRDefault="00AC5F01" w:rsidP="00AC5F01">
      <w:pPr>
        <w:rPr>
          <w:color w:val="000000" w:themeColor="text1"/>
        </w:rPr>
      </w:pPr>
      <w:r w:rsidRPr="002538E0">
        <w:rPr>
          <w:color w:val="000000" w:themeColor="text1"/>
        </w:rPr>
        <w:t xml:space="preserve">The following is a guide to the practical application of the New Zealand </w:t>
      </w:r>
      <w:r w:rsidR="006B47B0">
        <w:rPr>
          <w:color w:val="000000" w:themeColor="text1"/>
        </w:rPr>
        <w:t xml:space="preserve">Illicit </w:t>
      </w:r>
      <w:r w:rsidRPr="002538E0">
        <w:rPr>
          <w:color w:val="000000" w:themeColor="text1"/>
        </w:rPr>
        <w:t>Drug Harm Index</w:t>
      </w:r>
      <w:r w:rsidR="006B47B0">
        <w:rPr>
          <w:color w:val="000000" w:themeColor="text1"/>
        </w:rPr>
        <w:t xml:space="preserve"> 2020</w:t>
      </w:r>
      <w:r w:rsidRPr="002538E0">
        <w:rPr>
          <w:color w:val="000000" w:themeColor="text1"/>
        </w:rPr>
        <w:t xml:space="preserve"> (DHI</w:t>
      </w:r>
      <w:r w:rsidR="006B47B0">
        <w:rPr>
          <w:color w:val="000000" w:themeColor="text1"/>
        </w:rPr>
        <w:t xml:space="preserve"> 2020</w:t>
      </w:r>
      <w:r w:rsidRPr="002538E0">
        <w:rPr>
          <w:color w:val="000000" w:themeColor="text1"/>
        </w:rPr>
        <w:t xml:space="preserve">) </w:t>
      </w:r>
      <w:r w:rsidR="003B3EB4">
        <w:rPr>
          <w:color w:val="000000" w:themeColor="text1"/>
        </w:rPr>
        <w:t>which has</w:t>
      </w:r>
      <w:r w:rsidR="002538E0" w:rsidRPr="002538E0">
        <w:rPr>
          <w:color w:val="000000" w:themeColor="text1"/>
        </w:rPr>
        <w:t xml:space="preserve"> replaced its predecessor</w:t>
      </w:r>
      <w:r w:rsidR="003B3EB4">
        <w:rPr>
          <w:color w:val="000000" w:themeColor="text1"/>
        </w:rPr>
        <w:t>,</w:t>
      </w:r>
      <w:r w:rsidR="002538E0" w:rsidRPr="002538E0">
        <w:rPr>
          <w:color w:val="000000" w:themeColor="text1"/>
        </w:rPr>
        <w:t xml:space="preserve"> DHI 2016. There are some important changes </w:t>
      </w:r>
      <w:r w:rsidR="008144AE">
        <w:rPr>
          <w:color w:val="000000" w:themeColor="text1"/>
        </w:rPr>
        <w:t>in DHI 2020 including new measures:</w:t>
      </w:r>
    </w:p>
    <w:p w14:paraId="58615828" w14:textId="5830962A" w:rsidR="008144AE" w:rsidRDefault="008144AE" w:rsidP="008144AE">
      <w:pPr>
        <w:pStyle w:val="ListParagraph"/>
        <w:numPr>
          <w:ilvl w:val="0"/>
          <w:numId w:val="18"/>
        </w:numPr>
        <w:rPr>
          <w:color w:val="000000" w:themeColor="text1"/>
        </w:rPr>
      </w:pPr>
      <w:r>
        <w:rPr>
          <w:color w:val="000000" w:themeColor="text1"/>
        </w:rPr>
        <w:t>Drug-related deaths are based on coronial reports, while DHI 2016 used the UNODC submission.</w:t>
      </w:r>
    </w:p>
    <w:p w14:paraId="4DE2C271" w14:textId="4E0BBE72" w:rsidR="008144AE" w:rsidRDefault="008144AE" w:rsidP="008144AE">
      <w:pPr>
        <w:pStyle w:val="ListParagraph"/>
        <w:numPr>
          <w:ilvl w:val="0"/>
          <w:numId w:val="18"/>
        </w:numPr>
        <w:rPr>
          <w:color w:val="000000" w:themeColor="text1"/>
        </w:rPr>
      </w:pPr>
      <w:r>
        <w:rPr>
          <w:color w:val="000000" w:themeColor="text1"/>
        </w:rPr>
        <w:t>Quality of life measure is based on hospital admissions data rather than indexed against death statistics</w:t>
      </w:r>
      <w:r w:rsidR="009623B2">
        <w:rPr>
          <w:color w:val="000000" w:themeColor="text1"/>
        </w:rPr>
        <w:t>.</w:t>
      </w:r>
      <w:r>
        <w:rPr>
          <w:color w:val="000000" w:themeColor="text1"/>
        </w:rPr>
        <w:t xml:space="preserve"> </w:t>
      </w:r>
    </w:p>
    <w:p w14:paraId="107D6388" w14:textId="47E3039B" w:rsidR="00253EA6" w:rsidRDefault="009623B2" w:rsidP="008144AE">
      <w:pPr>
        <w:pStyle w:val="ListParagraph"/>
        <w:numPr>
          <w:ilvl w:val="0"/>
          <w:numId w:val="18"/>
        </w:numPr>
        <w:rPr>
          <w:color w:val="000000" w:themeColor="text1"/>
        </w:rPr>
      </w:pPr>
      <w:r>
        <w:rPr>
          <w:color w:val="000000" w:themeColor="text1"/>
        </w:rPr>
        <w:t xml:space="preserve">Consumption was based on predominantly wastewater analysis rather than the New Zealand </w:t>
      </w:r>
      <w:r w:rsidR="003B3EB4">
        <w:rPr>
          <w:color w:val="000000" w:themeColor="text1"/>
        </w:rPr>
        <w:t>H</w:t>
      </w:r>
      <w:r>
        <w:rPr>
          <w:color w:val="000000" w:themeColor="text1"/>
        </w:rPr>
        <w:t xml:space="preserve">ealth Survey. </w:t>
      </w:r>
    </w:p>
    <w:p w14:paraId="26B86006" w14:textId="4A66543C" w:rsidR="00AC5F01" w:rsidRPr="008144AE" w:rsidRDefault="009623B2" w:rsidP="008144AE">
      <w:pPr>
        <w:pStyle w:val="ListParagraph"/>
        <w:numPr>
          <w:ilvl w:val="0"/>
          <w:numId w:val="18"/>
        </w:numPr>
        <w:rPr>
          <w:color w:val="000000" w:themeColor="text1"/>
        </w:rPr>
      </w:pPr>
      <w:r>
        <w:rPr>
          <w:color w:val="000000" w:themeColor="text1"/>
        </w:rPr>
        <w:t xml:space="preserve">One implication of </w:t>
      </w:r>
      <w:r w:rsidR="00253EA6">
        <w:rPr>
          <w:color w:val="000000" w:themeColor="text1"/>
        </w:rPr>
        <w:t xml:space="preserve">the above changes </w:t>
      </w:r>
      <w:r w:rsidR="000D65D6">
        <w:rPr>
          <w:color w:val="000000" w:themeColor="text1"/>
        </w:rPr>
        <w:t xml:space="preserve">was </w:t>
      </w:r>
      <w:r w:rsidR="00253EA6">
        <w:rPr>
          <w:color w:val="000000" w:themeColor="text1"/>
        </w:rPr>
        <w:t>that t</w:t>
      </w:r>
      <w:r>
        <w:rPr>
          <w:color w:val="000000" w:themeColor="text1"/>
        </w:rPr>
        <w:t>he broad</w:t>
      </w:r>
      <w:r w:rsidR="00253EA6">
        <w:rPr>
          <w:color w:val="000000" w:themeColor="text1"/>
        </w:rPr>
        <w:t xml:space="preserve"> drug groups used in the earlier report (amphetamine-type stimulants, cannabinoids, hallucinogenic &amp; psychedelic, opioid &amp; sedative) have been replaced by specific drug types (methamphetamine, cocaine, MDMA, heroin</w:t>
      </w:r>
      <w:r w:rsidR="00253EA6" w:rsidRPr="00435A41">
        <w:t>, cannabis</w:t>
      </w:r>
      <w:r w:rsidR="00253EA6">
        <w:rPr>
          <w:color w:val="000000" w:themeColor="text1"/>
        </w:rPr>
        <w:t>, synthetic cannabinoids).</w:t>
      </w:r>
    </w:p>
    <w:p w14:paraId="1A222BB0" w14:textId="77777777" w:rsidR="00AC5F01" w:rsidRPr="000C511E" w:rsidRDefault="00AC5F01" w:rsidP="00CF5331">
      <w:pPr>
        <w:rPr>
          <w:color w:val="000000" w:themeColor="text1"/>
        </w:rPr>
      </w:pPr>
      <w:r w:rsidRPr="000C511E">
        <w:rPr>
          <w:color w:val="000000" w:themeColor="text1"/>
        </w:rPr>
        <w:t>Three points should be noted.</w:t>
      </w:r>
    </w:p>
    <w:p w14:paraId="2BF2BF01" w14:textId="7CBC2DF0" w:rsidR="00AC5F01" w:rsidRPr="000C511E" w:rsidRDefault="00AC5F01" w:rsidP="00CF5331">
      <w:pPr>
        <w:pStyle w:val="Bullet"/>
        <w:rPr>
          <w:color w:val="000000" w:themeColor="text1"/>
        </w:rPr>
      </w:pPr>
      <w:r w:rsidRPr="000C511E">
        <w:rPr>
          <w:color w:val="000000" w:themeColor="text1"/>
        </w:rPr>
        <w:t>The DHI is a living document and the drug-types that comprise the Index and their estimated harm will change over time</w:t>
      </w:r>
      <w:r w:rsidR="00994976">
        <w:rPr>
          <w:color w:val="000000" w:themeColor="text1"/>
        </w:rPr>
        <w:t xml:space="preserve">. The DHI 2020 </w:t>
      </w:r>
      <w:r w:rsidR="003B3EB4">
        <w:rPr>
          <w:color w:val="000000" w:themeColor="text1"/>
        </w:rPr>
        <w:t>may</w:t>
      </w:r>
      <w:r w:rsidR="00994976">
        <w:rPr>
          <w:color w:val="000000" w:themeColor="text1"/>
        </w:rPr>
        <w:t xml:space="preserve"> produce key estimates </w:t>
      </w:r>
      <w:r w:rsidR="003B3EB4">
        <w:rPr>
          <w:color w:val="000000" w:themeColor="text1"/>
        </w:rPr>
        <w:t xml:space="preserve">that may </w:t>
      </w:r>
      <w:r w:rsidR="00994976">
        <w:rPr>
          <w:color w:val="000000" w:themeColor="text1"/>
        </w:rPr>
        <w:t>differ</w:t>
      </w:r>
      <w:r w:rsidR="003B3EB4">
        <w:rPr>
          <w:color w:val="000000" w:themeColor="text1"/>
        </w:rPr>
        <w:t xml:space="preserve"> from those produced using</w:t>
      </w:r>
      <w:r w:rsidR="00994976">
        <w:rPr>
          <w:color w:val="000000" w:themeColor="text1"/>
        </w:rPr>
        <w:t xml:space="preserve"> DHI 2016 when used to evaluate interventions.</w:t>
      </w:r>
    </w:p>
    <w:p w14:paraId="1A964875" w14:textId="4D5C8BD7" w:rsidR="00AC5F01" w:rsidRPr="000C511E" w:rsidRDefault="00AC5F01" w:rsidP="00CF5331">
      <w:pPr>
        <w:pStyle w:val="Bullet"/>
        <w:rPr>
          <w:color w:val="000000" w:themeColor="text1"/>
        </w:rPr>
      </w:pPr>
      <w:r w:rsidRPr="000C511E">
        <w:rPr>
          <w:color w:val="000000" w:themeColor="text1"/>
        </w:rPr>
        <w:t>The DHI 20</w:t>
      </w:r>
      <w:r w:rsidR="000C511E" w:rsidRPr="000C511E">
        <w:rPr>
          <w:color w:val="000000" w:themeColor="text1"/>
        </w:rPr>
        <w:t xml:space="preserve">20 </w:t>
      </w:r>
      <w:r w:rsidRPr="000C511E">
        <w:rPr>
          <w:color w:val="000000" w:themeColor="text1"/>
        </w:rPr>
        <w:t>was designed to provide a means of evaluation that is consistent across studies. It does not preclude the use of other forms of evaluation and, in fact, the use of alternative methods in addition to the DHI will result in more robust conclusions.</w:t>
      </w:r>
    </w:p>
    <w:p w14:paraId="126661BC" w14:textId="77777777" w:rsidR="00AC5F01" w:rsidRPr="000C511E" w:rsidRDefault="00AC5F01" w:rsidP="00CF5331">
      <w:pPr>
        <w:pStyle w:val="Bullet"/>
        <w:rPr>
          <w:color w:val="000000" w:themeColor="text1"/>
        </w:rPr>
      </w:pPr>
      <w:r w:rsidRPr="000C511E">
        <w:rPr>
          <w:color w:val="000000" w:themeColor="text1"/>
        </w:rPr>
        <w:t>The application and interpretation of the DHI involve judgement on the part of researchers and policy makers. In a complex environment, different sets of assumptions may be relevant in different circumstances. These assumptions should always be stated clearly.</w:t>
      </w:r>
    </w:p>
    <w:p w14:paraId="730DF33A" w14:textId="6B0E3ABB" w:rsidR="00AC5F01" w:rsidRPr="00B10ADE" w:rsidRDefault="00AC5F01" w:rsidP="00CF5331">
      <w:pPr>
        <w:rPr>
          <w:bCs/>
          <w:i/>
          <w:iCs/>
          <w:color w:val="000000" w:themeColor="text1"/>
        </w:rPr>
      </w:pPr>
      <w:r w:rsidRPr="00B10ADE">
        <w:rPr>
          <w:bCs/>
          <w:i/>
          <w:iCs/>
          <w:color w:val="000000" w:themeColor="text1"/>
        </w:rPr>
        <w:t>Note</w:t>
      </w:r>
      <w:r w:rsidR="000D65D6">
        <w:rPr>
          <w:bCs/>
          <w:i/>
          <w:iCs/>
          <w:color w:val="000000" w:themeColor="text1"/>
        </w:rPr>
        <w:t>:</w:t>
      </w:r>
      <w:r w:rsidRPr="00B10ADE">
        <w:rPr>
          <w:bCs/>
          <w:i/>
          <w:iCs/>
          <w:color w:val="000000" w:themeColor="text1"/>
        </w:rPr>
        <w:t xml:space="preserve"> </w:t>
      </w:r>
      <w:r w:rsidR="000D65D6">
        <w:rPr>
          <w:bCs/>
          <w:i/>
          <w:iCs/>
          <w:color w:val="000000" w:themeColor="text1"/>
        </w:rPr>
        <w:t>T</w:t>
      </w:r>
      <w:r w:rsidRPr="00B10ADE">
        <w:rPr>
          <w:bCs/>
          <w:i/>
          <w:iCs/>
          <w:color w:val="000000" w:themeColor="text1"/>
        </w:rPr>
        <w:t>his guide is not intended as a primer for those attempting a formal evaluation for the first time. It assumes a good knowledge of and prior experience with evaluation techniques.</w:t>
      </w:r>
    </w:p>
    <w:p w14:paraId="4DA43907" w14:textId="4BBFDA4B" w:rsidR="000866DF" w:rsidRDefault="000866DF">
      <w:pPr>
        <w:spacing w:before="0" w:line="240" w:lineRule="auto"/>
        <w:rPr>
          <w:color w:val="000000" w:themeColor="text1"/>
        </w:rPr>
      </w:pPr>
    </w:p>
    <w:p w14:paraId="7375F58D" w14:textId="0511D737" w:rsidR="002D4489" w:rsidRDefault="002D4489">
      <w:pPr>
        <w:spacing w:before="0" w:line="240" w:lineRule="auto"/>
        <w:rPr>
          <w:color w:val="000000" w:themeColor="text1"/>
        </w:rPr>
      </w:pPr>
      <w:r>
        <w:rPr>
          <w:color w:val="000000" w:themeColor="text1"/>
        </w:rPr>
        <w:br w:type="page"/>
      </w:r>
    </w:p>
    <w:p w14:paraId="397A4B05" w14:textId="5783251B" w:rsidR="00AC5F01" w:rsidRPr="007D3403" w:rsidRDefault="00AC5F01" w:rsidP="00CF5331">
      <w:pPr>
        <w:pStyle w:val="Heading1"/>
        <w:rPr>
          <w:color w:val="000000" w:themeColor="text1"/>
        </w:rPr>
      </w:pPr>
      <w:bookmarkStart w:id="3" w:name="_Toc445219660"/>
      <w:bookmarkStart w:id="4" w:name="_Toc95475380"/>
      <w:r w:rsidRPr="007D3403">
        <w:rPr>
          <w:color w:val="000000" w:themeColor="text1"/>
        </w:rPr>
        <w:lastRenderedPageBreak/>
        <w:t xml:space="preserve">Measuring the </w:t>
      </w:r>
      <w:r w:rsidR="00C84688">
        <w:rPr>
          <w:color w:val="000000" w:themeColor="text1"/>
        </w:rPr>
        <w:t>personal and community</w:t>
      </w:r>
      <w:r w:rsidRPr="007D3403">
        <w:rPr>
          <w:color w:val="000000" w:themeColor="text1"/>
        </w:rPr>
        <w:t xml:space="preserve"> cost of illicit drug use</w:t>
      </w:r>
      <w:bookmarkEnd w:id="3"/>
      <w:bookmarkEnd w:id="4"/>
    </w:p>
    <w:p w14:paraId="239CD117" w14:textId="0C1B0F16" w:rsidR="00AC5F01" w:rsidRDefault="00AC5F01" w:rsidP="00CF5331">
      <w:pPr>
        <w:rPr>
          <w:color w:val="000000" w:themeColor="text1"/>
        </w:rPr>
      </w:pPr>
      <w:r w:rsidRPr="007D3403">
        <w:rPr>
          <w:color w:val="000000" w:themeColor="text1"/>
        </w:rPr>
        <w:t>The DHI</w:t>
      </w:r>
      <w:r w:rsidR="006B47B0">
        <w:rPr>
          <w:color w:val="000000" w:themeColor="text1"/>
        </w:rPr>
        <w:t xml:space="preserve"> 2020</w:t>
      </w:r>
      <w:r w:rsidRPr="007D3403">
        <w:rPr>
          <w:color w:val="000000" w:themeColor="text1"/>
        </w:rPr>
        <w:t xml:space="preserve"> provides a method for estimating the cost of illicit drug use in society as a whole or within sub-groups. Researchers must be quite clear about their aims. The following steps outline the development of estimates of </w:t>
      </w:r>
      <w:r w:rsidR="00C84688">
        <w:rPr>
          <w:color w:val="000000" w:themeColor="text1"/>
        </w:rPr>
        <w:t>personal and community</w:t>
      </w:r>
      <w:r w:rsidRPr="007D3403">
        <w:rPr>
          <w:color w:val="000000" w:themeColor="text1"/>
        </w:rPr>
        <w:t xml:space="preserve"> costs.</w:t>
      </w:r>
    </w:p>
    <w:p w14:paraId="520E23C4" w14:textId="43033FB1" w:rsidR="00AC5F01" w:rsidRPr="007D3403" w:rsidRDefault="00AC5F01" w:rsidP="00CF5331">
      <w:pPr>
        <w:pStyle w:val="Heading2"/>
        <w:rPr>
          <w:color w:val="000000" w:themeColor="text1"/>
        </w:rPr>
      </w:pPr>
      <w:bookmarkStart w:id="5" w:name="_Toc95475381"/>
      <w:r w:rsidRPr="007D3403">
        <w:rPr>
          <w:color w:val="000000" w:themeColor="text1"/>
        </w:rPr>
        <w:t xml:space="preserve">Step 1. Specifying the </w:t>
      </w:r>
      <w:r w:rsidR="00C84688">
        <w:rPr>
          <w:color w:val="000000" w:themeColor="text1"/>
        </w:rPr>
        <w:t>personal and community</w:t>
      </w:r>
      <w:r w:rsidRPr="007D3403">
        <w:rPr>
          <w:color w:val="000000" w:themeColor="text1"/>
        </w:rPr>
        <w:t xml:space="preserve"> </w:t>
      </w:r>
      <w:r w:rsidR="001252E4">
        <w:rPr>
          <w:color w:val="000000" w:themeColor="text1"/>
        </w:rPr>
        <w:t>harms</w:t>
      </w:r>
      <w:r w:rsidRPr="007D3403">
        <w:rPr>
          <w:color w:val="000000" w:themeColor="text1"/>
        </w:rPr>
        <w:t xml:space="preserve"> of interest</w:t>
      </w:r>
      <w:bookmarkEnd w:id="5"/>
    </w:p>
    <w:p w14:paraId="037EE9D4" w14:textId="48C0CAA0" w:rsidR="00AC5F01" w:rsidRPr="007D3403" w:rsidRDefault="00AC5F01" w:rsidP="00CF5331">
      <w:pPr>
        <w:spacing w:after="120"/>
        <w:rPr>
          <w:color w:val="000000" w:themeColor="text1"/>
        </w:rPr>
      </w:pPr>
      <w:r w:rsidRPr="007D3403">
        <w:rPr>
          <w:color w:val="000000" w:themeColor="text1"/>
        </w:rPr>
        <w:t xml:space="preserve">The DHI </w:t>
      </w:r>
      <w:r w:rsidR="006B47B0">
        <w:rPr>
          <w:color w:val="000000" w:themeColor="text1"/>
        </w:rPr>
        <w:t xml:space="preserve">2020 </w:t>
      </w:r>
      <w:r w:rsidRPr="007D3403">
        <w:rPr>
          <w:color w:val="000000" w:themeColor="text1"/>
        </w:rPr>
        <w:t xml:space="preserve">consists of </w:t>
      </w:r>
      <w:r w:rsidR="001252E4">
        <w:rPr>
          <w:color w:val="000000" w:themeColor="text1"/>
        </w:rPr>
        <w:t>two</w:t>
      </w:r>
      <w:r w:rsidRPr="007D3403">
        <w:rPr>
          <w:color w:val="000000" w:themeColor="text1"/>
        </w:rPr>
        <w:t xml:space="preserve"> categories of </w:t>
      </w:r>
      <w:r w:rsidR="001252E4">
        <w:rPr>
          <w:color w:val="000000" w:themeColor="text1"/>
        </w:rPr>
        <w:t>harm with six components and their total</w:t>
      </w:r>
      <w:r w:rsidRPr="007D3403">
        <w:rPr>
          <w:color w:val="000000" w:themeColor="text1"/>
        </w:rPr>
        <w:t>, as shown in the following table.</w:t>
      </w:r>
    </w:p>
    <w:tbl>
      <w:tblPr>
        <w:tblStyle w:val="TableGrid"/>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284" w:type="dxa"/>
          <w:right w:w="284" w:type="dxa"/>
        </w:tblCellMar>
        <w:tblLook w:val="04A0" w:firstRow="1" w:lastRow="0" w:firstColumn="1" w:lastColumn="0" w:noHBand="0" w:noVBand="1"/>
      </w:tblPr>
      <w:tblGrid>
        <w:gridCol w:w="3823"/>
        <w:gridCol w:w="3402"/>
      </w:tblGrid>
      <w:tr w:rsidR="007D3403" w:rsidRPr="007D3403" w14:paraId="5E8382FC" w14:textId="77777777" w:rsidTr="005424B5">
        <w:trPr>
          <w:cantSplit/>
          <w:jc w:val="center"/>
        </w:trPr>
        <w:tc>
          <w:tcPr>
            <w:tcW w:w="3823" w:type="dxa"/>
          </w:tcPr>
          <w:p w14:paraId="36DD1267" w14:textId="66340F26" w:rsidR="00AC5F01" w:rsidRPr="007D3403" w:rsidRDefault="00AC5F01" w:rsidP="00CF5331">
            <w:pPr>
              <w:pStyle w:val="TableText"/>
              <w:rPr>
                <w:b/>
                <w:color w:val="000000" w:themeColor="text1"/>
              </w:rPr>
            </w:pPr>
            <w:r w:rsidRPr="007D3403">
              <w:rPr>
                <w:b/>
                <w:color w:val="000000" w:themeColor="text1"/>
              </w:rPr>
              <w:t xml:space="preserve">Category of </w:t>
            </w:r>
            <w:r w:rsidR="00C84688">
              <w:rPr>
                <w:b/>
                <w:color w:val="000000" w:themeColor="text1"/>
              </w:rPr>
              <w:t>personal and community</w:t>
            </w:r>
            <w:r w:rsidRPr="007D3403">
              <w:rPr>
                <w:b/>
                <w:color w:val="000000" w:themeColor="text1"/>
              </w:rPr>
              <w:t xml:space="preserve"> </w:t>
            </w:r>
            <w:r w:rsidR="001252E4">
              <w:rPr>
                <w:b/>
                <w:color w:val="000000" w:themeColor="text1"/>
              </w:rPr>
              <w:t>harm</w:t>
            </w:r>
          </w:p>
        </w:tc>
        <w:tc>
          <w:tcPr>
            <w:tcW w:w="3402" w:type="dxa"/>
          </w:tcPr>
          <w:p w14:paraId="5A17CF96" w14:textId="77777777" w:rsidR="00AC5F01" w:rsidRPr="007D3403" w:rsidRDefault="00AC5F01" w:rsidP="00CF5331">
            <w:pPr>
              <w:pStyle w:val="TableText"/>
              <w:rPr>
                <w:b/>
                <w:color w:val="000000" w:themeColor="text1"/>
              </w:rPr>
            </w:pPr>
            <w:r w:rsidRPr="007D3403">
              <w:rPr>
                <w:b/>
                <w:color w:val="000000" w:themeColor="text1"/>
              </w:rPr>
              <w:t>Components</w:t>
            </w:r>
          </w:p>
        </w:tc>
      </w:tr>
      <w:tr w:rsidR="007D3403" w:rsidRPr="007D3403" w14:paraId="41DB1290" w14:textId="77777777" w:rsidTr="005424B5">
        <w:trPr>
          <w:cantSplit/>
          <w:jc w:val="center"/>
        </w:trPr>
        <w:tc>
          <w:tcPr>
            <w:tcW w:w="3823" w:type="dxa"/>
          </w:tcPr>
          <w:p w14:paraId="7644E10C" w14:textId="77777777" w:rsidR="00AC5F01" w:rsidRPr="007D3403" w:rsidRDefault="00AC5F01" w:rsidP="00CF5331">
            <w:pPr>
              <w:pStyle w:val="TableText"/>
              <w:rPr>
                <w:color w:val="000000" w:themeColor="text1"/>
              </w:rPr>
            </w:pPr>
            <w:r w:rsidRPr="007D3403">
              <w:rPr>
                <w:color w:val="000000" w:themeColor="text1"/>
              </w:rPr>
              <w:t>Personal harm</w:t>
            </w:r>
          </w:p>
        </w:tc>
        <w:tc>
          <w:tcPr>
            <w:tcW w:w="3402" w:type="dxa"/>
          </w:tcPr>
          <w:p w14:paraId="4B7A91F4" w14:textId="77777777" w:rsidR="00AC5F01" w:rsidRPr="007D3403" w:rsidRDefault="00AC5F01" w:rsidP="00CF5331">
            <w:pPr>
              <w:pStyle w:val="TableBullet"/>
              <w:rPr>
                <w:color w:val="000000" w:themeColor="text1"/>
              </w:rPr>
            </w:pPr>
            <w:r w:rsidRPr="007D3403">
              <w:rPr>
                <w:color w:val="000000" w:themeColor="text1"/>
              </w:rPr>
              <w:t>Premature death</w:t>
            </w:r>
          </w:p>
          <w:p w14:paraId="383E1C93" w14:textId="77777777" w:rsidR="00AC5F01" w:rsidRPr="007D3403" w:rsidRDefault="00AC5F01" w:rsidP="00CF5331">
            <w:pPr>
              <w:pStyle w:val="TableBullet"/>
              <w:rPr>
                <w:color w:val="000000" w:themeColor="text1"/>
              </w:rPr>
            </w:pPr>
            <w:r w:rsidRPr="007D3403">
              <w:rPr>
                <w:color w:val="000000" w:themeColor="text1"/>
              </w:rPr>
              <w:t>Loss of quality of life</w:t>
            </w:r>
          </w:p>
        </w:tc>
      </w:tr>
      <w:tr w:rsidR="007D3403" w:rsidRPr="007D3403" w14:paraId="6F3A481A" w14:textId="77777777" w:rsidTr="005424B5">
        <w:trPr>
          <w:cantSplit/>
          <w:jc w:val="center"/>
        </w:trPr>
        <w:tc>
          <w:tcPr>
            <w:tcW w:w="3823" w:type="dxa"/>
          </w:tcPr>
          <w:p w14:paraId="0C63EC04" w14:textId="77777777" w:rsidR="00AC5F01" w:rsidRPr="007D3403" w:rsidRDefault="00AC5F01" w:rsidP="00CF5331">
            <w:pPr>
              <w:pStyle w:val="TableText"/>
              <w:rPr>
                <w:color w:val="000000" w:themeColor="text1"/>
              </w:rPr>
            </w:pPr>
            <w:r w:rsidRPr="007D3403">
              <w:rPr>
                <w:color w:val="000000" w:themeColor="text1"/>
              </w:rPr>
              <w:t>Community harm</w:t>
            </w:r>
          </w:p>
        </w:tc>
        <w:tc>
          <w:tcPr>
            <w:tcW w:w="3402" w:type="dxa"/>
          </w:tcPr>
          <w:p w14:paraId="706216CA" w14:textId="77777777" w:rsidR="00AC5F01" w:rsidRPr="007D3403" w:rsidRDefault="00AC5F01" w:rsidP="00CF5331">
            <w:pPr>
              <w:pStyle w:val="TableBullet"/>
              <w:rPr>
                <w:color w:val="000000" w:themeColor="text1"/>
              </w:rPr>
            </w:pPr>
            <w:r w:rsidRPr="007D3403">
              <w:rPr>
                <w:color w:val="000000" w:themeColor="text1"/>
              </w:rPr>
              <w:t>Family and friends</w:t>
            </w:r>
          </w:p>
          <w:p w14:paraId="7E112C34" w14:textId="77777777" w:rsidR="00AC5F01" w:rsidRPr="007D3403" w:rsidRDefault="00AC5F01" w:rsidP="00CF5331">
            <w:pPr>
              <w:pStyle w:val="TableBullet"/>
              <w:rPr>
                <w:color w:val="000000" w:themeColor="text1"/>
              </w:rPr>
            </w:pPr>
            <w:r w:rsidRPr="007D3403">
              <w:rPr>
                <w:color w:val="000000" w:themeColor="text1"/>
              </w:rPr>
              <w:t>Acquisitive crime</w:t>
            </w:r>
          </w:p>
          <w:p w14:paraId="73D9CB96" w14:textId="5397BEF8" w:rsidR="00AC5F01" w:rsidRPr="007D3403" w:rsidRDefault="003D5B7F" w:rsidP="00CF5331">
            <w:pPr>
              <w:pStyle w:val="TableBullet"/>
              <w:rPr>
                <w:color w:val="000000" w:themeColor="text1"/>
              </w:rPr>
            </w:pPr>
            <w:r>
              <w:rPr>
                <w:color w:val="000000" w:themeColor="text1"/>
              </w:rPr>
              <w:t>Reinvestment into other crime</w:t>
            </w:r>
          </w:p>
          <w:p w14:paraId="05642DB6" w14:textId="77777777" w:rsidR="00AC5F01" w:rsidRPr="007D3403" w:rsidRDefault="00AC5F01" w:rsidP="00CF5331">
            <w:pPr>
              <w:pStyle w:val="TableBullet"/>
              <w:rPr>
                <w:color w:val="000000" w:themeColor="text1"/>
              </w:rPr>
            </w:pPr>
            <w:r w:rsidRPr="007D3403">
              <w:rPr>
                <w:color w:val="000000" w:themeColor="text1"/>
              </w:rPr>
              <w:t>Reduced tax base</w:t>
            </w:r>
          </w:p>
        </w:tc>
      </w:tr>
      <w:tr w:rsidR="007D3403" w:rsidRPr="007D3403" w14:paraId="5193712D" w14:textId="77777777" w:rsidTr="005424B5">
        <w:trPr>
          <w:cantSplit/>
          <w:jc w:val="center"/>
        </w:trPr>
        <w:tc>
          <w:tcPr>
            <w:tcW w:w="3823" w:type="dxa"/>
          </w:tcPr>
          <w:p w14:paraId="35F3AA81" w14:textId="3DF3AC86" w:rsidR="00AC5F01" w:rsidRPr="007D3403" w:rsidRDefault="00AC5F01" w:rsidP="00CF5331">
            <w:pPr>
              <w:pStyle w:val="TableText"/>
              <w:rPr>
                <w:color w:val="000000" w:themeColor="text1"/>
              </w:rPr>
            </w:pPr>
            <w:r w:rsidRPr="007D3403">
              <w:rPr>
                <w:color w:val="000000" w:themeColor="text1"/>
              </w:rPr>
              <w:t xml:space="preserve">Total </w:t>
            </w:r>
            <w:r w:rsidR="00C84688">
              <w:rPr>
                <w:color w:val="000000" w:themeColor="text1"/>
              </w:rPr>
              <w:t>personal and community</w:t>
            </w:r>
            <w:r w:rsidRPr="007D3403">
              <w:rPr>
                <w:color w:val="000000" w:themeColor="text1"/>
              </w:rPr>
              <w:t xml:space="preserve"> </w:t>
            </w:r>
            <w:r w:rsidR="001252E4">
              <w:rPr>
                <w:color w:val="000000" w:themeColor="text1"/>
              </w:rPr>
              <w:t>harm</w:t>
            </w:r>
          </w:p>
        </w:tc>
        <w:tc>
          <w:tcPr>
            <w:tcW w:w="3402" w:type="dxa"/>
          </w:tcPr>
          <w:p w14:paraId="5FE0E3E3" w14:textId="77777777" w:rsidR="00AC5F01" w:rsidRPr="007D3403" w:rsidRDefault="00AC5F01" w:rsidP="00CF5331">
            <w:pPr>
              <w:pStyle w:val="TableBullet"/>
              <w:rPr>
                <w:color w:val="000000" w:themeColor="text1"/>
              </w:rPr>
            </w:pPr>
            <w:r w:rsidRPr="007D3403">
              <w:rPr>
                <w:color w:val="000000" w:themeColor="text1"/>
              </w:rPr>
              <w:t>All components</w:t>
            </w:r>
          </w:p>
        </w:tc>
      </w:tr>
    </w:tbl>
    <w:p w14:paraId="2069B2E7" w14:textId="5A3B5E40" w:rsidR="00AC5F01" w:rsidRDefault="00AC5F01" w:rsidP="00CF5331">
      <w:pPr>
        <w:rPr>
          <w:color w:val="000000" w:themeColor="text1"/>
        </w:rPr>
      </w:pPr>
      <w:r w:rsidRPr="007D3403">
        <w:rPr>
          <w:color w:val="000000" w:themeColor="text1"/>
        </w:rPr>
        <w:t xml:space="preserve">Past research has tended to concentrate on total </w:t>
      </w:r>
      <w:r w:rsidR="00C84688">
        <w:rPr>
          <w:color w:val="000000" w:themeColor="text1"/>
        </w:rPr>
        <w:t>personal and community</w:t>
      </w:r>
      <w:r w:rsidR="001252E4">
        <w:rPr>
          <w:color w:val="000000" w:themeColor="text1"/>
        </w:rPr>
        <w:t xml:space="preserve"> harm</w:t>
      </w:r>
      <w:r w:rsidRPr="007D3403">
        <w:rPr>
          <w:color w:val="000000" w:themeColor="text1"/>
        </w:rPr>
        <w:t xml:space="preserve">, but the opportunity </w:t>
      </w:r>
      <w:r w:rsidR="001252E4">
        <w:rPr>
          <w:color w:val="000000" w:themeColor="text1"/>
        </w:rPr>
        <w:t xml:space="preserve">now </w:t>
      </w:r>
      <w:r w:rsidRPr="007D3403">
        <w:rPr>
          <w:color w:val="000000" w:themeColor="text1"/>
        </w:rPr>
        <w:t>exists to refine these figures further. At this point</w:t>
      </w:r>
      <w:r w:rsidR="003B3EB4">
        <w:rPr>
          <w:color w:val="000000" w:themeColor="text1"/>
        </w:rPr>
        <w:t>,</w:t>
      </w:r>
      <w:r w:rsidRPr="007D3403">
        <w:rPr>
          <w:color w:val="000000" w:themeColor="text1"/>
        </w:rPr>
        <w:t xml:space="preserve"> it is possible to report at the </w:t>
      </w:r>
      <w:r w:rsidR="001252E4">
        <w:rPr>
          <w:color w:val="000000" w:themeColor="text1"/>
        </w:rPr>
        <w:t>component</w:t>
      </w:r>
      <w:r w:rsidRPr="007D3403">
        <w:rPr>
          <w:color w:val="000000" w:themeColor="text1"/>
        </w:rPr>
        <w:t xml:space="preserve"> level. Details of the component level are available in the full report.</w:t>
      </w:r>
    </w:p>
    <w:p w14:paraId="43684AA5" w14:textId="6DD74103" w:rsidR="00AC5F01" w:rsidRPr="007D3403" w:rsidRDefault="00AC5F01" w:rsidP="00CF5331">
      <w:pPr>
        <w:pStyle w:val="Heading2"/>
        <w:rPr>
          <w:color w:val="000000" w:themeColor="text1"/>
        </w:rPr>
      </w:pPr>
      <w:bookmarkStart w:id="6" w:name="_Toc445219663"/>
      <w:bookmarkStart w:id="7" w:name="_Toc95475382"/>
      <w:r w:rsidRPr="007D3403">
        <w:rPr>
          <w:color w:val="000000" w:themeColor="text1"/>
        </w:rPr>
        <w:t xml:space="preserve">Step </w:t>
      </w:r>
      <w:r w:rsidR="007D3403">
        <w:rPr>
          <w:color w:val="000000" w:themeColor="text1"/>
        </w:rPr>
        <w:t>2</w:t>
      </w:r>
      <w:r w:rsidRPr="007D3403">
        <w:rPr>
          <w:color w:val="000000" w:themeColor="text1"/>
        </w:rPr>
        <w:t>. Specifying drugs of interest</w:t>
      </w:r>
      <w:bookmarkEnd w:id="6"/>
      <w:bookmarkEnd w:id="7"/>
    </w:p>
    <w:p w14:paraId="13046F6A" w14:textId="6142FC63" w:rsidR="00AC5F01" w:rsidRDefault="00AC5F01" w:rsidP="00CF5331">
      <w:pPr>
        <w:keepNext/>
        <w:spacing w:after="120"/>
        <w:rPr>
          <w:color w:val="000000" w:themeColor="text1"/>
        </w:rPr>
      </w:pPr>
      <w:r w:rsidRPr="007D3403">
        <w:rPr>
          <w:color w:val="000000" w:themeColor="text1"/>
        </w:rPr>
        <w:t xml:space="preserve">Drugs of interest </w:t>
      </w:r>
      <w:r w:rsidR="00994976">
        <w:rPr>
          <w:color w:val="000000" w:themeColor="text1"/>
        </w:rPr>
        <w:t>were defined by the availability of data</w:t>
      </w:r>
      <w:r w:rsidR="007F52E3">
        <w:rPr>
          <w:color w:val="000000" w:themeColor="text1"/>
        </w:rPr>
        <w:t>.</w:t>
      </w:r>
      <w:r w:rsidRPr="007D3403">
        <w:rPr>
          <w:color w:val="000000" w:themeColor="text1"/>
        </w:rPr>
        <w:t xml:space="preserve"> The following table has details.</w:t>
      </w:r>
    </w:p>
    <w:tbl>
      <w:tblPr>
        <w:tblStyle w:val="TableGrid"/>
        <w:tblW w:w="5670" w:type="dxa"/>
        <w:jc w:val="center"/>
        <w:tblBorders>
          <w:insideH w:val="none" w:sz="0" w:space="0" w:color="auto"/>
          <w:insideV w:val="none" w:sz="0" w:space="0" w:color="auto"/>
        </w:tblBorders>
        <w:tblLook w:val="04A0" w:firstRow="1" w:lastRow="0" w:firstColumn="1" w:lastColumn="0" w:noHBand="0" w:noVBand="1"/>
      </w:tblPr>
      <w:tblGrid>
        <w:gridCol w:w="2394"/>
        <w:gridCol w:w="1412"/>
        <w:gridCol w:w="1864"/>
      </w:tblGrid>
      <w:tr w:rsidR="00330684" w14:paraId="2F2A9923" w14:textId="77777777" w:rsidTr="005424B5">
        <w:trPr>
          <w:jc w:val="center"/>
        </w:trPr>
        <w:tc>
          <w:tcPr>
            <w:tcW w:w="239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207739D1" w14:textId="099C3414" w:rsidR="00330684" w:rsidRPr="00E541E9" w:rsidRDefault="00330684" w:rsidP="005424B5">
            <w:pPr>
              <w:spacing w:before="60" w:after="60"/>
              <w:rPr>
                <w:b/>
                <w:bCs/>
                <w:color w:val="000000" w:themeColor="text1"/>
              </w:rPr>
            </w:pPr>
            <w:bookmarkStart w:id="8" w:name="_Toc445219664"/>
            <w:r w:rsidRPr="00E541E9">
              <w:rPr>
                <w:b/>
                <w:bCs/>
                <w:color w:val="000000" w:themeColor="text1"/>
              </w:rPr>
              <w:t>Drug Type</w:t>
            </w:r>
          </w:p>
        </w:tc>
        <w:tc>
          <w:tcPr>
            <w:tcW w:w="141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18F1BCE0" w14:textId="1295D9F2" w:rsidR="00330684" w:rsidRPr="00E541E9" w:rsidRDefault="00330684" w:rsidP="005424B5">
            <w:pPr>
              <w:spacing w:before="60" w:after="60"/>
              <w:jc w:val="center"/>
              <w:rPr>
                <w:b/>
                <w:bCs/>
                <w:color w:val="000000" w:themeColor="text1"/>
              </w:rPr>
            </w:pPr>
            <w:r w:rsidRPr="00E541E9">
              <w:rPr>
                <w:b/>
                <w:bCs/>
                <w:color w:val="000000" w:themeColor="text1"/>
              </w:rPr>
              <w:t>Harm data available</w:t>
            </w:r>
          </w:p>
        </w:tc>
        <w:tc>
          <w:tcPr>
            <w:tcW w:w="186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0CE7AED3" w14:textId="0A40A10F" w:rsidR="00330684" w:rsidRPr="00E541E9" w:rsidRDefault="00330684" w:rsidP="005424B5">
            <w:pPr>
              <w:spacing w:before="60" w:after="60"/>
              <w:jc w:val="center"/>
              <w:rPr>
                <w:b/>
                <w:bCs/>
                <w:color w:val="000000" w:themeColor="text1"/>
              </w:rPr>
            </w:pPr>
            <w:r w:rsidRPr="00E541E9">
              <w:rPr>
                <w:b/>
                <w:bCs/>
                <w:color w:val="000000" w:themeColor="text1"/>
              </w:rPr>
              <w:t>Consumption data available</w:t>
            </w:r>
          </w:p>
        </w:tc>
      </w:tr>
      <w:tr w:rsidR="00E541E9" w14:paraId="4C11B167" w14:textId="77777777" w:rsidTr="005424B5">
        <w:trPr>
          <w:jc w:val="center"/>
        </w:trPr>
        <w:tc>
          <w:tcPr>
            <w:tcW w:w="2394" w:type="dxa"/>
            <w:tcBorders>
              <w:top w:val="single" w:sz="4" w:space="0" w:color="548DD4" w:themeColor="text2" w:themeTint="99"/>
              <w:left w:val="single" w:sz="4" w:space="0" w:color="548DD4" w:themeColor="text2" w:themeTint="99"/>
              <w:bottom w:val="nil"/>
              <w:right w:val="single" w:sz="4" w:space="0" w:color="548DD4" w:themeColor="text2" w:themeTint="99"/>
            </w:tcBorders>
          </w:tcPr>
          <w:p w14:paraId="1041AE4E" w14:textId="074C31F0" w:rsidR="00E541E9" w:rsidRDefault="00E541E9" w:rsidP="005424B5">
            <w:pPr>
              <w:spacing w:before="60" w:after="60"/>
              <w:rPr>
                <w:color w:val="000000" w:themeColor="text1"/>
              </w:rPr>
            </w:pPr>
            <w:r w:rsidRPr="00330684">
              <w:rPr>
                <w:rFonts w:ascii="Calibri" w:hAnsi="Calibri" w:cs="Calibri"/>
                <w:color w:val="000000"/>
                <w:szCs w:val="22"/>
                <w:lang w:val="en-AU" w:eastAsia="en-AU"/>
              </w:rPr>
              <w:t>Methamphetamine</w:t>
            </w:r>
          </w:p>
        </w:tc>
        <w:tc>
          <w:tcPr>
            <w:tcW w:w="1412" w:type="dxa"/>
            <w:tcBorders>
              <w:top w:val="single" w:sz="4" w:space="0" w:color="548DD4" w:themeColor="text2" w:themeTint="99"/>
              <w:left w:val="single" w:sz="4" w:space="0" w:color="548DD4" w:themeColor="text2" w:themeTint="99"/>
              <w:bottom w:val="nil"/>
              <w:right w:val="single" w:sz="4" w:space="0" w:color="548DD4" w:themeColor="text2" w:themeTint="99"/>
            </w:tcBorders>
          </w:tcPr>
          <w:p w14:paraId="42C8B0F7" w14:textId="2F852265" w:rsidR="00E541E9" w:rsidRDefault="00E541E9" w:rsidP="005424B5">
            <w:pPr>
              <w:spacing w:before="60" w:after="60"/>
              <w:jc w:val="center"/>
              <w:rPr>
                <w:color w:val="000000" w:themeColor="text1"/>
              </w:rPr>
            </w:pPr>
            <w:r>
              <w:rPr>
                <w:color w:val="000000" w:themeColor="text1"/>
              </w:rPr>
              <w:t>Yes</w:t>
            </w:r>
          </w:p>
        </w:tc>
        <w:tc>
          <w:tcPr>
            <w:tcW w:w="1864" w:type="dxa"/>
            <w:tcBorders>
              <w:top w:val="single" w:sz="4" w:space="0" w:color="548DD4" w:themeColor="text2" w:themeTint="99"/>
              <w:left w:val="single" w:sz="4" w:space="0" w:color="548DD4" w:themeColor="text2" w:themeTint="99"/>
              <w:bottom w:val="nil"/>
              <w:right w:val="single" w:sz="4" w:space="0" w:color="548DD4" w:themeColor="text2" w:themeTint="99"/>
            </w:tcBorders>
          </w:tcPr>
          <w:p w14:paraId="2839CA46" w14:textId="2A0F82EB" w:rsidR="00E541E9" w:rsidRDefault="00E541E9" w:rsidP="005424B5">
            <w:pPr>
              <w:spacing w:before="60" w:after="60"/>
              <w:jc w:val="center"/>
              <w:rPr>
                <w:color w:val="000000" w:themeColor="text1"/>
              </w:rPr>
            </w:pPr>
            <w:r>
              <w:rPr>
                <w:color w:val="000000" w:themeColor="text1"/>
              </w:rPr>
              <w:t>Yes</w:t>
            </w:r>
          </w:p>
        </w:tc>
      </w:tr>
      <w:tr w:rsidR="00E541E9" w14:paraId="677EFD5C" w14:textId="77777777" w:rsidTr="005424B5">
        <w:trPr>
          <w:jc w:val="center"/>
        </w:trPr>
        <w:tc>
          <w:tcPr>
            <w:tcW w:w="2394" w:type="dxa"/>
            <w:tcBorders>
              <w:top w:val="nil"/>
              <w:left w:val="single" w:sz="4" w:space="0" w:color="548DD4" w:themeColor="text2" w:themeTint="99"/>
              <w:bottom w:val="nil"/>
              <w:right w:val="single" w:sz="4" w:space="0" w:color="548DD4" w:themeColor="text2" w:themeTint="99"/>
            </w:tcBorders>
          </w:tcPr>
          <w:p w14:paraId="5DCF8B51" w14:textId="11248800" w:rsidR="00E541E9" w:rsidRDefault="00E541E9" w:rsidP="005424B5">
            <w:pPr>
              <w:spacing w:before="60" w:after="60"/>
              <w:rPr>
                <w:color w:val="000000" w:themeColor="text1"/>
              </w:rPr>
            </w:pPr>
            <w:r w:rsidRPr="00330684">
              <w:rPr>
                <w:rFonts w:ascii="Calibri" w:hAnsi="Calibri" w:cs="Calibri"/>
                <w:color w:val="000000"/>
                <w:szCs w:val="22"/>
                <w:lang w:val="en-AU" w:eastAsia="en-AU"/>
              </w:rPr>
              <w:t>Cocaine</w:t>
            </w:r>
          </w:p>
        </w:tc>
        <w:tc>
          <w:tcPr>
            <w:tcW w:w="1412" w:type="dxa"/>
            <w:tcBorders>
              <w:top w:val="nil"/>
              <w:left w:val="single" w:sz="4" w:space="0" w:color="548DD4" w:themeColor="text2" w:themeTint="99"/>
              <w:bottom w:val="nil"/>
              <w:right w:val="single" w:sz="4" w:space="0" w:color="548DD4" w:themeColor="text2" w:themeTint="99"/>
            </w:tcBorders>
          </w:tcPr>
          <w:p w14:paraId="7E208687" w14:textId="21853B09" w:rsidR="00E541E9" w:rsidRDefault="00E541E9" w:rsidP="005424B5">
            <w:pPr>
              <w:spacing w:before="60" w:after="60"/>
              <w:jc w:val="center"/>
              <w:rPr>
                <w:color w:val="000000" w:themeColor="text1"/>
              </w:rPr>
            </w:pPr>
            <w:r>
              <w:rPr>
                <w:color w:val="000000" w:themeColor="text1"/>
              </w:rPr>
              <w:t>Yes</w:t>
            </w:r>
          </w:p>
        </w:tc>
        <w:tc>
          <w:tcPr>
            <w:tcW w:w="1864" w:type="dxa"/>
            <w:tcBorders>
              <w:top w:val="nil"/>
              <w:left w:val="single" w:sz="4" w:space="0" w:color="548DD4" w:themeColor="text2" w:themeTint="99"/>
              <w:bottom w:val="nil"/>
              <w:right w:val="single" w:sz="4" w:space="0" w:color="548DD4" w:themeColor="text2" w:themeTint="99"/>
            </w:tcBorders>
          </w:tcPr>
          <w:p w14:paraId="40D5DCA8" w14:textId="301E37A8" w:rsidR="00E541E9" w:rsidRDefault="00E541E9" w:rsidP="005424B5">
            <w:pPr>
              <w:spacing w:before="60" w:after="60"/>
              <w:jc w:val="center"/>
              <w:rPr>
                <w:color w:val="000000" w:themeColor="text1"/>
              </w:rPr>
            </w:pPr>
            <w:r>
              <w:rPr>
                <w:color w:val="000000" w:themeColor="text1"/>
              </w:rPr>
              <w:t>Yes</w:t>
            </w:r>
          </w:p>
        </w:tc>
      </w:tr>
      <w:tr w:rsidR="00E541E9" w14:paraId="0606176B" w14:textId="77777777" w:rsidTr="005424B5">
        <w:trPr>
          <w:jc w:val="center"/>
        </w:trPr>
        <w:tc>
          <w:tcPr>
            <w:tcW w:w="2394" w:type="dxa"/>
            <w:tcBorders>
              <w:top w:val="nil"/>
              <w:left w:val="single" w:sz="4" w:space="0" w:color="548DD4" w:themeColor="text2" w:themeTint="99"/>
              <w:bottom w:val="nil"/>
              <w:right w:val="single" w:sz="4" w:space="0" w:color="548DD4" w:themeColor="text2" w:themeTint="99"/>
            </w:tcBorders>
          </w:tcPr>
          <w:p w14:paraId="0DCA9495" w14:textId="4D5F2D0C" w:rsidR="00E541E9" w:rsidRDefault="00DA05AF" w:rsidP="005424B5">
            <w:pPr>
              <w:spacing w:before="60" w:after="60"/>
              <w:rPr>
                <w:color w:val="000000" w:themeColor="text1"/>
              </w:rPr>
            </w:pPr>
            <w:r>
              <w:rPr>
                <w:color w:val="000000" w:themeColor="text1"/>
              </w:rPr>
              <w:t>MDMA</w:t>
            </w:r>
          </w:p>
        </w:tc>
        <w:tc>
          <w:tcPr>
            <w:tcW w:w="1412" w:type="dxa"/>
            <w:tcBorders>
              <w:top w:val="nil"/>
              <w:left w:val="single" w:sz="4" w:space="0" w:color="548DD4" w:themeColor="text2" w:themeTint="99"/>
              <w:bottom w:val="nil"/>
              <w:right w:val="single" w:sz="4" w:space="0" w:color="548DD4" w:themeColor="text2" w:themeTint="99"/>
            </w:tcBorders>
          </w:tcPr>
          <w:p w14:paraId="2FB2C9A8" w14:textId="348A0705" w:rsidR="00E541E9" w:rsidRDefault="00DA05AF" w:rsidP="005424B5">
            <w:pPr>
              <w:spacing w:before="60" w:after="60"/>
              <w:jc w:val="center"/>
              <w:rPr>
                <w:color w:val="000000" w:themeColor="text1"/>
              </w:rPr>
            </w:pPr>
            <w:r>
              <w:rPr>
                <w:color w:val="000000" w:themeColor="text1"/>
              </w:rPr>
              <w:t>Yes</w:t>
            </w:r>
          </w:p>
        </w:tc>
        <w:tc>
          <w:tcPr>
            <w:tcW w:w="1864" w:type="dxa"/>
            <w:tcBorders>
              <w:top w:val="nil"/>
              <w:left w:val="single" w:sz="4" w:space="0" w:color="548DD4" w:themeColor="text2" w:themeTint="99"/>
              <w:bottom w:val="nil"/>
              <w:right w:val="single" w:sz="4" w:space="0" w:color="548DD4" w:themeColor="text2" w:themeTint="99"/>
            </w:tcBorders>
          </w:tcPr>
          <w:p w14:paraId="78EF0E57" w14:textId="43E429FA" w:rsidR="00E541E9" w:rsidRDefault="00DA05AF" w:rsidP="005424B5">
            <w:pPr>
              <w:spacing w:before="60" w:after="60"/>
              <w:jc w:val="center"/>
              <w:rPr>
                <w:color w:val="000000" w:themeColor="text1"/>
              </w:rPr>
            </w:pPr>
            <w:r>
              <w:rPr>
                <w:color w:val="000000" w:themeColor="text1"/>
              </w:rPr>
              <w:t>Yes</w:t>
            </w:r>
          </w:p>
        </w:tc>
      </w:tr>
      <w:tr w:rsidR="00E541E9" w14:paraId="686EA691" w14:textId="77777777" w:rsidTr="005424B5">
        <w:trPr>
          <w:jc w:val="center"/>
        </w:trPr>
        <w:tc>
          <w:tcPr>
            <w:tcW w:w="2394" w:type="dxa"/>
            <w:tcBorders>
              <w:top w:val="nil"/>
              <w:left w:val="single" w:sz="4" w:space="0" w:color="548DD4" w:themeColor="text2" w:themeTint="99"/>
              <w:bottom w:val="nil"/>
              <w:right w:val="single" w:sz="4" w:space="0" w:color="548DD4" w:themeColor="text2" w:themeTint="99"/>
            </w:tcBorders>
          </w:tcPr>
          <w:p w14:paraId="32BD286E" w14:textId="43C5BC13" w:rsidR="00E541E9" w:rsidRDefault="00DA05AF" w:rsidP="005424B5">
            <w:pPr>
              <w:spacing w:before="60" w:after="60"/>
              <w:rPr>
                <w:color w:val="000000" w:themeColor="text1"/>
              </w:rPr>
            </w:pPr>
            <w:r>
              <w:rPr>
                <w:color w:val="000000" w:themeColor="text1"/>
              </w:rPr>
              <w:t>Heroin</w:t>
            </w:r>
          </w:p>
        </w:tc>
        <w:tc>
          <w:tcPr>
            <w:tcW w:w="1412" w:type="dxa"/>
            <w:tcBorders>
              <w:top w:val="nil"/>
              <w:left w:val="single" w:sz="4" w:space="0" w:color="548DD4" w:themeColor="text2" w:themeTint="99"/>
              <w:bottom w:val="nil"/>
              <w:right w:val="single" w:sz="4" w:space="0" w:color="548DD4" w:themeColor="text2" w:themeTint="99"/>
            </w:tcBorders>
          </w:tcPr>
          <w:p w14:paraId="1DC4E585" w14:textId="54974A95" w:rsidR="00E541E9" w:rsidRDefault="00DA05AF" w:rsidP="005424B5">
            <w:pPr>
              <w:spacing w:before="60" w:after="60"/>
              <w:jc w:val="center"/>
              <w:rPr>
                <w:color w:val="000000" w:themeColor="text1"/>
              </w:rPr>
            </w:pPr>
            <w:r>
              <w:rPr>
                <w:color w:val="000000" w:themeColor="text1"/>
              </w:rPr>
              <w:t>Yes</w:t>
            </w:r>
          </w:p>
        </w:tc>
        <w:tc>
          <w:tcPr>
            <w:tcW w:w="1864" w:type="dxa"/>
            <w:tcBorders>
              <w:top w:val="nil"/>
              <w:left w:val="single" w:sz="4" w:space="0" w:color="548DD4" w:themeColor="text2" w:themeTint="99"/>
              <w:bottom w:val="nil"/>
              <w:right w:val="single" w:sz="4" w:space="0" w:color="548DD4" w:themeColor="text2" w:themeTint="99"/>
            </w:tcBorders>
          </w:tcPr>
          <w:p w14:paraId="25A5E5D3" w14:textId="4400D855" w:rsidR="00E541E9" w:rsidRDefault="00DA05AF" w:rsidP="005424B5">
            <w:pPr>
              <w:spacing w:before="60" w:after="60"/>
              <w:jc w:val="center"/>
              <w:rPr>
                <w:color w:val="000000" w:themeColor="text1"/>
              </w:rPr>
            </w:pPr>
            <w:r>
              <w:rPr>
                <w:color w:val="000000" w:themeColor="text1"/>
              </w:rPr>
              <w:t>Yes*</w:t>
            </w:r>
          </w:p>
        </w:tc>
      </w:tr>
      <w:tr w:rsidR="00E541E9" w14:paraId="252350EB" w14:textId="77777777" w:rsidTr="005424B5">
        <w:trPr>
          <w:jc w:val="center"/>
        </w:trPr>
        <w:tc>
          <w:tcPr>
            <w:tcW w:w="2394" w:type="dxa"/>
            <w:tcBorders>
              <w:top w:val="nil"/>
              <w:left w:val="single" w:sz="4" w:space="0" w:color="548DD4" w:themeColor="text2" w:themeTint="99"/>
              <w:bottom w:val="nil"/>
              <w:right w:val="single" w:sz="4" w:space="0" w:color="548DD4" w:themeColor="text2" w:themeTint="99"/>
            </w:tcBorders>
          </w:tcPr>
          <w:p w14:paraId="77F8FD7C" w14:textId="439C5A19" w:rsidR="00E541E9" w:rsidRDefault="00DA05AF" w:rsidP="005424B5">
            <w:pPr>
              <w:spacing w:before="60" w:after="60"/>
              <w:rPr>
                <w:color w:val="000000" w:themeColor="text1"/>
              </w:rPr>
            </w:pPr>
            <w:r>
              <w:rPr>
                <w:color w:val="000000" w:themeColor="text1"/>
              </w:rPr>
              <w:t>GHB/GBL</w:t>
            </w:r>
          </w:p>
        </w:tc>
        <w:tc>
          <w:tcPr>
            <w:tcW w:w="1412" w:type="dxa"/>
            <w:tcBorders>
              <w:top w:val="nil"/>
              <w:left w:val="single" w:sz="4" w:space="0" w:color="548DD4" w:themeColor="text2" w:themeTint="99"/>
              <w:bottom w:val="nil"/>
              <w:right w:val="single" w:sz="4" w:space="0" w:color="548DD4" w:themeColor="text2" w:themeTint="99"/>
            </w:tcBorders>
          </w:tcPr>
          <w:p w14:paraId="26218512" w14:textId="23CE3984" w:rsidR="00E541E9" w:rsidRDefault="00F05EA2" w:rsidP="005424B5">
            <w:pPr>
              <w:spacing w:before="60" w:after="60"/>
              <w:jc w:val="center"/>
              <w:rPr>
                <w:color w:val="000000" w:themeColor="text1"/>
              </w:rPr>
            </w:pPr>
            <w:r>
              <w:rPr>
                <w:color w:val="000000" w:themeColor="text1"/>
              </w:rPr>
              <w:t>Yes</w:t>
            </w:r>
          </w:p>
        </w:tc>
        <w:tc>
          <w:tcPr>
            <w:tcW w:w="1864" w:type="dxa"/>
            <w:tcBorders>
              <w:top w:val="nil"/>
              <w:left w:val="single" w:sz="4" w:space="0" w:color="548DD4" w:themeColor="text2" w:themeTint="99"/>
              <w:bottom w:val="nil"/>
              <w:right w:val="single" w:sz="4" w:space="0" w:color="548DD4" w:themeColor="text2" w:themeTint="99"/>
            </w:tcBorders>
          </w:tcPr>
          <w:p w14:paraId="6EFAC34D" w14:textId="00714D58" w:rsidR="00E541E9" w:rsidRDefault="00E541E9" w:rsidP="005424B5">
            <w:pPr>
              <w:spacing w:before="60" w:after="60"/>
              <w:jc w:val="center"/>
              <w:rPr>
                <w:color w:val="000000" w:themeColor="text1"/>
              </w:rPr>
            </w:pPr>
            <w:r>
              <w:rPr>
                <w:color w:val="000000" w:themeColor="text1"/>
              </w:rPr>
              <w:t>No</w:t>
            </w:r>
          </w:p>
        </w:tc>
      </w:tr>
      <w:tr w:rsidR="00E541E9" w14:paraId="0AB1D0C6" w14:textId="77777777" w:rsidTr="005424B5">
        <w:trPr>
          <w:jc w:val="center"/>
        </w:trPr>
        <w:tc>
          <w:tcPr>
            <w:tcW w:w="2394" w:type="dxa"/>
            <w:tcBorders>
              <w:top w:val="nil"/>
              <w:left w:val="single" w:sz="4" w:space="0" w:color="548DD4" w:themeColor="text2" w:themeTint="99"/>
              <w:bottom w:val="nil"/>
              <w:right w:val="single" w:sz="4" w:space="0" w:color="548DD4" w:themeColor="text2" w:themeTint="99"/>
            </w:tcBorders>
          </w:tcPr>
          <w:p w14:paraId="56E4093B" w14:textId="3B708ECC" w:rsidR="00E541E9" w:rsidRDefault="00DA05AF" w:rsidP="005424B5">
            <w:pPr>
              <w:spacing w:before="60" w:after="60"/>
              <w:rPr>
                <w:color w:val="000000" w:themeColor="text1"/>
              </w:rPr>
            </w:pPr>
            <w:r>
              <w:rPr>
                <w:color w:val="000000" w:themeColor="text1"/>
              </w:rPr>
              <w:t>Cannabis</w:t>
            </w:r>
          </w:p>
        </w:tc>
        <w:tc>
          <w:tcPr>
            <w:tcW w:w="1412" w:type="dxa"/>
            <w:tcBorders>
              <w:top w:val="nil"/>
              <w:left w:val="single" w:sz="4" w:space="0" w:color="548DD4" w:themeColor="text2" w:themeTint="99"/>
              <w:bottom w:val="nil"/>
              <w:right w:val="single" w:sz="4" w:space="0" w:color="548DD4" w:themeColor="text2" w:themeTint="99"/>
            </w:tcBorders>
          </w:tcPr>
          <w:p w14:paraId="05430FAD" w14:textId="786BEB4E" w:rsidR="00E541E9" w:rsidRDefault="00E541E9" w:rsidP="005424B5">
            <w:pPr>
              <w:spacing w:before="60" w:after="60"/>
              <w:jc w:val="center"/>
              <w:rPr>
                <w:color w:val="000000" w:themeColor="text1"/>
              </w:rPr>
            </w:pPr>
            <w:r>
              <w:rPr>
                <w:color w:val="000000" w:themeColor="text1"/>
              </w:rPr>
              <w:t>Yes</w:t>
            </w:r>
          </w:p>
        </w:tc>
        <w:tc>
          <w:tcPr>
            <w:tcW w:w="1864" w:type="dxa"/>
            <w:tcBorders>
              <w:top w:val="nil"/>
              <w:left w:val="single" w:sz="4" w:space="0" w:color="548DD4" w:themeColor="text2" w:themeTint="99"/>
              <w:bottom w:val="nil"/>
              <w:right w:val="single" w:sz="4" w:space="0" w:color="548DD4" w:themeColor="text2" w:themeTint="99"/>
            </w:tcBorders>
          </w:tcPr>
          <w:p w14:paraId="78BD2142" w14:textId="55901A88" w:rsidR="00E541E9" w:rsidRDefault="00E541E9" w:rsidP="005424B5">
            <w:pPr>
              <w:spacing w:before="60" w:after="60"/>
              <w:jc w:val="center"/>
              <w:rPr>
                <w:color w:val="000000" w:themeColor="text1"/>
              </w:rPr>
            </w:pPr>
            <w:r>
              <w:rPr>
                <w:color w:val="000000" w:themeColor="text1"/>
              </w:rPr>
              <w:t>Yes</w:t>
            </w:r>
            <w:r w:rsidR="00DA05AF">
              <w:rPr>
                <w:color w:val="000000" w:themeColor="text1"/>
              </w:rPr>
              <w:t>**</w:t>
            </w:r>
          </w:p>
        </w:tc>
      </w:tr>
      <w:tr w:rsidR="007F52E3" w14:paraId="05911ECD" w14:textId="77777777" w:rsidTr="005424B5">
        <w:trPr>
          <w:jc w:val="center"/>
        </w:trPr>
        <w:tc>
          <w:tcPr>
            <w:tcW w:w="2394" w:type="dxa"/>
            <w:tcBorders>
              <w:top w:val="nil"/>
              <w:left w:val="single" w:sz="4" w:space="0" w:color="548DD4" w:themeColor="text2" w:themeTint="99"/>
              <w:bottom w:val="single" w:sz="4" w:space="0" w:color="548DD4" w:themeColor="text2" w:themeTint="99"/>
              <w:right w:val="single" w:sz="4" w:space="0" w:color="548DD4" w:themeColor="text2" w:themeTint="99"/>
            </w:tcBorders>
          </w:tcPr>
          <w:p w14:paraId="6B5B50DC" w14:textId="578E5910" w:rsidR="007F52E3" w:rsidRPr="00330684" w:rsidRDefault="00DA05AF" w:rsidP="00DA05AF">
            <w:pPr>
              <w:spacing w:before="120" w:after="120"/>
              <w:rPr>
                <w:rFonts w:ascii="Calibri" w:hAnsi="Calibri" w:cs="Calibri"/>
                <w:color w:val="000000"/>
                <w:szCs w:val="22"/>
                <w:lang w:val="en-AU" w:eastAsia="en-AU"/>
              </w:rPr>
            </w:pPr>
            <w:r>
              <w:rPr>
                <w:rFonts w:ascii="Calibri" w:hAnsi="Calibri" w:cs="Calibri"/>
                <w:color w:val="000000"/>
                <w:szCs w:val="22"/>
                <w:lang w:val="en-AU" w:eastAsia="en-AU"/>
              </w:rPr>
              <w:t>Synthetic Cannabinoids</w:t>
            </w:r>
          </w:p>
        </w:tc>
        <w:tc>
          <w:tcPr>
            <w:tcW w:w="1412" w:type="dxa"/>
            <w:tcBorders>
              <w:top w:val="nil"/>
              <w:left w:val="single" w:sz="4" w:space="0" w:color="548DD4" w:themeColor="text2" w:themeTint="99"/>
              <w:bottom w:val="single" w:sz="4" w:space="0" w:color="548DD4" w:themeColor="text2" w:themeTint="99"/>
              <w:right w:val="single" w:sz="4" w:space="0" w:color="548DD4" w:themeColor="text2" w:themeTint="99"/>
            </w:tcBorders>
          </w:tcPr>
          <w:p w14:paraId="2939F70B" w14:textId="4490D485" w:rsidR="007F52E3" w:rsidRDefault="007F52E3" w:rsidP="00DA05AF">
            <w:pPr>
              <w:spacing w:before="120" w:after="120"/>
              <w:jc w:val="center"/>
              <w:rPr>
                <w:color w:val="000000" w:themeColor="text1"/>
              </w:rPr>
            </w:pPr>
            <w:r>
              <w:rPr>
                <w:color w:val="000000" w:themeColor="text1"/>
              </w:rPr>
              <w:t>Yes</w:t>
            </w:r>
          </w:p>
        </w:tc>
        <w:tc>
          <w:tcPr>
            <w:tcW w:w="1864" w:type="dxa"/>
            <w:tcBorders>
              <w:top w:val="nil"/>
              <w:left w:val="single" w:sz="4" w:space="0" w:color="548DD4" w:themeColor="text2" w:themeTint="99"/>
              <w:bottom w:val="single" w:sz="4" w:space="0" w:color="548DD4" w:themeColor="text2" w:themeTint="99"/>
              <w:right w:val="single" w:sz="4" w:space="0" w:color="548DD4" w:themeColor="text2" w:themeTint="99"/>
            </w:tcBorders>
          </w:tcPr>
          <w:p w14:paraId="2FC722DC" w14:textId="4196BBCD" w:rsidR="007F52E3" w:rsidRDefault="00DA05AF" w:rsidP="00DA05AF">
            <w:pPr>
              <w:spacing w:before="120" w:after="120"/>
              <w:jc w:val="center"/>
              <w:rPr>
                <w:color w:val="000000" w:themeColor="text1"/>
              </w:rPr>
            </w:pPr>
            <w:r>
              <w:rPr>
                <w:color w:val="000000" w:themeColor="text1"/>
              </w:rPr>
              <w:t>No</w:t>
            </w:r>
          </w:p>
        </w:tc>
      </w:tr>
    </w:tbl>
    <w:p w14:paraId="05C70418" w14:textId="625F851E" w:rsidR="00DA05AF" w:rsidRDefault="00994976" w:rsidP="009C1D8F">
      <w:pPr>
        <w:rPr>
          <w:color w:val="000000" w:themeColor="text1"/>
        </w:rPr>
      </w:pPr>
      <w:bookmarkStart w:id="9" w:name="_Hlk56764216"/>
      <w:r>
        <w:rPr>
          <w:color w:val="000000" w:themeColor="text1"/>
        </w:rPr>
        <w:t>*</w:t>
      </w:r>
      <w:r w:rsidR="00D15F2C">
        <w:rPr>
          <w:color w:val="000000" w:themeColor="text1"/>
        </w:rPr>
        <w:t>Estimates of heroin consumption from wastewater are at such low levels (below the limit of quantification) they are unable to be reported.</w:t>
      </w:r>
    </w:p>
    <w:bookmarkEnd w:id="9"/>
    <w:p w14:paraId="291E53B1" w14:textId="0D599D9A" w:rsidR="00075AB8" w:rsidRDefault="00DA05AF" w:rsidP="009C1D8F">
      <w:pPr>
        <w:rPr>
          <w:color w:val="000000" w:themeColor="text1"/>
        </w:rPr>
      </w:pPr>
      <w:r>
        <w:rPr>
          <w:color w:val="000000" w:themeColor="text1"/>
        </w:rPr>
        <w:lastRenderedPageBreak/>
        <w:t>**</w:t>
      </w:r>
      <w:r w:rsidR="00994976">
        <w:rPr>
          <w:color w:val="000000" w:themeColor="text1"/>
        </w:rPr>
        <w:t xml:space="preserve">There are </w:t>
      </w:r>
      <w:r w:rsidR="00D15F2C">
        <w:rPr>
          <w:color w:val="000000" w:themeColor="text1"/>
        </w:rPr>
        <w:t>significant</w:t>
      </w:r>
      <w:r w:rsidR="00994976">
        <w:rPr>
          <w:color w:val="000000" w:themeColor="text1"/>
        </w:rPr>
        <w:t xml:space="preserve"> technical issues with estimating cannabis consumption</w:t>
      </w:r>
      <w:r w:rsidR="007F52E3">
        <w:rPr>
          <w:color w:val="000000" w:themeColor="text1"/>
        </w:rPr>
        <w:t xml:space="preserve"> from wastewater. </w:t>
      </w:r>
      <w:r w:rsidR="003B3EB4">
        <w:rPr>
          <w:color w:val="000000" w:themeColor="text1"/>
        </w:rPr>
        <w:t>On this occasion</w:t>
      </w:r>
      <w:r w:rsidR="00B10ADE">
        <w:rPr>
          <w:color w:val="000000" w:themeColor="text1"/>
        </w:rPr>
        <w:t>, data from the New Zealand Health Survey was used to produce an estimate</w:t>
      </w:r>
      <w:r w:rsidR="007F52E3">
        <w:rPr>
          <w:color w:val="000000" w:themeColor="text1"/>
        </w:rPr>
        <w:t>.</w:t>
      </w:r>
    </w:p>
    <w:p w14:paraId="30D28B50" w14:textId="04B1A1B1" w:rsidR="00E541E9" w:rsidRPr="005A267D" w:rsidRDefault="00E541E9" w:rsidP="00075AB8">
      <w:pPr>
        <w:rPr>
          <w:spacing w:val="-2"/>
          <w:lang w:eastAsia="en-AU"/>
        </w:rPr>
      </w:pPr>
      <w:r>
        <w:rPr>
          <w:color w:val="000000" w:themeColor="text1"/>
        </w:rPr>
        <w:t xml:space="preserve">Harm information </w:t>
      </w:r>
      <w:r w:rsidRPr="005A267D">
        <w:rPr>
          <w:color w:val="000000" w:themeColor="text1"/>
        </w:rPr>
        <w:t>is available for all drug types included in the D</w:t>
      </w:r>
      <w:r w:rsidR="007F52E3" w:rsidRPr="005A267D">
        <w:rPr>
          <w:color w:val="000000" w:themeColor="text1"/>
        </w:rPr>
        <w:t>HI</w:t>
      </w:r>
      <w:r w:rsidR="006B47B0">
        <w:rPr>
          <w:color w:val="000000" w:themeColor="text1"/>
        </w:rPr>
        <w:t xml:space="preserve"> 2020</w:t>
      </w:r>
      <w:r w:rsidRPr="005A267D">
        <w:rPr>
          <w:color w:val="000000" w:themeColor="text1"/>
        </w:rPr>
        <w:t>. T</w:t>
      </w:r>
      <w:r w:rsidR="005A267D" w:rsidRPr="005A267D">
        <w:rPr>
          <w:color w:val="000000" w:themeColor="text1"/>
        </w:rPr>
        <w:t>wo</w:t>
      </w:r>
      <w:r w:rsidRPr="005A267D">
        <w:rPr>
          <w:color w:val="000000" w:themeColor="text1"/>
        </w:rPr>
        <w:t xml:space="preserve"> drug types did not have </w:t>
      </w:r>
      <w:r w:rsidR="003B3EB4" w:rsidRPr="005A267D">
        <w:rPr>
          <w:color w:val="000000" w:themeColor="text1"/>
        </w:rPr>
        <w:t xml:space="preserve">reliable </w:t>
      </w:r>
      <w:r w:rsidRPr="005A267D">
        <w:rPr>
          <w:color w:val="000000" w:themeColor="text1"/>
        </w:rPr>
        <w:t xml:space="preserve">consumption data available. </w:t>
      </w:r>
      <w:r w:rsidR="005A267D" w:rsidRPr="005A267D">
        <w:rPr>
          <w:color w:val="000000" w:themeColor="text1"/>
        </w:rPr>
        <w:t>S</w:t>
      </w:r>
      <w:r w:rsidR="005A267D" w:rsidRPr="005A267D">
        <w:rPr>
          <w:spacing w:val="-2"/>
          <w:lang w:eastAsia="en-AU"/>
        </w:rPr>
        <w:t>ynthetic cannabinoids and GHB/GBL are not included in either the wastewater testing or the 2018/19 Health Survey.</w:t>
      </w:r>
      <w:r w:rsidR="00D43765" w:rsidRPr="005A267D">
        <w:rPr>
          <w:color w:val="000000" w:themeColor="text1"/>
        </w:rPr>
        <w:t xml:space="preserve"> Certain harm types depend in part on estimating actual consumption. In the absence of consumption</w:t>
      </w:r>
      <w:r w:rsidR="00D43765">
        <w:rPr>
          <w:color w:val="000000" w:themeColor="text1"/>
        </w:rPr>
        <w:t xml:space="preserve"> data, no estimate of specific harm is available. </w:t>
      </w:r>
      <w:r w:rsidR="007F52E3">
        <w:rPr>
          <w:color w:val="000000" w:themeColor="text1"/>
        </w:rPr>
        <w:t xml:space="preserve"> </w:t>
      </w:r>
      <w:r w:rsidR="00D43765">
        <w:rPr>
          <w:color w:val="000000" w:themeColor="text1"/>
        </w:rPr>
        <w:t xml:space="preserve">Thus, for </w:t>
      </w:r>
      <w:r w:rsidR="005A267D">
        <w:rPr>
          <w:color w:val="000000" w:themeColor="text1"/>
        </w:rPr>
        <w:t>synthetic cannabinoids and GHB/GBL</w:t>
      </w:r>
      <w:r w:rsidR="00D43765">
        <w:rPr>
          <w:color w:val="000000" w:themeColor="text1"/>
        </w:rPr>
        <w:t xml:space="preserve">, there is no estimate of harm related to organised crime </w:t>
      </w:r>
      <w:r w:rsidR="00075AB8">
        <w:rPr>
          <w:color w:val="000000" w:themeColor="text1"/>
        </w:rPr>
        <w:t xml:space="preserve">and tax revenue avoided. </w:t>
      </w:r>
      <w:r w:rsidR="007F52E3">
        <w:rPr>
          <w:color w:val="000000" w:themeColor="text1"/>
        </w:rPr>
        <w:t>The issues related to cannabis were noted in a previous footnote.</w:t>
      </w:r>
    </w:p>
    <w:p w14:paraId="0F8F3CAE" w14:textId="0CEB2034" w:rsidR="00AC5F01" w:rsidRPr="00C84688" w:rsidRDefault="00AC5F01" w:rsidP="00CF5331">
      <w:pPr>
        <w:pStyle w:val="Heading2"/>
        <w:rPr>
          <w:color w:val="000000" w:themeColor="text1"/>
        </w:rPr>
      </w:pPr>
      <w:bookmarkStart w:id="10" w:name="_Toc95475383"/>
      <w:r w:rsidRPr="00C84688">
        <w:rPr>
          <w:color w:val="000000" w:themeColor="text1"/>
        </w:rPr>
        <w:t xml:space="preserve">Step </w:t>
      </w:r>
      <w:r w:rsidR="007D3403" w:rsidRPr="00C84688">
        <w:rPr>
          <w:color w:val="000000" w:themeColor="text1"/>
        </w:rPr>
        <w:t>3</w:t>
      </w:r>
      <w:r w:rsidRPr="00C84688">
        <w:rPr>
          <w:color w:val="000000" w:themeColor="text1"/>
        </w:rPr>
        <w:t xml:space="preserve">. Specifying measures of </w:t>
      </w:r>
      <w:r w:rsidR="00C84688">
        <w:rPr>
          <w:color w:val="000000" w:themeColor="text1"/>
        </w:rPr>
        <w:t>personal and community</w:t>
      </w:r>
      <w:r w:rsidRPr="00C84688">
        <w:rPr>
          <w:color w:val="000000" w:themeColor="text1"/>
        </w:rPr>
        <w:t xml:space="preserve"> cost</w:t>
      </w:r>
      <w:bookmarkEnd w:id="8"/>
      <w:bookmarkEnd w:id="10"/>
    </w:p>
    <w:p w14:paraId="19E09393" w14:textId="4F8D9BA8" w:rsidR="007D3403" w:rsidRPr="00C84688" w:rsidRDefault="00AC5F01" w:rsidP="00CF5331">
      <w:pPr>
        <w:rPr>
          <w:color w:val="000000" w:themeColor="text1"/>
        </w:rPr>
      </w:pPr>
      <w:r w:rsidRPr="00C84688">
        <w:rPr>
          <w:color w:val="000000" w:themeColor="text1"/>
        </w:rPr>
        <w:t>The DHI</w:t>
      </w:r>
      <w:r w:rsidR="006B47B0">
        <w:rPr>
          <w:color w:val="000000" w:themeColor="text1"/>
        </w:rPr>
        <w:t xml:space="preserve"> 2020</w:t>
      </w:r>
      <w:r w:rsidRPr="00C84688">
        <w:rPr>
          <w:color w:val="000000" w:themeColor="text1"/>
        </w:rPr>
        <w:t xml:space="preserve"> includes two </w:t>
      </w:r>
      <w:r w:rsidR="007D3403" w:rsidRPr="00C84688">
        <w:rPr>
          <w:color w:val="000000" w:themeColor="text1"/>
        </w:rPr>
        <w:t>related</w:t>
      </w:r>
      <w:r w:rsidRPr="00C84688">
        <w:rPr>
          <w:color w:val="000000" w:themeColor="text1"/>
        </w:rPr>
        <w:t xml:space="preserve"> measures of </w:t>
      </w:r>
      <w:r w:rsidR="00C84688">
        <w:rPr>
          <w:color w:val="000000" w:themeColor="text1"/>
        </w:rPr>
        <w:t>personal and community</w:t>
      </w:r>
      <w:r w:rsidRPr="00C84688">
        <w:rPr>
          <w:color w:val="000000" w:themeColor="text1"/>
        </w:rPr>
        <w:t xml:space="preserve"> cost</w:t>
      </w:r>
      <w:r w:rsidR="007D3403" w:rsidRPr="00C84688">
        <w:rPr>
          <w:color w:val="000000" w:themeColor="text1"/>
        </w:rPr>
        <w:t>:</w:t>
      </w:r>
    </w:p>
    <w:p w14:paraId="638E6B24" w14:textId="340CCC45" w:rsidR="007D3403" w:rsidRPr="00C84688" w:rsidRDefault="00AC5F01" w:rsidP="007D3403">
      <w:pPr>
        <w:pStyle w:val="ListParagraph"/>
        <w:numPr>
          <w:ilvl w:val="0"/>
          <w:numId w:val="16"/>
        </w:numPr>
        <w:rPr>
          <w:color w:val="000000" w:themeColor="text1"/>
        </w:rPr>
      </w:pPr>
      <w:r w:rsidRPr="00C84688">
        <w:rPr>
          <w:color w:val="000000" w:themeColor="text1"/>
        </w:rPr>
        <w:t>The first</w:t>
      </w:r>
      <w:r w:rsidR="007D3403" w:rsidRPr="00C84688">
        <w:rPr>
          <w:color w:val="000000" w:themeColor="text1"/>
        </w:rPr>
        <w:t xml:space="preserve"> </w:t>
      </w:r>
      <w:r w:rsidRPr="00C84688">
        <w:rPr>
          <w:color w:val="000000" w:themeColor="text1"/>
        </w:rPr>
        <w:t xml:space="preserve">estimates the </w:t>
      </w:r>
      <w:r w:rsidR="00C84688">
        <w:rPr>
          <w:color w:val="000000" w:themeColor="text1"/>
        </w:rPr>
        <w:t xml:space="preserve">total </w:t>
      </w:r>
      <w:r w:rsidRPr="00C84688">
        <w:rPr>
          <w:color w:val="000000" w:themeColor="text1"/>
        </w:rPr>
        <w:t>harm incurred over one year</w:t>
      </w:r>
      <w:r w:rsidR="00C84688">
        <w:rPr>
          <w:color w:val="000000" w:themeColor="text1"/>
        </w:rPr>
        <w:t xml:space="preserve"> associated with illicit drug use</w:t>
      </w:r>
      <w:r w:rsidRPr="00C84688">
        <w:rPr>
          <w:color w:val="000000" w:themeColor="text1"/>
        </w:rPr>
        <w:t xml:space="preserve">. </w:t>
      </w:r>
    </w:p>
    <w:p w14:paraId="05179D7B" w14:textId="54D2F992" w:rsidR="00AC5F01" w:rsidRPr="00C84688" w:rsidRDefault="007D3403" w:rsidP="007D3403">
      <w:pPr>
        <w:pStyle w:val="ListParagraph"/>
        <w:numPr>
          <w:ilvl w:val="0"/>
          <w:numId w:val="16"/>
        </w:numPr>
        <w:rPr>
          <w:color w:val="000000" w:themeColor="text1"/>
        </w:rPr>
      </w:pPr>
      <w:r w:rsidRPr="00C84688">
        <w:rPr>
          <w:color w:val="000000" w:themeColor="text1"/>
        </w:rPr>
        <w:t>The second e</w:t>
      </w:r>
      <w:r w:rsidR="00AC5F01" w:rsidRPr="00C84688">
        <w:rPr>
          <w:color w:val="000000" w:themeColor="text1"/>
        </w:rPr>
        <w:t xml:space="preserve">stimates the </w:t>
      </w:r>
      <w:r w:rsidRPr="00C84688">
        <w:rPr>
          <w:color w:val="000000" w:themeColor="text1"/>
        </w:rPr>
        <w:t xml:space="preserve">average harm </w:t>
      </w:r>
      <w:r w:rsidR="00AC5F01" w:rsidRPr="00C84688">
        <w:rPr>
          <w:color w:val="000000" w:themeColor="text1"/>
        </w:rPr>
        <w:t xml:space="preserve">associated </w:t>
      </w:r>
      <w:r w:rsidRPr="00C84688">
        <w:rPr>
          <w:color w:val="000000" w:themeColor="text1"/>
        </w:rPr>
        <w:t xml:space="preserve">with the consumption of one </w:t>
      </w:r>
      <w:r w:rsidR="00A87BD7">
        <w:rPr>
          <w:color w:val="000000" w:themeColor="text1"/>
        </w:rPr>
        <w:t>kilo</w:t>
      </w:r>
      <w:r w:rsidRPr="00C84688">
        <w:rPr>
          <w:color w:val="000000" w:themeColor="text1"/>
        </w:rPr>
        <w:t>gram of an illicit drug.</w:t>
      </w:r>
    </w:p>
    <w:p w14:paraId="760128FC" w14:textId="63B73CE8" w:rsidR="00AC5F01" w:rsidRPr="00C84688" w:rsidRDefault="00C84688" w:rsidP="00CF5331">
      <w:pPr>
        <w:rPr>
          <w:color w:val="000000" w:themeColor="text1"/>
        </w:rPr>
      </w:pPr>
      <w:r>
        <w:rPr>
          <w:color w:val="000000" w:themeColor="text1"/>
        </w:rPr>
        <w:t>In general, evaluations will use the second measure to estimate reduced harm following an intervention.</w:t>
      </w:r>
      <w:r w:rsidRPr="00C84688">
        <w:rPr>
          <w:color w:val="000000" w:themeColor="text1"/>
        </w:rPr>
        <w:t xml:space="preserve"> Details of cost estimates by </w:t>
      </w:r>
      <w:r>
        <w:rPr>
          <w:color w:val="000000" w:themeColor="text1"/>
        </w:rPr>
        <w:t>drug and harm type are</w:t>
      </w:r>
      <w:r w:rsidRPr="00C84688">
        <w:rPr>
          <w:color w:val="000000" w:themeColor="text1"/>
        </w:rPr>
        <w:t xml:space="preserve"> provided in the </w:t>
      </w:r>
      <w:r w:rsidR="001252E4">
        <w:rPr>
          <w:color w:val="000000" w:themeColor="text1"/>
        </w:rPr>
        <w:t xml:space="preserve">following </w:t>
      </w:r>
      <w:r w:rsidRPr="00C84688">
        <w:rPr>
          <w:color w:val="000000" w:themeColor="text1"/>
        </w:rPr>
        <w:t>tables</w:t>
      </w:r>
      <w:r w:rsidR="001252E4">
        <w:rPr>
          <w:color w:val="000000" w:themeColor="text1"/>
        </w:rPr>
        <w:t>.</w:t>
      </w:r>
    </w:p>
    <w:p w14:paraId="5C39B64F" w14:textId="1D0867A4" w:rsidR="00AC5F01" w:rsidRPr="00767CAE" w:rsidRDefault="00AC5F01" w:rsidP="00CF5331">
      <w:pPr>
        <w:rPr>
          <w:color w:val="000000" w:themeColor="text1"/>
        </w:rPr>
      </w:pPr>
      <w:r w:rsidRPr="00767CAE">
        <w:rPr>
          <w:color w:val="000000" w:themeColor="text1"/>
        </w:rPr>
        <w:t xml:space="preserve">At this point, the researcher should be able to identify the cost estimates relevant to their requirements and calculate estimated costs based on their </w:t>
      </w:r>
      <w:r w:rsidR="0045377A">
        <w:rPr>
          <w:color w:val="000000" w:themeColor="text1"/>
        </w:rPr>
        <w:t xml:space="preserve">own </w:t>
      </w:r>
      <w:r w:rsidRPr="00767CAE">
        <w:rPr>
          <w:color w:val="000000" w:themeColor="text1"/>
        </w:rPr>
        <w:t xml:space="preserve">data. </w:t>
      </w:r>
      <w:r w:rsidR="00A87BD7">
        <w:rPr>
          <w:color w:val="000000" w:themeColor="text1"/>
        </w:rPr>
        <w:t>Kilogram</w:t>
      </w:r>
      <w:r w:rsidRPr="00767CAE">
        <w:rPr>
          <w:color w:val="000000" w:themeColor="text1"/>
        </w:rPr>
        <w:t xml:space="preserve"> estimates are based</w:t>
      </w:r>
      <w:r w:rsidR="0045377A">
        <w:rPr>
          <w:color w:val="000000" w:themeColor="text1"/>
        </w:rPr>
        <w:t xml:space="preserve"> primarily</w:t>
      </w:r>
      <w:r w:rsidRPr="00767CAE">
        <w:rPr>
          <w:color w:val="000000" w:themeColor="text1"/>
        </w:rPr>
        <w:t xml:space="preserve"> on </w:t>
      </w:r>
      <w:r w:rsidR="00E44746" w:rsidRPr="00767CAE">
        <w:rPr>
          <w:color w:val="000000" w:themeColor="text1"/>
        </w:rPr>
        <w:t>wastewater analysis</w:t>
      </w:r>
      <w:r w:rsidR="0045377A">
        <w:rPr>
          <w:color w:val="000000" w:themeColor="text1"/>
        </w:rPr>
        <w:t>, the exception being cannabis</w:t>
      </w:r>
      <w:r w:rsidR="00E44746" w:rsidRPr="00767CAE">
        <w:rPr>
          <w:color w:val="000000" w:themeColor="text1"/>
        </w:rPr>
        <w:t xml:space="preserve">. The number of illicit drugs included in the program is limited. Researchers considering the harm per </w:t>
      </w:r>
      <w:r w:rsidR="00A87BD7">
        <w:rPr>
          <w:color w:val="000000" w:themeColor="text1"/>
        </w:rPr>
        <w:t>kilogram</w:t>
      </w:r>
      <w:r w:rsidR="00E44746" w:rsidRPr="00767CAE">
        <w:rPr>
          <w:color w:val="000000" w:themeColor="text1"/>
        </w:rPr>
        <w:t xml:space="preserve"> for an illicit drug not included in current reporting should consider using data related to a similar drug, if available.</w:t>
      </w:r>
    </w:p>
    <w:p w14:paraId="6BA881C3" w14:textId="4D4925D7" w:rsidR="00AC5F01" w:rsidRPr="00767CAE" w:rsidRDefault="00330684" w:rsidP="00CF5331">
      <w:pPr>
        <w:pStyle w:val="Heading3"/>
        <w:rPr>
          <w:color w:val="000000" w:themeColor="text1"/>
        </w:rPr>
      </w:pPr>
      <w:r w:rsidRPr="00330684">
        <w:rPr>
          <w:rFonts w:ascii="Calibri" w:hAnsi="Calibri" w:cs="Calibri"/>
          <w:bCs/>
          <w:color w:val="000000"/>
          <w:szCs w:val="22"/>
          <w:lang w:val="en-AU" w:eastAsia="en-AU"/>
        </w:rPr>
        <w:t xml:space="preserve">Estimated Harm per </w:t>
      </w:r>
      <w:r w:rsidR="00C46C52">
        <w:rPr>
          <w:rFonts w:ascii="Calibri" w:hAnsi="Calibri" w:cs="Calibri"/>
          <w:bCs/>
          <w:color w:val="000000"/>
          <w:szCs w:val="22"/>
          <w:lang w:val="en-AU" w:eastAsia="en-AU"/>
        </w:rPr>
        <w:t>kg</w:t>
      </w:r>
      <w:r w:rsidRPr="00330684">
        <w:rPr>
          <w:rFonts w:ascii="Calibri" w:hAnsi="Calibri" w:cs="Calibri"/>
          <w:bCs/>
          <w:color w:val="000000"/>
          <w:szCs w:val="22"/>
          <w:lang w:val="en-AU" w:eastAsia="en-AU"/>
        </w:rPr>
        <w:t xml:space="preserve"> ($) by harm and drug type</w:t>
      </w:r>
      <w:r w:rsidR="00767CAE" w:rsidRPr="00767CAE">
        <w:rPr>
          <w:color w:val="000000" w:themeColor="text1"/>
        </w:rPr>
        <w:t>.</w:t>
      </w:r>
      <w:r w:rsidR="000A459D">
        <w:rPr>
          <w:rStyle w:val="FootnoteReference"/>
          <w:color w:val="000000" w:themeColor="text1"/>
        </w:rPr>
        <w:footnoteReference w:id="1"/>
      </w:r>
    </w:p>
    <w:tbl>
      <w:tblPr>
        <w:tblW w:w="9729" w:type="dxa"/>
        <w:jc w:val="center"/>
        <w:tblLayout w:type="fixed"/>
        <w:tblLook w:val="04A0" w:firstRow="1" w:lastRow="0" w:firstColumn="1" w:lastColumn="0" w:noHBand="0" w:noVBand="1"/>
      </w:tblPr>
      <w:tblGrid>
        <w:gridCol w:w="1843"/>
        <w:gridCol w:w="919"/>
        <w:gridCol w:w="919"/>
        <w:gridCol w:w="1204"/>
        <w:gridCol w:w="1205"/>
        <w:gridCol w:w="1418"/>
        <w:gridCol w:w="992"/>
        <w:gridCol w:w="1229"/>
      </w:tblGrid>
      <w:tr w:rsidR="00080C04" w:rsidRPr="00330684" w14:paraId="58B74F17" w14:textId="77777777" w:rsidTr="00080C04">
        <w:trPr>
          <w:trHeight w:val="611"/>
          <w:jc w:val="center"/>
        </w:trPr>
        <w:tc>
          <w:tcPr>
            <w:tcW w:w="18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14:paraId="7A3F5186" w14:textId="60D26BCB" w:rsidR="00080C04" w:rsidRPr="00A87BD7" w:rsidRDefault="00080C04" w:rsidP="00A87BD7">
            <w:pPr>
              <w:spacing w:before="0" w:line="240" w:lineRule="auto"/>
              <w:jc w:val="center"/>
              <w:rPr>
                <w:rFonts w:ascii="Calibri" w:hAnsi="Calibri" w:cs="Calibri"/>
                <w:color w:val="000000"/>
                <w:sz w:val="20"/>
                <w:lang w:val="en-AU" w:eastAsia="en-AU"/>
              </w:rPr>
            </w:pPr>
          </w:p>
        </w:tc>
        <w:tc>
          <w:tcPr>
            <w:tcW w:w="1838"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25BBA2D9" w14:textId="037E4615" w:rsidR="00080C04" w:rsidRPr="00A87BD7" w:rsidRDefault="00080C04" w:rsidP="00A87BD7">
            <w:pPr>
              <w:spacing w:before="0" w:line="240" w:lineRule="auto"/>
              <w:jc w:val="center"/>
              <w:rPr>
                <w:rFonts w:ascii="Calibri" w:hAnsi="Calibri" w:cs="Calibri"/>
                <w:b/>
                <w:bCs/>
                <w:color w:val="000000"/>
                <w:sz w:val="20"/>
                <w:lang w:val="en-AU" w:eastAsia="en-AU"/>
              </w:rPr>
            </w:pPr>
            <w:r w:rsidRPr="00A87BD7">
              <w:rPr>
                <w:rFonts w:ascii="Calibri" w:hAnsi="Calibri" w:cs="Calibri"/>
                <w:b/>
                <w:bCs/>
                <w:color w:val="000000"/>
                <w:sz w:val="20"/>
                <w:lang w:val="en-AU" w:eastAsia="en-AU"/>
              </w:rPr>
              <w:t>Personal harm</w:t>
            </w:r>
          </w:p>
          <w:p w14:paraId="6A277C09" w14:textId="3E637CB2" w:rsidR="00080C04" w:rsidRPr="00A87BD7" w:rsidRDefault="00080C04" w:rsidP="00A87BD7">
            <w:pPr>
              <w:spacing w:before="0" w:line="240" w:lineRule="auto"/>
              <w:jc w:val="center"/>
              <w:rPr>
                <w:rFonts w:ascii="Calibri" w:hAnsi="Calibri" w:cs="Calibri"/>
                <w:b/>
                <w:bCs/>
                <w:color w:val="000000"/>
                <w:sz w:val="20"/>
                <w:lang w:val="en-AU" w:eastAsia="en-AU"/>
              </w:rPr>
            </w:pPr>
            <w:r w:rsidRPr="00A87BD7">
              <w:rPr>
                <w:rFonts w:ascii="Calibri" w:hAnsi="Calibri" w:cs="Calibri"/>
                <w:b/>
                <w:bCs/>
                <w:color w:val="000000"/>
                <w:sz w:val="20"/>
                <w:lang w:val="en-AU" w:eastAsia="en-AU"/>
              </w:rPr>
              <w:t>($</w:t>
            </w:r>
            <w:r>
              <w:rPr>
                <w:rFonts w:ascii="Calibri" w:hAnsi="Calibri" w:cs="Calibri"/>
                <w:b/>
                <w:bCs/>
                <w:color w:val="000000"/>
                <w:sz w:val="20"/>
                <w:lang w:val="en-AU" w:eastAsia="en-AU"/>
              </w:rPr>
              <w:t>m</w:t>
            </w:r>
            <w:r w:rsidRPr="00A87BD7">
              <w:rPr>
                <w:rFonts w:ascii="Calibri" w:hAnsi="Calibri" w:cs="Calibri"/>
                <w:b/>
                <w:bCs/>
                <w:color w:val="000000"/>
                <w:sz w:val="20"/>
                <w:lang w:val="en-AU" w:eastAsia="en-AU"/>
              </w:rPr>
              <w:t xml:space="preserve"> per kilogram)</w:t>
            </w:r>
          </w:p>
        </w:tc>
        <w:tc>
          <w:tcPr>
            <w:tcW w:w="4819"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14:paraId="1A34DD9A" w14:textId="77777777" w:rsidR="00080C04" w:rsidRPr="00A87BD7" w:rsidRDefault="00080C04" w:rsidP="00A87BD7">
            <w:pPr>
              <w:spacing w:before="0" w:line="240" w:lineRule="auto"/>
              <w:jc w:val="center"/>
              <w:rPr>
                <w:rFonts w:ascii="Calibri" w:hAnsi="Calibri" w:cs="Calibri"/>
                <w:b/>
                <w:bCs/>
                <w:color w:val="000000"/>
                <w:sz w:val="20"/>
                <w:lang w:val="en-AU" w:eastAsia="en-AU"/>
              </w:rPr>
            </w:pPr>
            <w:r w:rsidRPr="00A87BD7">
              <w:rPr>
                <w:rFonts w:ascii="Calibri" w:hAnsi="Calibri" w:cs="Calibri"/>
                <w:b/>
                <w:bCs/>
                <w:color w:val="000000"/>
                <w:sz w:val="20"/>
                <w:lang w:val="en-AU" w:eastAsia="en-AU"/>
              </w:rPr>
              <w:t>Community harm</w:t>
            </w:r>
          </w:p>
          <w:p w14:paraId="3C54A1F8" w14:textId="176F9D6E" w:rsidR="00080C04" w:rsidRPr="00A87BD7" w:rsidRDefault="00080C04" w:rsidP="00A87BD7">
            <w:pPr>
              <w:spacing w:before="0" w:line="240" w:lineRule="auto"/>
              <w:jc w:val="center"/>
              <w:rPr>
                <w:rFonts w:ascii="Calibri" w:hAnsi="Calibri" w:cs="Calibri"/>
                <w:b/>
                <w:bCs/>
                <w:color w:val="000000"/>
                <w:sz w:val="20"/>
                <w:lang w:val="en-AU" w:eastAsia="en-AU"/>
              </w:rPr>
            </w:pPr>
            <w:r w:rsidRPr="00A87BD7">
              <w:rPr>
                <w:rFonts w:ascii="Calibri" w:hAnsi="Calibri" w:cs="Calibri"/>
                <w:b/>
                <w:bCs/>
                <w:color w:val="000000"/>
                <w:sz w:val="20"/>
                <w:lang w:val="en-AU" w:eastAsia="en-AU"/>
              </w:rPr>
              <w:t>($</w:t>
            </w:r>
            <w:r>
              <w:rPr>
                <w:rFonts w:ascii="Calibri" w:hAnsi="Calibri" w:cs="Calibri"/>
                <w:b/>
                <w:bCs/>
                <w:color w:val="000000"/>
                <w:sz w:val="20"/>
                <w:lang w:val="en-AU" w:eastAsia="en-AU"/>
              </w:rPr>
              <w:t>m</w:t>
            </w:r>
            <w:r w:rsidRPr="00A87BD7">
              <w:rPr>
                <w:rFonts w:ascii="Calibri" w:hAnsi="Calibri" w:cs="Calibri"/>
                <w:b/>
                <w:bCs/>
                <w:color w:val="000000"/>
                <w:sz w:val="20"/>
                <w:lang w:val="en-AU" w:eastAsia="en-AU"/>
              </w:rPr>
              <w:t xml:space="preserve"> per kilogram)</w:t>
            </w:r>
          </w:p>
        </w:tc>
        <w:tc>
          <w:tcPr>
            <w:tcW w:w="122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30BEE168" w14:textId="1B0A5693" w:rsidR="00080C04" w:rsidRDefault="00080C04" w:rsidP="00080C04">
            <w:pPr>
              <w:spacing w:before="0" w:line="240" w:lineRule="auto"/>
              <w:jc w:val="center"/>
              <w:rPr>
                <w:rFonts w:ascii="Calibri" w:hAnsi="Calibri" w:cs="Calibri"/>
                <w:b/>
                <w:bCs/>
                <w:color w:val="000000"/>
                <w:sz w:val="20"/>
                <w:lang w:val="en-AU" w:eastAsia="en-AU"/>
              </w:rPr>
            </w:pPr>
            <w:r>
              <w:rPr>
                <w:rFonts w:ascii="Calibri" w:hAnsi="Calibri" w:cs="Calibri"/>
                <w:b/>
                <w:bCs/>
                <w:color w:val="000000"/>
                <w:sz w:val="20"/>
                <w:lang w:val="en-AU" w:eastAsia="en-AU"/>
              </w:rPr>
              <w:t xml:space="preserve">Total </w:t>
            </w:r>
            <w:r w:rsidRPr="00A87BD7">
              <w:rPr>
                <w:rFonts w:ascii="Calibri" w:hAnsi="Calibri" w:cs="Calibri"/>
                <w:b/>
                <w:bCs/>
                <w:color w:val="000000"/>
                <w:sz w:val="20"/>
                <w:lang w:val="en-AU" w:eastAsia="en-AU"/>
              </w:rPr>
              <w:t>Harm</w:t>
            </w:r>
          </w:p>
          <w:p w14:paraId="11E9FDB9" w14:textId="2FF73CC9" w:rsidR="00080C04" w:rsidRPr="00A87BD7" w:rsidRDefault="00080C04" w:rsidP="00080C04">
            <w:pPr>
              <w:spacing w:before="0" w:line="240" w:lineRule="auto"/>
              <w:jc w:val="center"/>
              <w:rPr>
                <w:rFonts w:ascii="Calibri" w:hAnsi="Calibri" w:cs="Calibri"/>
                <w:b/>
                <w:bCs/>
                <w:color w:val="000000"/>
                <w:sz w:val="20"/>
                <w:lang w:val="en-AU" w:eastAsia="en-AU"/>
              </w:rPr>
            </w:pPr>
            <w:r w:rsidRPr="00A87BD7">
              <w:rPr>
                <w:rFonts w:ascii="Calibri" w:hAnsi="Calibri" w:cs="Calibri"/>
                <w:b/>
                <w:bCs/>
                <w:color w:val="000000"/>
                <w:sz w:val="20"/>
                <w:lang w:val="en-AU" w:eastAsia="en-AU"/>
              </w:rPr>
              <w:t>($</w:t>
            </w:r>
            <w:r>
              <w:rPr>
                <w:rFonts w:ascii="Calibri" w:hAnsi="Calibri" w:cs="Calibri"/>
                <w:b/>
                <w:bCs/>
                <w:color w:val="000000"/>
                <w:sz w:val="20"/>
                <w:lang w:val="en-AU" w:eastAsia="en-AU"/>
              </w:rPr>
              <w:t>m</w:t>
            </w:r>
            <w:r w:rsidRPr="00A87BD7">
              <w:rPr>
                <w:rFonts w:ascii="Calibri" w:hAnsi="Calibri" w:cs="Calibri"/>
                <w:b/>
                <w:bCs/>
                <w:color w:val="000000"/>
                <w:sz w:val="20"/>
                <w:lang w:val="en-AU" w:eastAsia="en-AU"/>
              </w:rPr>
              <w:t xml:space="preserve"> per kilogram)</w:t>
            </w:r>
          </w:p>
        </w:tc>
      </w:tr>
      <w:tr w:rsidR="00C46C52" w:rsidRPr="00330684" w14:paraId="67F03A9F" w14:textId="77777777" w:rsidTr="00080C04">
        <w:trPr>
          <w:trHeight w:val="846"/>
          <w:jc w:val="center"/>
        </w:trPr>
        <w:tc>
          <w:tcPr>
            <w:tcW w:w="18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14:paraId="0B61F7A1" w14:textId="77777777" w:rsidR="00330684" w:rsidRPr="00A87BD7" w:rsidRDefault="00330684" w:rsidP="00A87BD7">
            <w:pPr>
              <w:spacing w:before="0" w:line="240" w:lineRule="auto"/>
              <w:rPr>
                <w:rFonts w:ascii="Calibri" w:hAnsi="Calibri" w:cs="Calibri"/>
                <w:b/>
                <w:bCs/>
                <w:color w:val="000000"/>
                <w:sz w:val="20"/>
                <w:lang w:val="en-AU" w:eastAsia="en-AU"/>
              </w:rPr>
            </w:pPr>
            <w:r w:rsidRPr="00A87BD7">
              <w:rPr>
                <w:rFonts w:ascii="Calibri" w:hAnsi="Calibri" w:cs="Calibri"/>
                <w:b/>
                <w:bCs/>
                <w:color w:val="000000"/>
                <w:sz w:val="20"/>
                <w:lang w:val="en-AU" w:eastAsia="en-AU"/>
              </w:rPr>
              <w:t>Drug Type</w:t>
            </w:r>
          </w:p>
        </w:tc>
        <w:tc>
          <w:tcPr>
            <w:tcW w:w="91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48659FE6" w14:textId="77777777" w:rsidR="00330684" w:rsidRPr="00A87BD7" w:rsidRDefault="00330684" w:rsidP="00A87BD7">
            <w:pPr>
              <w:spacing w:before="0" w:line="240" w:lineRule="auto"/>
              <w:jc w:val="center"/>
              <w:rPr>
                <w:rFonts w:ascii="Calibri" w:hAnsi="Calibri" w:cs="Calibri"/>
                <w:b/>
                <w:bCs/>
                <w:color w:val="000000"/>
                <w:sz w:val="20"/>
                <w:lang w:val="en-AU" w:eastAsia="en-AU"/>
              </w:rPr>
            </w:pPr>
            <w:r w:rsidRPr="00A87BD7">
              <w:rPr>
                <w:rFonts w:ascii="Calibri" w:hAnsi="Calibri" w:cs="Calibri"/>
                <w:b/>
                <w:bCs/>
                <w:color w:val="000000"/>
                <w:sz w:val="20"/>
                <w:lang w:val="en-AU" w:eastAsia="en-AU"/>
              </w:rPr>
              <w:t>Loss of life</w:t>
            </w:r>
          </w:p>
        </w:tc>
        <w:tc>
          <w:tcPr>
            <w:tcW w:w="91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7DB40E2C" w14:textId="77777777" w:rsidR="00330684" w:rsidRPr="00A87BD7" w:rsidRDefault="00330684" w:rsidP="00A87BD7">
            <w:pPr>
              <w:spacing w:before="0" w:line="240" w:lineRule="auto"/>
              <w:jc w:val="center"/>
              <w:rPr>
                <w:rFonts w:ascii="Calibri" w:hAnsi="Calibri" w:cs="Calibri"/>
                <w:b/>
                <w:bCs/>
                <w:color w:val="000000"/>
                <w:sz w:val="20"/>
                <w:lang w:val="en-AU" w:eastAsia="en-AU"/>
              </w:rPr>
            </w:pPr>
            <w:r w:rsidRPr="00A87BD7">
              <w:rPr>
                <w:rFonts w:ascii="Calibri" w:hAnsi="Calibri" w:cs="Calibri"/>
                <w:b/>
                <w:bCs/>
                <w:color w:val="000000"/>
                <w:sz w:val="20"/>
                <w:lang w:val="en-AU" w:eastAsia="en-AU"/>
              </w:rPr>
              <w:t>Loss of quality of life</w:t>
            </w:r>
          </w:p>
        </w:tc>
        <w:tc>
          <w:tcPr>
            <w:tcW w:w="120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7F90A318" w14:textId="77777777" w:rsidR="00330684" w:rsidRPr="00A87BD7" w:rsidRDefault="00330684" w:rsidP="00A87BD7">
            <w:pPr>
              <w:spacing w:before="0" w:line="240" w:lineRule="auto"/>
              <w:jc w:val="center"/>
              <w:rPr>
                <w:rFonts w:ascii="Calibri" w:hAnsi="Calibri" w:cs="Calibri"/>
                <w:b/>
                <w:bCs/>
                <w:color w:val="000000"/>
                <w:sz w:val="20"/>
                <w:lang w:val="en-AU" w:eastAsia="en-AU"/>
              </w:rPr>
            </w:pPr>
            <w:r w:rsidRPr="00A87BD7">
              <w:rPr>
                <w:rFonts w:ascii="Calibri" w:hAnsi="Calibri" w:cs="Calibri"/>
                <w:b/>
                <w:bCs/>
                <w:color w:val="000000"/>
                <w:sz w:val="20"/>
                <w:lang w:val="en-AU" w:eastAsia="en-AU"/>
              </w:rPr>
              <w:t>Harm to family &amp; friends</w:t>
            </w:r>
          </w:p>
        </w:tc>
        <w:tc>
          <w:tcPr>
            <w:tcW w:w="120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6ACDCC52" w14:textId="77777777" w:rsidR="00330684" w:rsidRPr="00A87BD7" w:rsidRDefault="00330684" w:rsidP="00A87BD7">
            <w:pPr>
              <w:spacing w:before="0" w:line="240" w:lineRule="auto"/>
              <w:jc w:val="center"/>
              <w:rPr>
                <w:rFonts w:ascii="Calibri" w:hAnsi="Calibri" w:cs="Calibri"/>
                <w:b/>
                <w:bCs/>
                <w:color w:val="000000"/>
                <w:sz w:val="20"/>
                <w:lang w:val="en-AU" w:eastAsia="en-AU"/>
              </w:rPr>
            </w:pPr>
            <w:r w:rsidRPr="00A87BD7">
              <w:rPr>
                <w:rFonts w:ascii="Calibri" w:hAnsi="Calibri" w:cs="Calibri"/>
                <w:b/>
                <w:bCs/>
                <w:color w:val="000000"/>
                <w:sz w:val="20"/>
                <w:lang w:val="en-AU" w:eastAsia="en-AU"/>
              </w:rPr>
              <w:t>Acquisitive crime</w:t>
            </w:r>
          </w:p>
        </w:tc>
        <w:tc>
          <w:tcPr>
            <w:tcW w:w="141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742468B0" w14:textId="60D11417" w:rsidR="00330684" w:rsidRPr="00A87BD7" w:rsidRDefault="003D5B7F" w:rsidP="00A87BD7">
            <w:pPr>
              <w:spacing w:before="0" w:line="240" w:lineRule="auto"/>
              <w:jc w:val="center"/>
              <w:rPr>
                <w:rFonts w:ascii="Calibri" w:hAnsi="Calibri" w:cs="Calibri"/>
                <w:b/>
                <w:bCs/>
                <w:color w:val="000000"/>
                <w:sz w:val="20"/>
                <w:lang w:val="en-AU" w:eastAsia="en-AU"/>
              </w:rPr>
            </w:pPr>
            <w:r>
              <w:rPr>
                <w:rFonts w:ascii="Calibri" w:hAnsi="Calibri" w:cs="Calibri"/>
                <w:b/>
                <w:bCs/>
                <w:color w:val="000000"/>
                <w:sz w:val="20"/>
                <w:lang w:val="en-AU" w:eastAsia="en-AU"/>
              </w:rPr>
              <w:t>Reinve</w:t>
            </w:r>
            <w:r w:rsidR="00612495">
              <w:rPr>
                <w:rFonts w:ascii="Calibri" w:hAnsi="Calibri" w:cs="Calibri"/>
                <w:b/>
                <w:bCs/>
                <w:color w:val="000000"/>
                <w:sz w:val="20"/>
                <w:lang w:val="en-AU" w:eastAsia="en-AU"/>
              </w:rPr>
              <w:t>st</w:t>
            </w:r>
            <w:r>
              <w:rPr>
                <w:rFonts w:ascii="Calibri" w:hAnsi="Calibri" w:cs="Calibri"/>
                <w:b/>
                <w:bCs/>
                <w:color w:val="000000"/>
                <w:sz w:val="20"/>
                <w:lang w:val="en-AU" w:eastAsia="en-AU"/>
              </w:rPr>
              <w:t>ment into other crimes</w:t>
            </w:r>
          </w:p>
        </w:tc>
        <w:tc>
          <w:tcPr>
            <w:tcW w:w="99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33D10E5E" w14:textId="77777777" w:rsidR="00330684" w:rsidRPr="00A87BD7" w:rsidRDefault="00330684" w:rsidP="00A87BD7">
            <w:pPr>
              <w:spacing w:before="0" w:line="240" w:lineRule="auto"/>
              <w:jc w:val="center"/>
              <w:rPr>
                <w:rFonts w:ascii="Calibri" w:hAnsi="Calibri" w:cs="Calibri"/>
                <w:b/>
                <w:bCs/>
                <w:color w:val="000000"/>
                <w:sz w:val="20"/>
                <w:lang w:val="en-AU" w:eastAsia="en-AU"/>
              </w:rPr>
            </w:pPr>
            <w:r w:rsidRPr="00A87BD7">
              <w:rPr>
                <w:rFonts w:ascii="Calibri" w:hAnsi="Calibri" w:cs="Calibri"/>
                <w:b/>
                <w:bCs/>
                <w:color w:val="000000"/>
                <w:sz w:val="20"/>
                <w:lang w:val="en-AU" w:eastAsia="en-AU"/>
              </w:rPr>
              <w:t>Tax revenue foregone</w:t>
            </w:r>
          </w:p>
        </w:tc>
        <w:tc>
          <w:tcPr>
            <w:tcW w:w="122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7620EB4F" w14:textId="77777777" w:rsidR="00330684" w:rsidRPr="00A87BD7" w:rsidRDefault="00330684" w:rsidP="00A87BD7">
            <w:pPr>
              <w:spacing w:before="0" w:line="240" w:lineRule="auto"/>
              <w:jc w:val="center"/>
              <w:rPr>
                <w:rFonts w:ascii="Calibri" w:hAnsi="Calibri" w:cs="Calibri"/>
                <w:b/>
                <w:bCs/>
                <w:color w:val="000000"/>
                <w:sz w:val="20"/>
                <w:lang w:val="en-AU" w:eastAsia="en-AU"/>
              </w:rPr>
            </w:pPr>
            <w:r w:rsidRPr="00A87BD7">
              <w:rPr>
                <w:rFonts w:ascii="Calibri" w:hAnsi="Calibri" w:cs="Calibri"/>
                <w:b/>
                <w:bCs/>
                <w:color w:val="000000"/>
                <w:sz w:val="20"/>
                <w:lang w:val="en-AU" w:eastAsia="en-AU"/>
              </w:rPr>
              <w:t>Total</w:t>
            </w:r>
          </w:p>
        </w:tc>
      </w:tr>
      <w:tr w:rsidR="00876770" w:rsidRPr="00330684" w14:paraId="3F6ACBE3" w14:textId="77777777" w:rsidTr="000C101C">
        <w:trPr>
          <w:trHeight w:val="614"/>
          <w:jc w:val="center"/>
        </w:trPr>
        <w:tc>
          <w:tcPr>
            <w:tcW w:w="1843" w:type="dxa"/>
            <w:tcBorders>
              <w:top w:val="single" w:sz="4" w:space="0" w:color="548DD4" w:themeColor="text2" w:themeTint="99"/>
              <w:left w:val="single" w:sz="4" w:space="0" w:color="548DD4" w:themeColor="text2" w:themeTint="99"/>
              <w:right w:val="single" w:sz="4" w:space="0" w:color="548DD4" w:themeColor="text2" w:themeTint="99"/>
            </w:tcBorders>
            <w:shd w:val="clear" w:color="auto" w:fill="auto"/>
            <w:vAlign w:val="center"/>
            <w:hideMark/>
          </w:tcPr>
          <w:p w14:paraId="0605C899" w14:textId="1FC6B630" w:rsidR="00876770" w:rsidRPr="00A87BD7" w:rsidRDefault="00876770" w:rsidP="00876770">
            <w:pPr>
              <w:spacing w:before="0" w:line="240" w:lineRule="auto"/>
              <w:rPr>
                <w:rFonts w:ascii="Calibri" w:hAnsi="Calibri" w:cs="Calibri"/>
                <w:color w:val="000000"/>
                <w:sz w:val="20"/>
                <w:lang w:val="en-AU" w:eastAsia="en-AU"/>
              </w:rPr>
            </w:pPr>
            <w:r w:rsidRPr="00A87BD7">
              <w:rPr>
                <w:rFonts w:ascii="Calibri" w:hAnsi="Calibri" w:cs="Calibri"/>
                <w:color w:val="000000"/>
                <w:sz w:val="20"/>
                <w:lang w:val="en-AU" w:eastAsia="en-AU"/>
              </w:rPr>
              <w:t>Methamphetamine</w:t>
            </w:r>
          </w:p>
        </w:tc>
        <w:tc>
          <w:tcPr>
            <w:tcW w:w="919" w:type="dxa"/>
            <w:tcBorders>
              <w:top w:val="single" w:sz="4" w:space="0" w:color="548DD4" w:themeColor="text2" w:themeTint="99"/>
              <w:left w:val="single" w:sz="4" w:space="0" w:color="548DD4" w:themeColor="text2" w:themeTint="99"/>
              <w:right w:val="single" w:sz="4" w:space="0" w:color="548DD4" w:themeColor="text2" w:themeTint="99"/>
            </w:tcBorders>
            <w:shd w:val="clear" w:color="auto" w:fill="auto"/>
            <w:noWrap/>
            <w:vAlign w:val="center"/>
          </w:tcPr>
          <w:p w14:paraId="26ED391A" w14:textId="159BBBFD" w:rsidR="00876770" w:rsidRPr="000C101C" w:rsidRDefault="00876770" w:rsidP="00876770">
            <w:pPr>
              <w:spacing w:before="0" w:line="240" w:lineRule="auto"/>
              <w:jc w:val="center"/>
              <w:rPr>
                <w:rFonts w:ascii="Calibri" w:hAnsi="Calibri" w:cs="Calibri"/>
                <w:color w:val="000000"/>
                <w:sz w:val="20"/>
                <w:lang w:val="en-AU" w:eastAsia="en-AU"/>
              </w:rPr>
            </w:pPr>
            <w:r>
              <w:rPr>
                <w:rFonts w:ascii="Calibri" w:hAnsi="Calibri" w:cs="Calibri"/>
                <w:color w:val="000000"/>
                <w:sz w:val="20"/>
                <w:lang w:val="en-AU" w:eastAsia="en-AU"/>
              </w:rPr>
              <w:t>0.330</w:t>
            </w:r>
          </w:p>
        </w:tc>
        <w:tc>
          <w:tcPr>
            <w:tcW w:w="919" w:type="dxa"/>
            <w:tcBorders>
              <w:top w:val="single" w:sz="4" w:space="0" w:color="548DD4" w:themeColor="text2" w:themeTint="99"/>
              <w:left w:val="single" w:sz="4" w:space="0" w:color="548DD4" w:themeColor="text2" w:themeTint="99"/>
              <w:right w:val="single" w:sz="4" w:space="0" w:color="548DD4" w:themeColor="text2" w:themeTint="99"/>
            </w:tcBorders>
            <w:shd w:val="clear" w:color="auto" w:fill="auto"/>
            <w:noWrap/>
            <w:vAlign w:val="center"/>
          </w:tcPr>
          <w:p w14:paraId="75B451AA" w14:textId="26218783" w:rsidR="00876770" w:rsidRPr="000C101C" w:rsidRDefault="00876770" w:rsidP="00876770">
            <w:pPr>
              <w:spacing w:before="0" w:line="240" w:lineRule="auto"/>
              <w:jc w:val="center"/>
              <w:rPr>
                <w:rFonts w:ascii="Calibri" w:hAnsi="Calibri" w:cs="Calibri"/>
                <w:color w:val="000000"/>
                <w:sz w:val="20"/>
                <w:lang w:val="en-AU" w:eastAsia="en-AU"/>
              </w:rPr>
            </w:pPr>
            <w:r>
              <w:rPr>
                <w:rFonts w:ascii="Calibri" w:hAnsi="Calibri" w:cs="Calibri"/>
                <w:color w:val="000000"/>
                <w:sz w:val="20"/>
                <w:lang w:val="en-AU" w:eastAsia="en-AU"/>
              </w:rPr>
              <w:t>0.21</w:t>
            </w:r>
            <w:r w:rsidR="00E71776">
              <w:rPr>
                <w:rFonts w:ascii="Calibri" w:hAnsi="Calibri" w:cs="Calibri"/>
                <w:color w:val="000000"/>
                <w:sz w:val="20"/>
                <w:lang w:val="en-AU" w:eastAsia="en-AU"/>
              </w:rPr>
              <w:t>5</w:t>
            </w:r>
          </w:p>
        </w:tc>
        <w:tc>
          <w:tcPr>
            <w:tcW w:w="1204" w:type="dxa"/>
            <w:tcBorders>
              <w:top w:val="single" w:sz="4" w:space="0" w:color="548DD4" w:themeColor="text2" w:themeTint="99"/>
              <w:left w:val="single" w:sz="4" w:space="0" w:color="548DD4" w:themeColor="text2" w:themeTint="99"/>
              <w:right w:val="single" w:sz="4" w:space="0" w:color="548DD4" w:themeColor="text2" w:themeTint="99"/>
            </w:tcBorders>
            <w:shd w:val="clear" w:color="auto" w:fill="auto"/>
            <w:noWrap/>
            <w:vAlign w:val="center"/>
          </w:tcPr>
          <w:p w14:paraId="21ADE1F1" w14:textId="60AB2406" w:rsidR="00876770" w:rsidRPr="000C101C" w:rsidRDefault="00876770" w:rsidP="00876770">
            <w:pPr>
              <w:spacing w:before="0" w:line="240" w:lineRule="auto"/>
              <w:jc w:val="center"/>
              <w:rPr>
                <w:rFonts w:ascii="Calibri" w:hAnsi="Calibri" w:cs="Calibri"/>
                <w:color w:val="000000"/>
                <w:sz w:val="20"/>
                <w:lang w:val="en-AU" w:eastAsia="en-AU"/>
              </w:rPr>
            </w:pPr>
            <w:r>
              <w:rPr>
                <w:rFonts w:ascii="Calibri" w:hAnsi="Calibri" w:cs="Calibri"/>
                <w:color w:val="000000"/>
                <w:sz w:val="20"/>
                <w:lang w:val="en-AU" w:eastAsia="en-AU"/>
              </w:rPr>
              <w:t>0.3</w:t>
            </w:r>
            <w:r w:rsidR="00E71776">
              <w:rPr>
                <w:rFonts w:ascii="Calibri" w:hAnsi="Calibri" w:cs="Calibri"/>
                <w:color w:val="000000"/>
                <w:sz w:val="20"/>
                <w:lang w:val="en-AU" w:eastAsia="en-AU"/>
              </w:rPr>
              <w:t>42</w:t>
            </w:r>
          </w:p>
        </w:tc>
        <w:tc>
          <w:tcPr>
            <w:tcW w:w="1205" w:type="dxa"/>
            <w:tcBorders>
              <w:top w:val="single" w:sz="4" w:space="0" w:color="548DD4" w:themeColor="text2" w:themeTint="99"/>
              <w:left w:val="single" w:sz="4" w:space="0" w:color="548DD4" w:themeColor="text2" w:themeTint="99"/>
              <w:right w:val="single" w:sz="4" w:space="0" w:color="548DD4" w:themeColor="text2" w:themeTint="99"/>
            </w:tcBorders>
            <w:shd w:val="clear" w:color="auto" w:fill="auto"/>
            <w:noWrap/>
            <w:vAlign w:val="center"/>
          </w:tcPr>
          <w:p w14:paraId="26C1A5B5" w14:textId="18DDEEB1" w:rsidR="00876770" w:rsidRPr="000C101C" w:rsidRDefault="00876770" w:rsidP="00876770">
            <w:pPr>
              <w:spacing w:before="0" w:line="240" w:lineRule="auto"/>
              <w:jc w:val="center"/>
              <w:rPr>
                <w:rFonts w:ascii="Calibri" w:hAnsi="Calibri" w:cs="Calibri"/>
                <w:color w:val="000000"/>
                <w:sz w:val="20"/>
                <w:lang w:val="en-AU" w:eastAsia="en-AU"/>
              </w:rPr>
            </w:pPr>
            <w:r>
              <w:rPr>
                <w:rFonts w:ascii="Calibri" w:hAnsi="Calibri" w:cs="Calibri"/>
                <w:color w:val="000000"/>
                <w:sz w:val="20"/>
                <w:lang w:val="en-AU" w:eastAsia="en-AU"/>
              </w:rPr>
              <w:t>0.13</w:t>
            </w:r>
            <w:r w:rsidR="00E71776">
              <w:rPr>
                <w:rFonts w:ascii="Calibri" w:hAnsi="Calibri" w:cs="Calibri"/>
                <w:color w:val="000000"/>
                <w:sz w:val="20"/>
                <w:lang w:val="en-AU" w:eastAsia="en-AU"/>
              </w:rPr>
              <w:t>5</w:t>
            </w:r>
          </w:p>
        </w:tc>
        <w:tc>
          <w:tcPr>
            <w:tcW w:w="1418" w:type="dxa"/>
            <w:tcBorders>
              <w:top w:val="single" w:sz="4" w:space="0" w:color="548DD4" w:themeColor="text2" w:themeTint="99"/>
              <w:left w:val="single" w:sz="4" w:space="0" w:color="548DD4" w:themeColor="text2" w:themeTint="99"/>
              <w:right w:val="single" w:sz="4" w:space="0" w:color="548DD4" w:themeColor="text2" w:themeTint="99"/>
            </w:tcBorders>
            <w:shd w:val="clear" w:color="auto" w:fill="auto"/>
            <w:noWrap/>
            <w:vAlign w:val="center"/>
          </w:tcPr>
          <w:p w14:paraId="6DFECB58" w14:textId="5A267B2B" w:rsidR="00876770" w:rsidRPr="000C101C" w:rsidRDefault="00876770" w:rsidP="00876770">
            <w:pPr>
              <w:spacing w:before="0" w:line="240" w:lineRule="auto"/>
              <w:jc w:val="center"/>
              <w:rPr>
                <w:rFonts w:ascii="Calibri" w:hAnsi="Calibri" w:cs="Calibri"/>
                <w:color w:val="000000"/>
                <w:sz w:val="20"/>
                <w:lang w:val="en-AU" w:eastAsia="en-AU"/>
              </w:rPr>
            </w:pPr>
            <w:r>
              <w:rPr>
                <w:rFonts w:ascii="Calibri" w:hAnsi="Calibri" w:cs="Calibri"/>
                <w:color w:val="000000"/>
                <w:sz w:val="20"/>
                <w:lang w:val="en-AU" w:eastAsia="en-AU"/>
              </w:rPr>
              <w:t>0.018</w:t>
            </w:r>
          </w:p>
        </w:tc>
        <w:tc>
          <w:tcPr>
            <w:tcW w:w="992" w:type="dxa"/>
            <w:tcBorders>
              <w:top w:val="single" w:sz="4" w:space="0" w:color="548DD4" w:themeColor="text2" w:themeTint="99"/>
              <w:left w:val="single" w:sz="4" w:space="0" w:color="548DD4" w:themeColor="text2" w:themeTint="99"/>
              <w:right w:val="single" w:sz="4" w:space="0" w:color="548DD4" w:themeColor="text2" w:themeTint="99"/>
            </w:tcBorders>
            <w:shd w:val="clear" w:color="auto" w:fill="auto"/>
            <w:noWrap/>
            <w:vAlign w:val="center"/>
          </w:tcPr>
          <w:p w14:paraId="62CBF0D1" w14:textId="46F753A1" w:rsidR="00876770" w:rsidRPr="000C101C" w:rsidRDefault="00876770" w:rsidP="00876770">
            <w:pPr>
              <w:spacing w:before="0" w:line="240" w:lineRule="auto"/>
              <w:jc w:val="center"/>
              <w:rPr>
                <w:rFonts w:ascii="Calibri" w:hAnsi="Calibri" w:cs="Calibri"/>
                <w:color w:val="000000"/>
                <w:sz w:val="20"/>
                <w:lang w:val="en-AU" w:eastAsia="en-AU"/>
              </w:rPr>
            </w:pPr>
            <w:r>
              <w:rPr>
                <w:rFonts w:ascii="Calibri" w:hAnsi="Calibri" w:cs="Calibri"/>
                <w:color w:val="000000"/>
                <w:sz w:val="20"/>
                <w:lang w:val="en-AU" w:eastAsia="en-AU"/>
              </w:rPr>
              <w:t>0.069</w:t>
            </w:r>
          </w:p>
        </w:tc>
        <w:tc>
          <w:tcPr>
            <w:tcW w:w="1229" w:type="dxa"/>
            <w:tcBorders>
              <w:top w:val="single" w:sz="4" w:space="0" w:color="548DD4" w:themeColor="text2" w:themeTint="99"/>
              <w:left w:val="single" w:sz="4" w:space="0" w:color="548DD4" w:themeColor="text2" w:themeTint="99"/>
              <w:right w:val="single" w:sz="4" w:space="0" w:color="548DD4" w:themeColor="text2" w:themeTint="99"/>
            </w:tcBorders>
            <w:shd w:val="clear" w:color="auto" w:fill="auto"/>
            <w:noWrap/>
            <w:vAlign w:val="center"/>
          </w:tcPr>
          <w:p w14:paraId="44E279E3" w14:textId="544D5191" w:rsidR="00876770" w:rsidRPr="000C101C" w:rsidRDefault="00876770" w:rsidP="00876770">
            <w:pPr>
              <w:spacing w:before="0" w:line="240" w:lineRule="auto"/>
              <w:jc w:val="center"/>
              <w:rPr>
                <w:rFonts w:ascii="Calibri" w:hAnsi="Calibri" w:cs="Calibri"/>
                <w:color w:val="000000"/>
                <w:sz w:val="20"/>
                <w:lang w:val="en-AU" w:eastAsia="en-AU"/>
              </w:rPr>
            </w:pPr>
            <w:r>
              <w:rPr>
                <w:rFonts w:ascii="Calibri" w:hAnsi="Calibri" w:cs="Calibri"/>
                <w:color w:val="000000"/>
                <w:sz w:val="20"/>
                <w:lang w:val="en-AU" w:eastAsia="en-AU"/>
              </w:rPr>
              <w:t>1.10</w:t>
            </w:r>
            <w:r w:rsidR="00E71776">
              <w:rPr>
                <w:rFonts w:ascii="Calibri" w:hAnsi="Calibri" w:cs="Calibri"/>
                <w:color w:val="000000"/>
                <w:sz w:val="20"/>
                <w:lang w:val="en-AU" w:eastAsia="en-AU"/>
              </w:rPr>
              <w:t>8</w:t>
            </w:r>
          </w:p>
        </w:tc>
      </w:tr>
      <w:tr w:rsidR="00876770" w:rsidRPr="00330684" w14:paraId="17C13F02" w14:textId="77777777" w:rsidTr="000C101C">
        <w:trPr>
          <w:trHeight w:val="614"/>
          <w:jc w:val="center"/>
        </w:trPr>
        <w:tc>
          <w:tcPr>
            <w:tcW w:w="1843" w:type="dxa"/>
            <w:tcBorders>
              <w:left w:val="single" w:sz="4" w:space="0" w:color="548DD4" w:themeColor="text2" w:themeTint="99"/>
              <w:right w:val="single" w:sz="4" w:space="0" w:color="548DD4" w:themeColor="text2" w:themeTint="99"/>
            </w:tcBorders>
            <w:shd w:val="clear" w:color="auto" w:fill="auto"/>
            <w:vAlign w:val="center"/>
          </w:tcPr>
          <w:p w14:paraId="7F1C95CF" w14:textId="0DA0A518" w:rsidR="00876770" w:rsidRPr="00A87BD7" w:rsidRDefault="00876770" w:rsidP="00876770">
            <w:pPr>
              <w:spacing w:before="0" w:line="240" w:lineRule="auto"/>
              <w:rPr>
                <w:rFonts w:ascii="Calibri" w:hAnsi="Calibri" w:cs="Calibri"/>
                <w:color w:val="000000"/>
                <w:sz w:val="20"/>
                <w:lang w:val="en-AU" w:eastAsia="en-AU"/>
              </w:rPr>
            </w:pPr>
            <w:r w:rsidRPr="00A87BD7">
              <w:rPr>
                <w:rFonts w:ascii="Calibri" w:hAnsi="Calibri" w:cs="Calibri"/>
                <w:color w:val="000000"/>
                <w:sz w:val="20"/>
                <w:lang w:val="en-AU" w:eastAsia="en-AU"/>
              </w:rPr>
              <w:t>Cocaine</w:t>
            </w:r>
          </w:p>
        </w:tc>
        <w:tc>
          <w:tcPr>
            <w:tcW w:w="919" w:type="dxa"/>
            <w:tcBorders>
              <w:left w:val="single" w:sz="4" w:space="0" w:color="548DD4" w:themeColor="text2" w:themeTint="99"/>
              <w:right w:val="single" w:sz="4" w:space="0" w:color="548DD4" w:themeColor="text2" w:themeTint="99"/>
            </w:tcBorders>
            <w:shd w:val="clear" w:color="auto" w:fill="auto"/>
            <w:noWrap/>
            <w:vAlign w:val="center"/>
          </w:tcPr>
          <w:p w14:paraId="06AC17F2" w14:textId="36D516B3" w:rsidR="00876770" w:rsidRPr="000C101C" w:rsidRDefault="00876770" w:rsidP="00876770">
            <w:pPr>
              <w:spacing w:before="0" w:line="240" w:lineRule="auto"/>
              <w:jc w:val="center"/>
              <w:rPr>
                <w:rFonts w:ascii="Calibri" w:hAnsi="Calibri" w:cs="Calibri"/>
                <w:color w:val="000000"/>
                <w:sz w:val="20"/>
                <w:lang w:val="en-AU" w:eastAsia="en-AU"/>
              </w:rPr>
            </w:pPr>
            <w:r>
              <w:rPr>
                <w:rFonts w:ascii="Calibri" w:hAnsi="Calibri" w:cs="Calibri"/>
                <w:color w:val="000000"/>
                <w:sz w:val="20"/>
                <w:lang w:val="en-AU" w:eastAsia="en-AU"/>
              </w:rPr>
              <w:t>0.08</w:t>
            </w:r>
            <w:r w:rsidR="00E71776">
              <w:rPr>
                <w:rFonts w:ascii="Calibri" w:hAnsi="Calibri" w:cs="Calibri"/>
                <w:color w:val="000000"/>
                <w:sz w:val="20"/>
                <w:lang w:val="en-AU" w:eastAsia="en-AU"/>
              </w:rPr>
              <w:t>8</w:t>
            </w:r>
          </w:p>
        </w:tc>
        <w:tc>
          <w:tcPr>
            <w:tcW w:w="919" w:type="dxa"/>
            <w:tcBorders>
              <w:left w:val="single" w:sz="4" w:space="0" w:color="548DD4" w:themeColor="text2" w:themeTint="99"/>
              <w:right w:val="single" w:sz="4" w:space="0" w:color="548DD4" w:themeColor="text2" w:themeTint="99"/>
            </w:tcBorders>
            <w:shd w:val="clear" w:color="auto" w:fill="auto"/>
            <w:noWrap/>
            <w:vAlign w:val="center"/>
          </w:tcPr>
          <w:p w14:paraId="131F4834" w14:textId="2C8CBC4C" w:rsidR="00876770" w:rsidRPr="000C101C" w:rsidRDefault="00876770" w:rsidP="00876770">
            <w:pPr>
              <w:spacing w:before="0" w:line="240" w:lineRule="auto"/>
              <w:jc w:val="center"/>
              <w:rPr>
                <w:rFonts w:ascii="Calibri" w:hAnsi="Calibri" w:cs="Calibri"/>
                <w:color w:val="000000"/>
                <w:sz w:val="20"/>
                <w:lang w:val="en-AU" w:eastAsia="en-AU"/>
              </w:rPr>
            </w:pPr>
            <w:r>
              <w:rPr>
                <w:rFonts w:ascii="Calibri" w:hAnsi="Calibri" w:cs="Calibri"/>
                <w:color w:val="000000"/>
                <w:sz w:val="20"/>
                <w:lang w:val="en-AU" w:eastAsia="en-AU"/>
              </w:rPr>
              <w:t>0.03</w:t>
            </w:r>
            <w:r w:rsidR="00E71776">
              <w:rPr>
                <w:rFonts w:ascii="Calibri" w:hAnsi="Calibri" w:cs="Calibri"/>
                <w:color w:val="000000"/>
                <w:sz w:val="20"/>
                <w:lang w:val="en-AU" w:eastAsia="en-AU"/>
              </w:rPr>
              <w:t>7</w:t>
            </w:r>
          </w:p>
        </w:tc>
        <w:tc>
          <w:tcPr>
            <w:tcW w:w="1204" w:type="dxa"/>
            <w:tcBorders>
              <w:left w:val="single" w:sz="4" w:space="0" w:color="548DD4" w:themeColor="text2" w:themeTint="99"/>
              <w:right w:val="single" w:sz="4" w:space="0" w:color="548DD4" w:themeColor="text2" w:themeTint="99"/>
            </w:tcBorders>
            <w:shd w:val="clear" w:color="auto" w:fill="auto"/>
            <w:noWrap/>
            <w:vAlign w:val="center"/>
          </w:tcPr>
          <w:p w14:paraId="3221A997" w14:textId="7AA795EA" w:rsidR="00876770" w:rsidRPr="000C101C" w:rsidRDefault="00876770" w:rsidP="00876770">
            <w:pPr>
              <w:spacing w:before="0" w:line="240" w:lineRule="auto"/>
              <w:jc w:val="center"/>
              <w:rPr>
                <w:rFonts w:ascii="Calibri" w:hAnsi="Calibri" w:cs="Calibri"/>
                <w:color w:val="000000"/>
                <w:sz w:val="20"/>
                <w:lang w:val="en-AU" w:eastAsia="en-AU"/>
              </w:rPr>
            </w:pPr>
            <w:r>
              <w:rPr>
                <w:rFonts w:ascii="Calibri" w:hAnsi="Calibri" w:cs="Calibri"/>
                <w:color w:val="000000"/>
                <w:sz w:val="20"/>
                <w:lang w:val="en-AU" w:eastAsia="en-AU"/>
              </w:rPr>
              <w:t>0.052</w:t>
            </w:r>
          </w:p>
        </w:tc>
        <w:tc>
          <w:tcPr>
            <w:tcW w:w="1205" w:type="dxa"/>
            <w:tcBorders>
              <w:left w:val="single" w:sz="4" w:space="0" w:color="548DD4" w:themeColor="text2" w:themeTint="99"/>
              <w:right w:val="single" w:sz="4" w:space="0" w:color="548DD4" w:themeColor="text2" w:themeTint="99"/>
            </w:tcBorders>
            <w:shd w:val="clear" w:color="auto" w:fill="auto"/>
            <w:noWrap/>
            <w:vAlign w:val="center"/>
          </w:tcPr>
          <w:p w14:paraId="5073D042" w14:textId="40374487" w:rsidR="00876770" w:rsidRPr="000C101C" w:rsidRDefault="00876770" w:rsidP="00876770">
            <w:pPr>
              <w:spacing w:before="0" w:line="240" w:lineRule="auto"/>
              <w:jc w:val="center"/>
              <w:rPr>
                <w:rFonts w:ascii="Calibri" w:hAnsi="Calibri" w:cs="Calibri"/>
                <w:color w:val="000000"/>
                <w:sz w:val="20"/>
                <w:lang w:val="en-AU" w:eastAsia="en-AU"/>
              </w:rPr>
            </w:pPr>
            <w:r>
              <w:rPr>
                <w:rFonts w:ascii="Calibri" w:hAnsi="Calibri" w:cs="Calibri"/>
                <w:color w:val="000000"/>
                <w:sz w:val="20"/>
                <w:lang w:val="en-AU" w:eastAsia="en-AU"/>
              </w:rPr>
              <w:t>0.02</w:t>
            </w:r>
            <w:r w:rsidR="00E71776">
              <w:rPr>
                <w:rFonts w:ascii="Calibri" w:hAnsi="Calibri" w:cs="Calibri"/>
                <w:color w:val="000000"/>
                <w:sz w:val="20"/>
                <w:lang w:val="en-AU" w:eastAsia="en-AU"/>
              </w:rPr>
              <w:t>1</w:t>
            </w:r>
          </w:p>
        </w:tc>
        <w:tc>
          <w:tcPr>
            <w:tcW w:w="1418" w:type="dxa"/>
            <w:tcBorders>
              <w:left w:val="single" w:sz="4" w:space="0" w:color="548DD4" w:themeColor="text2" w:themeTint="99"/>
              <w:right w:val="single" w:sz="4" w:space="0" w:color="548DD4" w:themeColor="text2" w:themeTint="99"/>
            </w:tcBorders>
            <w:shd w:val="clear" w:color="auto" w:fill="auto"/>
            <w:noWrap/>
            <w:vAlign w:val="center"/>
          </w:tcPr>
          <w:p w14:paraId="06095BFB" w14:textId="24340493" w:rsidR="00876770" w:rsidRPr="000C101C" w:rsidRDefault="00876770" w:rsidP="00876770">
            <w:pPr>
              <w:spacing w:before="0" w:line="240" w:lineRule="auto"/>
              <w:jc w:val="center"/>
              <w:rPr>
                <w:rFonts w:ascii="Calibri" w:hAnsi="Calibri" w:cs="Calibri"/>
                <w:color w:val="000000"/>
                <w:sz w:val="20"/>
                <w:lang w:val="en-AU" w:eastAsia="en-AU"/>
              </w:rPr>
            </w:pPr>
            <w:r>
              <w:rPr>
                <w:rFonts w:ascii="Calibri" w:hAnsi="Calibri" w:cs="Calibri"/>
                <w:color w:val="000000"/>
                <w:sz w:val="20"/>
                <w:lang w:val="en-AU" w:eastAsia="en-AU"/>
              </w:rPr>
              <w:t>0.021</w:t>
            </w:r>
          </w:p>
        </w:tc>
        <w:tc>
          <w:tcPr>
            <w:tcW w:w="992" w:type="dxa"/>
            <w:tcBorders>
              <w:left w:val="single" w:sz="4" w:space="0" w:color="548DD4" w:themeColor="text2" w:themeTint="99"/>
              <w:right w:val="single" w:sz="4" w:space="0" w:color="548DD4" w:themeColor="text2" w:themeTint="99"/>
            </w:tcBorders>
            <w:shd w:val="clear" w:color="auto" w:fill="auto"/>
            <w:noWrap/>
            <w:vAlign w:val="center"/>
          </w:tcPr>
          <w:p w14:paraId="301A6428" w14:textId="6FF68B1A" w:rsidR="00876770" w:rsidRPr="000C101C" w:rsidRDefault="00876770" w:rsidP="00876770">
            <w:pPr>
              <w:spacing w:before="0" w:line="240" w:lineRule="auto"/>
              <w:jc w:val="center"/>
              <w:rPr>
                <w:rFonts w:ascii="Calibri" w:hAnsi="Calibri" w:cs="Calibri"/>
                <w:color w:val="000000"/>
                <w:sz w:val="20"/>
                <w:lang w:val="en-AU" w:eastAsia="en-AU"/>
              </w:rPr>
            </w:pPr>
            <w:r>
              <w:rPr>
                <w:rFonts w:ascii="Calibri" w:hAnsi="Calibri" w:cs="Calibri"/>
                <w:color w:val="000000"/>
                <w:sz w:val="20"/>
                <w:lang w:val="en-AU" w:eastAsia="en-AU"/>
              </w:rPr>
              <w:t>0.081</w:t>
            </w:r>
          </w:p>
        </w:tc>
        <w:tc>
          <w:tcPr>
            <w:tcW w:w="1229" w:type="dxa"/>
            <w:tcBorders>
              <w:left w:val="single" w:sz="4" w:space="0" w:color="548DD4" w:themeColor="text2" w:themeTint="99"/>
              <w:right w:val="single" w:sz="4" w:space="0" w:color="548DD4" w:themeColor="text2" w:themeTint="99"/>
            </w:tcBorders>
            <w:shd w:val="clear" w:color="auto" w:fill="auto"/>
            <w:noWrap/>
            <w:vAlign w:val="center"/>
          </w:tcPr>
          <w:p w14:paraId="7F81204E" w14:textId="1530FDC7" w:rsidR="00876770" w:rsidRPr="000C101C" w:rsidRDefault="00876770" w:rsidP="00876770">
            <w:pPr>
              <w:spacing w:before="0" w:line="240" w:lineRule="auto"/>
              <w:jc w:val="center"/>
              <w:rPr>
                <w:rFonts w:ascii="Calibri" w:hAnsi="Calibri" w:cs="Calibri"/>
                <w:color w:val="000000"/>
                <w:sz w:val="20"/>
                <w:lang w:val="en-AU" w:eastAsia="en-AU"/>
              </w:rPr>
            </w:pPr>
            <w:r>
              <w:rPr>
                <w:rFonts w:ascii="Calibri" w:hAnsi="Calibri" w:cs="Calibri"/>
                <w:color w:val="000000"/>
                <w:sz w:val="20"/>
                <w:lang w:val="en-AU" w:eastAsia="en-AU"/>
              </w:rPr>
              <w:t>0.300</w:t>
            </w:r>
          </w:p>
        </w:tc>
      </w:tr>
      <w:tr w:rsidR="00876770" w:rsidRPr="00330684" w14:paraId="7ACAA99F" w14:textId="77777777" w:rsidTr="000C101C">
        <w:trPr>
          <w:trHeight w:val="614"/>
          <w:jc w:val="center"/>
        </w:trPr>
        <w:tc>
          <w:tcPr>
            <w:tcW w:w="1843" w:type="dxa"/>
            <w:tcBorders>
              <w:left w:val="single" w:sz="4" w:space="0" w:color="548DD4" w:themeColor="text2" w:themeTint="99"/>
              <w:right w:val="single" w:sz="4" w:space="0" w:color="548DD4" w:themeColor="text2" w:themeTint="99"/>
            </w:tcBorders>
            <w:shd w:val="clear" w:color="auto" w:fill="auto"/>
            <w:vAlign w:val="center"/>
          </w:tcPr>
          <w:p w14:paraId="613CC27A" w14:textId="743A9361" w:rsidR="00876770" w:rsidRPr="00A87BD7" w:rsidRDefault="00876770" w:rsidP="00876770">
            <w:pPr>
              <w:spacing w:before="0" w:line="240" w:lineRule="auto"/>
              <w:rPr>
                <w:rFonts w:ascii="Calibri" w:hAnsi="Calibri" w:cs="Calibri"/>
                <w:color w:val="000000"/>
                <w:sz w:val="20"/>
                <w:lang w:val="en-AU" w:eastAsia="en-AU"/>
              </w:rPr>
            </w:pPr>
            <w:r w:rsidRPr="00A87BD7">
              <w:rPr>
                <w:rFonts w:ascii="Calibri" w:hAnsi="Calibri" w:cs="Calibri"/>
                <w:color w:val="000000"/>
                <w:sz w:val="20"/>
                <w:lang w:val="en-AU" w:eastAsia="en-AU"/>
              </w:rPr>
              <w:t>MDMA</w:t>
            </w:r>
          </w:p>
        </w:tc>
        <w:tc>
          <w:tcPr>
            <w:tcW w:w="919" w:type="dxa"/>
            <w:tcBorders>
              <w:left w:val="single" w:sz="4" w:space="0" w:color="548DD4" w:themeColor="text2" w:themeTint="99"/>
              <w:right w:val="single" w:sz="4" w:space="0" w:color="548DD4" w:themeColor="text2" w:themeTint="99"/>
            </w:tcBorders>
            <w:shd w:val="clear" w:color="auto" w:fill="auto"/>
            <w:noWrap/>
            <w:vAlign w:val="center"/>
          </w:tcPr>
          <w:p w14:paraId="72FD9A0F" w14:textId="5C4C59B5" w:rsidR="00876770" w:rsidRPr="000C101C" w:rsidRDefault="00876770" w:rsidP="00876770">
            <w:pPr>
              <w:spacing w:before="0" w:line="240" w:lineRule="auto"/>
              <w:jc w:val="center"/>
              <w:rPr>
                <w:rFonts w:ascii="Calibri" w:hAnsi="Calibri" w:cs="Calibri"/>
                <w:color w:val="000000"/>
                <w:sz w:val="20"/>
                <w:lang w:val="en-AU" w:eastAsia="en-AU"/>
              </w:rPr>
            </w:pPr>
            <w:r>
              <w:rPr>
                <w:rFonts w:ascii="Calibri" w:hAnsi="Calibri" w:cs="Calibri"/>
                <w:color w:val="000000"/>
                <w:sz w:val="20"/>
                <w:lang w:val="en-AU" w:eastAsia="en-AU"/>
              </w:rPr>
              <w:t>0.042</w:t>
            </w:r>
          </w:p>
        </w:tc>
        <w:tc>
          <w:tcPr>
            <w:tcW w:w="919" w:type="dxa"/>
            <w:tcBorders>
              <w:left w:val="single" w:sz="4" w:space="0" w:color="548DD4" w:themeColor="text2" w:themeTint="99"/>
              <w:right w:val="single" w:sz="4" w:space="0" w:color="548DD4" w:themeColor="text2" w:themeTint="99"/>
            </w:tcBorders>
            <w:shd w:val="clear" w:color="auto" w:fill="auto"/>
            <w:noWrap/>
            <w:vAlign w:val="center"/>
          </w:tcPr>
          <w:p w14:paraId="060C2631" w14:textId="28AF9C11" w:rsidR="00876770" w:rsidRPr="000C101C" w:rsidRDefault="00876770" w:rsidP="00876770">
            <w:pPr>
              <w:spacing w:before="0" w:line="240" w:lineRule="auto"/>
              <w:jc w:val="center"/>
              <w:rPr>
                <w:rFonts w:ascii="Calibri" w:hAnsi="Calibri" w:cs="Calibri"/>
                <w:color w:val="000000"/>
                <w:sz w:val="20"/>
                <w:lang w:val="en-AU" w:eastAsia="en-AU"/>
              </w:rPr>
            </w:pPr>
            <w:r>
              <w:rPr>
                <w:rFonts w:ascii="Calibri" w:hAnsi="Calibri" w:cs="Calibri"/>
                <w:color w:val="000000"/>
                <w:sz w:val="20"/>
                <w:lang w:val="en-AU" w:eastAsia="en-AU"/>
              </w:rPr>
              <w:t>0.020</w:t>
            </w:r>
          </w:p>
        </w:tc>
        <w:tc>
          <w:tcPr>
            <w:tcW w:w="1204" w:type="dxa"/>
            <w:tcBorders>
              <w:left w:val="single" w:sz="4" w:space="0" w:color="548DD4" w:themeColor="text2" w:themeTint="99"/>
              <w:right w:val="single" w:sz="4" w:space="0" w:color="548DD4" w:themeColor="text2" w:themeTint="99"/>
            </w:tcBorders>
            <w:shd w:val="clear" w:color="auto" w:fill="auto"/>
            <w:noWrap/>
            <w:vAlign w:val="center"/>
          </w:tcPr>
          <w:p w14:paraId="1B21D947" w14:textId="33898421" w:rsidR="00876770" w:rsidRPr="000C101C" w:rsidRDefault="00876770" w:rsidP="00876770">
            <w:pPr>
              <w:spacing w:before="0" w:line="240" w:lineRule="auto"/>
              <w:jc w:val="center"/>
              <w:rPr>
                <w:rFonts w:ascii="Calibri" w:hAnsi="Calibri" w:cs="Calibri"/>
                <w:color w:val="000000"/>
                <w:sz w:val="20"/>
                <w:lang w:val="en-AU" w:eastAsia="en-AU"/>
              </w:rPr>
            </w:pPr>
            <w:r>
              <w:rPr>
                <w:rFonts w:ascii="Calibri" w:hAnsi="Calibri" w:cs="Calibri"/>
                <w:color w:val="000000"/>
                <w:sz w:val="20"/>
                <w:lang w:val="en-AU" w:eastAsia="en-AU"/>
              </w:rPr>
              <w:t>0.024</w:t>
            </w:r>
          </w:p>
        </w:tc>
        <w:tc>
          <w:tcPr>
            <w:tcW w:w="1205" w:type="dxa"/>
            <w:tcBorders>
              <w:left w:val="single" w:sz="4" w:space="0" w:color="548DD4" w:themeColor="text2" w:themeTint="99"/>
              <w:right w:val="single" w:sz="4" w:space="0" w:color="548DD4" w:themeColor="text2" w:themeTint="99"/>
            </w:tcBorders>
            <w:shd w:val="clear" w:color="auto" w:fill="auto"/>
            <w:noWrap/>
            <w:vAlign w:val="center"/>
          </w:tcPr>
          <w:p w14:paraId="7C994A76" w14:textId="0B0D1DE7" w:rsidR="00876770" w:rsidRPr="000C101C" w:rsidRDefault="00876770" w:rsidP="00876770">
            <w:pPr>
              <w:spacing w:before="0" w:line="240" w:lineRule="auto"/>
              <w:jc w:val="center"/>
              <w:rPr>
                <w:rFonts w:ascii="Calibri" w:hAnsi="Calibri" w:cs="Calibri"/>
                <w:color w:val="000000"/>
                <w:sz w:val="20"/>
                <w:lang w:val="en-AU" w:eastAsia="en-AU"/>
              </w:rPr>
            </w:pPr>
            <w:r>
              <w:rPr>
                <w:rFonts w:ascii="Calibri" w:hAnsi="Calibri" w:cs="Calibri"/>
                <w:color w:val="000000"/>
                <w:sz w:val="20"/>
                <w:lang w:val="en-AU" w:eastAsia="en-AU"/>
              </w:rPr>
              <w:t>0.009</w:t>
            </w:r>
          </w:p>
        </w:tc>
        <w:tc>
          <w:tcPr>
            <w:tcW w:w="1418" w:type="dxa"/>
            <w:tcBorders>
              <w:left w:val="single" w:sz="4" w:space="0" w:color="548DD4" w:themeColor="text2" w:themeTint="99"/>
              <w:right w:val="single" w:sz="4" w:space="0" w:color="548DD4" w:themeColor="text2" w:themeTint="99"/>
            </w:tcBorders>
            <w:shd w:val="clear" w:color="auto" w:fill="auto"/>
            <w:noWrap/>
            <w:vAlign w:val="center"/>
          </w:tcPr>
          <w:p w14:paraId="1FCA909F" w14:textId="0068E1F8" w:rsidR="00876770" w:rsidRPr="000C101C" w:rsidRDefault="00876770" w:rsidP="00876770">
            <w:pPr>
              <w:spacing w:before="0" w:line="240" w:lineRule="auto"/>
              <w:jc w:val="center"/>
              <w:rPr>
                <w:rFonts w:ascii="Calibri" w:hAnsi="Calibri" w:cs="Calibri"/>
                <w:color w:val="000000"/>
                <w:sz w:val="20"/>
                <w:lang w:val="en-AU" w:eastAsia="en-AU"/>
              </w:rPr>
            </w:pPr>
            <w:r>
              <w:rPr>
                <w:rFonts w:ascii="Calibri" w:hAnsi="Calibri" w:cs="Calibri"/>
                <w:color w:val="000000"/>
                <w:sz w:val="20"/>
                <w:lang w:val="en-AU" w:eastAsia="en-AU"/>
              </w:rPr>
              <w:t>0.009</w:t>
            </w:r>
          </w:p>
        </w:tc>
        <w:tc>
          <w:tcPr>
            <w:tcW w:w="992" w:type="dxa"/>
            <w:tcBorders>
              <w:left w:val="single" w:sz="4" w:space="0" w:color="548DD4" w:themeColor="text2" w:themeTint="99"/>
              <w:right w:val="single" w:sz="4" w:space="0" w:color="548DD4" w:themeColor="text2" w:themeTint="99"/>
            </w:tcBorders>
            <w:shd w:val="clear" w:color="auto" w:fill="auto"/>
            <w:noWrap/>
            <w:vAlign w:val="center"/>
          </w:tcPr>
          <w:p w14:paraId="391AF210" w14:textId="04720E79" w:rsidR="00876770" w:rsidRPr="000C101C" w:rsidRDefault="00876770" w:rsidP="00876770">
            <w:pPr>
              <w:spacing w:before="0" w:line="240" w:lineRule="auto"/>
              <w:jc w:val="center"/>
              <w:rPr>
                <w:rFonts w:ascii="Calibri" w:hAnsi="Calibri" w:cs="Calibri"/>
                <w:color w:val="000000"/>
                <w:sz w:val="20"/>
                <w:lang w:val="en-AU" w:eastAsia="en-AU"/>
              </w:rPr>
            </w:pPr>
            <w:r>
              <w:rPr>
                <w:rFonts w:ascii="Calibri" w:hAnsi="Calibri" w:cs="Calibri"/>
                <w:color w:val="000000"/>
                <w:sz w:val="20"/>
                <w:lang w:val="en-AU" w:eastAsia="en-AU"/>
              </w:rPr>
              <w:t>0.034</w:t>
            </w:r>
          </w:p>
        </w:tc>
        <w:tc>
          <w:tcPr>
            <w:tcW w:w="1229" w:type="dxa"/>
            <w:tcBorders>
              <w:left w:val="single" w:sz="4" w:space="0" w:color="548DD4" w:themeColor="text2" w:themeTint="99"/>
              <w:right w:val="single" w:sz="4" w:space="0" w:color="548DD4" w:themeColor="text2" w:themeTint="99"/>
            </w:tcBorders>
            <w:shd w:val="clear" w:color="auto" w:fill="auto"/>
            <w:noWrap/>
            <w:vAlign w:val="center"/>
          </w:tcPr>
          <w:p w14:paraId="59C52288" w14:textId="2C2B1A80" w:rsidR="00876770" w:rsidRPr="000C101C" w:rsidRDefault="00876770" w:rsidP="00876770">
            <w:pPr>
              <w:spacing w:before="0" w:line="240" w:lineRule="auto"/>
              <w:jc w:val="center"/>
              <w:rPr>
                <w:rFonts w:ascii="Calibri" w:hAnsi="Calibri" w:cs="Calibri"/>
                <w:color w:val="000000"/>
                <w:sz w:val="20"/>
                <w:lang w:val="en-AU" w:eastAsia="en-AU"/>
              </w:rPr>
            </w:pPr>
            <w:r>
              <w:rPr>
                <w:rFonts w:ascii="Calibri" w:hAnsi="Calibri" w:cs="Calibri"/>
                <w:color w:val="000000"/>
                <w:sz w:val="20"/>
                <w:lang w:val="en-AU" w:eastAsia="en-AU"/>
              </w:rPr>
              <w:t>0.139</w:t>
            </w:r>
          </w:p>
        </w:tc>
      </w:tr>
      <w:tr w:rsidR="00876770" w:rsidRPr="00330684" w14:paraId="05315F2C" w14:textId="77777777" w:rsidTr="000C101C">
        <w:trPr>
          <w:trHeight w:val="614"/>
          <w:jc w:val="center"/>
        </w:trPr>
        <w:tc>
          <w:tcPr>
            <w:tcW w:w="1843" w:type="dxa"/>
            <w:tcBorders>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4BDA4062" w14:textId="77777777" w:rsidR="00876770" w:rsidRPr="00A87BD7" w:rsidRDefault="00876770" w:rsidP="00876770">
            <w:pPr>
              <w:spacing w:before="0" w:line="240" w:lineRule="auto"/>
              <w:rPr>
                <w:rFonts w:ascii="Calibri" w:hAnsi="Calibri" w:cs="Calibri"/>
                <w:color w:val="000000"/>
                <w:sz w:val="20"/>
                <w:lang w:val="en-AU" w:eastAsia="en-AU"/>
              </w:rPr>
            </w:pPr>
            <w:r w:rsidRPr="00A87BD7">
              <w:rPr>
                <w:rFonts w:ascii="Calibri" w:hAnsi="Calibri" w:cs="Calibri"/>
                <w:color w:val="000000"/>
                <w:sz w:val="20"/>
                <w:lang w:val="en-AU" w:eastAsia="en-AU"/>
              </w:rPr>
              <w:t>Cannabis</w:t>
            </w:r>
          </w:p>
        </w:tc>
        <w:tc>
          <w:tcPr>
            <w:tcW w:w="919" w:type="dxa"/>
            <w:tcBorders>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tcPr>
          <w:p w14:paraId="0EE4C0C1" w14:textId="18786103" w:rsidR="00876770" w:rsidRPr="000C101C" w:rsidRDefault="00876770" w:rsidP="00876770">
            <w:pPr>
              <w:spacing w:before="0" w:line="240" w:lineRule="auto"/>
              <w:jc w:val="center"/>
              <w:rPr>
                <w:rFonts w:ascii="Calibri" w:hAnsi="Calibri" w:cs="Calibri"/>
                <w:color w:val="000000"/>
                <w:sz w:val="20"/>
                <w:lang w:val="en-AU" w:eastAsia="en-AU"/>
              </w:rPr>
            </w:pPr>
            <w:r>
              <w:rPr>
                <w:rFonts w:ascii="Calibri" w:hAnsi="Calibri" w:cs="Calibri"/>
                <w:color w:val="000000"/>
                <w:sz w:val="20"/>
                <w:lang w:val="en-AU" w:eastAsia="en-AU"/>
              </w:rPr>
              <w:t>0.002</w:t>
            </w:r>
          </w:p>
        </w:tc>
        <w:tc>
          <w:tcPr>
            <w:tcW w:w="919" w:type="dxa"/>
            <w:tcBorders>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tcPr>
          <w:p w14:paraId="78C354B9" w14:textId="576F4631" w:rsidR="00876770" w:rsidRPr="000C101C" w:rsidRDefault="00876770" w:rsidP="00876770">
            <w:pPr>
              <w:spacing w:before="0" w:line="240" w:lineRule="auto"/>
              <w:jc w:val="center"/>
              <w:rPr>
                <w:rFonts w:ascii="Calibri" w:hAnsi="Calibri" w:cs="Calibri"/>
                <w:color w:val="000000"/>
                <w:sz w:val="20"/>
                <w:lang w:val="en-AU" w:eastAsia="en-AU"/>
              </w:rPr>
            </w:pPr>
            <w:r>
              <w:rPr>
                <w:rFonts w:ascii="Calibri" w:hAnsi="Calibri" w:cs="Calibri"/>
                <w:color w:val="000000"/>
                <w:sz w:val="20"/>
                <w:lang w:val="en-AU" w:eastAsia="en-AU"/>
              </w:rPr>
              <w:t>0.003</w:t>
            </w:r>
          </w:p>
        </w:tc>
        <w:tc>
          <w:tcPr>
            <w:tcW w:w="1204" w:type="dxa"/>
            <w:tcBorders>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tcPr>
          <w:p w14:paraId="78962847" w14:textId="79D290F8" w:rsidR="00876770" w:rsidRPr="000C101C" w:rsidRDefault="00876770" w:rsidP="00876770">
            <w:pPr>
              <w:spacing w:before="0" w:line="240" w:lineRule="auto"/>
              <w:jc w:val="center"/>
              <w:rPr>
                <w:rFonts w:ascii="Calibri" w:hAnsi="Calibri" w:cs="Calibri"/>
                <w:color w:val="000000"/>
                <w:sz w:val="20"/>
                <w:lang w:val="en-AU" w:eastAsia="en-AU"/>
              </w:rPr>
            </w:pPr>
            <w:r>
              <w:rPr>
                <w:rFonts w:ascii="Calibri" w:hAnsi="Calibri" w:cs="Calibri"/>
                <w:color w:val="000000"/>
                <w:sz w:val="20"/>
                <w:lang w:val="en-AU" w:eastAsia="en-AU"/>
              </w:rPr>
              <w:t>0.004</w:t>
            </w:r>
          </w:p>
        </w:tc>
        <w:tc>
          <w:tcPr>
            <w:tcW w:w="1205" w:type="dxa"/>
            <w:tcBorders>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tcPr>
          <w:p w14:paraId="33941B5D" w14:textId="7730DE60" w:rsidR="00876770" w:rsidRPr="000C101C" w:rsidRDefault="00876770" w:rsidP="00876770">
            <w:pPr>
              <w:spacing w:before="0" w:line="240" w:lineRule="auto"/>
              <w:jc w:val="center"/>
              <w:rPr>
                <w:rFonts w:ascii="Calibri" w:hAnsi="Calibri" w:cs="Calibri"/>
                <w:color w:val="000000"/>
                <w:sz w:val="20"/>
                <w:lang w:val="en-AU" w:eastAsia="en-AU"/>
              </w:rPr>
            </w:pPr>
            <w:r>
              <w:rPr>
                <w:rFonts w:ascii="Calibri" w:hAnsi="Calibri" w:cs="Calibri"/>
                <w:color w:val="000000"/>
                <w:sz w:val="20"/>
                <w:lang w:val="en-AU" w:eastAsia="en-AU"/>
              </w:rPr>
              <w:t>0.002</w:t>
            </w:r>
          </w:p>
        </w:tc>
        <w:tc>
          <w:tcPr>
            <w:tcW w:w="1418" w:type="dxa"/>
            <w:tcBorders>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tcPr>
          <w:p w14:paraId="53EA8418" w14:textId="4BE5A4E2" w:rsidR="00876770" w:rsidRPr="000C101C" w:rsidRDefault="00876770" w:rsidP="00876770">
            <w:pPr>
              <w:spacing w:before="0" w:line="240" w:lineRule="auto"/>
              <w:jc w:val="center"/>
              <w:rPr>
                <w:rFonts w:ascii="Calibri" w:hAnsi="Calibri" w:cs="Calibri"/>
                <w:color w:val="000000"/>
                <w:sz w:val="20"/>
                <w:lang w:val="en-AU" w:eastAsia="en-AU"/>
              </w:rPr>
            </w:pPr>
            <w:r>
              <w:rPr>
                <w:rFonts w:ascii="Calibri" w:hAnsi="Calibri" w:cs="Calibri"/>
                <w:color w:val="000000"/>
                <w:sz w:val="20"/>
                <w:lang w:val="en-AU" w:eastAsia="en-AU"/>
              </w:rPr>
              <w:t>0.001</w:t>
            </w:r>
          </w:p>
        </w:tc>
        <w:tc>
          <w:tcPr>
            <w:tcW w:w="992" w:type="dxa"/>
            <w:tcBorders>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tcPr>
          <w:p w14:paraId="66DA673B" w14:textId="679B4F62" w:rsidR="00876770" w:rsidRPr="000C101C" w:rsidRDefault="00876770" w:rsidP="00876770">
            <w:pPr>
              <w:spacing w:before="0" w:line="240" w:lineRule="auto"/>
              <w:jc w:val="center"/>
              <w:rPr>
                <w:rFonts w:ascii="Calibri" w:hAnsi="Calibri" w:cs="Calibri"/>
                <w:color w:val="000000"/>
                <w:sz w:val="20"/>
                <w:lang w:val="en-AU" w:eastAsia="en-AU"/>
              </w:rPr>
            </w:pPr>
            <w:r>
              <w:rPr>
                <w:rFonts w:ascii="Calibri" w:hAnsi="Calibri" w:cs="Calibri"/>
                <w:color w:val="000000"/>
                <w:sz w:val="20"/>
                <w:lang w:val="en-AU" w:eastAsia="en-AU"/>
              </w:rPr>
              <w:t>0.004</w:t>
            </w:r>
          </w:p>
        </w:tc>
        <w:tc>
          <w:tcPr>
            <w:tcW w:w="1229" w:type="dxa"/>
            <w:tcBorders>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tcPr>
          <w:p w14:paraId="63B72C75" w14:textId="03362D7C" w:rsidR="00876770" w:rsidRPr="000C101C" w:rsidRDefault="00876770" w:rsidP="00876770">
            <w:pPr>
              <w:spacing w:before="0" w:line="240" w:lineRule="auto"/>
              <w:jc w:val="center"/>
              <w:rPr>
                <w:rFonts w:ascii="Calibri" w:hAnsi="Calibri" w:cs="Calibri"/>
                <w:color w:val="000000"/>
                <w:sz w:val="20"/>
                <w:lang w:val="en-AU" w:eastAsia="en-AU"/>
              </w:rPr>
            </w:pPr>
            <w:r>
              <w:rPr>
                <w:rFonts w:ascii="Calibri" w:hAnsi="Calibri" w:cs="Calibri"/>
                <w:color w:val="000000"/>
                <w:sz w:val="20"/>
                <w:lang w:val="en-AU" w:eastAsia="en-AU"/>
              </w:rPr>
              <w:t>0.016</w:t>
            </w:r>
          </w:p>
        </w:tc>
      </w:tr>
    </w:tbl>
    <w:p w14:paraId="58F1CC24" w14:textId="77777777" w:rsidR="009C1D8F" w:rsidRPr="00330684" w:rsidRDefault="009C1D8F">
      <w:pPr>
        <w:spacing w:before="0" w:line="240" w:lineRule="auto"/>
        <w:rPr>
          <w:rFonts w:eastAsiaTheme="majorEastAsia"/>
          <w:color w:val="000000" w:themeColor="text1"/>
        </w:rPr>
      </w:pPr>
      <w:r>
        <w:rPr>
          <w:rFonts w:eastAsiaTheme="majorEastAsia"/>
          <w:color w:val="FF0000"/>
        </w:rPr>
        <w:br w:type="page"/>
      </w:r>
    </w:p>
    <w:p w14:paraId="78231F35" w14:textId="4F731788" w:rsidR="00AC5F01" w:rsidRPr="00B10ADE" w:rsidRDefault="00AC5F01" w:rsidP="00CF5331">
      <w:pPr>
        <w:rPr>
          <w:i/>
          <w:iCs/>
          <w:color w:val="000000" w:themeColor="text1"/>
        </w:rPr>
      </w:pPr>
      <w:r w:rsidRPr="00B10ADE">
        <w:rPr>
          <w:i/>
          <w:iCs/>
          <w:color w:val="000000" w:themeColor="text1"/>
        </w:rPr>
        <w:lastRenderedPageBreak/>
        <w:t xml:space="preserve">In general, the DHI has been used mainly to evaluate the success of programmes and specific interventions. Researchers interested in evaluation </w:t>
      </w:r>
      <w:r w:rsidR="0045377A">
        <w:rPr>
          <w:i/>
          <w:iCs/>
          <w:color w:val="000000" w:themeColor="text1"/>
        </w:rPr>
        <w:t>are advis</w:t>
      </w:r>
      <w:r w:rsidRPr="00B10ADE">
        <w:rPr>
          <w:i/>
          <w:iCs/>
          <w:color w:val="000000" w:themeColor="text1"/>
        </w:rPr>
        <w:t>ed to complete Steps 1−</w:t>
      </w:r>
      <w:r w:rsidR="00B10ADE" w:rsidRPr="00B10ADE">
        <w:rPr>
          <w:i/>
          <w:iCs/>
          <w:color w:val="000000" w:themeColor="text1"/>
        </w:rPr>
        <w:t>3</w:t>
      </w:r>
      <w:r w:rsidRPr="00B10ADE">
        <w:rPr>
          <w:i/>
          <w:iCs/>
          <w:color w:val="000000" w:themeColor="text1"/>
        </w:rPr>
        <w:t xml:space="preserve"> outlined previously as the first stage of their evaluation before proceeding.</w:t>
      </w:r>
    </w:p>
    <w:p w14:paraId="76713DE5" w14:textId="46AA2498" w:rsidR="00AC5F01" w:rsidRPr="00BE55B8" w:rsidRDefault="00AC5F01" w:rsidP="00CF5331">
      <w:pPr>
        <w:pStyle w:val="Heading2"/>
        <w:rPr>
          <w:color w:val="000000" w:themeColor="text1"/>
        </w:rPr>
      </w:pPr>
      <w:bookmarkStart w:id="11" w:name="_Toc95475384"/>
      <w:r w:rsidRPr="00BE55B8">
        <w:rPr>
          <w:color w:val="000000" w:themeColor="text1"/>
        </w:rPr>
        <w:t xml:space="preserve">Step </w:t>
      </w:r>
      <w:r w:rsidR="00767CAE" w:rsidRPr="00BE55B8">
        <w:rPr>
          <w:color w:val="000000" w:themeColor="text1"/>
        </w:rPr>
        <w:t>4</w:t>
      </w:r>
      <w:r w:rsidRPr="00BE55B8">
        <w:rPr>
          <w:color w:val="000000" w:themeColor="text1"/>
        </w:rPr>
        <w:t>. Estimating the extent of benefits related to an intervention</w:t>
      </w:r>
      <w:bookmarkEnd w:id="11"/>
    </w:p>
    <w:p w14:paraId="71606DF4" w14:textId="2A6E4F43" w:rsidR="00AC5F01" w:rsidRPr="00BE55B8" w:rsidRDefault="00BE55B8" w:rsidP="00CF5331">
      <w:pPr>
        <w:rPr>
          <w:color w:val="000000" w:themeColor="text1"/>
        </w:rPr>
      </w:pPr>
      <w:r w:rsidRPr="00BE55B8">
        <w:rPr>
          <w:color w:val="000000" w:themeColor="text1"/>
        </w:rPr>
        <w:t>A distinction should be made between interventions that target drug-related harms broadly and those that are quite specific. The harm types to be included in an evaluation will depend on the specific aims of the intervention.</w:t>
      </w:r>
    </w:p>
    <w:p w14:paraId="1B671BE9" w14:textId="6C99C100" w:rsidR="00AC5F01" w:rsidRPr="00BE55B8" w:rsidRDefault="00AC5F01" w:rsidP="00CF5331">
      <w:pPr>
        <w:rPr>
          <w:color w:val="000000" w:themeColor="text1"/>
        </w:rPr>
      </w:pPr>
      <w:r w:rsidRPr="00BE55B8">
        <w:rPr>
          <w:color w:val="000000" w:themeColor="text1"/>
        </w:rPr>
        <w:t xml:space="preserve">The calculation of the extent of benefits will </w:t>
      </w:r>
      <w:r w:rsidR="00BE55B8" w:rsidRPr="00BE55B8">
        <w:rPr>
          <w:color w:val="000000" w:themeColor="text1"/>
        </w:rPr>
        <w:t xml:space="preserve">also </w:t>
      </w:r>
      <w:r w:rsidRPr="00BE55B8">
        <w:rPr>
          <w:color w:val="000000" w:themeColor="text1"/>
        </w:rPr>
        <w:t xml:space="preserve">depend on the type of intervention involved. In the past, law enforcement has tended to assume that drugs seized are effectively eliminated from the community, and the full harm per </w:t>
      </w:r>
      <w:r w:rsidR="00A87BD7">
        <w:rPr>
          <w:color w:val="000000" w:themeColor="text1"/>
        </w:rPr>
        <w:t>kilogram</w:t>
      </w:r>
      <w:r w:rsidRPr="00BE55B8">
        <w:rPr>
          <w:color w:val="000000" w:themeColor="text1"/>
        </w:rPr>
        <w:t xml:space="preserve"> applied. This was in line with expert advice at the time. However, it is now realised that illicit drug shortfalls may be </w:t>
      </w:r>
      <w:r w:rsidR="005A267D" w:rsidRPr="00BE55B8">
        <w:rPr>
          <w:color w:val="000000" w:themeColor="text1"/>
        </w:rPr>
        <w:t>temporary</w:t>
      </w:r>
      <w:r w:rsidR="005A267D">
        <w:rPr>
          <w:color w:val="000000" w:themeColor="text1"/>
        </w:rPr>
        <w:t xml:space="preserve">. </w:t>
      </w:r>
      <w:r w:rsidRPr="00BE55B8">
        <w:rPr>
          <w:color w:val="000000" w:themeColor="text1"/>
        </w:rPr>
        <w:t xml:space="preserve">It is recommended that law enforcement </w:t>
      </w:r>
      <w:r w:rsidR="00BE55B8" w:rsidRPr="00BE55B8">
        <w:rPr>
          <w:color w:val="000000" w:themeColor="text1"/>
        </w:rPr>
        <w:t xml:space="preserve">evaluations </w:t>
      </w:r>
      <w:r w:rsidRPr="00BE55B8">
        <w:rPr>
          <w:color w:val="000000" w:themeColor="text1"/>
        </w:rPr>
        <w:t>consider the likely period it takes to replace a</w:t>
      </w:r>
      <w:r w:rsidR="002403FE">
        <w:rPr>
          <w:color w:val="000000" w:themeColor="text1"/>
        </w:rPr>
        <w:t xml:space="preserve"> volume</w:t>
      </w:r>
      <w:r w:rsidRPr="00BE55B8">
        <w:rPr>
          <w:color w:val="000000" w:themeColor="text1"/>
        </w:rPr>
        <w:t xml:space="preserve"> of drugs seized.</w:t>
      </w:r>
    </w:p>
    <w:p w14:paraId="5DA66D45" w14:textId="102EB168" w:rsidR="00AC5F01" w:rsidRPr="00BE55B8" w:rsidRDefault="00AC5F01" w:rsidP="00CF5331">
      <w:pPr>
        <w:rPr>
          <w:color w:val="000000" w:themeColor="text1"/>
        </w:rPr>
      </w:pPr>
      <w:r w:rsidRPr="00BE55B8">
        <w:rPr>
          <w:color w:val="000000" w:themeColor="text1"/>
        </w:rPr>
        <w:t>In Australia, for example, it has been estimated that heroin importations tend to take three to six months from time of importation to the appearance of the drug on the streets. The time from the placement of the initial order will of course be longer. A more accurate assessment of the delay in replacing seized drugs would result in a more accurate estimation of the benefits of seizures. As a starting point, an effective benefit life of six to nine months is suggested for seasonal and imported drugs. A benefit life of three to six months is plausible for locally produced synthetic drugs. Local knowledge should be preferred to the broad estimates given here, but these should be fully documented.</w:t>
      </w:r>
      <w:r w:rsidR="00F00DED">
        <w:rPr>
          <w:color w:val="000000" w:themeColor="text1"/>
        </w:rPr>
        <w:t xml:space="preserve"> Please see </w:t>
      </w:r>
      <w:r w:rsidR="00F00DED" w:rsidRPr="00965FEE">
        <w:rPr>
          <w:b/>
          <w:bCs/>
          <w:color w:val="000000" w:themeColor="text1"/>
        </w:rPr>
        <w:t>Appendix One</w:t>
      </w:r>
      <w:r w:rsidR="00F00DED">
        <w:rPr>
          <w:color w:val="000000" w:themeColor="text1"/>
        </w:rPr>
        <w:t xml:space="preserve"> for an example scenario.</w:t>
      </w:r>
    </w:p>
    <w:p w14:paraId="1DBDF0FF" w14:textId="4AE6F063" w:rsidR="00AC5F01" w:rsidRDefault="00AC5F01" w:rsidP="00CF5331">
      <w:pPr>
        <w:rPr>
          <w:color w:val="000000" w:themeColor="text1"/>
        </w:rPr>
      </w:pPr>
      <w:r w:rsidRPr="00BE55B8">
        <w:rPr>
          <w:color w:val="000000" w:themeColor="text1"/>
        </w:rPr>
        <w:t>The situation for treatment and education programmes is equally critical, and equally obscure. A reasonable estimate of the likely benefit life of an intervention needs to be based on evidence. The available evidence on recidivism among drug users that successfully complete a treatment programme is critical to an overall assessment</w:t>
      </w:r>
      <w:r w:rsidR="009A2202" w:rsidRPr="00BE55B8">
        <w:rPr>
          <w:color w:val="000000" w:themeColor="text1"/>
        </w:rPr>
        <w:t xml:space="preserve">, as is an awareness of substituting another illicit (or licit) substance for the substance where the treatment program was </w:t>
      </w:r>
      <w:r w:rsidR="00BE55B8" w:rsidRPr="00BE55B8">
        <w:rPr>
          <w:color w:val="000000" w:themeColor="text1"/>
        </w:rPr>
        <w:t>“</w:t>
      </w:r>
      <w:r w:rsidR="009A2202" w:rsidRPr="00BE55B8">
        <w:rPr>
          <w:color w:val="000000" w:themeColor="text1"/>
        </w:rPr>
        <w:t>successful</w:t>
      </w:r>
      <w:r w:rsidR="00BE55B8" w:rsidRPr="00BE55B8">
        <w:rPr>
          <w:color w:val="000000" w:themeColor="text1"/>
        </w:rPr>
        <w:t>”</w:t>
      </w:r>
      <w:r w:rsidR="009A2202" w:rsidRPr="00BE55B8">
        <w:rPr>
          <w:color w:val="000000" w:themeColor="text1"/>
        </w:rPr>
        <w:t>.</w:t>
      </w:r>
      <w:r w:rsidR="00B10ADE">
        <w:rPr>
          <w:color w:val="000000" w:themeColor="text1"/>
        </w:rPr>
        <w:t xml:space="preserve"> </w:t>
      </w:r>
      <w:r w:rsidRPr="00BE55B8">
        <w:rPr>
          <w:color w:val="000000" w:themeColor="text1"/>
        </w:rPr>
        <w:t>In short, the benefit life of an intervention is a necessary component of any evaluation, and the responsibility of individual researchers to provide a plausible estimate of its value.</w:t>
      </w:r>
      <w:r w:rsidR="009A2202" w:rsidRPr="00BE55B8">
        <w:rPr>
          <w:color w:val="000000" w:themeColor="text1"/>
        </w:rPr>
        <w:t xml:space="preserve"> As always, transparency is the key to </w:t>
      </w:r>
      <w:r w:rsidR="00BE55B8" w:rsidRPr="00BE55B8">
        <w:rPr>
          <w:color w:val="000000" w:themeColor="text1"/>
        </w:rPr>
        <w:t>good evaluation.</w:t>
      </w:r>
    </w:p>
    <w:p w14:paraId="1AD3359D" w14:textId="37163AD8" w:rsidR="00AC5F01" w:rsidRPr="00E44746" w:rsidRDefault="00AC5F01" w:rsidP="00CF5331">
      <w:pPr>
        <w:pStyle w:val="Heading2"/>
        <w:rPr>
          <w:color w:val="000000" w:themeColor="text1"/>
        </w:rPr>
      </w:pPr>
      <w:bookmarkStart w:id="12" w:name="_Toc445219668"/>
      <w:bookmarkStart w:id="13" w:name="_Toc95475385"/>
      <w:r w:rsidRPr="00E44746">
        <w:rPr>
          <w:color w:val="000000" w:themeColor="text1"/>
        </w:rPr>
        <w:t xml:space="preserve">Step </w:t>
      </w:r>
      <w:r w:rsidR="00767CAE">
        <w:rPr>
          <w:color w:val="000000" w:themeColor="text1"/>
        </w:rPr>
        <w:t>5</w:t>
      </w:r>
      <w:r w:rsidRPr="00E44746">
        <w:rPr>
          <w:color w:val="000000" w:themeColor="text1"/>
        </w:rPr>
        <w:t>. Measuring the costs of interventions</w:t>
      </w:r>
      <w:bookmarkEnd w:id="12"/>
      <w:bookmarkEnd w:id="13"/>
    </w:p>
    <w:p w14:paraId="63704484" w14:textId="3A3C36FB" w:rsidR="00AC5F01" w:rsidRPr="00E44746" w:rsidRDefault="00AC5F01" w:rsidP="00CF5331">
      <w:pPr>
        <w:rPr>
          <w:color w:val="000000" w:themeColor="text1"/>
        </w:rPr>
      </w:pPr>
      <w:r w:rsidRPr="00E44746">
        <w:rPr>
          <w:color w:val="000000" w:themeColor="text1"/>
        </w:rPr>
        <w:t>In general, most evaluations involve some type of benefit−cost analysis, whereby the benefits of the programme are presented as a ratio to the costs. For example, “The programme returns $5.50 for every dollar invested in it”. It is beyond the scope of this paper to define what should and should not be included in</w:t>
      </w:r>
      <w:r w:rsidR="009A2202">
        <w:rPr>
          <w:color w:val="000000" w:themeColor="text1"/>
        </w:rPr>
        <w:t xml:space="preserve"> these</w:t>
      </w:r>
      <w:r w:rsidRPr="00E44746">
        <w:rPr>
          <w:color w:val="000000" w:themeColor="text1"/>
        </w:rPr>
        <w:t xml:space="preserve"> costs. </w:t>
      </w:r>
      <w:r w:rsidR="006101D3">
        <w:rPr>
          <w:color w:val="000000" w:themeColor="text1"/>
        </w:rPr>
        <w:t>C</w:t>
      </w:r>
      <w:r w:rsidRPr="00E44746">
        <w:rPr>
          <w:color w:val="000000" w:themeColor="text1"/>
        </w:rPr>
        <w:t xml:space="preserve">osts should be precisely defined so that comparisons </w:t>
      </w:r>
      <w:r w:rsidR="00B10ADE">
        <w:rPr>
          <w:color w:val="000000" w:themeColor="text1"/>
        </w:rPr>
        <w:t xml:space="preserve">can be made </w:t>
      </w:r>
      <w:r w:rsidRPr="00E44746">
        <w:rPr>
          <w:color w:val="000000" w:themeColor="text1"/>
        </w:rPr>
        <w:t>between interventions or programmes</w:t>
      </w:r>
      <w:r w:rsidR="004F2DC8" w:rsidRPr="00E44746">
        <w:rPr>
          <w:color w:val="000000" w:themeColor="text1"/>
        </w:rPr>
        <w:t xml:space="preserve">. </w:t>
      </w:r>
      <w:r w:rsidRPr="00E44746">
        <w:rPr>
          <w:color w:val="000000" w:themeColor="text1"/>
        </w:rPr>
        <w:t>Given the DHI provides a level playing field for the comparison of benefits, a similar attempt at a uniform methodology for the estimation of costs is highly recommended. As far as government services are concerned, it would be useful to have advice from a central agency on this issue. In the absence of such advice, government agencies should at least adopt a uniform approach within their own sphere of activity.</w:t>
      </w:r>
      <w:r w:rsidR="005424B5">
        <w:rPr>
          <w:color w:val="000000" w:themeColor="text1"/>
        </w:rPr>
        <w:t xml:space="preserve"> Some examples of evaluation interventions can be found in </w:t>
      </w:r>
      <w:r w:rsidR="005424B5" w:rsidRPr="00965FEE">
        <w:rPr>
          <w:b/>
          <w:bCs/>
          <w:color w:val="000000" w:themeColor="text1"/>
        </w:rPr>
        <w:t>Appendix One</w:t>
      </w:r>
      <w:r w:rsidR="005424B5">
        <w:rPr>
          <w:color w:val="000000" w:themeColor="text1"/>
        </w:rPr>
        <w:t>.</w:t>
      </w:r>
    </w:p>
    <w:p w14:paraId="42106289" w14:textId="77777777" w:rsidR="00965FEE" w:rsidRDefault="00965FEE">
      <w:pPr>
        <w:spacing w:before="0" w:line="240" w:lineRule="auto"/>
        <w:rPr>
          <w:b/>
          <w:color w:val="000000" w:themeColor="text1"/>
          <w:sz w:val="36"/>
        </w:rPr>
      </w:pPr>
      <w:bookmarkStart w:id="14" w:name="_Toc445219669"/>
      <w:r>
        <w:rPr>
          <w:color w:val="000000" w:themeColor="text1"/>
        </w:rPr>
        <w:br w:type="page"/>
      </w:r>
    </w:p>
    <w:p w14:paraId="00E30BCD" w14:textId="1BC079E1" w:rsidR="00AC5F01" w:rsidRPr="00E44746" w:rsidRDefault="006101D3" w:rsidP="00CF5331">
      <w:pPr>
        <w:pStyle w:val="Heading1"/>
        <w:rPr>
          <w:color w:val="000000" w:themeColor="text1"/>
        </w:rPr>
      </w:pPr>
      <w:bookmarkStart w:id="15" w:name="_Toc95475386"/>
      <w:r w:rsidRPr="00E44746">
        <w:rPr>
          <w:color w:val="000000" w:themeColor="text1"/>
        </w:rPr>
        <w:lastRenderedPageBreak/>
        <w:t xml:space="preserve">Closing </w:t>
      </w:r>
      <w:r>
        <w:rPr>
          <w:color w:val="000000" w:themeColor="text1"/>
        </w:rPr>
        <w:t>c</w:t>
      </w:r>
      <w:r w:rsidRPr="00E44746">
        <w:rPr>
          <w:color w:val="000000" w:themeColor="text1"/>
        </w:rPr>
        <w:t>omments</w:t>
      </w:r>
      <w:bookmarkEnd w:id="14"/>
      <w:bookmarkEnd w:id="15"/>
    </w:p>
    <w:p w14:paraId="21485885" w14:textId="6E7606C6" w:rsidR="00AC5F01" w:rsidRPr="00E44746" w:rsidRDefault="00AC5F01" w:rsidP="00CF5331">
      <w:pPr>
        <w:rPr>
          <w:bCs/>
          <w:color w:val="000000" w:themeColor="text1"/>
        </w:rPr>
      </w:pPr>
      <w:r w:rsidRPr="00E44746">
        <w:rPr>
          <w:bCs/>
          <w:color w:val="000000" w:themeColor="text1"/>
        </w:rPr>
        <w:t>In the end, an emphasis on clarity and transparency in evaluating programmes and interventions is essential if we wish to compare the cost effectiveness of various interventions and provide an evidence base for future policy development. The DHI itself should not be seen as a limiting factor. If better sources of the costs associated with drug harms become available, then the DHI should be updated accordingly</w:t>
      </w:r>
      <w:r w:rsidR="00E44746" w:rsidRPr="00E44746">
        <w:rPr>
          <w:bCs/>
          <w:color w:val="000000" w:themeColor="text1"/>
        </w:rPr>
        <w:t xml:space="preserve"> (as has been done in the 2020 version)</w:t>
      </w:r>
      <w:r w:rsidRPr="00E44746">
        <w:rPr>
          <w:bCs/>
          <w:color w:val="000000" w:themeColor="text1"/>
        </w:rPr>
        <w:t>. The emphasis is on development and the adaptability of our response to a constantly changing illicit drug market.</w:t>
      </w:r>
    </w:p>
    <w:p w14:paraId="6F789DC3" w14:textId="4CECD80D" w:rsidR="00AC5F01" w:rsidRPr="00E44746" w:rsidRDefault="00AC5F01" w:rsidP="00CF5331">
      <w:pPr>
        <w:rPr>
          <w:bCs/>
          <w:color w:val="000000" w:themeColor="text1"/>
        </w:rPr>
      </w:pPr>
      <w:r w:rsidRPr="00E44746">
        <w:rPr>
          <w:bCs/>
          <w:color w:val="000000" w:themeColor="text1"/>
        </w:rPr>
        <w:t xml:space="preserve">The main obstacle, both in New Zealand and globally, to the development of best practice interventions and evidence-based policy is the lack of available and valid data sets. It was the aim of the DHI </w:t>
      </w:r>
      <w:r w:rsidR="006B47B0" w:rsidRPr="00E44746">
        <w:rPr>
          <w:bCs/>
          <w:color w:val="000000" w:themeColor="text1"/>
        </w:rPr>
        <w:t xml:space="preserve">2020 </w:t>
      </w:r>
      <w:r w:rsidRPr="00E44746">
        <w:rPr>
          <w:bCs/>
          <w:color w:val="000000" w:themeColor="text1"/>
        </w:rPr>
        <w:t>to contribute to that evidence base. There are limitations, however</w:t>
      </w:r>
      <w:r w:rsidR="00CD774F">
        <w:rPr>
          <w:bCs/>
          <w:color w:val="000000" w:themeColor="text1"/>
        </w:rPr>
        <w:t>, as t</w:t>
      </w:r>
      <w:r w:rsidRPr="00E44746">
        <w:rPr>
          <w:bCs/>
          <w:color w:val="000000" w:themeColor="text1"/>
        </w:rPr>
        <w:t>he major restriction on any work in the area is that drug trafficking is illegal. Collecting information on drug prevalence is an attempt to gauge an illegal activity and, as with all illegal activities, there are obvious barriers to this collection. The measurement of specific harm is often beset with similar problems. As always, caution is advised in interpreting the results.</w:t>
      </w:r>
    </w:p>
    <w:p w14:paraId="01493712" w14:textId="39250861" w:rsidR="00AC5F01" w:rsidRDefault="00AC5F01" w:rsidP="00CF5331">
      <w:pPr>
        <w:rPr>
          <w:bCs/>
          <w:color w:val="000000" w:themeColor="text1"/>
        </w:rPr>
      </w:pPr>
      <w:r w:rsidRPr="00E44746">
        <w:rPr>
          <w:bCs/>
          <w:color w:val="000000" w:themeColor="text1"/>
        </w:rPr>
        <w:t xml:space="preserve">The DHI </w:t>
      </w:r>
      <w:r w:rsidR="006B47B0" w:rsidRPr="00E44746">
        <w:rPr>
          <w:bCs/>
          <w:color w:val="000000" w:themeColor="text1"/>
        </w:rPr>
        <w:t xml:space="preserve">2020 </w:t>
      </w:r>
      <w:r w:rsidRPr="00E44746">
        <w:rPr>
          <w:bCs/>
          <w:color w:val="000000" w:themeColor="text1"/>
        </w:rPr>
        <w:t xml:space="preserve">attempted to address these issues by using conservative estimates of key parameters and by verifying these, where possible, against other data sources. Every effort was made to ensure the new DHI is transparent. The </w:t>
      </w:r>
      <w:r w:rsidR="000C511E" w:rsidRPr="00E44746">
        <w:rPr>
          <w:bCs/>
          <w:color w:val="000000" w:themeColor="text1"/>
        </w:rPr>
        <w:t>2020</w:t>
      </w:r>
      <w:r w:rsidRPr="00E44746">
        <w:rPr>
          <w:bCs/>
          <w:color w:val="000000" w:themeColor="text1"/>
        </w:rPr>
        <w:t xml:space="preserve"> DHI was constructed as a living document that can be updated according to need. As such, the development of the DHI will never be finalised </w:t>
      </w:r>
      <w:r w:rsidR="00F05EA2">
        <w:rPr>
          <w:bCs/>
          <w:color w:val="000000" w:themeColor="text1"/>
        </w:rPr>
        <w:t>so</w:t>
      </w:r>
      <w:r w:rsidRPr="00E44746">
        <w:rPr>
          <w:bCs/>
          <w:color w:val="000000" w:themeColor="text1"/>
        </w:rPr>
        <w:t xml:space="preserve"> long as users, illicit substances and drug markets continue to evolve. It is hoped, however, that by managing a changing environment the DHI will maintain its relevance and value in the policy-making process.</w:t>
      </w:r>
    </w:p>
    <w:p w14:paraId="70B2DE8A" w14:textId="19104966" w:rsidR="005424B5" w:rsidRDefault="005424B5">
      <w:pPr>
        <w:spacing w:before="0" w:line="240" w:lineRule="auto"/>
        <w:rPr>
          <w:bCs/>
          <w:color w:val="000000" w:themeColor="text1"/>
        </w:rPr>
      </w:pPr>
      <w:r>
        <w:rPr>
          <w:bCs/>
          <w:color w:val="000000" w:themeColor="text1"/>
        </w:rPr>
        <w:br w:type="page"/>
      </w:r>
    </w:p>
    <w:p w14:paraId="5B4CB2D6" w14:textId="77777777" w:rsidR="00965FEE" w:rsidRPr="00E44746" w:rsidRDefault="00965FEE" w:rsidP="00965FEE">
      <w:pPr>
        <w:pStyle w:val="Heading1"/>
        <w:rPr>
          <w:color w:val="000000" w:themeColor="text1"/>
        </w:rPr>
      </w:pPr>
      <w:bookmarkStart w:id="16" w:name="_Toc95475387"/>
      <w:bookmarkStart w:id="17" w:name="_Hlk65849344"/>
      <w:r>
        <w:rPr>
          <w:color w:val="000000" w:themeColor="text1"/>
        </w:rPr>
        <w:lastRenderedPageBreak/>
        <w:t>Appendix One</w:t>
      </w:r>
      <w:bookmarkEnd w:id="16"/>
    </w:p>
    <w:p w14:paraId="2875B0DB" w14:textId="77777777" w:rsidR="00965FEE" w:rsidRPr="005424B5" w:rsidRDefault="00965FEE" w:rsidP="00965FEE">
      <w:pPr>
        <w:rPr>
          <w:bCs/>
          <w:color w:val="000000" w:themeColor="text1"/>
        </w:rPr>
      </w:pPr>
      <w:r>
        <w:rPr>
          <w:bCs/>
          <w:color w:val="000000" w:themeColor="text1"/>
        </w:rPr>
        <w:t>T</w:t>
      </w:r>
      <w:r w:rsidRPr="005424B5">
        <w:rPr>
          <w:bCs/>
          <w:color w:val="000000" w:themeColor="text1"/>
        </w:rPr>
        <w:t>he DHI</w:t>
      </w:r>
      <w:r>
        <w:rPr>
          <w:bCs/>
          <w:color w:val="000000" w:themeColor="text1"/>
        </w:rPr>
        <w:t xml:space="preserve"> 2020</w:t>
      </w:r>
      <w:r w:rsidRPr="005424B5">
        <w:rPr>
          <w:bCs/>
          <w:color w:val="000000" w:themeColor="text1"/>
        </w:rPr>
        <w:t xml:space="preserve"> can be used to conduct evaluations of specific interventions using methodologies familiar in social and health research. The typical study will generate a Return-on-Investment estimate being the ratio of estimated benefits of an intervention compared to its costs.</w:t>
      </w:r>
    </w:p>
    <w:p w14:paraId="460E97BA" w14:textId="77777777" w:rsidR="00965FEE" w:rsidRPr="005424B5" w:rsidRDefault="00965FEE" w:rsidP="00965FEE">
      <w:pPr>
        <w:rPr>
          <w:bCs/>
          <w:color w:val="000000" w:themeColor="text1"/>
        </w:rPr>
      </w:pPr>
      <w:r w:rsidRPr="005424B5">
        <w:rPr>
          <w:bCs/>
          <w:color w:val="000000" w:themeColor="text1"/>
        </w:rPr>
        <w:t>This can be done on several levels and, as noted above, will employ a variety of methods and techniques which can make direct comparison between studies difficult. The use of an agreed outcome measure such as the DHI resolves these difficulties at least at the output level. There remains a need to adopt a uniform method for assessing the cost of an intervention. Treasury has from time to time issued guidance on how to evaluate costs and such guidance should form the basis of cost estimates. If we wish to compare across studies, both benefits and costs must be based on a comparable methodology.</w:t>
      </w:r>
    </w:p>
    <w:p w14:paraId="38DF9010" w14:textId="77777777" w:rsidR="00965FEE" w:rsidRPr="005424B5" w:rsidRDefault="00965FEE" w:rsidP="00965FEE">
      <w:pPr>
        <w:rPr>
          <w:bCs/>
          <w:color w:val="000000" w:themeColor="text1"/>
        </w:rPr>
      </w:pPr>
      <w:r>
        <w:rPr>
          <w:bCs/>
          <w:color w:val="000000" w:themeColor="text1"/>
        </w:rPr>
        <w:t>The below</w:t>
      </w:r>
      <w:r w:rsidRPr="005424B5">
        <w:rPr>
          <w:bCs/>
          <w:color w:val="000000" w:themeColor="text1"/>
        </w:rPr>
        <w:t xml:space="preserve"> examples </w:t>
      </w:r>
      <w:r>
        <w:rPr>
          <w:bCs/>
          <w:color w:val="000000" w:themeColor="text1"/>
        </w:rPr>
        <w:t>are separated into s</w:t>
      </w:r>
      <w:r w:rsidRPr="005424B5">
        <w:rPr>
          <w:bCs/>
          <w:color w:val="000000" w:themeColor="text1"/>
        </w:rPr>
        <w:t>tudies that look at the overall effectiveness of interventions and studies that measure the relative effectiveness of components of the intervention to the outcome.</w:t>
      </w:r>
    </w:p>
    <w:p w14:paraId="73A69950" w14:textId="77777777" w:rsidR="00965FEE" w:rsidRPr="005424B5" w:rsidRDefault="00965FEE" w:rsidP="00965FEE">
      <w:pPr>
        <w:pStyle w:val="Heading2"/>
      </w:pPr>
      <w:bookmarkStart w:id="18" w:name="_Toc95475388"/>
      <w:r w:rsidRPr="005424B5">
        <w:t>Evaluations of overall effectiveness</w:t>
      </w:r>
      <w:bookmarkEnd w:id="18"/>
    </w:p>
    <w:p w14:paraId="59549AA8" w14:textId="77777777" w:rsidR="00965FEE" w:rsidRPr="00F00DED" w:rsidRDefault="00965FEE" w:rsidP="00965FEE">
      <w:pPr>
        <w:rPr>
          <w:bCs/>
          <w:i/>
          <w:iCs/>
          <w:color w:val="000000" w:themeColor="text1"/>
          <w:sz w:val="24"/>
          <w:szCs w:val="22"/>
        </w:rPr>
      </w:pPr>
      <w:r w:rsidRPr="00F00DED">
        <w:rPr>
          <w:bCs/>
          <w:i/>
          <w:iCs/>
          <w:color w:val="000000" w:themeColor="text1"/>
          <w:sz w:val="24"/>
          <w:szCs w:val="22"/>
        </w:rPr>
        <w:t xml:space="preserve">Treatment </w:t>
      </w:r>
      <w:r>
        <w:rPr>
          <w:bCs/>
          <w:i/>
          <w:iCs/>
          <w:color w:val="000000" w:themeColor="text1"/>
          <w:sz w:val="24"/>
          <w:szCs w:val="22"/>
        </w:rPr>
        <w:t>s</w:t>
      </w:r>
      <w:r w:rsidRPr="00F00DED">
        <w:rPr>
          <w:bCs/>
          <w:i/>
          <w:iCs/>
          <w:color w:val="000000" w:themeColor="text1"/>
          <w:sz w:val="24"/>
          <w:szCs w:val="22"/>
        </w:rPr>
        <w:t>ervices</w:t>
      </w:r>
    </w:p>
    <w:p w14:paraId="1DBDFDF8" w14:textId="77777777" w:rsidR="00965FEE" w:rsidRDefault="00965FEE" w:rsidP="00965FEE">
      <w:pPr>
        <w:rPr>
          <w:bCs/>
          <w:color w:val="000000" w:themeColor="text1"/>
        </w:rPr>
      </w:pPr>
      <w:r>
        <w:rPr>
          <w:bCs/>
          <w:color w:val="000000" w:themeColor="text1"/>
        </w:rPr>
        <w:t>T</w:t>
      </w:r>
      <w:r w:rsidRPr="005424B5">
        <w:rPr>
          <w:bCs/>
          <w:color w:val="000000" w:themeColor="text1"/>
        </w:rPr>
        <w:t>his would involve a before- and after-treatment comparison</w:t>
      </w:r>
      <w:r>
        <w:rPr>
          <w:bCs/>
          <w:color w:val="000000" w:themeColor="text1"/>
        </w:rPr>
        <w:t>, either following an actual episode of care (Example 1) or to compare potential / proposed treatment services (Example 2).</w:t>
      </w:r>
    </w:p>
    <w:p w14:paraId="1CC4CBE4" w14:textId="77777777" w:rsidR="00965FEE" w:rsidRPr="00AD38F4" w:rsidRDefault="00965FEE" w:rsidP="00965FEE">
      <w:pPr>
        <w:rPr>
          <w:bCs/>
          <w:color w:val="000000" w:themeColor="text1"/>
          <w:u w:val="single"/>
        </w:rPr>
      </w:pPr>
      <w:r w:rsidRPr="00AD38F4">
        <w:rPr>
          <w:bCs/>
          <w:color w:val="000000" w:themeColor="text1"/>
          <w:u w:val="single"/>
        </w:rPr>
        <w:t>Example 1</w:t>
      </w:r>
    </w:p>
    <w:p w14:paraId="44CEB787" w14:textId="77777777" w:rsidR="00965FEE" w:rsidRPr="00AD38F4" w:rsidRDefault="00965FEE" w:rsidP="00965FEE">
      <w:pPr>
        <w:pStyle w:val="ListParagraph"/>
        <w:numPr>
          <w:ilvl w:val="0"/>
          <w:numId w:val="19"/>
        </w:numPr>
        <w:ind w:left="714" w:hanging="357"/>
        <w:contextualSpacing w:val="0"/>
        <w:rPr>
          <w:bCs/>
          <w:color w:val="000000" w:themeColor="text1"/>
        </w:rPr>
      </w:pPr>
      <w:r>
        <w:rPr>
          <w:bCs/>
          <w:color w:val="000000" w:themeColor="text1"/>
        </w:rPr>
        <w:t>X number of</w:t>
      </w:r>
      <w:r w:rsidRPr="00AD38F4">
        <w:rPr>
          <w:bCs/>
          <w:color w:val="000000" w:themeColor="text1"/>
        </w:rPr>
        <w:t xml:space="preserve"> people</w:t>
      </w:r>
      <w:r>
        <w:rPr>
          <w:bCs/>
          <w:color w:val="000000" w:themeColor="text1"/>
        </w:rPr>
        <w:t xml:space="preserve"> start a treatment programme with </w:t>
      </w:r>
      <w:r w:rsidRPr="00AD38F4">
        <w:rPr>
          <w:bCs/>
          <w:color w:val="000000" w:themeColor="text1"/>
        </w:rPr>
        <w:t xml:space="preserve">methamphetamine </w:t>
      </w:r>
      <w:r>
        <w:rPr>
          <w:bCs/>
          <w:color w:val="000000" w:themeColor="text1"/>
        </w:rPr>
        <w:t>a</w:t>
      </w:r>
      <w:r w:rsidRPr="00AD38F4">
        <w:rPr>
          <w:bCs/>
          <w:color w:val="000000" w:themeColor="text1"/>
        </w:rPr>
        <w:t>s their main substance of concern</w:t>
      </w:r>
      <w:r>
        <w:rPr>
          <w:bCs/>
          <w:color w:val="000000" w:themeColor="text1"/>
        </w:rPr>
        <w:t>.</w:t>
      </w:r>
    </w:p>
    <w:p w14:paraId="49639DBE" w14:textId="77777777" w:rsidR="00965FEE" w:rsidRPr="00AD38F4" w:rsidRDefault="00965FEE" w:rsidP="00965FEE">
      <w:pPr>
        <w:pStyle w:val="ListParagraph"/>
        <w:numPr>
          <w:ilvl w:val="0"/>
          <w:numId w:val="19"/>
        </w:numPr>
        <w:ind w:left="714" w:hanging="357"/>
        <w:contextualSpacing w:val="0"/>
        <w:rPr>
          <w:bCs/>
          <w:color w:val="000000" w:themeColor="text1"/>
        </w:rPr>
      </w:pPr>
      <w:r w:rsidRPr="00AD38F4">
        <w:rPr>
          <w:bCs/>
          <w:color w:val="000000" w:themeColor="text1"/>
        </w:rPr>
        <w:t xml:space="preserve">ADOM collections could be used to determine consumption levels before treatment and after the treatment programme ended (recorded in ADOM collections as “days of use”). Alternatively, a </w:t>
      </w:r>
      <w:r>
        <w:rPr>
          <w:bCs/>
          <w:color w:val="000000" w:themeColor="text1"/>
        </w:rPr>
        <w:t xml:space="preserve">separate </w:t>
      </w:r>
      <w:r w:rsidRPr="00AD38F4">
        <w:rPr>
          <w:bCs/>
          <w:color w:val="000000" w:themeColor="text1"/>
        </w:rPr>
        <w:t xml:space="preserve">survey could be used to collect information on consumption volumes before the treatment and after the treatment program started. Participants could be then contacted every 12 months for the next five years. Alternatively, previous </w:t>
      </w:r>
      <w:r>
        <w:rPr>
          <w:bCs/>
          <w:color w:val="000000" w:themeColor="text1"/>
        </w:rPr>
        <w:t>reporting</w:t>
      </w:r>
      <w:r w:rsidRPr="00AD38F4">
        <w:rPr>
          <w:bCs/>
          <w:color w:val="000000" w:themeColor="text1"/>
        </w:rPr>
        <w:t xml:space="preserve"> on drug consumption prior to treatment and consumption post-treatment could be used to provide</w:t>
      </w:r>
      <w:r>
        <w:rPr>
          <w:bCs/>
          <w:color w:val="000000" w:themeColor="text1"/>
        </w:rPr>
        <w:t xml:space="preserve"> data.</w:t>
      </w:r>
    </w:p>
    <w:p w14:paraId="0DA76ADA" w14:textId="77777777" w:rsidR="00965FEE" w:rsidRPr="00AD38F4" w:rsidRDefault="00965FEE" w:rsidP="00965FEE">
      <w:pPr>
        <w:pStyle w:val="ListParagraph"/>
        <w:numPr>
          <w:ilvl w:val="0"/>
          <w:numId w:val="19"/>
        </w:numPr>
        <w:ind w:left="714" w:hanging="357"/>
        <w:contextualSpacing w:val="0"/>
        <w:rPr>
          <w:bCs/>
          <w:color w:val="000000" w:themeColor="text1"/>
        </w:rPr>
      </w:pPr>
      <w:r w:rsidRPr="00AD38F4">
        <w:rPr>
          <w:bCs/>
          <w:color w:val="000000" w:themeColor="text1"/>
        </w:rPr>
        <w:t>The reduction in harm is equivalent to ((Initial</w:t>
      </w:r>
      <w:r>
        <w:rPr>
          <w:bCs/>
          <w:color w:val="000000" w:themeColor="text1"/>
        </w:rPr>
        <w:t xml:space="preserve"> </w:t>
      </w:r>
      <w:r w:rsidRPr="00AD38F4">
        <w:rPr>
          <w:bCs/>
          <w:color w:val="000000" w:themeColor="text1"/>
        </w:rPr>
        <w:t>Consumption</w:t>
      </w:r>
      <w:r>
        <w:rPr>
          <w:bCs/>
          <w:color w:val="000000" w:themeColor="text1"/>
        </w:rPr>
        <w:t xml:space="preserve"> (kg)</w:t>
      </w:r>
      <w:r w:rsidRPr="00AD38F4">
        <w:rPr>
          <w:bCs/>
          <w:color w:val="000000" w:themeColor="text1"/>
        </w:rPr>
        <w:t xml:space="preserve"> – Consumption</w:t>
      </w:r>
      <w:r>
        <w:rPr>
          <w:bCs/>
          <w:color w:val="000000" w:themeColor="text1"/>
        </w:rPr>
        <w:t xml:space="preserve"> P</w:t>
      </w:r>
      <w:r w:rsidRPr="00AD38F4">
        <w:rPr>
          <w:bCs/>
          <w:color w:val="000000" w:themeColor="text1"/>
        </w:rPr>
        <w:t>ost</w:t>
      </w:r>
      <w:r>
        <w:rPr>
          <w:bCs/>
          <w:color w:val="000000" w:themeColor="text1"/>
        </w:rPr>
        <w:t xml:space="preserve"> T</w:t>
      </w:r>
      <w:r w:rsidRPr="00AD38F4">
        <w:rPr>
          <w:bCs/>
          <w:color w:val="000000" w:themeColor="text1"/>
        </w:rPr>
        <w:t>reatment</w:t>
      </w:r>
      <w:r>
        <w:rPr>
          <w:bCs/>
          <w:color w:val="000000" w:themeColor="text1"/>
        </w:rPr>
        <w:t xml:space="preserve"> (kg)</w:t>
      </w:r>
      <w:r w:rsidRPr="00AD38F4">
        <w:rPr>
          <w:bCs/>
          <w:color w:val="000000" w:themeColor="text1"/>
        </w:rPr>
        <w:t xml:space="preserve">) x </w:t>
      </w:r>
      <w:r>
        <w:rPr>
          <w:bCs/>
          <w:color w:val="000000" w:themeColor="text1"/>
        </w:rPr>
        <w:t>DHI S</w:t>
      </w:r>
      <w:r w:rsidRPr="00AD38F4">
        <w:rPr>
          <w:bCs/>
          <w:color w:val="000000" w:themeColor="text1"/>
        </w:rPr>
        <w:t xml:space="preserve">ocial </w:t>
      </w:r>
      <w:r>
        <w:rPr>
          <w:bCs/>
          <w:color w:val="000000" w:themeColor="text1"/>
        </w:rPr>
        <w:t>C</w:t>
      </w:r>
      <w:r w:rsidRPr="00AD38F4">
        <w:rPr>
          <w:bCs/>
          <w:color w:val="000000" w:themeColor="text1"/>
        </w:rPr>
        <w:t xml:space="preserve">ost of </w:t>
      </w:r>
      <w:r>
        <w:rPr>
          <w:bCs/>
          <w:color w:val="000000" w:themeColor="text1"/>
        </w:rPr>
        <w:t>M</w:t>
      </w:r>
      <w:r w:rsidRPr="00AD38F4">
        <w:rPr>
          <w:bCs/>
          <w:color w:val="000000" w:themeColor="text1"/>
        </w:rPr>
        <w:t xml:space="preserve">ethamphetamine-related </w:t>
      </w:r>
      <w:r>
        <w:rPr>
          <w:bCs/>
          <w:color w:val="000000" w:themeColor="text1"/>
        </w:rPr>
        <w:t>H</w:t>
      </w:r>
      <w:r w:rsidRPr="00AD38F4">
        <w:rPr>
          <w:bCs/>
          <w:color w:val="000000" w:themeColor="text1"/>
        </w:rPr>
        <w:t>arm</w:t>
      </w:r>
      <w:r>
        <w:rPr>
          <w:bCs/>
          <w:color w:val="000000" w:themeColor="text1"/>
        </w:rPr>
        <w:t xml:space="preserve"> per Kilogram</w:t>
      </w:r>
      <w:r w:rsidRPr="00AD38F4">
        <w:rPr>
          <w:bCs/>
          <w:color w:val="000000" w:themeColor="text1"/>
        </w:rPr>
        <w:t xml:space="preserve">) adjusted for exposure time. The cost is the </w:t>
      </w:r>
      <w:r>
        <w:rPr>
          <w:bCs/>
          <w:color w:val="000000" w:themeColor="text1"/>
        </w:rPr>
        <w:t xml:space="preserve">actual </w:t>
      </w:r>
      <w:r w:rsidRPr="00AD38F4">
        <w:rPr>
          <w:bCs/>
          <w:color w:val="000000" w:themeColor="text1"/>
        </w:rPr>
        <w:t xml:space="preserve">cost of the treatment program. The return on investment (ROI) is the harm reduction divided by the cost. </w:t>
      </w:r>
    </w:p>
    <w:p w14:paraId="6ABAE517" w14:textId="77777777" w:rsidR="00965FEE" w:rsidRPr="00AD38F4" w:rsidRDefault="00965FEE" w:rsidP="00965FEE">
      <w:pPr>
        <w:pStyle w:val="ListParagraph"/>
        <w:numPr>
          <w:ilvl w:val="0"/>
          <w:numId w:val="19"/>
        </w:numPr>
        <w:ind w:left="714" w:hanging="357"/>
        <w:contextualSpacing w:val="0"/>
        <w:rPr>
          <w:bCs/>
          <w:color w:val="000000" w:themeColor="text1"/>
        </w:rPr>
      </w:pPr>
      <w:r w:rsidRPr="00AD38F4">
        <w:rPr>
          <w:bCs/>
          <w:color w:val="000000" w:themeColor="text1"/>
        </w:rPr>
        <w:t>There may be various adjustments to be made for those who did not reach the end of their treatment episode, as well as for polydrug use. Traditional medical research would employ a treatment versus control group design. In the case of illicit drug use, there would be ethical considerations in adopting such a paradigm.</w:t>
      </w:r>
    </w:p>
    <w:p w14:paraId="16A9D575" w14:textId="77777777" w:rsidR="00965FEE" w:rsidRDefault="00965FEE" w:rsidP="00965FEE">
      <w:pPr>
        <w:rPr>
          <w:bCs/>
          <w:color w:val="000000" w:themeColor="text1"/>
          <w:u w:val="single"/>
        </w:rPr>
      </w:pPr>
    </w:p>
    <w:p w14:paraId="0DADF6A6" w14:textId="77777777" w:rsidR="00965FEE" w:rsidRDefault="00965FEE" w:rsidP="00965FEE">
      <w:pPr>
        <w:rPr>
          <w:bCs/>
          <w:color w:val="000000" w:themeColor="text1"/>
          <w:u w:val="single"/>
        </w:rPr>
      </w:pPr>
    </w:p>
    <w:p w14:paraId="1EF39087" w14:textId="0C6EB1F7" w:rsidR="00965FEE" w:rsidRPr="00AD38F4" w:rsidRDefault="00965FEE" w:rsidP="00965FEE">
      <w:pPr>
        <w:rPr>
          <w:bCs/>
          <w:color w:val="000000" w:themeColor="text1"/>
          <w:u w:val="single"/>
        </w:rPr>
      </w:pPr>
      <w:r w:rsidRPr="00AD38F4">
        <w:rPr>
          <w:bCs/>
          <w:color w:val="000000" w:themeColor="text1"/>
          <w:u w:val="single"/>
        </w:rPr>
        <w:lastRenderedPageBreak/>
        <w:t xml:space="preserve">Example </w:t>
      </w:r>
      <w:r>
        <w:rPr>
          <w:bCs/>
          <w:color w:val="000000" w:themeColor="text1"/>
          <w:u w:val="single"/>
        </w:rPr>
        <w:t>2</w:t>
      </w:r>
    </w:p>
    <w:p w14:paraId="00FC5779" w14:textId="77777777" w:rsidR="00965FEE" w:rsidRPr="00C37EE6" w:rsidRDefault="00965FEE" w:rsidP="00965FEE">
      <w:pPr>
        <w:pStyle w:val="ListParagraph"/>
        <w:numPr>
          <w:ilvl w:val="0"/>
          <w:numId w:val="20"/>
        </w:numPr>
        <w:contextualSpacing w:val="0"/>
        <w:rPr>
          <w:bCs/>
          <w:color w:val="000000" w:themeColor="text1"/>
        </w:rPr>
      </w:pPr>
      <w:r w:rsidRPr="00C37EE6">
        <w:rPr>
          <w:bCs/>
          <w:color w:val="000000" w:themeColor="text1"/>
        </w:rPr>
        <w:t xml:space="preserve">A proposed treatment services </w:t>
      </w:r>
      <w:r>
        <w:rPr>
          <w:bCs/>
          <w:color w:val="000000" w:themeColor="text1"/>
        </w:rPr>
        <w:t>has the capacity to</w:t>
      </w:r>
      <w:r w:rsidRPr="00C37EE6">
        <w:rPr>
          <w:bCs/>
          <w:color w:val="000000" w:themeColor="text1"/>
        </w:rPr>
        <w:t xml:space="preserve"> treat </w:t>
      </w:r>
      <w:r>
        <w:rPr>
          <w:bCs/>
          <w:color w:val="000000" w:themeColor="text1"/>
        </w:rPr>
        <w:t>X number of</w:t>
      </w:r>
      <w:r w:rsidRPr="00C37EE6">
        <w:rPr>
          <w:bCs/>
          <w:color w:val="000000" w:themeColor="text1"/>
        </w:rPr>
        <w:t xml:space="preserve"> people</w:t>
      </w:r>
      <w:r>
        <w:rPr>
          <w:bCs/>
          <w:color w:val="000000" w:themeColor="text1"/>
        </w:rPr>
        <w:t>.</w:t>
      </w:r>
    </w:p>
    <w:p w14:paraId="6BB47AEC" w14:textId="77777777" w:rsidR="00965FEE" w:rsidRPr="00AD38F4" w:rsidRDefault="00965FEE" w:rsidP="00965FEE">
      <w:pPr>
        <w:pStyle w:val="ListParagraph"/>
        <w:numPr>
          <w:ilvl w:val="0"/>
          <w:numId w:val="20"/>
        </w:numPr>
        <w:ind w:left="714" w:hanging="357"/>
        <w:contextualSpacing w:val="0"/>
        <w:rPr>
          <w:bCs/>
          <w:color w:val="000000" w:themeColor="text1"/>
        </w:rPr>
      </w:pPr>
      <w:r>
        <w:rPr>
          <w:bCs/>
          <w:color w:val="000000" w:themeColor="text1"/>
        </w:rPr>
        <w:t>P</w:t>
      </w:r>
      <w:r w:rsidRPr="00AD38F4">
        <w:rPr>
          <w:bCs/>
          <w:color w:val="000000" w:themeColor="text1"/>
        </w:rPr>
        <w:t xml:space="preserve">revious </w:t>
      </w:r>
      <w:r>
        <w:rPr>
          <w:bCs/>
          <w:color w:val="000000" w:themeColor="text1"/>
        </w:rPr>
        <w:t>reporting</w:t>
      </w:r>
      <w:r w:rsidRPr="00AD38F4">
        <w:rPr>
          <w:bCs/>
          <w:color w:val="000000" w:themeColor="text1"/>
        </w:rPr>
        <w:t xml:space="preserve"> on drug consumption prior to treatment and consumption post-treatment could be used</w:t>
      </w:r>
      <w:r>
        <w:rPr>
          <w:bCs/>
          <w:color w:val="000000" w:themeColor="text1"/>
        </w:rPr>
        <w:t xml:space="preserve"> to estimate consumption prior to and after the completion of treatment. This could be drug specific (if the treatment service is intended to be drug specific) or it could be distributed using ADOM start collections data.</w:t>
      </w:r>
    </w:p>
    <w:p w14:paraId="05DC91E5" w14:textId="77777777" w:rsidR="00965FEE" w:rsidRPr="00AD38F4" w:rsidRDefault="00965FEE" w:rsidP="00965FEE">
      <w:pPr>
        <w:pStyle w:val="ListParagraph"/>
        <w:numPr>
          <w:ilvl w:val="0"/>
          <w:numId w:val="20"/>
        </w:numPr>
        <w:ind w:left="714" w:hanging="357"/>
        <w:contextualSpacing w:val="0"/>
        <w:rPr>
          <w:bCs/>
          <w:color w:val="000000" w:themeColor="text1"/>
        </w:rPr>
      </w:pPr>
      <w:r w:rsidRPr="00AD38F4">
        <w:rPr>
          <w:bCs/>
          <w:color w:val="000000" w:themeColor="text1"/>
        </w:rPr>
        <w:t>The reduction in harm is equivalent to ((</w:t>
      </w:r>
      <w:r>
        <w:rPr>
          <w:bCs/>
          <w:color w:val="000000" w:themeColor="text1"/>
        </w:rPr>
        <w:t xml:space="preserve">Estimated </w:t>
      </w:r>
      <w:r w:rsidRPr="00AD38F4">
        <w:rPr>
          <w:bCs/>
          <w:color w:val="000000" w:themeColor="text1"/>
        </w:rPr>
        <w:t>Initial</w:t>
      </w:r>
      <w:r>
        <w:rPr>
          <w:bCs/>
          <w:color w:val="000000" w:themeColor="text1"/>
        </w:rPr>
        <w:t xml:space="preserve"> </w:t>
      </w:r>
      <w:r w:rsidRPr="00AD38F4">
        <w:rPr>
          <w:bCs/>
          <w:color w:val="000000" w:themeColor="text1"/>
        </w:rPr>
        <w:t>Consumption</w:t>
      </w:r>
      <w:r>
        <w:rPr>
          <w:bCs/>
          <w:color w:val="000000" w:themeColor="text1"/>
        </w:rPr>
        <w:t xml:space="preserve"> (kg)</w:t>
      </w:r>
      <w:r w:rsidRPr="00AD38F4">
        <w:rPr>
          <w:bCs/>
          <w:color w:val="000000" w:themeColor="text1"/>
        </w:rPr>
        <w:t xml:space="preserve"> – </w:t>
      </w:r>
      <w:r>
        <w:rPr>
          <w:bCs/>
          <w:color w:val="000000" w:themeColor="text1"/>
        </w:rPr>
        <w:t xml:space="preserve">Estimated </w:t>
      </w:r>
      <w:r w:rsidRPr="00AD38F4">
        <w:rPr>
          <w:bCs/>
          <w:color w:val="000000" w:themeColor="text1"/>
        </w:rPr>
        <w:t>Consumption</w:t>
      </w:r>
      <w:r>
        <w:rPr>
          <w:bCs/>
          <w:color w:val="000000" w:themeColor="text1"/>
        </w:rPr>
        <w:t xml:space="preserve"> P</w:t>
      </w:r>
      <w:r w:rsidRPr="00AD38F4">
        <w:rPr>
          <w:bCs/>
          <w:color w:val="000000" w:themeColor="text1"/>
        </w:rPr>
        <w:t>ost</w:t>
      </w:r>
      <w:r>
        <w:rPr>
          <w:bCs/>
          <w:color w:val="000000" w:themeColor="text1"/>
        </w:rPr>
        <w:t xml:space="preserve"> T</w:t>
      </w:r>
      <w:r w:rsidRPr="00AD38F4">
        <w:rPr>
          <w:bCs/>
          <w:color w:val="000000" w:themeColor="text1"/>
        </w:rPr>
        <w:t>reatment</w:t>
      </w:r>
      <w:r>
        <w:rPr>
          <w:bCs/>
          <w:color w:val="000000" w:themeColor="text1"/>
        </w:rPr>
        <w:t xml:space="preserve"> (kg)</w:t>
      </w:r>
      <w:r w:rsidRPr="00AD38F4">
        <w:rPr>
          <w:bCs/>
          <w:color w:val="000000" w:themeColor="text1"/>
        </w:rPr>
        <w:t xml:space="preserve">) x </w:t>
      </w:r>
      <w:r>
        <w:rPr>
          <w:bCs/>
          <w:color w:val="000000" w:themeColor="text1"/>
        </w:rPr>
        <w:t>DHI S</w:t>
      </w:r>
      <w:r w:rsidRPr="00AD38F4">
        <w:rPr>
          <w:bCs/>
          <w:color w:val="000000" w:themeColor="text1"/>
        </w:rPr>
        <w:t xml:space="preserve">ocial </w:t>
      </w:r>
      <w:r>
        <w:rPr>
          <w:bCs/>
          <w:color w:val="000000" w:themeColor="text1"/>
        </w:rPr>
        <w:t>C</w:t>
      </w:r>
      <w:r w:rsidRPr="00AD38F4">
        <w:rPr>
          <w:bCs/>
          <w:color w:val="000000" w:themeColor="text1"/>
        </w:rPr>
        <w:t xml:space="preserve">ost of </w:t>
      </w:r>
      <w:r>
        <w:rPr>
          <w:bCs/>
          <w:color w:val="000000" w:themeColor="text1"/>
        </w:rPr>
        <w:t>Drug</w:t>
      </w:r>
      <w:r w:rsidRPr="00AD38F4">
        <w:rPr>
          <w:bCs/>
          <w:color w:val="000000" w:themeColor="text1"/>
        </w:rPr>
        <w:t xml:space="preserve">-related </w:t>
      </w:r>
      <w:r>
        <w:rPr>
          <w:bCs/>
          <w:color w:val="000000" w:themeColor="text1"/>
        </w:rPr>
        <w:t>H</w:t>
      </w:r>
      <w:r w:rsidRPr="00AD38F4">
        <w:rPr>
          <w:bCs/>
          <w:color w:val="000000" w:themeColor="text1"/>
        </w:rPr>
        <w:t xml:space="preserve">arm </w:t>
      </w:r>
      <w:r>
        <w:rPr>
          <w:bCs/>
          <w:color w:val="000000" w:themeColor="text1"/>
        </w:rPr>
        <w:t>per Kilogram</w:t>
      </w:r>
      <w:r w:rsidRPr="00AD38F4">
        <w:rPr>
          <w:bCs/>
          <w:color w:val="000000" w:themeColor="text1"/>
        </w:rPr>
        <w:t xml:space="preserve">) adjusted for exposure time. The cost is the </w:t>
      </w:r>
      <w:r>
        <w:rPr>
          <w:bCs/>
          <w:color w:val="000000" w:themeColor="text1"/>
        </w:rPr>
        <w:t xml:space="preserve">estimated </w:t>
      </w:r>
      <w:r w:rsidRPr="00AD38F4">
        <w:rPr>
          <w:bCs/>
          <w:color w:val="000000" w:themeColor="text1"/>
        </w:rPr>
        <w:t>cost of the</w:t>
      </w:r>
      <w:r>
        <w:rPr>
          <w:bCs/>
          <w:color w:val="000000" w:themeColor="text1"/>
        </w:rPr>
        <w:t xml:space="preserve"> proposed</w:t>
      </w:r>
      <w:r w:rsidRPr="00AD38F4">
        <w:rPr>
          <w:bCs/>
          <w:color w:val="000000" w:themeColor="text1"/>
        </w:rPr>
        <w:t xml:space="preserve"> treatment program. The return on investment (ROI) is the harm reduction divided by the cost. </w:t>
      </w:r>
    </w:p>
    <w:p w14:paraId="79D5BB41" w14:textId="77777777" w:rsidR="00965FEE" w:rsidRPr="00AD38F4" w:rsidRDefault="00965FEE" w:rsidP="00965FEE">
      <w:pPr>
        <w:pStyle w:val="ListParagraph"/>
        <w:numPr>
          <w:ilvl w:val="0"/>
          <w:numId w:val="20"/>
        </w:numPr>
        <w:contextualSpacing w:val="0"/>
        <w:rPr>
          <w:bCs/>
          <w:color w:val="000000" w:themeColor="text1"/>
        </w:rPr>
      </w:pPr>
      <w:r>
        <w:rPr>
          <w:bCs/>
          <w:color w:val="000000" w:themeColor="text1"/>
        </w:rPr>
        <w:t>This could be used to compare several</w:t>
      </w:r>
      <w:r w:rsidRPr="00AD38F4">
        <w:rPr>
          <w:bCs/>
          <w:color w:val="000000" w:themeColor="text1"/>
        </w:rPr>
        <w:t xml:space="preserve"> proposed treatment services – for example, </w:t>
      </w:r>
      <w:r w:rsidRPr="00C37EE6">
        <w:rPr>
          <w:bCs/>
          <w:i/>
          <w:iCs/>
          <w:color w:val="000000" w:themeColor="text1"/>
        </w:rPr>
        <w:t>Proceeds of Crime</w:t>
      </w:r>
      <w:r w:rsidRPr="00AD38F4">
        <w:rPr>
          <w:bCs/>
          <w:color w:val="000000" w:themeColor="text1"/>
        </w:rPr>
        <w:t xml:space="preserve"> bid</w:t>
      </w:r>
      <w:r>
        <w:rPr>
          <w:bCs/>
          <w:color w:val="000000" w:themeColor="text1"/>
        </w:rPr>
        <w:t>s. This method could also be used to inform Budget bids.</w:t>
      </w:r>
    </w:p>
    <w:bookmarkEnd w:id="17"/>
    <w:p w14:paraId="177DAE3E" w14:textId="77777777" w:rsidR="00965FEE" w:rsidRPr="00F00DED" w:rsidRDefault="00965FEE" w:rsidP="00965FEE">
      <w:pPr>
        <w:rPr>
          <w:bCs/>
          <w:i/>
          <w:iCs/>
          <w:color w:val="000000" w:themeColor="text1"/>
          <w:sz w:val="24"/>
          <w:szCs w:val="22"/>
        </w:rPr>
      </w:pPr>
      <w:r w:rsidRPr="00F00DED">
        <w:rPr>
          <w:bCs/>
          <w:i/>
          <w:iCs/>
          <w:color w:val="000000" w:themeColor="text1"/>
          <w:sz w:val="24"/>
          <w:szCs w:val="22"/>
        </w:rPr>
        <w:t xml:space="preserve">Supply </w:t>
      </w:r>
      <w:r>
        <w:rPr>
          <w:bCs/>
          <w:i/>
          <w:iCs/>
          <w:color w:val="000000" w:themeColor="text1"/>
          <w:sz w:val="24"/>
          <w:szCs w:val="22"/>
        </w:rPr>
        <w:t>r</w:t>
      </w:r>
      <w:r w:rsidRPr="00F00DED">
        <w:rPr>
          <w:bCs/>
          <w:i/>
          <w:iCs/>
          <w:color w:val="000000" w:themeColor="text1"/>
          <w:sz w:val="24"/>
          <w:szCs w:val="22"/>
        </w:rPr>
        <w:t>eduction</w:t>
      </w:r>
    </w:p>
    <w:p w14:paraId="4B923D4A" w14:textId="77777777" w:rsidR="00965FEE" w:rsidRPr="00C37EE6" w:rsidRDefault="00965FEE" w:rsidP="00965FEE">
      <w:pPr>
        <w:rPr>
          <w:bCs/>
          <w:color w:val="000000" w:themeColor="text1"/>
          <w:u w:val="single"/>
        </w:rPr>
      </w:pPr>
      <w:r w:rsidRPr="00C37EE6">
        <w:rPr>
          <w:bCs/>
          <w:color w:val="000000" w:themeColor="text1"/>
          <w:u w:val="single"/>
        </w:rPr>
        <w:t>Example 3</w:t>
      </w:r>
    </w:p>
    <w:p w14:paraId="444625A3" w14:textId="77777777" w:rsidR="00965FEE" w:rsidRDefault="00965FEE" w:rsidP="00965FEE">
      <w:pPr>
        <w:pStyle w:val="ListParagraph"/>
        <w:numPr>
          <w:ilvl w:val="0"/>
          <w:numId w:val="21"/>
        </w:numPr>
        <w:ind w:left="714" w:hanging="357"/>
        <w:contextualSpacing w:val="0"/>
        <w:rPr>
          <w:bCs/>
          <w:color w:val="000000" w:themeColor="text1"/>
        </w:rPr>
      </w:pPr>
      <w:r>
        <w:rPr>
          <w:bCs/>
          <w:color w:val="000000" w:themeColor="text1"/>
        </w:rPr>
        <w:t>Police / Customs seize X kg of methamphetamine.</w:t>
      </w:r>
    </w:p>
    <w:p w14:paraId="521EAB51" w14:textId="7C20ABE3" w:rsidR="00965FEE" w:rsidRPr="002E5E09" w:rsidRDefault="00965FEE" w:rsidP="00965FEE">
      <w:pPr>
        <w:pStyle w:val="ListParagraph"/>
        <w:numPr>
          <w:ilvl w:val="0"/>
          <w:numId w:val="21"/>
        </w:numPr>
        <w:ind w:left="714" w:hanging="357"/>
        <w:contextualSpacing w:val="0"/>
        <w:rPr>
          <w:bCs/>
          <w:color w:val="000000" w:themeColor="text1"/>
        </w:rPr>
      </w:pPr>
      <w:r w:rsidRPr="002E5E09">
        <w:rPr>
          <w:b/>
          <w:color w:val="000000" w:themeColor="text1"/>
        </w:rPr>
        <w:t>First, adjustments need to be made for the temporary reduction in supply.</w:t>
      </w:r>
      <w:r w:rsidRPr="002E5E09">
        <w:rPr>
          <w:bCs/>
          <w:color w:val="000000" w:themeColor="text1"/>
        </w:rPr>
        <w:t xml:space="preserve"> The time to replace the drug that has been seized will depend on whether availability is seasonal, and whether it is imported from overseas or manufactured locally. An appropriate estimate requires that some </w:t>
      </w:r>
      <w:r>
        <w:rPr>
          <w:bCs/>
          <w:color w:val="000000" w:themeColor="text1"/>
        </w:rPr>
        <w:t>calculation</w:t>
      </w:r>
      <w:r w:rsidRPr="002E5E09">
        <w:rPr>
          <w:bCs/>
          <w:color w:val="000000" w:themeColor="text1"/>
        </w:rPr>
        <w:t xml:space="preserve"> of these factor needs to be made. </w:t>
      </w:r>
      <w:r w:rsidRPr="002E5E09">
        <w:rPr>
          <w:color w:val="000000" w:themeColor="text1"/>
        </w:rPr>
        <w:t>As a starting point, a</w:t>
      </w:r>
      <w:r>
        <w:rPr>
          <w:color w:val="000000" w:themeColor="text1"/>
        </w:rPr>
        <w:t xml:space="preserve"> </w:t>
      </w:r>
      <w:r w:rsidRPr="002E5E09">
        <w:rPr>
          <w:color w:val="000000" w:themeColor="text1"/>
        </w:rPr>
        <w:t>six to nine months</w:t>
      </w:r>
      <w:r>
        <w:rPr>
          <w:color w:val="000000" w:themeColor="text1"/>
        </w:rPr>
        <w:t xml:space="preserve"> replacement lag</w:t>
      </w:r>
      <w:r w:rsidRPr="002E5E09">
        <w:rPr>
          <w:color w:val="000000" w:themeColor="text1"/>
        </w:rPr>
        <w:t xml:space="preserve"> is suggested for seasonal and imported drugs</w:t>
      </w:r>
      <w:r>
        <w:rPr>
          <w:color w:val="000000" w:themeColor="text1"/>
        </w:rPr>
        <w:t xml:space="preserve">, and a </w:t>
      </w:r>
      <w:r w:rsidRPr="002E5E09">
        <w:rPr>
          <w:color w:val="000000" w:themeColor="text1"/>
        </w:rPr>
        <w:t xml:space="preserve">three to </w:t>
      </w:r>
      <w:r w:rsidR="003A3948" w:rsidRPr="002E5E09">
        <w:rPr>
          <w:color w:val="000000" w:themeColor="text1"/>
        </w:rPr>
        <w:t>six-month</w:t>
      </w:r>
      <w:r>
        <w:rPr>
          <w:color w:val="000000" w:themeColor="text1"/>
        </w:rPr>
        <w:t xml:space="preserve"> replacement lag</w:t>
      </w:r>
      <w:r w:rsidRPr="002E5E09">
        <w:rPr>
          <w:color w:val="000000" w:themeColor="text1"/>
        </w:rPr>
        <w:t xml:space="preserve"> is plausible for locally produced synthetic drugs. Local knowledge should be preferred to the broad estimates given here, but these should be fully documented. </w:t>
      </w:r>
    </w:p>
    <w:p w14:paraId="7D9F18BD" w14:textId="241844C0" w:rsidR="00965FEE" w:rsidRDefault="00965FEE" w:rsidP="00965FEE">
      <w:pPr>
        <w:pStyle w:val="ListParagraph"/>
        <w:numPr>
          <w:ilvl w:val="0"/>
          <w:numId w:val="21"/>
        </w:numPr>
        <w:ind w:left="714" w:hanging="357"/>
        <w:contextualSpacing w:val="0"/>
        <w:rPr>
          <w:bCs/>
          <w:color w:val="000000" w:themeColor="text1"/>
        </w:rPr>
      </w:pPr>
      <w:r w:rsidRPr="0015416F">
        <w:rPr>
          <w:color w:val="000000" w:themeColor="text1"/>
        </w:rPr>
        <w:t xml:space="preserve">The DHI estimates the social cost of drug-related harm </w:t>
      </w:r>
      <w:r>
        <w:rPr>
          <w:color w:val="000000" w:themeColor="text1"/>
        </w:rPr>
        <w:t>for</w:t>
      </w:r>
      <w:r w:rsidRPr="0015416F">
        <w:rPr>
          <w:color w:val="000000" w:themeColor="text1"/>
        </w:rPr>
        <w:t xml:space="preserve"> a calendar year. </w:t>
      </w:r>
      <w:r w:rsidRPr="0015416F">
        <w:rPr>
          <w:bCs/>
          <w:color w:val="000000" w:themeColor="text1"/>
        </w:rPr>
        <w:t xml:space="preserve">The harm reduction </w:t>
      </w:r>
      <w:r>
        <w:rPr>
          <w:bCs/>
          <w:color w:val="000000" w:themeColor="text1"/>
        </w:rPr>
        <w:t xml:space="preserve">for the above seizure </w:t>
      </w:r>
      <w:r w:rsidRPr="0015416F">
        <w:rPr>
          <w:bCs/>
          <w:color w:val="000000" w:themeColor="text1"/>
        </w:rPr>
        <w:t xml:space="preserve">is therefore equivalent to (Quantity seized (kg) x </w:t>
      </w:r>
      <w:r>
        <w:rPr>
          <w:bCs/>
          <w:color w:val="000000" w:themeColor="text1"/>
        </w:rPr>
        <w:t>(</w:t>
      </w:r>
      <w:r w:rsidRPr="0015416F">
        <w:rPr>
          <w:bCs/>
          <w:color w:val="000000" w:themeColor="text1"/>
        </w:rPr>
        <w:t>DHI Social Cost of Methamphetamine-related Harm per Kilogram</w:t>
      </w:r>
      <w:r>
        <w:rPr>
          <w:bCs/>
          <w:color w:val="000000" w:themeColor="text1"/>
        </w:rPr>
        <w:t xml:space="preserve"> / Proportion of Year Temporary Reduction Experienced</w:t>
      </w:r>
      <w:r w:rsidRPr="0015416F">
        <w:rPr>
          <w:bCs/>
          <w:color w:val="000000" w:themeColor="text1"/>
        </w:rPr>
        <w:t xml:space="preserve">). The cost is the cost of resources devoted to the seizure. </w:t>
      </w:r>
      <w:r w:rsidRPr="00AD38F4">
        <w:rPr>
          <w:bCs/>
          <w:color w:val="000000" w:themeColor="text1"/>
        </w:rPr>
        <w:t>The return on investment (ROI) is the harm reduction divided by the cost.</w:t>
      </w:r>
    </w:p>
    <w:p w14:paraId="52124FFE" w14:textId="74D4E88F" w:rsidR="003A3948" w:rsidRPr="003A3948" w:rsidRDefault="003A3948" w:rsidP="003A3948">
      <w:pPr>
        <w:rPr>
          <w:bCs/>
          <w:color w:val="000000" w:themeColor="text1"/>
        </w:rPr>
      </w:pPr>
      <w:r>
        <w:rPr>
          <w:bCs/>
          <w:color w:val="000000" w:themeColor="text1"/>
        </w:rPr>
        <w:t>It should be noted that this example assumes that the illicit drug market has not factored seizures into their supply model, and that people will not switch to another drug type in the absence of the one being seized.</w:t>
      </w:r>
    </w:p>
    <w:p w14:paraId="1B6E817B" w14:textId="77777777" w:rsidR="00965FEE" w:rsidRPr="005424B5" w:rsidRDefault="00965FEE" w:rsidP="00965FEE">
      <w:pPr>
        <w:pStyle w:val="Heading2"/>
      </w:pPr>
      <w:bookmarkStart w:id="19" w:name="_Toc95475389"/>
      <w:bookmarkStart w:id="20" w:name="_Hlk65851869"/>
      <w:r w:rsidRPr="005424B5">
        <w:t>Relative contributions to effectiveness</w:t>
      </w:r>
      <w:bookmarkEnd w:id="19"/>
    </w:p>
    <w:p w14:paraId="796A0F44" w14:textId="77777777" w:rsidR="00965FEE" w:rsidRDefault="00965FEE" w:rsidP="00965FEE">
      <w:pPr>
        <w:rPr>
          <w:bCs/>
          <w:i/>
          <w:iCs/>
          <w:color w:val="000000" w:themeColor="text1"/>
          <w:sz w:val="24"/>
          <w:szCs w:val="22"/>
        </w:rPr>
      </w:pPr>
      <w:bookmarkStart w:id="21" w:name="_Hlk65851906"/>
      <w:bookmarkEnd w:id="20"/>
      <w:r w:rsidRPr="00F00DED">
        <w:rPr>
          <w:bCs/>
          <w:i/>
          <w:iCs/>
          <w:color w:val="000000" w:themeColor="text1"/>
          <w:sz w:val="24"/>
          <w:szCs w:val="22"/>
        </w:rPr>
        <w:t>Supply reduction</w:t>
      </w:r>
    </w:p>
    <w:p w14:paraId="74D89DC2" w14:textId="77777777" w:rsidR="00965FEE" w:rsidRPr="00E24467" w:rsidRDefault="00965FEE" w:rsidP="00965FEE">
      <w:pPr>
        <w:rPr>
          <w:bCs/>
          <w:color w:val="000000" w:themeColor="text1"/>
          <w:u w:val="single"/>
        </w:rPr>
      </w:pPr>
      <w:r w:rsidRPr="00E24467">
        <w:rPr>
          <w:bCs/>
          <w:color w:val="000000" w:themeColor="text1"/>
          <w:u w:val="single"/>
        </w:rPr>
        <w:t>Example 4</w:t>
      </w:r>
    </w:p>
    <w:p w14:paraId="047C7AF2" w14:textId="77777777" w:rsidR="00965FEE" w:rsidRPr="00D71B04" w:rsidRDefault="00965FEE" w:rsidP="00965FEE">
      <w:pPr>
        <w:pStyle w:val="ListParagraph"/>
        <w:numPr>
          <w:ilvl w:val="0"/>
          <w:numId w:val="22"/>
        </w:numPr>
        <w:ind w:left="714" w:hanging="357"/>
        <w:contextualSpacing w:val="0"/>
        <w:rPr>
          <w:bCs/>
          <w:color w:val="000000" w:themeColor="text1"/>
        </w:rPr>
      </w:pPr>
      <w:r w:rsidRPr="00D71B04">
        <w:rPr>
          <w:bCs/>
          <w:color w:val="000000" w:themeColor="text1"/>
        </w:rPr>
        <w:t>In 2019 there were X number of supply reduction related investigation</w:t>
      </w:r>
      <w:r>
        <w:rPr>
          <w:bCs/>
          <w:color w:val="000000" w:themeColor="text1"/>
        </w:rPr>
        <w:t>s</w:t>
      </w:r>
      <w:r w:rsidRPr="00D71B04">
        <w:rPr>
          <w:bCs/>
          <w:color w:val="000000" w:themeColor="text1"/>
        </w:rPr>
        <w:t xml:space="preserve"> in New Zealand. Investigation types includes Customs only investigations, investigations</w:t>
      </w:r>
      <w:r>
        <w:rPr>
          <w:bCs/>
          <w:color w:val="000000" w:themeColor="text1"/>
        </w:rPr>
        <w:t xml:space="preserve"> in</w:t>
      </w:r>
      <w:r w:rsidRPr="00D71B04">
        <w:rPr>
          <w:bCs/>
          <w:color w:val="000000" w:themeColor="text1"/>
        </w:rPr>
        <w:t xml:space="preserve"> partnership with other domestic law enforcement agencies, and investigations in partnership with international partners.</w:t>
      </w:r>
    </w:p>
    <w:p w14:paraId="36854844" w14:textId="77777777" w:rsidR="00965FEE" w:rsidRPr="00D71B04" w:rsidRDefault="00965FEE" w:rsidP="00965FEE">
      <w:pPr>
        <w:pStyle w:val="ListParagraph"/>
        <w:numPr>
          <w:ilvl w:val="0"/>
          <w:numId w:val="22"/>
        </w:numPr>
        <w:ind w:left="714" w:hanging="357"/>
        <w:contextualSpacing w:val="0"/>
        <w:rPr>
          <w:bCs/>
          <w:color w:val="000000" w:themeColor="text1"/>
        </w:rPr>
      </w:pPr>
      <w:r w:rsidRPr="007144FB">
        <w:rPr>
          <w:b/>
          <w:color w:val="000000" w:themeColor="text1"/>
        </w:rPr>
        <w:lastRenderedPageBreak/>
        <w:t>By investigation type:</w:t>
      </w:r>
      <w:r>
        <w:rPr>
          <w:bCs/>
          <w:color w:val="000000" w:themeColor="text1"/>
        </w:rPr>
        <w:t xml:space="preserve"> </w:t>
      </w:r>
      <w:r w:rsidRPr="00D71B04">
        <w:rPr>
          <w:bCs/>
          <w:color w:val="000000" w:themeColor="text1"/>
        </w:rPr>
        <w:t>The quantity of illicit drug seizures made in these investigations can be used to estimate the harm reduction (benefits), with adjustments need</w:t>
      </w:r>
      <w:r>
        <w:rPr>
          <w:bCs/>
          <w:color w:val="000000" w:themeColor="text1"/>
        </w:rPr>
        <w:t>ing</w:t>
      </w:r>
      <w:r w:rsidRPr="00D71B04">
        <w:rPr>
          <w:bCs/>
          <w:color w:val="000000" w:themeColor="text1"/>
        </w:rPr>
        <w:t xml:space="preserve"> to be made for the temporary reduction in supply, as in </w:t>
      </w:r>
      <w:r w:rsidRPr="00D71B04">
        <w:rPr>
          <w:bCs/>
          <w:color w:val="000000" w:themeColor="text1"/>
          <w:u w:val="single"/>
        </w:rPr>
        <w:t xml:space="preserve">Example </w:t>
      </w:r>
      <w:r>
        <w:rPr>
          <w:bCs/>
          <w:color w:val="000000" w:themeColor="text1"/>
          <w:u w:val="single"/>
        </w:rPr>
        <w:t>3</w:t>
      </w:r>
      <w:r w:rsidRPr="00D71B04">
        <w:rPr>
          <w:bCs/>
          <w:color w:val="000000" w:themeColor="text1"/>
        </w:rPr>
        <w:t xml:space="preserve">. </w:t>
      </w:r>
      <w:r w:rsidRPr="00D71B04">
        <w:rPr>
          <w:color w:val="000000" w:themeColor="text1"/>
        </w:rPr>
        <w:t xml:space="preserve">The DHI estimates the social cost of drug-related harm for a calendar year. </w:t>
      </w:r>
      <w:r w:rsidRPr="00D71B04">
        <w:rPr>
          <w:bCs/>
          <w:color w:val="000000" w:themeColor="text1"/>
        </w:rPr>
        <w:t>The harm reduction for the above seizure is therefore equivalent to (Quantity seized (kg) x (DHI Social Cost of drug-related Harm per Kilogram / Proportion of Year Temporary Reduction Experienced). The cost is the cost of resources devoted to the seizures, by investigation type (</w:t>
      </w:r>
      <w:r>
        <w:rPr>
          <w:bCs/>
          <w:color w:val="000000" w:themeColor="text1"/>
        </w:rPr>
        <w:t>Customs</w:t>
      </w:r>
      <w:r w:rsidRPr="00D71B04">
        <w:rPr>
          <w:bCs/>
          <w:color w:val="000000" w:themeColor="text1"/>
        </w:rPr>
        <w:t>, domestic partner, international partner). The return on investment (ROI) is the harm reduction divided by the cost by investigation type.</w:t>
      </w:r>
    </w:p>
    <w:p w14:paraId="323234F1" w14:textId="77777777" w:rsidR="00965FEE" w:rsidRPr="00D71B04" w:rsidRDefault="00965FEE" w:rsidP="00965FEE">
      <w:pPr>
        <w:pStyle w:val="ListParagraph"/>
        <w:numPr>
          <w:ilvl w:val="0"/>
          <w:numId w:val="22"/>
        </w:numPr>
        <w:ind w:left="714" w:hanging="357"/>
        <w:contextualSpacing w:val="0"/>
        <w:rPr>
          <w:bCs/>
          <w:color w:val="000000" w:themeColor="text1"/>
        </w:rPr>
      </w:pPr>
      <w:r w:rsidRPr="00D71B04">
        <w:rPr>
          <w:bCs/>
          <w:color w:val="000000" w:themeColor="text1"/>
        </w:rPr>
        <w:t xml:space="preserve">This </w:t>
      </w:r>
      <w:r>
        <w:rPr>
          <w:bCs/>
          <w:color w:val="000000" w:themeColor="text1"/>
        </w:rPr>
        <w:t>would allow</w:t>
      </w:r>
      <w:r w:rsidRPr="00D71B04">
        <w:rPr>
          <w:bCs/>
          <w:color w:val="000000" w:themeColor="text1"/>
        </w:rPr>
        <w:t xml:space="preserve"> for the evaluation of different strategic approaches (investigation types) for reducing supply at the border.</w:t>
      </w:r>
    </w:p>
    <w:bookmarkEnd w:id="21"/>
    <w:p w14:paraId="4B25CC07" w14:textId="77777777" w:rsidR="00965FEE" w:rsidRDefault="00965FEE" w:rsidP="00965FEE">
      <w:pPr>
        <w:rPr>
          <w:bCs/>
          <w:i/>
          <w:iCs/>
          <w:color w:val="000000" w:themeColor="text1"/>
          <w:sz w:val="24"/>
          <w:szCs w:val="22"/>
        </w:rPr>
      </w:pPr>
      <w:r w:rsidRPr="00F00DED">
        <w:rPr>
          <w:bCs/>
          <w:i/>
          <w:iCs/>
          <w:color w:val="000000" w:themeColor="text1"/>
          <w:sz w:val="24"/>
          <w:szCs w:val="22"/>
        </w:rPr>
        <w:t>Treatment services</w:t>
      </w:r>
    </w:p>
    <w:p w14:paraId="04111784" w14:textId="77777777" w:rsidR="00965FEE" w:rsidRPr="007144FB" w:rsidRDefault="00965FEE" w:rsidP="00965FEE">
      <w:pPr>
        <w:rPr>
          <w:bCs/>
          <w:color w:val="000000" w:themeColor="text1"/>
          <w:u w:val="single"/>
        </w:rPr>
      </w:pPr>
      <w:r w:rsidRPr="007144FB">
        <w:rPr>
          <w:bCs/>
          <w:color w:val="000000" w:themeColor="text1"/>
          <w:u w:val="single"/>
        </w:rPr>
        <w:t>Example 5</w:t>
      </w:r>
    </w:p>
    <w:p w14:paraId="1EBFD6CE" w14:textId="77777777" w:rsidR="00965FEE" w:rsidRPr="00AD38F4" w:rsidRDefault="00965FEE" w:rsidP="00965FEE">
      <w:pPr>
        <w:pStyle w:val="ListParagraph"/>
        <w:numPr>
          <w:ilvl w:val="0"/>
          <w:numId w:val="23"/>
        </w:numPr>
        <w:contextualSpacing w:val="0"/>
        <w:rPr>
          <w:bCs/>
          <w:color w:val="000000" w:themeColor="text1"/>
        </w:rPr>
      </w:pPr>
      <w:r>
        <w:rPr>
          <w:bCs/>
          <w:color w:val="000000" w:themeColor="text1"/>
        </w:rPr>
        <w:t>During COVID-19 lockdown X</w:t>
      </w:r>
      <w:r w:rsidRPr="00AD38F4">
        <w:rPr>
          <w:bCs/>
          <w:color w:val="000000" w:themeColor="text1"/>
        </w:rPr>
        <w:t xml:space="preserve"> people</w:t>
      </w:r>
      <w:r>
        <w:rPr>
          <w:bCs/>
          <w:color w:val="000000" w:themeColor="text1"/>
        </w:rPr>
        <w:t xml:space="preserve"> started a non-residential treatment programme with cannabis</w:t>
      </w:r>
      <w:r w:rsidRPr="00AD38F4">
        <w:rPr>
          <w:bCs/>
          <w:color w:val="000000" w:themeColor="text1"/>
        </w:rPr>
        <w:t xml:space="preserve"> </w:t>
      </w:r>
      <w:r>
        <w:rPr>
          <w:bCs/>
          <w:color w:val="000000" w:themeColor="text1"/>
        </w:rPr>
        <w:t>a</w:t>
      </w:r>
      <w:r w:rsidRPr="00AD38F4">
        <w:rPr>
          <w:bCs/>
          <w:color w:val="000000" w:themeColor="text1"/>
        </w:rPr>
        <w:t>s their main substance of concern</w:t>
      </w:r>
      <w:r>
        <w:rPr>
          <w:bCs/>
          <w:color w:val="000000" w:themeColor="text1"/>
        </w:rPr>
        <w:t>. Y of those people attended the programme face-to-face, while Z attended online / remotely.</w:t>
      </w:r>
    </w:p>
    <w:p w14:paraId="40A06AFD" w14:textId="77777777" w:rsidR="00965FEE" w:rsidRPr="00AD38F4" w:rsidRDefault="00965FEE" w:rsidP="00965FEE">
      <w:pPr>
        <w:pStyle w:val="ListParagraph"/>
        <w:numPr>
          <w:ilvl w:val="0"/>
          <w:numId w:val="23"/>
        </w:numPr>
        <w:ind w:left="714" w:hanging="357"/>
        <w:contextualSpacing w:val="0"/>
        <w:rPr>
          <w:bCs/>
          <w:color w:val="000000" w:themeColor="text1"/>
        </w:rPr>
      </w:pPr>
      <w:r w:rsidRPr="00AD38F4">
        <w:rPr>
          <w:bCs/>
          <w:color w:val="000000" w:themeColor="text1"/>
        </w:rPr>
        <w:t xml:space="preserve">ADOM collections could be used to determine consumption levels before treatment and after the treatment programme ended (recorded in ADOM collections as “days of use”). Alternatively, a </w:t>
      </w:r>
      <w:r>
        <w:rPr>
          <w:bCs/>
          <w:color w:val="000000" w:themeColor="text1"/>
        </w:rPr>
        <w:t xml:space="preserve">separate </w:t>
      </w:r>
      <w:r w:rsidRPr="00AD38F4">
        <w:rPr>
          <w:bCs/>
          <w:color w:val="000000" w:themeColor="text1"/>
        </w:rPr>
        <w:t xml:space="preserve">survey could be used to collect information on consumption volumes before the treatment and after the treatment program started. Participants could then </w:t>
      </w:r>
      <w:r>
        <w:rPr>
          <w:bCs/>
          <w:color w:val="000000" w:themeColor="text1"/>
        </w:rPr>
        <w:t xml:space="preserve">be </w:t>
      </w:r>
      <w:r w:rsidRPr="00AD38F4">
        <w:rPr>
          <w:bCs/>
          <w:color w:val="000000" w:themeColor="text1"/>
        </w:rPr>
        <w:t xml:space="preserve">contacted every 12 months for the next five years. </w:t>
      </w:r>
    </w:p>
    <w:p w14:paraId="653530B1" w14:textId="77777777" w:rsidR="00965FEE" w:rsidRPr="00AD38F4" w:rsidRDefault="00965FEE" w:rsidP="00965FEE">
      <w:pPr>
        <w:pStyle w:val="ListParagraph"/>
        <w:numPr>
          <w:ilvl w:val="0"/>
          <w:numId w:val="23"/>
        </w:numPr>
        <w:ind w:left="714" w:hanging="357"/>
        <w:contextualSpacing w:val="0"/>
        <w:rPr>
          <w:bCs/>
          <w:color w:val="000000" w:themeColor="text1"/>
        </w:rPr>
      </w:pPr>
      <w:r w:rsidRPr="007144FB">
        <w:rPr>
          <w:b/>
          <w:color w:val="000000" w:themeColor="text1"/>
        </w:rPr>
        <w:t>By attendance type:</w:t>
      </w:r>
      <w:r>
        <w:rPr>
          <w:bCs/>
          <w:color w:val="000000" w:themeColor="text1"/>
        </w:rPr>
        <w:t xml:space="preserve"> </w:t>
      </w:r>
      <w:r w:rsidRPr="00AD38F4">
        <w:rPr>
          <w:bCs/>
          <w:color w:val="000000" w:themeColor="text1"/>
        </w:rPr>
        <w:t>The reduction in harm is equivalent to ((Initial</w:t>
      </w:r>
      <w:r>
        <w:rPr>
          <w:bCs/>
          <w:color w:val="000000" w:themeColor="text1"/>
        </w:rPr>
        <w:t xml:space="preserve"> </w:t>
      </w:r>
      <w:r w:rsidRPr="00AD38F4">
        <w:rPr>
          <w:bCs/>
          <w:color w:val="000000" w:themeColor="text1"/>
        </w:rPr>
        <w:t>Consumption</w:t>
      </w:r>
      <w:r>
        <w:rPr>
          <w:bCs/>
          <w:color w:val="000000" w:themeColor="text1"/>
        </w:rPr>
        <w:t xml:space="preserve"> (kg)</w:t>
      </w:r>
      <w:r w:rsidRPr="00AD38F4">
        <w:rPr>
          <w:bCs/>
          <w:color w:val="000000" w:themeColor="text1"/>
        </w:rPr>
        <w:t xml:space="preserve"> – Consumption</w:t>
      </w:r>
      <w:r>
        <w:rPr>
          <w:bCs/>
          <w:color w:val="000000" w:themeColor="text1"/>
        </w:rPr>
        <w:t xml:space="preserve"> P</w:t>
      </w:r>
      <w:r w:rsidRPr="00AD38F4">
        <w:rPr>
          <w:bCs/>
          <w:color w:val="000000" w:themeColor="text1"/>
        </w:rPr>
        <w:t>ost</w:t>
      </w:r>
      <w:r>
        <w:rPr>
          <w:bCs/>
          <w:color w:val="000000" w:themeColor="text1"/>
        </w:rPr>
        <w:t xml:space="preserve"> T</w:t>
      </w:r>
      <w:r w:rsidRPr="00AD38F4">
        <w:rPr>
          <w:bCs/>
          <w:color w:val="000000" w:themeColor="text1"/>
        </w:rPr>
        <w:t>reatment</w:t>
      </w:r>
      <w:r>
        <w:rPr>
          <w:bCs/>
          <w:color w:val="000000" w:themeColor="text1"/>
        </w:rPr>
        <w:t xml:space="preserve"> (kg)</w:t>
      </w:r>
      <w:r w:rsidRPr="00AD38F4">
        <w:rPr>
          <w:bCs/>
          <w:color w:val="000000" w:themeColor="text1"/>
        </w:rPr>
        <w:t xml:space="preserve">) x </w:t>
      </w:r>
      <w:r>
        <w:rPr>
          <w:bCs/>
          <w:color w:val="000000" w:themeColor="text1"/>
        </w:rPr>
        <w:t>DHI S</w:t>
      </w:r>
      <w:r w:rsidRPr="00AD38F4">
        <w:rPr>
          <w:bCs/>
          <w:color w:val="000000" w:themeColor="text1"/>
        </w:rPr>
        <w:t xml:space="preserve">ocial </w:t>
      </w:r>
      <w:r>
        <w:rPr>
          <w:bCs/>
          <w:color w:val="000000" w:themeColor="text1"/>
        </w:rPr>
        <w:t>C</w:t>
      </w:r>
      <w:r w:rsidRPr="00AD38F4">
        <w:rPr>
          <w:bCs/>
          <w:color w:val="000000" w:themeColor="text1"/>
        </w:rPr>
        <w:t xml:space="preserve">ost of </w:t>
      </w:r>
      <w:r>
        <w:rPr>
          <w:bCs/>
          <w:color w:val="000000" w:themeColor="text1"/>
        </w:rPr>
        <w:t>Cannabis</w:t>
      </w:r>
      <w:r w:rsidRPr="00AD38F4">
        <w:rPr>
          <w:bCs/>
          <w:color w:val="000000" w:themeColor="text1"/>
        </w:rPr>
        <w:t xml:space="preserve">-related </w:t>
      </w:r>
      <w:r>
        <w:rPr>
          <w:bCs/>
          <w:color w:val="000000" w:themeColor="text1"/>
        </w:rPr>
        <w:t>H</w:t>
      </w:r>
      <w:r w:rsidRPr="00AD38F4">
        <w:rPr>
          <w:bCs/>
          <w:color w:val="000000" w:themeColor="text1"/>
        </w:rPr>
        <w:t>arm</w:t>
      </w:r>
      <w:r>
        <w:rPr>
          <w:bCs/>
          <w:color w:val="000000" w:themeColor="text1"/>
        </w:rPr>
        <w:t xml:space="preserve"> per Kilogram</w:t>
      </w:r>
      <w:r w:rsidRPr="00AD38F4">
        <w:rPr>
          <w:bCs/>
          <w:color w:val="000000" w:themeColor="text1"/>
        </w:rPr>
        <w:t>) adjusted for exposure time</w:t>
      </w:r>
      <w:r>
        <w:rPr>
          <w:bCs/>
          <w:color w:val="000000" w:themeColor="text1"/>
        </w:rPr>
        <w:t xml:space="preserve"> by attendance type</w:t>
      </w:r>
      <w:r w:rsidRPr="00AD38F4">
        <w:rPr>
          <w:bCs/>
          <w:color w:val="000000" w:themeColor="text1"/>
        </w:rPr>
        <w:t xml:space="preserve">. The cost is the </w:t>
      </w:r>
      <w:r>
        <w:rPr>
          <w:bCs/>
          <w:color w:val="000000" w:themeColor="text1"/>
        </w:rPr>
        <w:t xml:space="preserve">actual </w:t>
      </w:r>
      <w:r w:rsidRPr="00AD38F4">
        <w:rPr>
          <w:bCs/>
          <w:color w:val="000000" w:themeColor="text1"/>
        </w:rPr>
        <w:t xml:space="preserve">cost of the treatment program. The return on investment (ROI) is the harm reduction divided by the cost. </w:t>
      </w:r>
    </w:p>
    <w:p w14:paraId="20DC8BDF" w14:textId="11851455" w:rsidR="005424B5" w:rsidRDefault="00965FEE" w:rsidP="00965FEE">
      <w:pPr>
        <w:pStyle w:val="ListParagraph"/>
        <w:numPr>
          <w:ilvl w:val="0"/>
          <w:numId w:val="23"/>
        </w:numPr>
        <w:ind w:left="714" w:hanging="357"/>
        <w:contextualSpacing w:val="0"/>
        <w:rPr>
          <w:bCs/>
          <w:color w:val="000000" w:themeColor="text1"/>
        </w:rPr>
      </w:pPr>
      <w:r w:rsidRPr="00AD38F4">
        <w:rPr>
          <w:bCs/>
          <w:color w:val="000000" w:themeColor="text1"/>
        </w:rPr>
        <w:t xml:space="preserve">There may be various adjustments to be made for those who did not reach the end of their treatment episode, as well as for polydrug use. </w:t>
      </w:r>
    </w:p>
    <w:p w14:paraId="3B784651" w14:textId="77777777" w:rsidR="000A459D" w:rsidRDefault="000A459D">
      <w:pPr>
        <w:spacing w:before="0" w:line="240" w:lineRule="auto"/>
        <w:rPr>
          <w:b/>
          <w:color w:val="000000" w:themeColor="text1"/>
          <w:sz w:val="36"/>
        </w:rPr>
      </w:pPr>
      <w:r>
        <w:rPr>
          <w:color w:val="000000" w:themeColor="text1"/>
        </w:rPr>
        <w:br w:type="page"/>
      </w:r>
    </w:p>
    <w:p w14:paraId="1D022AC6" w14:textId="17343652" w:rsidR="000A459D" w:rsidRPr="000A459D" w:rsidRDefault="000A459D" w:rsidP="000A459D">
      <w:pPr>
        <w:pStyle w:val="Heading1"/>
      </w:pPr>
      <w:bookmarkStart w:id="22" w:name="_Toc95475390"/>
      <w:r w:rsidRPr="000A459D">
        <w:lastRenderedPageBreak/>
        <w:t>Appendix Two</w:t>
      </w:r>
      <w:bookmarkEnd w:id="22"/>
    </w:p>
    <w:p w14:paraId="4914B497" w14:textId="5B226FFA" w:rsidR="000A459D" w:rsidRPr="002D4489" w:rsidRDefault="000A459D" w:rsidP="002D4489">
      <w:pPr>
        <w:pStyle w:val="Heading2"/>
      </w:pPr>
      <w:bookmarkStart w:id="23" w:name="_Toc95475391"/>
      <w:r w:rsidRPr="002D4489">
        <w:t xml:space="preserve">Table with incorrect numbers previously published in this </w:t>
      </w:r>
      <w:r w:rsidR="002D4489" w:rsidRPr="002D4489">
        <w:t>g</w:t>
      </w:r>
      <w:r w:rsidRPr="002D4489">
        <w:t>uide</w:t>
      </w:r>
      <w:bookmarkEnd w:id="23"/>
    </w:p>
    <w:p w14:paraId="3A77D0A4" w14:textId="77777777" w:rsidR="00515BEB" w:rsidRDefault="00515BEB" w:rsidP="00515BEB">
      <w:pPr>
        <w:spacing w:before="0" w:line="252" w:lineRule="auto"/>
        <w:rPr>
          <w:u w:val="single"/>
        </w:rPr>
      </w:pPr>
    </w:p>
    <w:p w14:paraId="4707D4F8" w14:textId="218C073C" w:rsidR="00515BEB" w:rsidRPr="00515BEB" w:rsidRDefault="00515BEB" w:rsidP="00515BEB">
      <w:pPr>
        <w:spacing w:before="0" w:line="252" w:lineRule="auto"/>
        <w:rPr>
          <w:u w:val="single"/>
        </w:rPr>
      </w:pPr>
      <w:r w:rsidRPr="00515BEB">
        <w:rPr>
          <w:u w:val="single"/>
        </w:rPr>
        <w:t>Please note this information is provided for transparency and should not be relied upon for analysis.</w:t>
      </w:r>
    </w:p>
    <w:p w14:paraId="2854D668" w14:textId="270BB146" w:rsidR="000A459D" w:rsidRPr="00515BEB" w:rsidRDefault="000A459D" w:rsidP="000A459D">
      <w:pPr>
        <w:pStyle w:val="Heading3"/>
        <w:rPr>
          <w:color w:val="FF0000"/>
        </w:rPr>
      </w:pPr>
      <w:r w:rsidRPr="00515BEB">
        <w:rPr>
          <w:rFonts w:ascii="Calibri" w:hAnsi="Calibri" w:cs="Calibri"/>
          <w:bCs/>
          <w:color w:val="FF0000"/>
          <w:szCs w:val="22"/>
          <w:lang w:val="en-AU" w:eastAsia="en-AU"/>
        </w:rPr>
        <w:t>Estimated Harm per kg ($) by harm and drug type</w:t>
      </w:r>
    </w:p>
    <w:tbl>
      <w:tblPr>
        <w:tblW w:w="9729" w:type="dxa"/>
        <w:jc w:val="center"/>
        <w:tblLayout w:type="fixed"/>
        <w:tblLook w:val="04A0" w:firstRow="1" w:lastRow="0" w:firstColumn="1" w:lastColumn="0" w:noHBand="0" w:noVBand="1"/>
      </w:tblPr>
      <w:tblGrid>
        <w:gridCol w:w="1843"/>
        <w:gridCol w:w="919"/>
        <w:gridCol w:w="919"/>
        <w:gridCol w:w="1204"/>
        <w:gridCol w:w="1205"/>
        <w:gridCol w:w="1418"/>
        <w:gridCol w:w="992"/>
        <w:gridCol w:w="1229"/>
      </w:tblGrid>
      <w:tr w:rsidR="00515BEB" w:rsidRPr="00515BEB" w14:paraId="751C33D3" w14:textId="77777777" w:rsidTr="00066DFB">
        <w:trPr>
          <w:trHeight w:val="611"/>
          <w:jc w:val="center"/>
        </w:trPr>
        <w:tc>
          <w:tcPr>
            <w:tcW w:w="18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14:paraId="59B218CA" w14:textId="77777777" w:rsidR="000A459D" w:rsidRPr="00515BEB" w:rsidRDefault="000A459D" w:rsidP="00066DFB">
            <w:pPr>
              <w:spacing w:before="0" w:line="240" w:lineRule="auto"/>
              <w:jc w:val="center"/>
              <w:rPr>
                <w:rFonts w:ascii="Calibri" w:hAnsi="Calibri" w:cs="Calibri"/>
                <w:color w:val="FF0000"/>
                <w:sz w:val="20"/>
                <w:lang w:val="en-AU" w:eastAsia="en-AU"/>
              </w:rPr>
            </w:pPr>
          </w:p>
        </w:tc>
        <w:tc>
          <w:tcPr>
            <w:tcW w:w="1838"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206DE263" w14:textId="77777777" w:rsidR="000A459D" w:rsidRPr="00515BEB" w:rsidRDefault="000A459D" w:rsidP="00066DFB">
            <w:pPr>
              <w:spacing w:before="0" w:line="240" w:lineRule="auto"/>
              <w:jc w:val="center"/>
              <w:rPr>
                <w:rFonts w:ascii="Calibri" w:hAnsi="Calibri" w:cs="Calibri"/>
                <w:b/>
                <w:bCs/>
                <w:color w:val="FF0000"/>
                <w:sz w:val="20"/>
                <w:lang w:val="en-AU" w:eastAsia="en-AU"/>
              </w:rPr>
            </w:pPr>
            <w:r w:rsidRPr="00515BEB">
              <w:rPr>
                <w:rFonts w:ascii="Calibri" w:hAnsi="Calibri" w:cs="Calibri"/>
                <w:b/>
                <w:bCs/>
                <w:color w:val="FF0000"/>
                <w:sz w:val="20"/>
                <w:lang w:val="en-AU" w:eastAsia="en-AU"/>
              </w:rPr>
              <w:t>Personal harm</w:t>
            </w:r>
          </w:p>
          <w:p w14:paraId="3292C41C" w14:textId="77777777" w:rsidR="000A459D" w:rsidRPr="00515BEB" w:rsidRDefault="000A459D" w:rsidP="00066DFB">
            <w:pPr>
              <w:spacing w:before="0" w:line="240" w:lineRule="auto"/>
              <w:jc w:val="center"/>
              <w:rPr>
                <w:rFonts w:ascii="Calibri" w:hAnsi="Calibri" w:cs="Calibri"/>
                <w:b/>
                <w:bCs/>
                <w:color w:val="FF0000"/>
                <w:sz w:val="20"/>
                <w:lang w:val="en-AU" w:eastAsia="en-AU"/>
              </w:rPr>
            </w:pPr>
            <w:r w:rsidRPr="00515BEB">
              <w:rPr>
                <w:rFonts w:ascii="Calibri" w:hAnsi="Calibri" w:cs="Calibri"/>
                <w:b/>
                <w:bCs/>
                <w:color w:val="FF0000"/>
                <w:sz w:val="20"/>
                <w:lang w:val="en-AU" w:eastAsia="en-AU"/>
              </w:rPr>
              <w:t>($m per kilogram)</w:t>
            </w:r>
          </w:p>
        </w:tc>
        <w:tc>
          <w:tcPr>
            <w:tcW w:w="4819"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14:paraId="437A3F56" w14:textId="77777777" w:rsidR="000A459D" w:rsidRPr="00515BEB" w:rsidRDefault="000A459D" w:rsidP="00066DFB">
            <w:pPr>
              <w:spacing w:before="0" w:line="240" w:lineRule="auto"/>
              <w:jc w:val="center"/>
              <w:rPr>
                <w:rFonts w:ascii="Calibri" w:hAnsi="Calibri" w:cs="Calibri"/>
                <w:b/>
                <w:bCs/>
                <w:color w:val="FF0000"/>
                <w:sz w:val="20"/>
                <w:lang w:val="en-AU" w:eastAsia="en-AU"/>
              </w:rPr>
            </w:pPr>
            <w:r w:rsidRPr="00515BEB">
              <w:rPr>
                <w:rFonts w:ascii="Calibri" w:hAnsi="Calibri" w:cs="Calibri"/>
                <w:b/>
                <w:bCs/>
                <w:color w:val="FF0000"/>
                <w:sz w:val="20"/>
                <w:lang w:val="en-AU" w:eastAsia="en-AU"/>
              </w:rPr>
              <w:t>Community harm</w:t>
            </w:r>
          </w:p>
          <w:p w14:paraId="43DCA5ED" w14:textId="77777777" w:rsidR="000A459D" w:rsidRPr="00515BEB" w:rsidRDefault="000A459D" w:rsidP="00066DFB">
            <w:pPr>
              <w:spacing w:before="0" w:line="240" w:lineRule="auto"/>
              <w:jc w:val="center"/>
              <w:rPr>
                <w:rFonts w:ascii="Calibri" w:hAnsi="Calibri" w:cs="Calibri"/>
                <w:b/>
                <w:bCs/>
                <w:color w:val="FF0000"/>
                <w:sz w:val="20"/>
                <w:lang w:val="en-AU" w:eastAsia="en-AU"/>
              </w:rPr>
            </w:pPr>
            <w:r w:rsidRPr="00515BEB">
              <w:rPr>
                <w:rFonts w:ascii="Calibri" w:hAnsi="Calibri" w:cs="Calibri"/>
                <w:b/>
                <w:bCs/>
                <w:color w:val="FF0000"/>
                <w:sz w:val="20"/>
                <w:lang w:val="en-AU" w:eastAsia="en-AU"/>
              </w:rPr>
              <w:t>($m per kilogram)</w:t>
            </w:r>
          </w:p>
        </w:tc>
        <w:tc>
          <w:tcPr>
            <w:tcW w:w="122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02D64D38" w14:textId="77777777" w:rsidR="000A459D" w:rsidRPr="00515BEB" w:rsidRDefault="000A459D" w:rsidP="00066DFB">
            <w:pPr>
              <w:spacing w:before="0" w:line="240" w:lineRule="auto"/>
              <w:jc w:val="center"/>
              <w:rPr>
                <w:rFonts w:ascii="Calibri" w:hAnsi="Calibri" w:cs="Calibri"/>
                <w:b/>
                <w:bCs/>
                <w:color w:val="FF0000"/>
                <w:sz w:val="20"/>
                <w:lang w:val="en-AU" w:eastAsia="en-AU"/>
              </w:rPr>
            </w:pPr>
            <w:r w:rsidRPr="00515BEB">
              <w:rPr>
                <w:rFonts w:ascii="Calibri" w:hAnsi="Calibri" w:cs="Calibri"/>
                <w:b/>
                <w:bCs/>
                <w:color w:val="FF0000"/>
                <w:sz w:val="20"/>
                <w:lang w:val="en-AU" w:eastAsia="en-AU"/>
              </w:rPr>
              <w:t>Total Harm</w:t>
            </w:r>
          </w:p>
          <w:p w14:paraId="725D01D5" w14:textId="77777777" w:rsidR="000A459D" w:rsidRPr="00515BEB" w:rsidRDefault="000A459D" w:rsidP="00066DFB">
            <w:pPr>
              <w:spacing w:before="0" w:line="240" w:lineRule="auto"/>
              <w:jc w:val="center"/>
              <w:rPr>
                <w:rFonts w:ascii="Calibri" w:hAnsi="Calibri" w:cs="Calibri"/>
                <w:b/>
                <w:bCs/>
                <w:color w:val="FF0000"/>
                <w:sz w:val="20"/>
                <w:lang w:val="en-AU" w:eastAsia="en-AU"/>
              </w:rPr>
            </w:pPr>
            <w:r w:rsidRPr="00515BEB">
              <w:rPr>
                <w:rFonts w:ascii="Calibri" w:hAnsi="Calibri" w:cs="Calibri"/>
                <w:b/>
                <w:bCs/>
                <w:color w:val="FF0000"/>
                <w:sz w:val="20"/>
                <w:lang w:val="en-AU" w:eastAsia="en-AU"/>
              </w:rPr>
              <w:t>($m per kilogram)</w:t>
            </w:r>
          </w:p>
        </w:tc>
      </w:tr>
      <w:tr w:rsidR="00515BEB" w:rsidRPr="00515BEB" w14:paraId="312D2479" w14:textId="77777777" w:rsidTr="00066DFB">
        <w:trPr>
          <w:trHeight w:val="846"/>
          <w:jc w:val="center"/>
        </w:trPr>
        <w:tc>
          <w:tcPr>
            <w:tcW w:w="18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14:paraId="55FD28B3" w14:textId="77777777" w:rsidR="000A459D" w:rsidRPr="00515BEB" w:rsidRDefault="000A459D" w:rsidP="00066DFB">
            <w:pPr>
              <w:spacing w:before="0" w:line="240" w:lineRule="auto"/>
              <w:rPr>
                <w:rFonts w:ascii="Calibri" w:hAnsi="Calibri" w:cs="Calibri"/>
                <w:b/>
                <w:bCs/>
                <w:color w:val="FF0000"/>
                <w:sz w:val="20"/>
                <w:lang w:val="en-AU" w:eastAsia="en-AU"/>
              </w:rPr>
            </w:pPr>
            <w:r w:rsidRPr="00515BEB">
              <w:rPr>
                <w:rFonts w:ascii="Calibri" w:hAnsi="Calibri" w:cs="Calibri"/>
                <w:b/>
                <w:bCs/>
                <w:color w:val="FF0000"/>
                <w:sz w:val="20"/>
                <w:lang w:val="en-AU" w:eastAsia="en-AU"/>
              </w:rPr>
              <w:t>Drug Type</w:t>
            </w:r>
          </w:p>
        </w:tc>
        <w:tc>
          <w:tcPr>
            <w:tcW w:w="91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6C0F4F63" w14:textId="77777777" w:rsidR="000A459D" w:rsidRPr="00515BEB" w:rsidRDefault="000A459D" w:rsidP="00066DFB">
            <w:pPr>
              <w:spacing w:before="0" w:line="240" w:lineRule="auto"/>
              <w:jc w:val="center"/>
              <w:rPr>
                <w:rFonts w:ascii="Calibri" w:hAnsi="Calibri" w:cs="Calibri"/>
                <w:b/>
                <w:bCs/>
                <w:color w:val="FF0000"/>
                <w:sz w:val="20"/>
                <w:lang w:val="en-AU" w:eastAsia="en-AU"/>
              </w:rPr>
            </w:pPr>
            <w:r w:rsidRPr="00515BEB">
              <w:rPr>
                <w:rFonts w:ascii="Calibri" w:hAnsi="Calibri" w:cs="Calibri"/>
                <w:b/>
                <w:bCs/>
                <w:color w:val="FF0000"/>
                <w:sz w:val="20"/>
                <w:lang w:val="en-AU" w:eastAsia="en-AU"/>
              </w:rPr>
              <w:t>Loss of life</w:t>
            </w:r>
          </w:p>
        </w:tc>
        <w:tc>
          <w:tcPr>
            <w:tcW w:w="91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22658C8B" w14:textId="77777777" w:rsidR="000A459D" w:rsidRPr="00515BEB" w:rsidRDefault="000A459D" w:rsidP="00066DFB">
            <w:pPr>
              <w:spacing w:before="0" w:line="240" w:lineRule="auto"/>
              <w:jc w:val="center"/>
              <w:rPr>
                <w:rFonts w:ascii="Calibri" w:hAnsi="Calibri" w:cs="Calibri"/>
                <w:b/>
                <w:bCs/>
                <w:color w:val="FF0000"/>
                <w:sz w:val="20"/>
                <w:lang w:val="en-AU" w:eastAsia="en-AU"/>
              </w:rPr>
            </w:pPr>
            <w:r w:rsidRPr="00515BEB">
              <w:rPr>
                <w:rFonts w:ascii="Calibri" w:hAnsi="Calibri" w:cs="Calibri"/>
                <w:b/>
                <w:bCs/>
                <w:color w:val="FF0000"/>
                <w:sz w:val="20"/>
                <w:lang w:val="en-AU" w:eastAsia="en-AU"/>
              </w:rPr>
              <w:t>Loss of quality of life</w:t>
            </w:r>
          </w:p>
        </w:tc>
        <w:tc>
          <w:tcPr>
            <w:tcW w:w="120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2CCD627A" w14:textId="77777777" w:rsidR="000A459D" w:rsidRPr="00515BEB" w:rsidRDefault="000A459D" w:rsidP="00066DFB">
            <w:pPr>
              <w:spacing w:before="0" w:line="240" w:lineRule="auto"/>
              <w:jc w:val="center"/>
              <w:rPr>
                <w:rFonts w:ascii="Calibri" w:hAnsi="Calibri" w:cs="Calibri"/>
                <w:b/>
                <w:bCs/>
                <w:color w:val="FF0000"/>
                <w:sz w:val="20"/>
                <w:lang w:val="en-AU" w:eastAsia="en-AU"/>
              </w:rPr>
            </w:pPr>
            <w:r w:rsidRPr="00515BEB">
              <w:rPr>
                <w:rFonts w:ascii="Calibri" w:hAnsi="Calibri" w:cs="Calibri"/>
                <w:b/>
                <w:bCs/>
                <w:color w:val="FF0000"/>
                <w:sz w:val="20"/>
                <w:lang w:val="en-AU" w:eastAsia="en-AU"/>
              </w:rPr>
              <w:t>Harm to family &amp; friends</w:t>
            </w:r>
          </w:p>
        </w:tc>
        <w:tc>
          <w:tcPr>
            <w:tcW w:w="120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5E479BB7" w14:textId="77777777" w:rsidR="000A459D" w:rsidRPr="00515BEB" w:rsidRDefault="000A459D" w:rsidP="00066DFB">
            <w:pPr>
              <w:spacing w:before="0" w:line="240" w:lineRule="auto"/>
              <w:jc w:val="center"/>
              <w:rPr>
                <w:rFonts w:ascii="Calibri" w:hAnsi="Calibri" w:cs="Calibri"/>
                <w:b/>
                <w:bCs/>
                <w:color w:val="FF0000"/>
                <w:sz w:val="20"/>
                <w:lang w:val="en-AU" w:eastAsia="en-AU"/>
              </w:rPr>
            </w:pPr>
            <w:r w:rsidRPr="00515BEB">
              <w:rPr>
                <w:rFonts w:ascii="Calibri" w:hAnsi="Calibri" w:cs="Calibri"/>
                <w:b/>
                <w:bCs/>
                <w:color w:val="FF0000"/>
                <w:sz w:val="20"/>
                <w:lang w:val="en-AU" w:eastAsia="en-AU"/>
              </w:rPr>
              <w:t>Acquisitive crime</w:t>
            </w:r>
          </w:p>
        </w:tc>
        <w:tc>
          <w:tcPr>
            <w:tcW w:w="141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7C2D9A90" w14:textId="77777777" w:rsidR="000A459D" w:rsidRPr="00515BEB" w:rsidRDefault="000A459D" w:rsidP="00066DFB">
            <w:pPr>
              <w:spacing w:before="0" w:line="240" w:lineRule="auto"/>
              <w:jc w:val="center"/>
              <w:rPr>
                <w:rFonts w:ascii="Calibri" w:hAnsi="Calibri" w:cs="Calibri"/>
                <w:b/>
                <w:bCs/>
                <w:color w:val="FF0000"/>
                <w:sz w:val="20"/>
                <w:lang w:val="en-AU" w:eastAsia="en-AU"/>
              </w:rPr>
            </w:pPr>
            <w:r w:rsidRPr="00515BEB">
              <w:rPr>
                <w:rFonts w:ascii="Calibri" w:hAnsi="Calibri" w:cs="Calibri"/>
                <w:b/>
                <w:bCs/>
                <w:color w:val="FF0000"/>
                <w:sz w:val="20"/>
                <w:lang w:val="en-AU" w:eastAsia="en-AU"/>
              </w:rPr>
              <w:t>Reinvestment into other crimes</w:t>
            </w:r>
          </w:p>
        </w:tc>
        <w:tc>
          <w:tcPr>
            <w:tcW w:w="99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7C8F7368" w14:textId="77777777" w:rsidR="000A459D" w:rsidRPr="00515BEB" w:rsidRDefault="000A459D" w:rsidP="00066DFB">
            <w:pPr>
              <w:spacing w:before="0" w:line="240" w:lineRule="auto"/>
              <w:jc w:val="center"/>
              <w:rPr>
                <w:rFonts w:ascii="Calibri" w:hAnsi="Calibri" w:cs="Calibri"/>
                <w:b/>
                <w:bCs/>
                <w:color w:val="FF0000"/>
                <w:sz w:val="20"/>
                <w:lang w:val="en-AU" w:eastAsia="en-AU"/>
              </w:rPr>
            </w:pPr>
            <w:r w:rsidRPr="00515BEB">
              <w:rPr>
                <w:rFonts w:ascii="Calibri" w:hAnsi="Calibri" w:cs="Calibri"/>
                <w:b/>
                <w:bCs/>
                <w:color w:val="FF0000"/>
                <w:sz w:val="20"/>
                <w:lang w:val="en-AU" w:eastAsia="en-AU"/>
              </w:rPr>
              <w:t>Tax revenue foregone</w:t>
            </w:r>
          </w:p>
        </w:tc>
        <w:tc>
          <w:tcPr>
            <w:tcW w:w="122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264B489B" w14:textId="77777777" w:rsidR="000A459D" w:rsidRPr="00515BEB" w:rsidRDefault="000A459D" w:rsidP="00066DFB">
            <w:pPr>
              <w:spacing w:before="0" w:line="240" w:lineRule="auto"/>
              <w:jc w:val="center"/>
              <w:rPr>
                <w:rFonts w:ascii="Calibri" w:hAnsi="Calibri" w:cs="Calibri"/>
                <w:b/>
                <w:bCs/>
                <w:color w:val="FF0000"/>
                <w:sz w:val="20"/>
                <w:lang w:val="en-AU" w:eastAsia="en-AU"/>
              </w:rPr>
            </w:pPr>
            <w:r w:rsidRPr="00515BEB">
              <w:rPr>
                <w:rFonts w:ascii="Calibri" w:hAnsi="Calibri" w:cs="Calibri"/>
                <w:b/>
                <w:bCs/>
                <w:color w:val="FF0000"/>
                <w:sz w:val="20"/>
                <w:lang w:val="en-AU" w:eastAsia="en-AU"/>
              </w:rPr>
              <w:t>Total</w:t>
            </w:r>
          </w:p>
        </w:tc>
      </w:tr>
      <w:tr w:rsidR="00515BEB" w:rsidRPr="00515BEB" w14:paraId="7BAA0492" w14:textId="77777777" w:rsidTr="00066DFB">
        <w:trPr>
          <w:trHeight w:val="614"/>
          <w:jc w:val="center"/>
        </w:trPr>
        <w:tc>
          <w:tcPr>
            <w:tcW w:w="1843" w:type="dxa"/>
            <w:tcBorders>
              <w:top w:val="single" w:sz="4" w:space="0" w:color="548DD4" w:themeColor="text2" w:themeTint="99"/>
              <w:left w:val="single" w:sz="4" w:space="0" w:color="548DD4" w:themeColor="text2" w:themeTint="99"/>
              <w:right w:val="single" w:sz="4" w:space="0" w:color="548DD4" w:themeColor="text2" w:themeTint="99"/>
            </w:tcBorders>
            <w:shd w:val="clear" w:color="auto" w:fill="auto"/>
            <w:vAlign w:val="center"/>
            <w:hideMark/>
          </w:tcPr>
          <w:p w14:paraId="2BDCF858" w14:textId="77777777" w:rsidR="000A459D" w:rsidRPr="00515BEB" w:rsidRDefault="000A459D" w:rsidP="00066DFB">
            <w:pPr>
              <w:spacing w:before="0" w:line="240" w:lineRule="auto"/>
              <w:rPr>
                <w:rFonts w:ascii="Calibri" w:hAnsi="Calibri" w:cs="Calibri"/>
                <w:color w:val="FF0000"/>
                <w:sz w:val="20"/>
                <w:lang w:val="en-AU" w:eastAsia="en-AU"/>
              </w:rPr>
            </w:pPr>
            <w:r w:rsidRPr="00515BEB">
              <w:rPr>
                <w:rFonts w:ascii="Calibri" w:hAnsi="Calibri" w:cs="Calibri"/>
                <w:color w:val="FF0000"/>
                <w:sz w:val="20"/>
                <w:lang w:val="en-AU" w:eastAsia="en-AU"/>
              </w:rPr>
              <w:t>Methamphetamine</w:t>
            </w:r>
          </w:p>
        </w:tc>
        <w:tc>
          <w:tcPr>
            <w:tcW w:w="919" w:type="dxa"/>
            <w:tcBorders>
              <w:top w:val="single" w:sz="4" w:space="0" w:color="548DD4" w:themeColor="text2" w:themeTint="99"/>
              <w:left w:val="single" w:sz="4" w:space="0" w:color="548DD4" w:themeColor="text2" w:themeTint="99"/>
              <w:right w:val="single" w:sz="4" w:space="0" w:color="548DD4" w:themeColor="text2" w:themeTint="99"/>
            </w:tcBorders>
            <w:shd w:val="clear" w:color="auto" w:fill="auto"/>
            <w:noWrap/>
            <w:vAlign w:val="center"/>
          </w:tcPr>
          <w:p w14:paraId="57301F42" w14:textId="77777777" w:rsidR="000A459D" w:rsidRPr="00515BEB" w:rsidRDefault="000A459D" w:rsidP="00066DFB">
            <w:pPr>
              <w:spacing w:before="0" w:line="240" w:lineRule="auto"/>
              <w:jc w:val="center"/>
              <w:rPr>
                <w:rFonts w:ascii="Calibri" w:hAnsi="Calibri" w:cs="Calibri"/>
                <w:color w:val="FF0000"/>
                <w:sz w:val="20"/>
                <w:lang w:val="en-AU" w:eastAsia="en-AU"/>
              </w:rPr>
            </w:pPr>
            <w:r w:rsidRPr="00515BEB">
              <w:rPr>
                <w:rFonts w:ascii="Calibri" w:hAnsi="Calibri" w:cs="Calibri"/>
                <w:color w:val="FF0000"/>
                <w:sz w:val="20"/>
                <w:lang w:val="en-AU" w:eastAsia="en-AU"/>
              </w:rPr>
              <w:t>1.430</w:t>
            </w:r>
          </w:p>
        </w:tc>
        <w:tc>
          <w:tcPr>
            <w:tcW w:w="919" w:type="dxa"/>
            <w:tcBorders>
              <w:top w:val="single" w:sz="4" w:space="0" w:color="548DD4" w:themeColor="text2" w:themeTint="99"/>
              <w:left w:val="single" w:sz="4" w:space="0" w:color="548DD4" w:themeColor="text2" w:themeTint="99"/>
              <w:right w:val="single" w:sz="4" w:space="0" w:color="548DD4" w:themeColor="text2" w:themeTint="99"/>
            </w:tcBorders>
            <w:shd w:val="clear" w:color="auto" w:fill="auto"/>
            <w:noWrap/>
            <w:vAlign w:val="center"/>
          </w:tcPr>
          <w:p w14:paraId="6C2C1844" w14:textId="77777777" w:rsidR="000A459D" w:rsidRPr="00515BEB" w:rsidRDefault="000A459D" w:rsidP="00066DFB">
            <w:pPr>
              <w:spacing w:before="0" w:line="240" w:lineRule="auto"/>
              <w:jc w:val="center"/>
              <w:rPr>
                <w:rFonts w:ascii="Calibri" w:hAnsi="Calibri" w:cs="Calibri"/>
                <w:color w:val="FF0000"/>
                <w:sz w:val="20"/>
                <w:lang w:val="en-AU" w:eastAsia="en-AU"/>
              </w:rPr>
            </w:pPr>
            <w:r w:rsidRPr="00515BEB">
              <w:rPr>
                <w:rFonts w:ascii="Calibri" w:hAnsi="Calibri" w:cs="Calibri"/>
                <w:color w:val="FF0000"/>
                <w:sz w:val="20"/>
                <w:lang w:val="en-AU" w:eastAsia="en-AU"/>
              </w:rPr>
              <w:t>0.934</w:t>
            </w:r>
          </w:p>
        </w:tc>
        <w:tc>
          <w:tcPr>
            <w:tcW w:w="1204" w:type="dxa"/>
            <w:tcBorders>
              <w:top w:val="single" w:sz="4" w:space="0" w:color="548DD4" w:themeColor="text2" w:themeTint="99"/>
              <w:left w:val="single" w:sz="4" w:space="0" w:color="548DD4" w:themeColor="text2" w:themeTint="99"/>
              <w:right w:val="single" w:sz="4" w:space="0" w:color="548DD4" w:themeColor="text2" w:themeTint="99"/>
            </w:tcBorders>
            <w:shd w:val="clear" w:color="auto" w:fill="auto"/>
            <w:noWrap/>
            <w:vAlign w:val="center"/>
          </w:tcPr>
          <w:p w14:paraId="72ABDB1E" w14:textId="77777777" w:rsidR="000A459D" w:rsidRPr="00515BEB" w:rsidRDefault="000A459D" w:rsidP="00066DFB">
            <w:pPr>
              <w:spacing w:before="0" w:line="240" w:lineRule="auto"/>
              <w:jc w:val="center"/>
              <w:rPr>
                <w:rFonts w:ascii="Calibri" w:hAnsi="Calibri" w:cs="Calibri"/>
                <w:color w:val="FF0000"/>
                <w:sz w:val="20"/>
                <w:lang w:val="en-AU" w:eastAsia="en-AU"/>
              </w:rPr>
            </w:pPr>
            <w:r w:rsidRPr="00515BEB">
              <w:rPr>
                <w:rFonts w:ascii="Calibri" w:hAnsi="Calibri" w:cs="Calibri"/>
                <w:color w:val="FF0000"/>
                <w:sz w:val="20"/>
                <w:lang w:val="en-AU" w:eastAsia="en-AU"/>
              </w:rPr>
              <w:t>1.487</w:t>
            </w:r>
          </w:p>
        </w:tc>
        <w:tc>
          <w:tcPr>
            <w:tcW w:w="1205" w:type="dxa"/>
            <w:tcBorders>
              <w:top w:val="single" w:sz="4" w:space="0" w:color="548DD4" w:themeColor="text2" w:themeTint="99"/>
              <w:left w:val="single" w:sz="4" w:space="0" w:color="548DD4" w:themeColor="text2" w:themeTint="99"/>
              <w:right w:val="single" w:sz="4" w:space="0" w:color="548DD4" w:themeColor="text2" w:themeTint="99"/>
            </w:tcBorders>
            <w:shd w:val="clear" w:color="auto" w:fill="auto"/>
            <w:noWrap/>
            <w:vAlign w:val="center"/>
          </w:tcPr>
          <w:p w14:paraId="4601F5D3" w14:textId="77777777" w:rsidR="000A459D" w:rsidRPr="00515BEB" w:rsidRDefault="000A459D" w:rsidP="00066DFB">
            <w:pPr>
              <w:spacing w:before="0" w:line="240" w:lineRule="auto"/>
              <w:jc w:val="center"/>
              <w:rPr>
                <w:rFonts w:ascii="Calibri" w:hAnsi="Calibri" w:cs="Calibri"/>
                <w:color w:val="FF0000"/>
                <w:sz w:val="20"/>
                <w:lang w:val="en-AU" w:eastAsia="en-AU"/>
              </w:rPr>
            </w:pPr>
            <w:r w:rsidRPr="00515BEB">
              <w:rPr>
                <w:rFonts w:ascii="Calibri" w:hAnsi="Calibri" w:cs="Calibri"/>
                <w:color w:val="FF0000"/>
                <w:sz w:val="20"/>
                <w:lang w:val="en-AU" w:eastAsia="en-AU"/>
              </w:rPr>
              <w:t>0.563</w:t>
            </w:r>
          </w:p>
        </w:tc>
        <w:tc>
          <w:tcPr>
            <w:tcW w:w="1418" w:type="dxa"/>
            <w:tcBorders>
              <w:top w:val="single" w:sz="4" w:space="0" w:color="548DD4" w:themeColor="text2" w:themeTint="99"/>
              <w:left w:val="single" w:sz="4" w:space="0" w:color="548DD4" w:themeColor="text2" w:themeTint="99"/>
              <w:right w:val="single" w:sz="4" w:space="0" w:color="548DD4" w:themeColor="text2" w:themeTint="99"/>
            </w:tcBorders>
            <w:shd w:val="clear" w:color="auto" w:fill="auto"/>
            <w:noWrap/>
            <w:vAlign w:val="center"/>
          </w:tcPr>
          <w:p w14:paraId="54407718" w14:textId="77777777" w:rsidR="000A459D" w:rsidRPr="00515BEB" w:rsidRDefault="000A459D" w:rsidP="00066DFB">
            <w:pPr>
              <w:spacing w:before="0" w:line="240" w:lineRule="auto"/>
              <w:jc w:val="center"/>
              <w:rPr>
                <w:rFonts w:ascii="Calibri" w:hAnsi="Calibri" w:cs="Calibri"/>
                <w:color w:val="FF0000"/>
                <w:sz w:val="20"/>
                <w:lang w:val="en-AU" w:eastAsia="en-AU"/>
              </w:rPr>
            </w:pPr>
            <w:r w:rsidRPr="00515BEB">
              <w:rPr>
                <w:rFonts w:ascii="Calibri" w:hAnsi="Calibri" w:cs="Calibri"/>
                <w:color w:val="FF0000"/>
                <w:sz w:val="20"/>
                <w:lang w:val="en-AU" w:eastAsia="en-AU"/>
              </w:rPr>
              <w:t>0.018</w:t>
            </w:r>
          </w:p>
        </w:tc>
        <w:tc>
          <w:tcPr>
            <w:tcW w:w="992" w:type="dxa"/>
            <w:tcBorders>
              <w:top w:val="single" w:sz="4" w:space="0" w:color="548DD4" w:themeColor="text2" w:themeTint="99"/>
              <w:left w:val="single" w:sz="4" w:space="0" w:color="548DD4" w:themeColor="text2" w:themeTint="99"/>
              <w:right w:val="single" w:sz="4" w:space="0" w:color="548DD4" w:themeColor="text2" w:themeTint="99"/>
            </w:tcBorders>
            <w:shd w:val="clear" w:color="auto" w:fill="auto"/>
            <w:noWrap/>
            <w:vAlign w:val="center"/>
          </w:tcPr>
          <w:p w14:paraId="4825AC95" w14:textId="77777777" w:rsidR="000A459D" w:rsidRPr="00515BEB" w:rsidRDefault="000A459D" w:rsidP="00066DFB">
            <w:pPr>
              <w:spacing w:before="0" w:line="240" w:lineRule="auto"/>
              <w:jc w:val="center"/>
              <w:rPr>
                <w:rFonts w:ascii="Calibri" w:hAnsi="Calibri" w:cs="Calibri"/>
                <w:color w:val="FF0000"/>
                <w:sz w:val="20"/>
                <w:lang w:val="en-AU" w:eastAsia="en-AU"/>
              </w:rPr>
            </w:pPr>
            <w:r w:rsidRPr="00515BEB">
              <w:rPr>
                <w:rFonts w:ascii="Calibri" w:hAnsi="Calibri" w:cs="Calibri"/>
                <w:color w:val="FF0000"/>
                <w:sz w:val="20"/>
                <w:lang w:val="en-AU" w:eastAsia="en-AU"/>
              </w:rPr>
              <w:t>0.069</w:t>
            </w:r>
          </w:p>
        </w:tc>
        <w:tc>
          <w:tcPr>
            <w:tcW w:w="1229" w:type="dxa"/>
            <w:tcBorders>
              <w:top w:val="single" w:sz="4" w:space="0" w:color="548DD4" w:themeColor="text2" w:themeTint="99"/>
              <w:left w:val="single" w:sz="4" w:space="0" w:color="548DD4" w:themeColor="text2" w:themeTint="99"/>
              <w:right w:val="single" w:sz="4" w:space="0" w:color="548DD4" w:themeColor="text2" w:themeTint="99"/>
            </w:tcBorders>
            <w:shd w:val="clear" w:color="auto" w:fill="auto"/>
            <w:noWrap/>
            <w:vAlign w:val="center"/>
          </w:tcPr>
          <w:p w14:paraId="685ABA4D" w14:textId="77777777" w:rsidR="000A459D" w:rsidRPr="00515BEB" w:rsidRDefault="000A459D" w:rsidP="00066DFB">
            <w:pPr>
              <w:spacing w:before="0" w:line="240" w:lineRule="auto"/>
              <w:jc w:val="center"/>
              <w:rPr>
                <w:rFonts w:ascii="Calibri" w:hAnsi="Calibri" w:cs="Calibri"/>
                <w:color w:val="FF0000"/>
                <w:sz w:val="20"/>
                <w:lang w:val="en-AU" w:eastAsia="en-AU"/>
              </w:rPr>
            </w:pPr>
            <w:r w:rsidRPr="00515BEB">
              <w:rPr>
                <w:rFonts w:ascii="Calibri" w:hAnsi="Calibri" w:cs="Calibri"/>
                <w:color w:val="FF0000"/>
                <w:sz w:val="20"/>
                <w:lang w:val="en-AU" w:eastAsia="en-AU"/>
              </w:rPr>
              <w:t>4.501</w:t>
            </w:r>
          </w:p>
        </w:tc>
      </w:tr>
      <w:tr w:rsidR="00515BEB" w:rsidRPr="00515BEB" w14:paraId="1FD3B930" w14:textId="77777777" w:rsidTr="00066DFB">
        <w:trPr>
          <w:trHeight w:val="614"/>
          <w:jc w:val="center"/>
        </w:trPr>
        <w:tc>
          <w:tcPr>
            <w:tcW w:w="1843" w:type="dxa"/>
            <w:tcBorders>
              <w:left w:val="single" w:sz="4" w:space="0" w:color="548DD4" w:themeColor="text2" w:themeTint="99"/>
              <w:right w:val="single" w:sz="4" w:space="0" w:color="548DD4" w:themeColor="text2" w:themeTint="99"/>
            </w:tcBorders>
            <w:shd w:val="clear" w:color="auto" w:fill="auto"/>
            <w:vAlign w:val="center"/>
          </w:tcPr>
          <w:p w14:paraId="447E44C2" w14:textId="77777777" w:rsidR="000A459D" w:rsidRPr="00515BEB" w:rsidRDefault="000A459D" w:rsidP="00066DFB">
            <w:pPr>
              <w:spacing w:before="0" w:line="240" w:lineRule="auto"/>
              <w:rPr>
                <w:rFonts w:ascii="Calibri" w:hAnsi="Calibri" w:cs="Calibri"/>
                <w:color w:val="FF0000"/>
                <w:sz w:val="20"/>
                <w:lang w:val="en-AU" w:eastAsia="en-AU"/>
              </w:rPr>
            </w:pPr>
            <w:r w:rsidRPr="00515BEB">
              <w:rPr>
                <w:rFonts w:ascii="Calibri" w:hAnsi="Calibri" w:cs="Calibri"/>
                <w:color w:val="FF0000"/>
                <w:sz w:val="20"/>
                <w:lang w:val="en-AU" w:eastAsia="en-AU"/>
              </w:rPr>
              <w:t>Cocaine</w:t>
            </w:r>
          </w:p>
        </w:tc>
        <w:tc>
          <w:tcPr>
            <w:tcW w:w="919" w:type="dxa"/>
            <w:tcBorders>
              <w:left w:val="single" w:sz="4" w:space="0" w:color="548DD4" w:themeColor="text2" w:themeTint="99"/>
              <w:right w:val="single" w:sz="4" w:space="0" w:color="548DD4" w:themeColor="text2" w:themeTint="99"/>
            </w:tcBorders>
            <w:shd w:val="clear" w:color="auto" w:fill="auto"/>
            <w:noWrap/>
            <w:vAlign w:val="center"/>
          </w:tcPr>
          <w:p w14:paraId="3B2099B9" w14:textId="77777777" w:rsidR="000A459D" w:rsidRPr="00515BEB" w:rsidRDefault="000A459D" w:rsidP="00066DFB">
            <w:pPr>
              <w:spacing w:before="0" w:line="240" w:lineRule="auto"/>
              <w:jc w:val="center"/>
              <w:rPr>
                <w:rFonts w:ascii="Calibri" w:hAnsi="Calibri" w:cs="Calibri"/>
                <w:color w:val="FF0000"/>
                <w:sz w:val="20"/>
                <w:lang w:val="en-AU" w:eastAsia="en-AU"/>
              </w:rPr>
            </w:pPr>
            <w:r w:rsidRPr="00515BEB">
              <w:rPr>
                <w:rFonts w:ascii="Calibri" w:hAnsi="Calibri" w:cs="Calibri"/>
                <w:color w:val="FF0000"/>
                <w:sz w:val="20"/>
                <w:lang w:val="en-AU" w:eastAsia="en-AU"/>
              </w:rPr>
              <w:t>0.385</w:t>
            </w:r>
          </w:p>
        </w:tc>
        <w:tc>
          <w:tcPr>
            <w:tcW w:w="919" w:type="dxa"/>
            <w:tcBorders>
              <w:left w:val="single" w:sz="4" w:space="0" w:color="548DD4" w:themeColor="text2" w:themeTint="99"/>
              <w:right w:val="single" w:sz="4" w:space="0" w:color="548DD4" w:themeColor="text2" w:themeTint="99"/>
            </w:tcBorders>
            <w:shd w:val="clear" w:color="auto" w:fill="auto"/>
            <w:noWrap/>
            <w:vAlign w:val="center"/>
          </w:tcPr>
          <w:p w14:paraId="6CB6207A" w14:textId="77777777" w:rsidR="000A459D" w:rsidRPr="00515BEB" w:rsidRDefault="000A459D" w:rsidP="00066DFB">
            <w:pPr>
              <w:spacing w:before="0" w:line="240" w:lineRule="auto"/>
              <w:jc w:val="center"/>
              <w:rPr>
                <w:rFonts w:ascii="Calibri" w:hAnsi="Calibri" w:cs="Calibri"/>
                <w:color w:val="FF0000"/>
                <w:sz w:val="20"/>
                <w:lang w:val="en-AU" w:eastAsia="en-AU"/>
              </w:rPr>
            </w:pPr>
            <w:r w:rsidRPr="00515BEB">
              <w:rPr>
                <w:rFonts w:ascii="Calibri" w:hAnsi="Calibri" w:cs="Calibri"/>
                <w:color w:val="FF0000"/>
                <w:sz w:val="20"/>
                <w:lang w:val="en-AU" w:eastAsia="en-AU"/>
              </w:rPr>
              <w:t>0.163</w:t>
            </w:r>
          </w:p>
        </w:tc>
        <w:tc>
          <w:tcPr>
            <w:tcW w:w="1204" w:type="dxa"/>
            <w:tcBorders>
              <w:left w:val="single" w:sz="4" w:space="0" w:color="548DD4" w:themeColor="text2" w:themeTint="99"/>
              <w:right w:val="single" w:sz="4" w:space="0" w:color="548DD4" w:themeColor="text2" w:themeTint="99"/>
            </w:tcBorders>
            <w:shd w:val="clear" w:color="auto" w:fill="auto"/>
            <w:noWrap/>
            <w:vAlign w:val="center"/>
          </w:tcPr>
          <w:p w14:paraId="2208D318" w14:textId="77777777" w:rsidR="000A459D" w:rsidRPr="00515BEB" w:rsidRDefault="000A459D" w:rsidP="00066DFB">
            <w:pPr>
              <w:spacing w:before="0" w:line="240" w:lineRule="auto"/>
              <w:jc w:val="center"/>
              <w:rPr>
                <w:rFonts w:ascii="Calibri" w:hAnsi="Calibri" w:cs="Calibri"/>
                <w:color w:val="FF0000"/>
                <w:sz w:val="20"/>
                <w:lang w:val="en-AU" w:eastAsia="en-AU"/>
              </w:rPr>
            </w:pPr>
            <w:r w:rsidRPr="00515BEB">
              <w:rPr>
                <w:rFonts w:ascii="Calibri" w:hAnsi="Calibri" w:cs="Calibri"/>
                <w:color w:val="FF0000"/>
                <w:sz w:val="20"/>
                <w:lang w:val="en-AU" w:eastAsia="en-AU"/>
              </w:rPr>
              <w:t>0.226</w:t>
            </w:r>
          </w:p>
        </w:tc>
        <w:tc>
          <w:tcPr>
            <w:tcW w:w="1205" w:type="dxa"/>
            <w:tcBorders>
              <w:left w:val="single" w:sz="4" w:space="0" w:color="548DD4" w:themeColor="text2" w:themeTint="99"/>
              <w:right w:val="single" w:sz="4" w:space="0" w:color="548DD4" w:themeColor="text2" w:themeTint="99"/>
            </w:tcBorders>
            <w:shd w:val="clear" w:color="auto" w:fill="auto"/>
            <w:noWrap/>
            <w:vAlign w:val="center"/>
          </w:tcPr>
          <w:p w14:paraId="4797136A" w14:textId="77777777" w:rsidR="000A459D" w:rsidRPr="00515BEB" w:rsidRDefault="000A459D" w:rsidP="00066DFB">
            <w:pPr>
              <w:spacing w:before="0" w:line="240" w:lineRule="auto"/>
              <w:jc w:val="center"/>
              <w:rPr>
                <w:rFonts w:ascii="Calibri" w:hAnsi="Calibri" w:cs="Calibri"/>
                <w:color w:val="FF0000"/>
                <w:sz w:val="20"/>
                <w:lang w:val="en-AU" w:eastAsia="en-AU"/>
              </w:rPr>
            </w:pPr>
            <w:r w:rsidRPr="00515BEB">
              <w:rPr>
                <w:rFonts w:ascii="Calibri" w:hAnsi="Calibri" w:cs="Calibri"/>
                <w:color w:val="FF0000"/>
                <w:sz w:val="20"/>
                <w:lang w:val="en-AU" w:eastAsia="en-AU"/>
              </w:rPr>
              <w:t>0.086</w:t>
            </w:r>
          </w:p>
        </w:tc>
        <w:tc>
          <w:tcPr>
            <w:tcW w:w="1418" w:type="dxa"/>
            <w:tcBorders>
              <w:left w:val="single" w:sz="4" w:space="0" w:color="548DD4" w:themeColor="text2" w:themeTint="99"/>
              <w:right w:val="single" w:sz="4" w:space="0" w:color="548DD4" w:themeColor="text2" w:themeTint="99"/>
            </w:tcBorders>
            <w:shd w:val="clear" w:color="auto" w:fill="auto"/>
            <w:noWrap/>
            <w:vAlign w:val="center"/>
          </w:tcPr>
          <w:p w14:paraId="09D09F3B" w14:textId="77777777" w:rsidR="000A459D" w:rsidRPr="00515BEB" w:rsidRDefault="000A459D" w:rsidP="00066DFB">
            <w:pPr>
              <w:spacing w:before="0" w:line="240" w:lineRule="auto"/>
              <w:jc w:val="center"/>
              <w:rPr>
                <w:rFonts w:ascii="Calibri" w:hAnsi="Calibri" w:cs="Calibri"/>
                <w:color w:val="FF0000"/>
                <w:sz w:val="20"/>
                <w:lang w:val="en-AU" w:eastAsia="en-AU"/>
              </w:rPr>
            </w:pPr>
            <w:r w:rsidRPr="00515BEB">
              <w:rPr>
                <w:rFonts w:ascii="Calibri" w:hAnsi="Calibri" w:cs="Calibri"/>
                <w:color w:val="FF0000"/>
                <w:sz w:val="20"/>
                <w:lang w:val="en-AU" w:eastAsia="en-AU"/>
              </w:rPr>
              <w:t>0.021</w:t>
            </w:r>
          </w:p>
        </w:tc>
        <w:tc>
          <w:tcPr>
            <w:tcW w:w="992" w:type="dxa"/>
            <w:tcBorders>
              <w:left w:val="single" w:sz="4" w:space="0" w:color="548DD4" w:themeColor="text2" w:themeTint="99"/>
              <w:right w:val="single" w:sz="4" w:space="0" w:color="548DD4" w:themeColor="text2" w:themeTint="99"/>
            </w:tcBorders>
            <w:shd w:val="clear" w:color="auto" w:fill="auto"/>
            <w:noWrap/>
            <w:vAlign w:val="center"/>
          </w:tcPr>
          <w:p w14:paraId="2379461E" w14:textId="77777777" w:rsidR="000A459D" w:rsidRPr="00515BEB" w:rsidRDefault="000A459D" w:rsidP="00066DFB">
            <w:pPr>
              <w:spacing w:before="0" w:line="240" w:lineRule="auto"/>
              <w:jc w:val="center"/>
              <w:rPr>
                <w:rFonts w:ascii="Calibri" w:hAnsi="Calibri" w:cs="Calibri"/>
                <w:color w:val="FF0000"/>
                <w:sz w:val="20"/>
                <w:lang w:val="en-AU" w:eastAsia="en-AU"/>
              </w:rPr>
            </w:pPr>
            <w:r w:rsidRPr="00515BEB">
              <w:rPr>
                <w:rFonts w:ascii="Calibri" w:hAnsi="Calibri" w:cs="Calibri"/>
                <w:color w:val="FF0000"/>
                <w:sz w:val="20"/>
                <w:lang w:val="en-AU" w:eastAsia="en-AU"/>
              </w:rPr>
              <w:t>0.081</w:t>
            </w:r>
          </w:p>
        </w:tc>
        <w:tc>
          <w:tcPr>
            <w:tcW w:w="1229" w:type="dxa"/>
            <w:tcBorders>
              <w:left w:val="single" w:sz="4" w:space="0" w:color="548DD4" w:themeColor="text2" w:themeTint="99"/>
              <w:right w:val="single" w:sz="4" w:space="0" w:color="548DD4" w:themeColor="text2" w:themeTint="99"/>
            </w:tcBorders>
            <w:shd w:val="clear" w:color="auto" w:fill="auto"/>
            <w:noWrap/>
            <w:vAlign w:val="center"/>
          </w:tcPr>
          <w:p w14:paraId="7E83C2C3" w14:textId="77777777" w:rsidR="000A459D" w:rsidRPr="00515BEB" w:rsidRDefault="000A459D" w:rsidP="00066DFB">
            <w:pPr>
              <w:spacing w:before="0" w:line="240" w:lineRule="auto"/>
              <w:jc w:val="center"/>
              <w:rPr>
                <w:rFonts w:ascii="Calibri" w:hAnsi="Calibri" w:cs="Calibri"/>
                <w:color w:val="FF0000"/>
                <w:sz w:val="20"/>
                <w:lang w:val="en-AU" w:eastAsia="en-AU"/>
              </w:rPr>
            </w:pPr>
            <w:r w:rsidRPr="00515BEB">
              <w:rPr>
                <w:rFonts w:ascii="Calibri" w:hAnsi="Calibri" w:cs="Calibri"/>
                <w:color w:val="FF0000"/>
                <w:sz w:val="20"/>
                <w:lang w:val="en-AU" w:eastAsia="en-AU"/>
              </w:rPr>
              <w:t>0.961</w:t>
            </w:r>
          </w:p>
        </w:tc>
      </w:tr>
      <w:tr w:rsidR="00515BEB" w:rsidRPr="00515BEB" w14:paraId="5617307F" w14:textId="77777777" w:rsidTr="00066DFB">
        <w:trPr>
          <w:trHeight w:val="614"/>
          <w:jc w:val="center"/>
        </w:trPr>
        <w:tc>
          <w:tcPr>
            <w:tcW w:w="1843" w:type="dxa"/>
            <w:tcBorders>
              <w:left w:val="single" w:sz="4" w:space="0" w:color="548DD4" w:themeColor="text2" w:themeTint="99"/>
              <w:right w:val="single" w:sz="4" w:space="0" w:color="548DD4" w:themeColor="text2" w:themeTint="99"/>
            </w:tcBorders>
            <w:shd w:val="clear" w:color="auto" w:fill="auto"/>
            <w:vAlign w:val="center"/>
          </w:tcPr>
          <w:p w14:paraId="18743424" w14:textId="77777777" w:rsidR="000A459D" w:rsidRPr="00515BEB" w:rsidRDefault="000A459D" w:rsidP="00066DFB">
            <w:pPr>
              <w:spacing w:before="0" w:line="240" w:lineRule="auto"/>
              <w:rPr>
                <w:rFonts w:ascii="Calibri" w:hAnsi="Calibri" w:cs="Calibri"/>
                <w:color w:val="FF0000"/>
                <w:sz w:val="20"/>
                <w:lang w:val="en-AU" w:eastAsia="en-AU"/>
              </w:rPr>
            </w:pPr>
            <w:r w:rsidRPr="00515BEB">
              <w:rPr>
                <w:rFonts w:ascii="Calibri" w:hAnsi="Calibri" w:cs="Calibri"/>
                <w:color w:val="FF0000"/>
                <w:sz w:val="20"/>
                <w:lang w:val="en-AU" w:eastAsia="en-AU"/>
              </w:rPr>
              <w:t>MDMA</w:t>
            </w:r>
          </w:p>
        </w:tc>
        <w:tc>
          <w:tcPr>
            <w:tcW w:w="919" w:type="dxa"/>
            <w:tcBorders>
              <w:left w:val="single" w:sz="4" w:space="0" w:color="548DD4" w:themeColor="text2" w:themeTint="99"/>
              <w:right w:val="single" w:sz="4" w:space="0" w:color="548DD4" w:themeColor="text2" w:themeTint="99"/>
            </w:tcBorders>
            <w:shd w:val="clear" w:color="auto" w:fill="auto"/>
            <w:noWrap/>
            <w:vAlign w:val="center"/>
          </w:tcPr>
          <w:p w14:paraId="3D010A6B" w14:textId="77777777" w:rsidR="000A459D" w:rsidRPr="00515BEB" w:rsidRDefault="000A459D" w:rsidP="00066DFB">
            <w:pPr>
              <w:spacing w:before="0" w:line="240" w:lineRule="auto"/>
              <w:jc w:val="center"/>
              <w:rPr>
                <w:rFonts w:ascii="Calibri" w:hAnsi="Calibri" w:cs="Calibri"/>
                <w:color w:val="FF0000"/>
                <w:sz w:val="20"/>
                <w:lang w:val="en-AU" w:eastAsia="en-AU"/>
              </w:rPr>
            </w:pPr>
            <w:r w:rsidRPr="00515BEB">
              <w:rPr>
                <w:rFonts w:ascii="Calibri" w:hAnsi="Calibri" w:cs="Calibri"/>
                <w:color w:val="FF0000"/>
                <w:sz w:val="20"/>
                <w:lang w:val="en-AU" w:eastAsia="en-AU"/>
              </w:rPr>
              <w:t>0.182</w:t>
            </w:r>
          </w:p>
        </w:tc>
        <w:tc>
          <w:tcPr>
            <w:tcW w:w="919" w:type="dxa"/>
            <w:tcBorders>
              <w:left w:val="single" w:sz="4" w:space="0" w:color="548DD4" w:themeColor="text2" w:themeTint="99"/>
              <w:right w:val="single" w:sz="4" w:space="0" w:color="548DD4" w:themeColor="text2" w:themeTint="99"/>
            </w:tcBorders>
            <w:shd w:val="clear" w:color="auto" w:fill="auto"/>
            <w:noWrap/>
            <w:vAlign w:val="center"/>
          </w:tcPr>
          <w:p w14:paraId="6BF96D55" w14:textId="77777777" w:rsidR="000A459D" w:rsidRPr="00515BEB" w:rsidRDefault="000A459D" w:rsidP="00066DFB">
            <w:pPr>
              <w:spacing w:before="0" w:line="240" w:lineRule="auto"/>
              <w:jc w:val="center"/>
              <w:rPr>
                <w:rFonts w:ascii="Calibri" w:hAnsi="Calibri" w:cs="Calibri"/>
                <w:color w:val="FF0000"/>
                <w:sz w:val="20"/>
                <w:lang w:val="en-AU" w:eastAsia="en-AU"/>
              </w:rPr>
            </w:pPr>
            <w:r w:rsidRPr="00515BEB">
              <w:rPr>
                <w:rFonts w:ascii="Calibri" w:hAnsi="Calibri" w:cs="Calibri"/>
                <w:color w:val="FF0000"/>
                <w:sz w:val="20"/>
                <w:lang w:val="en-AU" w:eastAsia="en-AU"/>
              </w:rPr>
              <w:t>0.088</w:t>
            </w:r>
          </w:p>
        </w:tc>
        <w:tc>
          <w:tcPr>
            <w:tcW w:w="1204" w:type="dxa"/>
            <w:tcBorders>
              <w:left w:val="single" w:sz="4" w:space="0" w:color="548DD4" w:themeColor="text2" w:themeTint="99"/>
              <w:right w:val="single" w:sz="4" w:space="0" w:color="548DD4" w:themeColor="text2" w:themeTint="99"/>
            </w:tcBorders>
            <w:shd w:val="clear" w:color="auto" w:fill="auto"/>
            <w:noWrap/>
            <w:vAlign w:val="center"/>
          </w:tcPr>
          <w:p w14:paraId="5AE43423" w14:textId="77777777" w:rsidR="000A459D" w:rsidRPr="00515BEB" w:rsidRDefault="000A459D" w:rsidP="00066DFB">
            <w:pPr>
              <w:spacing w:before="0" w:line="240" w:lineRule="auto"/>
              <w:jc w:val="center"/>
              <w:rPr>
                <w:rFonts w:ascii="Calibri" w:hAnsi="Calibri" w:cs="Calibri"/>
                <w:color w:val="FF0000"/>
                <w:sz w:val="20"/>
                <w:lang w:val="en-AU" w:eastAsia="en-AU"/>
              </w:rPr>
            </w:pPr>
            <w:r w:rsidRPr="00515BEB">
              <w:rPr>
                <w:rFonts w:ascii="Calibri" w:hAnsi="Calibri" w:cs="Calibri"/>
                <w:color w:val="FF0000"/>
                <w:sz w:val="20"/>
                <w:lang w:val="en-AU" w:eastAsia="en-AU"/>
              </w:rPr>
              <w:t>0.104</w:t>
            </w:r>
          </w:p>
        </w:tc>
        <w:tc>
          <w:tcPr>
            <w:tcW w:w="1205" w:type="dxa"/>
            <w:tcBorders>
              <w:left w:val="single" w:sz="4" w:space="0" w:color="548DD4" w:themeColor="text2" w:themeTint="99"/>
              <w:right w:val="single" w:sz="4" w:space="0" w:color="548DD4" w:themeColor="text2" w:themeTint="99"/>
            </w:tcBorders>
            <w:shd w:val="clear" w:color="auto" w:fill="auto"/>
            <w:noWrap/>
            <w:vAlign w:val="center"/>
          </w:tcPr>
          <w:p w14:paraId="7FB11008" w14:textId="77777777" w:rsidR="000A459D" w:rsidRPr="00515BEB" w:rsidRDefault="000A459D" w:rsidP="00066DFB">
            <w:pPr>
              <w:spacing w:before="0" w:line="240" w:lineRule="auto"/>
              <w:jc w:val="center"/>
              <w:rPr>
                <w:rFonts w:ascii="Calibri" w:hAnsi="Calibri" w:cs="Calibri"/>
                <w:color w:val="FF0000"/>
                <w:sz w:val="20"/>
                <w:lang w:val="en-AU" w:eastAsia="en-AU"/>
              </w:rPr>
            </w:pPr>
            <w:r w:rsidRPr="00515BEB">
              <w:rPr>
                <w:rFonts w:ascii="Calibri" w:hAnsi="Calibri" w:cs="Calibri"/>
                <w:color w:val="FF0000"/>
                <w:sz w:val="20"/>
                <w:lang w:val="en-AU" w:eastAsia="en-AU"/>
              </w:rPr>
              <w:t>0.039</w:t>
            </w:r>
          </w:p>
        </w:tc>
        <w:tc>
          <w:tcPr>
            <w:tcW w:w="1418" w:type="dxa"/>
            <w:tcBorders>
              <w:left w:val="single" w:sz="4" w:space="0" w:color="548DD4" w:themeColor="text2" w:themeTint="99"/>
              <w:right w:val="single" w:sz="4" w:space="0" w:color="548DD4" w:themeColor="text2" w:themeTint="99"/>
            </w:tcBorders>
            <w:shd w:val="clear" w:color="auto" w:fill="auto"/>
            <w:noWrap/>
            <w:vAlign w:val="center"/>
          </w:tcPr>
          <w:p w14:paraId="46C103A2" w14:textId="77777777" w:rsidR="000A459D" w:rsidRPr="00515BEB" w:rsidRDefault="000A459D" w:rsidP="00066DFB">
            <w:pPr>
              <w:spacing w:before="0" w:line="240" w:lineRule="auto"/>
              <w:jc w:val="center"/>
              <w:rPr>
                <w:rFonts w:ascii="Calibri" w:hAnsi="Calibri" w:cs="Calibri"/>
                <w:color w:val="FF0000"/>
                <w:sz w:val="20"/>
                <w:lang w:val="en-AU" w:eastAsia="en-AU"/>
              </w:rPr>
            </w:pPr>
            <w:r w:rsidRPr="00515BEB">
              <w:rPr>
                <w:rFonts w:ascii="Calibri" w:hAnsi="Calibri" w:cs="Calibri"/>
                <w:color w:val="FF0000"/>
                <w:sz w:val="20"/>
                <w:lang w:val="en-AU" w:eastAsia="en-AU"/>
              </w:rPr>
              <w:t>0.009</w:t>
            </w:r>
          </w:p>
        </w:tc>
        <w:tc>
          <w:tcPr>
            <w:tcW w:w="992" w:type="dxa"/>
            <w:tcBorders>
              <w:left w:val="single" w:sz="4" w:space="0" w:color="548DD4" w:themeColor="text2" w:themeTint="99"/>
              <w:right w:val="single" w:sz="4" w:space="0" w:color="548DD4" w:themeColor="text2" w:themeTint="99"/>
            </w:tcBorders>
            <w:shd w:val="clear" w:color="auto" w:fill="auto"/>
            <w:noWrap/>
            <w:vAlign w:val="center"/>
          </w:tcPr>
          <w:p w14:paraId="75B53A16" w14:textId="77777777" w:rsidR="000A459D" w:rsidRPr="00515BEB" w:rsidRDefault="000A459D" w:rsidP="00066DFB">
            <w:pPr>
              <w:spacing w:before="0" w:line="240" w:lineRule="auto"/>
              <w:jc w:val="center"/>
              <w:rPr>
                <w:rFonts w:ascii="Calibri" w:hAnsi="Calibri" w:cs="Calibri"/>
                <w:color w:val="FF0000"/>
                <w:sz w:val="20"/>
                <w:lang w:val="en-AU" w:eastAsia="en-AU"/>
              </w:rPr>
            </w:pPr>
            <w:r w:rsidRPr="00515BEB">
              <w:rPr>
                <w:rFonts w:ascii="Calibri" w:hAnsi="Calibri" w:cs="Calibri"/>
                <w:color w:val="FF0000"/>
                <w:sz w:val="20"/>
                <w:lang w:val="en-AU" w:eastAsia="en-AU"/>
              </w:rPr>
              <w:t>0.034</w:t>
            </w:r>
          </w:p>
        </w:tc>
        <w:tc>
          <w:tcPr>
            <w:tcW w:w="1229" w:type="dxa"/>
            <w:tcBorders>
              <w:left w:val="single" w:sz="4" w:space="0" w:color="548DD4" w:themeColor="text2" w:themeTint="99"/>
              <w:right w:val="single" w:sz="4" w:space="0" w:color="548DD4" w:themeColor="text2" w:themeTint="99"/>
            </w:tcBorders>
            <w:shd w:val="clear" w:color="auto" w:fill="auto"/>
            <w:noWrap/>
            <w:vAlign w:val="center"/>
          </w:tcPr>
          <w:p w14:paraId="44824ED6" w14:textId="77777777" w:rsidR="000A459D" w:rsidRPr="00515BEB" w:rsidRDefault="000A459D" w:rsidP="00066DFB">
            <w:pPr>
              <w:spacing w:before="0" w:line="240" w:lineRule="auto"/>
              <w:jc w:val="center"/>
              <w:rPr>
                <w:rFonts w:ascii="Calibri" w:hAnsi="Calibri" w:cs="Calibri"/>
                <w:color w:val="FF0000"/>
                <w:sz w:val="20"/>
                <w:lang w:val="en-AU" w:eastAsia="en-AU"/>
              </w:rPr>
            </w:pPr>
            <w:r w:rsidRPr="00515BEB">
              <w:rPr>
                <w:rFonts w:ascii="Calibri" w:hAnsi="Calibri" w:cs="Calibri"/>
                <w:color w:val="FF0000"/>
                <w:sz w:val="20"/>
                <w:lang w:val="en-AU" w:eastAsia="en-AU"/>
              </w:rPr>
              <w:t>0.457</w:t>
            </w:r>
          </w:p>
        </w:tc>
      </w:tr>
      <w:tr w:rsidR="00515BEB" w:rsidRPr="00515BEB" w14:paraId="44CEB609" w14:textId="77777777" w:rsidTr="00066DFB">
        <w:trPr>
          <w:trHeight w:val="614"/>
          <w:jc w:val="center"/>
        </w:trPr>
        <w:tc>
          <w:tcPr>
            <w:tcW w:w="1843" w:type="dxa"/>
            <w:tcBorders>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52AC6049" w14:textId="77777777" w:rsidR="000A459D" w:rsidRPr="00515BEB" w:rsidRDefault="000A459D" w:rsidP="00066DFB">
            <w:pPr>
              <w:spacing w:before="0" w:line="240" w:lineRule="auto"/>
              <w:rPr>
                <w:rFonts w:ascii="Calibri" w:hAnsi="Calibri" w:cs="Calibri"/>
                <w:color w:val="FF0000"/>
                <w:sz w:val="20"/>
                <w:lang w:val="en-AU" w:eastAsia="en-AU"/>
              </w:rPr>
            </w:pPr>
            <w:r w:rsidRPr="00515BEB">
              <w:rPr>
                <w:rFonts w:ascii="Calibri" w:hAnsi="Calibri" w:cs="Calibri"/>
                <w:color w:val="FF0000"/>
                <w:sz w:val="20"/>
                <w:lang w:val="en-AU" w:eastAsia="en-AU"/>
              </w:rPr>
              <w:t>Cannabis</w:t>
            </w:r>
          </w:p>
        </w:tc>
        <w:tc>
          <w:tcPr>
            <w:tcW w:w="919" w:type="dxa"/>
            <w:tcBorders>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tcPr>
          <w:p w14:paraId="39F6BCCB" w14:textId="77777777" w:rsidR="000A459D" w:rsidRPr="00515BEB" w:rsidRDefault="000A459D" w:rsidP="00066DFB">
            <w:pPr>
              <w:spacing w:before="0" w:line="240" w:lineRule="auto"/>
              <w:jc w:val="center"/>
              <w:rPr>
                <w:rFonts w:ascii="Calibri" w:hAnsi="Calibri" w:cs="Calibri"/>
                <w:color w:val="FF0000"/>
                <w:sz w:val="20"/>
                <w:lang w:val="en-AU" w:eastAsia="en-AU"/>
              </w:rPr>
            </w:pPr>
            <w:r w:rsidRPr="00515BEB">
              <w:rPr>
                <w:rFonts w:ascii="Calibri" w:hAnsi="Calibri" w:cs="Calibri"/>
                <w:color w:val="FF0000"/>
                <w:sz w:val="20"/>
                <w:lang w:val="en-AU" w:eastAsia="en-AU"/>
              </w:rPr>
              <w:t>0.002</w:t>
            </w:r>
          </w:p>
        </w:tc>
        <w:tc>
          <w:tcPr>
            <w:tcW w:w="919" w:type="dxa"/>
            <w:tcBorders>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tcPr>
          <w:p w14:paraId="49B57D47" w14:textId="77777777" w:rsidR="000A459D" w:rsidRPr="00515BEB" w:rsidRDefault="000A459D" w:rsidP="00066DFB">
            <w:pPr>
              <w:spacing w:before="0" w:line="240" w:lineRule="auto"/>
              <w:jc w:val="center"/>
              <w:rPr>
                <w:rFonts w:ascii="Calibri" w:hAnsi="Calibri" w:cs="Calibri"/>
                <w:color w:val="FF0000"/>
                <w:sz w:val="20"/>
                <w:lang w:val="en-AU" w:eastAsia="en-AU"/>
              </w:rPr>
            </w:pPr>
            <w:r w:rsidRPr="00515BEB">
              <w:rPr>
                <w:rFonts w:ascii="Calibri" w:hAnsi="Calibri" w:cs="Calibri"/>
                <w:color w:val="FF0000"/>
                <w:sz w:val="20"/>
                <w:lang w:val="en-AU" w:eastAsia="en-AU"/>
              </w:rPr>
              <w:t>0.003</w:t>
            </w:r>
          </w:p>
        </w:tc>
        <w:tc>
          <w:tcPr>
            <w:tcW w:w="1204" w:type="dxa"/>
            <w:tcBorders>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tcPr>
          <w:p w14:paraId="5293FC36" w14:textId="77777777" w:rsidR="000A459D" w:rsidRPr="00515BEB" w:rsidRDefault="000A459D" w:rsidP="00066DFB">
            <w:pPr>
              <w:spacing w:before="0" w:line="240" w:lineRule="auto"/>
              <w:jc w:val="center"/>
              <w:rPr>
                <w:rFonts w:ascii="Calibri" w:hAnsi="Calibri" w:cs="Calibri"/>
                <w:color w:val="FF0000"/>
                <w:sz w:val="20"/>
                <w:lang w:val="en-AU" w:eastAsia="en-AU"/>
              </w:rPr>
            </w:pPr>
            <w:r w:rsidRPr="00515BEB">
              <w:rPr>
                <w:rFonts w:ascii="Calibri" w:hAnsi="Calibri" w:cs="Calibri"/>
                <w:color w:val="FF0000"/>
                <w:sz w:val="20"/>
                <w:lang w:val="en-AU" w:eastAsia="en-AU"/>
              </w:rPr>
              <w:t>0.004</w:t>
            </w:r>
          </w:p>
        </w:tc>
        <w:tc>
          <w:tcPr>
            <w:tcW w:w="1205" w:type="dxa"/>
            <w:tcBorders>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tcPr>
          <w:p w14:paraId="123F8148" w14:textId="77777777" w:rsidR="000A459D" w:rsidRPr="00515BEB" w:rsidRDefault="000A459D" w:rsidP="00066DFB">
            <w:pPr>
              <w:spacing w:before="0" w:line="240" w:lineRule="auto"/>
              <w:jc w:val="center"/>
              <w:rPr>
                <w:rFonts w:ascii="Calibri" w:hAnsi="Calibri" w:cs="Calibri"/>
                <w:color w:val="FF0000"/>
                <w:sz w:val="20"/>
                <w:lang w:val="en-AU" w:eastAsia="en-AU"/>
              </w:rPr>
            </w:pPr>
            <w:r w:rsidRPr="00515BEB">
              <w:rPr>
                <w:rFonts w:ascii="Calibri" w:hAnsi="Calibri" w:cs="Calibri"/>
                <w:color w:val="FF0000"/>
                <w:sz w:val="20"/>
                <w:lang w:val="en-AU" w:eastAsia="en-AU"/>
              </w:rPr>
              <w:t>0.002</w:t>
            </w:r>
          </w:p>
        </w:tc>
        <w:tc>
          <w:tcPr>
            <w:tcW w:w="1418" w:type="dxa"/>
            <w:tcBorders>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tcPr>
          <w:p w14:paraId="294F5C95" w14:textId="77777777" w:rsidR="000A459D" w:rsidRPr="00515BEB" w:rsidRDefault="000A459D" w:rsidP="00066DFB">
            <w:pPr>
              <w:spacing w:before="0" w:line="240" w:lineRule="auto"/>
              <w:jc w:val="center"/>
              <w:rPr>
                <w:rFonts w:ascii="Calibri" w:hAnsi="Calibri" w:cs="Calibri"/>
                <w:color w:val="FF0000"/>
                <w:sz w:val="20"/>
                <w:lang w:val="en-AU" w:eastAsia="en-AU"/>
              </w:rPr>
            </w:pPr>
            <w:r w:rsidRPr="00515BEB">
              <w:rPr>
                <w:rFonts w:ascii="Calibri" w:hAnsi="Calibri" w:cs="Calibri"/>
                <w:color w:val="FF0000"/>
                <w:sz w:val="20"/>
                <w:lang w:val="en-AU" w:eastAsia="en-AU"/>
              </w:rPr>
              <w:t>0.001</w:t>
            </w:r>
          </w:p>
        </w:tc>
        <w:tc>
          <w:tcPr>
            <w:tcW w:w="992" w:type="dxa"/>
            <w:tcBorders>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tcPr>
          <w:p w14:paraId="649F8729" w14:textId="77777777" w:rsidR="000A459D" w:rsidRPr="00515BEB" w:rsidRDefault="000A459D" w:rsidP="00066DFB">
            <w:pPr>
              <w:spacing w:before="0" w:line="240" w:lineRule="auto"/>
              <w:jc w:val="center"/>
              <w:rPr>
                <w:rFonts w:ascii="Calibri" w:hAnsi="Calibri" w:cs="Calibri"/>
                <w:color w:val="FF0000"/>
                <w:sz w:val="20"/>
                <w:lang w:val="en-AU" w:eastAsia="en-AU"/>
              </w:rPr>
            </w:pPr>
            <w:r w:rsidRPr="00515BEB">
              <w:rPr>
                <w:rFonts w:ascii="Calibri" w:hAnsi="Calibri" w:cs="Calibri"/>
                <w:color w:val="FF0000"/>
                <w:sz w:val="20"/>
                <w:lang w:val="en-AU" w:eastAsia="en-AU"/>
              </w:rPr>
              <w:t>0.004</w:t>
            </w:r>
          </w:p>
        </w:tc>
        <w:tc>
          <w:tcPr>
            <w:tcW w:w="1229" w:type="dxa"/>
            <w:tcBorders>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tcPr>
          <w:p w14:paraId="5711113A" w14:textId="77777777" w:rsidR="000A459D" w:rsidRPr="00515BEB" w:rsidRDefault="000A459D" w:rsidP="00066DFB">
            <w:pPr>
              <w:spacing w:before="0" w:line="240" w:lineRule="auto"/>
              <w:jc w:val="center"/>
              <w:rPr>
                <w:rFonts w:ascii="Calibri" w:hAnsi="Calibri" w:cs="Calibri"/>
                <w:color w:val="FF0000"/>
                <w:sz w:val="20"/>
                <w:lang w:val="en-AU" w:eastAsia="en-AU"/>
              </w:rPr>
            </w:pPr>
            <w:r w:rsidRPr="00515BEB">
              <w:rPr>
                <w:rFonts w:ascii="Calibri" w:hAnsi="Calibri" w:cs="Calibri"/>
                <w:color w:val="FF0000"/>
                <w:sz w:val="20"/>
                <w:lang w:val="en-AU" w:eastAsia="en-AU"/>
              </w:rPr>
              <w:t>0.016</w:t>
            </w:r>
          </w:p>
        </w:tc>
      </w:tr>
    </w:tbl>
    <w:p w14:paraId="7F84E512" w14:textId="77777777" w:rsidR="000A459D" w:rsidRPr="000A459D" w:rsidRDefault="000A459D" w:rsidP="000A459D">
      <w:pPr>
        <w:rPr>
          <w:bCs/>
          <w:color w:val="000000" w:themeColor="text1"/>
        </w:rPr>
      </w:pPr>
    </w:p>
    <w:sectPr w:rsidR="000A459D" w:rsidRPr="000A459D" w:rsidSect="00685D68">
      <w:headerReference w:type="default" r:id="rId16"/>
      <w:footerReference w:type="default" r:id="rId17"/>
      <w:pgSz w:w="11907" w:h="16834" w:code="9"/>
      <w:pgMar w:top="1701" w:right="1418" w:bottom="1418" w:left="1418" w:header="425"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C7122" w14:textId="77777777" w:rsidR="00B1323C" w:rsidRDefault="00B1323C">
      <w:pPr>
        <w:spacing w:line="240" w:lineRule="auto"/>
      </w:pPr>
      <w:r>
        <w:separator/>
      </w:r>
    </w:p>
    <w:p w14:paraId="713CED5B" w14:textId="77777777" w:rsidR="00B1323C" w:rsidRDefault="00B1323C"/>
  </w:endnote>
  <w:endnote w:type="continuationSeparator" w:id="0">
    <w:p w14:paraId="1FAB1DBE" w14:textId="77777777" w:rsidR="00B1323C" w:rsidRDefault="00B1323C">
      <w:pPr>
        <w:spacing w:line="240" w:lineRule="auto"/>
      </w:pPr>
      <w:r>
        <w:continuationSeparator/>
      </w:r>
    </w:p>
    <w:p w14:paraId="02A0CB9B" w14:textId="77777777" w:rsidR="00B1323C" w:rsidRDefault="00B132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9F9B7" w14:textId="77777777" w:rsidR="00EE5CB7" w:rsidRDefault="00EE5CB7" w:rsidP="004D668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22B83" w14:textId="77777777" w:rsidR="00EE5CB7" w:rsidRDefault="00EE5C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857B8" w14:textId="77777777" w:rsidR="00671078" w:rsidRPr="00275D08" w:rsidRDefault="00671078"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AC5F01">
      <w:rPr>
        <w:rStyle w:val="PageNumber"/>
        <w:noProof/>
      </w:rPr>
      <w:t>iv</w:t>
    </w:r>
    <w:r w:rsidRPr="00FC46E7">
      <w:rPr>
        <w:rStyle w:val="PageNumber"/>
      </w:rPr>
      <w:fldChar w:fldCharType="end"/>
    </w:r>
    <w:r>
      <w:tab/>
    </w:r>
    <w:r w:rsidR="00863117">
      <w:t>[Title: Subhead]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8253F" w14:textId="77777777" w:rsidR="005621F2" w:rsidRDefault="005621F2" w:rsidP="00BF2A2C">
    <w:pPr>
      <w:pStyle w:val="Footer"/>
    </w:pPr>
    <w:r>
      <w:rPr>
        <w:rStyle w:val="PageNumber"/>
      </w:rPr>
      <w:fldChar w:fldCharType="begin"/>
    </w:r>
    <w:r>
      <w:rPr>
        <w:rStyle w:val="PageNumber"/>
      </w:rPr>
      <w:instrText xml:space="preserve"> PAGE </w:instrText>
    </w:r>
    <w:r>
      <w:rPr>
        <w:rStyle w:val="PageNumber"/>
      </w:rPr>
      <w:fldChar w:fldCharType="separate"/>
    </w:r>
    <w:r w:rsidR="007914B6">
      <w:rPr>
        <w:rStyle w:val="PageNumber"/>
        <w:noProof/>
      </w:rPr>
      <w:t>iii</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544DF" w14:textId="77777777" w:rsidR="00D23323" w:rsidRDefault="005621F2" w:rsidP="009E3C8C">
    <w:pPr>
      <w:pStyle w:val="RectoFooter"/>
    </w:pPr>
    <w:r>
      <w:rPr>
        <w:rStyle w:val="PageNumber"/>
      </w:rPr>
      <w:fldChar w:fldCharType="begin"/>
    </w:r>
    <w:r>
      <w:rPr>
        <w:rStyle w:val="PageNumber"/>
      </w:rPr>
      <w:instrText xml:space="preserve"> PAGE </w:instrText>
    </w:r>
    <w:r>
      <w:rPr>
        <w:rStyle w:val="PageNumber"/>
      </w:rPr>
      <w:fldChar w:fldCharType="separate"/>
    </w:r>
    <w:r w:rsidR="007914B6">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4EAF0" w14:textId="77777777" w:rsidR="00B1323C" w:rsidRPr="00A26E6B" w:rsidRDefault="00B1323C" w:rsidP="00A26E6B"/>
  </w:footnote>
  <w:footnote w:type="continuationSeparator" w:id="0">
    <w:p w14:paraId="4E9F91B0" w14:textId="77777777" w:rsidR="00B1323C" w:rsidRDefault="00B1323C">
      <w:pPr>
        <w:spacing w:line="240" w:lineRule="auto"/>
      </w:pPr>
      <w:r>
        <w:continuationSeparator/>
      </w:r>
    </w:p>
    <w:p w14:paraId="5AA4DDDC" w14:textId="77777777" w:rsidR="00B1323C" w:rsidRDefault="00B1323C"/>
  </w:footnote>
  <w:footnote w:id="1">
    <w:p w14:paraId="0A3D95D4" w14:textId="044AB1FD" w:rsidR="000A459D" w:rsidRPr="000A459D" w:rsidRDefault="000A459D">
      <w:pPr>
        <w:pStyle w:val="FootnoteText"/>
      </w:pPr>
      <w:r>
        <w:rPr>
          <w:rStyle w:val="FootnoteReference"/>
        </w:rPr>
        <w:footnoteRef/>
      </w:r>
      <w:r>
        <w:t xml:space="preserve"> </w:t>
      </w:r>
      <w:r>
        <w:tab/>
      </w:r>
      <w:r>
        <w:rPr>
          <w:szCs w:val="18"/>
        </w:rPr>
        <w:t>All figures</w:t>
      </w:r>
      <w:r w:rsidRPr="00EF4E47">
        <w:rPr>
          <w:szCs w:val="18"/>
        </w:rPr>
        <w:t xml:space="preserve"> in the </w:t>
      </w:r>
      <w:r>
        <w:rPr>
          <w:i/>
          <w:iCs/>
          <w:szCs w:val="18"/>
        </w:rPr>
        <w:t xml:space="preserve">Estimated Harm per kg ($) by harm and drug type </w:t>
      </w:r>
      <w:r>
        <w:rPr>
          <w:szCs w:val="18"/>
        </w:rPr>
        <w:t xml:space="preserve">have been corrected apart from all totals for </w:t>
      </w:r>
      <w:r w:rsidR="00CD7248">
        <w:rPr>
          <w:szCs w:val="18"/>
        </w:rPr>
        <w:t>c</w:t>
      </w:r>
      <w:r>
        <w:rPr>
          <w:szCs w:val="18"/>
        </w:rPr>
        <w:t xml:space="preserve">annabis. Please see </w:t>
      </w:r>
      <w:r w:rsidRPr="000A459D">
        <w:rPr>
          <w:b/>
          <w:bCs/>
          <w:szCs w:val="18"/>
        </w:rPr>
        <w:t>Appendix Two</w:t>
      </w:r>
      <w:r>
        <w:rPr>
          <w:szCs w:val="18"/>
        </w:rPr>
        <w:t xml:space="preserve"> for the incorrect figures.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E67F5" w14:textId="77777777" w:rsidR="001B4BF8" w:rsidRDefault="001B4BF8" w:rsidP="009216CC">
    <w:pPr>
      <w:pStyle w:val="Header"/>
      <w:ind w:left="-155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13E15" w14:textId="77777777" w:rsidR="009E6B77" w:rsidRDefault="009E6B77"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D7230" w14:textId="490B496E" w:rsidR="009E6B77" w:rsidRPr="00E7421D" w:rsidRDefault="004F2DC8" w:rsidP="00E7421D">
    <w:pPr>
      <w:pBdr>
        <w:bottom w:val="single" w:sz="4" w:space="4" w:color="0070C0"/>
      </w:pBdr>
      <w:spacing w:before="0" w:line="240" w:lineRule="auto"/>
      <w:jc w:val="right"/>
      <w:rPr>
        <w:i/>
        <w:color w:val="0070C0"/>
      </w:rPr>
    </w:pPr>
    <w:r>
      <w:rPr>
        <w:i/>
        <w:color w:val="0070C0"/>
      </w:rPr>
      <w:t>Practical Guide to the Drug Harm Index 2020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BA2D2" w14:textId="77777777" w:rsidR="004F2DC8" w:rsidRPr="00E7421D" w:rsidRDefault="004F2DC8" w:rsidP="004F2DC8">
    <w:pPr>
      <w:pBdr>
        <w:bottom w:val="single" w:sz="4" w:space="4" w:color="0070C0"/>
      </w:pBdr>
      <w:spacing w:before="0" w:line="240" w:lineRule="auto"/>
      <w:jc w:val="right"/>
      <w:rPr>
        <w:i/>
        <w:color w:val="0070C0"/>
      </w:rPr>
    </w:pPr>
    <w:r>
      <w:rPr>
        <w:i/>
        <w:color w:val="0070C0"/>
      </w:rPr>
      <w:t>Practical Guideline to the Drug Harm Index 2020</w:t>
    </w:r>
  </w:p>
  <w:p w14:paraId="47F8C27F" w14:textId="5594541C" w:rsidR="00D23323" w:rsidRPr="004F2DC8" w:rsidRDefault="00D23323" w:rsidP="004F2D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2D362F"/>
    <w:multiLevelType w:val="hybridMultilevel"/>
    <w:tmpl w:val="E9561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92307"/>
    <w:multiLevelType w:val="hybridMultilevel"/>
    <w:tmpl w:val="1CC4E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4" w15:restartNumberingAfterBreak="0">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78D3371"/>
    <w:multiLevelType w:val="hybridMultilevel"/>
    <w:tmpl w:val="823CB4E2"/>
    <w:lvl w:ilvl="0" w:tplc="0F186F46">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205A5689"/>
    <w:multiLevelType w:val="hybridMultilevel"/>
    <w:tmpl w:val="FC76D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8904E9C"/>
    <w:multiLevelType w:val="hybridMultilevel"/>
    <w:tmpl w:val="B926802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C115347"/>
    <w:multiLevelType w:val="hybridMultilevel"/>
    <w:tmpl w:val="1D10502C"/>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B7943BF"/>
    <w:multiLevelType w:val="hybridMultilevel"/>
    <w:tmpl w:val="872AFE24"/>
    <w:lvl w:ilvl="0" w:tplc="C032BAF8">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2057D9"/>
    <w:multiLevelType w:val="hybridMultilevel"/>
    <w:tmpl w:val="D7D6C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44AF4227"/>
    <w:multiLevelType w:val="hybridMultilevel"/>
    <w:tmpl w:val="1D10502C"/>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C180874"/>
    <w:multiLevelType w:val="hybridMultilevel"/>
    <w:tmpl w:val="1D10502C"/>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20" w15:restartNumberingAfterBreak="0">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21" w15:restartNumberingAfterBreak="0">
    <w:nsid w:val="738925AB"/>
    <w:multiLevelType w:val="hybridMultilevel"/>
    <w:tmpl w:val="9940CFF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22"/>
  </w:num>
  <w:num w:numId="2">
    <w:abstractNumId w:val="19"/>
  </w:num>
  <w:num w:numId="3">
    <w:abstractNumId w:val="12"/>
  </w:num>
  <w:num w:numId="4">
    <w:abstractNumId w:val="13"/>
  </w:num>
  <w:num w:numId="5">
    <w:abstractNumId w:val="3"/>
  </w:num>
  <w:num w:numId="6">
    <w:abstractNumId w:val="18"/>
  </w:num>
  <w:num w:numId="7">
    <w:abstractNumId w:val="6"/>
  </w:num>
  <w:num w:numId="8">
    <w:abstractNumId w:val="20"/>
  </w:num>
  <w:num w:numId="9">
    <w:abstractNumId w:val="4"/>
  </w:num>
  <w:num w:numId="10">
    <w:abstractNumId w:val="8"/>
  </w:num>
  <w:num w:numId="11">
    <w:abstractNumId w:val="15"/>
  </w:num>
  <w:num w:numId="12">
    <w:abstractNumId w:val="0"/>
  </w:num>
  <w:num w:numId="13">
    <w:abstractNumId w:val="7"/>
  </w:num>
  <w:num w:numId="14">
    <w:abstractNumId w:val="11"/>
  </w:num>
  <w:num w:numId="15">
    <w:abstractNumId w:val="5"/>
  </w:num>
  <w:num w:numId="16">
    <w:abstractNumId w:val="2"/>
  </w:num>
  <w:num w:numId="17">
    <w:abstractNumId w:val="1"/>
  </w:num>
  <w:num w:numId="18">
    <w:abstractNumId w:val="14"/>
  </w:num>
  <w:num w:numId="19">
    <w:abstractNumId w:val="10"/>
  </w:num>
  <w:num w:numId="20">
    <w:abstractNumId w:val="16"/>
  </w:num>
  <w:num w:numId="21">
    <w:abstractNumId w:val="9"/>
  </w:num>
  <w:num w:numId="22">
    <w:abstractNumId w:val="21"/>
  </w:num>
  <w:num w:numId="23">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26017"/>
    <w:rsid w:val="00030B26"/>
    <w:rsid w:val="0006228D"/>
    <w:rsid w:val="000673BF"/>
    <w:rsid w:val="00072BD6"/>
    <w:rsid w:val="00075AB8"/>
    <w:rsid w:val="00075B78"/>
    <w:rsid w:val="00080C04"/>
    <w:rsid w:val="00082CD6"/>
    <w:rsid w:val="000848D8"/>
    <w:rsid w:val="00085AFE"/>
    <w:rsid w:val="000866DF"/>
    <w:rsid w:val="0009005F"/>
    <w:rsid w:val="00090B19"/>
    <w:rsid w:val="000A459D"/>
    <w:rsid w:val="000B0730"/>
    <w:rsid w:val="000C101C"/>
    <w:rsid w:val="000C511E"/>
    <w:rsid w:val="000D5A4F"/>
    <w:rsid w:val="000D65D6"/>
    <w:rsid w:val="000F2AE2"/>
    <w:rsid w:val="00102063"/>
    <w:rsid w:val="00102BBC"/>
    <w:rsid w:val="0010541C"/>
    <w:rsid w:val="00106F93"/>
    <w:rsid w:val="00111D50"/>
    <w:rsid w:val="00113B8E"/>
    <w:rsid w:val="001252E4"/>
    <w:rsid w:val="001342C7"/>
    <w:rsid w:val="0013585C"/>
    <w:rsid w:val="00142954"/>
    <w:rsid w:val="001460E0"/>
    <w:rsid w:val="00147F71"/>
    <w:rsid w:val="00150A6E"/>
    <w:rsid w:val="0016468A"/>
    <w:rsid w:val="00192D85"/>
    <w:rsid w:val="001962C9"/>
    <w:rsid w:val="001A5CF5"/>
    <w:rsid w:val="001B39D2"/>
    <w:rsid w:val="001B4BF8"/>
    <w:rsid w:val="001C4326"/>
    <w:rsid w:val="001C4696"/>
    <w:rsid w:val="001C5825"/>
    <w:rsid w:val="001C737C"/>
    <w:rsid w:val="001D3541"/>
    <w:rsid w:val="00201A01"/>
    <w:rsid w:val="002104D3"/>
    <w:rsid w:val="00213A33"/>
    <w:rsid w:val="0021763B"/>
    <w:rsid w:val="002403FE"/>
    <w:rsid w:val="00246DB1"/>
    <w:rsid w:val="002476B5"/>
    <w:rsid w:val="002507C5"/>
    <w:rsid w:val="002538E0"/>
    <w:rsid w:val="00253EA6"/>
    <w:rsid w:val="00253ECF"/>
    <w:rsid w:val="002546A1"/>
    <w:rsid w:val="00274CB9"/>
    <w:rsid w:val="00275D08"/>
    <w:rsid w:val="002858E3"/>
    <w:rsid w:val="00287EF8"/>
    <w:rsid w:val="0029190A"/>
    <w:rsid w:val="00292C5A"/>
    <w:rsid w:val="00295241"/>
    <w:rsid w:val="002B047D"/>
    <w:rsid w:val="002B732B"/>
    <w:rsid w:val="002C2219"/>
    <w:rsid w:val="002C548E"/>
    <w:rsid w:val="002D0DF2"/>
    <w:rsid w:val="002D23BD"/>
    <w:rsid w:val="002D4489"/>
    <w:rsid w:val="002E0B47"/>
    <w:rsid w:val="002E10B3"/>
    <w:rsid w:val="002E4398"/>
    <w:rsid w:val="002F1FDC"/>
    <w:rsid w:val="002F7213"/>
    <w:rsid w:val="0030382F"/>
    <w:rsid w:val="0030408D"/>
    <w:rsid w:val="003060E4"/>
    <w:rsid w:val="003160E7"/>
    <w:rsid w:val="0031739E"/>
    <w:rsid w:val="00330684"/>
    <w:rsid w:val="003325AB"/>
    <w:rsid w:val="0033412B"/>
    <w:rsid w:val="00334945"/>
    <w:rsid w:val="00343365"/>
    <w:rsid w:val="00353501"/>
    <w:rsid w:val="003606F8"/>
    <w:rsid w:val="003648EF"/>
    <w:rsid w:val="003673E6"/>
    <w:rsid w:val="00377264"/>
    <w:rsid w:val="003A26A5"/>
    <w:rsid w:val="003A3761"/>
    <w:rsid w:val="003A3948"/>
    <w:rsid w:val="003A5FEA"/>
    <w:rsid w:val="003B1D10"/>
    <w:rsid w:val="003B3EB4"/>
    <w:rsid w:val="003C76D4"/>
    <w:rsid w:val="003D1949"/>
    <w:rsid w:val="003D2CC5"/>
    <w:rsid w:val="003D5B7F"/>
    <w:rsid w:val="003E0609"/>
    <w:rsid w:val="003E762B"/>
    <w:rsid w:val="003E7C46"/>
    <w:rsid w:val="003F330B"/>
    <w:rsid w:val="003F52A7"/>
    <w:rsid w:val="00400673"/>
    <w:rsid w:val="0040240C"/>
    <w:rsid w:val="00413021"/>
    <w:rsid w:val="00435A41"/>
    <w:rsid w:val="00440BE0"/>
    <w:rsid w:val="00442C1C"/>
    <w:rsid w:val="0044584B"/>
    <w:rsid w:val="00447CB7"/>
    <w:rsid w:val="0045377A"/>
    <w:rsid w:val="00460826"/>
    <w:rsid w:val="00460EA7"/>
    <w:rsid w:val="0046195B"/>
    <w:rsid w:val="0046596D"/>
    <w:rsid w:val="004678F2"/>
    <w:rsid w:val="004731CF"/>
    <w:rsid w:val="00482D7B"/>
    <w:rsid w:val="00487C04"/>
    <w:rsid w:val="004907E1"/>
    <w:rsid w:val="00495900"/>
    <w:rsid w:val="004A035B"/>
    <w:rsid w:val="004A1B24"/>
    <w:rsid w:val="004A38D7"/>
    <w:rsid w:val="004A63CC"/>
    <w:rsid w:val="004A778C"/>
    <w:rsid w:val="004C2E6A"/>
    <w:rsid w:val="004C64B8"/>
    <w:rsid w:val="004D2A2D"/>
    <w:rsid w:val="004D2DD2"/>
    <w:rsid w:val="004D6689"/>
    <w:rsid w:val="004E1D1D"/>
    <w:rsid w:val="004E2067"/>
    <w:rsid w:val="004E2457"/>
    <w:rsid w:val="004E7AC8"/>
    <w:rsid w:val="004F0C94"/>
    <w:rsid w:val="004F2DC8"/>
    <w:rsid w:val="004F7783"/>
    <w:rsid w:val="005019AE"/>
    <w:rsid w:val="00503749"/>
    <w:rsid w:val="00504CF4"/>
    <w:rsid w:val="0050635B"/>
    <w:rsid w:val="00515BEB"/>
    <w:rsid w:val="005160BD"/>
    <w:rsid w:val="0053199F"/>
    <w:rsid w:val="00533B90"/>
    <w:rsid w:val="005410F8"/>
    <w:rsid w:val="005424B5"/>
    <w:rsid w:val="005448EC"/>
    <w:rsid w:val="00545963"/>
    <w:rsid w:val="00550256"/>
    <w:rsid w:val="00553958"/>
    <w:rsid w:val="0055763D"/>
    <w:rsid w:val="005621F2"/>
    <w:rsid w:val="00567B58"/>
    <w:rsid w:val="005763E0"/>
    <w:rsid w:val="0058023D"/>
    <w:rsid w:val="00581136"/>
    <w:rsid w:val="005A267D"/>
    <w:rsid w:val="005A27CA"/>
    <w:rsid w:val="005A43BD"/>
    <w:rsid w:val="005B50D8"/>
    <w:rsid w:val="005E0028"/>
    <w:rsid w:val="005E226E"/>
    <w:rsid w:val="005F0E8A"/>
    <w:rsid w:val="006015D7"/>
    <w:rsid w:val="00601B21"/>
    <w:rsid w:val="006101D3"/>
    <w:rsid w:val="00612495"/>
    <w:rsid w:val="00625AB7"/>
    <w:rsid w:val="00626CF8"/>
    <w:rsid w:val="00636D7D"/>
    <w:rsid w:val="00637408"/>
    <w:rsid w:val="00642868"/>
    <w:rsid w:val="00647AFE"/>
    <w:rsid w:val="006512BC"/>
    <w:rsid w:val="00653A5A"/>
    <w:rsid w:val="006575F4"/>
    <w:rsid w:val="006579E6"/>
    <w:rsid w:val="00663EDC"/>
    <w:rsid w:val="00671078"/>
    <w:rsid w:val="006758CA"/>
    <w:rsid w:val="00676962"/>
    <w:rsid w:val="00680A04"/>
    <w:rsid w:val="00685D68"/>
    <w:rsid w:val="00686D80"/>
    <w:rsid w:val="00694895"/>
    <w:rsid w:val="00697E2E"/>
    <w:rsid w:val="006A25A2"/>
    <w:rsid w:val="006B0E73"/>
    <w:rsid w:val="006B47B0"/>
    <w:rsid w:val="006B4A4D"/>
    <w:rsid w:val="006B5695"/>
    <w:rsid w:val="006C78EB"/>
    <w:rsid w:val="006D1660"/>
    <w:rsid w:val="006F1B67"/>
    <w:rsid w:val="0070091D"/>
    <w:rsid w:val="00702854"/>
    <w:rsid w:val="00711544"/>
    <w:rsid w:val="0071741C"/>
    <w:rsid w:val="00742B90"/>
    <w:rsid w:val="0074434D"/>
    <w:rsid w:val="00767262"/>
    <w:rsid w:val="00767CAE"/>
    <w:rsid w:val="00771B1E"/>
    <w:rsid w:val="00773C95"/>
    <w:rsid w:val="0078171E"/>
    <w:rsid w:val="00786CD7"/>
    <w:rsid w:val="007914B6"/>
    <w:rsid w:val="00794019"/>
    <w:rsid w:val="00795B34"/>
    <w:rsid w:val="007B1770"/>
    <w:rsid w:val="007B4C42"/>
    <w:rsid w:val="007B4D3E"/>
    <w:rsid w:val="007B7C70"/>
    <w:rsid w:val="007D2151"/>
    <w:rsid w:val="007D3403"/>
    <w:rsid w:val="007D42CC"/>
    <w:rsid w:val="007D5DE4"/>
    <w:rsid w:val="007E0777"/>
    <w:rsid w:val="007E1341"/>
    <w:rsid w:val="007E1B41"/>
    <w:rsid w:val="007E30B9"/>
    <w:rsid w:val="007E74F1"/>
    <w:rsid w:val="007F0F0C"/>
    <w:rsid w:val="007F1288"/>
    <w:rsid w:val="007F52E3"/>
    <w:rsid w:val="00800A8A"/>
    <w:rsid w:val="0080155C"/>
    <w:rsid w:val="008052E1"/>
    <w:rsid w:val="008144AE"/>
    <w:rsid w:val="008171D2"/>
    <w:rsid w:val="00822F2C"/>
    <w:rsid w:val="008305E8"/>
    <w:rsid w:val="00836427"/>
    <w:rsid w:val="00847B22"/>
    <w:rsid w:val="00855926"/>
    <w:rsid w:val="00860826"/>
    <w:rsid w:val="00860E21"/>
    <w:rsid w:val="00863117"/>
    <w:rsid w:val="00863726"/>
    <w:rsid w:val="0086388B"/>
    <w:rsid w:val="008642E5"/>
    <w:rsid w:val="00865C2B"/>
    <w:rsid w:val="00872D93"/>
    <w:rsid w:val="00876770"/>
    <w:rsid w:val="00877962"/>
    <w:rsid w:val="00880470"/>
    <w:rsid w:val="00880D94"/>
    <w:rsid w:val="008924DE"/>
    <w:rsid w:val="00893EBB"/>
    <w:rsid w:val="008A1490"/>
    <w:rsid w:val="008A3755"/>
    <w:rsid w:val="008B264F"/>
    <w:rsid w:val="008B6F83"/>
    <w:rsid w:val="008B7FD8"/>
    <w:rsid w:val="008C2973"/>
    <w:rsid w:val="008C64C4"/>
    <w:rsid w:val="008D4F6D"/>
    <w:rsid w:val="008D74D5"/>
    <w:rsid w:val="008D7F5B"/>
    <w:rsid w:val="008E1E2B"/>
    <w:rsid w:val="008F29BE"/>
    <w:rsid w:val="008F4AE5"/>
    <w:rsid w:val="008F51EB"/>
    <w:rsid w:val="00900197"/>
    <w:rsid w:val="00902F55"/>
    <w:rsid w:val="0090582B"/>
    <w:rsid w:val="009060C0"/>
    <w:rsid w:val="009133F5"/>
    <w:rsid w:val="00920A27"/>
    <w:rsid w:val="00921216"/>
    <w:rsid w:val="009216CC"/>
    <w:rsid w:val="00926AA9"/>
    <w:rsid w:val="00932D69"/>
    <w:rsid w:val="00944647"/>
    <w:rsid w:val="009623B2"/>
    <w:rsid w:val="0096387E"/>
    <w:rsid w:val="00965FEE"/>
    <w:rsid w:val="00977B8A"/>
    <w:rsid w:val="00982971"/>
    <w:rsid w:val="009845AD"/>
    <w:rsid w:val="00994976"/>
    <w:rsid w:val="00995BA0"/>
    <w:rsid w:val="009A2202"/>
    <w:rsid w:val="009A418B"/>
    <w:rsid w:val="009A4473"/>
    <w:rsid w:val="009C151C"/>
    <w:rsid w:val="009C1D8F"/>
    <w:rsid w:val="009C5B49"/>
    <w:rsid w:val="009D5125"/>
    <w:rsid w:val="009D60B8"/>
    <w:rsid w:val="009D7D4B"/>
    <w:rsid w:val="009E36ED"/>
    <w:rsid w:val="009E3C8C"/>
    <w:rsid w:val="009E4EA3"/>
    <w:rsid w:val="009E6B77"/>
    <w:rsid w:val="009F460A"/>
    <w:rsid w:val="009F7194"/>
    <w:rsid w:val="00A043FB"/>
    <w:rsid w:val="00A0729C"/>
    <w:rsid w:val="00A07779"/>
    <w:rsid w:val="00A20B2E"/>
    <w:rsid w:val="00A25069"/>
    <w:rsid w:val="00A26E6B"/>
    <w:rsid w:val="00A3068F"/>
    <w:rsid w:val="00A3145B"/>
    <w:rsid w:val="00A339D0"/>
    <w:rsid w:val="00A35C28"/>
    <w:rsid w:val="00A36DC4"/>
    <w:rsid w:val="00A41002"/>
    <w:rsid w:val="00A4201A"/>
    <w:rsid w:val="00A553CE"/>
    <w:rsid w:val="00A5677A"/>
    <w:rsid w:val="00A6490D"/>
    <w:rsid w:val="00A80363"/>
    <w:rsid w:val="00A819AE"/>
    <w:rsid w:val="00A87BD7"/>
    <w:rsid w:val="00A9169D"/>
    <w:rsid w:val="00AA240C"/>
    <w:rsid w:val="00AA55C2"/>
    <w:rsid w:val="00AB5B3C"/>
    <w:rsid w:val="00AC101C"/>
    <w:rsid w:val="00AC5F01"/>
    <w:rsid w:val="00AD4CF1"/>
    <w:rsid w:val="00AD5988"/>
    <w:rsid w:val="00AF7800"/>
    <w:rsid w:val="00B0157F"/>
    <w:rsid w:val="00B072E0"/>
    <w:rsid w:val="00B07F9E"/>
    <w:rsid w:val="00B10ADE"/>
    <w:rsid w:val="00B1323C"/>
    <w:rsid w:val="00B253F6"/>
    <w:rsid w:val="00B305DB"/>
    <w:rsid w:val="00B321D2"/>
    <w:rsid w:val="00B332F8"/>
    <w:rsid w:val="00B3454E"/>
    <w:rsid w:val="00B3492B"/>
    <w:rsid w:val="00B4646F"/>
    <w:rsid w:val="00B55C7D"/>
    <w:rsid w:val="00B61AAB"/>
    <w:rsid w:val="00B63038"/>
    <w:rsid w:val="00B64BD8"/>
    <w:rsid w:val="00B701D1"/>
    <w:rsid w:val="00B73AF2"/>
    <w:rsid w:val="00B7551A"/>
    <w:rsid w:val="00BC59F1"/>
    <w:rsid w:val="00BE55B8"/>
    <w:rsid w:val="00BF2A2C"/>
    <w:rsid w:val="00BF3DE1"/>
    <w:rsid w:val="00BF4843"/>
    <w:rsid w:val="00BF5205"/>
    <w:rsid w:val="00BF6686"/>
    <w:rsid w:val="00C05FF8"/>
    <w:rsid w:val="00C12508"/>
    <w:rsid w:val="00C276DA"/>
    <w:rsid w:val="00C45AA2"/>
    <w:rsid w:val="00C46C52"/>
    <w:rsid w:val="00C66296"/>
    <w:rsid w:val="00C77282"/>
    <w:rsid w:val="00C84688"/>
    <w:rsid w:val="00C84DE5"/>
    <w:rsid w:val="00C86248"/>
    <w:rsid w:val="00C927E3"/>
    <w:rsid w:val="00CA4C33"/>
    <w:rsid w:val="00CA6F4A"/>
    <w:rsid w:val="00CD2119"/>
    <w:rsid w:val="00CD237A"/>
    <w:rsid w:val="00CD36AC"/>
    <w:rsid w:val="00CD7248"/>
    <w:rsid w:val="00CD774F"/>
    <w:rsid w:val="00CF1747"/>
    <w:rsid w:val="00CF5331"/>
    <w:rsid w:val="00CF5CA6"/>
    <w:rsid w:val="00CF6505"/>
    <w:rsid w:val="00D15F2C"/>
    <w:rsid w:val="00D23323"/>
    <w:rsid w:val="00D2392A"/>
    <w:rsid w:val="00D25FFE"/>
    <w:rsid w:val="00D43765"/>
    <w:rsid w:val="00D4476F"/>
    <w:rsid w:val="00D54D50"/>
    <w:rsid w:val="00D66797"/>
    <w:rsid w:val="00D7087C"/>
    <w:rsid w:val="00D70C3C"/>
    <w:rsid w:val="00D72BE5"/>
    <w:rsid w:val="00D82F26"/>
    <w:rsid w:val="00D863D0"/>
    <w:rsid w:val="00D87C87"/>
    <w:rsid w:val="00DA05AF"/>
    <w:rsid w:val="00DB1AED"/>
    <w:rsid w:val="00DB39CF"/>
    <w:rsid w:val="00DD447A"/>
    <w:rsid w:val="00DE2D66"/>
    <w:rsid w:val="00DE3B20"/>
    <w:rsid w:val="00DE6C94"/>
    <w:rsid w:val="00DE6FD7"/>
    <w:rsid w:val="00E23271"/>
    <w:rsid w:val="00E24F80"/>
    <w:rsid w:val="00E259F3"/>
    <w:rsid w:val="00E33238"/>
    <w:rsid w:val="00E44746"/>
    <w:rsid w:val="00E4486C"/>
    <w:rsid w:val="00E460B6"/>
    <w:rsid w:val="00E50662"/>
    <w:rsid w:val="00E511D5"/>
    <w:rsid w:val="00E541E9"/>
    <w:rsid w:val="00E60249"/>
    <w:rsid w:val="00E61682"/>
    <w:rsid w:val="00E65000"/>
    <w:rsid w:val="00E65269"/>
    <w:rsid w:val="00E71776"/>
    <w:rsid w:val="00E73529"/>
    <w:rsid w:val="00E7421D"/>
    <w:rsid w:val="00E76D66"/>
    <w:rsid w:val="00EA796A"/>
    <w:rsid w:val="00EB1856"/>
    <w:rsid w:val="00EB41C8"/>
    <w:rsid w:val="00EB6AE2"/>
    <w:rsid w:val="00EC50CE"/>
    <w:rsid w:val="00EC5B34"/>
    <w:rsid w:val="00EC7E1E"/>
    <w:rsid w:val="00ED5061"/>
    <w:rsid w:val="00EE4ADE"/>
    <w:rsid w:val="00EE5CB7"/>
    <w:rsid w:val="00EF0313"/>
    <w:rsid w:val="00EF536E"/>
    <w:rsid w:val="00F00DED"/>
    <w:rsid w:val="00F024FE"/>
    <w:rsid w:val="00F05AD4"/>
    <w:rsid w:val="00F05EA2"/>
    <w:rsid w:val="00F25970"/>
    <w:rsid w:val="00F431DD"/>
    <w:rsid w:val="00F5180D"/>
    <w:rsid w:val="00F62E9D"/>
    <w:rsid w:val="00F67496"/>
    <w:rsid w:val="00F763EF"/>
    <w:rsid w:val="00F801BA"/>
    <w:rsid w:val="00F9366A"/>
    <w:rsid w:val="00F93CAD"/>
    <w:rsid w:val="00F946C9"/>
    <w:rsid w:val="00F9499A"/>
    <w:rsid w:val="00FA74EE"/>
    <w:rsid w:val="00FC3711"/>
    <w:rsid w:val="00FC46E7"/>
    <w:rsid w:val="00FC5D25"/>
    <w:rsid w:val="00FC7A05"/>
    <w:rsid w:val="00FD0D7E"/>
    <w:rsid w:val="00FE4D91"/>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886CAE"/>
  <w15:docId w15:val="{8C0B9239-4DCF-4DF4-8380-C5B84195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FEE"/>
    <w:pPr>
      <w:spacing w:before="160" w:line="264" w:lineRule="auto"/>
    </w:pPr>
    <w:rPr>
      <w:rFonts w:asciiTheme="minorHAnsi" w:hAnsiTheme="minorHAnsi"/>
      <w:sz w:val="22"/>
      <w:lang w:eastAsia="en-GB"/>
    </w:rPr>
  </w:style>
  <w:style w:type="paragraph" w:styleId="Heading1">
    <w:name w:val="heading 1"/>
    <w:basedOn w:val="Normal"/>
    <w:next w:val="Normal"/>
    <w:link w:val="Heading1Char"/>
    <w:uiPriority w:val="9"/>
    <w:qFormat/>
    <w:rsid w:val="00F00DED"/>
    <w:pPr>
      <w:spacing w:after="240"/>
      <w:outlineLvl w:val="0"/>
    </w:pPr>
    <w:rPr>
      <w:b/>
      <w:sz w:val="36"/>
    </w:rPr>
  </w:style>
  <w:style w:type="paragraph" w:styleId="Heading2">
    <w:name w:val="heading 2"/>
    <w:basedOn w:val="Normal"/>
    <w:next w:val="Normal"/>
    <w:link w:val="Heading2Char"/>
    <w:uiPriority w:val="9"/>
    <w:qFormat/>
    <w:rsid w:val="00F00DED"/>
    <w:pPr>
      <w:keepNext/>
      <w:spacing w:after="120"/>
      <w:outlineLvl w:val="1"/>
    </w:pPr>
    <w:rPr>
      <w:b/>
      <w:sz w:val="28"/>
    </w:rPr>
  </w:style>
  <w:style w:type="paragraph" w:styleId="Heading3">
    <w:name w:val="heading 3"/>
    <w:basedOn w:val="Normal"/>
    <w:next w:val="Normal"/>
    <w:link w:val="Heading3Char"/>
    <w:qFormat/>
    <w:rsid w:val="00CF5331"/>
    <w:pPr>
      <w:keepNext/>
      <w:spacing w:before="300" w:after="120"/>
      <w:outlineLvl w:val="2"/>
    </w:pPr>
    <w:rPr>
      <w:b/>
      <w:sz w:val="24"/>
    </w:rPr>
  </w:style>
  <w:style w:type="paragraph" w:styleId="Heading4">
    <w:name w:val="heading 4"/>
    <w:basedOn w:val="Normal"/>
    <w:next w:val="Normal"/>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DB1AED"/>
    <w:pPr>
      <w:tabs>
        <w:tab w:val="right" w:pos="9072"/>
      </w:tabs>
      <w:spacing w:before="300"/>
      <w:ind w:right="567"/>
    </w:pPr>
    <w:rPr>
      <w:b/>
    </w:rPr>
  </w:style>
  <w:style w:type="paragraph" w:styleId="TOC2">
    <w:name w:val="toc 2"/>
    <w:basedOn w:val="Normal"/>
    <w:next w:val="Normal"/>
    <w:uiPriority w:val="39"/>
    <w:rsid w:val="00DB1AED"/>
    <w:pPr>
      <w:tabs>
        <w:tab w:val="right" w:pos="9072"/>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EF536E"/>
    <w:pPr>
      <w:numPr>
        <w:numId w:val="1"/>
      </w:numPr>
      <w:tabs>
        <w:tab w:val="clear" w:pos="284"/>
      </w:tabs>
      <w:spacing w:before="90"/>
      <w:ind w:left="850" w:hanging="425"/>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semiHidden/>
    <w:rsid w:val="003060E4"/>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link w:val="TitleChar"/>
    <w:uiPriority w:val="10"/>
    <w:qFormat/>
    <w:rsid w:val="001C5825"/>
    <w:pPr>
      <w:spacing w:before="0"/>
      <w:jc w:val="center"/>
    </w:pPr>
    <w:rPr>
      <w:b/>
      <w:caps/>
      <w:color w:val="FFFFFF" w:themeColor="background1"/>
      <w:sz w:val="36"/>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BF2A2C"/>
    <w:pPr>
      <w:jc w:val="center"/>
    </w:pPr>
  </w:style>
  <w:style w:type="character" w:styleId="PageNumber">
    <w:name w:val="page number"/>
    <w:rsid w:val="00BF2A2C"/>
    <w:rPr>
      <w:rFonts w:asciiTheme="minorHAnsi" w:hAnsiTheme="minorHAnsi"/>
      <w:b w:val="0"/>
      <w:sz w:val="22"/>
    </w:rPr>
  </w:style>
  <w:style w:type="paragraph" w:customStyle="1" w:styleId="VersoFooter">
    <w:name w:val="Verso Footer"/>
    <w:basedOn w:val="Footer"/>
    <w:rsid w:val="002546A1"/>
    <w:pPr>
      <w:pBdr>
        <w:top w:val="single" w:sz="4" w:space="4" w:color="auto"/>
      </w:pBdr>
      <w:ind w:left="709" w:hanging="709"/>
    </w:pPr>
    <w:rPr>
      <w:sz w:val="20"/>
    </w:rPr>
  </w:style>
  <w:style w:type="paragraph" w:customStyle="1" w:styleId="RectoFooter">
    <w:name w:val="Recto Footer"/>
    <w:basedOn w:val="Footer"/>
    <w:rsid w:val="00A36DC4"/>
    <w:pPr>
      <w:spacing w:before="0" w:line="240" w:lineRule="auto"/>
    </w:p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CF5331"/>
    <w:pPr>
      <w:spacing w:before="60" w:after="60" w:line="240" w:lineRule="auto"/>
    </w:pPr>
  </w:style>
  <w:style w:type="paragraph" w:customStyle="1" w:styleId="TableBullet">
    <w:name w:val="TableBullet"/>
    <w:basedOn w:val="TableText"/>
    <w:qFormat/>
    <w:rsid w:val="00CF5331"/>
    <w:pPr>
      <w:numPr>
        <w:numId w:val="5"/>
      </w:numPr>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F5331"/>
    <w:pPr>
      <w:spacing w:before="80"/>
      <w:ind w:left="284" w:hanging="284"/>
    </w:pPr>
    <w:rPr>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CF5331"/>
    <w:rPr>
      <w:rFonts w:asciiTheme="minorHAnsi" w:hAnsiTheme="minorHAnsi"/>
      <w:sz w:val="18"/>
      <w:lang w:eastAsia="en-GB"/>
    </w:rPr>
  </w:style>
  <w:style w:type="character" w:customStyle="1" w:styleId="FootnoteTextChar">
    <w:name w:val="Footnote Text Char"/>
    <w:link w:val="FootnoteText"/>
    <w:uiPriority w:val="99"/>
    <w:semiHidden/>
    <w:rsid w:val="003060E4"/>
    <w:rPr>
      <w:rFonts w:ascii="Georgia" w:hAnsi="Georgia"/>
      <w:sz w:val="18"/>
      <w:lang w:eastAsia="en-GB"/>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BF2A2C"/>
    <w:rPr>
      <w:rFonts w:asciiTheme="minorHAnsi" w:hAnsiTheme="minorHAnsi"/>
      <w:sz w:val="22"/>
      <w:lang w:eastAsia="en-GB"/>
    </w:rPr>
  </w:style>
  <w:style w:type="character" w:customStyle="1" w:styleId="Heading1Char">
    <w:name w:val="Heading 1 Char"/>
    <w:link w:val="Heading1"/>
    <w:uiPriority w:val="9"/>
    <w:rsid w:val="00F00DED"/>
    <w:rPr>
      <w:rFonts w:asciiTheme="minorHAnsi" w:hAnsiTheme="minorHAnsi"/>
      <w:b/>
      <w:sz w:val="36"/>
      <w:lang w:eastAsia="en-GB"/>
    </w:rPr>
  </w:style>
  <w:style w:type="paragraph" w:styleId="Revision">
    <w:name w:val="Revision"/>
    <w:hidden/>
    <w:uiPriority w:val="99"/>
    <w:semiHidden/>
    <w:rsid w:val="0086388B"/>
    <w:rPr>
      <w:rFonts w:ascii="Calibri" w:eastAsia="Calibri" w:hAnsi="Calibri"/>
      <w:sz w:val="22"/>
      <w:szCs w:val="22"/>
      <w:lang w:val="en-US" w:eastAsia="en-US"/>
    </w:rPr>
  </w:style>
  <w:style w:type="character" w:customStyle="1" w:styleId="Heading2Char">
    <w:name w:val="Heading 2 Char"/>
    <w:link w:val="Heading2"/>
    <w:uiPriority w:val="9"/>
    <w:rsid w:val="00F00DED"/>
    <w:rPr>
      <w:rFonts w:asciiTheme="minorHAnsi" w:hAnsiTheme="minorHAnsi"/>
      <w:b/>
      <w:sz w:val="28"/>
      <w:lang w:eastAsia="en-GB"/>
    </w:rPr>
  </w:style>
  <w:style w:type="character" w:customStyle="1" w:styleId="Heading3Char">
    <w:name w:val="Heading 3 Char"/>
    <w:link w:val="Heading3"/>
    <w:rsid w:val="00CF5331"/>
    <w:rPr>
      <w:rFonts w:asciiTheme="minorHAnsi" w:hAnsiTheme="minorHAnsi"/>
      <w:b/>
      <w:sz w:val="24"/>
      <w:lang w:eastAsia="en-GB"/>
    </w:rPr>
  </w:style>
  <w:style w:type="character" w:customStyle="1" w:styleId="TitleChar">
    <w:name w:val="Title Char"/>
    <w:basedOn w:val="DefaultParagraphFont"/>
    <w:link w:val="Title"/>
    <w:uiPriority w:val="10"/>
    <w:rsid w:val="001C5825"/>
    <w:rPr>
      <w:rFonts w:asciiTheme="minorHAnsi" w:hAnsiTheme="minorHAnsi"/>
      <w:b/>
      <w:caps/>
      <w:color w:val="FFFFFF" w:themeColor="background1"/>
      <w:sz w:val="36"/>
      <w:lang w:eastAsia="en-GB"/>
    </w:rPr>
  </w:style>
  <w:style w:type="character" w:styleId="CommentReference">
    <w:name w:val="annotation reference"/>
    <w:basedOn w:val="DefaultParagraphFont"/>
    <w:uiPriority w:val="99"/>
    <w:semiHidden/>
    <w:unhideWhenUsed/>
    <w:rsid w:val="008E1E2B"/>
    <w:rPr>
      <w:sz w:val="16"/>
      <w:szCs w:val="16"/>
    </w:rPr>
  </w:style>
  <w:style w:type="paragraph" w:styleId="CommentText">
    <w:name w:val="annotation text"/>
    <w:basedOn w:val="Normal"/>
    <w:link w:val="CommentTextChar"/>
    <w:uiPriority w:val="99"/>
    <w:semiHidden/>
    <w:unhideWhenUsed/>
    <w:rsid w:val="008E1E2B"/>
    <w:pPr>
      <w:spacing w:line="240" w:lineRule="auto"/>
    </w:pPr>
    <w:rPr>
      <w:sz w:val="20"/>
    </w:rPr>
  </w:style>
  <w:style w:type="character" w:customStyle="1" w:styleId="CommentTextChar">
    <w:name w:val="Comment Text Char"/>
    <w:basedOn w:val="DefaultParagraphFont"/>
    <w:link w:val="CommentText"/>
    <w:uiPriority w:val="99"/>
    <w:semiHidden/>
    <w:rsid w:val="008E1E2B"/>
    <w:rPr>
      <w:rFonts w:asciiTheme="minorHAnsi" w:hAnsiTheme="minorHAnsi"/>
      <w:lang w:eastAsia="en-GB"/>
    </w:rPr>
  </w:style>
  <w:style w:type="paragraph" w:styleId="CommentSubject">
    <w:name w:val="annotation subject"/>
    <w:basedOn w:val="CommentText"/>
    <w:next w:val="CommentText"/>
    <w:link w:val="CommentSubjectChar"/>
    <w:uiPriority w:val="99"/>
    <w:semiHidden/>
    <w:unhideWhenUsed/>
    <w:rsid w:val="008E1E2B"/>
    <w:rPr>
      <w:b/>
      <w:bCs/>
    </w:rPr>
  </w:style>
  <w:style w:type="character" w:customStyle="1" w:styleId="CommentSubjectChar">
    <w:name w:val="Comment Subject Char"/>
    <w:basedOn w:val="CommentTextChar"/>
    <w:link w:val="CommentSubject"/>
    <w:uiPriority w:val="99"/>
    <w:semiHidden/>
    <w:rsid w:val="008E1E2B"/>
    <w:rPr>
      <w:rFonts w:asciiTheme="minorHAnsi" w:hAnsiTheme="minorHAnsi"/>
      <w:b/>
      <w:bCs/>
      <w:lang w:eastAsia="en-GB"/>
    </w:rPr>
  </w:style>
  <w:style w:type="paragraph" w:styleId="BalloonText">
    <w:name w:val="Balloon Text"/>
    <w:basedOn w:val="Normal"/>
    <w:link w:val="BalloonTextChar"/>
    <w:uiPriority w:val="99"/>
    <w:semiHidden/>
    <w:unhideWhenUsed/>
    <w:rsid w:val="008E1E2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E2B"/>
    <w:rPr>
      <w:rFonts w:ascii="Segoe UI" w:hAnsi="Segoe UI" w:cs="Segoe UI"/>
      <w:sz w:val="18"/>
      <w:szCs w:val="18"/>
      <w:lang w:eastAsia="en-GB"/>
    </w:rPr>
  </w:style>
  <w:style w:type="paragraph" w:styleId="ListParagraph">
    <w:name w:val="List Paragraph"/>
    <w:basedOn w:val="Normal"/>
    <w:uiPriority w:val="34"/>
    <w:qFormat/>
    <w:rsid w:val="007D3403"/>
    <w:pPr>
      <w:ind w:left="720"/>
      <w:contextualSpacing/>
    </w:pPr>
  </w:style>
  <w:style w:type="character" w:customStyle="1" w:styleId="normaltextrun">
    <w:name w:val="normaltextrun"/>
    <w:basedOn w:val="DefaultParagraphFont"/>
    <w:rsid w:val="00786CD7"/>
  </w:style>
  <w:style w:type="character" w:customStyle="1" w:styleId="eop">
    <w:name w:val="eop"/>
    <w:basedOn w:val="DefaultParagraphFont"/>
    <w:rsid w:val="00786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07315">
      <w:bodyDiv w:val="1"/>
      <w:marLeft w:val="0"/>
      <w:marRight w:val="0"/>
      <w:marTop w:val="0"/>
      <w:marBottom w:val="0"/>
      <w:divBdr>
        <w:top w:val="none" w:sz="0" w:space="0" w:color="auto"/>
        <w:left w:val="none" w:sz="0" w:space="0" w:color="auto"/>
        <w:bottom w:val="none" w:sz="0" w:space="0" w:color="auto"/>
        <w:right w:val="none" w:sz="0" w:space="0" w:color="auto"/>
      </w:divBdr>
    </w:div>
    <w:div w:id="91711670">
      <w:bodyDiv w:val="1"/>
      <w:marLeft w:val="0"/>
      <w:marRight w:val="0"/>
      <w:marTop w:val="0"/>
      <w:marBottom w:val="0"/>
      <w:divBdr>
        <w:top w:val="none" w:sz="0" w:space="0" w:color="auto"/>
        <w:left w:val="none" w:sz="0" w:space="0" w:color="auto"/>
        <w:bottom w:val="none" w:sz="0" w:space="0" w:color="auto"/>
        <w:right w:val="none" w:sz="0" w:space="0" w:color="auto"/>
      </w:divBdr>
    </w:div>
    <w:div w:id="103155926">
      <w:bodyDiv w:val="1"/>
      <w:marLeft w:val="0"/>
      <w:marRight w:val="0"/>
      <w:marTop w:val="0"/>
      <w:marBottom w:val="0"/>
      <w:divBdr>
        <w:top w:val="none" w:sz="0" w:space="0" w:color="auto"/>
        <w:left w:val="none" w:sz="0" w:space="0" w:color="auto"/>
        <w:bottom w:val="none" w:sz="0" w:space="0" w:color="auto"/>
        <w:right w:val="none" w:sz="0" w:space="0" w:color="auto"/>
      </w:divBdr>
    </w:div>
    <w:div w:id="386805663">
      <w:bodyDiv w:val="1"/>
      <w:marLeft w:val="0"/>
      <w:marRight w:val="0"/>
      <w:marTop w:val="0"/>
      <w:marBottom w:val="0"/>
      <w:divBdr>
        <w:top w:val="none" w:sz="0" w:space="0" w:color="auto"/>
        <w:left w:val="none" w:sz="0" w:space="0" w:color="auto"/>
        <w:bottom w:val="none" w:sz="0" w:space="0" w:color="auto"/>
        <w:right w:val="none" w:sz="0" w:space="0" w:color="auto"/>
      </w:divBdr>
    </w:div>
    <w:div w:id="407773315">
      <w:bodyDiv w:val="1"/>
      <w:marLeft w:val="0"/>
      <w:marRight w:val="0"/>
      <w:marTop w:val="0"/>
      <w:marBottom w:val="0"/>
      <w:divBdr>
        <w:top w:val="none" w:sz="0" w:space="0" w:color="auto"/>
        <w:left w:val="none" w:sz="0" w:space="0" w:color="auto"/>
        <w:bottom w:val="none" w:sz="0" w:space="0" w:color="auto"/>
        <w:right w:val="none" w:sz="0" w:space="0" w:color="auto"/>
      </w:divBdr>
    </w:div>
    <w:div w:id="619411435">
      <w:bodyDiv w:val="1"/>
      <w:marLeft w:val="0"/>
      <w:marRight w:val="0"/>
      <w:marTop w:val="0"/>
      <w:marBottom w:val="0"/>
      <w:divBdr>
        <w:top w:val="none" w:sz="0" w:space="0" w:color="auto"/>
        <w:left w:val="none" w:sz="0" w:space="0" w:color="auto"/>
        <w:bottom w:val="none" w:sz="0" w:space="0" w:color="auto"/>
        <w:right w:val="none" w:sz="0" w:space="0" w:color="auto"/>
      </w:divBdr>
    </w:div>
    <w:div w:id="767044470">
      <w:bodyDiv w:val="1"/>
      <w:marLeft w:val="0"/>
      <w:marRight w:val="0"/>
      <w:marTop w:val="0"/>
      <w:marBottom w:val="0"/>
      <w:divBdr>
        <w:top w:val="none" w:sz="0" w:space="0" w:color="auto"/>
        <w:left w:val="none" w:sz="0" w:space="0" w:color="auto"/>
        <w:bottom w:val="none" w:sz="0" w:space="0" w:color="auto"/>
        <w:right w:val="none" w:sz="0" w:space="0" w:color="auto"/>
      </w:divBdr>
    </w:div>
    <w:div w:id="806239022">
      <w:bodyDiv w:val="1"/>
      <w:marLeft w:val="0"/>
      <w:marRight w:val="0"/>
      <w:marTop w:val="0"/>
      <w:marBottom w:val="0"/>
      <w:divBdr>
        <w:top w:val="none" w:sz="0" w:space="0" w:color="auto"/>
        <w:left w:val="none" w:sz="0" w:space="0" w:color="auto"/>
        <w:bottom w:val="none" w:sz="0" w:space="0" w:color="auto"/>
        <w:right w:val="none" w:sz="0" w:space="0" w:color="auto"/>
      </w:divBdr>
    </w:div>
    <w:div w:id="1496799178">
      <w:bodyDiv w:val="1"/>
      <w:marLeft w:val="0"/>
      <w:marRight w:val="0"/>
      <w:marTop w:val="0"/>
      <w:marBottom w:val="0"/>
      <w:divBdr>
        <w:top w:val="none" w:sz="0" w:space="0" w:color="auto"/>
        <w:left w:val="none" w:sz="0" w:space="0" w:color="auto"/>
        <w:bottom w:val="none" w:sz="0" w:space="0" w:color="auto"/>
        <w:right w:val="none" w:sz="0" w:space="0" w:color="auto"/>
      </w:divBdr>
    </w:div>
    <w:div w:id="1778520224">
      <w:bodyDiv w:val="1"/>
      <w:marLeft w:val="0"/>
      <w:marRight w:val="0"/>
      <w:marTop w:val="0"/>
      <w:marBottom w:val="0"/>
      <w:divBdr>
        <w:top w:val="none" w:sz="0" w:space="0" w:color="auto"/>
        <w:left w:val="none" w:sz="0" w:space="0" w:color="auto"/>
        <w:bottom w:val="none" w:sz="0" w:space="0" w:color="auto"/>
        <w:right w:val="none" w:sz="0" w:space="0" w:color="auto"/>
      </w:divBdr>
    </w:div>
    <w:div w:id="195188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33392-61D1-4A0C-8DD4-238B9FDED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8</TotalTime>
  <Pages>12</Pages>
  <Words>3200</Words>
  <Characters>17743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 Guide to the Practical Application of the New Zealand Illicit Drug Harm Index 2020</vt:lpstr>
    </vt:vector>
  </TitlesOfParts>
  <Company>Microsoft</Company>
  <LinksUpToDate>false</LinksUpToDate>
  <CharactersWithSpaces>20902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the Practical Application of the New Zealand Illicit Drug Harm Index 2020</dc:title>
  <dc:creator>McFadden Consultancy</dc:creator>
  <cp:lastModifiedBy>Ministry of Health</cp:lastModifiedBy>
  <cp:revision>12</cp:revision>
  <cp:lastPrinted>2022-02-11T00:00:00Z</cp:lastPrinted>
  <dcterms:created xsi:type="dcterms:W3CDTF">2022-02-10T23:32:00Z</dcterms:created>
  <dcterms:modified xsi:type="dcterms:W3CDTF">2022-02-11T00:00:00Z</dcterms:modified>
</cp:coreProperties>
</file>