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0125" w14:textId="77777777" w:rsidR="00D23B2C" w:rsidRDefault="00D23B2C" w:rsidP="00D23B2C">
      <w:pPr>
        <w:pStyle w:val="Subhead"/>
        <w:spacing w:after="1200"/>
      </w:pPr>
      <w:r>
        <w:t>Research Report</w:t>
      </w:r>
    </w:p>
    <w:p w14:paraId="0EFBAF54" w14:textId="77777777" w:rsidR="00D23B2C" w:rsidRPr="00D23B2C" w:rsidRDefault="00D23B2C" w:rsidP="00D23B2C">
      <w:pPr>
        <w:pStyle w:val="Year"/>
        <w:spacing w:before="600" w:after="600"/>
      </w:pPr>
      <w:r>
        <w:rPr>
          <w:b/>
          <w:noProof/>
          <w:color w:val="000000" w:themeColor="text1"/>
          <w:sz w:val="64"/>
          <w:szCs w:val="64"/>
          <w:lang w:eastAsia="en-NZ"/>
        </w:rPr>
        <w:drawing>
          <wp:inline distT="0" distB="0" distL="0" distR="0" wp14:anchorId="2C9B6834" wp14:editId="60F961DD">
            <wp:extent cx="1832610" cy="1788160"/>
            <wp:effectExtent l="0" t="0" r="0" b="2540"/>
            <wp:docPr id="1" name="Picture 1" descr="National Drug Intelligence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Drug Intelligence Burea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610" cy="1788160"/>
                    </a:xfrm>
                    <a:prstGeom prst="rect">
                      <a:avLst/>
                    </a:prstGeom>
                    <a:noFill/>
                  </pic:spPr>
                </pic:pic>
              </a:graphicData>
            </a:graphic>
          </wp:inline>
        </w:drawing>
      </w:r>
    </w:p>
    <w:p w14:paraId="6881D68C" w14:textId="4C8020A8" w:rsidR="00C86248" w:rsidRDefault="00F7377D" w:rsidP="00D23B2C">
      <w:pPr>
        <w:pStyle w:val="Title"/>
        <w:spacing w:before="1200"/>
      </w:pPr>
      <w:r>
        <w:t>The New Zealand</w:t>
      </w:r>
      <w:r w:rsidR="00D23B2C">
        <w:br/>
      </w:r>
      <w:r>
        <w:t>Illicit Drug Harm Index 2020</w:t>
      </w:r>
    </w:p>
    <w:p w14:paraId="6A71BCBF" w14:textId="2D89356B" w:rsidR="006949C8" w:rsidRDefault="006949C8" w:rsidP="006949C8">
      <w:bookmarkStart w:id="0" w:name="_Hlk95474057"/>
    </w:p>
    <w:p w14:paraId="03D3097D" w14:textId="521FBC0D" w:rsidR="006949C8" w:rsidRDefault="006949C8" w:rsidP="006949C8"/>
    <w:p w14:paraId="267E2F0B" w14:textId="51DF7730" w:rsidR="006949C8" w:rsidRDefault="006949C8" w:rsidP="006949C8"/>
    <w:p w14:paraId="04EC3D24" w14:textId="75F2333D" w:rsidR="006949C8" w:rsidRDefault="006949C8" w:rsidP="006949C8"/>
    <w:p w14:paraId="67A4AEF5" w14:textId="33D8DA53" w:rsidR="006949C8" w:rsidRDefault="006949C8" w:rsidP="006949C8"/>
    <w:p w14:paraId="213C7C85" w14:textId="2881B00B" w:rsidR="006949C8" w:rsidRDefault="006949C8" w:rsidP="006949C8"/>
    <w:p w14:paraId="124B528B" w14:textId="77777777" w:rsidR="006949C8" w:rsidRDefault="006949C8" w:rsidP="006949C8"/>
    <w:p w14:paraId="74F4FD09" w14:textId="35E4E7F5" w:rsidR="006949C8" w:rsidRPr="00535958" w:rsidRDefault="006949C8" w:rsidP="006949C8">
      <w:pPr>
        <w:rPr>
          <w:sz w:val="28"/>
          <w:szCs w:val="28"/>
        </w:rPr>
      </w:pPr>
      <w:bookmarkStart w:id="1" w:name="_Hlk95474192"/>
      <w:r w:rsidRPr="00535958">
        <w:rPr>
          <w:sz w:val="28"/>
          <w:szCs w:val="28"/>
        </w:rPr>
        <w:t>Version</w:t>
      </w:r>
      <w:r w:rsidR="00535958">
        <w:rPr>
          <w:sz w:val="28"/>
          <w:szCs w:val="28"/>
        </w:rPr>
        <w:t xml:space="preserve"> 1.1</w:t>
      </w:r>
    </w:p>
    <w:bookmarkEnd w:id="0"/>
    <w:bookmarkEnd w:id="1"/>
    <w:p w14:paraId="58109911" w14:textId="77777777" w:rsidR="00C05132" w:rsidRDefault="00C05132" w:rsidP="00A06BE4"/>
    <w:p w14:paraId="0FCD03B6" w14:textId="77777777" w:rsidR="00142954" w:rsidRPr="00142954" w:rsidRDefault="00142954" w:rsidP="00142954">
      <w:pPr>
        <w:sectPr w:rsidR="00142954" w:rsidRPr="00142954" w:rsidSect="00D23B2C">
          <w:pgSz w:w="11907" w:h="16834" w:code="9"/>
          <w:pgMar w:top="2835" w:right="1134" w:bottom="340" w:left="1134" w:header="567" w:footer="851" w:gutter="0"/>
          <w:pgNumType w:start="1"/>
          <w:cols w:space="720"/>
        </w:sectPr>
      </w:pPr>
    </w:p>
    <w:p w14:paraId="47140B20" w14:textId="77777777" w:rsidR="00D27922" w:rsidRDefault="00D27922" w:rsidP="00D27922">
      <w:pPr>
        <w:pStyle w:val="Heading3"/>
      </w:pPr>
      <w:r>
        <w:lastRenderedPageBreak/>
        <w:t>Acknowledgements</w:t>
      </w:r>
    </w:p>
    <w:p w14:paraId="66FB9254" w14:textId="5F12AE9C" w:rsidR="00F7377D" w:rsidRDefault="00F7377D" w:rsidP="00F7377D">
      <w:r>
        <w:t>Many thanks to Peter Kennerley and all members of the National Drug Intelligence Bureau (NDIB) for their support and guidance, and to Richard Arnold, Chris Lewis, Jarrod O</w:t>
      </w:r>
      <w:r w:rsidR="00461CB5">
        <w:t>’</w:t>
      </w:r>
      <w:r>
        <w:t>Brien, and Andrew Chappell for their insights and technical assistance.</w:t>
      </w:r>
    </w:p>
    <w:p w14:paraId="5C299A33" w14:textId="77777777" w:rsidR="00F7377D" w:rsidRDefault="00F7377D" w:rsidP="00F7377D">
      <w:pPr>
        <w:pStyle w:val="Heading3"/>
        <w:spacing w:before="600"/>
      </w:pPr>
      <w:r>
        <w:t>Authors</w:t>
      </w:r>
    </w:p>
    <w:p w14:paraId="430D6FC4" w14:textId="77777777" w:rsidR="00F7377D" w:rsidRDefault="00F7377D" w:rsidP="00F7377D">
      <w:r>
        <w:t>Michael McFadden</w:t>
      </w:r>
    </w:p>
    <w:p w14:paraId="758598DA" w14:textId="77777777" w:rsidR="00F7377D" w:rsidRDefault="00F7377D" w:rsidP="00F7377D">
      <w:r>
        <w:t>Lauren Bellamore</w:t>
      </w:r>
    </w:p>
    <w:p w14:paraId="1BF688AD" w14:textId="77777777" w:rsidR="00EF4E47" w:rsidRDefault="00F7377D" w:rsidP="00EF4E47">
      <w:r>
        <w:t>Blair MacDonald</w:t>
      </w:r>
    </w:p>
    <w:p w14:paraId="234A44C8" w14:textId="77777777" w:rsidR="00EF4E47" w:rsidRDefault="00EF4E47" w:rsidP="00EF4E47"/>
    <w:p w14:paraId="2145DD8E" w14:textId="66267DDE" w:rsidR="00D27922" w:rsidRPr="0061152D" w:rsidRDefault="00EF4E47" w:rsidP="00F7377D">
      <w:r w:rsidRPr="0061152D">
        <w:t xml:space="preserve">Please note: The </w:t>
      </w:r>
      <w:r w:rsidR="0061152D" w:rsidRPr="0061152D">
        <w:t xml:space="preserve">New Zealand </w:t>
      </w:r>
      <w:r w:rsidR="0061152D">
        <w:t xml:space="preserve">Illicit </w:t>
      </w:r>
      <w:r w:rsidRPr="0061152D">
        <w:t xml:space="preserve">Drug Harm Index </w:t>
      </w:r>
      <w:r w:rsidR="0061152D">
        <w:t xml:space="preserve">2020 </w:t>
      </w:r>
      <w:r w:rsidRPr="0061152D">
        <w:t>has been corrected and republished following the identification of an error in the way some totals were calculated.</w:t>
      </w:r>
    </w:p>
    <w:p w14:paraId="10515BE4" w14:textId="7238EE20"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M</w:t>
      </w:r>
      <w:r w:rsidR="00F7377D">
        <w:rPr>
          <w:rFonts w:cs="Segoe UI"/>
        </w:rPr>
        <w:t>cFadden M, Bellamore L</w:t>
      </w:r>
      <w:r w:rsidR="007C2C6D">
        <w:rPr>
          <w:rFonts w:cs="Segoe UI"/>
        </w:rPr>
        <w:t xml:space="preserve"> &amp;</w:t>
      </w:r>
      <w:r w:rsidR="00F7377D">
        <w:rPr>
          <w:rFonts w:cs="Segoe UI"/>
        </w:rPr>
        <w:t xml:space="preserve"> MacDonald B</w:t>
      </w:r>
      <w:r w:rsidR="00442C1C" w:rsidRPr="00C05132">
        <w:rPr>
          <w:rFonts w:cs="Segoe UI"/>
        </w:rPr>
        <w:t xml:space="preserve">. </w:t>
      </w:r>
      <w:r w:rsidR="00F7377D">
        <w:rPr>
          <w:rFonts w:cs="Segoe UI"/>
        </w:rPr>
        <w:t>202</w:t>
      </w:r>
      <w:r w:rsidR="00535958">
        <w:rPr>
          <w:rFonts w:cs="Segoe UI"/>
        </w:rPr>
        <w:t>2</w:t>
      </w:r>
      <w:r w:rsidR="00442C1C" w:rsidRPr="00C05132">
        <w:rPr>
          <w:rFonts w:cs="Segoe UI"/>
        </w:rPr>
        <w:t xml:space="preserve">. </w:t>
      </w:r>
      <w:r w:rsidR="00F7377D">
        <w:rPr>
          <w:rFonts w:cs="Segoe UI"/>
          <w:i/>
        </w:rPr>
        <w:t xml:space="preserve">The New Zealand Illicit Drug Harm Index 2020: </w:t>
      </w:r>
      <w:r w:rsidR="00535958">
        <w:rPr>
          <w:rFonts w:cs="Segoe UI"/>
          <w:i/>
        </w:rPr>
        <w:t>Version 1.1</w:t>
      </w:r>
      <w:r w:rsidR="00442C1C" w:rsidRPr="00C05132">
        <w:rPr>
          <w:rFonts w:cs="Segoe UI"/>
        </w:rPr>
        <w:t>. Wellington: Ministry of Health.</w:t>
      </w:r>
    </w:p>
    <w:p w14:paraId="1C3F025C" w14:textId="5B65BC84" w:rsidR="00C86248" w:rsidRPr="00535958" w:rsidRDefault="00C86248">
      <w:pPr>
        <w:pStyle w:val="Imprint"/>
      </w:pPr>
      <w:r w:rsidRPr="00535958">
        <w:rPr>
          <w:b/>
        </w:rPr>
        <w:t xml:space="preserve">Published in </w:t>
      </w:r>
      <w:r w:rsidR="00535958">
        <w:rPr>
          <w:b/>
        </w:rPr>
        <w:t>February 2022</w:t>
      </w:r>
      <w:r w:rsidR="00D23B2C" w:rsidRPr="00535958">
        <w:rPr>
          <w:b/>
        </w:rPr>
        <w:br/>
      </w:r>
      <w:r w:rsidRPr="00535958">
        <w:t>by the</w:t>
      </w:r>
      <w:r w:rsidR="00442C1C" w:rsidRPr="00535958">
        <w:t xml:space="preserve"> </w:t>
      </w:r>
      <w:r w:rsidRPr="00535958">
        <w:t>Ministry of Health</w:t>
      </w:r>
      <w:r w:rsidRPr="00535958">
        <w:br/>
        <w:t>PO Box 5013, Wellington</w:t>
      </w:r>
      <w:r w:rsidR="00A80363" w:rsidRPr="00535958">
        <w:t xml:space="preserve"> 614</w:t>
      </w:r>
      <w:r w:rsidR="006041F0" w:rsidRPr="00535958">
        <w:t>0</w:t>
      </w:r>
      <w:r w:rsidRPr="00535958">
        <w:t xml:space="preserve">, </w:t>
      </w:r>
      <w:r w:rsidR="00571223" w:rsidRPr="00535958">
        <w:t>New Zealand</w:t>
      </w:r>
    </w:p>
    <w:p w14:paraId="384A56AB" w14:textId="6B7E25AC" w:rsidR="00082CD6" w:rsidRPr="009C0F2D" w:rsidRDefault="00D863D0" w:rsidP="00082CD6">
      <w:pPr>
        <w:pStyle w:val="Imprint"/>
      </w:pPr>
      <w:r w:rsidRPr="00535958">
        <w:t>ISBN</w:t>
      </w:r>
      <w:r w:rsidR="00442C1C" w:rsidRPr="00535958">
        <w:t xml:space="preserve"> </w:t>
      </w:r>
      <w:r w:rsidR="00535958" w:rsidRPr="00535958">
        <w:t>978-1-99-110022-1</w:t>
      </w:r>
      <w:r w:rsidR="002B7BEC" w:rsidRPr="00535958">
        <w:t xml:space="preserve"> </w:t>
      </w:r>
      <w:r w:rsidRPr="00535958">
        <w:t>(</w:t>
      </w:r>
      <w:r w:rsidR="00442C1C" w:rsidRPr="00535958">
        <w:t>online</w:t>
      </w:r>
      <w:r w:rsidRPr="00535958">
        <w:t>)</w:t>
      </w:r>
      <w:r w:rsidR="00082CD6" w:rsidRPr="00535958">
        <w:br/>
        <w:t xml:space="preserve">HP </w:t>
      </w:r>
      <w:r w:rsidR="00F7377D" w:rsidRPr="00535958">
        <w:t>7936</w:t>
      </w:r>
    </w:p>
    <w:p w14:paraId="16EBB065" w14:textId="77777777" w:rsidR="007E74F1" w:rsidRPr="001F45A7" w:rsidRDefault="00A63DFF" w:rsidP="00D23B2C">
      <w:pPr>
        <w:pStyle w:val="Imprint"/>
        <w:spacing w:before="240" w:after="480"/>
      </w:pPr>
      <w:r>
        <w:t xml:space="preserve">This document is available at </w:t>
      </w:r>
      <w:hyperlink r:id="rId9" w:history="1">
        <w:r w:rsidR="00476B21" w:rsidRPr="0013096C">
          <w:rPr>
            <w:rStyle w:val="Hyperlink"/>
          </w:rPr>
          <w:t>health.govt.nz</w:t>
        </w:r>
      </w:hyperlink>
    </w:p>
    <w:p w14:paraId="6ADAD719" w14:textId="77777777" w:rsidR="00C86248" w:rsidRDefault="00C86248">
      <w:pPr>
        <w:jc w:val="center"/>
        <w:sectPr w:rsidR="00C86248" w:rsidSect="003B0E75">
          <w:footerReference w:type="even" r:id="rId10"/>
          <w:footerReference w:type="default" r:id="rId11"/>
          <w:pgSz w:w="11907" w:h="16834" w:code="9"/>
          <w:pgMar w:top="1701" w:right="2268" w:bottom="1134" w:left="2268" w:header="425" w:footer="425" w:gutter="0"/>
          <w:cols w:space="720"/>
          <w:vAlign w:val="bottom"/>
        </w:sectPr>
      </w:pPr>
    </w:p>
    <w:p w14:paraId="687AD410" w14:textId="77777777" w:rsidR="00C86248" w:rsidRDefault="00C86248" w:rsidP="00025A6F">
      <w:pPr>
        <w:pStyle w:val="IntroHead"/>
      </w:pPr>
      <w:bookmarkStart w:id="2" w:name="_Toc405792991"/>
      <w:bookmarkStart w:id="3" w:name="_Toc405793224"/>
      <w:r>
        <w:lastRenderedPageBreak/>
        <w:t>Contents</w:t>
      </w:r>
      <w:bookmarkEnd w:id="2"/>
      <w:bookmarkEnd w:id="3"/>
    </w:p>
    <w:p w14:paraId="66C36BE8" w14:textId="0762FA8B" w:rsidR="00993D4F" w:rsidRDefault="00993D4F">
      <w:pPr>
        <w:pStyle w:val="TOC1"/>
        <w:rPr>
          <w:rFonts w:eastAsiaTheme="minorEastAsia" w:cstheme="minorBidi"/>
          <w:b w:val="0"/>
          <w:noProof/>
          <w:szCs w:val="22"/>
          <w:lang w:eastAsia="en-NZ"/>
        </w:rPr>
      </w:pPr>
      <w:r>
        <w:rPr>
          <w:rFonts w:ascii="Segoe UI Semibold" w:hAnsi="Segoe UI Semibold"/>
          <w:b w:val="0"/>
          <w:sz w:val="24"/>
        </w:rPr>
        <w:fldChar w:fldCharType="begin"/>
      </w:r>
      <w:r>
        <w:rPr>
          <w:rFonts w:ascii="Segoe UI Semibold" w:hAnsi="Segoe UI Semibold"/>
          <w:b w:val="0"/>
          <w:sz w:val="24"/>
        </w:rPr>
        <w:instrText xml:space="preserve"> TOC \o "1-2" \h \z </w:instrText>
      </w:r>
      <w:r>
        <w:rPr>
          <w:rFonts w:ascii="Segoe UI Semibold" w:hAnsi="Segoe UI Semibold"/>
          <w:b w:val="0"/>
          <w:sz w:val="24"/>
        </w:rPr>
        <w:fldChar w:fldCharType="separate"/>
      </w:r>
      <w:hyperlink w:anchor="_Toc95470199" w:history="1">
        <w:r w:rsidRPr="007B35F9">
          <w:rPr>
            <w:rStyle w:val="Hyperlink"/>
            <w:noProof/>
          </w:rPr>
          <w:t>Project summary</w:t>
        </w:r>
        <w:r>
          <w:rPr>
            <w:noProof/>
            <w:webHidden/>
          </w:rPr>
          <w:tab/>
        </w:r>
        <w:r>
          <w:rPr>
            <w:noProof/>
            <w:webHidden/>
          </w:rPr>
          <w:fldChar w:fldCharType="begin"/>
        </w:r>
        <w:r>
          <w:rPr>
            <w:noProof/>
            <w:webHidden/>
          </w:rPr>
          <w:instrText xml:space="preserve"> PAGEREF _Toc95470199 \h </w:instrText>
        </w:r>
        <w:r>
          <w:rPr>
            <w:noProof/>
            <w:webHidden/>
          </w:rPr>
        </w:r>
        <w:r>
          <w:rPr>
            <w:noProof/>
            <w:webHidden/>
          </w:rPr>
          <w:fldChar w:fldCharType="separate"/>
        </w:r>
        <w:r w:rsidR="006A55D7">
          <w:rPr>
            <w:noProof/>
            <w:webHidden/>
          </w:rPr>
          <w:t>1</w:t>
        </w:r>
        <w:r>
          <w:rPr>
            <w:noProof/>
            <w:webHidden/>
          </w:rPr>
          <w:fldChar w:fldCharType="end"/>
        </w:r>
      </w:hyperlink>
    </w:p>
    <w:p w14:paraId="720F9505" w14:textId="0F4E5335" w:rsidR="00993D4F" w:rsidRDefault="00BC6134">
      <w:pPr>
        <w:pStyle w:val="TOC1"/>
        <w:rPr>
          <w:rFonts w:eastAsiaTheme="minorEastAsia" w:cstheme="minorBidi"/>
          <w:b w:val="0"/>
          <w:noProof/>
          <w:szCs w:val="22"/>
          <w:lang w:eastAsia="en-NZ"/>
        </w:rPr>
      </w:pPr>
      <w:hyperlink w:anchor="_Toc95470200" w:history="1">
        <w:r w:rsidR="00993D4F" w:rsidRPr="007B35F9">
          <w:rPr>
            <w:rStyle w:val="Hyperlink"/>
            <w:noProof/>
          </w:rPr>
          <w:t>Introduction</w:t>
        </w:r>
        <w:r w:rsidR="00993D4F">
          <w:rPr>
            <w:noProof/>
            <w:webHidden/>
          </w:rPr>
          <w:tab/>
        </w:r>
        <w:r w:rsidR="00993D4F">
          <w:rPr>
            <w:noProof/>
            <w:webHidden/>
          </w:rPr>
          <w:fldChar w:fldCharType="begin"/>
        </w:r>
        <w:r w:rsidR="00993D4F">
          <w:rPr>
            <w:noProof/>
            <w:webHidden/>
          </w:rPr>
          <w:instrText xml:space="preserve"> PAGEREF _Toc95470200 \h </w:instrText>
        </w:r>
        <w:r w:rsidR="00993D4F">
          <w:rPr>
            <w:noProof/>
            <w:webHidden/>
          </w:rPr>
        </w:r>
        <w:r w:rsidR="00993D4F">
          <w:rPr>
            <w:noProof/>
            <w:webHidden/>
          </w:rPr>
          <w:fldChar w:fldCharType="separate"/>
        </w:r>
        <w:r w:rsidR="006A55D7">
          <w:rPr>
            <w:noProof/>
            <w:webHidden/>
          </w:rPr>
          <w:t>2</w:t>
        </w:r>
        <w:r w:rsidR="00993D4F">
          <w:rPr>
            <w:noProof/>
            <w:webHidden/>
          </w:rPr>
          <w:fldChar w:fldCharType="end"/>
        </w:r>
      </w:hyperlink>
    </w:p>
    <w:p w14:paraId="5AD4D6AD" w14:textId="48E8BE09" w:rsidR="00993D4F" w:rsidRDefault="00BC6134">
      <w:pPr>
        <w:pStyle w:val="TOC1"/>
        <w:rPr>
          <w:rFonts w:eastAsiaTheme="minorEastAsia" w:cstheme="minorBidi"/>
          <w:b w:val="0"/>
          <w:noProof/>
          <w:szCs w:val="22"/>
          <w:lang w:eastAsia="en-NZ"/>
        </w:rPr>
      </w:pPr>
      <w:hyperlink w:anchor="_Toc95470201" w:history="1">
        <w:r w:rsidR="00993D4F" w:rsidRPr="007B35F9">
          <w:rPr>
            <w:rStyle w:val="Hyperlink"/>
            <w:noProof/>
          </w:rPr>
          <w:t>Background</w:t>
        </w:r>
        <w:r w:rsidR="00993D4F">
          <w:rPr>
            <w:noProof/>
            <w:webHidden/>
          </w:rPr>
          <w:tab/>
        </w:r>
        <w:r w:rsidR="00993D4F">
          <w:rPr>
            <w:noProof/>
            <w:webHidden/>
          </w:rPr>
          <w:fldChar w:fldCharType="begin"/>
        </w:r>
        <w:r w:rsidR="00993D4F">
          <w:rPr>
            <w:noProof/>
            <w:webHidden/>
          </w:rPr>
          <w:instrText xml:space="preserve"> PAGEREF _Toc95470201 \h </w:instrText>
        </w:r>
        <w:r w:rsidR="00993D4F">
          <w:rPr>
            <w:noProof/>
            <w:webHidden/>
          </w:rPr>
        </w:r>
        <w:r w:rsidR="00993D4F">
          <w:rPr>
            <w:noProof/>
            <w:webHidden/>
          </w:rPr>
          <w:fldChar w:fldCharType="separate"/>
        </w:r>
        <w:r w:rsidR="006A55D7">
          <w:rPr>
            <w:noProof/>
            <w:webHidden/>
          </w:rPr>
          <w:t>3</w:t>
        </w:r>
        <w:r w:rsidR="00993D4F">
          <w:rPr>
            <w:noProof/>
            <w:webHidden/>
          </w:rPr>
          <w:fldChar w:fldCharType="end"/>
        </w:r>
      </w:hyperlink>
    </w:p>
    <w:p w14:paraId="323CA069" w14:textId="5D61D4C7" w:rsidR="00993D4F" w:rsidRDefault="00BC6134">
      <w:pPr>
        <w:pStyle w:val="TOC1"/>
        <w:rPr>
          <w:rFonts w:eastAsiaTheme="minorEastAsia" w:cstheme="minorBidi"/>
          <w:b w:val="0"/>
          <w:noProof/>
          <w:szCs w:val="22"/>
          <w:lang w:eastAsia="en-NZ"/>
        </w:rPr>
      </w:pPr>
      <w:hyperlink w:anchor="_Toc95470202" w:history="1">
        <w:r w:rsidR="00993D4F" w:rsidRPr="007B35F9">
          <w:rPr>
            <w:rStyle w:val="Hyperlink"/>
            <w:noProof/>
          </w:rPr>
          <w:t>Calculating the cost of illicit drug-related social harm</w:t>
        </w:r>
        <w:r w:rsidR="00993D4F">
          <w:rPr>
            <w:noProof/>
            <w:webHidden/>
          </w:rPr>
          <w:tab/>
        </w:r>
        <w:r w:rsidR="00993D4F">
          <w:rPr>
            <w:noProof/>
            <w:webHidden/>
          </w:rPr>
          <w:fldChar w:fldCharType="begin"/>
        </w:r>
        <w:r w:rsidR="00993D4F">
          <w:rPr>
            <w:noProof/>
            <w:webHidden/>
          </w:rPr>
          <w:instrText xml:space="preserve"> PAGEREF _Toc95470202 \h </w:instrText>
        </w:r>
        <w:r w:rsidR="00993D4F">
          <w:rPr>
            <w:noProof/>
            <w:webHidden/>
          </w:rPr>
        </w:r>
        <w:r w:rsidR="00993D4F">
          <w:rPr>
            <w:noProof/>
            <w:webHidden/>
          </w:rPr>
          <w:fldChar w:fldCharType="separate"/>
        </w:r>
        <w:r w:rsidR="006A55D7">
          <w:rPr>
            <w:noProof/>
            <w:webHidden/>
          </w:rPr>
          <w:t>5</w:t>
        </w:r>
        <w:r w:rsidR="00993D4F">
          <w:rPr>
            <w:noProof/>
            <w:webHidden/>
          </w:rPr>
          <w:fldChar w:fldCharType="end"/>
        </w:r>
      </w:hyperlink>
    </w:p>
    <w:p w14:paraId="5AE2B5C2" w14:textId="07878D5A" w:rsidR="00993D4F" w:rsidRDefault="00BC6134">
      <w:pPr>
        <w:pStyle w:val="TOC2"/>
        <w:rPr>
          <w:rFonts w:eastAsiaTheme="minorEastAsia" w:cstheme="minorBidi"/>
          <w:noProof/>
          <w:szCs w:val="22"/>
          <w:lang w:eastAsia="en-NZ"/>
        </w:rPr>
      </w:pPr>
      <w:hyperlink w:anchor="_Toc95470203" w:history="1">
        <w:r w:rsidR="00993D4F" w:rsidRPr="007B35F9">
          <w:rPr>
            <w:rStyle w:val="Hyperlink"/>
            <w:noProof/>
            <w:lang w:eastAsia="en-AU"/>
          </w:rPr>
          <w:t>Illicit drug consumption in New Zealand</w:t>
        </w:r>
        <w:r w:rsidR="00993D4F">
          <w:rPr>
            <w:noProof/>
            <w:webHidden/>
          </w:rPr>
          <w:tab/>
        </w:r>
        <w:r w:rsidR="00993D4F">
          <w:rPr>
            <w:noProof/>
            <w:webHidden/>
          </w:rPr>
          <w:fldChar w:fldCharType="begin"/>
        </w:r>
        <w:r w:rsidR="00993D4F">
          <w:rPr>
            <w:noProof/>
            <w:webHidden/>
          </w:rPr>
          <w:instrText xml:space="preserve"> PAGEREF _Toc95470203 \h </w:instrText>
        </w:r>
        <w:r w:rsidR="00993D4F">
          <w:rPr>
            <w:noProof/>
            <w:webHidden/>
          </w:rPr>
        </w:r>
        <w:r w:rsidR="00993D4F">
          <w:rPr>
            <w:noProof/>
            <w:webHidden/>
          </w:rPr>
          <w:fldChar w:fldCharType="separate"/>
        </w:r>
        <w:r w:rsidR="006A55D7">
          <w:rPr>
            <w:noProof/>
            <w:webHidden/>
          </w:rPr>
          <w:t>5</w:t>
        </w:r>
        <w:r w:rsidR="00993D4F">
          <w:rPr>
            <w:noProof/>
            <w:webHidden/>
          </w:rPr>
          <w:fldChar w:fldCharType="end"/>
        </w:r>
      </w:hyperlink>
    </w:p>
    <w:p w14:paraId="4663B69B" w14:textId="08E3F024" w:rsidR="00993D4F" w:rsidRDefault="00BC6134">
      <w:pPr>
        <w:pStyle w:val="TOC2"/>
        <w:rPr>
          <w:rFonts w:eastAsiaTheme="minorEastAsia" w:cstheme="minorBidi"/>
          <w:noProof/>
          <w:szCs w:val="22"/>
          <w:lang w:eastAsia="en-NZ"/>
        </w:rPr>
      </w:pPr>
      <w:hyperlink w:anchor="_Toc95470204" w:history="1">
        <w:r w:rsidR="00993D4F" w:rsidRPr="007B35F9">
          <w:rPr>
            <w:rStyle w:val="Hyperlink"/>
            <w:noProof/>
            <w:lang w:eastAsia="en-AU"/>
          </w:rPr>
          <w:t>Personal harms</w:t>
        </w:r>
        <w:r w:rsidR="00993D4F">
          <w:rPr>
            <w:noProof/>
            <w:webHidden/>
          </w:rPr>
          <w:tab/>
        </w:r>
        <w:r w:rsidR="00993D4F">
          <w:rPr>
            <w:noProof/>
            <w:webHidden/>
          </w:rPr>
          <w:fldChar w:fldCharType="begin"/>
        </w:r>
        <w:r w:rsidR="00993D4F">
          <w:rPr>
            <w:noProof/>
            <w:webHidden/>
          </w:rPr>
          <w:instrText xml:space="preserve"> PAGEREF _Toc95470204 \h </w:instrText>
        </w:r>
        <w:r w:rsidR="00993D4F">
          <w:rPr>
            <w:noProof/>
            <w:webHidden/>
          </w:rPr>
        </w:r>
        <w:r w:rsidR="00993D4F">
          <w:rPr>
            <w:noProof/>
            <w:webHidden/>
          </w:rPr>
          <w:fldChar w:fldCharType="separate"/>
        </w:r>
        <w:r w:rsidR="006A55D7">
          <w:rPr>
            <w:noProof/>
            <w:webHidden/>
          </w:rPr>
          <w:t>6</w:t>
        </w:r>
        <w:r w:rsidR="00993D4F">
          <w:rPr>
            <w:noProof/>
            <w:webHidden/>
          </w:rPr>
          <w:fldChar w:fldCharType="end"/>
        </w:r>
      </w:hyperlink>
    </w:p>
    <w:p w14:paraId="7A613E0F" w14:textId="715B590D" w:rsidR="00993D4F" w:rsidRDefault="00BC6134">
      <w:pPr>
        <w:pStyle w:val="TOC2"/>
        <w:rPr>
          <w:rFonts w:eastAsiaTheme="minorEastAsia" w:cstheme="minorBidi"/>
          <w:noProof/>
          <w:szCs w:val="22"/>
          <w:lang w:eastAsia="en-NZ"/>
        </w:rPr>
      </w:pPr>
      <w:hyperlink w:anchor="_Toc95470205" w:history="1">
        <w:r w:rsidR="00993D4F" w:rsidRPr="007B35F9">
          <w:rPr>
            <w:rStyle w:val="Hyperlink"/>
            <w:noProof/>
            <w:lang w:eastAsia="en-AU"/>
          </w:rPr>
          <w:t>Community harms</w:t>
        </w:r>
        <w:r w:rsidR="00993D4F">
          <w:rPr>
            <w:noProof/>
            <w:webHidden/>
          </w:rPr>
          <w:tab/>
        </w:r>
        <w:r w:rsidR="00993D4F">
          <w:rPr>
            <w:noProof/>
            <w:webHidden/>
          </w:rPr>
          <w:fldChar w:fldCharType="begin"/>
        </w:r>
        <w:r w:rsidR="00993D4F">
          <w:rPr>
            <w:noProof/>
            <w:webHidden/>
          </w:rPr>
          <w:instrText xml:space="preserve"> PAGEREF _Toc95470205 \h </w:instrText>
        </w:r>
        <w:r w:rsidR="00993D4F">
          <w:rPr>
            <w:noProof/>
            <w:webHidden/>
          </w:rPr>
        </w:r>
        <w:r w:rsidR="00993D4F">
          <w:rPr>
            <w:noProof/>
            <w:webHidden/>
          </w:rPr>
          <w:fldChar w:fldCharType="separate"/>
        </w:r>
        <w:r w:rsidR="006A55D7">
          <w:rPr>
            <w:noProof/>
            <w:webHidden/>
          </w:rPr>
          <w:t>8</w:t>
        </w:r>
        <w:r w:rsidR="00993D4F">
          <w:rPr>
            <w:noProof/>
            <w:webHidden/>
          </w:rPr>
          <w:fldChar w:fldCharType="end"/>
        </w:r>
      </w:hyperlink>
    </w:p>
    <w:p w14:paraId="7F96B8E9" w14:textId="7E8DF123" w:rsidR="00993D4F" w:rsidRDefault="00BC6134">
      <w:pPr>
        <w:pStyle w:val="TOC1"/>
        <w:rPr>
          <w:rFonts w:eastAsiaTheme="minorEastAsia" w:cstheme="minorBidi"/>
          <w:b w:val="0"/>
          <w:noProof/>
          <w:szCs w:val="22"/>
          <w:lang w:eastAsia="en-NZ"/>
        </w:rPr>
      </w:pPr>
      <w:hyperlink w:anchor="_Toc95470206" w:history="1">
        <w:r w:rsidR="00993D4F" w:rsidRPr="007B35F9">
          <w:rPr>
            <w:rStyle w:val="Hyperlink"/>
            <w:noProof/>
          </w:rPr>
          <w:t>Conclusion</w:t>
        </w:r>
        <w:r w:rsidR="00993D4F">
          <w:rPr>
            <w:noProof/>
            <w:webHidden/>
          </w:rPr>
          <w:tab/>
        </w:r>
        <w:r w:rsidR="00993D4F">
          <w:rPr>
            <w:noProof/>
            <w:webHidden/>
          </w:rPr>
          <w:fldChar w:fldCharType="begin"/>
        </w:r>
        <w:r w:rsidR="00993D4F">
          <w:rPr>
            <w:noProof/>
            <w:webHidden/>
          </w:rPr>
          <w:instrText xml:space="preserve"> PAGEREF _Toc95470206 \h </w:instrText>
        </w:r>
        <w:r w:rsidR="00993D4F">
          <w:rPr>
            <w:noProof/>
            <w:webHidden/>
          </w:rPr>
        </w:r>
        <w:r w:rsidR="00993D4F">
          <w:rPr>
            <w:noProof/>
            <w:webHidden/>
          </w:rPr>
          <w:fldChar w:fldCharType="separate"/>
        </w:r>
        <w:r w:rsidR="006A55D7">
          <w:rPr>
            <w:noProof/>
            <w:webHidden/>
          </w:rPr>
          <w:t>12</w:t>
        </w:r>
        <w:r w:rsidR="00993D4F">
          <w:rPr>
            <w:noProof/>
            <w:webHidden/>
          </w:rPr>
          <w:fldChar w:fldCharType="end"/>
        </w:r>
      </w:hyperlink>
    </w:p>
    <w:p w14:paraId="5440BF66" w14:textId="1BB1BB93" w:rsidR="00993D4F" w:rsidRDefault="00BC6134">
      <w:pPr>
        <w:pStyle w:val="TOC1"/>
        <w:rPr>
          <w:rFonts w:eastAsiaTheme="minorEastAsia" w:cstheme="minorBidi"/>
          <w:b w:val="0"/>
          <w:noProof/>
          <w:szCs w:val="22"/>
          <w:lang w:eastAsia="en-NZ"/>
        </w:rPr>
      </w:pPr>
      <w:hyperlink w:anchor="_Toc95470207" w:history="1">
        <w:r w:rsidR="00993D4F" w:rsidRPr="007B35F9">
          <w:rPr>
            <w:rStyle w:val="Hyperlink"/>
            <w:noProof/>
          </w:rPr>
          <w:t>References</w:t>
        </w:r>
        <w:r w:rsidR="00993D4F">
          <w:rPr>
            <w:noProof/>
            <w:webHidden/>
          </w:rPr>
          <w:tab/>
        </w:r>
        <w:r w:rsidR="00993D4F">
          <w:rPr>
            <w:noProof/>
            <w:webHidden/>
          </w:rPr>
          <w:fldChar w:fldCharType="begin"/>
        </w:r>
        <w:r w:rsidR="00993D4F">
          <w:rPr>
            <w:noProof/>
            <w:webHidden/>
          </w:rPr>
          <w:instrText xml:space="preserve"> PAGEREF _Toc95470207 \h </w:instrText>
        </w:r>
        <w:r w:rsidR="00993D4F">
          <w:rPr>
            <w:noProof/>
            <w:webHidden/>
          </w:rPr>
        </w:r>
        <w:r w:rsidR="00993D4F">
          <w:rPr>
            <w:noProof/>
            <w:webHidden/>
          </w:rPr>
          <w:fldChar w:fldCharType="separate"/>
        </w:r>
        <w:r w:rsidR="006A55D7">
          <w:rPr>
            <w:noProof/>
            <w:webHidden/>
          </w:rPr>
          <w:t>13</w:t>
        </w:r>
        <w:r w:rsidR="00993D4F">
          <w:rPr>
            <w:noProof/>
            <w:webHidden/>
          </w:rPr>
          <w:fldChar w:fldCharType="end"/>
        </w:r>
      </w:hyperlink>
    </w:p>
    <w:p w14:paraId="52FB9687" w14:textId="1A368093" w:rsidR="00993D4F" w:rsidRDefault="00BC6134">
      <w:pPr>
        <w:pStyle w:val="TOC1"/>
        <w:rPr>
          <w:rFonts w:eastAsiaTheme="minorEastAsia" w:cstheme="minorBidi"/>
          <w:b w:val="0"/>
          <w:noProof/>
          <w:szCs w:val="22"/>
          <w:lang w:eastAsia="en-NZ"/>
        </w:rPr>
      </w:pPr>
      <w:hyperlink w:anchor="_Toc95470208" w:history="1">
        <w:r w:rsidR="00993D4F" w:rsidRPr="007B35F9">
          <w:rPr>
            <w:rStyle w:val="Hyperlink"/>
            <w:noProof/>
          </w:rPr>
          <w:t>Appendix One: Conceptual framework</w:t>
        </w:r>
        <w:r w:rsidR="00993D4F">
          <w:rPr>
            <w:noProof/>
            <w:webHidden/>
          </w:rPr>
          <w:tab/>
        </w:r>
        <w:r w:rsidR="00993D4F">
          <w:rPr>
            <w:noProof/>
            <w:webHidden/>
          </w:rPr>
          <w:fldChar w:fldCharType="begin"/>
        </w:r>
        <w:r w:rsidR="00993D4F">
          <w:rPr>
            <w:noProof/>
            <w:webHidden/>
          </w:rPr>
          <w:instrText xml:space="preserve"> PAGEREF _Toc95470208 \h </w:instrText>
        </w:r>
        <w:r w:rsidR="00993D4F">
          <w:rPr>
            <w:noProof/>
            <w:webHidden/>
          </w:rPr>
        </w:r>
        <w:r w:rsidR="00993D4F">
          <w:rPr>
            <w:noProof/>
            <w:webHidden/>
          </w:rPr>
          <w:fldChar w:fldCharType="separate"/>
        </w:r>
        <w:r w:rsidR="006A55D7">
          <w:rPr>
            <w:noProof/>
            <w:webHidden/>
          </w:rPr>
          <w:t>15</w:t>
        </w:r>
        <w:r w:rsidR="00993D4F">
          <w:rPr>
            <w:noProof/>
            <w:webHidden/>
          </w:rPr>
          <w:fldChar w:fldCharType="end"/>
        </w:r>
      </w:hyperlink>
    </w:p>
    <w:p w14:paraId="18CA9728" w14:textId="7289DAB0" w:rsidR="00993D4F" w:rsidRDefault="00BC6134">
      <w:pPr>
        <w:pStyle w:val="TOC1"/>
        <w:rPr>
          <w:rFonts w:eastAsiaTheme="minorEastAsia" w:cstheme="minorBidi"/>
          <w:b w:val="0"/>
          <w:noProof/>
          <w:szCs w:val="22"/>
          <w:lang w:eastAsia="en-NZ"/>
        </w:rPr>
      </w:pPr>
      <w:hyperlink w:anchor="_Toc95470209" w:history="1">
        <w:r w:rsidR="00993D4F" w:rsidRPr="007B35F9">
          <w:rPr>
            <w:rStyle w:val="Hyperlink"/>
            <w:noProof/>
          </w:rPr>
          <w:t>Appendix Two: Tables with incorrect numbers previously published in DHI 2020</w:t>
        </w:r>
        <w:r w:rsidR="00993D4F">
          <w:rPr>
            <w:noProof/>
            <w:webHidden/>
          </w:rPr>
          <w:tab/>
        </w:r>
        <w:r w:rsidR="00993D4F">
          <w:rPr>
            <w:noProof/>
            <w:webHidden/>
          </w:rPr>
          <w:fldChar w:fldCharType="begin"/>
        </w:r>
        <w:r w:rsidR="00993D4F">
          <w:rPr>
            <w:noProof/>
            <w:webHidden/>
          </w:rPr>
          <w:instrText xml:space="preserve"> PAGEREF _Toc95470209 \h </w:instrText>
        </w:r>
        <w:r w:rsidR="00993D4F">
          <w:rPr>
            <w:noProof/>
            <w:webHidden/>
          </w:rPr>
        </w:r>
        <w:r w:rsidR="00993D4F">
          <w:rPr>
            <w:noProof/>
            <w:webHidden/>
          </w:rPr>
          <w:fldChar w:fldCharType="separate"/>
        </w:r>
        <w:r w:rsidR="006A55D7">
          <w:rPr>
            <w:noProof/>
            <w:webHidden/>
          </w:rPr>
          <w:t>16</w:t>
        </w:r>
        <w:r w:rsidR="00993D4F">
          <w:rPr>
            <w:noProof/>
            <w:webHidden/>
          </w:rPr>
          <w:fldChar w:fldCharType="end"/>
        </w:r>
      </w:hyperlink>
    </w:p>
    <w:p w14:paraId="131D607A" w14:textId="2F159267" w:rsidR="00C86248" w:rsidRDefault="00993D4F">
      <w:pPr>
        <w:rPr>
          <w:b/>
        </w:rPr>
      </w:pPr>
      <w:r>
        <w:rPr>
          <w:rFonts w:ascii="Segoe UI Semibold" w:hAnsi="Segoe UI Semibold"/>
          <w:b/>
          <w:sz w:val="24"/>
        </w:rPr>
        <w:fldChar w:fldCharType="end"/>
      </w:r>
    </w:p>
    <w:p w14:paraId="690AEF46" w14:textId="77777777" w:rsidR="00C6085E" w:rsidRPr="00280398" w:rsidRDefault="00C6085E" w:rsidP="00C6085E">
      <w:pPr>
        <w:pStyle w:val="Heading3"/>
        <w:spacing w:before="600"/>
      </w:pPr>
      <w:r w:rsidRPr="00280398">
        <w:t>Abbreviations</w:t>
      </w:r>
    </w:p>
    <w:p w14:paraId="638A5128" w14:textId="77777777" w:rsidR="00C6085E" w:rsidRDefault="00C6085E" w:rsidP="00C6085E">
      <w:pPr>
        <w:spacing w:before="120"/>
        <w:ind w:left="1134" w:hanging="1134"/>
        <w:rPr>
          <w:color w:val="000000" w:themeColor="text1"/>
        </w:rPr>
      </w:pPr>
      <w:r w:rsidRPr="00280398">
        <w:rPr>
          <w:color w:val="000000" w:themeColor="text1"/>
        </w:rPr>
        <w:t>MDMA</w:t>
      </w:r>
      <w:r w:rsidRPr="00280398">
        <w:rPr>
          <w:color w:val="000000" w:themeColor="text1"/>
        </w:rPr>
        <w:tab/>
        <w:t>3,4-methylenedioxy-methamphetamine</w:t>
      </w:r>
    </w:p>
    <w:p w14:paraId="4C58479E" w14:textId="77777777" w:rsidR="00C6085E" w:rsidRDefault="00C6085E"/>
    <w:p w14:paraId="71C05B4D" w14:textId="77777777" w:rsidR="002B76A7" w:rsidRDefault="002B76A7" w:rsidP="00D23B2C">
      <w:pPr>
        <w:pStyle w:val="Heading3"/>
      </w:pPr>
      <w:r>
        <w:t>List of Tables</w:t>
      </w:r>
    </w:p>
    <w:p w14:paraId="1304F69A" w14:textId="29B76D72" w:rsidR="001E6A6C" w:rsidRDefault="001E6A6C">
      <w:pPr>
        <w:pStyle w:val="TOC3"/>
        <w:rPr>
          <w:rFonts w:eastAsiaTheme="minorEastAsia" w:cstheme="minorBidi"/>
          <w:noProof/>
          <w:szCs w:val="22"/>
          <w:lang w:eastAsia="en-NZ"/>
        </w:rPr>
      </w:pPr>
      <w:r>
        <w:rPr>
          <w:sz w:val="20"/>
        </w:rPr>
        <w:fldChar w:fldCharType="begin"/>
      </w:r>
      <w:r>
        <w:rPr>
          <w:sz w:val="20"/>
        </w:rPr>
        <w:instrText xml:space="preserve"> TOC \h \z \t "Table,3" </w:instrText>
      </w:r>
      <w:r>
        <w:rPr>
          <w:sz w:val="20"/>
        </w:rPr>
        <w:fldChar w:fldCharType="separate"/>
      </w:r>
      <w:hyperlink w:anchor="_Toc95476481" w:history="1">
        <w:r w:rsidRPr="0093429F">
          <w:rPr>
            <w:rStyle w:val="Hyperlink"/>
            <w:noProof/>
          </w:rPr>
          <w:t>Table 1. Significant changes in data sources from DHI 2016</w:t>
        </w:r>
        <w:r>
          <w:rPr>
            <w:noProof/>
            <w:webHidden/>
          </w:rPr>
          <w:tab/>
        </w:r>
        <w:r>
          <w:rPr>
            <w:noProof/>
            <w:webHidden/>
          </w:rPr>
          <w:fldChar w:fldCharType="begin"/>
        </w:r>
        <w:r>
          <w:rPr>
            <w:noProof/>
            <w:webHidden/>
          </w:rPr>
          <w:instrText xml:space="preserve"> PAGEREF _Toc95476481 \h </w:instrText>
        </w:r>
        <w:r>
          <w:rPr>
            <w:noProof/>
            <w:webHidden/>
          </w:rPr>
        </w:r>
        <w:r>
          <w:rPr>
            <w:noProof/>
            <w:webHidden/>
          </w:rPr>
          <w:fldChar w:fldCharType="separate"/>
        </w:r>
        <w:r w:rsidR="006A55D7">
          <w:rPr>
            <w:noProof/>
            <w:webHidden/>
          </w:rPr>
          <w:t>2</w:t>
        </w:r>
        <w:r>
          <w:rPr>
            <w:noProof/>
            <w:webHidden/>
          </w:rPr>
          <w:fldChar w:fldCharType="end"/>
        </w:r>
      </w:hyperlink>
    </w:p>
    <w:p w14:paraId="40751B9B" w14:textId="649DA66A" w:rsidR="001E6A6C" w:rsidRDefault="00BC6134">
      <w:pPr>
        <w:pStyle w:val="TOC3"/>
        <w:rPr>
          <w:rFonts w:eastAsiaTheme="minorEastAsia" w:cstheme="minorBidi"/>
          <w:noProof/>
          <w:szCs w:val="22"/>
          <w:lang w:eastAsia="en-NZ"/>
        </w:rPr>
      </w:pPr>
      <w:hyperlink w:anchor="_Toc95476482" w:history="1">
        <w:r w:rsidR="001E6A6C" w:rsidRPr="0093429F">
          <w:rPr>
            <w:rStyle w:val="Hyperlink"/>
            <w:noProof/>
          </w:rPr>
          <w:t>Table 2. Estimated annual consumption of illicit drugs in New Zealand 2019</w:t>
        </w:r>
        <w:r w:rsidR="001E6A6C">
          <w:rPr>
            <w:noProof/>
            <w:webHidden/>
          </w:rPr>
          <w:tab/>
        </w:r>
        <w:r w:rsidR="001E6A6C">
          <w:rPr>
            <w:noProof/>
            <w:webHidden/>
          </w:rPr>
          <w:fldChar w:fldCharType="begin"/>
        </w:r>
        <w:r w:rsidR="001E6A6C">
          <w:rPr>
            <w:noProof/>
            <w:webHidden/>
          </w:rPr>
          <w:instrText xml:space="preserve"> PAGEREF _Toc95476482 \h </w:instrText>
        </w:r>
        <w:r w:rsidR="001E6A6C">
          <w:rPr>
            <w:noProof/>
            <w:webHidden/>
          </w:rPr>
        </w:r>
        <w:r w:rsidR="001E6A6C">
          <w:rPr>
            <w:noProof/>
            <w:webHidden/>
          </w:rPr>
          <w:fldChar w:fldCharType="separate"/>
        </w:r>
        <w:r w:rsidR="006A55D7">
          <w:rPr>
            <w:noProof/>
            <w:webHidden/>
          </w:rPr>
          <w:t>5</w:t>
        </w:r>
        <w:r w:rsidR="001E6A6C">
          <w:rPr>
            <w:noProof/>
            <w:webHidden/>
          </w:rPr>
          <w:fldChar w:fldCharType="end"/>
        </w:r>
      </w:hyperlink>
    </w:p>
    <w:p w14:paraId="67B0E2D9" w14:textId="78FDE503" w:rsidR="001E6A6C" w:rsidRDefault="00BC6134">
      <w:pPr>
        <w:pStyle w:val="TOC3"/>
        <w:rPr>
          <w:rFonts w:eastAsiaTheme="minorEastAsia" w:cstheme="minorBidi"/>
          <w:noProof/>
          <w:szCs w:val="22"/>
          <w:lang w:eastAsia="en-NZ"/>
        </w:rPr>
      </w:pPr>
      <w:hyperlink w:anchor="_Toc95476483" w:history="1">
        <w:r w:rsidR="001E6A6C" w:rsidRPr="0093429F">
          <w:rPr>
            <w:rStyle w:val="Hyperlink"/>
            <w:noProof/>
          </w:rPr>
          <w:t>Table 3.</w:t>
        </w:r>
        <w:r w:rsidR="001E6A6C" w:rsidRPr="0093429F">
          <w:rPr>
            <w:rStyle w:val="Hyperlink"/>
            <w:noProof/>
            <w:lang w:eastAsia="en-AU"/>
          </w:rPr>
          <w:t xml:space="preserve"> Personal harms by drug type ($ million)</w:t>
        </w:r>
        <w:r w:rsidR="001E6A6C">
          <w:rPr>
            <w:noProof/>
            <w:webHidden/>
          </w:rPr>
          <w:tab/>
        </w:r>
        <w:r w:rsidR="001E6A6C">
          <w:rPr>
            <w:noProof/>
            <w:webHidden/>
          </w:rPr>
          <w:fldChar w:fldCharType="begin"/>
        </w:r>
        <w:r w:rsidR="001E6A6C">
          <w:rPr>
            <w:noProof/>
            <w:webHidden/>
          </w:rPr>
          <w:instrText xml:space="preserve"> PAGEREF _Toc95476483 \h </w:instrText>
        </w:r>
        <w:r w:rsidR="001E6A6C">
          <w:rPr>
            <w:noProof/>
            <w:webHidden/>
          </w:rPr>
        </w:r>
        <w:r w:rsidR="001E6A6C">
          <w:rPr>
            <w:noProof/>
            <w:webHidden/>
          </w:rPr>
          <w:fldChar w:fldCharType="separate"/>
        </w:r>
        <w:r w:rsidR="006A55D7">
          <w:rPr>
            <w:noProof/>
            <w:webHidden/>
          </w:rPr>
          <w:t>7</w:t>
        </w:r>
        <w:r w:rsidR="001E6A6C">
          <w:rPr>
            <w:noProof/>
            <w:webHidden/>
          </w:rPr>
          <w:fldChar w:fldCharType="end"/>
        </w:r>
      </w:hyperlink>
    </w:p>
    <w:p w14:paraId="07FB7AFF" w14:textId="3BFD9168" w:rsidR="001E6A6C" w:rsidRDefault="00BC6134">
      <w:pPr>
        <w:pStyle w:val="TOC3"/>
        <w:rPr>
          <w:rFonts w:eastAsiaTheme="minorEastAsia" w:cstheme="minorBidi"/>
          <w:noProof/>
          <w:szCs w:val="22"/>
          <w:lang w:eastAsia="en-NZ"/>
        </w:rPr>
      </w:pPr>
      <w:hyperlink w:anchor="_Toc95476484" w:history="1">
        <w:r w:rsidR="001E6A6C" w:rsidRPr="0093429F">
          <w:rPr>
            <w:rStyle w:val="Hyperlink"/>
            <w:noProof/>
          </w:rPr>
          <w:t>Table 4.</w:t>
        </w:r>
        <w:r w:rsidR="001E6A6C" w:rsidRPr="0093429F">
          <w:rPr>
            <w:rStyle w:val="Hyperlink"/>
            <w:noProof/>
            <w:lang w:eastAsia="en-AU"/>
          </w:rPr>
          <w:t xml:space="preserve"> Community harms by drug type ($ million)</w:t>
        </w:r>
        <w:r w:rsidR="001E6A6C">
          <w:rPr>
            <w:noProof/>
            <w:webHidden/>
          </w:rPr>
          <w:tab/>
        </w:r>
        <w:r w:rsidR="001E6A6C">
          <w:rPr>
            <w:noProof/>
            <w:webHidden/>
          </w:rPr>
          <w:fldChar w:fldCharType="begin"/>
        </w:r>
        <w:r w:rsidR="001E6A6C">
          <w:rPr>
            <w:noProof/>
            <w:webHidden/>
          </w:rPr>
          <w:instrText xml:space="preserve"> PAGEREF _Toc95476484 \h </w:instrText>
        </w:r>
        <w:r w:rsidR="001E6A6C">
          <w:rPr>
            <w:noProof/>
            <w:webHidden/>
          </w:rPr>
        </w:r>
        <w:r w:rsidR="001E6A6C">
          <w:rPr>
            <w:noProof/>
            <w:webHidden/>
          </w:rPr>
          <w:fldChar w:fldCharType="separate"/>
        </w:r>
        <w:r w:rsidR="006A55D7">
          <w:rPr>
            <w:noProof/>
            <w:webHidden/>
          </w:rPr>
          <w:t>11</w:t>
        </w:r>
        <w:r w:rsidR="001E6A6C">
          <w:rPr>
            <w:noProof/>
            <w:webHidden/>
          </w:rPr>
          <w:fldChar w:fldCharType="end"/>
        </w:r>
      </w:hyperlink>
    </w:p>
    <w:p w14:paraId="55AA4C25" w14:textId="27900E89" w:rsidR="001E6A6C" w:rsidRDefault="00BC6134">
      <w:pPr>
        <w:pStyle w:val="TOC3"/>
        <w:rPr>
          <w:rFonts w:eastAsiaTheme="minorEastAsia" w:cstheme="minorBidi"/>
          <w:noProof/>
          <w:szCs w:val="22"/>
          <w:lang w:eastAsia="en-NZ"/>
        </w:rPr>
      </w:pPr>
      <w:hyperlink w:anchor="_Toc95476485" w:history="1">
        <w:r w:rsidR="001E6A6C" w:rsidRPr="0093429F">
          <w:rPr>
            <w:rStyle w:val="Hyperlink"/>
            <w:noProof/>
          </w:rPr>
          <w:t>Table 5.</w:t>
        </w:r>
        <w:r w:rsidR="001E6A6C" w:rsidRPr="0093429F">
          <w:rPr>
            <w:rStyle w:val="Hyperlink"/>
            <w:noProof/>
            <w:lang w:eastAsia="en-AU"/>
          </w:rPr>
          <w:t xml:space="preserve"> Summary of social harms ($) per kilogram by drug type</w:t>
        </w:r>
        <w:r w:rsidR="001E6A6C">
          <w:rPr>
            <w:noProof/>
            <w:webHidden/>
          </w:rPr>
          <w:tab/>
        </w:r>
        <w:r w:rsidR="001E6A6C">
          <w:rPr>
            <w:noProof/>
            <w:webHidden/>
          </w:rPr>
          <w:fldChar w:fldCharType="begin"/>
        </w:r>
        <w:r w:rsidR="001E6A6C">
          <w:rPr>
            <w:noProof/>
            <w:webHidden/>
          </w:rPr>
          <w:instrText xml:space="preserve"> PAGEREF _Toc95476485 \h </w:instrText>
        </w:r>
        <w:r w:rsidR="001E6A6C">
          <w:rPr>
            <w:noProof/>
            <w:webHidden/>
          </w:rPr>
        </w:r>
        <w:r w:rsidR="001E6A6C">
          <w:rPr>
            <w:noProof/>
            <w:webHidden/>
          </w:rPr>
          <w:fldChar w:fldCharType="separate"/>
        </w:r>
        <w:r w:rsidR="006A55D7">
          <w:rPr>
            <w:noProof/>
            <w:webHidden/>
          </w:rPr>
          <w:t>12</w:t>
        </w:r>
        <w:r w:rsidR="001E6A6C">
          <w:rPr>
            <w:noProof/>
            <w:webHidden/>
          </w:rPr>
          <w:fldChar w:fldCharType="end"/>
        </w:r>
      </w:hyperlink>
    </w:p>
    <w:p w14:paraId="01381A89" w14:textId="42448515" w:rsidR="001E6A6C" w:rsidRDefault="00BC6134">
      <w:pPr>
        <w:pStyle w:val="TOC3"/>
        <w:rPr>
          <w:rFonts w:eastAsiaTheme="minorEastAsia" w:cstheme="minorBidi"/>
          <w:noProof/>
          <w:szCs w:val="22"/>
          <w:lang w:eastAsia="en-NZ"/>
        </w:rPr>
      </w:pPr>
      <w:hyperlink w:anchor="_Toc95476486" w:history="1">
        <w:r w:rsidR="001E6A6C" w:rsidRPr="0093429F">
          <w:rPr>
            <w:rStyle w:val="Hyperlink"/>
            <w:noProof/>
          </w:rPr>
          <w:t>Table 6.</w:t>
        </w:r>
        <w:r w:rsidR="001E6A6C" w:rsidRPr="0093429F">
          <w:rPr>
            <w:rStyle w:val="Hyperlink"/>
            <w:noProof/>
            <w:lang w:eastAsia="en-AU"/>
          </w:rPr>
          <w:t xml:space="preserve"> Summary of social harms by drug type ($ million)</w:t>
        </w:r>
        <w:r w:rsidR="001E6A6C">
          <w:rPr>
            <w:noProof/>
            <w:webHidden/>
          </w:rPr>
          <w:tab/>
        </w:r>
        <w:r w:rsidR="001E6A6C">
          <w:rPr>
            <w:noProof/>
            <w:webHidden/>
          </w:rPr>
          <w:fldChar w:fldCharType="begin"/>
        </w:r>
        <w:r w:rsidR="001E6A6C">
          <w:rPr>
            <w:noProof/>
            <w:webHidden/>
          </w:rPr>
          <w:instrText xml:space="preserve"> PAGEREF _Toc95476486 \h </w:instrText>
        </w:r>
        <w:r w:rsidR="001E6A6C">
          <w:rPr>
            <w:noProof/>
            <w:webHidden/>
          </w:rPr>
        </w:r>
        <w:r w:rsidR="001E6A6C">
          <w:rPr>
            <w:noProof/>
            <w:webHidden/>
          </w:rPr>
          <w:fldChar w:fldCharType="separate"/>
        </w:r>
        <w:r w:rsidR="006A55D7">
          <w:rPr>
            <w:noProof/>
            <w:webHidden/>
          </w:rPr>
          <w:t>12</w:t>
        </w:r>
        <w:r w:rsidR="001E6A6C">
          <w:rPr>
            <w:noProof/>
            <w:webHidden/>
          </w:rPr>
          <w:fldChar w:fldCharType="end"/>
        </w:r>
      </w:hyperlink>
    </w:p>
    <w:p w14:paraId="605EAD3E" w14:textId="2A6C6A42" w:rsidR="001E6A6C" w:rsidRDefault="00BC6134">
      <w:pPr>
        <w:pStyle w:val="TOC3"/>
        <w:rPr>
          <w:rFonts w:eastAsiaTheme="minorEastAsia" w:cstheme="minorBidi"/>
          <w:noProof/>
          <w:szCs w:val="22"/>
          <w:lang w:eastAsia="en-NZ"/>
        </w:rPr>
      </w:pPr>
      <w:hyperlink w:anchor="_Toc95476487" w:history="1">
        <w:r w:rsidR="001E6A6C" w:rsidRPr="0093429F">
          <w:rPr>
            <w:rStyle w:val="Hyperlink"/>
            <w:noProof/>
          </w:rPr>
          <w:t>Table 7i. Estimated annual consumption of illicit drugs in New Zealand 2019</w:t>
        </w:r>
        <w:r w:rsidR="001E6A6C">
          <w:rPr>
            <w:noProof/>
            <w:webHidden/>
          </w:rPr>
          <w:tab/>
        </w:r>
        <w:r w:rsidR="001E6A6C">
          <w:rPr>
            <w:noProof/>
            <w:webHidden/>
          </w:rPr>
          <w:fldChar w:fldCharType="begin"/>
        </w:r>
        <w:r w:rsidR="001E6A6C">
          <w:rPr>
            <w:noProof/>
            <w:webHidden/>
          </w:rPr>
          <w:instrText xml:space="preserve"> PAGEREF _Toc95476487 \h </w:instrText>
        </w:r>
        <w:r w:rsidR="001E6A6C">
          <w:rPr>
            <w:noProof/>
            <w:webHidden/>
          </w:rPr>
        </w:r>
        <w:r w:rsidR="001E6A6C">
          <w:rPr>
            <w:noProof/>
            <w:webHidden/>
          </w:rPr>
          <w:fldChar w:fldCharType="separate"/>
        </w:r>
        <w:r w:rsidR="006A55D7">
          <w:rPr>
            <w:noProof/>
            <w:webHidden/>
          </w:rPr>
          <w:t>16</w:t>
        </w:r>
        <w:r w:rsidR="001E6A6C">
          <w:rPr>
            <w:noProof/>
            <w:webHidden/>
          </w:rPr>
          <w:fldChar w:fldCharType="end"/>
        </w:r>
      </w:hyperlink>
    </w:p>
    <w:p w14:paraId="2B291B90" w14:textId="3D409BC0" w:rsidR="001E6A6C" w:rsidRDefault="00BC6134">
      <w:pPr>
        <w:pStyle w:val="TOC3"/>
        <w:rPr>
          <w:rFonts w:eastAsiaTheme="minorEastAsia" w:cstheme="minorBidi"/>
          <w:noProof/>
          <w:szCs w:val="22"/>
          <w:lang w:eastAsia="en-NZ"/>
        </w:rPr>
      </w:pPr>
      <w:hyperlink w:anchor="_Toc95476488" w:history="1">
        <w:r w:rsidR="001E6A6C" w:rsidRPr="0093429F">
          <w:rPr>
            <w:rStyle w:val="Hyperlink"/>
            <w:noProof/>
          </w:rPr>
          <w:t>Table 8i.</w:t>
        </w:r>
        <w:r w:rsidR="001E6A6C" w:rsidRPr="0093429F">
          <w:rPr>
            <w:rStyle w:val="Hyperlink"/>
            <w:noProof/>
            <w:lang w:eastAsia="en-AU"/>
          </w:rPr>
          <w:t xml:space="preserve"> Personal harms by drug type ($ million)</w:t>
        </w:r>
        <w:r w:rsidR="001E6A6C">
          <w:rPr>
            <w:noProof/>
            <w:webHidden/>
          </w:rPr>
          <w:tab/>
        </w:r>
        <w:r w:rsidR="001E6A6C">
          <w:rPr>
            <w:noProof/>
            <w:webHidden/>
          </w:rPr>
          <w:fldChar w:fldCharType="begin"/>
        </w:r>
        <w:r w:rsidR="001E6A6C">
          <w:rPr>
            <w:noProof/>
            <w:webHidden/>
          </w:rPr>
          <w:instrText xml:space="preserve"> PAGEREF _Toc95476488 \h </w:instrText>
        </w:r>
        <w:r w:rsidR="001E6A6C">
          <w:rPr>
            <w:noProof/>
            <w:webHidden/>
          </w:rPr>
        </w:r>
        <w:r w:rsidR="001E6A6C">
          <w:rPr>
            <w:noProof/>
            <w:webHidden/>
          </w:rPr>
          <w:fldChar w:fldCharType="separate"/>
        </w:r>
        <w:r w:rsidR="006A55D7">
          <w:rPr>
            <w:noProof/>
            <w:webHidden/>
          </w:rPr>
          <w:t>16</w:t>
        </w:r>
        <w:r w:rsidR="001E6A6C">
          <w:rPr>
            <w:noProof/>
            <w:webHidden/>
          </w:rPr>
          <w:fldChar w:fldCharType="end"/>
        </w:r>
      </w:hyperlink>
    </w:p>
    <w:p w14:paraId="631321CD" w14:textId="16D0FF59" w:rsidR="001E6A6C" w:rsidRDefault="00BC6134">
      <w:pPr>
        <w:pStyle w:val="TOC3"/>
        <w:rPr>
          <w:rFonts w:eastAsiaTheme="minorEastAsia" w:cstheme="minorBidi"/>
          <w:noProof/>
          <w:szCs w:val="22"/>
          <w:lang w:eastAsia="en-NZ"/>
        </w:rPr>
      </w:pPr>
      <w:hyperlink w:anchor="_Toc95476489" w:history="1">
        <w:r w:rsidR="001E6A6C" w:rsidRPr="0093429F">
          <w:rPr>
            <w:rStyle w:val="Hyperlink"/>
            <w:noProof/>
          </w:rPr>
          <w:t>Table 9i.</w:t>
        </w:r>
        <w:r w:rsidR="001E6A6C" w:rsidRPr="0093429F">
          <w:rPr>
            <w:rStyle w:val="Hyperlink"/>
            <w:noProof/>
            <w:lang w:eastAsia="en-AU"/>
          </w:rPr>
          <w:t xml:space="preserve"> Community harms by drug type ($ million)</w:t>
        </w:r>
        <w:r w:rsidR="001E6A6C">
          <w:rPr>
            <w:noProof/>
            <w:webHidden/>
          </w:rPr>
          <w:tab/>
        </w:r>
        <w:r w:rsidR="001E6A6C">
          <w:rPr>
            <w:noProof/>
            <w:webHidden/>
          </w:rPr>
          <w:fldChar w:fldCharType="begin"/>
        </w:r>
        <w:r w:rsidR="001E6A6C">
          <w:rPr>
            <w:noProof/>
            <w:webHidden/>
          </w:rPr>
          <w:instrText xml:space="preserve"> PAGEREF _Toc95476489 \h </w:instrText>
        </w:r>
        <w:r w:rsidR="001E6A6C">
          <w:rPr>
            <w:noProof/>
            <w:webHidden/>
          </w:rPr>
        </w:r>
        <w:r w:rsidR="001E6A6C">
          <w:rPr>
            <w:noProof/>
            <w:webHidden/>
          </w:rPr>
          <w:fldChar w:fldCharType="separate"/>
        </w:r>
        <w:r w:rsidR="006A55D7">
          <w:rPr>
            <w:noProof/>
            <w:webHidden/>
          </w:rPr>
          <w:t>16</w:t>
        </w:r>
        <w:r w:rsidR="001E6A6C">
          <w:rPr>
            <w:noProof/>
            <w:webHidden/>
          </w:rPr>
          <w:fldChar w:fldCharType="end"/>
        </w:r>
      </w:hyperlink>
    </w:p>
    <w:p w14:paraId="7004A20B" w14:textId="4A68FAD1" w:rsidR="001E6A6C" w:rsidRDefault="00BC6134">
      <w:pPr>
        <w:pStyle w:val="TOC3"/>
        <w:rPr>
          <w:rFonts w:eastAsiaTheme="minorEastAsia" w:cstheme="minorBidi"/>
          <w:noProof/>
          <w:szCs w:val="22"/>
          <w:lang w:eastAsia="en-NZ"/>
        </w:rPr>
      </w:pPr>
      <w:hyperlink w:anchor="_Toc95476490" w:history="1">
        <w:r w:rsidR="001E6A6C" w:rsidRPr="0093429F">
          <w:rPr>
            <w:rStyle w:val="Hyperlink"/>
            <w:noProof/>
          </w:rPr>
          <w:t>Table 10i.</w:t>
        </w:r>
        <w:r w:rsidR="001E6A6C" w:rsidRPr="0093429F">
          <w:rPr>
            <w:rStyle w:val="Hyperlink"/>
            <w:noProof/>
            <w:lang w:eastAsia="en-AU"/>
          </w:rPr>
          <w:t xml:space="preserve"> Summary of social harms ($) per kilogram by drug type</w:t>
        </w:r>
        <w:r w:rsidR="001E6A6C">
          <w:rPr>
            <w:noProof/>
            <w:webHidden/>
          </w:rPr>
          <w:tab/>
        </w:r>
        <w:r w:rsidR="001E6A6C">
          <w:rPr>
            <w:noProof/>
            <w:webHidden/>
          </w:rPr>
          <w:fldChar w:fldCharType="begin"/>
        </w:r>
        <w:r w:rsidR="001E6A6C">
          <w:rPr>
            <w:noProof/>
            <w:webHidden/>
          </w:rPr>
          <w:instrText xml:space="preserve"> PAGEREF _Toc95476490 \h </w:instrText>
        </w:r>
        <w:r w:rsidR="001E6A6C">
          <w:rPr>
            <w:noProof/>
            <w:webHidden/>
          </w:rPr>
        </w:r>
        <w:r w:rsidR="001E6A6C">
          <w:rPr>
            <w:noProof/>
            <w:webHidden/>
          </w:rPr>
          <w:fldChar w:fldCharType="separate"/>
        </w:r>
        <w:r w:rsidR="006A55D7">
          <w:rPr>
            <w:noProof/>
            <w:webHidden/>
          </w:rPr>
          <w:t>17</w:t>
        </w:r>
        <w:r w:rsidR="001E6A6C">
          <w:rPr>
            <w:noProof/>
            <w:webHidden/>
          </w:rPr>
          <w:fldChar w:fldCharType="end"/>
        </w:r>
      </w:hyperlink>
    </w:p>
    <w:p w14:paraId="7CC96166" w14:textId="7BA1995B" w:rsidR="001E6A6C" w:rsidRDefault="00BC6134">
      <w:pPr>
        <w:pStyle w:val="TOC3"/>
        <w:rPr>
          <w:rFonts w:eastAsiaTheme="minorEastAsia" w:cstheme="minorBidi"/>
          <w:noProof/>
          <w:szCs w:val="22"/>
          <w:lang w:eastAsia="en-NZ"/>
        </w:rPr>
      </w:pPr>
      <w:hyperlink w:anchor="_Toc95476491" w:history="1">
        <w:r w:rsidR="001E6A6C" w:rsidRPr="0093429F">
          <w:rPr>
            <w:rStyle w:val="Hyperlink"/>
            <w:noProof/>
          </w:rPr>
          <w:t>Table 11i.</w:t>
        </w:r>
        <w:r w:rsidR="001E6A6C" w:rsidRPr="0093429F">
          <w:rPr>
            <w:rStyle w:val="Hyperlink"/>
            <w:noProof/>
            <w:lang w:eastAsia="en-AU"/>
          </w:rPr>
          <w:t xml:space="preserve"> Summary of social harms by drug type ($ million)</w:t>
        </w:r>
        <w:r w:rsidR="001E6A6C">
          <w:rPr>
            <w:noProof/>
            <w:webHidden/>
          </w:rPr>
          <w:tab/>
        </w:r>
        <w:r w:rsidR="001E6A6C">
          <w:rPr>
            <w:noProof/>
            <w:webHidden/>
          </w:rPr>
          <w:fldChar w:fldCharType="begin"/>
        </w:r>
        <w:r w:rsidR="001E6A6C">
          <w:rPr>
            <w:noProof/>
            <w:webHidden/>
          </w:rPr>
          <w:instrText xml:space="preserve"> PAGEREF _Toc95476491 \h </w:instrText>
        </w:r>
        <w:r w:rsidR="001E6A6C">
          <w:rPr>
            <w:noProof/>
            <w:webHidden/>
          </w:rPr>
        </w:r>
        <w:r w:rsidR="001E6A6C">
          <w:rPr>
            <w:noProof/>
            <w:webHidden/>
          </w:rPr>
          <w:fldChar w:fldCharType="separate"/>
        </w:r>
        <w:r w:rsidR="006A55D7">
          <w:rPr>
            <w:noProof/>
            <w:webHidden/>
          </w:rPr>
          <w:t>17</w:t>
        </w:r>
        <w:r w:rsidR="001E6A6C">
          <w:rPr>
            <w:noProof/>
            <w:webHidden/>
          </w:rPr>
          <w:fldChar w:fldCharType="end"/>
        </w:r>
      </w:hyperlink>
    </w:p>
    <w:p w14:paraId="387A0DC1" w14:textId="54AA8B5A" w:rsidR="002B76A7" w:rsidRDefault="001E6A6C" w:rsidP="003A5FEA">
      <w:r>
        <w:rPr>
          <w:sz w:val="20"/>
        </w:rPr>
        <w:fldChar w:fldCharType="end"/>
      </w:r>
    </w:p>
    <w:p w14:paraId="3D6E71B1" w14:textId="77777777" w:rsidR="00F7377D" w:rsidRDefault="00F7377D" w:rsidP="003A5FEA"/>
    <w:p w14:paraId="510C5F34" w14:textId="77777777" w:rsidR="001D3E4E" w:rsidRDefault="001D3E4E" w:rsidP="003A5FEA">
      <w:pPr>
        <w:sectPr w:rsidR="001D3E4E" w:rsidSect="000A0BC9">
          <w:headerReference w:type="even" r:id="rId12"/>
          <w:headerReference w:type="default" r:id="rId13"/>
          <w:footerReference w:type="even" r:id="rId14"/>
          <w:footerReference w:type="default" r:id="rId15"/>
          <w:pgSz w:w="11907" w:h="16840" w:code="9"/>
          <w:pgMar w:top="1418" w:right="1418" w:bottom="1134" w:left="1418" w:header="425" w:footer="425" w:gutter="0"/>
          <w:pgNumType w:fmt="lowerRoman"/>
          <w:cols w:space="720"/>
        </w:sectPr>
      </w:pPr>
    </w:p>
    <w:p w14:paraId="62AD27CE" w14:textId="77777777" w:rsidR="00D23B2C" w:rsidRDefault="00D23B2C" w:rsidP="003201D1">
      <w:pPr>
        <w:pStyle w:val="Heading1"/>
      </w:pPr>
      <w:bookmarkStart w:id="4" w:name="_Toc95470199"/>
      <w:r>
        <w:lastRenderedPageBreak/>
        <w:t xml:space="preserve">Project </w:t>
      </w:r>
      <w:r w:rsidRPr="003201D1">
        <w:t>summary</w:t>
      </w:r>
      <w:bookmarkEnd w:id="4"/>
    </w:p>
    <w:tbl>
      <w:tblPr>
        <w:tblStyle w:val="TableGrid"/>
        <w:tblW w:w="0" w:type="auto"/>
        <w:tblInd w:w="113" w:type="dxa"/>
        <w:tblBorders>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1134"/>
        <w:gridCol w:w="7938"/>
      </w:tblGrid>
      <w:tr w:rsidR="00D23B2C" w:rsidRPr="0018333D" w14:paraId="11066A75" w14:textId="77777777" w:rsidTr="00D54749">
        <w:trPr>
          <w:cantSplit/>
        </w:trPr>
        <w:tc>
          <w:tcPr>
            <w:tcW w:w="1134" w:type="dxa"/>
            <w:shd w:val="clear" w:color="auto" w:fill="auto"/>
          </w:tcPr>
          <w:p w14:paraId="27DCE27A" w14:textId="77777777" w:rsidR="00D23B2C" w:rsidRPr="00B97B17" w:rsidRDefault="00D23B2C" w:rsidP="00524863">
            <w:pPr>
              <w:pStyle w:val="TableText"/>
            </w:pPr>
            <w:r w:rsidRPr="00B97B17">
              <w:t>Aim</w:t>
            </w:r>
          </w:p>
        </w:tc>
        <w:tc>
          <w:tcPr>
            <w:tcW w:w="7938" w:type="dxa"/>
            <w:shd w:val="clear" w:color="auto" w:fill="auto"/>
          </w:tcPr>
          <w:p w14:paraId="5FE93796" w14:textId="77777777" w:rsidR="00D23B2C" w:rsidRPr="0018333D" w:rsidRDefault="00D23B2C" w:rsidP="00524863">
            <w:pPr>
              <w:pStyle w:val="TableText"/>
            </w:pPr>
            <w:r w:rsidRPr="0018333D">
              <w:t xml:space="preserve">The 2020 </w:t>
            </w:r>
            <w:r>
              <w:t xml:space="preserve">Illicit </w:t>
            </w:r>
            <w:r w:rsidRPr="0018333D">
              <w:t>Drug Harm Index (DHI</w:t>
            </w:r>
            <w:r>
              <w:t xml:space="preserve"> 2020</w:t>
            </w:r>
            <w:r w:rsidRPr="0018333D">
              <w:t xml:space="preserve">) provides a comprehensive evaluation of the costs of harmful illicit drug use. Estimates of total harm and harm per </w:t>
            </w:r>
            <w:r>
              <w:t>kilo</w:t>
            </w:r>
            <w:r w:rsidRPr="0018333D">
              <w:t>gram of drug consumed are included. Illicit drugs</w:t>
            </w:r>
            <w:r>
              <w:t xml:space="preserve"> potentially include</w:t>
            </w:r>
            <w:r w:rsidRPr="0018333D">
              <w:t xml:space="preserve"> legal drugs</w:t>
            </w:r>
            <w:r>
              <w:t xml:space="preserve"> (such as medication)</w:t>
            </w:r>
            <w:r w:rsidRPr="0018333D">
              <w:t xml:space="preserve"> diverted to the illicit drug market</w:t>
            </w:r>
            <w:r>
              <w:t xml:space="preserve"> and/or the misuse of medications and</w:t>
            </w:r>
            <w:r w:rsidRPr="0018333D">
              <w:t xml:space="preserve"> exclude</w:t>
            </w:r>
            <w:r>
              <w:t>s</w:t>
            </w:r>
            <w:r w:rsidRPr="0018333D">
              <w:t xml:space="preserve"> alcohol and tobacco.</w:t>
            </w:r>
          </w:p>
        </w:tc>
      </w:tr>
      <w:tr w:rsidR="00D23B2C" w:rsidRPr="0018333D" w14:paraId="223F99AA" w14:textId="77777777" w:rsidTr="00D54749">
        <w:trPr>
          <w:cantSplit/>
        </w:trPr>
        <w:tc>
          <w:tcPr>
            <w:tcW w:w="1134" w:type="dxa"/>
            <w:shd w:val="clear" w:color="auto" w:fill="auto"/>
          </w:tcPr>
          <w:p w14:paraId="3E2ED2BC" w14:textId="77777777" w:rsidR="00D23B2C" w:rsidRPr="00B97B17" w:rsidRDefault="00D23B2C" w:rsidP="00524863">
            <w:pPr>
              <w:pStyle w:val="TableText"/>
            </w:pPr>
            <w:r w:rsidRPr="00B97B17">
              <w:t>Method</w:t>
            </w:r>
          </w:p>
        </w:tc>
        <w:tc>
          <w:tcPr>
            <w:tcW w:w="7938" w:type="dxa"/>
            <w:shd w:val="clear" w:color="auto" w:fill="auto"/>
          </w:tcPr>
          <w:p w14:paraId="25575409" w14:textId="77777777" w:rsidR="00D23B2C" w:rsidRPr="0018333D" w:rsidRDefault="00D23B2C" w:rsidP="00524863">
            <w:pPr>
              <w:pStyle w:val="TableText"/>
            </w:pPr>
            <w:r w:rsidRPr="0018333D">
              <w:t>The primary sources</w:t>
            </w:r>
            <w:r>
              <w:t xml:space="preserve"> </w:t>
            </w:r>
            <w:r w:rsidRPr="0018333D">
              <w:t>of data for the calculation of harm associated with illicit drugs were coronial findings, hospital admissions, willingness to pay estimates from research findings in New Zealand and elsewhere, crime statistics, and estimates of the street value of illicit drugs. There were two categories of harm</w:t>
            </w:r>
            <w:r>
              <w:t xml:space="preserve">: </w:t>
            </w:r>
            <w:r w:rsidRPr="0018333D">
              <w:t>personal harm and community harm.</w:t>
            </w:r>
            <w:r>
              <w:t xml:space="preserve"> </w:t>
            </w:r>
            <w:r w:rsidRPr="0018333D">
              <w:t xml:space="preserve">Consumption of illicit drugs was </w:t>
            </w:r>
            <w:r>
              <w:t>measured primarily</w:t>
            </w:r>
            <w:r w:rsidRPr="0018333D">
              <w:t xml:space="preserve"> </w:t>
            </w:r>
            <w:r>
              <w:t>through</w:t>
            </w:r>
            <w:r w:rsidRPr="0018333D">
              <w:t xml:space="preserve"> wastewater analysis</w:t>
            </w:r>
            <w:r>
              <w:t>, supplemented by self</w:t>
            </w:r>
            <w:r w:rsidR="00D54749">
              <w:noBreakHyphen/>
            </w:r>
            <w:r>
              <w:t>reported survey data.</w:t>
            </w:r>
          </w:p>
        </w:tc>
      </w:tr>
      <w:tr w:rsidR="00D23B2C" w:rsidRPr="00355695" w14:paraId="3D9F3A29" w14:textId="77777777" w:rsidTr="00D54749">
        <w:trPr>
          <w:cantSplit/>
        </w:trPr>
        <w:tc>
          <w:tcPr>
            <w:tcW w:w="1134" w:type="dxa"/>
            <w:shd w:val="clear" w:color="auto" w:fill="auto"/>
          </w:tcPr>
          <w:p w14:paraId="7CF6D1AA" w14:textId="6678E739" w:rsidR="00D23B2C" w:rsidRPr="00B97B17" w:rsidRDefault="00D23B2C" w:rsidP="00524863">
            <w:pPr>
              <w:pStyle w:val="TableText"/>
            </w:pPr>
            <w:r w:rsidRPr="00B97B17">
              <w:t>Results</w:t>
            </w:r>
            <w:r w:rsidR="00EF4E47">
              <w:rPr>
                <w:rStyle w:val="FootnoteReference"/>
              </w:rPr>
              <w:footnoteReference w:id="1"/>
            </w:r>
          </w:p>
        </w:tc>
        <w:tc>
          <w:tcPr>
            <w:tcW w:w="7938" w:type="dxa"/>
            <w:shd w:val="clear" w:color="auto" w:fill="auto"/>
          </w:tcPr>
          <w:p w14:paraId="23D66ED4" w14:textId="5FB96587" w:rsidR="00D23B2C" w:rsidRPr="003201D1" w:rsidRDefault="00D23B2C" w:rsidP="00524863">
            <w:pPr>
              <w:pStyle w:val="TableText"/>
              <w:rPr>
                <w:rFonts w:cstheme="minorHAnsi"/>
                <w:i/>
                <w:iCs/>
                <w:szCs w:val="22"/>
              </w:rPr>
            </w:pPr>
            <w:r w:rsidRPr="003201D1">
              <w:rPr>
                <w:i/>
                <w:lang w:eastAsia="en-AU"/>
              </w:rPr>
              <w:t>Summary of social harms ($) per kilogram by drug type</w:t>
            </w:r>
          </w:p>
          <w:tbl>
            <w:tblPr>
              <w:tblStyle w:val="TableGrid"/>
              <w:tblW w:w="0" w:type="auto"/>
              <w:tblLayout w:type="fixed"/>
              <w:tblCellMar>
                <w:left w:w="57" w:type="dxa"/>
                <w:right w:w="57" w:type="dxa"/>
              </w:tblCellMar>
              <w:tblLook w:val="04A0" w:firstRow="1" w:lastRow="0" w:firstColumn="1" w:lastColumn="0" w:noHBand="0" w:noVBand="1"/>
            </w:tblPr>
            <w:tblGrid>
              <w:gridCol w:w="2150"/>
              <w:gridCol w:w="1843"/>
              <w:gridCol w:w="1843"/>
              <w:gridCol w:w="1843"/>
            </w:tblGrid>
            <w:tr w:rsidR="00D23B2C" w:rsidRPr="00BD42C0" w14:paraId="7E2833B3" w14:textId="77777777" w:rsidTr="00134508">
              <w:trPr>
                <w:cantSplit/>
              </w:trPr>
              <w:tc>
                <w:tcPr>
                  <w:tcW w:w="2150" w:type="dxa"/>
                  <w:shd w:val="clear" w:color="auto" w:fill="auto"/>
                </w:tcPr>
                <w:p w14:paraId="74668F75" w14:textId="77777777" w:rsidR="00D23B2C" w:rsidRPr="0009487A" w:rsidRDefault="00D23B2C" w:rsidP="00D23B2C">
                  <w:pPr>
                    <w:pStyle w:val="TableText"/>
                    <w:rPr>
                      <w:b/>
                    </w:rPr>
                  </w:pPr>
                  <w:bookmarkStart w:id="5" w:name="_Hlk66432327"/>
                  <w:r w:rsidRPr="0009487A">
                    <w:rPr>
                      <w:b/>
                    </w:rPr>
                    <w:t>Drug type</w:t>
                  </w:r>
                </w:p>
              </w:tc>
              <w:tc>
                <w:tcPr>
                  <w:tcW w:w="1843" w:type="dxa"/>
                  <w:shd w:val="clear" w:color="auto" w:fill="auto"/>
                </w:tcPr>
                <w:p w14:paraId="1D9A708B" w14:textId="77777777" w:rsidR="00D23B2C" w:rsidRPr="0009487A" w:rsidRDefault="00D23B2C" w:rsidP="00D23B2C">
                  <w:pPr>
                    <w:pStyle w:val="TableText"/>
                    <w:jc w:val="center"/>
                    <w:rPr>
                      <w:b/>
                    </w:rPr>
                  </w:pPr>
                  <w:r w:rsidRPr="0009487A">
                    <w:rPr>
                      <w:b/>
                    </w:rPr>
                    <w:t>Personal harm</w:t>
                  </w:r>
                  <w:r w:rsidRPr="0009487A">
                    <w:rPr>
                      <w:b/>
                    </w:rPr>
                    <w:br/>
                    <w:t>$ per kilogram</w:t>
                  </w:r>
                </w:p>
              </w:tc>
              <w:tc>
                <w:tcPr>
                  <w:tcW w:w="1843" w:type="dxa"/>
                  <w:shd w:val="clear" w:color="auto" w:fill="auto"/>
                </w:tcPr>
                <w:p w14:paraId="48DC53D8" w14:textId="77777777" w:rsidR="00D23B2C" w:rsidRPr="0009487A" w:rsidRDefault="00D23B2C" w:rsidP="00D23B2C">
                  <w:pPr>
                    <w:pStyle w:val="TableText"/>
                    <w:jc w:val="center"/>
                    <w:rPr>
                      <w:b/>
                    </w:rPr>
                  </w:pPr>
                  <w:r w:rsidRPr="0009487A">
                    <w:rPr>
                      <w:b/>
                    </w:rPr>
                    <w:t>Community harm</w:t>
                  </w:r>
                  <w:r w:rsidRPr="0009487A">
                    <w:rPr>
                      <w:b/>
                    </w:rPr>
                    <w:br/>
                    <w:t>$ per kilogram</w:t>
                  </w:r>
                </w:p>
              </w:tc>
              <w:tc>
                <w:tcPr>
                  <w:tcW w:w="1843" w:type="dxa"/>
                  <w:shd w:val="clear" w:color="auto" w:fill="auto"/>
                </w:tcPr>
                <w:p w14:paraId="47896D05" w14:textId="77777777" w:rsidR="00D23B2C" w:rsidRPr="0009487A" w:rsidRDefault="00D23B2C" w:rsidP="00D23B2C">
                  <w:pPr>
                    <w:pStyle w:val="TableText"/>
                    <w:jc w:val="center"/>
                    <w:rPr>
                      <w:b/>
                    </w:rPr>
                  </w:pPr>
                  <w:r w:rsidRPr="0009487A">
                    <w:rPr>
                      <w:b/>
                    </w:rPr>
                    <w:t>Total harm</w:t>
                  </w:r>
                  <w:r w:rsidRPr="0009487A">
                    <w:rPr>
                      <w:b/>
                    </w:rPr>
                    <w:br/>
                    <w:t>$ per kilogram</w:t>
                  </w:r>
                </w:p>
              </w:tc>
            </w:tr>
            <w:tr w:rsidR="00EF2925" w:rsidRPr="00BD42C0" w14:paraId="398DE33B" w14:textId="77777777" w:rsidTr="00134508">
              <w:trPr>
                <w:cantSplit/>
              </w:trPr>
              <w:tc>
                <w:tcPr>
                  <w:tcW w:w="2150" w:type="dxa"/>
                  <w:tcBorders>
                    <w:bottom w:val="nil"/>
                  </w:tcBorders>
                  <w:shd w:val="clear" w:color="auto" w:fill="auto"/>
                </w:tcPr>
                <w:p w14:paraId="675466E4" w14:textId="77777777" w:rsidR="00EF2925" w:rsidRPr="003201D1" w:rsidRDefault="00EF2925" w:rsidP="00EF2925">
                  <w:pPr>
                    <w:pStyle w:val="TableText"/>
                    <w:rPr>
                      <w:i/>
                    </w:rPr>
                  </w:pPr>
                  <w:r w:rsidRPr="003201D1">
                    <w:rPr>
                      <w:i/>
                    </w:rPr>
                    <w:t>Methamphetamine</w:t>
                  </w:r>
                </w:p>
              </w:tc>
              <w:tc>
                <w:tcPr>
                  <w:tcW w:w="1843" w:type="dxa"/>
                  <w:tcBorders>
                    <w:bottom w:val="nil"/>
                  </w:tcBorders>
                  <w:shd w:val="clear" w:color="auto" w:fill="auto"/>
                </w:tcPr>
                <w:p w14:paraId="2BFC2540" w14:textId="6D6C6988" w:rsidR="00EF2925" w:rsidRPr="0009487A" w:rsidRDefault="00EF2925" w:rsidP="00EF2925">
                  <w:pPr>
                    <w:pStyle w:val="TableText"/>
                    <w:tabs>
                      <w:tab w:val="decimal" w:pos="1134"/>
                    </w:tabs>
                    <w:rPr>
                      <w:rFonts w:cs="Segoe UI"/>
                    </w:rPr>
                  </w:pPr>
                  <w:r w:rsidRPr="005366EF">
                    <w:t>544,451.68</w:t>
                  </w:r>
                </w:p>
              </w:tc>
              <w:tc>
                <w:tcPr>
                  <w:tcW w:w="1843" w:type="dxa"/>
                  <w:tcBorders>
                    <w:bottom w:val="nil"/>
                  </w:tcBorders>
                  <w:shd w:val="clear" w:color="auto" w:fill="auto"/>
                </w:tcPr>
                <w:p w14:paraId="032DDBB9" w14:textId="33E3BF1A" w:rsidR="00EF2925" w:rsidRPr="0009487A" w:rsidRDefault="00EF2925" w:rsidP="00EF2925">
                  <w:pPr>
                    <w:pStyle w:val="TableText"/>
                    <w:tabs>
                      <w:tab w:val="decimal" w:pos="1134"/>
                    </w:tabs>
                    <w:rPr>
                      <w:rFonts w:cs="Segoe UI"/>
                    </w:rPr>
                  </w:pPr>
                  <w:r w:rsidRPr="005366EF">
                    <w:t>563,910.03</w:t>
                  </w:r>
                </w:p>
              </w:tc>
              <w:tc>
                <w:tcPr>
                  <w:tcW w:w="1843" w:type="dxa"/>
                  <w:tcBorders>
                    <w:bottom w:val="nil"/>
                  </w:tcBorders>
                  <w:shd w:val="clear" w:color="auto" w:fill="auto"/>
                </w:tcPr>
                <w:p w14:paraId="11530906" w14:textId="45C4A26E" w:rsidR="00EF2925" w:rsidRPr="0009487A" w:rsidRDefault="00EF2925" w:rsidP="00EF2925">
                  <w:pPr>
                    <w:pStyle w:val="TableText"/>
                    <w:tabs>
                      <w:tab w:val="decimal" w:pos="1134"/>
                    </w:tabs>
                    <w:rPr>
                      <w:rFonts w:cs="Segoe UI"/>
                    </w:rPr>
                  </w:pPr>
                  <w:r w:rsidRPr="00280180">
                    <w:t>1,108,361.71</w:t>
                  </w:r>
                </w:p>
              </w:tc>
            </w:tr>
            <w:tr w:rsidR="00EF2925" w:rsidRPr="00BD42C0" w14:paraId="06A6AE1D" w14:textId="77777777" w:rsidTr="00134508">
              <w:trPr>
                <w:cantSplit/>
              </w:trPr>
              <w:tc>
                <w:tcPr>
                  <w:tcW w:w="2150" w:type="dxa"/>
                  <w:tcBorders>
                    <w:top w:val="nil"/>
                    <w:bottom w:val="nil"/>
                  </w:tcBorders>
                </w:tcPr>
                <w:p w14:paraId="135313D2" w14:textId="77777777" w:rsidR="00EF2925" w:rsidRPr="003201D1" w:rsidRDefault="00EF2925" w:rsidP="00EF2925">
                  <w:pPr>
                    <w:pStyle w:val="TableText"/>
                    <w:rPr>
                      <w:i/>
                    </w:rPr>
                  </w:pPr>
                  <w:r w:rsidRPr="003201D1">
                    <w:rPr>
                      <w:i/>
                    </w:rPr>
                    <w:t>Cocaine</w:t>
                  </w:r>
                </w:p>
              </w:tc>
              <w:tc>
                <w:tcPr>
                  <w:tcW w:w="1843" w:type="dxa"/>
                  <w:tcBorders>
                    <w:top w:val="nil"/>
                    <w:bottom w:val="nil"/>
                  </w:tcBorders>
                </w:tcPr>
                <w:p w14:paraId="752C1A68" w14:textId="4CF3F7DE" w:rsidR="00EF2925" w:rsidRPr="0009487A" w:rsidRDefault="00EF2925" w:rsidP="00EF2925">
                  <w:pPr>
                    <w:pStyle w:val="TableText"/>
                    <w:tabs>
                      <w:tab w:val="decimal" w:pos="1134"/>
                    </w:tabs>
                    <w:rPr>
                      <w:rFonts w:cs="Segoe UI"/>
                    </w:rPr>
                  </w:pPr>
                  <w:r w:rsidRPr="005366EF">
                    <w:t>125,917.23</w:t>
                  </w:r>
                </w:p>
              </w:tc>
              <w:tc>
                <w:tcPr>
                  <w:tcW w:w="1843" w:type="dxa"/>
                  <w:tcBorders>
                    <w:top w:val="nil"/>
                    <w:bottom w:val="nil"/>
                  </w:tcBorders>
                </w:tcPr>
                <w:p w14:paraId="37FDEDAF" w14:textId="2519E3A3" w:rsidR="00EF2925" w:rsidRPr="0009487A" w:rsidRDefault="00EF2925" w:rsidP="00EF2925">
                  <w:pPr>
                    <w:pStyle w:val="TableText"/>
                    <w:tabs>
                      <w:tab w:val="decimal" w:pos="1134"/>
                    </w:tabs>
                    <w:rPr>
                      <w:rFonts w:cs="Segoe UI"/>
                    </w:rPr>
                  </w:pPr>
                  <w:r w:rsidRPr="005366EF">
                    <w:t>173,755.03</w:t>
                  </w:r>
                </w:p>
              </w:tc>
              <w:tc>
                <w:tcPr>
                  <w:tcW w:w="1843" w:type="dxa"/>
                  <w:tcBorders>
                    <w:top w:val="nil"/>
                    <w:bottom w:val="nil"/>
                  </w:tcBorders>
                </w:tcPr>
                <w:p w14:paraId="23942D9D" w14:textId="1E6094D0" w:rsidR="00EF2925" w:rsidRPr="0009487A" w:rsidRDefault="00EF2925" w:rsidP="00EF2925">
                  <w:pPr>
                    <w:pStyle w:val="TableText"/>
                    <w:tabs>
                      <w:tab w:val="decimal" w:pos="1134"/>
                    </w:tabs>
                    <w:rPr>
                      <w:rFonts w:cs="Segoe UI"/>
                    </w:rPr>
                  </w:pPr>
                  <w:r w:rsidRPr="00280180">
                    <w:t>299,672.26</w:t>
                  </w:r>
                </w:p>
              </w:tc>
            </w:tr>
            <w:tr w:rsidR="00EF2925" w:rsidRPr="00BD42C0" w14:paraId="45BF8112" w14:textId="77777777" w:rsidTr="00134508">
              <w:trPr>
                <w:cantSplit/>
              </w:trPr>
              <w:tc>
                <w:tcPr>
                  <w:tcW w:w="2150" w:type="dxa"/>
                  <w:tcBorders>
                    <w:top w:val="nil"/>
                    <w:bottom w:val="nil"/>
                  </w:tcBorders>
                  <w:shd w:val="clear" w:color="auto" w:fill="auto"/>
                </w:tcPr>
                <w:p w14:paraId="43724C5A" w14:textId="77777777" w:rsidR="00EF2925" w:rsidRPr="003201D1" w:rsidRDefault="00EF2925" w:rsidP="00EF2925">
                  <w:pPr>
                    <w:pStyle w:val="TableText"/>
                    <w:rPr>
                      <w:i/>
                    </w:rPr>
                  </w:pPr>
                  <w:r w:rsidRPr="003201D1">
                    <w:rPr>
                      <w:i/>
                    </w:rPr>
                    <w:t>MDMA</w:t>
                  </w:r>
                </w:p>
              </w:tc>
              <w:tc>
                <w:tcPr>
                  <w:tcW w:w="1843" w:type="dxa"/>
                  <w:tcBorders>
                    <w:top w:val="nil"/>
                    <w:bottom w:val="nil"/>
                  </w:tcBorders>
                  <w:shd w:val="clear" w:color="auto" w:fill="auto"/>
                </w:tcPr>
                <w:p w14:paraId="12E7ECEB" w14:textId="16E6609C" w:rsidR="00EF2925" w:rsidRPr="0009487A" w:rsidRDefault="00EF2925" w:rsidP="00EF2925">
                  <w:pPr>
                    <w:pStyle w:val="TableText"/>
                    <w:tabs>
                      <w:tab w:val="decimal" w:pos="1134"/>
                    </w:tabs>
                    <w:rPr>
                      <w:rFonts w:cs="Segoe UI"/>
                    </w:rPr>
                  </w:pPr>
                  <w:r w:rsidRPr="005366EF">
                    <w:t>62,283.36</w:t>
                  </w:r>
                </w:p>
              </w:tc>
              <w:tc>
                <w:tcPr>
                  <w:tcW w:w="1843" w:type="dxa"/>
                  <w:tcBorders>
                    <w:top w:val="nil"/>
                    <w:bottom w:val="nil"/>
                  </w:tcBorders>
                  <w:shd w:val="clear" w:color="auto" w:fill="auto"/>
                </w:tcPr>
                <w:p w14:paraId="6678AD24" w14:textId="061FF6DB" w:rsidR="00EF2925" w:rsidRPr="0009487A" w:rsidRDefault="00EF2925" w:rsidP="00EF2925">
                  <w:pPr>
                    <w:pStyle w:val="TableText"/>
                    <w:tabs>
                      <w:tab w:val="decimal" w:pos="1134"/>
                    </w:tabs>
                    <w:rPr>
                      <w:rFonts w:cs="Segoe UI"/>
                    </w:rPr>
                  </w:pPr>
                  <w:r w:rsidRPr="005366EF">
                    <w:t>76,455.46</w:t>
                  </w:r>
                </w:p>
              </w:tc>
              <w:tc>
                <w:tcPr>
                  <w:tcW w:w="1843" w:type="dxa"/>
                  <w:tcBorders>
                    <w:top w:val="nil"/>
                    <w:bottom w:val="nil"/>
                  </w:tcBorders>
                  <w:shd w:val="clear" w:color="auto" w:fill="auto"/>
                </w:tcPr>
                <w:p w14:paraId="3E9719A4" w14:textId="13E7FD80" w:rsidR="00EF2925" w:rsidRPr="0009487A" w:rsidRDefault="00EF2925" w:rsidP="00EF2925">
                  <w:pPr>
                    <w:pStyle w:val="TableText"/>
                    <w:tabs>
                      <w:tab w:val="decimal" w:pos="1134"/>
                    </w:tabs>
                    <w:rPr>
                      <w:rFonts w:cs="Segoe UI"/>
                    </w:rPr>
                  </w:pPr>
                  <w:r w:rsidRPr="00280180">
                    <w:t>138,738.82</w:t>
                  </w:r>
                </w:p>
              </w:tc>
            </w:tr>
            <w:tr w:rsidR="00EF2925" w:rsidRPr="00BD42C0" w14:paraId="4BF791BF" w14:textId="77777777" w:rsidTr="00134508">
              <w:trPr>
                <w:cantSplit/>
              </w:trPr>
              <w:tc>
                <w:tcPr>
                  <w:tcW w:w="2150" w:type="dxa"/>
                  <w:tcBorders>
                    <w:top w:val="nil"/>
                  </w:tcBorders>
                </w:tcPr>
                <w:p w14:paraId="5EC756DF" w14:textId="77777777" w:rsidR="00EF2925" w:rsidRPr="003201D1" w:rsidRDefault="00EF2925" w:rsidP="00EF2925">
                  <w:pPr>
                    <w:pStyle w:val="TableText"/>
                    <w:rPr>
                      <w:i/>
                    </w:rPr>
                  </w:pPr>
                  <w:r w:rsidRPr="003201D1">
                    <w:rPr>
                      <w:i/>
                    </w:rPr>
                    <w:t>Cannabis</w:t>
                  </w:r>
                </w:p>
              </w:tc>
              <w:tc>
                <w:tcPr>
                  <w:tcW w:w="1843" w:type="dxa"/>
                  <w:tcBorders>
                    <w:top w:val="nil"/>
                  </w:tcBorders>
                </w:tcPr>
                <w:p w14:paraId="205C7FDB" w14:textId="1CA68CD0" w:rsidR="00EF2925" w:rsidRPr="0009487A" w:rsidRDefault="00EF2925" w:rsidP="00EF2925">
                  <w:pPr>
                    <w:pStyle w:val="TableText"/>
                    <w:tabs>
                      <w:tab w:val="decimal" w:pos="1134"/>
                    </w:tabs>
                    <w:rPr>
                      <w:rFonts w:cs="Segoe UI"/>
                    </w:rPr>
                  </w:pPr>
                  <w:r w:rsidRPr="007C1303">
                    <w:t>4,847.90</w:t>
                  </w:r>
                </w:p>
              </w:tc>
              <w:tc>
                <w:tcPr>
                  <w:tcW w:w="1843" w:type="dxa"/>
                  <w:tcBorders>
                    <w:top w:val="nil"/>
                  </w:tcBorders>
                </w:tcPr>
                <w:p w14:paraId="17A1BC0B" w14:textId="66B3AF3B" w:rsidR="00EF2925" w:rsidRPr="0009487A" w:rsidRDefault="00EF2925" w:rsidP="00EF2925">
                  <w:pPr>
                    <w:pStyle w:val="TableText"/>
                    <w:tabs>
                      <w:tab w:val="decimal" w:pos="1134"/>
                    </w:tabs>
                    <w:rPr>
                      <w:rFonts w:cs="Segoe UI"/>
                    </w:rPr>
                  </w:pPr>
                  <w:r w:rsidRPr="007C1303">
                    <w:t>10,876.13</w:t>
                  </w:r>
                </w:p>
              </w:tc>
              <w:tc>
                <w:tcPr>
                  <w:tcW w:w="1843" w:type="dxa"/>
                  <w:tcBorders>
                    <w:top w:val="nil"/>
                  </w:tcBorders>
                </w:tcPr>
                <w:p w14:paraId="32B7B06A" w14:textId="563AAF21" w:rsidR="00EF2925" w:rsidRPr="0009487A" w:rsidRDefault="00EF2925" w:rsidP="00EF2925">
                  <w:pPr>
                    <w:pStyle w:val="TableText"/>
                    <w:tabs>
                      <w:tab w:val="decimal" w:pos="1134"/>
                    </w:tabs>
                    <w:rPr>
                      <w:rFonts w:cs="Segoe UI"/>
                    </w:rPr>
                  </w:pPr>
                  <w:r w:rsidRPr="00EF2925">
                    <w:t>15,724.02</w:t>
                  </w:r>
                </w:p>
              </w:tc>
            </w:tr>
          </w:tbl>
          <w:bookmarkEnd w:id="5"/>
          <w:p w14:paraId="739F31E9" w14:textId="77777777" w:rsidR="00D23B2C" w:rsidRPr="003201D1" w:rsidRDefault="00D23B2C" w:rsidP="00524863">
            <w:pPr>
              <w:pStyle w:val="TableText"/>
              <w:rPr>
                <w:i/>
              </w:rPr>
            </w:pPr>
            <w:r w:rsidRPr="003201D1">
              <w:rPr>
                <w:i/>
                <w:lang w:eastAsia="en-AU"/>
              </w:rPr>
              <w:t>Summary of social harms by drug type ($ million)</w:t>
            </w:r>
          </w:p>
          <w:tbl>
            <w:tblPr>
              <w:tblStyle w:val="TableGrid"/>
              <w:tblW w:w="7679" w:type="dxa"/>
              <w:tblLayout w:type="fixed"/>
              <w:tblCellMar>
                <w:left w:w="57" w:type="dxa"/>
                <w:right w:w="57" w:type="dxa"/>
              </w:tblCellMar>
              <w:tblLook w:val="04A0" w:firstRow="1" w:lastRow="0" w:firstColumn="1" w:lastColumn="0" w:noHBand="0" w:noVBand="1"/>
            </w:tblPr>
            <w:tblGrid>
              <w:gridCol w:w="2150"/>
              <w:gridCol w:w="1843"/>
              <w:gridCol w:w="1843"/>
              <w:gridCol w:w="1843"/>
            </w:tblGrid>
            <w:tr w:rsidR="00D23B2C" w:rsidRPr="00BD42C0" w14:paraId="22201641" w14:textId="77777777" w:rsidTr="00134508">
              <w:trPr>
                <w:cantSplit/>
              </w:trPr>
              <w:tc>
                <w:tcPr>
                  <w:tcW w:w="2150" w:type="dxa"/>
                  <w:shd w:val="clear" w:color="auto" w:fill="auto"/>
                </w:tcPr>
                <w:p w14:paraId="3D4ABC91" w14:textId="77777777" w:rsidR="00D23B2C" w:rsidRPr="0009487A" w:rsidRDefault="00D23B2C" w:rsidP="00D23B2C">
                  <w:pPr>
                    <w:pStyle w:val="TableText"/>
                    <w:rPr>
                      <w:b/>
                    </w:rPr>
                  </w:pPr>
                  <w:bookmarkStart w:id="6" w:name="_Hlk55831009"/>
                  <w:r w:rsidRPr="0009487A">
                    <w:rPr>
                      <w:b/>
                    </w:rPr>
                    <w:t>Drug type</w:t>
                  </w:r>
                </w:p>
              </w:tc>
              <w:tc>
                <w:tcPr>
                  <w:tcW w:w="1843" w:type="dxa"/>
                  <w:shd w:val="clear" w:color="auto" w:fill="auto"/>
                </w:tcPr>
                <w:p w14:paraId="7730E981" w14:textId="77777777" w:rsidR="00D23B2C" w:rsidRPr="0009487A" w:rsidRDefault="00D23B2C" w:rsidP="00D23B2C">
                  <w:pPr>
                    <w:pStyle w:val="TableText"/>
                    <w:jc w:val="center"/>
                    <w:rPr>
                      <w:b/>
                    </w:rPr>
                  </w:pPr>
                  <w:r w:rsidRPr="0009487A">
                    <w:rPr>
                      <w:b/>
                    </w:rPr>
                    <w:t>Personal harm</w:t>
                  </w:r>
                  <w:r w:rsidRPr="0009487A">
                    <w:rPr>
                      <w:b/>
                    </w:rPr>
                    <w:br/>
                    <w:t>$ million</w:t>
                  </w:r>
                </w:p>
              </w:tc>
              <w:tc>
                <w:tcPr>
                  <w:tcW w:w="1843" w:type="dxa"/>
                  <w:shd w:val="clear" w:color="auto" w:fill="auto"/>
                </w:tcPr>
                <w:p w14:paraId="2A7AEA1C" w14:textId="77777777" w:rsidR="00D23B2C" w:rsidRPr="0009487A" w:rsidRDefault="00D23B2C" w:rsidP="00D23B2C">
                  <w:pPr>
                    <w:pStyle w:val="TableText"/>
                    <w:jc w:val="center"/>
                    <w:rPr>
                      <w:b/>
                    </w:rPr>
                  </w:pPr>
                  <w:r w:rsidRPr="0009487A">
                    <w:rPr>
                      <w:b/>
                    </w:rPr>
                    <w:t>Community harm</w:t>
                  </w:r>
                  <w:r w:rsidRPr="0009487A">
                    <w:rPr>
                      <w:b/>
                    </w:rPr>
                    <w:br/>
                    <w:t>$ million</w:t>
                  </w:r>
                </w:p>
              </w:tc>
              <w:tc>
                <w:tcPr>
                  <w:tcW w:w="1843" w:type="dxa"/>
                  <w:shd w:val="clear" w:color="auto" w:fill="auto"/>
                </w:tcPr>
                <w:p w14:paraId="4873EB8B" w14:textId="77777777" w:rsidR="00D23B2C" w:rsidRPr="0009487A" w:rsidRDefault="00D23B2C" w:rsidP="00D23B2C">
                  <w:pPr>
                    <w:pStyle w:val="TableText"/>
                    <w:jc w:val="center"/>
                    <w:rPr>
                      <w:b/>
                    </w:rPr>
                  </w:pPr>
                  <w:r w:rsidRPr="0009487A">
                    <w:rPr>
                      <w:b/>
                    </w:rPr>
                    <w:t>Total harm</w:t>
                  </w:r>
                  <w:r w:rsidRPr="0009487A">
                    <w:rPr>
                      <w:b/>
                    </w:rPr>
                    <w:br/>
                    <w:t>$ million</w:t>
                  </w:r>
                </w:p>
              </w:tc>
            </w:tr>
            <w:tr w:rsidR="00EF2925" w:rsidRPr="00BD42C0" w14:paraId="0CD08F7E" w14:textId="77777777" w:rsidTr="00134508">
              <w:trPr>
                <w:cantSplit/>
              </w:trPr>
              <w:tc>
                <w:tcPr>
                  <w:tcW w:w="2150" w:type="dxa"/>
                  <w:tcBorders>
                    <w:bottom w:val="nil"/>
                  </w:tcBorders>
                  <w:shd w:val="clear" w:color="auto" w:fill="auto"/>
                </w:tcPr>
                <w:p w14:paraId="44027E86" w14:textId="77777777" w:rsidR="00EF2925" w:rsidRPr="003201D1" w:rsidRDefault="00EF2925" w:rsidP="00EF2925">
                  <w:pPr>
                    <w:pStyle w:val="TableText"/>
                    <w:rPr>
                      <w:i/>
                    </w:rPr>
                  </w:pPr>
                  <w:r w:rsidRPr="003201D1">
                    <w:rPr>
                      <w:i/>
                    </w:rPr>
                    <w:t>Methamphetamine</w:t>
                  </w:r>
                </w:p>
              </w:tc>
              <w:tc>
                <w:tcPr>
                  <w:tcW w:w="1843" w:type="dxa"/>
                  <w:tcBorders>
                    <w:bottom w:val="nil"/>
                  </w:tcBorders>
                  <w:shd w:val="clear" w:color="auto" w:fill="auto"/>
                </w:tcPr>
                <w:p w14:paraId="2EBCBC63" w14:textId="3F5DB349" w:rsidR="00EF2925" w:rsidRPr="00BD42C0" w:rsidRDefault="00EF2925" w:rsidP="00EF2925">
                  <w:pPr>
                    <w:pStyle w:val="TableText"/>
                    <w:tabs>
                      <w:tab w:val="decimal" w:pos="851"/>
                    </w:tabs>
                  </w:pPr>
                  <w:r w:rsidRPr="00734E0C">
                    <w:t>404.52</w:t>
                  </w:r>
                </w:p>
              </w:tc>
              <w:tc>
                <w:tcPr>
                  <w:tcW w:w="1843" w:type="dxa"/>
                  <w:tcBorders>
                    <w:bottom w:val="nil"/>
                  </w:tcBorders>
                  <w:shd w:val="clear" w:color="auto" w:fill="auto"/>
                </w:tcPr>
                <w:p w14:paraId="1993F669" w14:textId="741A979C" w:rsidR="00EF2925" w:rsidRPr="00BD42C0" w:rsidRDefault="00EF2925" w:rsidP="00EF2925">
                  <w:pPr>
                    <w:pStyle w:val="TableText"/>
                    <w:tabs>
                      <w:tab w:val="decimal" w:pos="851"/>
                    </w:tabs>
                  </w:pPr>
                  <w:r w:rsidRPr="00734E0C">
                    <w:t>418.98</w:t>
                  </w:r>
                </w:p>
              </w:tc>
              <w:tc>
                <w:tcPr>
                  <w:tcW w:w="1843" w:type="dxa"/>
                  <w:tcBorders>
                    <w:bottom w:val="nil"/>
                  </w:tcBorders>
                  <w:shd w:val="clear" w:color="auto" w:fill="auto"/>
                </w:tcPr>
                <w:p w14:paraId="5C60E8D1" w14:textId="44ABC4FD" w:rsidR="00EF2925" w:rsidRPr="00BD42C0" w:rsidRDefault="00EF2925" w:rsidP="00EF2925">
                  <w:pPr>
                    <w:pStyle w:val="TableText"/>
                    <w:tabs>
                      <w:tab w:val="decimal" w:pos="851"/>
                    </w:tabs>
                  </w:pPr>
                  <w:r w:rsidRPr="00020BF2">
                    <w:t>823.50</w:t>
                  </w:r>
                </w:p>
              </w:tc>
            </w:tr>
            <w:tr w:rsidR="00EF2925" w:rsidRPr="00BD42C0" w14:paraId="665FC4D7" w14:textId="77777777" w:rsidTr="00134508">
              <w:trPr>
                <w:cantSplit/>
              </w:trPr>
              <w:tc>
                <w:tcPr>
                  <w:tcW w:w="2150" w:type="dxa"/>
                  <w:tcBorders>
                    <w:top w:val="nil"/>
                    <w:bottom w:val="nil"/>
                  </w:tcBorders>
                  <w:shd w:val="clear" w:color="auto" w:fill="auto"/>
                </w:tcPr>
                <w:p w14:paraId="381D8806" w14:textId="77777777" w:rsidR="00EF2925" w:rsidRPr="003201D1" w:rsidRDefault="00EF2925" w:rsidP="00EF2925">
                  <w:pPr>
                    <w:pStyle w:val="TableText"/>
                    <w:rPr>
                      <w:i/>
                    </w:rPr>
                  </w:pPr>
                  <w:r w:rsidRPr="003201D1">
                    <w:rPr>
                      <w:i/>
                    </w:rPr>
                    <w:t>Cocaine</w:t>
                  </w:r>
                </w:p>
              </w:tc>
              <w:tc>
                <w:tcPr>
                  <w:tcW w:w="1843" w:type="dxa"/>
                  <w:tcBorders>
                    <w:top w:val="nil"/>
                    <w:bottom w:val="nil"/>
                  </w:tcBorders>
                  <w:shd w:val="clear" w:color="auto" w:fill="auto"/>
                </w:tcPr>
                <w:p w14:paraId="5FF8314F" w14:textId="504E9A24" w:rsidR="00EF2925" w:rsidRPr="00BD42C0" w:rsidRDefault="00EF2925" w:rsidP="00EF2925">
                  <w:pPr>
                    <w:pStyle w:val="TableText"/>
                    <w:tabs>
                      <w:tab w:val="decimal" w:pos="851"/>
                    </w:tabs>
                  </w:pPr>
                  <w:r w:rsidRPr="00734E0C">
                    <w:t>6.44</w:t>
                  </w:r>
                </w:p>
              </w:tc>
              <w:tc>
                <w:tcPr>
                  <w:tcW w:w="1843" w:type="dxa"/>
                  <w:tcBorders>
                    <w:top w:val="nil"/>
                    <w:bottom w:val="nil"/>
                  </w:tcBorders>
                  <w:shd w:val="clear" w:color="auto" w:fill="auto"/>
                </w:tcPr>
                <w:p w14:paraId="4F888974" w14:textId="2073644C" w:rsidR="00EF2925" w:rsidRPr="00BD42C0" w:rsidRDefault="00EF2925" w:rsidP="00EF2925">
                  <w:pPr>
                    <w:pStyle w:val="TableText"/>
                    <w:tabs>
                      <w:tab w:val="decimal" w:pos="851"/>
                    </w:tabs>
                  </w:pPr>
                  <w:r w:rsidRPr="00734E0C">
                    <w:t>8.89</w:t>
                  </w:r>
                </w:p>
              </w:tc>
              <w:tc>
                <w:tcPr>
                  <w:tcW w:w="1843" w:type="dxa"/>
                  <w:tcBorders>
                    <w:top w:val="nil"/>
                    <w:bottom w:val="nil"/>
                  </w:tcBorders>
                  <w:shd w:val="clear" w:color="auto" w:fill="auto"/>
                </w:tcPr>
                <w:p w14:paraId="440DF43E" w14:textId="7E3F79D9" w:rsidR="00EF2925" w:rsidRPr="00BD42C0" w:rsidRDefault="00EF2925" w:rsidP="00EF2925">
                  <w:pPr>
                    <w:pStyle w:val="TableText"/>
                    <w:tabs>
                      <w:tab w:val="decimal" w:pos="851"/>
                    </w:tabs>
                  </w:pPr>
                  <w:r w:rsidRPr="00020BF2">
                    <w:t>15.33</w:t>
                  </w:r>
                </w:p>
              </w:tc>
            </w:tr>
            <w:tr w:rsidR="00EF2925" w:rsidRPr="00BD42C0" w14:paraId="000EEECD" w14:textId="77777777" w:rsidTr="00134508">
              <w:trPr>
                <w:cantSplit/>
              </w:trPr>
              <w:tc>
                <w:tcPr>
                  <w:tcW w:w="2150" w:type="dxa"/>
                  <w:tcBorders>
                    <w:top w:val="nil"/>
                    <w:bottom w:val="nil"/>
                  </w:tcBorders>
                  <w:shd w:val="clear" w:color="auto" w:fill="auto"/>
                </w:tcPr>
                <w:p w14:paraId="030F4F8A" w14:textId="77777777" w:rsidR="00EF2925" w:rsidRPr="003201D1" w:rsidRDefault="00EF2925" w:rsidP="00EF2925">
                  <w:pPr>
                    <w:pStyle w:val="TableText"/>
                    <w:rPr>
                      <w:i/>
                    </w:rPr>
                  </w:pPr>
                  <w:r w:rsidRPr="003201D1">
                    <w:rPr>
                      <w:i/>
                    </w:rPr>
                    <w:t>MDMA</w:t>
                  </w:r>
                </w:p>
              </w:tc>
              <w:tc>
                <w:tcPr>
                  <w:tcW w:w="1843" w:type="dxa"/>
                  <w:tcBorders>
                    <w:top w:val="nil"/>
                    <w:bottom w:val="nil"/>
                  </w:tcBorders>
                  <w:shd w:val="clear" w:color="auto" w:fill="auto"/>
                </w:tcPr>
                <w:p w14:paraId="7D6B1607" w14:textId="4F96666B" w:rsidR="00EF2925" w:rsidRPr="00BD42C0" w:rsidRDefault="00EF2925" w:rsidP="00EF2925">
                  <w:pPr>
                    <w:pStyle w:val="TableText"/>
                    <w:tabs>
                      <w:tab w:val="decimal" w:pos="851"/>
                    </w:tabs>
                  </w:pPr>
                  <w:r w:rsidRPr="00734E0C">
                    <w:t>23.53</w:t>
                  </w:r>
                </w:p>
              </w:tc>
              <w:tc>
                <w:tcPr>
                  <w:tcW w:w="1843" w:type="dxa"/>
                  <w:tcBorders>
                    <w:top w:val="nil"/>
                    <w:bottom w:val="nil"/>
                  </w:tcBorders>
                  <w:shd w:val="clear" w:color="auto" w:fill="auto"/>
                </w:tcPr>
                <w:p w14:paraId="103913E4" w14:textId="618765E7" w:rsidR="00EF2925" w:rsidRPr="00BD42C0" w:rsidRDefault="00EF2925" w:rsidP="00EF2925">
                  <w:pPr>
                    <w:pStyle w:val="TableText"/>
                    <w:tabs>
                      <w:tab w:val="decimal" w:pos="851"/>
                    </w:tabs>
                  </w:pPr>
                  <w:r w:rsidRPr="00734E0C">
                    <w:t>28.88</w:t>
                  </w:r>
                </w:p>
              </w:tc>
              <w:tc>
                <w:tcPr>
                  <w:tcW w:w="1843" w:type="dxa"/>
                  <w:tcBorders>
                    <w:top w:val="nil"/>
                    <w:bottom w:val="nil"/>
                  </w:tcBorders>
                  <w:shd w:val="clear" w:color="auto" w:fill="auto"/>
                </w:tcPr>
                <w:p w14:paraId="78BCDA48" w14:textId="7D1398F3" w:rsidR="00EF2925" w:rsidRPr="00BD42C0" w:rsidRDefault="00EF2925" w:rsidP="00EF2925">
                  <w:pPr>
                    <w:pStyle w:val="TableText"/>
                    <w:tabs>
                      <w:tab w:val="decimal" w:pos="851"/>
                    </w:tabs>
                  </w:pPr>
                  <w:r w:rsidRPr="00020BF2">
                    <w:t>52.42</w:t>
                  </w:r>
                </w:p>
              </w:tc>
            </w:tr>
            <w:tr w:rsidR="00EF2925" w:rsidRPr="00BD42C0" w14:paraId="121ACEF4" w14:textId="77777777" w:rsidTr="00134508">
              <w:trPr>
                <w:cantSplit/>
              </w:trPr>
              <w:tc>
                <w:tcPr>
                  <w:tcW w:w="2150" w:type="dxa"/>
                  <w:tcBorders>
                    <w:top w:val="nil"/>
                    <w:bottom w:val="nil"/>
                  </w:tcBorders>
                  <w:shd w:val="clear" w:color="auto" w:fill="auto"/>
                </w:tcPr>
                <w:p w14:paraId="57EBDEA7" w14:textId="77777777" w:rsidR="00EF2925" w:rsidRPr="003201D1" w:rsidRDefault="00EF2925" w:rsidP="00EF2925">
                  <w:pPr>
                    <w:pStyle w:val="TableText"/>
                    <w:rPr>
                      <w:i/>
                    </w:rPr>
                  </w:pPr>
                  <w:r w:rsidRPr="003201D1">
                    <w:rPr>
                      <w:i/>
                    </w:rPr>
                    <w:t>Heroin</w:t>
                  </w:r>
                </w:p>
              </w:tc>
              <w:tc>
                <w:tcPr>
                  <w:tcW w:w="1843" w:type="dxa"/>
                  <w:tcBorders>
                    <w:top w:val="nil"/>
                    <w:bottom w:val="nil"/>
                  </w:tcBorders>
                  <w:shd w:val="clear" w:color="auto" w:fill="auto"/>
                </w:tcPr>
                <w:p w14:paraId="0EC97EA5" w14:textId="6FCB3447" w:rsidR="00EF2925" w:rsidRPr="00BD42C0" w:rsidRDefault="00EF2925" w:rsidP="00EF2925">
                  <w:pPr>
                    <w:pStyle w:val="TableText"/>
                    <w:tabs>
                      <w:tab w:val="decimal" w:pos="851"/>
                    </w:tabs>
                  </w:pPr>
                  <w:r w:rsidRPr="00734E0C">
                    <w:t>18.16</w:t>
                  </w:r>
                </w:p>
              </w:tc>
              <w:tc>
                <w:tcPr>
                  <w:tcW w:w="1843" w:type="dxa"/>
                  <w:tcBorders>
                    <w:top w:val="nil"/>
                    <w:bottom w:val="nil"/>
                  </w:tcBorders>
                  <w:shd w:val="clear" w:color="auto" w:fill="auto"/>
                </w:tcPr>
                <w:p w14:paraId="630C361D" w14:textId="0A83EF10" w:rsidR="00EF2925" w:rsidRPr="00BD42C0" w:rsidRDefault="00EF2925" w:rsidP="00EF2925">
                  <w:pPr>
                    <w:pStyle w:val="TableText"/>
                    <w:jc w:val="center"/>
                  </w:pPr>
                  <w:r w:rsidRPr="00734E0C">
                    <w:t>*</w:t>
                  </w:r>
                </w:p>
              </w:tc>
              <w:tc>
                <w:tcPr>
                  <w:tcW w:w="1843" w:type="dxa"/>
                  <w:tcBorders>
                    <w:top w:val="nil"/>
                    <w:bottom w:val="nil"/>
                  </w:tcBorders>
                  <w:shd w:val="clear" w:color="auto" w:fill="auto"/>
                </w:tcPr>
                <w:p w14:paraId="6684DCE3" w14:textId="61CE6404" w:rsidR="00EF2925" w:rsidRPr="00BD42C0" w:rsidRDefault="00EF2925" w:rsidP="00EF2925">
                  <w:pPr>
                    <w:pStyle w:val="TableText"/>
                    <w:tabs>
                      <w:tab w:val="decimal" w:pos="851"/>
                    </w:tabs>
                  </w:pPr>
                  <w:r w:rsidRPr="00020BF2">
                    <w:t>18.16</w:t>
                  </w:r>
                </w:p>
              </w:tc>
            </w:tr>
            <w:tr w:rsidR="00EF2925" w:rsidRPr="00BD42C0" w14:paraId="24887B29" w14:textId="77777777" w:rsidTr="00134508">
              <w:trPr>
                <w:cantSplit/>
              </w:trPr>
              <w:tc>
                <w:tcPr>
                  <w:tcW w:w="2150" w:type="dxa"/>
                  <w:tcBorders>
                    <w:top w:val="nil"/>
                    <w:bottom w:val="nil"/>
                  </w:tcBorders>
                  <w:shd w:val="clear" w:color="auto" w:fill="auto"/>
                </w:tcPr>
                <w:p w14:paraId="29821BFE" w14:textId="77777777" w:rsidR="00EF2925" w:rsidRPr="003201D1" w:rsidRDefault="00EF2925" w:rsidP="00EF2925">
                  <w:pPr>
                    <w:pStyle w:val="TableText"/>
                    <w:rPr>
                      <w:i/>
                    </w:rPr>
                  </w:pPr>
                  <w:r w:rsidRPr="003201D1">
                    <w:rPr>
                      <w:i/>
                    </w:rPr>
                    <w:t>GHB/GBL</w:t>
                  </w:r>
                </w:p>
              </w:tc>
              <w:tc>
                <w:tcPr>
                  <w:tcW w:w="1843" w:type="dxa"/>
                  <w:tcBorders>
                    <w:top w:val="nil"/>
                    <w:bottom w:val="nil"/>
                  </w:tcBorders>
                  <w:shd w:val="clear" w:color="auto" w:fill="auto"/>
                </w:tcPr>
                <w:p w14:paraId="7F789F55" w14:textId="283C7A15" w:rsidR="00EF2925" w:rsidRPr="00BD42C0" w:rsidRDefault="00EF2925" w:rsidP="00EF2925">
                  <w:pPr>
                    <w:pStyle w:val="TableText"/>
                    <w:tabs>
                      <w:tab w:val="decimal" w:pos="851"/>
                    </w:tabs>
                  </w:pPr>
                  <w:r w:rsidRPr="00734E0C">
                    <w:t>1.13</w:t>
                  </w:r>
                </w:p>
              </w:tc>
              <w:tc>
                <w:tcPr>
                  <w:tcW w:w="1843" w:type="dxa"/>
                  <w:tcBorders>
                    <w:top w:val="nil"/>
                    <w:bottom w:val="nil"/>
                  </w:tcBorders>
                  <w:shd w:val="clear" w:color="auto" w:fill="auto"/>
                </w:tcPr>
                <w:p w14:paraId="51858BB2" w14:textId="0F3D207A" w:rsidR="00EF2925" w:rsidRPr="00BD42C0" w:rsidRDefault="00EF2925" w:rsidP="00EF2925">
                  <w:pPr>
                    <w:pStyle w:val="TableText"/>
                    <w:tabs>
                      <w:tab w:val="decimal" w:pos="851"/>
                    </w:tabs>
                  </w:pPr>
                  <w:r w:rsidRPr="00734E0C">
                    <w:t>1.93</w:t>
                  </w:r>
                </w:p>
              </w:tc>
              <w:tc>
                <w:tcPr>
                  <w:tcW w:w="1843" w:type="dxa"/>
                  <w:tcBorders>
                    <w:top w:val="nil"/>
                    <w:bottom w:val="nil"/>
                  </w:tcBorders>
                  <w:shd w:val="clear" w:color="auto" w:fill="auto"/>
                </w:tcPr>
                <w:p w14:paraId="0B4D0369" w14:textId="39BBA291" w:rsidR="00EF2925" w:rsidRPr="00BD42C0" w:rsidRDefault="00EF2925" w:rsidP="00EF2925">
                  <w:pPr>
                    <w:pStyle w:val="TableText"/>
                    <w:tabs>
                      <w:tab w:val="decimal" w:pos="851"/>
                    </w:tabs>
                  </w:pPr>
                  <w:r w:rsidRPr="00020BF2">
                    <w:t>3.06</w:t>
                  </w:r>
                </w:p>
              </w:tc>
            </w:tr>
            <w:tr w:rsidR="00EF2925" w:rsidRPr="00BD42C0" w14:paraId="0C943D64" w14:textId="77777777" w:rsidTr="00134508">
              <w:trPr>
                <w:cantSplit/>
              </w:trPr>
              <w:tc>
                <w:tcPr>
                  <w:tcW w:w="2150" w:type="dxa"/>
                  <w:tcBorders>
                    <w:top w:val="nil"/>
                    <w:bottom w:val="nil"/>
                  </w:tcBorders>
                  <w:shd w:val="clear" w:color="auto" w:fill="auto"/>
                </w:tcPr>
                <w:p w14:paraId="22E98739" w14:textId="77777777" w:rsidR="00EF2925" w:rsidRPr="003201D1" w:rsidRDefault="00EF2925" w:rsidP="00EF2925">
                  <w:pPr>
                    <w:pStyle w:val="TableText"/>
                    <w:rPr>
                      <w:i/>
                    </w:rPr>
                  </w:pPr>
                  <w:r w:rsidRPr="003201D1">
                    <w:rPr>
                      <w:i/>
                    </w:rPr>
                    <w:t>Cannabis</w:t>
                  </w:r>
                </w:p>
              </w:tc>
              <w:tc>
                <w:tcPr>
                  <w:tcW w:w="1843" w:type="dxa"/>
                  <w:tcBorders>
                    <w:top w:val="nil"/>
                    <w:bottom w:val="nil"/>
                  </w:tcBorders>
                  <w:shd w:val="clear" w:color="auto" w:fill="auto"/>
                </w:tcPr>
                <w:p w14:paraId="73F55970" w14:textId="0613355F" w:rsidR="00EF2925" w:rsidRPr="00BD42C0" w:rsidRDefault="00EF2925" w:rsidP="00EF2925">
                  <w:pPr>
                    <w:pStyle w:val="TableText"/>
                    <w:tabs>
                      <w:tab w:val="decimal" w:pos="851"/>
                    </w:tabs>
                  </w:pPr>
                  <w:r w:rsidRPr="00734E0C">
                    <w:t>280.97</w:t>
                  </w:r>
                </w:p>
              </w:tc>
              <w:tc>
                <w:tcPr>
                  <w:tcW w:w="1843" w:type="dxa"/>
                  <w:tcBorders>
                    <w:top w:val="nil"/>
                    <w:bottom w:val="nil"/>
                  </w:tcBorders>
                  <w:shd w:val="clear" w:color="auto" w:fill="auto"/>
                </w:tcPr>
                <w:p w14:paraId="267525AF" w14:textId="72746287" w:rsidR="00EF2925" w:rsidRPr="00BD42C0" w:rsidRDefault="00EF2925" w:rsidP="00EF2925">
                  <w:pPr>
                    <w:pStyle w:val="TableText"/>
                    <w:tabs>
                      <w:tab w:val="decimal" w:pos="851"/>
                    </w:tabs>
                  </w:pPr>
                  <w:r w:rsidRPr="00734E0C">
                    <w:t>630.34</w:t>
                  </w:r>
                </w:p>
              </w:tc>
              <w:tc>
                <w:tcPr>
                  <w:tcW w:w="1843" w:type="dxa"/>
                  <w:tcBorders>
                    <w:top w:val="nil"/>
                    <w:bottom w:val="nil"/>
                  </w:tcBorders>
                  <w:shd w:val="clear" w:color="auto" w:fill="auto"/>
                </w:tcPr>
                <w:p w14:paraId="7733781F" w14:textId="51A5CED9" w:rsidR="00EF2925" w:rsidRPr="00BD42C0" w:rsidRDefault="00EF2925" w:rsidP="00EF2925">
                  <w:pPr>
                    <w:pStyle w:val="TableText"/>
                    <w:tabs>
                      <w:tab w:val="decimal" w:pos="851"/>
                    </w:tabs>
                  </w:pPr>
                  <w:r w:rsidRPr="00020BF2">
                    <w:t>911.31</w:t>
                  </w:r>
                </w:p>
              </w:tc>
            </w:tr>
            <w:tr w:rsidR="00EF2925" w:rsidRPr="00BD42C0" w14:paraId="2279AC02" w14:textId="77777777" w:rsidTr="00134508">
              <w:trPr>
                <w:cantSplit/>
              </w:trPr>
              <w:tc>
                <w:tcPr>
                  <w:tcW w:w="2150" w:type="dxa"/>
                  <w:tcBorders>
                    <w:top w:val="nil"/>
                  </w:tcBorders>
                  <w:shd w:val="clear" w:color="auto" w:fill="auto"/>
                </w:tcPr>
                <w:p w14:paraId="2E03F02F" w14:textId="77777777" w:rsidR="00EF2925" w:rsidRPr="003201D1" w:rsidRDefault="00EF2925" w:rsidP="00EF2925">
                  <w:pPr>
                    <w:pStyle w:val="TableText"/>
                    <w:rPr>
                      <w:i/>
                    </w:rPr>
                  </w:pPr>
                  <w:r w:rsidRPr="003201D1">
                    <w:rPr>
                      <w:i/>
                    </w:rPr>
                    <w:t>Synthetic cannabinoids</w:t>
                  </w:r>
                </w:p>
              </w:tc>
              <w:tc>
                <w:tcPr>
                  <w:tcW w:w="1843" w:type="dxa"/>
                  <w:tcBorders>
                    <w:top w:val="nil"/>
                  </w:tcBorders>
                  <w:shd w:val="clear" w:color="auto" w:fill="auto"/>
                </w:tcPr>
                <w:p w14:paraId="68220028" w14:textId="4997C6CF" w:rsidR="00EF2925" w:rsidRPr="00BD42C0" w:rsidRDefault="00EF2925" w:rsidP="00EF2925">
                  <w:pPr>
                    <w:pStyle w:val="TableText"/>
                    <w:tabs>
                      <w:tab w:val="decimal" w:pos="851"/>
                    </w:tabs>
                  </w:pPr>
                  <w:r w:rsidRPr="00734E0C">
                    <w:t>78.35</w:t>
                  </w:r>
                </w:p>
              </w:tc>
              <w:tc>
                <w:tcPr>
                  <w:tcW w:w="1843" w:type="dxa"/>
                  <w:tcBorders>
                    <w:top w:val="nil"/>
                  </w:tcBorders>
                  <w:shd w:val="clear" w:color="auto" w:fill="auto"/>
                </w:tcPr>
                <w:p w14:paraId="7B6CEA80" w14:textId="0EAFB071" w:rsidR="00EF2925" w:rsidRPr="00BD42C0" w:rsidRDefault="00EF2925" w:rsidP="00EF2925">
                  <w:pPr>
                    <w:pStyle w:val="TableText"/>
                    <w:tabs>
                      <w:tab w:val="decimal" w:pos="851"/>
                    </w:tabs>
                  </w:pPr>
                  <w:r w:rsidRPr="00734E0C">
                    <w:t>2.13</w:t>
                  </w:r>
                </w:p>
              </w:tc>
              <w:tc>
                <w:tcPr>
                  <w:tcW w:w="1843" w:type="dxa"/>
                  <w:tcBorders>
                    <w:top w:val="nil"/>
                  </w:tcBorders>
                  <w:shd w:val="clear" w:color="auto" w:fill="auto"/>
                </w:tcPr>
                <w:p w14:paraId="1C6D26E4" w14:textId="6ED46564" w:rsidR="00EF2925" w:rsidRPr="00BD42C0" w:rsidRDefault="00EF2925" w:rsidP="00EF2925">
                  <w:pPr>
                    <w:pStyle w:val="TableText"/>
                    <w:tabs>
                      <w:tab w:val="decimal" w:pos="851"/>
                    </w:tabs>
                  </w:pPr>
                  <w:r w:rsidRPr="00020BF2">
                    <w:t>80.47</w:t>
                  </w:r>
                </w:p>
              </w:tc>
            </w:tr>
            <w:tr w:rsidR="00EF2925" w:rsidRPr="00BD42C0" w14:paraId="6BF4B596" w14:textId="77777777" w:rsidTr="00134508">
              <w:trPr>
                <w:cantSplit/>
              </w:trPr>
              <w:tc>
                <w:tcPr>
                  <w:tcW w:w="2150" w:type="dxa"/>
                  <w:shd w:val="clear" w:color="auto" w:fill="auto"/>
                </w:tcPr>
                <w:p w14:paraId="30C87E87" w14:textId="77777777" w:rsidR="00EF2925" w:rsidRPr="00376FAD" w:rsidRDefault="00EF2925" w:rsidP="00EF2925">
                  <w:pPr>
                    <w:pStyle w:val="TableText"/>
                    <w:rPr>
                      <w:bCs/>
                    </w:rPr>
                  </w:pPr>
                  <w:r w:rsidRPr="00376FAD">
                    <w:rPr>
                      <w:bCs/>
                    </w:rPr>
                    <w:t>Total</w:t>
                  </w:r>
                </w:p>
              </w:tc>
              <w:tc>
                <w:tcPr>
                  <w:tcW w:w="1843" w:type="dxa"/>
                  <w:shd w:val="clear" w:color="auto" w:fill="auto"/>
                </w:tcPr>
                <w:p w14:paraId="16AAC48E" w14:textId="203C23F3" w:rsidR="00EF2925" w:rsidRPr="00376FAD" w:rsidRDefault="00EF2925" w:rsidP="00EF2925">
                  <w:pPr>
                    <w:pStyle w:val="TableText"/>
                    <w:tabs>
                      <w:tab w:val="decimal" w:pos="851"/>
                    </w:tabs>
                  </w:pPr>
                  <w:r w:rsidRPr="00672D9C">
                    <w:t>813.09</w:t>
                  </w:r>
                </w:p>
              </w:tc>
              <w:tc>
                <w:tcPr>
                  <w:tcW w:w="1843" w:type="dxa"/>
                  <w:shd w:val="clear" w:color="auto" w:fill="auto"/>
                </w:tcPr>
                <w:p w14:paraId="30434850" w14:textId="1B0FA2C0" w:rsidR="00EF2925" w:rsidRPr="00376FAD" w:rsidRDefault="00EF2925" w:rsidP="00EF2925">
                  <w:pPr>
                    <w:pStyle w:val="TableText"/>
                    <w:tabs>
                      <w:tab w:val="decimal" w:pos="851"/>
                    </w:tabs>
                  </w:pPr>
                  <w:r w:rsidRPr="00672D9C">
                    <w:t>1091.15</w:t>
                  </w:r>
                </w:p>
              </w:tc>
              <w:tc>
                <w:tcPr>
                  <w:tcW w:w="1843" w:type="dxa"/>
                  <w:shd w:val="clear" w:color="auto" w:fill="auto"/>
                </w:tcPr>
                <w:p w14:paraId="2039FEE7" w14:textId="4A2D5C09" w:rsidR="00EF2925" w:rsidRPr="00376FAD" w:rsidRDefault="00EF2925" w:rsidP="00EF2925">
                  <w:pPr>
                    <w:pStyle w:val="TableText"/>
                    <w:tabs>
                      <w:tab w:val="decimal" w:pos="851"/>
                    </w:tabs>
                  </w:pPr>
                  <w:r w:rsidRPr="00672D9C">
                    <w:t>1,904.25</w:t>
                  </w:r>
                </w:p>
              </w:tc>
            </w:tr>
            <w:bookmarkEnd w:id="6"/>
          </w:tbl>
          <w:p w14:paraId="25E73B3F" w14:textId="77777777" w:rsidR="00D23B2C" w:rsidRPr="0009487A" w:rsidRDefault="00D23B2C" w:rsidP="00D23B2C">
            <w:pPr>
              <w:pStyle w:val="TableText"/>
              <w:spacing w:before="0" w:after="0"/>
              <w:rPr>
                <w:sz w:val="2"/>
                <w:szCs w:val="2"/>
              </w:rPr>
            </w:pPr>
          </w:p>
          <w:p w14:paraId="32D8AE30" w14:textId="77777777" w:rsidR="00D23B2C" w:rsidRPr="00EF4E47" w:rsidRDefault="00D23B2C" w:rsidP="00D23B2C">
            <w:pPr>
              <w:pStyle w:val="TableText"/>
              <w:spacing w:before="0" w:after="0"/>
              <w:rPr>
                <w:sz w:val="4"/>
                <w:szCs w:val="4"/>
              </w:rPr>
            </w:pPr>
          </w:p>
        </w:tc>
      </w:tr>
      <w:tr w:rsidR="00D23B2C" w:rsidRPr="00E20DA8" w14:paraId="5D7C36B9" w14:textId="77777777" w:rsidTr="00D54749">
        <w:trPr>
          <w:cantSplit/>
        </w:trPr>
        <w:tc>
          <w:tcPr>
            <w:tcW w:w="1134" w:type="dxa"/>
            <w:shd w:val="clear" w:color="auto" w:fill="auto"/>
          </w:tcPr>
          <w:p w14:paraId="2086FEC1" w14:textId="77777777" w:rsidR="00D23B2C" w:rsidRPr="00B97B17" w:rsidRDefault="00D23B2C" w:rsidP="00524863">
            <w:pPr>
              <w:pStyle w:val="TableText"/>
            </w:pPr>
            <w:r w:rsidRPr="00B97B17">
              <w:t>Discussion</w:t>
            </w:r>
          </w:p>
        </w:tc>
        <w:tc>
          <w:tcPr>
            <w:tcW w:w="7938" w:type="dxa"/>
            <w:shd w:val="clear" w:color="auto" w:fill="auto"/>
          </w:tcPr>
          <w:p w14:paraId="75E7ED01" w14:textId="77777777" w:rsidR="00D23B2C" w:rsidRPr="00E20DA8" w:rsidRDefault="00D23B2C" w:rsidP="00524863">
            <w:pPr>
              <w:pStyle w:val="TableText"/>
            </w:pPr>
            <w:r w:rsidRPr="0018333D">
              <w:t xml:space="preserve">The </w:t>
            </w:r>
            <w:r>
              <w:t>DHI 2020</w:t>
            </w:r>
            <w:r w:rsidRPr="0018333D">
              <w:t xml:space="preserve"> is a conservative measure of the harms associated with the use of illicit drugs in New Zealand. </w:t>
            </w:r>
            <w:r>
              <w:t>It</w:t>
            </w:r>
            <w:r w:rsidRPr="0018333D">
              <w:t xml:space="preserve"> can be extended to accommodate new and emerging drugs in the future.</w:t>
            </w:r>
            <w:r>
              <w:t xml:space="preserve"> There were several changes incorporated in DHI 2020. The three most significant initiatives were the use of coronial data and hospital admission data in estimating harm, and the use of recently developed wastewater analysis to estimate consumption for methamphetamine, cocaine and MDMA. Cannabis consumption was estimated using New Zealand Health Survey (Health Survey) data due to technical issues interpreting the wastewater analysis. Reliable estimates of the consumption of GHB/GBL and synthetic cannabinoids were not available from any source. </w:t>
            </w:r>
            <w:r w:rsidRPr="00BD42C0">
              <w:rPr>
                <w:b/>
                <w:bCs/>
              </w:rPr>
              <w:t>Due to these changes any comparison with the results of DHI 2016 should be treated with caution.</w:t>
            </w:r>
          </w:p>
        </w:tc>
      </w:tr>
      <w:tr w:rsidR="00D23B2C" w:rsidRPr="0018333D" w14:paraId="54E03366" w14:textId="77777777" w:rsidTr="00D54749">
        <w:trPr>
          <w:cantSplit/>
        </w:trPr>
        <w:tc>
          <w:tcPr>
            <w:tcW w:w="1134" w:type="dxa"/>
            <w:shd w:val="clear" w:color="auto" w:fill="auto"/>
          </w:tcPr>
          <w:p w14:paraId="014C3EB0" w14:textId="77777777" w:rsidR="00D23B2C" w:rsidRPr="00B97B17" w:rsidRDefault="00D23B2C" w:rsidP="00524863">
            <w:pPr>
              <w:pStyle w:val="TableText"/>
            </w:pPr>
            <w:r w:rsidRPr="00B97B17">
              <w:t>Looking forward</w:t>
            </w:r>
          </w:p>
        </w:tc>
        <w:tc>
          <w:tcPr>
            <w:tcW w:w="7938" w:type="dxa"/>
            <w:shd w:val="clear" w:color="auto" w:fill="auto"/>
          </w:tcPr>
          <w:p w14:paraId="650D937E" w14:textId="396F1132" w:rsidR="00D23B2C" w:rsidRPr="0018333D" w:rsidRDefault="00D23B2C" w:rsidP="00524863">
            <w:pPr>
              <w:pStyle w:val="TableText"/>
            </w:pPr>
            <w:r>
              <w:t xml:space="preserve">The National Drug Intelligence Bureau (NDIB) now owns the DHI. It is intended for the DHI to be updated biennially, including a year-to-year comparison. </w:t>
            </w:r>
          </w:p>
        </w:tc>
      </w:tr>
    </w:tbl>
    <w:p w14:paraId="3820A134" w14:textId="77777777" w:rsidR="008C2973" w:rsidRDefault="002B7BEC" w:rsidP="00F54E74">
      <w:pPr>
        <w:pStyle w:val="Heading1"/>
      </w:pPr>
      <w:bookmarkStart w:id="7" w:name="_Toc95470200"/>
      <w:r>
        <w:lastRenderedPageBreak/>
        <w:t>Introduction</w:t>
      </w:r>
      <w:bookmarkEnd w:id="7"/>
    </w:p>
    <w:p w14:paraId="56D516DD" w14:textId="4847801C" w:rsidR="00F7377D" w:rsidRDefault="00F7377D" w:rsidP="00305E02">
      <w:r w:rsidRPr="005D2C2F">
        <w:t xml:space="preserve">The first published </w:t>
      </w:r>
      <w:r>
        <w:t xml:space="preserve">drug harm index </w:t>
      </w:r>
      <w:r w:rsidRPr="005D2C2F">
        <w:t>was developed by the Australian Federal Police during 2001 in response to the Australian Government</w:t>
      </w:r>
      <w:r w:rsidR="00461CB5">
        <w:t>’</w:t>
      </w:r>
      <w:r w:rsidRPr="005D2C2F">
        <w:t>s interest in the social impact of its policies to curb the abuse of illicit drugs (McFadden et al</w:t>
      </w:r>
      <w:r w:rsidR="008A1EAB">
        <w:t>,</w:t>
      </w:r>
      <w:r w:rsidRPr="005D2C2F">
        <w:t xml:space="preserve"> 2002) and subsequently revised in 2003, 2006 and 2008 (Attewell &amp; McFadden</w:t>
      </w:r>
      <w:r w:rsidR="008A1EAB">
        <w:t>,</w:t>
      </w:r>
      <w:r w:rsidRPr="005D2C2F">
        <w:t xml:space="preserve"> 2008). It was followed by other </w:t>
      </w:r>
      <w:r>
        <w:t>drug harm indices</w:t>
      </w:r>
      <w:r w:rsidRPr="005D2C2F">
        <w:t>, including Great Britain in 2005, the United Nations Office on Drugs and Crime (UNODC) in 2005 and New Zealand in 2008 (MacDonald et al</w:t>
      </w:r>
      <w:r w:rsidR="008A1EAB">
        <w:t>,</w:t>
      </w:r>
      <w:r w:rsidRPr="005D2C2F">
        <w:t xml:space="preserve"> 2006; UNODC</w:t>
      </w:r>
      <w:r w:rsidR="008A1EAB">
        <w:t>,</w:t>
      </w:r>
      <w:r w:rsidRPr="005D2C2F">
        <w:t xml:space="preserve"> 2005; Slack et al</w:t>
      </w:r>
      <w:r w:rsidR="008A1EAB">
        <w:t>,</w:t>
      </w:r>
      <w:r w:rsidRPr="005D2C2F">
        <w:t xml:space="preserve"> 2008). The </w:t>
      </w:r>
      <w:r>
        <w:t xml:space="preserve">New Zealand </w:t>
      </w:r>
      <w:r w:rsidRPr="005D2C2F">
        <w:t xml:space="preserve">Drug Harm Index was significantly revised in 2016 </w:t>
      </w:r>
      <w:r w:rsidRPr="00C55628">
        <w:rPr>
          <w:color w:val="000000" w:themeColor="text1"/>
        </w:rPr>
        <w:t>(McFadden</w:t>
      </w:r>
      <w:r w:rsidR="008A1EAB">
        <w:rPr>
          <w:color w:val="000000" w:themeColor="text1"/>
        </w:rPr>
        <w:t>,</w:t>
      </w:r>
      <w:r w:rsidRPr="00C55628">
        <w:rPr>
          <w:color w:val="000000" w:themeColor="text1"/>
        </w:rPr>
        <w:t xml:space="preserve"> 2016).</w:t>
      </w:r>
      <w:r>
        <w:rPr>
          <w:color w:val="000000" w:themeColor="text1"/>
        </w:rPr>
        <w:t xml:space="preserve"> </w:t>
      </w:r>
      <w:r w:rsidRPr="004C1390">
        <w:t>The DHI 2020 retains the basic underpinning of the 2016 version while introducing new data sources which will improve the accuracy of the estimation of personal and community harm</w:t>
      </w:r>
      <w:r>
        <w:t xml:space="preserve"> (see </w:t>
      </w:r>
      <w:r w:rsidR="00305E02">
        <w:fldChar w:fldCharType="begin"/>
      </w:r>
      <w:r w:rsidR="00305E02">
        <w:instrText xml:space="preserve"> REF _Ref88221560 \h </w:instrText>
      </w:r>
      <w:r w:rsidR="00305E02">
        <w:fldChar w:fldCharType="separate"/>
      </w:r>
      <w:r w:rsidR="006A55D7">
        <w:t>Table </w:t>
      </w:r>
      <w:r w:rsidR="006A55D7">
        <w:rPr>
          <w:noProof/>
        </w:rPr>
        <w:t>1</w:t>
      </w:r>
      <w:r w:rsidR="00305E02">
        <w:fldChar w:fldCharType="end"/>
      </w:r>
      <w:r>
        <w:t>)</w:t>
      </w:r>
      <w:r w:rsidRPr="004C1390">
        <w:t>.</w:t>
      </w:r>
    </w:p>
    <w:p w14:paraId="47DB075C" w14:textId="77777777" w:rsidR="00305E02" w:rsidRDefault="00305E02" w:rsidP="00305E02"/>
    <w:p w14:paraId="38B61D8D" w14:textId="435B6D38" w:rsidR="00F7377D" w:rsidRPr="005D1D91" w:rsidRDefault="00305E02" w:rsidP="00305E02">
      <w:pPr>
        <w:pStyle w:val="Table"/>
      </w:pPr>
      <w:bookmarkStart w:id="8" w:name="_Ref88221560"/>
      <w:bookmarkStart w:id="9" w:name="_Toc95476481"/>
      <w:r>
        <w:t>Table </w:t>
      </w:r>
      <w:fldSimple w:instr=" SEQ Table \* ARABIC ">
        <w:r w:rsidR="006A55D7">
          <w:rPr>
            <w:noProof/>
          </w:rPr>
          <w:t>1</w:t>
        </w:r>
      </w:fldSimple>
      <w:bookmarkEnd w:id="8"/>
      <w:r w:rsidR="00C6085E">
        <w:rPr>
          <w:noProof/>
        </w:rPr>
        <w:t>.</w:t>
      </w:r>
      <w:r w:rsidR="00F7377D" w:rsidRPr="005D1D91">
        <w:t xml:space="preserve"> Significant changes</w:t>
      </w:r>
      <w:r w:rsidR="00F7377D">
        <w:t xml:space="preserve"> in data sources</w:t>
      </w:r>
      <w:r w:rsidR="00F7377D" w:rsidRPr="005D1D91">
        <w:t xml:space="preserve"> from DHI 2016</w:t>
      </w:r>
      <w:bookmarkEnd w:id="9"/>
    </w:p>
    <w:tbl>
      <w:tblPr>
        <w:tblStyle w:val="TableGrid"/>
        <w:tblW w:w="0" w:type="auto"/>
        <w:tblInd w:w="113" w:type="dxa"/>
        <w:tblLayout w:type="fixed"/>
        <w:tblCellMar>
          <w:left w:w="113" w:type="dxa"/>
          <w:right w:w="113" w:type="dxa"/>
        </w:tblCellMar>
        <w:tblLook w:val="04A0" w:firstRow="1" w:lastRow="0" w:firstColumn="1" w:lastColumn="0" w:noHBand="0" w:noVBand="1"/>
      </w:tblPr>
      <w:tblGrid>
        <w:gridCol w:w="1985"/>
        <w:gridCol w:w="7087"/>
      </w:tblGrid>
      <w:tr w:rsidR="00F7377D" w:rsidRPr="00305E02" w14:paraId="2B9F9DB2" w14:textId="77777777" w:rsidTr="0027566E">
        <w:trPr>
          <w:cantSplit/>
        </w:trPr>
        <w:tc>
          <w:tcPr>
            <w:tcW w:w="1985" w:type="dxa"/>
            <w:shd w:val="clear" w:color="auto" w:fill="auto"/>
          </w:tcPr>
          <w:p w14:paraId="3D988EDA" w14:textId="77777777" w:rsidR="00F7377D" w:rsidRPr="00305E02" w:rsidRDefault="00F7377D" w:rsidP="00376FAD">
            <w:pPr>
              <w:pStyle w:val="TableText"/>
              <w:rPr>
                <w:b/>
              </w:rPr>
            </w:pPr>
            <w:r w:rsidRPr="00305E02">
              <w:rPr>
                <w:b/>
              </w:rPr>
              <w:t>Change</w:t>
            </w:r>
          </w:p>
        </w:tc>
        <w:tc>
          <w:tcPr>
            <w:tcW w:w="7087" w:type="dxa"/>
            <w:shd w:val="clear" w:color="auto" w:fill="auto"/>
          </w:tcPr>
          <w:p w14:paraId="20AD18DD" w14:textId="77777777" w:rsidR="00F7377D" w:rsidRPr="00305E02" w:rsidRDefault="00F7377D" w:rsidP="00305E02">
            <w:pPr>
              <w:pStyle w:val="TableText"/>
              <w:rPr>
                <w:b/>
              </w:rPr>
            </w:pPr>
            <w:r w:rsidRPr="00305E02">
              <w:rPr>
                <w:b/>
              </w:rPr>
              <w:t>Background</w:t>
            </w:r>
          </w:p>
        </w:tc>
      </w:tr>
      <w:tr w:rsidR="00F7377D" w:rsidRPr="005D1D91" w14:paraId="70EF9A58" w14:textId="77777777" w:rsidTr="0027566E">
        <w:trPr>
          <w:cantSplit/>
        </w:trPr>
        <w:tc>
          <w:tcPr>
            <w:tcW w:w="1985" w:type="dxa"/>
          </w:tcPr>
          <w:p w14:paraId="25716D1D" w14:textId="77777777" w:rsidR="00F7377D" w:rsidRPr="005D1D91" w:rsidRDefault="00F7377D" w:rsidP="00376FAD">
            <w:pPr>
              <w:pStyle w:val="TableText"/>
            </w:pPr>
            <w:r>
              <w:t>Wastewater analysis</w:t>
            </w:r>
          </w:p>
        </w:tc>
        <w:tc>
          <w:tcPr>
            <w:tcW w:w="7087" w:type="dxa"/>
          </w:tcPr>
          <w:p w14:paraId="0B73B4E6" w14:textId="77777777" w:rsidR="00F7377D" w:rsidRPr="005D1D91" w:rsidRDefault="00F7377D" w:rsidP="00305E02">
            <w:pPr>
              <w:pStyle w:val="TableText"/>
            </w:pPr>
            <w:r>
              <w:t>Wastewater analysis is used to estimate consumption of major illicit drugs. This is timelier and more accurate than the previous method based on the Health Survey.</w:t>
            </w:r>
          </w:p>
        </w:tc>
      </w:tr>
      <w:tr w:rsidR="00F7377D" w:rsidRPr="005D1D91" w14:paraId="6837753E" w14:textId="77777777" w:rsidTr="0027566E">
        <w:trPr>
          <w:cantSplit/>
        </w:trPr>
        <w:tc>
          <w:tcPr>
            <w:tcW w:w="1985" w:type="dxa"/>
          </w:tcPr>
          <w:p w14:paraId="3301040D" w14:textId="77777777" w:rsidR="00F7377D" w:rsidRPr="005D1D91" w:rsidRDefault="00F7377D" w:rsidP="00376FAD">
            <w:pPr>
              <w:pStyle w:val="TableText"/>
            </w:pPr>
            <w:r>
              <w:t>Hospital admissions</w:t>
            </w:r>
          </w:p>
        </w:tc>
        <w:tc>
          <w:tcPr>
            <w:tcW w:w="7087" w:type="dxa"/>
          </w:tcPr>
          <w:p w14:paraId="490537B8" w14:textId="77777777" w:rsidR="00F7377D" w:rsidRPr="005D1D91" w:rsidRDefault="00F7377D" w:rsidP="00305E02">
            <w:pPr>
              <w:pStyle w:val="TableText"/>
            </w:pPr>
            <w:r>
              <w:t>Hospital admissions data are again timelier and more accurate than the Health Survey for our purpose. Estimates of serious and minor harm related to illicit drug use can now be estimated. These effectively replace the previous classification of people who are dependent and people who use drugs casually used in DHI 2016</w:t>
            </w:r>
            <w:r w:rsidRPr="00BD42C0">
              <w:t>, although related the two classificatory systems are not equivalent.</w:t>
            </w:r>
          </w:p>
        </w:tc>
      </w:tr>
      <w:tr w:rsidR="00F7377D" w:rsidRPr="005D1D91" w14:paraId="2674AEB9" w14:textId="77777777" w:rsidTr="0027566E">
        <w:trPr>
          <w:cantSplit/>
        </w:trPr>
        <w:tc>
          <w:tcPr>
            <w:tcW w:w="1985" w:type="dxa"/>
          </w:tcPr>
          <w:p w14:paraId="3299BED7" w14:textId="77777777" w:rsidR="00F7377D" w:rsidRPr="005D1D91" w:rsidRDefault="00F7377D" w:rsidP="00376FAD">
            <w:pPr>
              <w:pStyle w:val="TableText"/>
            </w:pPr>
            <w:r>
              <w:t>Coronial reports</w:t>
            </w:r>
          </w:p>
        </w:tc>
        <w:tc>
          <w:tcPr>
            <w:tcW w:w="7087" w:type="dxa"/>
          </w:tcPr>
          <w:p w14:paraId="4F3B067C" w14:textId="77777777" w:rsidR="00F7377D" w:rsidRPr="005D1D91" w:rsidRDefault="00F7377D" w:rsidP="00305E02">
            <w:pPr>
              <w:pStyle w:val="TableText"/>
            </w:pPr>
            <w:r>
              <w:t>Deaths attributable to illicit drugs are now based on coronial reports rather than estimates provided through a UNODC report.</w:t>
            </w:r>
          </w:p>
        </w:tc>
      </w:tr>
    </w:tbl>
    <w:p w14:paraId="655FA35B" w14:textId="77777777" w:rsidR="00305E02" w:rsidRDefault="00305E02" w:rsidP="0027566E"/>
    <w:p w14:paraId="210AC416" w14:textId="77777777" w:rsidR="00F7377D" w:rsidRDefault="00F7377D" w:rsidP="00305E02">
      <w:r w:rsidRPr="00C55628">
        <w:t xml:space="preserve">Following this introduction, the report reviews existing knowledge and its implications for the project, before outlining the method. This is followed by an overview of drug use in New Zealand. Next comes a section on drug harm calculation. The </w:t>
      </w:r>
      <w:r>
        <w:t xml:space="preserve">conclusion </w:t>
      </w:r>
      <w:r w:rsidRPr="00C55628">
        <w:t>describe</w:t>
      </w:r>
      <w:r>
        <w:t>s</w:t>
      </w:r>
      <w:r w:rsidRPr="00C55628">
        <w:t xml:space="preserve"> the output of the calc</w:t>
      </w:r>
      <w:r w:rsidR="00305E02">
        <w:t>ulation and their implications.</w:t>
      </w:r>
    </w:p>
    <w:p w14:paraId="3511344B" w14:textId="77777777" w:rsidR="00305E02" w:rsidRDefault="00305E02" w:rsidP="00305E02"/>
    <w:p w14:paraId="700FF2D7" w14:textId="1ABC13D5" w:rsidR="00305E02" w:rsidRDefault="00F7377D" w:rsidP="00305E02">
      <w:r w:rsidRPr="008E0A8A">
        <w:t>The DHI 2020 retains the classification system of personal and community harms and their components, that were first introduced in 2016. It omits estimates for higher level government interventions in relation to illicit drugs. The measurement of the cost of interventions at any level is crucial to return-on-investment (ROI) studies that are often used in assessing the impact of specific interventions and programs. The intervention costs provided in 2016 were at a high level, e</w:t>
      </w:r>
      <w:r w:rsidR="008A1EAB">
        <w:t>.</w:t>
      </w:r>
      <w:r w:rsidRPr="008E0A8A">
        <w:t>g</w:t>
      </w:r>
      <w:r w:rsidR="008A1EAB">
        <w:t>.</w:t>
      </w:r>
      <w:r w:rsidRPr="008E0A8A">
        <w:t xml:space="preserve"> health, and law enforcement. In fact, these higher-level functions encompass a variety of specific interventions and are the appropriate level for any ROI study. The costs associated with specific interventions need to be estimated separately. As noted in DHI 2016, the cost of interventions should not be construed as a form of harm</w:t>
      </w:r>
      <w:r>
        <w:t xml:space="preserve">. </w:t>
      </w:r>
      <w:r w:rsidRPr="008E0A8A">
        <w:t>Another change is the use of expert opinion to estimate harm associated with specific drugs has been discontinued.</w:t>
      </w:r>
      <w:r w:rsidR="0009383C">
        <w:t xml:space="preserve"> </w:t>
      </w:r>
      <w:r w:rsidRPr="008E0A8A">
        <w:t>In essence, both wastewater analysis and hospital admissions provide the necessary information on a range of illicit drugs. None of this should be taken as a criticism of the health surveys or expert opinion. Both are obviously critical to the development of sound policy in relation to illicit drug use. In terms of constructing a drug harm index, the new data sources were both adequate and parsimonious.</w:t>
      </w:r>
      <w:r w:rsidRPr="00933377">
        <w:t xml:space="preserve"> </w:t>
      </w:r>
      <w:r>
        <w:t xml:space="preserve">Please see </w:t>
      </w:r>
      <w:r w:rsidR="00305E02">
        <w:fldChar w:fldCharType="begin"/>
      </w:r>
      <w:r w:rsidR="00305E02">
        <w:instrText xml:space="preserve"> REF _Ref88221730 \h </w:instrText>
      </w:r>
      <w:r w:rsidR="00305E02">
        <w:fldChar w:fldCharType="separate"/>
      </w:r>
      <w:r w:rsidR="006A55D7">
        <w:t>Appendix One</w:t>
      </w:r>
      <w:r w:rsidR="00305E02">
        <w:fldChar w:fldCharType="end"/>
      </w:r>
      <w:r>
        <w:t xml:space="preserve"> for further details on the </w:t>
      </w:r>
      <w:r w:rsidRPr="00CD7AA3">
        <w:rPr>
          <w:i/>
          <w:iCs/>
        </w:rPr>
        <w:t>conceptual framework</w:t>
      </w:r>
      <w:r>
        <w:t xml:space="preserve"> used for the DHI 2020.</w:t>
      </w:r>
    </w:p>
    <w:p w14:paraId="2EE41AE4" w14:textId="77777777" w:rsidR="00F7377D" w:rsidRPr="006C2346" w:rsidRDefault="00F7377D" w:rsidP="00305E02">
      <w:pPr>
        <w:pStyle w:val="Heading1"/>
      </w:pPr>
      <w:bookmarkStart w:id="10" w:name="_Toc444941780"/>
      <w:bookmarkStart w:id="11" w:name="_Toc95470201"/>
      <w:r w:rsidRPr="008E0A8A">
        <w:lastRenderedPageBreak/>
        <w:t>Background</w:t>
      </w:r>
      <w:bookmarkEnd w:id="10"/>
      <w:bookmarkEnd w:id="11"/>
    </w:p>
    <w:p w14:paraId="7FE86F2C" w14:textId="77777777" w:rsidR="00F7377D" w:rsidRDefault="00F7377D" w:rsidP="00305E02">
      <w:bookmarkStart w:id="12" w:name="_Hlk65759428"/>
      <w:r w:rsidRPr="008E0A8A">
        <w:t xml:space="preserve">Of the various drug harm indices developed between 2001 and 2008, only two remain in use, the New Zealand DHI and the Australian DHI. It should be noted the Victorian Police version was always an internal measure and </w:t>
      </w:r>
      <w:r w:rsidR="00305E02">
        <w:t>not subject to public scrutiny.</w:t>
      </w:r>
    </w:p>
    <w:p w14:paraId="12FDDCBB" w14:textId="77777777" w:rsidR="00305E02" w:rsidRPr="008E0A8A" w:rsidRDefault="00305E02" w:rsidP="00305E02"/>
    <w:p w14:paraId="30099B38" w14:textId="77777777" w:rsidR="00F7377D" w:rsidRDefault="00F7377D" w:rsidP="00305E02">
      <w:r w:rsidRPr="008E0A8A">
        <w:t>In general, most commentators were sympathetic to the aims of developing a DHI while noting the complexities involved (Greenfield &amp; Paoli</w:t>
      </w:r>
      <w:r w:rsidR="008A1EAB">
        <w:t>,</w:t>
      </w:r>
      <w:r w:rsidRPr="008E0A8A">
        <w:t xml:space="preserve"> 2010; Nutt e</w:t>
      </w:r>
      <w:r w:rsidR="00305E02">
        <w:t>t</w:t>
      </w:r>
      <w:r w:rsidRPr="008E0A8A">
        <w:t xml:space="preserve"> al</w:t>
      </w:r>
      <w:r w:rsidR="008A1EAB">
        <w:t>,</w:t>
      </w:r>
      <w:r w:rsidRPr="008E0A8A">
        <w:t xml:space="preserve"> 2010; Ritter</w:t>
      </w:r>
      <w:r w:rsidR="008A1EAB">
        <w:t>,</w:t>
      </w:r>
      <w:r w:rsidRPr="008E0A8A">
        <w:t xml:space="preserve"> 2009; Ritter &amp; Moxham</w:t>
      </w:r>
      <w:r w:rsidR="00193744">
        <w:noBreakHyphen/>
      </w:r>
      <w:r w:rsidRPr="008E0A8A">
        <w:t>Hall</w:t>
      </w:r>
      <w:r w:rsidR="00193744">
        <w:t> </w:t>
      </w:r>
      <w:r w:rsidR="008A1EAB">
        <w:t>V,</w:t>
      </w:r>
      <w:r w:rsidRPr="008E0A8A">
        <w:t xml:space="preserve"> 2016). In this they were consistent with a 2006 review conducted by the Beckley Foundation (Roberts et al</w:t>
      </w:r>
      <w:r w:rsidR="008A1EAB">
        <w:t>,</w:t>
      </w:r>
      <w:r w:rsidRPr="008E0A8A">
        <w:t xml:space="preserve"> 2006). The notion of a single measure of drug harm that can be used to measure the benefits of illicit drug policy and practice is highly appealing. Most realised the problems that beset the measurement of any behaviour that is illegal. Reuter (2009) was more sceptical, suggesting that any single measure of drug-associated harms was unlikely to capture the complexity of the environment within which drug markets operate.</w:t>
      </w:r>
    </w:p>
    <w:p w14:paraId="7B949067" w14:textId="77777777" w:rsidR="00305E02" w:rsidRPr="008E0A8A" w:rsidRDefault="00305E02" w:rsidP="00305E02"/>
    <w:p w14:paraId="0D74B030" w14:textId="77777777" w:rsidR="00F7377D" w:rsidRPr="008E0A8A" w:rsidRDefault="00F7377D" w:rsidP="00305E02">
      <w:r w:rsidRPr="008E0A8A">
        <w:t>The first published DHI was developed for the Australian Federal Police in 2001. At that time, the development of an index was in response to two quite separate issues.</w:t>
      </w:r>
    </w:p>
    <w:p w14:paraId="5097E326" w14:textId="77777777" w:rsidR="00F7377D" w:rsidRPr="008E0A8A" w:rsidRDefault="00F7377D" w:rsidP="00305E02">
      <w:pPr>
        <w:pStyle w:val="Bullet"/>
      </w:pPr>
      <w:r w:rsidRPr="008E0A8A">
        <w:t>Law enforcement had long struggled with the reporting and interpretation of illicit drug seizures. There are, two options for most agencies:</w:t>
      </w:r>
    </w:p>
    <w:p w14:paraId="6DF20E1B" w14:textId="77777777" w:rsidR="00F7377D" w:rsidRPr="008E0A8A" w:rsidRDefault="00F7377D" w:rsidP="0027566E">
      <w:pPr>
        <w:pStyle w:val="Number"/>
      </w:pPr>
      <w:r w:rsidRPr="008E0A8A">
        <w:t>Reporting the number and weight of seizures by drug type provides an accurate picture of what has occurred, but it is difficult to interpret in terms of general trends. A</w:t>
      </w:r>
      <w:r w:rsidR="00B97B17">
        <w:t> </w:t>
      </w:r>
      <w:r w:rsidRPr="008E0A8A">
        <w:t>decrease in seizures of one drug type might be counterbalanced by an incr</w:t>
      </w:r>
      <w:r w:rsidR="00305E02">
        <w:t>ease for another drug type.</w:t>
      </w:r>
    </w:p>
    <w:p w14:paraId="7A1411D3" w14:textId="77777777" w:rsidR="00F7377D" w:rsidRPr="008E0A8A" w:rsidRDefault="00F7377D" w:rsidP="0027566E">
      <w:pPr>
        <w:pStyle w:val="Number"/>
      </w:pPr>
      <w:r w:rsidRPr="008E0A8A">
        <w:t>Reporting the aggregate number and weight for all seizures across all drug types. This has the benefit of being a single number, but it is remarkably coarse.</w:t>
      </w:r>
    </w:p>
    <w:p w14:paraId="6EFCBAC5" w14:textId="77777777" w:rsidR="00F7377D" w:rsidRPr="008E0A8A" w:rsidRDefault="00F7377D" w:rsidP="00305E02">
      <w:pPr>
        <w:pStyle w:val="Bullet"/>
      </w:pPr>
      <w:r w:rsidRPr="008E0A8A">
        <w:t>The Australian Government had introduced an output−outcome reporting regime for Commonwealth departments to increase departmental accountability and shift agencies</w:t>
      </w:r>
      <w:r w:rsidR="00461CB5">
        <w:t>’</w:t>
      </w:r>
      <w:r w:rsidRPr="008E0A8A">
        <w:t xml:space="preserve"> perspective from an emphasis on properly acquitting the funds provided to an emphasis on the social impacts of government programmes.</w:t>
      </w:r>
    </w:p>
    <w:p w14:paraId="7095FFCA" w14:textId="77777777" w:rsidR="00305E02" w:rsidRDefault="00305E02" w:rsidP="00305E02"/>
    <w:p w14:paraId="4582DBB3" w14:textId="77777777" w:rsidR="00F7377D" w:rsidRDefault="00F7377D" w:rsidP="00305E02">
      <w:r w:rsidRPr="008E0A8A">
        <w:t>The original DHI provided law enforcement with a way of reporting its drug seizure activity in a single meaningful number that also represented the dollar value of its social impact to the community. In 2007, the Victorian Police began developing a DHI, and one year later the New Zealand Police introduced its own version (Slack et al</w:t>
      </w:r>
      <w:r w:rsidR="008A1EAB">
        <w:t>,</w:t>
      </w:r>
      <w:r w:rsidRPr="008E0A8A">
        <w:t xml:space="preserve"> 2008).</w:t>
      </w:r>
    </w:p>
    <w:p w14:paraId="48332A7C" w14:textId="77777777" w:rsidR="00305E02" w:rsidRPr="008E0A8A" w:rsidRDefault="00305E02" w:rsidP="00305E02"/>
    <w:p w14:paraId="6DF1A352" w14:textId="77777777" w:rsidR="00F7377D" w:rsidRPr="008E0A8A" w:rsidRDefault="00F7377D" w:rsidP="00305E02">
      <w:r w:rsidRPr="008E0A8A">
        <w:t>Although the DHI was originally developed in a law enforcement context, its wider applicability was soon recognised in that a single index would be of value in tracking the total harm caused by illicit drugs. This approach involves a weighted aggregate of key harm measures such as mortality, morbidity and drug-related crime. It was this latter application that led to the development of the Home Office Drug Harm Index in the United Kingdom in 2004 (MacDonald et al</w:t>
      </w:r>
      <w:r w:rsidR="008A1EAB">
        <w:t>,</w:t>
      </w:r>
      <w:r w:rsidRPr="008E0A8A">
        <w:t xml:space="preserve"> 2006). A similar approach was adopted by the UNODC in developing its Illicit Drug Index in 2005 to provide a single measure of harm across regions and countries, and across time (UNODC</w:t>
      </w:r>
      <w:r w:rsidR="008A1EAB">
        <w:t>,</w:t>
      </w:r>
      <w:r w:rsidRPr="008E0A8A">
        <w:t xml:space="preserve"> 2005, 2006).</w:t>
      </w:r>
      <w:r w:rsidR="0027566E">
        <w:t xml:space="preserve"> </w:t>
      </w:r>
      <w:r w:rsidRPr="008E0A8A">
        <w:t>An excerpt from Attewell and McFadden (2008) provides a summary of the similarities and differences between the various measures:</w:t>
      </w:r>
    </w:p>
    <w:p w14:paraId="6A137D8B" w14:textId="77777777" w:rsidR="00F7377D" w:rsidRPr="008E0A8A" w:rsidRDefault="00F7377D" w:rsidP="0027566E">
      <w:pPr>
        <w:pStyle w:val="Quote"/>
        <w:keepLines/>
      </w:pPr>
      <w:r w:rsidRPr="008E0A8A">
        <w:lastRenderedPageBreak/>
        <w:t>All are used as summary measurements to compare policy outcomes either internally or externally. However, there are differences in approach and method. The United Kingdom index concentrates on a set of measurable indicators that are related to the social harms caused by drugs. The index for the base year (1988) was set at 100, and subsequent levels of harm were plotted against that point. Thus, it is a relative rather than an absolute measure of harm. The AFP and New Zealand indices share the same methodology, the only difference being that AFP had an independent estimate of the economic cost of drug use in the community, whereas the New Zealand study developed its own measurements. Both forms of measurement provide absolute estimates of the level of harm in economic terms, and both are used by their respective law enforcement agencies to report performance. There are differences: the bottom-up approach used in New Zealand resolved the issue of double-counting harm by counting polydrug users in each of the relevant drug categories. The top-down approach used in Australia avoided this problem by segmenting harm at the aggregate level. The issue remains important if harm at the drug-user level is of interest (p</w:t>
      </w:r>
      <w:r w:rsidR="00305E02">
        <w:t> </w:t>
      </w:r>
      <w:r w:rsidRPr="008E0A8A">
        <w:t>42)</w:t>
      </w:r>
      <w:r w:rsidR="00305E02">
        <w:t>.</w:t>
      </w:r>
    </w:p>
    <w:p w14:paraId="08C427F9" w14:textId="77777777" w:rsidR="00305E02" w:rsidRDefault="00305E02" w:rsidP="00305E02"/>
    <w:p w14:paraId="683E3334" w14:textId="77777777" w:rsidR="00F7377D" w:rsidRDefault="00F7377D" w:rsidP="00305E02">
      <w:r w:rsidRPr="008E0A8A">
        <w:t>In an important extension of classical economic evaluation techniques, Melberg et al (2011) included a willingness-to-pay question in a survey of drug harm. Willingness-to-pay, as the phrase implies, is a technique to measure how much a community is willing to pay to achieve a given outcome. Melberg et al found that one in fourteen members of the public knew socially or were related to a person who uses drugs (i</w:t>
      </w:r>
      <w:r w:rsidR="008A1EAB">
        <w:t>.e.</w:t>
      </w:r>
      <w:r w:rsidRPr="008E0A8A">
        <w:t xml:space="preserve"> family and friends). Family and friends of people who use drugs indicated they would be willing to spend between 500 and 13,000 euros to treat the person.</w:t>
      </w:r>
    </w:p>
    <w:p w14:paraId="353F3120" w14:textId="77777777" w:rsidR="00305E02" w:rsidRPr="0086542F" w:rsidRDefault="00305E02" w:rsidP="00305E02"/>
    <w:p w14:paraId="544C6D4B" w14:textId="77777777" w:rsidR="00F7377D" w:rsidRDefault="00F7377D" w:rsidP="00305E02">
      <w:r w:rsidRPr="008E0A8A">
        <w:t>The reasons for the survival of the New Zealand DHI and the Australian DHI is not altogether clear. Possibly the ability of the respective DHIs to provide feedback in an organisational environment that is conducive to feedback may be one factor. It should also be noted these DHIs report results in dollar values, which assists interpretation by the general public and professional community alike. In short, they have a clear message.</w:t>
      </w:r>
    </w:p>
    <w:p w14:paraId="1309B9D4" w14:textId="77777777" w:rsidR="00305E02" w:rsidRPr="008E0A8A" w:rsidRDefault="00305E02" w:rsidP="00305E02"/>
    <w:p w14:paraId="772ABCD9" w14:textId="77777777" w:rsidR="00F7377D" w:rsidRPr="0086542F" w:rsidRDefault="00F7377D" w:rsidP="00305E02">
      <w:pPr>
        <w:pStyle w:val="Heading1"/>
      </w:pPr>
      <w:bookmarkStart w:id="13" w:name="_Toc95470202"/>
      <w:r>
        <w:lastRenderedPageBreak/>
        <w:t>Calculating the cost of illicit drug-related social harm</w:t>
      </w:r>
      <w:bookmarkEnd w:id="13"/>
    </w:p>
    <w:p w14:paraId="3D9BD1EF" w14:textId="77777777" w:rsidR="00F7377D" w:rsidRPr="00833382" w:rsidRDefault="00F7377D" w:rsidP="00305E02">
      <w:pPr>
        <w:pStyle w:val="Heading2"/>
        <w:rPr>
          <w:lang w:eastAsia="en-AU"/>
        </w:rPr>
      </w:pPr>
      <w:bookmarkStart w:id="14" w:name="_Toc444941792"/>
      <w:bookmarkStart w:id="15" w:name="_Toc95470203"/>
      <w:bookmarkEnd w:id="12"/>
      <w:r w:rsidRPr="00833382">
        <w:rPr>
          <w:lang w:eastAsia="en-AU"/>
        </w:rPr>
        <w:t xml:space="preserve">Illicit </w:t>
      </w:r>
      <w:r w:rsidRPr="0086542F">
        <w:rPr>
          <w:lang w:eastAsia="en-AU"/>
        </w:rPr>
        <w:t>drug</w:t>
      </w:r>
      <w:r w:rsidRPr="00833382">
        <w:rPr>
          <w:lang w:eastAsia="en-AU"/>
        </w:rPr>
        <w:t xml:space="preserve"> consumption in New</w:t>
      </w:r>
      <w:r w:rsidR="00305E02">
        <w:rPr>
          <w:lang w:eastAsia="en-AU"/>
        </w:rPr>
        <w:t> </w:t>
      </w:r>
      <w:r w:rsidRPr="00833382">
        <w:rPr>
          <w:lang w:eastAsia="en-AU"/>
        </w:rPr>
        <w:t>Zealand</w:t>
      </w:r>
      <w:bookmarkEnd w:id="14"/>
      <w:bookmarkEnd w:id="15"/>
    </w:p>
    <w:p w14:paraId="1DD19678" w14:textId="77777777" w:rsidR="00F7377D" w:rsidRDefault="00F7377D" w:rsidP="00305E02">
      <w:pPr>
        <w:rPr>
          <w:spacing w:val="-2"/>
          <w:lang w:eastAsia="en-AU"/>
        </w:rPr>
      </w:pPr>
      <w:r w:rsidRPr="00833382">
        <w:rPr>
          <w:lang w:eastAsia="en-AU"/>
        </w:rPr>
        <w:t xml:space="preserve">The extent of drug use in society is always difficult to ascertain. The most widely used technique is the </w:t>
      </w:r>
      <w:r>
        <w:rPr>
          <w:lang w:eastAsia="en-AU"/>
        </w:rPr>
        <w:t>nationally representative survey</w:t>
      </w:r>
      <w:r w:rsidRPr="00833382">
        <w:rPr>
          <w:lang w:eastAsia="en-AU"/>
        </w:rPr>
        <w:t>, participation in which is voluntary</w:t>
      </w:r>
      <w:r>
        <w:rPr>
          <w:lang w:eastAsia="en-AU"/>
        </w:rPr>
        <w:t>,</w:t>
      </w:r>
      <w:r w:rsidRPr="00833382">
        <w:rPr>
          <w:lang w:eastAsia="en-AU"/>
        </w:rPr>
        <w:t xml:space="preserve"> and anonymity is guaranteed. Nevertheless, the sample survey may fail to reach a portion </w:t>
      </w:r>
      <w:r>
        <w:rPr>
          <w:lang w:eastAsia="en-AU"/>
        </w:rPr>
        <w:t>of the population of people who use drugs</w:t>
      </w:r>
      <w:r w:rsidRPr="00833382">
        <w:rPr>
          <w:lang w:eastAsia="en-AU"/>
        </w:rPr>
        <w:t>, such as the homeless and those in prison.</w:t>
      </w:r>
      <w:r>
        <w:rPr>
          <w:lang w:eastAsia="en-AU"/>
        </w:rPr>
        <w:t xml:space="preserve"> </w:t>
      </w:r>
      <w:r>
        <w:rPr>
          <w:spacing w:val="-2"/>
          <w:lang w:eastAsia="en-AU"/>
        </w:rPr>
        <w:t>The sample survey technique was used in DHI 2016</w:t>
      </w:r>
      <w:r>
        <w:rPr>
          <w:lang w:eastAsia="en-AU"/>
        </w:rPr>
        <w:t xml:space="preserve"> but is limited at measuring total volume of drug consumption as it relies on assumptions of average volume of use per person</w:t>
      </w:r>
      <w:r w:rsidRPr="008E0A8A">
        <w:rPr>
          <w:lang w:eastAsia="en-AU"/>
        </w:rPr>
        <w:t xml:space="preserve">. Specialised surveys of subsets are also used, including those in treatment, in prison or recently arrested. </w:t>
      </w:r>
      <w:r w:rsidRPr="008E0A8A">
        <w:rPr>
          <w:spacing w:val="-2"/>
          <w:lang w:eastAsia="en-AU"/>
        </w:rPr>
        <w:t>Some indication of the variability in estimating the number of people who use drugs can be found in Hall et al (2000), who used three separate methods to estimate the number of people who use heroin in Australia. The result for Australia ranged from 67,000 to 92,000; the median was 74,000 and the mean 77,000. In the calculation of overall harm or cost to the community, one of the most influential factors is the estimated number of people who use drugs, and this may</w:t>
      </w:r>
      <w:r w:rsidR="00305E02">
        <w:rPr>
          <w:spacing w:val="-2"/>
          <w:lang w:eastAsia="en-AU"/>
        </w:rPr>
        <w:t xml:space="preserve"> be subject to some variation. </w:t>
      </w:r>
      <w:r w:rsidRPr="008E0A8A">
        <w:rPr>
          <w:spacing w:val="-2"/>
          <w:lang w:eastAsia="en-AU"/>
        </w:rPr>
        <w:t>A supplementary approach is the analysis of wastewater. This is a volumetric measure of consumption and</w:t>
      </w:r>
      <w:r w:rsidRPr="000827AF">
        <w:rPr>
          <w:spacing w:val="-2"/>
          <w:lang w:eastAsia="en-AU"/>
        </w:rPr>
        <w:t xml:space="preserve"> avoids </w:t>
      </w:r>
      <w:r>
        <w:rPr>
          <w:spacing w:val="-2"/>
          <w:lang w:eastAsia="en-AU"/>
        </w:rPr>
        <w:t>having to calculate</w:t>
      </w:r>
      <w:r w:rsidRPr="000827AF">
        <w:rPr>
          <w:spacing w:val="-2"/>
          <w:lang w:eastAsia="en-AU"/>
        </w:rPr>
        <w:t xml:space="preserve"> the number of</w:t>
      </w:r>
      <w:r>
        <w:rPr>
          <w:spacing w:val="-2"/>
          <w:lang w:eastAsia="en-AU"/>
        </w:rPr>
        <w:t xml:space="preserve"> people who use drugs</w:t>
      </w:r>
      <w:r w:rsidRPr="000827AF">
        <w:rPr>
          <w:spacing w:val="-2"/>
          <w:lang w:eastAsia="en-AU"/>
        </w:rPr>
        <w:t xml:space="preserve"> and their average consumption.</w:t>
      </w:r>
    </w:p>
    <w:p w14:paraId="0C862881" w14:textId="77777777" w:rsidR="00305E02" w:rsidRDefault="00305E02" w:rsidP="00305E02">
      <w:pPr>
        <w:rPr>
          <w:spacing w:val="-2"/>
          <w:lang w:eastAsia="en-AU"/>
        </w:rPr>
      </w:pPr>
    </w:p>
    <w:p w14:paraId="11CC851A" w14:textId="478045C3" w:rsidR="008A1EAB" w:rsidRPr="008A1EAB" w:rsidRDefault="00F7377D" w:rsidP="00305E02">
      <w:pPr>
        <w:rPr>
          <w:spacing w:val="-2"/>
          <w:lang w:eastAsia="en-AU"/>
        </w:rPr>
      </w:pPr>
      <w:r w:rsidRPr="000827AF">
        <w:rPr>
          <w:lang w:eastAsia="en-AU"/>
        </w:rPr>
        <w:t>The original New Zealand study to estimate illicit drug consumption</w:t>
      </w:r>
      <w:r>
        <w:rPr>
          <w:lang w:eastAsia="en-AU"/>
        </w:rPr>
        <w:t xml:space="preserve"> was undertaken</w:t>
      </w:r>
      <w:r w:rsidRPr="000827AF">
        <w:rPr>
          <w:lang w:eastAsia="en-AU"/>
        </w:rPr>
        <w:t xml:space="preserve"> in Auckland in 2014 (Lai et al</w:t>
      </w:r>
      <w:r w:rsidR="008A1EAB">
        <w:rPr>
          <w:lang w:eastAsia="en-AU"/>
        </w:rPr>
        <w:t>,</w:t>
      </w:r>
      <w:r w:rsidRPr="000827AF">
        <w:rPr>
          <w:lang w:eastAsia="en-AU"/>
        </w:rPr>
        <w:t xml:space="preserve"> 2017)</w:t>
      </w:r>
      <w:r>
        <w:rPr>
          <w:lang w:eastAsia="en-AU"/>
        </w:rPr>
        <w:t>; it measures the metabolites of some illicit drugs</w:t>
      </w:r>
      <w:r w:rsidRPr="000827AF">
        <w:rPr>
          <w:lang w:eastAsia="en-AU"/>
        </w:rPr>
        <w:t xml:space="preserve"> in wastewater samples </w:t>
      </w:r>
      <w:r>
        <w:t xml:space="preserve">giving a volume of drug use within a specific catchment area, </w:t>
      </w:r>
      <w:r w:rsidRPr="000827AF">
        <w:rPr>
          <w:lang w:eastAsia="en-AU"/>
        </w:rPr>
        <w:t>Following further development, the New Zealand Police has published quarterly estimates of the consumption of</w:t>
      </w:r>
      <w:r>
        <w:rPr>
          <w:lang w:eastAsia="en-AU"/>
        </w:rPr>
        <w:t xml:space="preserve"> methamphetamine, cocaine and MDMA</w:t>
      </w:r>
      <w:r w:rsidRPr="000827AF">
        <w:rPr>
          <w:lang w:eastAsia="en-AU"/>
        </w:rPr>
        <w:t xml:space="preserve"> covering</w:t>
      </w:r>
      <w:r>
        <w:rPr>
          <w:lang w:eastAsia="en-AU"/>
        </w:rPr>
        <w:t xml:space="preserve"> wastewater catchment areas of</w:t>
      </w:r>
      <w:r w:rsidRPr="000827AF">
        <w:rPr>
          <w:lang w:eastAsia="en-AU"/>
        </w:rPr>
        <w:t xml:space="preserve"> </w:t>
      </w:r>
      <w:r>
        <w:rPr>
          <w:lang w:eastAsia="en-AU"/>
        </w:rPr>
        <w:t>up to</w:t>
      </w:r>
      <w:r w:rsidRPr="000827AF">
        <w:rPr>
          <w:lang w:eastAsia="en-AU"/>
        </w:rPr>
        <w:t xml:space="preserve"> </w:t>
      </w:r>
      <w:r>
        <w:rPr>
          <w:lang w:eastAsia="en-AU"/>
        </w:rPr>
        <w:t>75</w:t>
      </w:r>
      <w:r w:rsidR="008A1EAB">
        <w:rPr>
          <w:lang w:eastAsia="en-AU"/>
        </w:rPr>
        <w:t>%</w:t>
      </w:r>
      <w:r w:rsidRPr="000827AF">
        <w:rPr>
          <w:lang w:eastAsia="en-AU"/>
        </w:rPr>
        <w:t xml:space="preserve"> of the population. </w:t>
      </w:r>
      <w:r>
        <w:rPr>
          <w:lang w:eastAsia="en-AU"/>
        </w:rPr>
        <w:t xml:space="preserve">Currently, methamphetamine, cocaine, MDMA, heroin, fentanyl, cannabis, and methamphetamine precursors (ephedrine, pseudoephedrine) can be tested for in New </w:t>
      </w:r>
      <w:r w:rsidRPr="008E0A8A">
        <w:rPr>
          <w:lang w:eastAsia="en-AU"/>
        </w:rPr>
        <w:t xml:space="preserve">Zealand. </w:t>
      </w:r>
      <w:r w:rsidR="00305E02">
        <w:rPr>
          <w:lang w:eastAsia="en-AU"/>
        </w:rPr>
        <w:fldChar w:fldCharType="begin"/>
      </w:r>
      <w:r w:rsidR="00305E02">
        <w:rPr>
          <w:lang w:eastAsia="en-AU"/>
        </w:rPr>
        <w:instrText xml:space="preserve"> REF _Ref88222063 \h </w:instrText>
      </w:r>
      <w:r w:rsidR="00305E02">
        <w:rPr>
          <w:lang w:eastAsia="en-AU"/>
        </w:rPr>
      </w:r>
      <w:r w:rsidR="00305E02">
        <w:rPr>
          <w:lang w:eastAsia="en-AU"/>
        </w:rPr>
        <w:fldChar w:fldCharType="separate"/>
      </w:r>
      <w:r w:rsidR="006A55D7">
        <w:t>Table </w:t>
      </w:r>
      <w:r w:rsidR="006A55D7">
        <w:rPr>
          <w:noProof/>
        </w:rPr>
        <w:t>2</w:t>
      </w:r>
      <w:r w:rsidR="00305E02">
        <w:rPr>
          <w:lang w:eastAsia="en-AU"/>
        </w:rPr>
        <w:fldChar w:fldCharType="end"/>
      </w:r>
      <w:r w:rsidRPr="008E0A8A">
        <w:rPr>
          <w:lang w:eastAsia="en-AU"/>
        </w:rPr>
        <w:t xml:space="preserve"> </w:t>
      </w:r>
      <w:r w:rsidRPr="008A1EAB">
        <w:rPr>
          <w:spacing w:val="-2"/>
          <w:lang w:eastAsia="en-AU"/>
        </w:rPr>
        <w:t>has estimates of the consumption of methamphetamine, cocaine, MDMA and cannabis. All estimates, apart from cannabis, are based on New Zealand Police wastewater consumption data. The cannabis estimates derive from the 2018/19 Health Survey due to the challenges of testing for cannabis in wastewater, compared to other drugs.</w:t>
      </w:r>
    </w:p>
    <w:p w14:paraId="6E1AFEAC" w14:textId="77777777" w:rsidR="008A1EAB" w:rsidRDefault="008A1EAB" w:rsidP="00305E02">
      <w:pPr>
        <w:rPr>
          <w:lang w:eastAsia="en-AU"/>
        </w:rPr>
      </w:pPr>
    </w:p>
    <w:p w14:paraId="1CA91096" w14:textId="77777777" w:rsidR="00F7377D" w:rsidRDefault="00F7377D" w:rsidP="00193744">
      <w:pPr>
        <w:rPr>
          <w:szCs w:val="21"/>
        </w:rPr>
      </w:pPr>
      <w:r w:rsidRPr="008E0A8A">
        <w:rPr>
          <w:lang w:eastAsia="en-AU"/>
        </w:rPr>
        <w:t>The most significant challenge is that THC and THC-COOH (the psychoactive ingredients tested for) do not dissolve in wastewater as well as other drugs do and are known to</w:t>
      </w:r>
      <w:r>
        <w:rPr>
          <w:lang w:eastAsia="en-AU"/>
        </w:rPr>
        <w:t xml:space="preserve"> adhere to surfaces, including sewer infrastructure, creating significant inconsistencies. In addition, </w:t>
      </w:r>
      <w:r>
        <w:rPr>
          <w:szCs w:val="21"/>
        </w:rPr>
        <w:t>t</w:t>
      </w:r>
      <w:r w:rsidRPr="00AF3A57">
        <w:rPr>
          <w:szCs w:val="21"/>
        </w:rPr>
        <w:t>he effect of wastewater on the extraction of cannabis compounds is far greater than for other drugs.</w:t>
      </w:r>
      <w:r w:rsidRPr="008A1EAB">
        <w:rPr>
          <w:rStyle w:val="FootnoteReference"/>
        </w:rPr>
        <w:footnoteReference w:id="2"/>
      </w:r>
    </w:p>
    <w:p w14:paraId="1CEE06F6" w14:textId="77777777" w:rsidR="00305E02" w:rsidRDefault="00305E02" w:rsidP="008A1EAB">
      <w:pPr>
        <w:rPr>
          <w:lang w:eastAsia="en-AU"/>
        </w:rPr>
      </w:pPr>
    </w:p>
    <w:p w14:paraId="728DD53E" w14:textId="61AEB27B" w:rsidR="00F7377D" w:rsidRPr="00EA26CB" w:rsidRDefault="00305E02" w:rsidP="00305E02">
      <w:pPr>
        <w:pStyle w:val="Table"/>
      </w:pPr>
      <w:bookmarkStart w:id="16" w:name="_Ref88222063"/>
      <w:bookmarkStart w:id="17" w:name="_Toc95476482"/>
      <w:r>
        <w:t>Table </w:t>
      </w:r>
      <w:fldSimple w:instr=" SEQ Table \* ARABIC ">
        <w:r w:rsidR="006A55D7">
          <w:rPr>
            <w:noProof/>
          </w:rPr>
          <w:t>2</w:t>
        </w:r>
      </w:fldSimple>
      <w:bookmarkEnd w:id="16"/>
      <w:r w:rsidR="00C6085E">
        <w:rPr>
          <w:noProof/>
        </w:rPr>
        <w:t>.</w:t>
      </w:r>
      <w:r w:rsidR="00F7377D" w:rsidRPr="00EA26CB">
        <w:t xml:space="preserve"> </w:t>
      </w:r>
      <w:r w:rsidR="00F7377D">
        <w:t>Estimated annual c</w:t>
      </w:r>
      <w:r w:rsidR="00F7377D" w:rsidRPr="00EA26CB">
        <w:t>onsumption of illicit drugs in New Zealand 2019</w:t>
      </w:r>
      <w:r w:rsidR="00EF4E47">
        <w:rPr>
          <w:rStyle w:val="FootnoteReference"/>
        </w:rPr>
        <w:footnoteReference w:id="3"/>
      </w:r>
      <w:bookmarkEnd w:id="17"/>
    </w:p>
    <w:tbl>
      <w:tblPr>
        <w:tblStyle w:val="TableGrid"/>
        <w:tblW w:w="0" w:type="auto"/>
        <w:tblInd w:w="113" w:type="dxa"/>
        <w:tblLayout w:type="fixed"/>
        <w:tblCellMar>
          <w:left w:w="113" w:type="dxa"/>
          <w:right w:w="113" w:type="dxa"/>
        </w:tblCellMar>
        <w:tblLook w:val="04A0" w:firstRow="1" w:lastRow="0" w:firstColumn="1" w:lastColumn="0" w:noHBand="0" w:noVBand="1"/>
      </w:tblPr>
      <w:tblGrid>
        <w:gridCol w:w="2268"/>
        <w:gridCol w:w="2519"/>
      </w:tblGrid>
      <w:tr w:rsidR="00F7377D" w:rsidRPr="008A1EAB" w14:paraId="16374252" w14:textId="77777777" w:rsidTr="0009383C">
        <w:trPr>
          <w:cantSplit/>
        </w:trPr>
        <w:tc>
          <w:tcPr>
            <w:tcW w:w="2268" w:type="dxa"/>
            <w:shd w:val="clear" w:color="auto" w:fill="auto"/>
          </w:tcPr>
          <w:p w14:paraId="463AAF79" w14:textId="77777777" w:rsidR="00F7377D" w:rsidRPr="008A1EAB" w:rsidRDefault="00F7377D" w:rsidP="008A1EAB">
            <w:pPr>
              <w:pStyle w:val="TableText"/>
              <w:rPr>
                <w:b/>
              </w:rPr>
            </w:pPr>
            <w:r w:rsidRPr="008A1EAB">
              <w:rPr>
                <w:b/>
              </w:rPr>
              <w:t>Drug type</w:t>
            </w:r>
          </w:p>
        </w:tc>
        <w:tc>
          <w:tcPr>
            <w:tcW w:w="2519" w:type="dxa"/>
            <w:shd w:val="clear" w:color="auto" w:fill="auto"/>
          </w:tcPr>
          <w:p w14:paraId="546A89DA" w14:textId="77777777" w:rsidR="00F7377D" w:rsidRPr="008A1EAB" w:rsidRDefault="00F7377D" w:rsidP="008A1EAB">
            <w:pPr>
              <w:pStyle w:val="TableText"/>
              <w:rPr>
                <w:b/>
              </w:rPr>
            </w:pPr>
            <w:r w:rsidRPr="008A1EAB">
              <w:rPr>
                <w:b/>
              </w:rPr>
              <w:t>Total consumption (kg)</w:t>
            </w:r>
          </w:p>
        </w:tc>
      </w:tr>
      <w:tr w:rsidR="00EF2925" w:rsidRPr="000A21E8" w14:paraId="14CF70E5" w14:textId="77777777" w:rsidTr="00376FAD">
        <w:trPr>
          <w:cantSplit/>
        </w:trPr>
        <w:tc>
          <w:tcPr>
            <w:tcW w:w="2268" w:type="dxa"/>
            <w:tcBorders>
              <w:bottom w:val="nil"/>
            </w:tcBorders>
            <w:shd w:val="clear" w:color="auto" w:fill="auto"/>
          </w:tcPr>
          <w:p w14:paraId="60F7FA43" w14:textId="77777777" w:rsidR="00EF2925" w:rsidRPr="00376FAD" w:rsidRDefault="00EF2925" w:rsidP="00EF2925">
            <w:pPr>
              <w:pStyle w:val="TableText"/>
              <w:rPr>
                <w:i/>
              </w:rPr>
            </w:pPr>
            <w:r w:rsidRPr="00376FAD">
              <w:rPr>
                <w:i/>
              </w:rPr>
              <w:t>Methamphetamine</w:t>
            </w:r>
          </w:p>
        </w:tc>
        <w:tc>
          <w:tcPr>
            <w:tcW w:w="2519" w:type="dxa"/>
            <w:tcBorders>
              <w:bottom w:val="nil"/>
            </w:tcBorders>
            <w:shd w:val="clear" w:color="auto" w:fill="auto"/>
            <w:tcMar>
              <w:right w:w="57" w:type="dxa"/>
            </w:tcMar>
          </w:tcPr>
          <w:p w14:paraId="2448B834" w14:textId="34E8C8E0" w:rsidR="00EF2925" w:rsidRPr="00BD42C0" w:rsidRDefault="00EF2925" w:rsidP="00EF2925">
            <w:pPr>
              <w:pStyle w:val="TableText"/>
              <w:tabs>
                <w:tab w:val="decimal" w:pos="1187"/>
              </w:tabs>
            </w:pPr>
            <w:r w:rsidRPr="004C7125">
              <w:t>7</w:t>
            </w:r>
            <w:r>
              <w:t>43</w:t>
            </w:r>
          </w:p>
        </w:tc>
      </w:tr>
      <w:tr w:rsidR="00EF2925" w:rsidRPr="000A21E8" w14:paraId="60B4434A" w14:textId="77777777" w:rsidTr="00376FAD">
        <w:trPr>
          <w:cantSplit/>
        </w:trPr>
        <w:tc>
          <w:tcPr>
            <w:tcW w:w="2268" w:type="dxa"/>
            <w:tcBorders>
              <w:top w:val="nil"/>
              <w:bottom w:val="nil"/>
            </w:tcBorders>
            <w:shd w:val="clear" w:color="auto" w:fill="auto"/>
          </w:tcPr>
          <w:p w14:paraId="752AB809" w14:textId="77777777" w:rsidR="00EF2925" w:rsidRPr="00376FAD" w:rsidRDefault="00EF2925" w:rsidP="00EF2925">
            <w:pPr>
              <w:pStyle w:val="TableText"/>
              <w:rPr>
                <w:i/>
              </w:rPr>
            </w:pPr>
            <w:r w:rsidRPr="00376FAD">
              <w:rPr>
                <w:i/>
              </w:rPr>
              <w:t>Cocaine</w:t>
            </w:r>
          </w:p>
        </w:tc>
        <w:tc>
          <w:tcPr>
            <w:tcW w:w="2519" w:type="dxa"/>
            <w:tcBorders>
              <w:top w:val="nil"/>
              <w:bottom w:val="nil"/>
            </w:tcBorders>
            <w:shd w:val="clear" w:color="auto" w:fill="auto"/>
            <w:tcMar>
              <w:right w:w="57" w:type="dxa"/>
            </w:tcMar>
          </w:tcPr>
          <w:p w14:paraId="02E32FFA" w14:textId="30516EE8" w:rsidR="00EF2925" w:rsidRPr="00BD42C0" w:rsidRDefault="00EF2925" w:rsidP="00EF2925">
            <w:pPr>
              <w:pStyle w:val="TableText"/>
              <w:tabs>
                <w:tab w:val="decimal" w:pos="1187"/>
              </w:tabs>
            </w:pPr>
            <w:r w:rsidRPr="004C7125">
              <w:t>51</w:t>
            </w:r>
          </w:p>
        </w:tc>
      </w:tr>
      <w:tr w:rsidR="00EF2925" w:rsidRPr="000A21E8" w14:paraId="2A85569B" w14:textId="77777777" w:rsidTr="00376FAD">
        <w:trPr>
          <w:cantSplit/>
        </w:trPr>
        <w:tc>
          <w:tcPr>
            <w:tcW w:w="2268" w:type="dxa"/>
            <w:tcBorders>
              <w:top w:val="nil"/>
              <w:bottom w:val="nil"/>
            </w:tcBorders>
            <w:shd w:val="clear" w:color="auto" w:fill="auto"/>
          </w:tcPr>
          <w:p w14:paraId="7E8653EF" w14:textId="77777777" w:rsidR="00EF2925" w:rsidRPr="00376FAD" w:rsidRDefault="00EF2925" w:rsidP="00EF2925">
            <w:pPr>
              <w:pStyle w:val="TableText"/>
              <w:rPr>
                <w:i/>
              </w:rPr>
            </w:pPr>
            <w:r w:rsidRPr="00376FAD">
              <w:rPr>
                <w:i/>
              </w:rPr>
              <w:t>MDMA</w:t>
            </w:r>
          </w:p>
        </w:tc>
        <w:tc>
          <w:tcPr>
            <w:tcW w:w="2519" w:type="dxa"/>
            <w:tcBorders>
              <w:top w:val="nil"/>
              <w:bottom w:val="nil"/>
            </w:tcBorders>
            <w:shd w:val="clear" w:color="auto" w:fill="auto"/>
            <w:tcMar>
              <w:right w:w="57" w:type="dxa"/>
            </w:tcMar>
          </w:tcPr>
          <w:p w14:paraId="024EF7CE" w14:textId="65A244AF" w:rsidR="00EF2925" w:rsidRPr="00BD42C0" w:rsidRDefault="00EF2925" w:rsidP="00EF2925">
            <w:pPr>
              <w:pStyle w:val="TableText"/>
              <w:tabs>
                <w:tab w:val="decimal" w:pos="1187"/>
              </w:tabs>
            </w:pPr>
            <w:r w:rsidRPr="004C7125">
              <w:t>37</w:t>
            </w:r>
            <w:r>
              <w:t>8</w:t>
            </w:r>
          </w:p>
        </w:tc>
      </w:tr>
      <w:tr w:rsidR="00F7377D" w:rsidRPr="000A21E8" w14:paraId="64878F9A" w14:textId="77777777" w:rsidTr="00376FAD">
        <w:trPr>
          <w:cantSplit/>
        </w:trPr>
        <w:tc>
          <w:tcPr>
            <w:tcW w:w="2268" w:type="dxa"/>
            <w:tcBorders>
              <w:top w:val="nil"/>
            </w:tcBorders>
            <w:shd w:val="clear" w:color="auto" w:fill="auto"/>
          </w:tcPr>
          <w:p w14:paraId="585837B3" w14:textId="77777777" w:rsidR="00F7377D" w:rsidRPr="00376FAD" w:rsidRDefault="00F7377D" w:rsidP="008A1EAB">
            <w:pPr>
              <w:pStyle w:val="TableText"/>
              <w:rPr>
                <w:i/>
              </w:rPr>
            </w:pPr>
            <w:r w:rsidRPr="00376FAD">
              <w:rPr>
                <w:i/>
              </w:rPr>
              <w:t>Cannabis</w:t>
            </w:r>
          </w:p>
        </w:tc>
        <w:tc>
          <w:tcPr>
            <w:tcW w:w="2519" w:type="dxa"/>
            <w:tcBorders>
              <w:top w:val="nil"/>
            </w:tcBorders>
            <w:shd w:val="clear" w:color="auto" w:fill="auto"/>
            <w:tcMar>
              <w:right w:w="57" w:type="dxa"/>
            </w:tcMar>
          </w:tcPr>
          <w:p w14:paraId="4B5DB222" w14:textId="63B7D306" w:rsidR="00F7377D" w:rsidRPr="00BD42C0" w:rsidRDefault="00EF2925" w:rsidP="008A1EAB">
            <w:pPr>
              <w:pStyle w:val="TableText"/>
              <w:tabs>
                <w:tab w:val="decimal" w:pos="1187"/>
              </w:tabs>
            </w:pPr>
            <w:r>
              <w:t>58,000</w:t>
            </w:r>
          </w:p>
        </w:tc>
      </w:tr>
    </w:tbl>
    <w:p w14:paraId="3F9CEB33" w14:textId="77777777" w:rsidR="00D54749" w:rsidRDefault="00D54749" w:rsidP="008A1EAB">
      <w:pPr>
        <w:rPr>
          <w:lang w:eastAsia="en-AU"/>
        </w:rPr>
      </w:pPr>
    </w:p>
    <w:p w14:paraId="01F7DEB8" w14:textId="77777777" w:rsidR="00F7377D" w:rsidRDefault="00F7377D" w:rsidP="00376FAD">
      <w:pPr>
        <w:keepLines/>
        <w:rPr>
          <w:lang w:eastAsia="en-AU"/>
        </w:rPr>
      </w:pPr>
      <w:r>
        <w:rPr>
          <w:lang w:eastAsia="en-AU"/>
        </w:rPr>
        <w:lastRenderedPageBreak/>
        <w:t>The above consumption figures are as they are currently reported by NZ Police. This does not include adjustments for the percentage of the population covered by wastewater testing and does not adjust for purity. While the above figures provide accurate volumes for the pure substance detected at wastewater sites, they are almost certainly an underestimation of total consumption. Opportunities exist for further analysis of wastewater data which would provide a more accurate picture of illicit drug consumption in New Zealand.</w:t>
      </w:r>
    </w:p>
    <w:p w14:paraId="1D27EE7F" w14:textId="77777777" w:rsidR="008A1EAB" w:rsidRDefault="008A1EAB" w:rsidP="008A1EAB">
      <w:pPr>
        <w:rPr>
          <w:lang w:eastAsia="en-AU"/>
        </w:rPr>
      </w:pPr>
    </w:p>
    <w:p w14:paraId="1FF533B7" w14:textId="77777777" w:rsidR="00F7377D" w:rsidRDefault="00F7377D" w:rsidP="008A1EAB">
      <w:pPr>
        <w:rPr>
          <w:spacing w:val="-2"/>
          <w:lang w:eastAsia="en-AU"/>
        </w:rPr>
      </w:pPr>
      <w:r w:rsidRPr="000827AF">
        <w:rPr>
          <w:lang w:eastAsia="en-AU"/>
        </w:rPr>
        <w:t xml:space="preserve">Drug types included are those where sufficient traces were detected to allow a reasonable estimate of consumption to be made. Existing evidence for fentanyl and </w:t>
      </w:r>
      <w:r>
        <w:rPr>
          <w:lang w:eastAsia="en-AU"/>
        </w:rPr>
        <w:t>heroin</w:t>
      </w:r>
      <w:r w:rsidRPr="000827AF">
        <w:rPr>
          <w:lang w:eastAsia="en-AU"/>
        </w:rPr>
        <w:t xml:space="preserve"> suggests low levels of consumption and they have </w:t>
      </w:r>
      <w:r>
        <w:rPr>
          <w:lang w:eastAsia="en-AU"/>
        </w:rPr>
        <w:t xml:space="preserve">therefore </w:t>
      </w:r>
      <w:r w:rsidRPr="000827AF">
        <w:rPr>
          <w:lang w:eastAsia="en-AU"/>
        </w:rPr>
        <w:t>been omitted from consumption estimates</w:t>
      </w:r>
      <w:r>
        <w:rPr>
          <w:lang w:eastAsia="en-AU"/>
        </w:rPr>
        <w:t xml:space="preserve">. </w:t>
      </w:r>
      <w:bookmarkStart w:id="18" w:name="_Hlk65768576"/>
      <w:r>
        <w:rPr>
          <w:spacing w:val="-2"/>
          <w:lang w:eastAsia="en-AU"/>
        </w:rPr>
        <w:t>Consumption of synthetic cannabinoids and GHB/GBL (both included in the overall estimated social cost of drug-related harm table) is unable to be estimated as these substances are not included in wastewater testing and were not included in the 2018/19 Health Survey.</w:t>
      </w:r>
    </w:p>
    <w:p w14:paraId="1CCDB917" w14:textId="77777777" w:rsidR="008A1EAB" w:rsidRDefault="008A1EAB" w:rsidP="008A1EAB">
      <w:pPr>
        <w:rPr>
          <w:spacing w:val="-2"/>
          <w:lang w:eastAsia="en-AU"/>
        </w:rPr>
      </w:pPr>
    </w:p>
    <w:p w14:paraId="1B427762" w14:textId="77777777" w:rsidR="00F7377D" w:rsidRPr="008E0A8A" w:rsidRDefault="00F7377D" w:rsidP="006C6BA9">
      <w:pPr>
        <w:pStyle w:val="Heading2"/>
        <w:rPr>
          <w:lang w:eastAsia="en-AU"/>
        </w:rPr>
      </w:pPr>
      <w:bookmarkStart w:id="19" w:name="_Toc444941794"/>
      <w:bookmarkStart w:id="20" w:name="_Toc95470204"/>
      <w:bookmarkEnd w:id="18"/>
      <w:r w:rsidRPr="008E0A8A">
        <w:rPr>
          <w:lang w:eastAsia="en-AU"/>
        </w:rPr>
        <w:t>Personal harms</w:t>
      </w:r>
      <w:bookmarkEnd w:id="19"/>
      <w:bookmarkEnd w:id="20"/>
    </w:p>
    <w:p w14:paraId="5FEA9DC7" w14:textId="7D6F4DCC" w:rsidR="00F7377D" w:rsidRDefault="00F7377D" w:rsidP="006C6BA9">
      <w:r w:rsidRPr="00423BA4">
        <w:rPr>
          <w:lang w:eastAsia="en-AU"/>
        </w:rPr>
        <w:t>Personal harms resulting from illicit drug use included in the report include harms related to premature death and harms related to a reduction in the quality of life.</w:t>
      </w:r>
      <w:r>
        <w:rPr>
          <w:lang w:eastAsia="en-AU"/>
        </w:rPr>
        <w:t xml:space="preserve"> </w:t>
      </w:r>
      <w:r w:rsidRPr="00423BA4">
        <w:rPr>
          <w:lang w:eastAsia="en-AU"/>
        </w:rPr>
        <w:t xml:space="preserve">Harm calculations were made in relation to the illicit drug types described in </w:t>
      </w:r>
      <w:r w:rsidR="006C6BA9">
        <w:rPr>
          <w:lang w:eastAsia="en-AU"/>
        </w:rPr>
        <w:fldChar w:fldCharType="begin"/>
      </w:r>
      <w:r w:rsidR="006C6BA9">
        <w:rPr>
          <w:lang w:eastAsia="en-AU"/>
        </w:rPr>
        <w:instrText xml:space="preserve"> REF _Ref88222852 \h </w:instrText>
      </w:r>
      <w:r w:rsidR="006C6BA9">
        <w:rPr>
          <w:lang w:eastAsia="en-AU"/>
        </w:rPr>
      </w:r>
      <w:r w:rsidR="006C6BA9">
        <w:rPr>
          <w:lang w:eastAsia="en-AU"/>
        </w:rPr>
        <w:fldChar w:fldCharType="separate"/>
      </w:r>
      <w:r w:rsidR="006A55D7">
        <w:t>Table </w:t>
      </w:r>
      <w:r w:rsidR="006A55D7">
        <w:rPr>
          <w:noProof/>
        </w:rPr>
        <w:t>3</w:t>
      </w:r>
      <w:r w:rsidR="006C6BA9">
        <w:rPr>
          <w:lang w:eastAsia="en-AU"/>
        </w:rPr>
        <w:fldChar w:fldCharType="end"/>
      </w:r>
      <w:r w:rsidRPr="00423BA4">
        <w:rPr>
          <w:lang w:eastAsia="en-AU"/>
        </w:rPr>
        <w:t>. As noted previously, h</w:t>
      </w:r>
      <w:r w:rsidRPr="00423BA4">
        <w:t xml:space="preserve">arms were categorised as </w:t>
      </w:r>
      <w:r w:rsidRPr="00423BA4">
        <w:rPr>
          <w:i/>
        </w:rPr>
        <w:t>personal</w:t>
      </w:r>
      <w:r w:rsidRPr="00423BA4">
        <w:t xml:space="preserve"> where they related to </w:t>
      </w:r>
      <w:r>
        <w:t>the people who use drugs</w:t>
      </w:r>
      <w:r w:rsidRPr="00423BA4">
        <w:t xml:space="preserve"> themselves, and as </w:t>
      </w:r>
      <w:r w:rsidRPr="00423BA4">
        <w:rPr>
          <w:i/>
        </w:rPr>
        <w:t>community</w:t>
      </w:r>
      <w:r w:rsidRPr="00423BA4">
        <w:t xml:space="preserve"> where they related to the wider New Zealand community</w:t>
      </w:r>
      <w:r>
        <w:t>.</w:t>
      </w:r>
    </w:p>
    <w:p w14:paraId="46B3B774" w14:textId="77777777" w:rsidR="006C6BA9" w:rsidRPr="00423BA4" w:rsidRDefault="006C6BA9" w:rsidP="006C6BA9">
      <w:pPr>
        <w:rPr>
          <w:lang w:eastAsia="en-AU"/>
        </w:rPr>
      </w:pPr>
    </w:p>
    <w:p w14:paraId="7791C703" w14:textId="77777777" w:rsidR="00F7377D" w:rsidRPr="00D448F4" w:rsidRDefault="00F7377D" w:rsidP="006C6BA9">
      <w:pPr>
        <w:pStyle w:val="Heading3"/>
        <w:rPr>
          <w:b w:val="0"/>
          <w:lang w:eastAsia="en-AU"/>
        </w:rPr>
      </w:pPr>
      <w:r w:rsidRPr="00D448F4">
        <w:rPr>
          <w:lang w:eastAsia="en-AU"/>
        </w:rPr>
        <w:t>Premature death</w:t>
      </w:r>
    </w:p>
    <w:p w14:paraId="2E8CB12E" w14:textId="77777777" w:rsidR="00F7377D" w:rsidRDefault="00F7377D" w:rsidP="00193744">
      <w:pPr>
        <w:rPr>
          <w:lang w:eastAsia="en-AU"/>
        </w:rPr>
      </w:pPr>
      <w:r w:rsidRPr="008E0A8A">
        <w:rPr>
          <w:lang w:eastAsia="en-AU"/>
        </w:rPr>
        <w:t>In a change from the approach in DHI 2016 when deaths were sourced from the Ministry of Health, the Coronial Services Unit (Ministry of Justice) were requested to provide details on drug-related deaths in 2019. A keyword search</w:t>
      </w:r>
      <w:r w:rsidRPr="006C6BA9">
        <w:rPr>
          <w:rStyle w:val="FootnoteReference"/>
        </w:rPr>
        <w:footnoteReference w:id="4"/>
      </w:r>
      <w:r w:rsidRPr="008E0A8A">
        <w:rPr>
          <w:lang w:eastAsia="en-AU"/>
        </w:rPr>
        <w:t xml:space="preserve"> was performed, with the data counting instances where keywords were recorded in </w:t>
      </w:r>
      <w:r w:rsidRPr="008E0A8A">
        <w:rPr>
          <w:i/>
          <w:iCs/>
          <w:lang w:eastAsia="en-AU"/>
        </w:rPr>
        <w:t>Medical Cause of Death</w:t>
      </w:r>
      <w:r w:rsidR="006C6BA9">
        <w:rPr>
          <w:i/>
          <w:iCs/>
          <w:lang w:eastAsia="en-AU"/>
        </w:rPr>
        <w:t> </w:t>
      </w:r>
      <w:r w:rsidRPr="008E0A8A">
        <w:rPr>
          <w:i/>
          <w:iCs/>
          <w:lang w:eastAsia="en-AU"/>
        </w:rPr>
        <w:t>1</w:t>
      </w:r>
      <w:r w:rsidRPr="008E0A8A">
        <w:rPr>
          <w:lang w:eastAsia="en-AU"/>
        </w:rPr>
        <w:t xml:space="preserve">, </w:t>
      </w:r>
      <w:r w:rsidRPr="008E0A8A">
        <w:rPr>
          <w:i/>
          <w:iCs/>
          <w:lang w:eastAsia="en-AU"/>
        </w:rPr>
        <w:t>Medical Cause of Death 2</w:t>
      </w:r>
      <w:r w:rsidRPr="008E0A8A">
        <w:rPr>
          <w:lang w:eastAsia="en-AU"/>
        </w:rPr>
        <w:t xml:space="preserve">, </w:t>
      </w:r>
      <w:r w:rsidRPr="008E0A8A">
        <w:rPr>
          <w:i/>
          <w:iCs/>
          <w:lang w:eastAsia="en-AU"/>
        </w:rPr>
        <w:t>Medical Cause of Death 3</w:t>
      </w:r>
      <w:r w:rsidRPr="008E0A8A">
        <w:rPr>
          <w:lang w:eastAsia="en-AU"/>
        </w:rPr>
        <w:t xml:space="preserve">, </w:t>
      </w:r>
      <w:r w:rsidRPr="008E0A8A">
        <w:rPr>
          <w:i/>
          <w:iCs/>
          <w:lang w:eastAsia="en-AU"/>
        </w:rPr>
        <w:t>Provisional Cause of Death</w:t>
      </w:r>
      <w:r w:rsidRPr="008E0A8A">
        <w:rPr>
          <w:lang w:eastAsia="en-AU"/>
        </w:rPr>
        <w:t xml:space="preserve"> and </w:t>
      </w:r>
      <w:r w:rsidRPr="008E0A8A">
        <w:rPr>
          <w:i/>
          <w:iCs/>
          <w:lang w:eastAsia="en-AU"/>
        </w:rPr>
        <w:t>Final Cause of Death</w:t>
      </w:r>
      <w:r w:rsidRPr="008E0A8A">
        <w:rPr>
          <w:lang w:eastAsia="en-AU"/>
        </w:rPr>
        <w:t>. There were 107 deaths reported</w:t>
      </w:r>
      <w:r w:rsidR="006C6BA9">
        <w:rPr>
          <w:lang w:eastAsia="en-AU"/>
        </w:rPr>
        <w:t>. This included active cases.</w:t>
      </w:r>
    </w:p>
    <w:p w14:paraId="66760B8C" w14:textId="77777777" w:rsidR="006C6BA9" w:rsidRDefault="006C6BA9" w:rsidP="006C6BA9">
      <w:pPr>
        <w:rPr>
          <w:lang w:eastAsia="en-AU"/>
        </w:rPr>
      </w:pPr>
    </w:p>
    <w:p w14:paraId="59A5F1E5" w14:textId="77777777" w:rsidR="00F7377D" w:rsidRDefault="00F7377D" w:rsidP="006C6BA9">
      <w:pPr>
        <w:rPr>
          <w:lang w:eastAsia="en-AU"/>
        </w:rPr>
      </w:pPr>
      <w:r>
        <w:rPr>
          <w:lang w:eastAsia="en-AU"/>
        </w:rPr>
        <w:t>It should be noted that this includes all deaths where drugs have been found to be a contributing factor, not just acute overdoses. This takes a wide view of drug-related harm and caution should be taken when using the below statistics to describe drug-related deaths.</w:t>
      </w:r>
    </w:p>
    <w:p w14:paraId="4E3DB795" w14:textId="77777777" w:rsidR="006C6BA9" w:rsidRDefault="006C6BA9" w:rsidP="006C6BA9">
      <w:pPr>
        <w:rPr>
          <w:lang w:eastAsia="en-AU"/>
        </w:rPr>
      </w:pPr>
    </w:p>
    <w:p w14:paraId="30B89D5B" w14:textId="1C896DF4" w:rsidR="00F7377D" w:rsidRDefault="00F7377D" w:rsidP="006C6BA9">
      <w:pPr>
        <w:rPr>
          <w:lang w:eastAsia="en-AU"/>
        </w:rPr>
      </w:pPr>
      <w:r w:rsidRPr="008E0A8A">
        <w:rPr>
          <w:lang w:eastAsia="en-AU"/>
        </w:rPr>
        <w:t>To avoid double counting, where only one substance was recorded</w:t>
      </w:r>
      <w:r>
        <w:rPr>
          <w:lang w:eastAsia="en-AU"/>
        </w:rPr>
        <w:t xml:space="preserve"> against a death this substances was</w:t>
      </w:r>
      <w:r w:rsidRPr="008E0A8A">
        <w:rPr>
          <w:lang w:eastAsia="en-AU"/>
        </w:rPr>
        <w:t xml:space="preserve"> counted as 1, where two or more substances were recorded against a death the substances are counted as an equal proportion of 1 (i.e. </w:t>
      </w:r>
      <w:r>
        <w:rPr>
          <w:lang w:eastAsia="en-AU"/>
        </w:rPr>
        <w:t xml:space="preserve">if </w:t>
      </w:r>
      <w:r w:rsidRPr="008E0A8A">
        <w:rPr>
          <w:lang w:eastAsia="en-AU"/>
        </w:rPr>
        <w:t>four substances</w:t>
      </w:r>
      <w:r>
        <w:rPr>
          <w:lang w:eastAsia="en-AU"/>
        </w:rPr>
        <w:t xml:space="preserve"> were recorded against a death</w:t>
      </w:r>
      <w:r w:rsidRPr="008E0A8A">
        <w:rPr>
          <w:lang w:eastAsia="en-AU"/>
        </w:rPr>
        <w:t xml:space="preserve"> these substances were counted as 0.25 each). </w:t>
      </w:r>
      <w:r>
        <w:rPr>
          <w:lang w:eastAsia="en-AU"/>
        </w:rPr>
        <w:t xml:space="preserve">The total number of deaths related to a specific substance was then multiplied by the estimated value of a life: </w:t>
      </w:r>
      <w:r w:rsidRPr="008E0A8A">
        <w:rPr>
          <w:lang w:eastAsia="en-AU"/>
        </w:rPr>
        <w:t>$4,527,300 (Ministry of Transport, 2020, p.13)</w:t>
      </w:r>
      <w:r>
        <w:rPr>
          <w:lang w:eastAsia="en-AU"/>
        </w:rPr>
        <w:t xml:space="preserve">. </w:t>
      </w:r>
      <w:r w:rsidRPr="00F6149D">
        <w:t>The total cost of premature death calculated as an estimated $484.</w:t>
      </w:r>
      <w:r w:rsidR="00EF2925" w:rsidRPr="00F6149D">
        <w:t>8</w:t>
      </w:r>
      <w:r w:rsidRPr="00F6149D">
        <w:t xml:space="preserve"> million</w:t>
      </w:r>
      <w:r w:rsidR="00EF4E47">
        <w:t>,</w:t>
      </w:r>
      <w:r w:rsidR="00EF4E47">
        <w:rPr>
          <w:rStyle w:val="FootnoteReference"/>
        </w:rPr>
        <w:footnoteReference w:id="5"/>
      </w:r>
      <w:r w:rsidRPr="00F6149D">
        <w:t xml:space="preserve"> with the main contributor methamphetamine at $244.</w:t>
      </w:r>
      <w:r w:rsidR="00EF2925" w:rsidRPr="00F6149D">
        <w:t>9</w:t>
      </w:r>
      <w:r w:rsidRPr="00F6149D">
        <w:t xml:space="preserve"> million.</w:t>
      </w:r>
      <w:r w:rsidR="00EF4E47">
        <w:rPr>
          <w:rStyle w:val="FootnoteReference"/>
        </w:rPr>
        <w:footnoteReference w:id="6"/>
      </w:r>
      <w:r w:rsidRPr="00F6149D">
        <w:t xml:space="preserve"> </w:t>
      </w:r>
      <w:r w:rsidRPr="00F6149D">
        <w:rPr>
          <w:lang w:eastAsia="en-AU"/>
        </w:rPr>
        <w:t>Details</w:t>
      </w:r>
      <w:r w:rsidRPr="008E0A8A">
        <w:rPr>
          <w:lang w:eastAsia="en-AU"/>
        </w:rPr>
        <w:t xml:space="preserve"> are provided in </w:t>
      </w:r>
      <w:r w:rsidR="006C6BA9">
        <w:rPr>
          <w:lang w:eastAsia="en-AU"/>
        </w:rPr>
        <w:fldChar w:fldCharType="begin"/>
      </w:r>
      <w:r w:rsidR="006C6BA9">
        <w:rPr>
          <w:lang w:eastAsia="en-AU"/>
        </w:rPr>
        <w:instrText xml:space="preserve"> REF _Ref88222852 \h </w:instrText>
      </w:r>
      <w:r w:rsidR="006C6BA9">
        <w:rPr>
          <w:lang w:eastAsia="en-AU"/>
        </w:rPr>
      </w:r>
      <w:r w:rsidR="006C6BA9">
        <w:rPr>
          <w:lang w:eastAsia="en-AU"/>
        </w:rPr>
        <w:fldChar w:fldCharType="separate"/>
      </w:r>
      <w:r w:rsidR="006A55D7">
        <w:t>Table </w:t>
      </w:r>
      <w:r w:rsidR="006A55D7">
        <w:rPr>
          <w:noProof/>
        </w:rPr>
        <w:t>3</w:t>
      </w:r>
      <w:r w:rsidR="006C6BA9">
        <w:rPr>
          <w:lang w:eastAsia="en-AU"/>
        </w:rPr>
        <w:fldChar w:fldCharType="end"/>
      </w:r>
      <w:r w:rsidRPr="008E0A8A">
        <w:rPr>
          <w:lang w:eastAsia="en-AU"/>
        </w:rPr>
        <w:t>.</w:t>
      </w:r>
    </w:p>
    <w:p w14:paraId="0FF6328B" w14:textId="77777777" w:rsidR="00F7377D" w:rsidRPr="00D448F4" w:rsidRDefault="00F7377D" w:rsidP="006C6BA9">
      <w:pPr>
        <w:pStyle w:val="Heading3"/>
        <w:rPr>
          <w:b w:val="0"/>
          <w:lang w:eastAsia="en-AU"/>
        </w:rPr>
      </w:pPr>
      <w:r w:rsidRPr="00D448F4">
        <w:rPr>
          <w:lang w:eastAsia="en-AU"/>
        </w:rPr>
        <w:lastRenderedPageBreak/>
        <w:t>Loss of quality of life</w:t>
      </w:r>
    </w:p>
    <w:p w14:paraId="72FDB903" w14:textId="3E69A84D" w:rsidR="00F7377D" w:rsidRDefault="00F7377D" w:rsidP="006C6BA9">
      <w:r w:rsidRPr="00423BA4">
        <w:t xml:space="preserve">In DHI 2016, loss of quality of life was calculated using a conversion factor relating </w:t>
      </w:r>
      <w:r w:rsidRPr="00014744">
        <w:t>this form of harm to that of premature death. In DHI 2020 this has been replaced by hospital admission</w:t>
      </w:r>
      <w:r>
        <w:t xml:space="preserve"> (NMDS)</w:t>
      </w:r>
      <w:r w:rsidRPr="00014744">
        <w:t xml:space="preserve"> data</w:t>
      </w:r>
      <w:r>
        <w:t>, namely hospital admissions that resulted in a drug</w:t>
      </w:r>
      <w:r w:rsidR="006C6BA9">
        <w:noBreakHyphen/>
      </w:r>
      <w:r>
        <w:t>related primary diagnosis</w:t>
      </w:r>
      <w:r w:rsidRPr="00014744">
        <w:t>. Hospital admissions of more than one day were considered a serious loss of quality of life and those of one day or less as a minor loss. This is consistent with the basis used by the Ministry of Transport to identify minor and serious injury in road crashes</w:t>
      </w:r>
      <w:r>
        <w:t>.</w:t>
      </w:r>
      <w:r w:rsidRPr="00014744">
        <w:t xml:space="preserve"> Costs associated with a serious loss of quality</w:t>
      </w:r>
      <w:r w:rsidRPr="00423BA4">
        <w:t xml:space="preserve"> of life were estimated at $</w:t>
      </w:r>
      <w:r>
        <w:t>454,100 per person</w:t>
      </w:r>
      <w:r w:rsidRPr="00423BA4">
        <w:t xml:space="preserve"> </w:t>
      </w:r>
      <w:r>
        <w:t xml:space="preserve">(admissions = 681) </w:t>
      </w:r>
      <w:r w:rsidRPr="00423BA4">
        <w:t>and for a minor loss at $</w:t>
      </w:r>
      <w:r>
        <w:t>18,4</w:t>
      </w:r>
      <w:r w:rsidRPr="00423BA4">
        <w:t xml:space="preserve">00 </w:t>
      </w:r>
      <w:r>
        <w:t>per person (admissions = 1,0</w:t>
      </w:r>
      <w:r w:rsidR="00B755BB">
        <w:t>37</w:t>
      </w:r>
      <w:r>
        <w:t>)</w:t>
      </w:r>
      <w:r w:rsidRPr="00423BA4">
        <w:t>.</w:t>
      </w:r>
      <w:r>
        <w:t xml:space="preserve"> These dollar figures include loss of output due to temporary incapacitation, calculated using average hourly earnings as a proxy.</w:t>
      </w:r>
      <w:r w:rsidRPr="00423BA4">
        <w:t xml:space="preserve"> </w:t>
      </w:r>
      <w:r w:rsidR="006C6BA9">
        <w:fldChar w:fldCharType="begin"/>
      </w:r>
      <w:r w:rsidR="006C6BA9">
        <w:instrText xml:space="preserve"> REF _Ref88222852 \h </w:instrText>
      </w:r>
      <w:r w:rsidR="006C6BA9">
        <w:fldChar w:fldCharType="separate"/>
      </w:r>
      <w:r w:rsidR="006A55D7">
        <w:t>Table </w:t>
      </w:r>
      <w:r w:rsidR="006A55D7">
        <w:rPr>
          <w:noProof/>
        </w:rPr>
        <w:t>3</w:t>
      </w:r>
      <w:r w:rsidR="006C6BA9">
        <w:fldChar w:fldCharType="end"/>
      </w:r>
      <w:r w:rsidRPr="00423BA4">
        <w:t xml:space="preserve"> has details</w:t>
      </w:r>
      <w:r>
        <w:t xml:space="preserve"> with the total cost </w:t>
      </w:r>
      <w:r w:rsidRPr="00423BA4">
        <w:t xml:space="preserve">of loss of quality of life </w:t>
      </w:r>
      <w:r>
        <w:t>at</w:t>
      </w:r>
      <w:r w:rsidRPr="00423BA4">
        <w:t xml:space="preserve"> $</w:t>
      </w:r>
      <w:r>
        <w:t>328.</w:t>
      </w:r>
      <w:r w:rsidR="00570DA7">
        <w:t>3</w:t>
      </w:r>
      <w:r w:rsidRPr="00423BA4">
        <w:t xml:space="preserve"> million</w:t>
      </w:r>
      <w:r w:rsidR="004F5ED3">
        <w:rPr>
          <w:rStyle w:val="FootnoteReference"/>
        </w:rPr>
        <w:footnoteReference w:id="7"/>
      </w:r>
      <w:r>
        <w:t xml:space="preserve"> with $30</w:t>
      </w:r>
      <w:r w:rsidR="00570DA7">
        <w:t>9.2</w:t>
      </w:r>
      <w:r w:rsidR="006C6BA9">
        <w:t> </w:t>
      </w:r>
      <w:r>
        <w:t>million</w:t>
      </w:r>
      <w:r w:rsidR="004F5ED3">
        <w:rPr>
          <w:rStyle w:val="FootnoteReference"/>
        </w:rPr>
        <w:footnoteReference w:id="8"/>
      </w:r>
      <w:r>
        <w:t xml:space="preserve"> relating to serious cases and $19.</w:t>
      </w:r>
      <w:r w:rsidR="00570DA7">
        <w:t>1</w:t>
      </w:r>
      <w:r>
        <w:t xml:space="preserve"> m</w:t>
      </w:r>
      <w:r w:rsidR="006C6BA9">
        <w:t>illion</w:t>
      </w:r>
      <w:r w:rsidR="004F5ED3">
        <w:rPr>
          <w:rStyle w:val="FootnoteReference"/>
        </w:rPr>
        <w:footnoteReference w:id="9"/>
      </w:r>
      <w:r w:rsidR="006C6BA9">
        <w:t xml:space="preserve"> relating to minor cases.</w:t>
      </w:r>
    </w:p>
    <w:p w14:paraId="0AAFA2FA" w14:textId="77777777" w:rsidR="006C6BA9" w:rsidRDefault="006C6BA9" w:rsidP="006C6BA9"/>
    <w:p w14:paraId="0F0C001A" w14:textId="77777777" w:rsidR="00F7377D" w:rsidRDefault="00F7377D" w:rsidP="00193744">
      <w:r>
        <w:t>Note that minor rounding errors will occur, largely because hospital admissions could be attributed to multiple factors, including alcohol and other illicit drugs. Multiple cause admissions were distributed equally over known factors to avoid double-counting. It should also be noted that in some cases cannabis (</w:t>
      </w:r>
      <w:r w:rsidR="00461CB5">
        <w:t>‘</w:t>
      </w:r>
      <w:r>
        <w:t>cannabinoid</w:t>
      </w:r>
      <w:r w:rsidR="00461CB5">
        <w:t>’</w:t>
      </w:r>
      <w:r>
        <w:t xml:space="preserve"> in the data) related hospital admissions are unable to be differentiated from synthetic cannabinoid related admissions, skewing the cost figures somewhat.</w:t>
      </w:r>
    </w:p>
    <w:p w14:paraId="5A6CB086" w14:textId="77777777" w:rsidR="006C6BA9" w:rsidRDefault="006C6BA9" w:rsidP="006C6BA9"/>
    <w:p w14:paraId="16BCDEAC" w14:textId="77777777" w:rsidR="00F7377D" w:rsidRDefault="00F7377D" w:rsidP="006C6BA9">
      <w:r>
        <w:t>Using hospital admissions to measure loss of quality of life almost certainly underestimates the cost of drug harm. This data is unlikely to include people with life</w:t>
      </w:r>
      <w:r w:rsidR="006C6BA9">
        <w:noBreakHyphen/>
      </w:r>
      <w:r>
        <w:t>long drug issues never visit hospital, some long-term and chronic impacts, as well as wider harms experienced such as job loss, accommodation</w:t>
      </w:r>
      <w:r w:rsidR="006C6BA9">
        <w:t xml:space="preserve"> loss and mental health issues.</w:t>
      </w:r>
    </w:p>
    <w:p w14:paraId="66B725BA" w14:textId="77777777" w:rsidR="006C6BA9" w:rsidRDefault="006C6BA9" w:rsidP="006C6BA9"/>
    <w:p w14:paraId="1B2F4815" w14:textId="7F283997" w:rsidR="00F7377D" w:rsidRPr="0061170F" w:rsidRDefault="006C6BA9" w:rsidP="006C6BA9">
      <w:pPr>
        <w:pStyle w:val="Table"/>
        <w:rPr>
          <w:lang w:eastAsia="en-AU"/>
        </w:rPr>
      </w:pPr>
      <w:bookmarkStart w:id="21" w:name="_Ref88222852"/>
      <w:bookmarkStart w:id="22" w:name="_Toc444941847"/>
      <w:bookmarkStart w:id="23" w:name="_Toc95476483"/>
      <w:r>
        <w:t>Table </w:t>
      </w:r>
      <w:fldSimple w:instr=" SEQ Table \* ARABIC ">
        <w:r w:rsidR="006A55D7">
          <w:rPr>
            <w:noProof/>
          </w:rPr>
          <w:t>3</w:t>
        </w:r>
      </w:fldSimple>
      <w:bookmarkEnd w:id="21"/>
      <w:r w:rsidR="00C6085E">
        <w:rPr>
          <w:noProof/>
        </w:rPr>
        <w:t>.</w:t>
      </w:r>
      <w:r w:rsidR="00F7377D" w:rsidRPr="0061170F">
        <w:rPr>
          <w:lang w:eastAsia="en-AU"/>
        </w:rPr>
        <w:t xml:space="preserve"> Personal harms by drug </w:t>
      </w:r>
      <w:bookmarkEnd w:id="22"/>
      <w:r w:rsidR="00F7377D">
        <w:rPr>
          <w:lang w:eastAsia="en-AU"/>
        </w:rPr>
        <w:t>type ($ million)</w:t>
      </w:r>
      <w:r w:rsidR="004F5ED3">
        <w:rPr>
          <w:rStyle w:val="FootnoteReference"/>
          <w:lang w:eastAsia="en-AU"/>
        </w:rPr>
        <w:footnoteReference w:id="10"/>
      </w:r>
      <w:bookmarkEnd w:id="23"/>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268"/>
        <w:gridCol w:w="1701"/>
        <w:gridCol w:w="1760"/>
        <w:gridCol w:w="1760"/>
        <w:gridCol w:w="1583"/>
      </w:tblGrid>
      <w:tr w:rsidR="006C6BA9" w:rsidRPr="00242FF3" w14:paraId="13FF3D0E" w14:textId="77777777" w:rsidTr="00EF2925">
        <w:trPr>
          <w:cantSplit/>
        </w:trPr>
        <w:tc>
          <w:tcPr>
            <w:tcW w:w="2268" w:type="dxa"/>
            <w:vMerge w:val="restart"/>
            <w:shd w:val="clear" w:color="auto" w:fill="auto"/>
            <w:noWrap/>
          </w:tcPr>
          <w:p w14:paraId="7FED1C9A" w14:textId="77777777" w:rsidR="006C6BA9" w:rsidRPr="00461CB5" w:rsidRDefault="006C6BA9" w:rsidP="005C3119">
            <w:pPr>
              <w:pStyle w:val="TableText"/>
              <w:rPr>
                <w:lang w:eastAsia="en-AU"/>
              </w:rPr>
            </w:pPr>
            <w:r w:rsidRPr="00461CB5">
              <w:rPr>
                <w:rFonts w:cstheme="minorHAnsi"/>
                <w:b/>
                <w:bCs/>
                <w:lang w:eastAsia="en-AU"/>
              </w:rPr>
              <w:t>Drug type</w:t>
            </w:r>
          </w:p>
        </w:tc>
        <w:tc>
          <w:tcPr>
            <w:tcW w:w="1701" w:type="dxa"/>
            <w:vMerge w:val="restart"/>
            <w:shd w:val="clear" w:color="auto" w:fill="auto"/>
          </w:tcPr>
          <w:p w14:paraId="466F2B05" w14:textId="77777777" w:rsidR="006C6BA9" w:rsidRPr="00461CB5" w:rsidRDefault="006C6BA9" w:rsidP="006C6BA9">
            <w:pPr>
              <w:pStyle w:val="TableText"/>
              <w:jc w:val="center"/>
              <w:rPr>
                <w:rFonts w:ascii="Calibri" w:hAnsi="Calibri" w:cs="Calibri"/>
                <w:b/>
                <w:lang w:eastAsia="en-AU"/>
              </w:rPr>
            </w:pPr>
            <w:r w:rsidRPr="00461CB5">
              <w:rPr>
                <w:b/>
                <w:lang w:eastAsia="en-AU"/>
              </w:rPr>
              <w:t>Premature death</w:t>
            </w:r>
          </w:p>
        </w:tc>
        <w:tc>
          <w:tcPr>
            <w:tcW w:w="3520" w:type="dxa"/>
            <w:gridSpan w:val="2"/>
            <w:tcBorders>
              <w:bottom w:val="nil"/>
            </w:tcBorders>
            <w:shd w:val="clear" w:color="auto" w:fill="auto"/>
          </w:tcPr>
          <w:p w14:paraId="31D22806" w14:textId="77777777" w:rsidR="006C6BA9" w:rsidRPr="00461CB5" w:rsidRDefault="006C6BA9" w:rsidP="005C3119">
            <w:pPr>
              <w:pStyle w:val="TableText"/>
              <w:spacing w:after="0"/>
              <w:jc w:val="center"/>
              <w:rPr>
                <w:b/>
                <w:lang w:eastAsia="en-AU"/>
              </w:rPr>
            </w:pPr>
            <w:r w:rsidRPr="00461CB5">
              <w:rPr>
                <w:b/>
                <w:lang w:eastAsia="en-AU"/>
              </w:rPr>
              <w:t>Quality of life</w:t>
            </w:r>
          </w:p>
        </w:tc>
        <w:tc>
          <w:tcPr>
            <w:tcW w:w="1583" w:type="dxa"/>
            <w:vMerge w:val="restart"/>
            <w:shd w:val="clear" w:color="auto" w:fill="auto"/>
          </w:tcPr>
          <w:p w14:paraId="66563369" w14:textId="77777777" w:rsidR="006C6BA9" w:rsidRPr="00461CB5" w:rsidRDefault="006C6BA9" w:rsidP="005C3119">
            <w:pPr>
              <w:pStyle w:val="TableText"/>
              <w:jc w:val="center"/>
              <w:rPr>
                <w:rFonts w:ascii="Calibri" w:hAnsi="Calibri" w:cs="Calibri"/>
                <w:b/>
                <w:lang w:eastAsia="en-AU"/>
              </w:rPr>
            </w:pPr>
            <w:r w:rsidRPr="00461CB5">
              <w:rPr>
                <w:b/>
                <w:lang w:eastAsia="en-AU"/>
              </w:rPr>
              <w:t>Total</w:t>
            </w:r>
            <w:r w:rsidR="005C3119">
              <w:rPr>
                <w:b/>
                <w:lang w:eastAsia="en-AU"/>
              </w:rPr>
              <w:t xml:space="preserve"> </w:t>
            </w:r>
            <w:r w:rsidRPr="00461CB5">
              <w:rPr>
                <w:b/>
                <w:lang w:eastAsia="en-AU"/>
              </w:rPr>
              <w:t>harm</w:t>
            </w:r>
          </w:p>
        </w:tc>
      </w:tr>
      <w:tr w:rsidR="006C6BA9" w:rsidRPr="00242FF3" w14:paraId="0CE6DEF7" w14:textId="77777777" w:rsidTr="00EF2925">
        <w:trPr>
          <w:cantSplit/>
        </w:trPr>
        <w:tc>
          <w:tcPr>
            <w:tcW w:w="2268" w:type="dxa"/>
            <w:vMerge/>
            <w:shd w:val="clear" w:color="auto" w:fill="auto"/>
            <w:noWrap/>
            <w:hideMark/>
          </w:tcPr>
          <w:p w14:paraId="41D609DE" w14:textId="77777777" w:rsidR="006C6BA9" w:rsidRPr="00461CB5" w:rsidRDefault="006C6BA9" w:rsidP="005C3119">
            <w:pPr>
              <w:pStyle w:val="TableText"/>
              <w:rPr>
                <w:rFonts w:cstheme="minorHAnsi"/>
                <w:b/>
                <w:bCs/>
                <w:lang w:eastAsia="en-AU"/>
              </w:rPr>
            </w:pPr>
          </w:p>
        </w:tc>
        <w:tc>
          <w:tcPr>
            <w:tcW w:w="1701" w:type="dxa"/>
            <w:vMerge/>
            <w:shd w:val="clear" w:color="auto" w:fill="auto"/>
            <w:hideMark/>
          </w:tcPr>
          <w:p w14:paraId="4B4563F0" w14:textId="77777777" w:rsidR="006C6BA9" w:rsidRPr="00461CB5" w:rsidRDefault="006C6BA9" w:rsidP="006C6BA9">
            <w:pPr>
              <w:pStyle w:val="TableText"/>
              <w:rPr>
                <w:rFonts w:cstheme="minorHAnsi"/>
                <w:b/>
                <w:bCs/>
                <w:lang w:eastAsia="en-AU"/>
              </w:rPr>
            </w:pPr>
          </w:p>
        </w:tc>
        <w:tc>
          <w:tcPr>
            <w:tcW w:w="1760" w:type="dxa"/>
            <w:tcBorders>
              <w:top w:val="nil"/>
              <w:right w:val="nil"/>
            </w:tcBorders>
            <w:shd w:val="clear" w:color="auto" w:fill="auto"/>
            <w:hideMark/>
          </w:tcPr>
          <w:p w14:paraId="4017C34E" w14:textId="77777777" w:rsidR="006C6BA9" w:rsidRPr="00461CB5" w:rsidRDefault="006C6BA9" w:rsidP="00B97B17">
            <w:pPr>
              <w:pStyle w:val="TableText"/>
              <w:spacing w:before="0"/>
              <w:jc w:val="center"/>
              <w:rPr>
                <w:b/>
                <w:lang w:eastAsia="en-AU"/>
              </w:rPr>
            </w:pPr>
            <w:r w:rsidRPr="00461CB5">
              <w:rPr>
                <w:b/>
                <w:lang w:eastAsia="en-AU"/>
              </w:rPr>
              <w:t>Serious injury</w:t>
            </w:r>
          </w:p>
        </w:tc>
        <w:tc>
          <w:tcPr>
            <w:tcW w:w="1760" w:type="dxa"/>
            <w:tcBorders>
              <w:top w:val="nil"/>
              <w:left w:val="nil"/>
            </w:tcBorders>
            <w:shd w:val="clear" w:color="auto" w:fill="auto"/>
            <w:hideMark/>
          </w:tcPr>
          <w:p w14:paraId="6AAC6E5C" w14:textId="77777777" w:rsidR="006C6BA9" w:rsidRPr="00461CB5" w:rsidRDefault="006C6BA9" w:rsidP="00B97B17">
            <w:pPr>
              <w:pStyle w:val="TableText"/>
              <w:spacing w:before="0"/>
              <w:jc w:val="center"/>
              <w:rPr>
                <w:b/>
                <w:lang w:eastAsia="en-AU"/>
              </w:rPr>
            </w:pPr>
            <w:r w:rsidRPr="00461CB5">
              <w:rPr>
                <w:b/>
                <w:lang w:eastAsia="en-AU"/>
              </w:rPr>
              <w:t>Minor injury</w:t>
            </w:r>
          </w:p>
        </w:tc>
        <w:tc>
          <w:tcPr>
            <w:tcW w:w="1583" w:type="dxa"/>
            <w:vMerge/>
            <w:shd w:val="clear" w:color="auto" w:fill="auto"/>
            <w:hideMark/>
          </w:tcPr>
          <w:p w14:paraId="7412B641" w14:textId="77777777" w:rsidR="006C6BA9" w:rsidRPr="00461CB5" w:rsidRDefault="006C6BA9" w:rsidP="006C6BA9">
            <w:pPr>
              <w:pStyle w:val="TableText"/>
              <w:rPr>
                <w:rFonts w:cstheme="minorHAnsi"/>
                <w:b/>
                <w:bCs/>
                <w:lang w:eastAsia="en-AU"/>
              </w:rPr>
            </w:pPr>
          </w:p>
        </w:tc>
      </w:tr>
      <w:tr w:rsidR="00EF2925" w:rsidRPr="00242FF3" w14:paraId="3A5B190D" w14:textId="77777777" w:rsidTr="00EF2925">
        <w:trPr>
          <w:cantSplit/>
        </w:trPr>
        <w:tc>
          <w:tcPr>
            <w:tcW w:w="2268" w:type="dxa"/>
            <w:tcBorders>
              <w:bottom w:val="nil"/>
            </w:tcBorders>
            <w:shd w:val="clear" w:color="auto" w:fill="auto"/>
            <w:noWrap/>
            <w:hideMark/>
          </w:tcPr>
          <w:p w14:paraId="10046D3E" w14:textId="77777777" w:rsidR="00EF2925" w:rsidRPr="005C3119" w:rsidRDefault="00EF2925" w:rsidP="00EF2925">
            <w:pPr>
              <w:pStyle w:val="TableText"/>
              <w:rPr>
                <w:i/>
                <w:lang w:eastAsia="en-AU"/>
              </w:rPr>
            </w:pPr>
            <w:r w:rsidRPr="005C3119">
              <w:rPr>
                <w:i/>
                <w:lang w:eastAsia="en-AU"/>
              </w:rPr>
              <w:t>Methamphetamine</w:t>
            </w:r>
          </w:p>
        </w:tc>
        <w:tc>
          <w:tcPr>
            <w:tcW w:w="1701" w:type="dxa"/>
            <w:tcBorders>
              <w:bottom w:val="nil"/>
            </w:tcBorders>
            <w:shd w:val="clear" w:color="auto" w:fill="auto"/>
            <w:noWrap/>
            <w:hideMark/>
          </w:tcPr>
          <w:p w14:paraId="14DFB041" w14:textId="7C670A54" w:rsidR="00EF2925" w:rsidRPr="00461CB5" w:rsidRDefault="00EF2925" w:rsidP="00EF2925">
            <w:pPr>
              <w:pStyle w:val="TableText"/>
              <w:tabs>
                <w:tab w:val="decimal" w:pos="822"/>
              </w:tabs>
              <w:rPr>
                <w:lang w:eastAsia="en-AU"/>
              </w:rPr>
            </w:pPr>
            <w:r w:rsidRPr="00605E14">
              <w:t>244.85</w:t>
            </w:r>
          </w:p>
        </w:tc>
        <w:tc>
          <w:tcPr>
            <w:tcW w:w="1760" w:type="dxa"/>
            <w:tcBorders>
              <w:bottom w:val="nil"/>
              <w:right w:val="nil"/>
            </w:tcBorders>
            <w:shd w:val="clear" w:color="auto" w:fill="auto"/>
            <w:noWrap/>
            <w:hideMark/>
          </w:tcPr>
          <w:p w14:paraId="64796116" w14:textId="706EB641" w:rsidR="00EF2925" w:rsidRPr="00461CB5" w:rsidRDefault="00EF2925" w:rsidP="00EF2925">
            <w:pPr>
              <w:pStyle w:val="TableText"/>
              <w:tabs>
                <w:tab w:val="decimal" w:pos="794"/>
              </w:tabs>
              <w:rPr>
                <w:lang w:eastAsia="en-AU"/>
              </w:rPr>
            </w:pPr>
            <w:r w:rsidRPr="00CB5AA2">
              <w:t>151.57</w:t>
            </w:r>
          </w:p>
        </w:tc>
        <w:tc>
          <w:tcPr>
            <w:tcW w:w="1760" w:type="dxa"/>
            <w:tcBorders>
              <w:left w:val="nil"/>
              <w:bottom w:val="nil"/>
            </w:tcBorders>
            <w:shd w:val="clear" w:color="auto" w:fill="auto"/>
            <w:noWrap/>
            <w:hideMark/>
          </w:tcPr>
          <w:p w14:paraId="1F8E8108" w14:textId="02348338" w:rsidR="00EF2925" w:rsidRPr="00461CB5" w:rsidRDefault="00EF2925" w:rsidP="00EF2925">
            <w:pPr>
              <w:pStyle w:val="TableText"/>
              <w:tabs>
                <w:tab w:val="decimal" w:pos="794"/>
              </w:tabs>
              <w:rPr>
                <w:lang w:eastAsia="en-AU"/>
              </w:rPr>
            </w:pPr>
            <w:r w:rsidRPr="00A229F0">
              <w:t>8.10</w:t>
            </w:r>
          </w:p>
        </w:tc>
        <w:tc>
          <w:tcPr>
            <w:tcW w:w="1583" w:type="dxa"/>
            <w:tcBorders>
              <w:bottom w:val="nil"/>
            </w:tcBorders>
            <w:shd w:val="clear" w:color="auto" w:fill="auto"/>
            <w:noWrap/>
            <w:hideMark/>
          </w:tcPr>
          <w:p w14:paraId="38F8C2EF" w14:textId="23A66A75" w:rsidR="00EF2925" w:rsidRPr="00461CB5" w:rsidRDefault="00EF2925" w:rsidP="00EF2925">
            <w:pPr>
              <w:pStyle w:val="TableText"/>
              <w:tabs>
                <w:tab w:val="decimal" w:pos="762"/>
              </w:tabs>
              <w:rPr>
                <w:lang w:eastAsia="en-AU"/>
              </w:rPr>
            </w:pPr>
            <w:r w:rsidRPr="00AA4AB4">
              <w:t>404.52</w:t>
            </w:r>
          </w:p>
        </w:tc>
      </w:tr>
      <w:tr w:rsidR="00EF2925" w:rsidRPr="00242FF3" w14:paraId="6B4564E7" w14:textId="77777777" w:rsidTr="00EF2925">
        <w:trPr>
          <w:cantSplit/>
        </w:trPr>
        <w:tc>
          <w:tcPr>
            <w:tcW w:w="2268" w:type="dxa"/>
            <w:tcBorders>
              <w:top w:val="nil"/>
              <w:bottom w:val="nil"/>
            </w:tcBorders>
            <w:shd w:val="clear" w:color="auto" w:fill="auto"/>
            <w:noWrap/>
            <w:hideMark/>
          </w:tcPr>
          <w:p w14:paraId="53DCD379" w14:textId="77777777" w:rsidR="00EF2925" w:rsidRPr="005C3119" w:rsidRDefault="00EF2925" w:rsidP="00EF2925">
            <w:pPr>
              <w:pStyle w:val="TableText"/>
              <w:rPr>
                <w:i/>
                <w:lang w:eastAsia="en-AU"/>
              </w:rPr>
            </w:pPr>
            <w:r w:rsidRPr="005C3119">
              <w:rPr>
                <w:i/>
                <w:lang w:eastAsia="en-AU"/>
              </w:rPr>
              <w:t>Cocaine</w:t>
            </w:r>
          </w:p>
        </w:tc>
        <w:tc>
          <w:tcPr>
            <w:tcW w:w="1701" w:type="dxa"/>
            <w:tcBorders>
              <w:top w:val="nil"/>
              <w:bottom w:val="nil"/>
            </w:tcBorders>
            <w:shd w:val="clear" w:color="auto" w:fill="auto"/>
            <w:noWrap/>
            <w:hideMark/>
          </w:tcPr>
          <w:p w14:paraId="59A9BB4C" w14:textId="76680C59" w:rsidR="00EF2925" w:rsidRPr="00461CB5" w:rsidRDefault="00EF2925" w:rsidP="00EF2925">
            <w:pPr>
              <w:pStyle w:val="TableText"/>
              <w:tabs>
                <w:tab w:val="decimal" w:pos="822"/>
              </w:tabs>
              <w:rPr>
                <w:lang w:eastAsia="en-AU"/>
              </w:rPr>
            </w:pPr>
            <w:r w:rsidRPr="00605E14">
              <w:t>4.53</w:t>
            </w:r>
          </w:p>
        </w:tc>
        <w:tc>
          <w:tcPr>
            <w:tcW w:w="1760" w:type="dxa"/>
            <w:tcBorders>
              <w:top w:val="nil"/>
              <w:bottom w:val="nil"/>
              <w:right w:val="nil"/>
            </w:tcBorders>
            <w:shd w:val="clear" w:color="auto" w:fill="auto"/>
            <w:noWrap/>
            <w:hideMark/>
          </w:tcPr>
          <w:p w14:paraId="5F83337D" w14:textId="1F6BB6D0" w:rsidR="00EF2925" w:rsidRPr="00461CB5" w:rsidRDefault="00EF2925" w:rsidP="00EF2925">
            <w:pPr>
              <w:pStyle w:val="TableText"/>
              <w:tabs>
                <w:tab w:val="decimal" w:pos="794"/>
              </w:tabs>
              <w:rPr>
                <w:lang w:eastAsia="en-AU"/>
              </w:rPr>
            </w:pPr>
            <w:r w:rsidRPr="00CB5AA2">
              <w:t>1.58</w:t>
            </w:r>
          </w:p>
        </w:tc>
        <w:tc>
          <w:tcPr>
            <w:tcW w:w="1760" w:type="dxa"/>
            <w:tcBorders>
              <w:top w:val="nil"/>
              <w:left w:val="nil"/>
              <w:bottom w:val="nil"/>
            </w:tcBorders>
            <w:shd w:val="clear" w:color="auto" w:fill="auto"/>
            <w:noWrap/>
            <w:hideMark/>
          </w:tcPr>
          <w:p w14:paraId="475B3D4B" w14:textId="50653DA2" w:rsidR="00EF2925" w:rsidRPr="00461CB5" w:rsidRDefault="00EF2925" w:rsidP="00EF2925">
            <w:pPr>
              <w:pStyle w:val="TableText"/>
              <w:tabs>
                <w:tab w:val="decimal" w:pos="794"/>
              </w:tabs>
              <w:rPr>
                <w:lang w:eastAsia="en-AU"/>
              </w:rPr>
            </w:pPr>
            <w:r w:rsidRPr="00A229F0">
              <w:t>0.33</w:t>
            </w:r>
          </w:p>
        </w:tc>
        <w:tc>
          <w:tcPr>
            <w:tcW w:w="1583" w:type="dxa"/>
            <w:tcBorders>
              <w:top w:val="nil"/>
              <w:bottom w:val="nil"/>
            </w:tcBorders>
            <w:shd w:val="clear" w:color="auto" w:fill="auto"/>
            <w:noWrap/>
            <w:hideMark/>
          </w:tcPr>
          <w:p w14:paraId="124B3BE4" w14:textId="67221B12" w:rsidR="00EF2925" w:rsidRPr="00461CB5" w:rsidRDefault="00EF2925" w:rsidP="00EF2925">
            <w:pPr>
              <w:pStyle w:val="TableText"/>
              <w:tabs>
                <w:tab w:val="decimal" w:pos="762"/>
              </w:tabs>
              <w:rPr>
                <w:lang w:eastAsia="en-AU"/>
              </w:rPr>
            </w:pPr>
            <w:r w:rsidRPr="00AA4AB4">
              <w:t>6.44</w:t>
            </w:r>
          </w:p>
        </w:tc>
      </w:tr>
      <w:tr w:rsidR="00EF2925" w:rsidRPr="00242FF3" w14:paraId="3F16485A" w14:textId="77777777" w:rsidTr="00EF2925">
        <w:trPr>
          <w:cantSplit/>
        </w:trPr>
        <w:tc>
          <w:tcPr>
            <w:tcW w:w="2268" w:type="dxa"/>
            <w:tcBorders>
              <w:top w:val="nil"/>
              <w:bottom w:val="nil"/>
            </w:tcBorders>
            <w:shd w:val="clear" w:color="auto" w:fill="auto"/>
            <w:noWrap/>
            <w:hideMark/>
          </w:tcPr>
          <w:p w14:paraId="603CF245" w14:textId="77777777" w:rsidR="00EF2925" w:rsidRPr="005C3119" w:rsidRDefault="00EF2925" w:rsidP="00EF2925">
            <w:pPr>
              <w:pStyle w:val="TableText"/>
              <w:rPr>
                <w:i/>
                <w:lang w:eastAsia="en-AU"/>
              </w:rPr>
            </w:pPr>
            <w:r w:rsidRPr="005C3119">
              <w:rPr>
                <w:i/>
                <w:lang w:eastAsia="en-AU"/>
              </w:rPr>
              <w:t>MDMA</w:t>
            </w:r>
          </w:p>
        </w:tc>
        <w:tc>
          <w:tcPr>
            <w:tcW w:w="1701" w:type="dxa"/>
            <w:tcBorders>
              <w:top w:val="nil"/>
              <w:bottom w:val="nil"/>
            </w:tcBorders>
            <w:shd w:val="clear" w:color="auto" w:fill="auto"/>
            <w:noWrap/>
            <w:hideMark/>
          </w:tcPr>
          <w:p w14:paraId="1D2720C1" w14:textId="167D40B1" w:rsidR="00EF2925" w:rsidRPr="00461CB5" w:rsidRDefault="00EF2925" w:rsidP="00EF2925">
            <w:pPr>
              <w:pStyle w:val="TableText"/>
              <w:tabs>
                <w:tab w:val="decimal" w:pos="822"/>
              </w:tabs>
              <w:rPr>
                <w:lang w:eastAsia="en-AU"/>
              </w:rPr>
            </w:pPr>
            <w:r w:rsidRPr="00605E14">
              <w:t>15.85</w:t>
            </w:r>
          </w:p>
        </w:tc>
        <w:tc>
          <w:tcPr>
            <w:tcW w:w="1760" w:type="dxa"/>
            <w:tcBorders>
              <w:top w:val="nil"/>
              <w:bottom w:val="nil"/>
              <w:right w:val="nil"/>
            </w:tcBorders>
            <w:shd w:val="clear" w:color="auto" w:fill="auto"/>
            <w:noWrap/>
            <w:hideMark/>
          </w:tcPr>
          <w:p w14:paraId="01203DDF" w14:textId="7B863215" w:rsidR="00EF2925" w:rsidRPr="00461CB5" w:rsidRDefault="00EF2925" w:rsidP="00EF2925">
            <w:pPr>
              <w:pStyle w:val="TableText"/>
              <w:tabs>
                <w:tab w:val="decimal" w:pos="794"/>
              </w:tabs>
              <w:rPr>
                <w:lang w:eastAsia="en-AU"/>
              </w:rPr>
            </w:pPr>
            <w:r w:rsidRPr="00CB5AA2">
              <w:t>5.37</w:t>
            </w:r>
          </w:p>
        </w:tc>
        <w:tc>
          <w:tcPr>
            <w:tcW w:w="1760" w:type="dxa"/>
            <w:tcBorders>
              <w:top w:val="nil"/>
              <w:left w:val="nil"/>
              <w:bottom w:val="nil"/>
            </w:tcBorders>
            <w:shd w:val="clear" w:color="auto" w:fill="auto"/>
            <w:noWrap/>
            <w:hideMark/>
          </w:tcPr>
          <w:p w14:paraId="4CF23880" w14:textId="5EACD1A6" w:rsidR="00EF2925" w:rsidRPr="00461CB5" w:rsidRDefault="00EF2925" w:rsidP="00EF2925">
            <w:pPr>
              <w:pStyle w:val="TableText"/>
              <w:tabs>
                <w:tab w:val="decimal" w:pos="794"/>
              </w:tabs>
              <w:rPr>
                <w:lang w:eastAsia="en-AU"/>
              </w:rPr>
            </w:pPr>
            <w:r w:rsidRPr="00A229F0">
              <w:t>2.32</w:t>
            </w:r>
          </w:p>
        </w:tc>
        <w:tc>
          <w:tcPr>
            <w:tcW w:w="1583" w:type="dxa"/>
            <w:tcBorders>
              <w:top w:val="nil"/>
              <w:bottom w:val="nil"/>
            </w:tcBorders>
            <w:shd w:val="clear" w:color="auto" w:fill="auto"/>
            <w:noWrap/>
            <w:hideMark/>
          </w:tcPr>
          <w:p w14:paraId="036E71F4" w14:textId="0E1F48CE" w:rsidR="00EF2925" w:rsidRPr="00461CB5" w:rsidRDefault="00EF2925" w:rsidP="00EF2925">
            <w:pPr>
              <w:pStyle w:val="TableText"/>
              <w:tabs>
                <w:tab w:val="decimal" w:pos="762"/>
              </w:tabs>
              <w:rPr>
                <w:lang w:eastAsia="en-AU"/>
              </w:rPr>
            </w:pPr>
            <w:r w:rsidRPr="00AA4AB4">
              <w:t>23.53</w:t>
            </w:r>
          </w:p>
        </w:tc>
      </w:tr>
      <w:tr w:rsidR="00EF2925" w:rsidRPr="00242FF3" w14:paraId="4303821B" w14:textId="77777777" w:rsidTr="00EF2925">
        <w:trPr>
          <w:cantSplit/>
        </w:trPr>
        <w:tc>
          <w:tcPr>
            <w:tcW w:w="2268" w:type="dxa"/>
            <w:tcBorders>
              <w:top w:val="nil"/>
              <w:bottom w:val="nil"/>
            </w:tcBorders>
            <w:shd w:val="clear" w:color="auto" w:fill="auto"/>
            <w:noWrap/>
            <w:hideMark/>
          </w:tcPr>
          <w:p w14:paraId="54E26CB3" w14:textId="77777777" w:rsidR="00EF2925" w:rsidRPr="005C3119" w:rsidRDefault="00EF2925" w:rsidP="00EF2925">
            <w:pPr>
              <w:pStyle w:val="TableText"/>
              <w:rPr>
                <w:i/>
                <w:lang w:eastAsia="en-AU"/>
              </w:rPr>
            </w:pPr>
            <w:r w:rsidRPr="005C3119">
              <w:rPr>
                <w:i/>
                <w:lang w:eastAsia="en-AU"/>
              </w:rPr>
              <w:t>Heroin</w:t>
            </w:r>
          </w:p>
        </w:tc>
        <w:tc>
          <w:tcPr>
            <w:tcW w:w="1701" w:type="dxa"/>
            <w:tcBorders>
              <w:top w:val="nil"/>
              <w:bottom w:val="nil"/>
            </w:tcBorders>
            <w:shd w:val="clear" w:color="auto" w:fill="auto"/>
            <w:noWrap/>
            <w:hideMark/>
          </w:tcPr>
          <w:p w14:paraId="0D70FE39" w14:textId="2E771670" w:rsidR="00EF2925" w:rsidRPr="00461CB5" w:rsidRDefault="00EF2925" w:rsidP="00EF2925">
            <w:pPr>
              <w:pStyle w:val="TableText"/>
              <w:tabs>
                <w:tab w:val="decimal" w:pos="822"/>
              </w:tabs>
              <w:rPr>
                <w:lang w:eastAsia="en-AU"/>
              </w:rPr>
            </w:pPr>
            <w:r w:rsidRPr="00605E14">
              <w:t>18.11</w:t>
            </w:r>
          </w:p>
        </w:tc>
        <w:tc>
          <w:tcPr>
            <w:tcW w:w="1760" w:type="dxa"/>
            <w:tcBorders>
              <w:top w:val="nil"/>
              <w:bottom w:val="nil"/>
              <w:right w:val="nil"/>
            </w:tcBorders>
            <w:shd w:val="clear" w:color="auto" w:fill="auto"/>
            <w:noWrap/>
            <w:hideMark/>
          </w:tcPr>
          <w:p w14:paraId="42D59976" w14:textId="306582EF" w:rsidR="00EF2925" w:rsidRPr="00461CB5" w:rsidRDefault="00EF2925" w:rsidP="00EF2925">
            <w:pPr>
              <w:pStyle w:val="TableText"/>
              <w:tabs>
                <w:tab w:val="decimal" w:pos="794"/>
              </w:tabs>
              <w:rPr>
                <w:lang w:eastAsia="en-AU"/>
              </w:rPr>
            </w:pPr>
            <w:r w:rsidRPr="00CB5AA2">
              <w:t>0.00</w:t>
            </w:r>
          </w:p>
        </w:tc>
        <w:tc>
          <w:tcPr>
            <w:tcW w:w="1760" w:type="dxa"/>
            <w:tcBorders>
              <w:top w:val="nil"/>
              <w:left w:val="nil"/>
              <w:bottom w:val="nil"/>
            </w:tcBorders>
            <w:shd w:val="clear" w:color="auto" w:fill="auto"/>
            <w:noWrap/>
            <w:hideMark/>
          </w:tcPr>
          <w:p w14:paraId="176D2C05" w14:textId="6C62E7FB" w:rsidR="00EF2925" w:rsidRPr="00461CB5" w:rsidRDefault="00EF2925" w:rsidP="00EF2925">
            <w:pPr>
              <w:pStyle w:val="TableText"/>
              <w:tabs>
                <w:tab w:val="decimal" w:pos="794"/>
              </w:tabs>
              <w:rPr>
                <w:lang w:eastAsia="en-AU"/>
              </w:rPr>
            </w:pPr>
            <w:r w:rsidRPr="00A229F0">
              <w:t>0.05</w:t>
            </w:r>
          </w:p>
        </w:tc>
        <w:tc>
          <w:tcPr>
            <w:tcW w:w="1583" w:type="dxa"/>
            <w:tcBorders>
              <w:top w:val="nil"/>
              <w:bottom w:val="nil"/>
            </w:tcBorders>
            <w:shd w:val="clear" w:color="auto" w:fill="auto"/>
            <w:noWrap/>
            <w:hideMark/>
          </w:tcPr>
          <w:p w14:paraId="523E81B9" w14:textId="5B1F0067" w:rsidR="00EF2925" w:rsidRPr="00461CB5" w:rsidRDefault="00EF2925" w:rsidP="00EF2925">
            <w:pPr>
              <w:pStyle w:val="TableText"/>
              <w:tabs>
                <w:tab w:val="decimal" w:pos="762"/>
              </w:tabs>
              <w:rPr>
                <w:lang w:eastAsia="en-AU"/>
              </w:rPr>
            </w:pPr>
            <w:r w:rsidRPr="00AA4AB4">
              <w:t>18.16</w:t>
            </w:r>
          </w:p>
        </w:tc>
      </w:tr>
      <w:tr w:rsidR="00EF2925" w:rsidRPr="00242FF3" w14:paraId="2D903F0C" w14:textId="77777777" w:rsidTr="00EF2925">
        <w:trPr>
          <w:cantSplit/>
        </w:trPr>
        <w:tc>
          <w:tcPr>
            <w:tcW w:w="2268" w:type="dxa"/>
            <w:tcBorders>
              <w:top w:val="nil"/>
              <w:bottom w:val="nil"/>
            </w:tcBorders>
            <w:shd w:val="clear" w:color="auto" w:fill="auto"/>
            <w:noWrap/>
          </w:tcPr>
          <w:p w14:paraId="78A30EDC" w14:textId="77777777" w:rsidR="00EF2925" w:rsidRPr="005C3119" w:rsidRDefault="00EF2925" w:rsidP="00EF2925">
            <w:pPr>
              <w:pStyle w:val="TableText"/>
              <w:rPr>
                <w:i/>
                <w:lang w:eastAsia="en-AU"/>
              </w:rPr>
            </w:pPr>
            <w:r w:rsidRPr="005C3119">
              <w:rPr>
                <w:i/>
                <w:lang w:eastAsia="en-AU"/>
              </w:rPr>
              <w:t>GHB/GBL</w:t>
            </w:r>
          </w:p>
        </w:tc>
        <w:tc>
          <w:tcPr>
            <w:tcW w:w="1701" w:type="dxa"/>
            <w:tcBorders>
              <w:top w:val="nil"/>
              <w:bottom w:val="nil"/>
            </w:tcBorders>
            <w:shd w:val="clear" w:color="auto" w:fill="auto"/>
            <w:noWrap/>
          </w:tcPr>
          <w:p w14:paraId="227E11F3" w14:textId="27B2BAA1" w:rsidR="00EF2925" w:rsidRPr="00CF6731" w:rsidRDefault="00EF2925" w:rsidP="00EF2925">
            <w:pPr>
              <w:pStyle w:val="TableText"/>
              <w:tabs>
                <w:tab w:val="decimal" w:pos="822"/>
              </w:tabs>
            </w:pPr>
            <w:r w:rsidRPr="00605E14">
              <w:t>0.00</w:t>
            </w:r>
          </w:p>
        </w:tc>
        <w:tc>
          <w:tcPr>
            <w:tcW w:w="1760" w:type="dxa"/>
            <w:tcBorders>
              <w:top w:val="nil"/>
              <w:bottom w:val="nil"/>
              <w:right w:val="nil"/>
            </w:tcBorders>
            <w:shd w:val="clear" w:color="auto" w:fill="auto"/>
            <w:noWrap/>
          </w:tcPr>
          <w:p w14:paraId="59834CDA" w14:textId="23E83D7E" w:rsidR="00EF2925" w:rsidRPr="00CF6731" w:rsidRDefault="00EF2925" w:rsidP="00EF2925">
            <w:pPr>
              <w:pStyle w:val="TableText"/>
              <w:tabs>
                <w:tab w:val="decimal" w:pos="794"/>
              </w:tabs>
            </w:pPr>
            <w:r w:rsidRPr="00CB5AA2">
              <w:t>0.83</w:t>
            </w:r>
          </w:p>
        </w:tc>
        <w:tc>
          <w:tcPr>
            <w:tcW w:w="1760" w:type="dxa"/>
            <w:tcBorders>
              <w:top w:val="nil"/>
              <w:left w:val="nil"/>
              <w:bottom w:val="nil"/>
            </w:tcBorders>
            <w:shd w:val="clear" w:color="auto" w:fill="auto"/>
            <w:noWrap/>
          </w:tcPr>
          <w:p w14:paraId="1D281C2B" w14:textId="764FB7AC" w:rsidR="00EF2925" w:rsidRPr="00CF6731" w:rsidRDefault="00EF2925" w:rsidP="00EF2925">
            <w:pPr>
              <w:pStyle w:val="TableText"/>
              <w:tabs>
                <w:tab w:val="decimal" w:pos="794"/>
              </w:tabs>
            </w:pPr>
            <w:r w:rsidRPr="00A229F0">
              <w:t>0.30</w:t>
            </w:r>
          </w:p>
        </w:tc>
        <w:tc>
          <w:tcPr>
            <w:tcW w:w="1583" w:type="dxa"/>
            <w:tcBorders>
              <w:top w:val="nil"/>
              <w:bottom w:val="nil"/>
            </w:tcBorders>
            <w:shd w:val="clear" w:color="auto" w:fill="auto"/>
            <w:noWrap/>
          </w:tcPr>
          <w:p w14:paraId="26CD5059" w14:textId="164DB1DB" w:rsidR="00EF2925" w:rsidRPr="00CF6731" w:rsidRDefault="00EF2925" w:rsidP="00EF2925">
            <w:pPr>
              <w:pStyle w:val="TableText"/>
              <w:tabs>
                <w:tab w:val="decimal" w:pos="762"/>
              </w:tabs>
            </w:pPr>
            <w:r w:rsidRPr="00AA4AB4">
              <w:t>1.13</w:t>
            </w:r>
          </w:p>
        </w:tc>
      </w:tr>
      <w:tr w:rsidR="00EF2925" w:rsidRPr="00242FF3" w14:paraId="03B1CA3B" w14:textId="77777777" w:rsidTr="00EF2925">
        <w:trPr>
          <w:cantSplit/>
        </w:trPr>
        <w:tc>
          <w:tcPr>
            <w:tcW w:w="2268" w:type="dxa"/>
            <w:tcBorders>
              <w:top w:val="nil"/>
              <w:bottom w:val="nil"/>
            </w:tcBorders>
            <w:shd w:val="clear" w:color="auto" w:fill="auto"/>
            <w:noWrap/>
            <w:hideMark/>
          </w:tcPr>
          <w:p w14:paraId="11CF8B99" w14:textId="77777777" w:rsidR="00EF2925" w:rsidRPr="005C3119" w:rsidRDefault="00EF2925" w:rsidP="00EF2925">
            <w:pPr>
              <w:pStyle w:val="TableText"/>
              <w:rPr>
                <w:i/>
                <w:lang w:eastAsia="en-AU"/>
              </w:rPr>
            </w:pPr>
            <w:r w:rsidRPr="005C3119">
              <w:rPr>
                <w:i/>
                <w:lang w:eastAsia="en-AU"/>
              </w:rPr>
              <w:t>Cannabis</w:t>
            </w:r>
          </w:p>
        </w:tc>
        <w:tc>
          <w:tcPr>
            <w:tcW w:w="1701" w:type="dxa"/>
            <w:tcBorders>
              <w:top w:val="nil"/>
              <w:bottom w:val="nil"/>
            </w:tcBorders>
            <w:shd w:val="clear" w:color="auto" w:fill="auto"/>
            <w:noWrap/>
            <w:hideMark/>
          </w:tcPr>
          <w:p w14:paraId="622B370F" w14:textId="543F9E41" w:rsidR="00EF2925" w:rsidRPr="00461CB5" w:rsidRDefault="00EF2925" w:rsidP="00EF2925">
            <w:pPr>
              <w:pStyle w:val="TableText"/>
              <w:tabs>
                <w:tab w:val="decimal" w:pos="822"/>
              </w:tabs>
              <w:rPr>
                <w:lang w:eastAsia="en-AU"/>
              </w:rPr>
            </w:pPr>
            <w:r w:rsidRPr="00605E14">
              <w:t>124.50</w:t>
            </w:r>
          </w:p>
        </w:tc>
        <w:tc>
          <w:tcPr>
            <w:tcW w:w="1760" w:type="dxa"/>
            <w:tcBorders>
              <w:top w:val="nil"/>
              <w:bottom w:val="nil"/>
              <w:right w:val="nil"/>
            </w:tcBorders>
            <w:shd w:val="clear" w:color="auto" w:fill="auto"/>
            <w:noWrap/>
            <w:hideMark/>
          </w:tcPr>
          <w:p w14:paraId="2EEC296B" w14:textId="513935F6" w:rsidR="00EF2925" w:rsidRPr="00461CB5" w:rsidRDefault="00EF2925" w:rsidP="00EF2925">
            <w:pPr>
              <w:pStyle w:val="TableText"/>
              <w:tabs>
                <w:tab w:val="decimal" w:pos="794"/>
              </w:tabs>
              <w:rPr>
                <w:lang w:eastAsia="en-AU"/>
              </w:rPr>
            </w:pPr>
            <w:r w:rsidRPr="00CB5AA2">
              <w:t>148.96</w:t>
            </w:r>
          </w:p>
        </w:tc>
        <w:tc>
          <w:tcPr>
            <w:tcW w:w="1760" w:type="dxa"/>
            <w:tcBorders>
              <w:top w:val="nil"/>
              <w:left w:val="nil"/>
              <w:bottom w:val="nil"/>
            </w:tcBorders>
            <w:shd w:val="clear" w:color="auto" w:fill="auto"/>
            <w:noWrap/>
            <w:hideMark/>
          </w:tcPr>
          <w:p w14:paraId="34FDC816" w14:textId="00C5F51A" w:rsidR="00EF2925" w:rsidRPr="00461CB5" w:rsidRDefault="00EF2925" w:rsidP="00EF2925">
            <w:pPr>
              <w:pStyle w:val="TableText"/>
              <w:tabs>
                <w:tab w:val="decimal" w:pos="794"/>
              </w:tabs>
              <w:rPr>
                <w:lang w:eastAsia="en-AU"/>
              </w:rPr>
            </w:pPr>
            <w:r w:rsidRPr="00A229F0">
              <w:t>7.51</w:t>
            </w:r>
          </w:p>
        </w:tc>
        <w:tc>
          <w:tcPr>
            <w:tcW w:w="1583" w:type="dxa"/>
            <w:tcBorders>
              <w:top w:val="nil"/>
              <w:bottom w:val="nil"/>
            </w:tcBorders>
            <w:shd w:val="clear" w:color="auto" w:fill="auto"/>
            <w:noWrap/>
            <w:hideMark/>
          </w:tcPr>
          <w:p w14:paraId="06F1C225" w14:textId="2DF087AE" w:rsidR="00EF2925" w:rsidRPr="00461CB5" w:rsidRDefault="00EF2925" w:rsidP="00EF2925">
            <w:pPr>
              <w:pStyle w:val="TableText"/>
              <w:tabs>
                <w:tab w:val="decimal" w:pos="762"/>
              </w:tabs>
              <w:rPr>
                <w:lang w:eastAsia="en-AU"/>
              </w:rPr>
            </w:pPr>
            <w:r w:rsidRPr="00AA4AB4">
              <w:t>280.97</w:t>
            </w:r>
          </w:p>
        </w:tc>
      </w:tr>
      <w:tr w:rsidR="00EF2925" w:rsidRPr="00242FF3" w14:paraId="57AFE32C" w14:textId="77777777" w:rsidTr="00EF2925">
        <w:trPr>
          <w:cantSplit/>
        </w:trPr>
        <w:tc>
          <w:tcPr>
            <w:tcW w:w="2268" w:type="dxa"/>
            <w:tcBorders>
              <w:top w:val="nil"/>
            </w:tcBorders>
            <w:shd w:val="clear" w:color="auto" w:fill="auto"/>
            <w:noWrap/>
            <w:hideMark/>
          </w:tcPr>
          <w:p w14:paraId="56A7E32B" w14:textId="77777777" w:rsidR="00EF2925" w:rsidRPr="005C3119" w:rsidRDefault="00EF2925" w:rsidP="00EF2925">
            <w:pPr>
              <w:pStyle w:val="TableText"/>
              <w:rPr>
                <w:i/>
                <w:lang w:eastAsia="en-AU"/>
              </w:rPr>
            </w:pPr>
            <w:r w:rsidRPr="005C3119">
              <w:rPr>
                <w:i/>
                <w:lang w:eastAsia="en-AU"/>
              </w:rPr>
              <w:t>Synthetic cannabinoids</w:t>
            </w:r>
          </w:p>
        </w:tc>
        <w:tc>
          <w:tcPr>
            <w:tcW w:w="1701" w:type="dxa"/>
            <w:tcBorders>
              <w:top w:val="nil"/>
            </w:tcBorders>
            <w:shd w:val="clear" w:color="auto" w:fill="auto"/>
            <w:noWrap/>
            <w:hideMark/>
          </w:tcPr>
          <w:p w14:paraId="01C2C922" w14:textId="4D9AEE33" w:rsidR="00EF2925" w:rsidRPr="00461CB5" w:rsidRDefault="00EF2925" w:rsidP="00EF2925">
            <w:pPr>
              <w:pStyle w:val="TableText"/>
              <w:tabs>
                <w:tab w:val="decimal" w:pos="822"/>
              </w:tabs>
              <w:rPr>
                <w:lang w:eastAsia="en-AU"/>
              </w:rPr>
            </w:pPr>
            <w:r w:rsidRPr="00605E14">
              <w:t>76.96</w:t>
            </w:r>
          </w:p>
        </w:tc>
        <w:tc>
          <w:tcPr>
            <w:tcW w:w="1760" w:type="dxa"/>
            <w:tcBorders>
              <w:top w:val="nil"/>
              <w:right w:val="nil"/>
            </w:tcBorders>
            <w:shd w:val="clear" w:color="auto" w:fill="auto"/>
            <w:noWrap/>
            <w:hideMark/>
          </w:tcPr>
          <w:p w14:paraId="28AACF08" w14:textId="6BD269FB" w:rsidR="00EF2925" w:rsidRPr="00461CB5" w:rsidRDefault="00EF2925" w:rsidP="00EF2925">
            <w:pPr>
              <w:pStyle w:val="TableText"/>
              <w:tabs>
                <w:tab w:val="decimal" w:pos="794"/>
              </w:tabs>
              <w:rPr>
                <w:lang w:eastAsia="en-AU"/>
              </w:rPr>
            </w:pPr>
            <w:r w:rsidRPr="00CB5AA2">
              <w:t>0.91</w:t>
            </w:r>
          </w:p>
        </w:tc>
        <w:tc>
          <w:tcPr>
            <w:tcW w:w="1760" w:type="dxa"/>
            <w:tcBorders>
              <w:top w:val="nil"/>
              <w:left w:val="nil"/>
            </w:tcBorders>
            <w:shd w:val="clear" w:color="auto" w:fill="auto"/>
            <w:noWrap/>
            <w:hideMark/>
          </w:tcPr>
          <w:p w14:paraId="3BD529CB" w14:textId="70E25DC1" w:rsidR="00EF2925" w:rsidRPr="00461CB5" w:rsidRDefault="00EF2925" w:rsidP="00EF2925">
            <w:pPr>
              <w:pStyle w:val="TableText"/>
              <w:tabs>
                <w:tab w:val="decimal" w:pos="794"/>
              </w:tabs>
              <w:rPr>
                <w:lang w:eastAsia="en-AU"/>
              </w:rPr>
            </w:pPr>
            <w:r w:rsidRPr="00A229F0">
              <w:t>0.48</w:t>
            </w:r>
          </w:p>
        </w:tc>
        <w:tc>
          <w:tcPr>
            <w:tcW w:w="1583" w:type="dxa"/>
            <w:tcBorders>
              <w:top w:val="nil"/>
            </w:tcBorders>
            <w:shd w:val="clear" w:color="auto" w:fill="auto"/>
            <w:noWrap/>
            <w:hideMark/>
          </w:tcPr>
          <w:p w14:paraId="7BB130F3" w14:textId="1A6504BF" w:rsidR="00EF2925" w:rsidRPr="00461CB5" w:rsidRDefault="00EF2925" w:rsidP="00EF2925">
            <w:pPr>
              <w:pStyle w:val="TableText"/>
              <w:tabs>
                <w:tab w:val="decimal" w:pos="762"/>
              </w:tabs>
              <w:rPr>
                <w:lang w:eastAsia="en-AU"/>
              </w:rPr>
            </w:pPr>
            <w:r w:rsidRPr="00AA4AB4">
              <w:t>78.35</w:t>
            </w:r>
          </w:p>
        </w:tc>
      </w:tr>
      <w:tr w:rsidR="00EF2925" w:rsidRPr="005C3119" w14:paraId="3137A315" w14:textId="77777777" w:rsidTr="00EF2925">
        <w:trPr>
          <w:cantSplit/>
        </w:trPr>
        <w:tc>
          <w:tcPr>
            <w:tcW w:w="2268" w:type="dxa"/>
            <w:shd w:val="clear" w:color="auto" w:fill="auto"/>
            <w:noWrap/>
            <w:hideMark/>
          </w:tcPr>
          <w:p w14:paraId="11AAE36F" w14:textId="77777777" w:rsidR="00EF2925" w:rsidRPr="005C3119" w:rsidRDefault="00EF2925" w:rsidP="00EF2925">
            <w:pPr>
              <w:pStyle w:val="TableText"/>
              <w:rPr>
                <w:lang w:eastAsia="en-AU"/>
              </w:rPr>
            </w:pPr>
            <w:r w:rsidRPr="005C3119">
              <w:rPr>
                <w:lang w:eastAsia="en-AU"/>
              </w:rPr>
              <w:t>Total</w:t>
            </w:r>
          </w:p>
        </w:tc>
        <w:tc>
          <w:tcPr>
            <w:tcW w:w="1701" w:type="dxa"/>
            <w:shd w:val="clear" w:color="auto" w:fill="auto"/>
            <w:noWrap/>
            <w:hideMark/>
          </w:tcPr>
          <w:p w14:paraId="63E3C1A2" w14:textId="5DBE35C7" w:rsidR="00EF2925" w:rsidRPr="005C3119" w:rsidRDefault="00EF2925" w:rsidP="00EF2925">
            <w:pPr>
              <w:pStyle w:val="TableText"/>
              <w:tabs>
                <w:tab w:val="decimal" w:pos="822"/>
              </w:tabs>
              <w:rPr>
                <w:lang w:eastAsia="en-AU"/>
              </w:rPr>
            </w:pPr>
            <w:r w:rsidRPr="00605E14">
              <w:t>484.80</w:t>
            </w:r>
          </w:p>
        </w:tc>
        <w:tc>
          <w:tcPr>
            <w:tcW w:w="1760" w:type="dxa"/>
            <w:tcBorders>
              <w:right w:val="nil"/>
            </w:tcBorders>
            <w:shd w:val="clear" w:color="auto" w:fill="auto"/>
            <w:noWrap/>
            <w:hideMark/>
          </w:tcPr>
          <w:p w14:paraId="3388596A" w14:textId="560A8732" w:rsidR="00EF2925" w:rsidRPr="005C3119" w:rsidRDefault="00EF2925" w:rsidP="00EF2925">
            <w:pPr>
              <w:pStyle w:val="TableText"/>
              <w:tabs>
                <w:tab w:val="decimal" w:pos="794"/>
              </w:tabs>
              <w:rPr>
                <w:lang w:eastAsia="en-AU"/>
              </w:rPr>
            </w:pPr>
            <w:r w:rsidRPr="00CB5AA2">
              <w:t>309.21</w:t>
            </w:r>
          </w:p>
        </w:tc>
        <w:tc>
          <w:tcPr>
            <w:tcW w:w="1760" w:type="dxa"/>
            <w:tcBorders>
              <w:left w:val="nil"/>
            </w:tcBorders>
            <w:shd w:val="clear" w:color="auto" w:fill="auto"/>
            <w:noWrap/>
            <w:hideMark/>
          </w:tcPr>
          <w:p w14:paraId="10DB1120" w14:textId="51F701D4" w:rsidR="00EF2925" w:rsidRPr="005C3119" w:rsidRDefault="00EF2925" w:rsidP="00EF2925">
            <w:pPr>
              <w:pStyle w:val="TableText"/>
              <w:tabs>
                <w:tab w:val="decimal" w:pos="794"/>
              </w:tabs>
              <w:rPr>
                <w:lang w:eastAsia="en-AU"/>
              </w:rPr>
            </w:pPr>
            <w:r w:rsidRPr="00A229F0">
              <w:t>19.08</w:t>
            </w:r>
          </w:p>
        </w:tc>
        <w:tc>
          <w:tcPr>
            <w:tcW w:w="1583" w:type="dxa"/>
            <w:shd w:val="clear" w:color="auto" w:fill="auto"/>
            <w:noWrap/>
            <w:hideMark/>
          </w:tcPr>
          <w:p w14:paraId="3F2CB564" w14:textId="678C3C55" w:rsidR="00EF2925" w:rsidRPr="005C3119" w:rsidRDefault="00EF2925" w:rsidP="00EF2925">
            <w:pPr>
              <w:pStyle w:val="TableText"/>
              <w:tabs>
                <w:tab w:val="decimal" w:pos="762"/>
              </w:tabs>
              <w:rPr>
                <w:lang w:eastAsia="en-AU"/>
              </w:rPr>
            </w:pPr>
            <w:r w:rsidRPr="00AA4AB4">
              <w:t>813.09</w:t>
            </w:r>
          </w:p>
        </w:tc>
      </w:tr>
    </w:tbl>
    <w:p w14:paraId="3E7829BB" w14:textId="77777777" w:rsidR="006C6BA9" w:rsidRPr="006C6BA9" w:rsidRDefault="006C6BA9" w:rsidP="00193744">
      <w:pPr>
        <w:rPr>
          <w:lang w:eastAsia="en-AU"/>
        </w:rPr>
      </w:pPr>
    </w:p>
    <w:p w14:paraId="22E5C141" w14:textId="77777777" w:rsidR="00F7377D" w:rsidRPr="006C6BA9" w:rsidRDefault="00F7377D" w:rsidP="006C6BA9">
      <w:pPr>
        <w:pStyle w:val="Heading3"/>
      </w:pPr>
      <w:r w:rsidRPr="00D448F4">
        <w:rPr>
          <w:lang w:eastAsia="en-AU"/>
        </w:rPr>
        <w:lastRenderedPageBreak/>
        <w:t>Summary and comment</w:t>
      </w:r>
    </w:p>
    <w:p w14:paraId="633397AE" w14:textId="09A2556C" w:rsidR="00F7377D" w:rsidRDefault="00F7377D" w:rsidP="006C6BA9">
      <w:pPr>
        <w:rPr>
          <w:lang w:eastAsia="en-AU"/>
        </w:rPr>
      </w:pPr>
      <w:r w:rsidRPr="00355695">
        <w:rPr>
          <w:lang w:eastAsia="en-AU"/>
        </w:rPr>
        <w:t xml:space="preserve">The total cost of personal harm to </w:t>
      </w:r>
      <w:r>
        <w:rPr>
          <w:lang w:eastAsia="en-AU"/>
        </w:rPr>
        <w:t>people who use drugs</w:t>
      </w:r>
      <w:r w:rsidRPr="00355695">
        <w:rPr>
          <w:lang w:eastAsia="en-AU"/>
        </w:rPr>
        <w:t xml:space="preserve"> in New Zealand is now estimated at $</w:t>
      </w:r>
      <w:r>
        <w:rPr>
          <w:lang w:eastAsia="en-AU"/>
        </w:rPr>
        <w:t>813</w:t>
      </w:r>
      <w:r w:rsidR="00570DA7">
        <w:rPr>
          <w:lang w:eastAsia="en-AU"/>
        </w:rPr>
        <w:t>.1</w:t>
      </w:r>
      <w:r w:rsidR="00193744">
        <w:rPr>
          <w:lang w:eastAsia="en-AU"/>
        </w:rPr>
        <w:t> </w:t>
      </w:r>
      <w:r w:rsidRPr="00355695">
        <w:rPr>
          <w:lang w:eastAsia="en-AU"/>
        </w:rPr>
        <w:t>million,</w:t>
      </w:r>
      <w:r w:rsidR="00DF3F1D">
        <w:rPr>
          <w:rStyle w:val="FootnoteReference"/>
          <w:lang w:eastAsia="en-AU"/>
        </w:rPr>
        <w:footnoteReference w:id="11"/>
      </w:r>
      <w:r w:rsidRPr="00355695">
        <w:rPr>
          <w:lang w:eastAsia="en-AU"/>
        </w:rPr>
        <w:t xml:space="preserve"> with </w:t>
      </w:r>
      <w:r>
        <w:rPr>
          <w:lang w:eastAsia="en-AU"/>
        </w:rPr>
        <w:t xml:space="preserve">most of that cost relating to premature death </w:t>
      </w:r>
      <w:r w:rsidR="00DF3F1D">
        <w:rPr>
          <w:lang w:eastAsia="en-AU"/>
        </w:rPr>
        <w:t>at</w:t>
      </w:r>
      <w:r>
        <w:rPr>
          <w:lang w:eastAsia="en-AU"/>
        </w:rPr>
        <w:t xml:space="preserve"> $484.</w:t>
      </w:r>
      <w:r w:rsidR="00570DA7">
        <w:rPr>
          <w:lang w:eastAsia="en-AU"/>
        </w:rPr>
        <w:t>8</w:t>
      </w:r>
      <w:r w:rsidR="00DF3F1D">
        <w:rPr>
          <w:lang w:eastAsia="en-AU"/>
        </w:rPr>
        <w:t xml:space="preserve"> million</w:t>
      </w:r>
      <w:r>
        <w:rPr>
          <w:lang w:eastAsia="en-AU"/>
        </w:rPr>
        <w:t>.</w:t>
      </w:r>
      <w:r w:rsidR="00DF3F1D">
        <w:rPr>
          <w:rStyle w:val="FootnoteReference"/>
          <w:lang w:eastAsia="en-AU"/>
        </w:rPr>
        <w:footnoteReference w:id="12"/>
      </w:r>
      <w:r w:rsidRPr="00355695">
        <w:rPr>
          <w:lang w:eastAsia="en-AU"/>
        </w:rPr>
        <w:t xml:space="preserve"> </w:t>
      </w:r>
      <w:r>
        <w:rPr>
          <w:lang w:eastAsia="en-AU"/>
        </w:rPr>
        <w:t>Of the illicit drugs included,</w:t>
      </w:r>
      <w:r w:rsidRPr="00355695">
        <w:rPr>
          <w:lang w:eastAsia="en-AU"/>
        </w:rPr>
        <w:t xml:space="preserve"> methamphetamine caused the most harm</w:t>
      </w:r>
      <w:r>
        <w:rPr>
          <w:lang w:eastAsia="en-AU"/>
        </w:rPr>
        <w:t xml:space="preserve"> at $404.</w:t>
      </w:r>
      <w:r w:rsidR="00570DA7">
        <w:rPr>
          <w:lang w:eastAsia="en-AU"/>
        </w:rPr>
        <w:t>5</w:t>
      </w:r>
      <w:r w:rsidR="006C6BA9">
        <w:rPr>
          <w:lang w:eastAsia="en-AU"/>
        </w:rPr>
        <w:t> </w:t>
      </w:r>
      <w:r>
        <w:rPr>
          <w:lang w:eastAsia="en-AU"/>
        </w:rPr>
        <w:t>million</w:t>
      </w:r>
      <w:r w:rsidRPr="00355695">
        <w:rPr>
          <w:lang w:eastAsia="en-AU"/>
        </w:rPr>
        <w:t>.</w:t>
      </w:r>
      <w:r w:rsidR="00DF3F1D">
        <w:rPr>
          <w:rStyle w:val="FootnoteReference"/>
          <w:lang w:eastAsia="en-AU"/>
        </w:rPr>
        <w:footnoteReference w:id="13"/>
      </w:r>
      <w:r w:rsidRPr="00355695">
        <w:rPr>
          <w:lang w:eastAsia="en-AU"/>
        </w:rPr>
        <w:t xml:space="preserve"> </w:t>
      </w:r>
      <w:r>
        <w:rPr>
          <w:lang w:eastAsia="en-AU"/>
        </w:rPr>
        <w:t>These estimates are generally higher than those reported in the 2016 report, due primarily to an increase in reported deaths from 75 to 107 deaths.</w:t>
      </w:r>
    </w:p>
    <w:p w14:paraId="629409EF" w14:textId="77777777" w:rsidR="00F7377D" w:rsidRPr="0059030B" w:rsidRDefault="00F7377D" w:rsidP="00D54749">
      <w:pPr>
        <w:pStyle w:val="Heading2"/>
        <w:rPr>
          <w:lang w:eastAsia="en-AU"/>
        </w:rPr>
      </w:pPr>
      <w:bookmarkStart w:id="24" w:name="_Toc444941795"/>
      <w:bookmarkStart w:id="25" w:name="_Toc95470205"/>
      <w:r w:rsidRPr="0059030B">
        <w:rPr>
          <w:lang w:eastAsia="en-AU"/>
        </w:rPr>
        <w:t>Community harms</w:t>
      </w:r>
      <w:bookmarkEnd w:id="24"/>
      <w:bookmarkEnd w:id="25"/>
    </w:p>
    <w:p w14:paraId="644E1400" w14:textId="77777777" w:rsidR="00F7377D" w:rsidRDefault="00F7377D" w:rsidP="00193744">
      <w:pPr>
        <w:rPr>
          <w:lang w:eastAsia="en-AU"/>
        </w:rPr>
      </w:pPr>
      <w:r w:rsidRPr="0059030B">
        <w:rPr>
          <w:lang w:eastAsia="en-AU"/>
        </w:rPr>
        <w:t xml:space="preserve">Community harms occur in different domains. First, there are specific harms that affect the family and friends of </w:t>
      </w:r>
      <w:r>
        <w:rPr>
          <w:lang w:eastAsia="en-AU"/>
        </w:rPr>
        <w:t>people who use drugs.</w:t>
      </w:r>
      <w:r w:rsidRPr="0059030B">
        <w:rPr>
          <w:lang w:eastAsia="en-AU"/>
        </w:rPr>
        <w:t xml:space="preserve"> Second, there are a variety of harms that follow drug-related crime, including acquisitive crime to fund drug purchases, and the reinvestment of the profits of drug trafficking. Normally, t</w:t>
      </w:r>
      <w:r>
        <w:rPr>
          <w:lang w:eastAsia="en-AU"/>
        </w:rPr>
        <w:t>his investment</w:t>
      </w:r>
      <w:r w:rsidRPr="0059030B">
        <w:rPr>
          <w:lang w:eastAsia="en-AU"/>
        </w:rPr>
        <w:t xml:space="preserve"> is undertaken to diversify the income base of criminal enterprises. Third, there are harms caused by a reduced revenue base to the government. The sale of illicit drugs is not subject to GST, and </w:t>
      </w:r>
      <w:r>
        <w:rPr>
          <w:lang w:eastAsia="en-AU"/>
        </w:rPr>
        <w:t>organised</w:t>
      </w:r>
      <w:r w:rsidRPr="0059030B">
        <w:rPr>
          <w:lang w:eastAsia="en-AU"/>
        </w:rPr>
        <w:t xml:space="preserve"> crime does not pay company tax on its profits. The reduced tax base means fewer funds are available for services such as health, education and infrastructure spending.</w:t>
      </w:r>
    </w:p>
    <w:p w14:paraId="22623FB5" w14:textId="77777777" w:rsidR="006C6BA9" w:rsidRPr="00B55E89" w:rsidRDefault="006C6BA9" w:rsidP="006C6BA9">
      <w:pPr>
        <w:rPr>
          <w:lang w:eastAsia="en-AU"/>
        </w:rPr>
      </w:pPr>
    </w:p>
    <w:p w14:paraId="2E32D853" w14:textId="77777777" w:rsidR="00F7377D" w:rsidRPr="006C6BA9" w:rsidRDefault="00F7377D" w:rsidP="006C6BA9">
      <w:pPr>
        <w:pStyle w:val="Heading3"/>
      </w:pPr>
      <w:r w:rsidRPr="00D448F4">
        <w:rPr>
          <w:lang w:eastAsia="en-AU"/>
        </w:rPr>
        <w:t xml:space="preserve">Family and friends of </w:t>
      </w:r>
      <w:r>
        <w:rPr>
          <w:lang w:eastAsia="en-AU"/>
        </w:rPr>
        <w:t>people who use drugs</w:t>
      </w:r>
    </w:p>
    <w:p w14:paraId="6FA1AC42" w14:textId="77777777" w:rsidR="00F7377D" w:rsidRPr="00D039E4" w:rsidRDefault="00F7377D" w:rsidP="006C6BA9">
      <w:pPr>
        <w:rPr>
          <w:lang w:eastAsia="en-AU"/>
        </w:rPr>
      </w:pPr>
      <w:r w:rsidRPr="00D039E4">
        <w:rPr>
          <w:lang w:eastAsia="en-AU"/>
        </w:rPr>
        <w:t xml:space="preserve">DHI 2016 introduced </w:t>
      </w:r>
      <w:r>
        <w:rPr>
          <w:lang w:eastAsia="en-AU"/>
        </w:rPr>
        <w:t xml:space="preserve">harm suffered by family and friends as </w:t>
      </w:r>
      <w:r w:rsidRPr="00D039E4">
        <w:rPr>
          <w:lang w:eastAsia="en-AU"/>
        </w:rPr>
        <w:t xml:space="preserve">a new measure </w:t>
      </w:r>
      <w:r>
        <w:rPr>
          <w:lang w:eastAsia="en-AU"/>
        </w:rPr>
        <w:t>of community harm</w:t>
      </w:r>
      <w:r w:rsidRPr="00D039E4">
        <w:rPr>
          <w:lang w:eastAsia="en-AU"/>
        </w:rPr>
        <w:t>. Past research had largely been concentrated in Nordic countries and some of the estimates, especially willi</w:t>
      </w:r>
      <w:r>
        <w:rPr>
          <w:lang w:eastAsia="en-AU"/>
        </w:rPr>
        <w:t>n</w:t>
      </w:r>
      <w:r w:rsidRPr="00D039E4">
        <w:rPr>
          <w:lang w:eastAsia="en-AU"/>
        </w:rPr>
        <w:t xml:space="preserve">gness-to-pay are transferred from these studies. Melberg et al (2011) conducted a representative survey of 3,092 adults in Copenhagen, Helsinki, Oslo and Stockholm. Almost half of the respondents had at some time known and been concerned about the </w:t>
      </w:r>
      <w:r>
        <w:rPr>
          <w:lang w:eastAsia="en-AU"/>
        </w:rPr>
        <w:t xml:space="preserve">illicit </w:t>
      </w:r>
      <w:r w:rsidRPr="00D039E4">
        <w:rPr>
          <w:lang w:eastAsia="en-AU"/>
        </w:rPr>
        <w:t>drug use of a personal acquaintance (i.e. family or friend). In Oslo, 14% of respondents indicated they were willing to pay for the treatment of a friend. In fact, median responses across all respondents ranged from 500 euros for a friend to 13,000 euros for a child.</w:t>
      </w:r>
      <w:r>
        <w:rPr>
          <w:lang w:eastAsia="en-AU"/>
        </w:rPr>
        <w:t xml:space="preserve"> </w:t>
      </w:r>
      <w:r w:rsidRPr="00D039E4">
        <w:rPr>
          <w:lang w:eastAsia="en-AU"/>
        </w:rPr>
        <w:t xml:space="preserve">It is argued the amount family and friends are willing to pay is closely related to the harm or distress that family and friends experience because of </w:t>
      </w:r>
      <w:r>
        <w:rPr>
          <w:lang w:eastAsia="en-AU"/>
        </w:rPr>
        <w:t>drug use</w:t>
      </w:r>
      <w:r w:rsidRPr="00D039E4">
        <w:rPr>
          <w:lang w:eastAsia="en-AU"/>
        </w:rPr>
        <w:t xml:space="preserve">. While a proportion of respondents willing to pay for treatment might be acting entirely from altruism, indications from the Melberg et al study indicate there are significant harms experienced by family and friends, with 6.5% reporting they had feared violence from the </w:t>
      </w:r>
      <w:r>
        <w:rPr>
          <w:lang w:eastAsia="en-AU"/>
        </w:rPr>
        <w:t>person using drugs</w:t>
      </w:r>
      <w:r w:rsidRPr="00D039E4">
        <w:rPr>
          <w:lang w:eastAsia="en-AU"/>
        </w:rPr>
        <w:t xml:space="preserve"> and 22.5% acknowledging they had been worried in the past 12 months. From these figures</w:t>
      </w:r>
      <w:r>
        <w:rPr>
          <w:lang w:eastAsia="en-AU"/>
        </w:rPr>
        <w:t>,</w:t>
      </w:r>
      <w:r w:rsidRPr="00D039E4">
        <w:rPr>
          <w:lang w:eastAsia="en-AU"/>
        </w:rPr>
        <w:t xml:space="preserve"> it appear</w:t>
      </w:r>
      <w:r>
        <w:rPr>
          <w:lang w:eastAsia="en-AU"/>
        </w:rPr>
        <w:t>s</w:t>
      </w:r>
      <w:r w:rsidRPr="00D039E4">
        <w:rPr>
          <w:lang w:eastAsia="en-AU"/>
        </w:rPr>
        <w:t xml:space="preserve"> that willingness to pay and incurred harm may be closely related.</w:t>
      </w:r>
    </w:p>
    <w:p w14:paraId="285A6474" w14:textId="77777777" w:rsidR="006C6BA9" w:rsidRDefault="006C6BA9" w:rsidP="006C6BA9">
      <w:pPr>
        <w:rPr>
          <w:lang w:eastAsia="en-AU"/>
        </w:rPr>
      </w:pPr>
    </w:p>
    <w:p w14:paraId="2ECC6F03" w14:textId="77777777" w:rsidR="00F7377D" w:rsidRDefault="00F7377D" w:rsidP="006C6BA9">
      <w:pPr>
        <w:rPr>
          <w:lang w:eastAsia="en-AU"/>
        </w:rPr>
      </w:pPr>
      <w:r w:rsidRPr="00D039E4">
        <w:rPr>
          <w:lang w:eastAsia="en-AU"/>
        </w:rPr>
        <w:t>The current measure assumed the proportion of the adult population willing to pay for treatment for friend or family was the same in New Zealand as in Norway. This assumption is conservative, as New Zealand</w:t>
      </w:r>
      <w:r w:rsidR="00461CB5">
        <w:rPr>
          <w:lang w:eastAsia="en-AU"/>
        </w:rPr>
        <w:t>’</w:t>
      </w:r>
      <w:r w:rsidRPr="00D039E4">
        <w:rPr>
          <w:lang w:eastAsia="en-AU"/>
        </w:rPr>
        <w:t xml:space="preserve">s adult population has a higher proportion of current </w:t>
      </w:r>
      <w:r>
        <w:rPr>
          <w:lang w:eastAsia="en-AU"/>
        </w:rPr>
        <w:t>people who use drugs</w:t>
      </w:r>
      <w:r w:rsidRPr="00D039E4">
        <w:rPr>
          <w:lang w:eastAsia="en-AU"/>
        </w:rPr>
        <w:t xml:space="preserve"> than Norway</w:t>
      </w:r>
      <w:r w:rsidR="00461CB5">
        <w:rPr>
          <w:lang w:eastAsia="en-AU"/>
        </w:rPr>
        <w:t>’</w:t>
      </w:r>
      <w:r w:rsidRPr="00D039E4">
        <w:rPr>
          <w:lang w:eastAsia="en-AU"/>
        </w:rPr>
        <w:t>s. It was also assumed the average willingness-to-pay figure for family and friends was 500 euros. Again, this was a conservative figure given the range of 500 to 13,000 euros in the Melberg study. Th</w:t>
      </w:r>
      <w:r>
        <w:rPr>
          <w:lang w:eastAsia="en-AU"/>
        </w:rPr>
        <w:t>us, th</w:t>
      </w:r>
      <w:r w:rsidRPr="00D039E4">
        <w:rPr>
          <w:lang w:eastAsia="en-AU"/>
        </w:rPr>
        <w:t xml:space="preserve">e number of family and friends </w:t>
      </w:r>
      <w:r>
        <w:rPr>
          <w:lang w:eastAsia="en-AU"/>
        </w:rPr>
        <w:t>in New Zealand willing to pay the equivalent of</w:t>
      </w:r>
      <w:r w:rsidRPr="00D039E4">
        <w:rPr>
          <w:lang w:eastAsia="en-AU"/>
        </w:rPr>
        <w:t xml:space="preserve"> 500</w:t>
      </w:r>
      <w:r w:rsidR="006C6BA9">
        <w:rPr>
          <w:lang w:eastAsia="en-AU"/>
        </w:rPr>
        <w:t> </w:t>
      </w:r>
      <w:r w:rsidRPr="00D039E4">
        <w:rPr>
          <w:lang w:eastAsia="en-AU"/>
        </w:rPr>
        <w:t>euros each was calculated as 14% of the adult New Zealand population</w:t>
      </w:r>
      <w:r>
        <w:rPr>
          <w:lang w:eastAsia="en-AU"/>
        </w:rPr>
        <w:t xml:space="preserve"> (aged</w:t>
      </w:r>
      <w:r w:rsidR="00193744">
        <w:rPr>
          <w:lang w:eastAsia="en-AU"/>
        </w:rPr>
        <w:t xml:space="preserve"> </w:t>
      </w:r>
      <w:r w:rsidRPr="00D039E4">
        <w:rPr>
          <w:lang w:eastAsia="en-AU"/>
        </w:rPr>
        <w:t>15</w:t>
      </w:r>
      <w:r w:rsidR="006C6BA9">
        <w:rPr>
          <w:lang w:eastAsia="en-AU"/>
        </w:rPr>
        <w:t>–</w:t>
      </w:r>
      <w:r w:rsidRPr="00D039E4">
        <w:rPr>
          <w:lang w:eastAsia="en-AU"/>
        </w:rPr>
        <w:t>64 years</w:t>
      </w:r>
      <w:r>
        <w:rPr>
          <w:lang w:eastAsia="en-AU"/>
        </w:rPr>
        <w:t>)</w:t>
      </w:r>
      <w:r w:rsidRPr="00D039E4">
        <w:rPr>
          <w:lang w:eastAsia="en-AU"/>
        </w:rPr>
        <w:t xml:space="preserve"> in 201</w:t>
      </w:r>
      <w:r>
        <w:rPr>
          <w:lang w:eastAsia="en-AU"/>
        </w:rPr>
        <w:t>8</w:t>
      </w:r>
      <w:r w:rsidRPr="00D039E4">
        <w:rPr>
          <w:lang w:eastAsia="en-AU"/>
        </w:rPr>
        <w:t xml:space="preserve"> (3,</w:t>
      </w:r>
      <w:r>
        <w:rPr>
          <w:lang w:eastAsia="en-AU"/>
        </w:rPr>
        <w:t>219</w:t>
      </w:r>
      <w:r w:rsidRPr="00D039E4">
        <w:rPr>
          <w:lang w:eastAsia="en-AU"/>
        </w:rPr>
        <w:t>,</w:t>
      </w:r>
      <w:r>
        <w:rPr>
          <w:lang w:eastAsia="en-AU"/>
        </w:rPr>
        <w:t>2</w:t>
      </w:r>
      <w:r w:rsidRPr="00D039E4">
        <w:rPr>
          <w:lang w:eastAsia="en-AU"/>
        </w:rPr>
        <w:t xml:space="preserve">00 people). The number of affected people was estimated at </w:t>
      </w:r>
      <w:r>
        <w:rPr>
          <w:lang w:eastAsia="en-AU"/>
        </w:rPr>
        <w:t>450,688</w:t>
      </w:r>
      <w:r w:rsidRPr="00D039E4">
        <w:rPr>
          <w:lang w:eastAsia="en-AU"/>
        </w:rPr>
        <w:t>.</w:t>
      </w:r>
      <w:r>
        <w:rPr>
          <w:lang w:eastAsia="en-AU"/>
        </w:rPr>
        <w:t xml:space="preserve"> The total harm to the community as estimated by willingness-to-pay techniques is $518.7 million.</w:t>
      </w:r>
    </w:p>
    <w:p w14:paraId="73CB9AC2" w14:textId="77777777" w:rsidR="006C6BA9" w:rsidRDefault="006C6BA9" w:rsidP="006C6BA9">
      <w:pPr>
        <w:rPr>
          <w:lang w:eastAsia="en-AU"/>
        </w:rPr>
      </w:pPr>
    </w:p>
    <w:p w14:paraId="64FCE80E" w14:textId="31F36E49" w:rsidR="00F7377D" w:rsidRDefault="00F7377D" w:rsidP="00193744">
      <w:pPr>
        <w:rPr>
          <w:lang w:eastAsia="en-AU"/>
        </w:rPr>
      </w:pPr>
      <w:r w:rsidRPr="009534EF">
        <w:rPr>
          <w:lang w:eastAsia="en-AU"/>
        </w:rPr>
        <w:t xml:space="preserve">In DHI 2016, it was assumed that significant harm to family and friends would be </w:t>
      </w:r>
      <w:r>
        <w:rPr>
          <w:lang w:eastAsia="en-AU"/>
        </w:rPr>
        <w:t>from people with addiction</w:t>
      </w:r>
      <w:r w:rsidRPr="009534EF">
        <w:rPr>
          <w:lang w:eastAsia="en-AU"/>
        </w:rPr>
        <w:t>. In DHI 2020, it was assume</w:t>
      </w:r>
      <w:r>
        <w:rPr>
          <w:lang w:eastAsia="en-AU"/>
        </w:rPr>
        <w:t>d</w:t>
      </w:r>
      <w:r w:rsidRPr="009534EF">
        <w:rPr>
          <w:lang w:eastAsia="en-AU"/>
        </w:rPr>
        <w:t xml:space="preserve"> </w:t>
      </w:r>
      <w:r>
        <w:rPr>
          <w:lang w:eastAsia="en-AU"/>
        </w:rPr>
        <w:t xml:space="preserve">the </w:t>
      </w:r>
      <w:r w:rsidRPr="009534EF">
        <w:rPr>
          <w:lang w:eastAsia="en-AU"/>
        </w:rPr>
        <w:t xml:space="preserve">most likely to cause concern for family and friends would be </w:t>
      </w:r>
      <w:r>
        <w:rPr>
          <w:lang w:eastAsia="en-AU"/>
        </w:rPr>
        <w:t>when people who use drugs are</w:t>
      </w:r>
      <w:r w:rsidRPr="009534EF">
        <w:rPr>
          <w:lang w:eastAsia="en-AU"/>
        </w:rPr>
        <w:t xml:space="preserve"> admitted to hospital for more than one day, i.e. serious cases as previously defined. </w:t>
      </w:r>
      <w:r>
        <w:rPr>
          <w:lang w:eastAsia="en-AU"/>
        </w:rPr>
        <w:t xml:space="preserve">Total harm across drug types was distributed according to the number of serious hospital admissions for each drug type. </w:t>
      </w:r>
      <w:r w:rsidRPr="009534EF">
        <w:rPr>
          <w:lang w:eastAsia="en-AU"/>
        </w:rPr>
        <w:t xml:space="preserve">The results are reported in </w:t>
      </w:r>
      <w:r w:rsidR="00457AC7" w:rsidRPr="00193744">
        <w:rPr>
          <w:lang w:eastAsia="en-AU"/>
        </w:rPr>
        <w:fldChar w:fldCharType="begin"/>
      </w:r>
      <w:r w:rsidR="00457AC7" w:rsidRPr="00193744">
        <w:rPr>
          <w:lang w:eastAsia="en-AU"/>
        </w:rPr>
        <w:instrText xml:space="preserve"> REF _Ref88223384 \h </w:instrText>
      </w:r>
      <w:r w:rsidR="00193744">
        <w:rPr>
          <w:lang w:eastAsia="en-AU"/>
        </w:rPr>
        <w:instrText xml:space="preserve"> \* MERGEFORMAT </w:instrText>
      </w:r>
      <w:r w:rsidR="00457AC7" w:rsidRPr="00193744">
        <w:rPr>
          <w:lang w:eastAsia="en-AU"/>
        </w:rPr>
      </w:r>
      <w:r w:rsidR="00457AC7" w:rsidRPr="00193744">
        <w:rPr>
          <w:lang w:eastAsia="en-AU"/>
        </w:rPr>
        <w:fldChar w:fldCharType="separate"/>
      </w:r>
      <w:r w:rsidR="006A55D7">
        <w:t>Table 4</w:t>
      </w:r>
      <w:r w:rsidR="00457AC7" w:rsidRPr="00193744">
        <w:rPr>
          <w:lang w:eastAsia="en-AU"/>
        </w:rPr>
        <w:fldChar w:fldCharType="end"/>
      </w:r>
      <w:r w:rsidR="006C6BA9" w:rsidRPr="00193744">
        <w:rPr>
          <w:lang w:eastAsia="en-AU"/>
        </w:rPr>
        <w:t>.</w:t>
      </w:r>
    </w:p>
    <w:p w14:paraId="555F4A5C" w14:textId="77777777" w:rsidR="006C6BA9" w:rsidRDefault="006C6BA9" w:rsidP="006C6BA9">
      <w:pPr>
        <w:rPr>
          <w:lang w:eastAsia="en-AU"/>
        </w:rPr>
      </w:pPr>
    </w:p>
    <w:p w14:paraId="43B48D21" w14:textId="43EA1A19" w:rsidR="00F7377D" w:rsidRDefault="00F7377D" w:rsidP="006C6BA9">
      <w:pPr>
        <w:rPr>
          <w:lang w:eastAsia="en-AU"/>
        </w:rPr>
      </w:pPr>
      <w:r w:rsidRPr="009534EF">
        <w:rPr>
          <w:lang w:eastAsia="en-AU"/>
        </w:rPr>
        <w:t>Note this report did not consider one significant family relationship: children. There is insufficient information available to allow an estimate of the social cost borne by children</w:t>
      </w:r>
      <w:r>
        <w:rPr>
          <w:lang w:eastAsia="en-AU"/>
        </w:rPr>
        <w:t xml:space="preserve"> of people who use drugs, and this was therefore excluded from this report</w:t>
      </w:r>
      <w:r w:rsidRPr="009534EF" w:rsidDel="004758EA">
        <w:rPr>
          <w:lang w:eastAsia="en-AU"/>
        </w:rPr>
        <w:t>.</w:t>
      </w:r>
    </w:p>
    <w:p w14:paraId="06F7FCB0" w14:textId="77777777" w:rsidR="00DF3F1D" w:rsidRDefault="00DF3F1D" w:rsidP="006C6BA9">
      <w:pPr>
        <w:rPr>
          <w:lang w:eastAsia="en-AU"/>
        </w:rPr>
      </w:pPr>
    </w:p>
    <w:p w14:paraId="3BD21400" w14:textId="77777777" w:rsidR="00F7377D" w:rsidRPr="006C6BA9" w:rsidRDefault="00F7377D" w:rsidP="006C6BA9">
      <w:pPr>
        <w:pStyle w:val="Heading3"/>
      </w:pPr>
      <w:r w:rsidRPr="00D448F4">
        <w:rPr>
          <w:lang w:eastAsia="en-AU"/>
        </w:rPr>
        <w:t>Acquisitive crime</w:t>
      </w:r>
    </w:p>
    <w:p w14:paraId="05561334" w14:textId="77777777" w:rsidR="00F7377D" w:rsidRPr="003B495E" w:rsidRDefault="00F7377D" w:rsidP="006C6BA9">
      <w:pPr>
        <w:rPr>
          <w:lang w:eastAsia="en-AU"/>
        </w:rPr>
      </w:pPr>
      <w:r w:rsidRPr="003B495E">
        <w:rPr>
          <w:lang w:eastAsia="en-AU"/>
        </w:rPr>
        <w:t>Acquisitive crime as a means of funding illicit drug purchases has long been assumed and debated. For example, based on figures for the UK DHI (Goodwin, 2007), acquisitive crime accounted for 61.9% of the 2005 index. In contrast, figures from Slack et</w:t>
      </w:r>
      <w:r w:rsidR="006C6BA9">
        <w:rPr>
          <w:lang w:eastAsia="en-AU"/>
        </w:rPr>
        <w:t> </w:t>
      </w:r>
      <w:r w:rsidRPr="003B495E">
        <w:rPr>
          <w:lang w:eastAsia="en-AU"/>
        </w:rPr>
        <w:t>al (2008) suggest that property losses accounted for 6.1% of the NZ DHI. There are obviously differences in method, but it is cautionary to observe that under two separate measures of drug harm the relative contribution of property crime can differ tenfold</w:t>
      </w:r>
      <w:r w:rsidRPr="00A16B99">
        <w:rPr>
          <w:lang w:eastAsia="en-AU"/>
        </w:rPr>
        <w:t>.</w:t>
      </w:r>
    </w:p>
    <w:p w14:paraId="522B709B" w14:textId="77777777" w:rsidR="006C6BA9" w:rsidRDefault="006C6BA9" w:rsidP="006C6BA9">
      <w:pPr>
        <w:rPr>
          <w:lang w:eastAsia="en-AU"/>
        </w:rPr>
      </w:pPr>
    </w:p>
    <w:p w14:paraId="678BC56B" w14:textId="4FED962D" w:rsidR="00F7377D" w:rsidRPr="00A16B99" w:rsidRDefault="00F7377D" w:rsidP="006C6BA9">
      <w:r w:rsidRPr="00A16B99">
        <w:rPr>
          <w:lang w:eastAsia="en-AU"/>
        </w:rPr>
        <w:t xml:space="preserve">The evidence from the literature is quite different. Stevens (2008) traced the development of the political debate in the UK over drugs and crime and concluded that this link had been exaggerated. Bryan et al (2013) conducted a recent and detailed survey of the links between heroin use, cannabis only use and crime. They reported that while heroin use was related to the incidence of acquisitive crime, cannabis use was not. Furthermore, they noted that </w:t>
      </w:r>
      <w:r>
        <w:rPr>
          <w:lang w:eastAsia="en-AU"/>
        </w:rPr>
        <w:t>only</w:t>
      </w:r>
      <w:r w:rsidR="00570DA7">
        <w:rPr>
          <w:lang w:eastAsia="en-AU"/>
        </w:rPr>
        <w:t xml:space="preserve"> </w:t>
      </w:r>
      <w:r w:rsidRPr="00A16B99">
        <w:rPr>
          <w:lang w:eastAsia="en-AU"/>
        </w:rPr>
        <w:t xml:space="preserve">43% of acquisitive crime by </w:t>
      </w:r>
      <w:r>
        <w:rPr>
          <w:lang w:eastAsia="en-AU"/>
        </w:rPr>
        <w:t xml:space="preserve">people who use </w:t>
      </w:r>
      <w:r w:rsidRPr="00A16B99">
        <w:rPr>
          <w:lang w:eastAsia="en-AU"/>
        </w:rPr>
        <w:t xml:space="preserve">heroin was related to the need to buy drugs. </w:t>
      </w:r>
      <w:r w:rsidRPr="00A16B99">
        <w:t>Caulkins and Kleiman (2011) have covered the complexities of this area.</w:t>
      </w:r>
    </w:p>
    <w:p w14:paraId="78219546" w14:textId="77777777" w:rsidR="006C6BA9" w:rsidRDefault="006C6BA9" w:rsidP="006C6BA9">
      <w:pPr>
        <w:rPr>
          <w:lang w:eastAsia="en-AU"/>
        </w:rPr>
      </w:pPr>
    </w:p>
    <w:p w14:paraId="3B68A4DA" w14:textId="6D1D132C" w:rsidR="00F7377D" w:rsidRPr="00EA16F3" w:rsidRDefault="00F7377D" w:rsidP="006C6BA9">
      <w:pPr>
        <w:rPr>
          <w:lang w:eastAsia="en-AU"/>
        </w:rPr>
      </w:pPr>
      <w:r w:rsidRPr="000E7CAA">
        <w:rPr>
          <w:lang w:eastAsia="en-AU"/>
        </w:rPr>
        <w:t>Acquisitive crime was separated into burglary (</w:t>
      </w:r>
      <w:r w:rsidR="00B755BB">
        <w:rPr>
          <w:lang w:eastAsia="en-AU"/>
        </w:rPr>
        <w:t>68,735</w:t>
      </w:r>
      <w:r w:rsidR="00DF3F1D">
        <w:rPr>
          <w:rStyle w:val="FootnoteReference"/>
          <w:lang w:eastAsia="en-AU"/>
        </w:rPr>
        <w:footnoteReference w:id="14"/>
      </w:r>
      <w:r w:rsidR="00DF3F1D" w:rsidRPr="000E7CAA">
        <w:rPr>
          <w:lang w:eastAsia="en-AU"/>
        </w:rPr>
        <w:t xml:space="preserve"> </w:t>
      </w:r>
      <w:r w:rsidRPr="000E7CAA">
        <w:rPr>
          <w:lang w:eastAsia="en-AU"/>
        </w:rPr>
        <w:t>cases) and theft (1</w:t>
      </w:r>
      <w:r w:rsidR="00B755BB">
        <w:rPr>
          <w:lang w:eastAsia="en-AU"/>
        </w:rPr>
        <w:t>38,818</w:t>
      </w:r>
      <w:r w:rsidR="00DF3F1D">
        <w:rPr>
          <w:rStyle w:val="FootnoteReference"/>
          <w:lang w:eastAsia="en-AU"/>
        </w:rPr>
        <w:footnoteReference w:id="15"/>
      </w:r>
      <w:r w:rsidRPr="000E7CAA">
        <w:rPr>
          <w:lang w:eastAsia="en-AU"/>
        </w:rPr>
        <w:t xml:space="preserve"> cases), the average property cost per crime being $2,</w:t>
      </w:r>
      <w:r>
        <w:rPr>
          <w:lang w:eastAsia="en-AU"/>
        </w:rPr>
        <w:t>072</w:t>
      </w:r>
      <w:r w:rsidRPr="000E7CAA">
        <w:rPr>
          <w:lang w:eastAsia="en-AU"/>
        </w:rPr>
        <w:t xml:space="preserve"> for burglary and $</w:t>
      </w:r>
      <w:r>
        <w:rPr>
          <w:lang w:eastAsia="en-AU"/>
        </w:rPr>
        <w:t>451</w:t>
      </w:r>
      <w:r w:rsidRPr="000E7CAA">
        <w:rPr>
          <w:lang w:eastAsia="en-AU"/>
        </w:rPr>
        <w:t xml:space="preserve"> for theft (New</w:t>
      </w:r>
      <w:r w:rsidR="006C6BA9">
        <w:rPr>
          <w:lang w:eastAsia="en-AU"/>
        </w:rPr>
        <w:t> </w:t>
      </w:r>
      <w:r w:rsidRPr="000E7CAA">
        <w:rPr>
          <w:lang w:eastAsia="en-AU"/>
        </w:rPr>
        <w:t>Zealand Police 2019)</w:t>
      </w:r>
      <w:r>
        <w:rPr>
          <w:lang w:eastAsia="en-AU"/>
        </w:rPr>
        <w:t>.</w:t>
      </w:r>
      <w:r w:rsidRPr="000E7CAA">
        <w:rPr>
          <w:lang w:eastAsia="en-AU"/>
        </w:rPr>
        <w:t xml:space="preserve"> The proportion of arrestees who used drugs in the past 12</w:t>
      </w:r>
      <w:r w:rsidR="006C6BA9">
        <w:rPr>
          <w:lang w:eastAsia="en-AU"/>
        </w:rPr>
        <w:t> </w:t>
      </w:r>
      <w:r w:rsidRPr="000E7CAA">
        <w:rPr>
          <w:lang w:eastAsia="en-AU"/>
        </w:rPr>
        <w:t xml:space="preserve">months and claimed to be dependent during that time (30% of arrestees) was again used as an indicator of the extent of drug-related acquisitive crime </w:t>
      </w:r>
      <w:r>
        <w:rPr>
          <w:lang w:eastAsia="en-AU"/>
        </w:rPr>
        <w:t>(</w:t>
      </w:r>
      <w:r w:rsidRPr="000E7CAA">
        <w:rPr>
          <w:lang w:eastAsia="en-AU"/>
        </w:rPr>
        <w:t>Wilkins et al 201</w:t>
      </w:r>
      <w:r>
        <w:rPr>
          <w:lang w:eastAsia="en-AU"/>
        </w:rPr>
        <w:t>6</w:t>
      </w:r>
      <w:r w:rsidRPr="000E7CAA">
        <w:rPr>
          <w:lang w:eastAsia="en-AU"/>
        </w:rPr>
        <w:t>).</w:t>
      </w:r>
      <w:r>
        <w:rPr>
          <w:lang w:eastAsia="en-AU"/>
        </w:rPr>
        <w:t xml:space="preserve"> Distinct from the DHI 2016, corrections were made for unreported crime. </w:t>
      </w:r>
      <w:r w:rsidRPr="00EA16F3">
        <w:rPr>
          <w:lang w:eastAsia="en-AU"/>
        </w:rPr>
        <w:t xml:space="preserve">It is far more plausible that unreported crime represents </w:t>
      </w:r>
      <w:r>
        <w:rPr>
          <w:lang w:eastAsia="en-AU"/>
        </w:rPr>
        <w:t>a smaller proportion</w:t>
      </w:r>
      <w:r w:rsidRPr="00EA16F3">
        <w:rPr>
          <w:lang w:eastAsia="en-AU"/>
        </w:rPr>
        <w:t xml:space="preserve"> of the value of reported crime. In the absence of any other evidence, it was decided to exclude estimates of unreported crime.</w:t>
      </w:r>
    </w:p>
    <w:p w14:paraId="388913F1" w14:textId="77777777" w:rsidR="006C6BA9" w:rsidRDefault="006C6BA9" w:rsidP="006C6BA9">
      <w:pPr>
        <w:rPr>
          <w:lang w:eastAsia="en-AU"/>
        </w:rPr>
      </w:pPr>
    </w:p>
    <w:p w14:paraId="7DCEC8BB" w14:textId="4CBFECD1" w:rsidR="00F7377D" w:rsidRDefault="00F7377D" w:rsidP="006C6BA9">
      <w:pPr>
        <w:rPr>
          <w:lang w:eastAsia="en-AU"/>
        </w:rPr>
      </w:pPr>
      <w:r w:rsidRPr="00EA16F3">
        <w:rPr>
          <w:lang w:eastAsia="en-AU"/>
        </w:rPr>
        <w:t>The economic value of</w:t>
      </w:r>
      <w:r w:rsidRPr="000E7CAA">
        <w:rPr>
          <w:lang w:eastAsia="en-AU"/>
        </w:rPr>
        <w:t xml:space="preserve"> property lost </w:t>
      </w:r>
      <w:r>
        <w:rPr>
          <w:lang w:eastAsia="en-AU"/>
        </w:rPr>
        <w:t>due to</w:t>
      </w:r>
      <w:r w:rsidRPr="000E7CAA">
        <w:rPr>
          <w:lang w:eastAsia="en-AU"/>
        </w:rPr>
        <w:t xml:space="preserve"> acquisitive crime committed to fund drug use is $</w:t>
      </w:r>
      <w:r w:rsidR="00570DA7">
        <w:rPr>
          <w:lang w:eastAsia="en-AU"/>
        </w:rPr>
        <w:t>205</w:t>
      </w:r>
      <w:r w:rsidRPr="000E7CAA">
        <w:rPr>
          <w:lang w:eastAsia="en-AU"/>
        </w:rPr>
        <w:t>.</w:t>
      </w:r>
      <w:r w:rsidR="00570DA7">
        <w:rPr>
          <w:lang w:eastAsia="en-AU"/>
        </w:rPr>
        <w:t>1</w:t>
      </w:r>
      <w:r w:rsidRPr="000E7CAA">
        <w:rPr>
          <w:lang w:eastAsia="en-AU"/>
        </w:rPr>
        <w:t xml:space="preserve"> million.</w:t>
      </w:r>
      <w:r w:rsidR="00DE6AA3">
        <w:rPr>
          <w:rStyle w:val="FootnoteReference"/>
          <w:lang w:eastAsia="en-AU"/>
        </w:rPr>
        <w:footnoteReference w:id="16"/>
      </w:r>
      <w:r>
        <w:rPr>
          <w:lang w:eastAsia="en-AU"/>
        </w:rPr>
        <w:t xml:space="preserve"> See </w:t>
      </w:r>
      <w:r w:rsidR="00457AC7">
        <w:rPr>
          <w:lang w:eastAsia="en-AU"/>
        </w:rPr>
        <w:fldChar w:fldCharType="begin"/>
      </w:r>
      <w:r w:rsidR="00457AC7">
        <w:rPr>
          <w:lang w:eastAsia="en-AU"/>
        </w:rPr>
        <w:instrText xml:space="preserve"> REF _Ref88223384 \h </w:instrText>
      </w:r>
      <w:r w:rsidR="00457AC7">
        <w:rPr>
          <w:lang w:eastAsia="en-AU"/>
        </w:rPr>
      </w:r>
      <w:r w:rsidR="00457AC7">
        <w:rPr>
          <w:lang w:eastAsia="en-AU"/>
        </w:rPr>
        <w:fldChar w:fldCharType="separate"/>
      </w:r>
      <w:r w:rsidR="006A55D7">
        <w:t>Table </w:t>
      </w:r>
      <w:r w:rsidR="006A55D7">
        <w:rPr>
          <w:noProof/>
        </w:rPr>
        <w:t>4</w:t>
      </w:r>
      <w:r w:rsidR="00457AC7">
        <w:rPr>
          <w:lang w:eastAsia="en-AU"/>
        </w:rPr>
        <w:fldChar w:fldCharType="end"/>
      </w:r>
      <w:r>
        <w:rPr>
          <w:lang w:eastAsia="en-AU"/>
        </w:rPr>
        <w:t xml:space="preserve"> for details.</w:t>
      </w:r>
    </w:p>
    <w:p w14:paraId="5876C4F2" w14:textId="77777777" w:rsidR="00DF3F1D" w:rsidRDefault="00DF3F1D" w:rsidP="006C6BA9">
      <w:pPr>
        <w:rPr>
          <w:lang w:eastAsia="en-AU"/>
        </w:rPr>
      </w:pPr>
    </w:p>
    <w:p w14:paraId="3A8F7310" w14:textId="77777777" w:rsidR="00F7377D" w:rsidRPr="00D448F4" w:rsidRDefault="00F7377D" w:rsidP="006C6BA9">
      <w:pPr>
        <w:pStyle w:val="Heading3"/>
        <w:rPr>
          <w:b w:val="0"/>
          <w:lang w:eastAsia="en-AU"/>
        </w:rPr>
      </w:pPr>
      <w:r>
        <w:rPr>
          <w:lang w:eastAsia="en-AU"/>
        </w:rPr>
        <w:lastRenderedPageBreak/>
        <w:t>Reinvestment into other crime</w:t>
      </w:r>
    </w:p>
    <w:p w14:paraId="2C3E08D4" w14:textId="77777777" w:rsidR="00F7377D" w:rsidRPr="00A16B99" w:rsidRDefault="00F7377D" w:rsidP="00193744">
      <w:pPr>
        <w:rPr>
          <w:lang w:eastAsia="en-AU"/>
        </w:rPr>
      </w:pPr>
      <w:r>
        <w:rPr>
          <w:lang w:eastAsia="en-AU"/>
        </w:rPr>
        <w:t>Organis</w:t>
      </w:r>
      <w:r w:rsidRPr="00A16B99">
        <w:rPr>
          <w:lang w:eastAsia="en-AU"/>
        </w:rPr>
        <w:t>ed crime plays a significant role in drug production, importation and distribution</w:t>
      </w:r>
      <w:r>
        <w:rPr>
          <w:lang w:eastAsia="en-AU"/>
        </w:rPr>
        <w:t xml:space="preserve"> (excluding drug trafficking)</w:t>
      </w:r>
      <w:r w:rsidRPr="00A16B99">
        <w:rPr>
          <w:lang w:eastAsia="en-AU"/>
        </w:rPr>
        <w:t xml:space="preserve">. This section is concerned with harms that extend beyond the harms traditionally associated with illicit drugs. In part, this is due to the evolution of </w:t>
      </w:r>
      <w:r>
        <w:rPr>
          <w:lang w:eastAsia="en-AU"/>
        </w:rPr>
        <w:t>organised</w:t>
      </w:r>
      <w:r w:rsidRPr="00A16B99">
        <w:rPr>
          <w:lang w:eastAsia="en-AU"/>
        </w:rPr>
        <w:t xml:space="preserve"> crime structures and to the diversification of business. </w:t>
      </w:r>
      <w:r>
        <w:rPr>
          <w:lang w:eastAsia="en-AU"/>
        </w:rPr>
        <w:t>Organised</w:t>
      </w:r>
      <w:r w:rsidRPr="00A16B99">
        <w:rPr>
          <w:lang w:eastAsia="en-AU"/>
        </w:rPr>
        <w:t xml:space="preserve"> crime acts like legitimate business in attempting to lower the risk associated with activities. One strategy to reduce risk is diversification</w:t>
      </w:r>
      <w:r>
        <w:rPr>
          <w:lang w:eastAsia="en-AU"/>
        </w:rPr>
        <w:t xml:space="preserve"> into other crime types</w:t>
      </w:r>
      <w:r w:rsidRPr="00A16B99">
        <w:rPr>
          <w:lang w:eastAsia="en-AU"/>
        </w:rPr>
        <w:t>.</w:t>
      </w:r>
    </w:p>
    <w:p w14:paraId="62E56E0D" w14:textId="77777777" w:rsidR="006C6BA9" w:rsidRDefault="006C6BA9" w:rsidP="006C6BA9">
      <w:pPr>
        <w:rPr>
          <w:lang w:eastAsia="en-AU"/>
        </w:rPr>
      </w:pPr>
    </w:p>
    <w:p w14:paraId="16BBDC0A" w14:textId="77777777" w:rsidR="00F7377D" w:rsidRPr="00A16B99" w:rsidRDefault="00F7377D" w:rsidP="006C6BA9">
      <w:pPr>
        <w:rPr>
          <w:lang w:eastAsia="en-AU"/>
        </w:rPr>
      </w:pPr>
      <w:r w:rsidRPr="00A16B99">
        <w:rPr>
          <w:lang w:eastAsia="en-AU"/>
        </w:rPr>
        <w:t>Drug crime is highly profitable but not all profits of crime are reinvested in crime. Recent work (McFadden, 2015) undertaken on behalf of the New Zealand Police suggests that 56% of the revenue from drug trafficking is reinvested in criminal activity, while the remainder is used to support a lifestyle. The majority reinvested will fund further drug trafficking; however, some will be invested in other activities such as extortion, fraud, pornography and weapons trafficking.</w:t>
      </w:r>
    </w:p>
    <w:p w14:paraId="3FF53404" w14:textId="77777777" w:rsidR="006C6BA9" w:rsidRDefault="006C6BA9" w:rsidP="006C6BA9">
      <w:pPr>
        <w:rPr>
          <w:lang w:eastAsia="en-AU"/>
        </w:rPr>
      </w:pPr>
    </w:p>
    <w:p w14:paraId="3CD942C3" w14:textId="41C0F338" w:rsidR="00F7377D" w:rsidRDefault="00F7377D" w:rsidP="00193744">
      <w:pPr>
        <w:keepLines/>
        <w:rPr>
          <w:lang w:eastAsia="en-AU"/>
        </w:rPr>
      </w:pPr>
      <w:r w:rsidRPr="00A16B99">
        <w:rPr>
          <w:lang w:eastAsia="en-AU"/>
        </w:rPr>
        <w:t>Hughes et al (2015) provided a network analysis of the links between major drug crimes and other types of crime in Australia. They found that 28.5% of cases in the linked network were not drug-related and that most cases were associated with economic crime. There is insufficient information available to calculate the actual proportion of profits from drug trafficking reinvested in other crime. Based on the Hughes et al figures it is unlikely to exceed 28.5%. A conservative estimate of 20% was used in the model. Thus, the proportion of drug-related revenue reinvested in other crime is 20% of 56%, or approximately 11</w:t>
      </w:r>
      <w:r w:rsidRPr="008B6A49">
        <w:rPr>
          <w:lang w:eastAsia="en-AU"/>
        </w:rPr>
        <w:t xml:space="preserve">%. The results are provided in </w:t>
      </w:r>
      <w:r w:rsidR="00457AC7">
        <w:rPr>
          <w:lang w:eastAsia="en-AU"/>
        </w:rPr>
        <w:fldChar w:fldCharType="begin"/>
      </w:r>
      <w:r w:rsidR="00457AC7">
        <w:rPr>
          <w:lang w:eastAsia="en-AU"/>
        </w:rPr>
        <w:instrText xml:space="preserve"> REF _Ref88223384 \h </w:instrText>
      </w:r>
      <w:r w:rsidR="00457AC7">
        <w:rPr>
          <w:lang w:eastAsia="en-AU"/>
        </w:rPr>
      </w:r>
      <w:r w:rsidR="00457AC7">
        <w:rPr>
          <w:lang w:eastAsia="en-AU"/>
        </w:rPr>
        <w:fldChar w:fldCharType="separate"/>
      </w:r>
      <w:r w:rsidR="006A55D7">
        <w:t>Table </w:t>
      </w:r>
      <w:r w:rsidR="006A55D7">
        <w:rPr>
          <w:noProof/>
        </w:rPr>
        <w:t>4</w:t>
      </w:r>
      <w:r w:rsidR="00457AC7">
        <w:rPr>
          <w:lang w:eastAsia="en-AU"/>
        </w:rPr>
        <w:fldChar w:fldCharType="end"/>
      </w:r>
      <w:r w:rsidRPr="008B6A49">
        <w:rPr>
          <w:lang w:eastAsia="en-AU"/>
        </w:rPr>
        <w:t>.</w:t>
      </w:r>
    </w:p>
    <w:p w14:paraId="75E30D5A" w14:textId="77777777" w:rsidR="006C6BA9" w:rsidRPr="008B6A49" w:rsidRDefault="006C6BA9" w:rsidP="006C6BA9">
      <w:pPr>
        <w:rPr>
          <w:lang w:eastAsia="en-AU"/>
        </w:rPr>
      </w:pPr>
    </w:p>
    <w:p w14:paraId="22841FB9" w14:textId="3F859044" w:rsidR="00F7377D" w:rsidRPr="00A0506E" w:rsidRDefault="00F7377D" w:rsidP="006C6BA9">
      <w:pPr>
        <w:rPr>
          <w:lang w:eastAsia="en-AU"/>
        </w:rPr>
      </w:pPr>
      <w:r w:rsidRPr="00A0506E">
        <w:rPr>
          <w:lang w:eastAsia="en-AU"/>
        </w:rPr>
        <w:t>$</w:t>
      </w:r>
      <w:r w:rsidR="006E01D9">
        <w:rPr>
          <w:lang w:eastAsia="en-AU"/>
        </w:rPr>
        <w:t>74.8</w:t>
      </w:r>
      <w:r w:rsidRPr="00A0506E">
        <w:rPr>
          <w:lang w:eastAsia="en-AU"/>
        </w:rPr>
        <w:t xml:space="preserve"> million</w:t>
      </w:r>
      <w:r w:rsidR="00DE6AA3">
        <w:rPr>
          <w:rStyle w:val="FootnoteReference"/>
          <w:lang w:eastAsia="en-AU"/>
        </w:rPr>
        <w:footnoteReference w:id="17"/>
      </w:r>
      <w:r w:rsidRPr="00A0506E">
        <w:rPr>
          <w:lang w:eastAsia="en-AU"/>
        </w:rPr>
        <w:t xml:space="preserve"> in funding for other criminal activities</w:t>
      </w:r>
      <w:r>
        <w:rPr>
          <w:lang w:eastAsia="en-AU"/>
        </w:rPr>
        <w:t xml:space="preserve"> in New Zealand</w:t>
      </w:r>
      <w:r w:rsidRPr="00A0506E">
        <w:rPr>
          <w:lang w:eastAsia="en-AU"/>
        </w:rPr>
        <w:t xml:space="preserve"> is provided each year from drug trafficking. The majority of this (over </w:t>
      </w:r>
      <w:r w:rsidR="006E01D9">
        <w:rPr>
          <w:lang w:eastAsia="en-AU"/>
        </w:rPr>
        <w:t>75</w:t>
      </w:r>
      <w:r w:rsidRPr="00A0506E">
        <w:rPr>
          <w:lang w:eastAsia="en-AU"/>
        </w:rPr>
        <w:t>%)</w:t>
      </w:r>
      <w:r w:rsidR="00DE6AA3">
        <w:rPr>
          <w:rStyle w:val="FootnoteReference"/>
          <w:lang w:eastAsia="en-AU"/>
        </w:rPr>
        <w:footnoteReference w:id="18"/>
      </w:r>
      <w:r w:rsidRPr="00A0506E">
        <w:rPr>
          <w:lang w:eastAsia="en-AU"/>
        </w:rPr>
        <w:t xml:space="preserve"> is generated from the sale of </w:t>
      </w:r>
      <w:r>
        <w:rPr>
          <w:lang w:eastAsia="en-AU"/>
        </w:rPr>
        <w:t>illicit cannabis</w:t>
      </w:r>
      <w:r w:rsidR="006C6BA9">
        <w:rPr>
          <w:lang w:eastAsia="en-AU"/>
        </w:rPr>
        <w:t>.</w:t>
      </w:r>
    </w:p>
    <w:p w14:paraId="41C1B095" w14:textId="77777777" w:rsidR="006C6BA9" w:rsidRDefault="006C6BA9" w:rsidP="006C6BA9">
      <w:pPr>
        <w:rPr>
          <w:lang w:eastAsia="en-AU"/>
        </w:rPr>
      </w:pPr>
    </w:p>
    <w:p w14:paraId="3EA01CB2" w14:textId="77777777" w:rsidR="00F7377D" w:rsidRPr="00A16B99" w:rsidRDefault="00F7377D" w:rsidP="006C6BA9">
      <w:pPr>
        <w:rPr>
          <w:lang w:eastAsia="en-AU"/>
        </w:rPr>
      </w:pPr>
      <w:r w:rsidRPr="00A16B99">
        <w:rPr>
          <w:lang w:eastAsia="en-AU"/>
        </w:rPr>
        <w:t xml:space="preserve">The preceding analysis and estimates relate to the reinvestment of drug trafficking profits into other illegal activities. There is a further threat posed by drug trafficking profits entering the legitimate economy as </w:t>
      </w:r>
      <w:r>
        <w:rPr>
          <w:lang w:eastAsia="en-AU"/>
        </w:rPr>
        <w:t>organised</w:t>
      </w:r>
      <w:r w:rsidRPr="00A16B99">
        <w:rPr>
          <w:lang w:eastAsia="en-AU"/>
        </w:rPr>
        <w:t xml:space="preserve"> crime seeks to diversify further by investing in legitimate business. This is in addition to any money laundering activities</w:t>
      </w:r>
      <w:r>
        <w:rPr>
          <w:lang w:eastAsia="en-AU"/>
        </w:rPr>
        <w:t>, and</w:t>
      </w:r>
      <w:r w:rsidRPr="00A16B99">
        <w:rPr>
          <w:lang w:eastAsia="en-AU"/>
        </w:rPr>
        <w:t xml:space="preserve"> </w:t>
      </w:r>
      <w:r>
        <w:rPr>
          <w:lang w:eastAsia="en-AU"/>
        </w:rPr>
        <w:t>it</w:t>
      </w:r>
      <w:r w:rsidRPr="00A16B99">
        <w:rPr>
          <w:lang w:eastAsia="en-AU"/>
        </w:rPr>
        <w:t xml:space="preserve"> is not a new problem. McDowell and Novis (2001) describe the negative impacts of criminal profits being invested in the legitimate economy as:</w:t>
      </w:r>
    </w:p>
    <w:p w14:paraId="1F79A6F7" w14:textId="77777777" w:rsidR="00F7377D" w:rsidRPr="00A16B99" w:rsidRDefault="00F7377D" w:rsidP="006C6BA9">
      <w:pPr>
        <w:pStyle w:val="Bullet"/>
        <w:rPr>
          <w:lang w:eastAsia="en-AU"/>
        </w:rPr>
      </w:pPr>
      <w:r w:rsidRPr="00A16B99">
        <w:rPr>
          <w:lang w:eastAsia="en-AU"/>
        </w:rPr>
        <w:t>undermining the private sector by subsidising legitimate business with drug profits, thereby creating a competitive advantage over honest businesses</w:t>
      </w:r>
    </w:p>
    <w:p w14:paraId="19072474" w14:textId="77777777" w:rsidR="00F7377D" w:rsidRPr="00A16B99" w:rsidRDefault="00F7377D" w:rsidP="006C6BA9">
      <w:pPr>
        <w:pStyle w:val="Bullet"/>
        <w:rPr>
          <w:lang w:eastAsia="en-AU"/>
        </w:rPr>
      </w:pPr>
      <w:r w:rsidRPr="00A16B99">
        <w:rPr>
          <w:lang w:eastAsia="en-AU"/>
        </w:rPr>
        <w:t>undermining the integrity of financial markets by moving large sums of money through the international financial system</w:t>
      </w:r>
    </w:p>
    <w:p w14:paraId="420E3DFF" w14:textId="77777777" w:rsidR="00F7377D" w:rsidRPr="00A16B99" w:rsidRDefault="00F7377D" w:rsidP="006C6BA9">
      <w:pPr>
        <w:pStyle w:val="Bullet"/>
        <w:rPr>
          <w:lang w:eastAsia="en-AU"/>
        </w:rPr>
      </w:pPr>
      <w:r w:rsidRPr="00A16B99">
        <w:rPr>
          <w:lang w:eastAsia="en-AU"/>
        </w:rPr>
        <w:t>loss of economic control that the previous point entails, especially to developing economies</w:t>
      </w:r>
      <w:r>
        <w:rPr>
          <w:lang w:eastAsia="en-AU"/>
        </w:rPr>
        <w:t>, and</w:t>
      </w:r>
    </w:p>
    <w:p w14:paraId="376D40E5" w14:textId="77777777" w:rsidR="00F7377D" w:rsidRPr="00A16B99" w:rsidRDefault="00F7377D" w:rsidP="006C6BA9">
      <w:pPr>
        <w:pStyle w:val="Bullet"/>
        <w:rPr>
          <w:lang w:eastAsia="en-AU"/>
        </w:rPr>
      </w:pPr>
      <w:r w:rsidRPr="00A16B99">
        <w:rPr>
          <w:lang w:eastAsia="en-AU"/>
        </w:rPr>
        <w:t>the economic damage that ensues from the perception that countries are corrupt and involved in the laundering of drug profits.</w:t>
      </w:r>
    </w:p>
    <w:p w14:paraId="755F6230" w14:textId="77777777" w:rsidR="00457AC7" w:rsidRDefault="00457AC7" w:rsidP="00457AC7">
      <w:pPr>
        <w:rPr>
          <w:lang w:eastAsia="en-AU"/>
        </w:rPr>
      </w:pPr>
    </w:p>
    <w:p w14:paraId="6746B2D6" w14:textId="77777777" w:rsidR="00F7377D" w:rsidRDefault="00F7377D" w:rsidP="00457AC7">
      <w:pPr>
        <w:rPr>
          <w:lang w:eastAsia="en-AU"/>
        </w:rPr>
      </w:pPr>
      <w:r w:rsidRPr="00A16B99">
        <w:rPr>
          <w:lang w:eastAsia="en-AU"/>
        </w:rPr>
        <w:t xml:space="preserve">These threats are less likely to occur in countries with strong institutions, transparent government and appropriate checks and balances in place. </w:t>
      </w:r>
      <w:r>
        <w:rPr>
          <w:lang w:eastAsia="en-AU"/>
        </w:rPr>
        <w:t>They are nevertheless real and not accounted for in this report.</w:t>
      </w:r>
    </w:p>
    <w:p w14:paraId="1E47AF0F" w14:textId="77777777" w:rsidR="00457AC7" w:rsidRPr="00A16B99" w:rsidRDefault="00457AC7" w:rsidP="00457AC7">
      <w:pPr>
        <w:rPr>
          <w:lang w:eastAsia="en-AU"/>
        </w:rPr>
      </w:pPr>
    </w:p>
    <w:p w14:paraId="3F139AD5" w14:textId="77777777" w:rsidR="00F7377D" w:rsidRPr="00D448F4" w:rsidRDefault="00F7377D" w:rsidP="00457AC7">
      <w:pPr>
        <w:pStyle w:val="Heading3"/>
        <w:rPr>
          <w:b w:val="0"/>
          <w:lang w:eastAsia="en-AU"/>
        </w:rPr>
      </w:pPr>
      <w:r w:rsidRPr="00D448F4">
        <w:rPr>
          <w:lang w:eastAsia="en-AU"/>
        </w:rPr>
        <w:lastRenderedPageBreak/>
        <w:t>Reduced tax base</w:t>
      </w:r>
    </w:p>
    <w:p w14:paraId="6E27A2AF" w14:textId="77777777" w:rsidR="00F7377D" w:rsidRPr="00FD2C3D" w:rsidRDefault="00F7377D" w:rsidP="00457AC7">
      <w:pPr>
        <w:rPr>
          <w:lang w:eastAsia="en-AU"/>
        </w:rPr>
      </w:pPr>
      <w:r w:rsidRPr="00FD2C3D">
        <w:rPr>
          <w:lang w:eastAsia="en-AU"/>
        </w:rPr>
        <w:t xml:space="preserve">A further aspect of the economic harm associated with </w:t>
      </w:r>
      <w:r>
        <w:rPr>
          <w:lang w:eastAsia="en-AU"/>
        </w:rPr>
        <w:t>organised</w:t>
      </w:r>
      <w:r w:rsidRPr="00FD2C3D">
        <w:rPr>
          <w:lang w:eastAsia="en-AU"/>
        </w:rPr>
        <w:t xml:space="preserve"> crime</w:t>
      </w:r>
      <w:r w:rsidR="00461CB5">
        <w:rPr>
          <w:lang w:eastAsia="en-AU"/>
        </w:rPr>
        <w:t>’</w:t>
      </w:r>
      <w:r w:rsidRPr="00FD2C3D">
        <w:rPr>
          <w:lang w:eastAsia="en-AU"/>
        </w:rPr>
        <w:t xml:space="preserve">s involvement in drug trafficking is the loss to the tax base available to the government. Modern </w:t>
      </w:r>
      <w:r>
        <w:rPr>
          <w:lang w:eastAsia="en-AU"/>
        </w:rPr>
        <w:t>organised</w:t>
      </w:r>
      <w:r w:rsidRPr="00FD2C3D">
        <w:rPr>
          <w:lang w:eastAsia="en-AU"/>
        </w:rPr>
        <w:t xml:space="preserve"> crime will seek to lower its risk through diversification and enhance its profitability by tax avoidance. </w:t>
      </w:r>
      <w:r>
        <w:rPr>
          <w:lang w:eastAsia="en-AU"/>
        </w:rPr>
        <w:t>Organised</w:t>
      </w:r>
      <w:r w:rsidRPr="00FD2C3D">
        <w:rPr>
          <w:lang w:eastAsia="en-AU"/>
        </w:rPr>
        <w:t xml:space="preserve"> crime generally pays neither GST nor company tax. In doing so, it reduces the government</w:t>
      </w:r>
      <w:r w:rsidR="00461CB5">
        <w:rPr>
          <w:lang w:eastAsia="en-AU"/>
        </w:rPr>
        <w:t>’</w:t>
      </w:r>
      <w:r w:rsidRPr="00FD2C3D">
        <w:rPr>
          <w:lang w:eastAsia="en-AU"/>
        </w:rPr>
        <w:t>s ability to provide services to the people of New Zealand.</w:t>
      </w:r>
    </w:p>
    <w:p w14:paraId="01991474" w14:textId="77777777" w:rsidR="00457AC7" w:rsidRDefault="00457AC7" w:rsidP="00457AC7">
      <w:pPr>
        <w:rPr>
          <w:lang w:eastAsia="en-AU"/>
        </w:rPr>
      </w:pPr>
    </w:p>
    <w:p w14:paraId="68B269CC" w14:textId="77777777" w:rsidR="00F7377D" w:rsidRPr="00FD2C3D" w:rsidRDefault="00F7377D" w:rsidP="00457AC7">
      <w:pPr>
        <w:rPr>
          <w:lang w:eastAsia="en-AU"/>
        </w:rPr>
      </w:pPr>
      <w:r w:rsidRPr="00FD2C3D">
        <w:rPr>
          <w:lang w:eastAsia="en-AU"/>
        </w:rPr>
        <w:t xml:space="preserve">The basis of this measure was the income derived from drug trafficking, as it was for the estimate of </w:t>
      </w:r>
      <w:r>
        <w:rPr>
          <w:lang w:eastAsia="en-AU"/>
        </w:rPr>
        <w:t>organised</w:t>
      </w:r>
      <w:r w:rsidRPr="00FD2C3D">
        <w:rPr>
          <w:lang w:eastAsia="en-AU"/>
        </w:rPr>
        <w:t xml:space="preserve"> crime</w:t>
      </w:r>
      <w:r w:rsidR="00461CB5">
        <w:rPr>
          <w:lang w:eastAsia="en-AU"/>
        </w:rPr>
        <w:t>’</w:t>
      </w:r>
      <w:r w:rsidRPr="00FD2C3D">
        <w:rPr>
          <w:lang w:eastAsia="en-AU"/>
        </w:rPr>
        <w:t xml:space="preserve">s reinvestment in other crime. An accurate assessment of GST would be based on revenue less any GST credits. With an illegal enterprise such as drug trafficking, it is difficult to estimate the extent of GST credits. As an alternative and conservative estimate, GST was calculated against estimated profit, as company tax properly is. Tax avoided was calculated by multiplying estimated profit by income by the GST rate of 15% and by the company tax rate of </w:t>
      </w:r>
      <w:r>
        <w:rPr>
          <w:lang w:eastAsia="en-AU"/>
        </w:rPr>
        <w:t>28</w:t>
      </w:r>
      <w:r w:rsidRPr="00FD2C3D">
        <w:rPr>
          <w:lang w:eastAsia="en-AU"/>
        </w:rPr>
        <w:t>%. McFadden (2015), using New Zealand Police data, estimated that drug-related revenue included 83% profit, with the remaining 17% reimbursing the costs of running the business.</w:t>
      </w:r>
    </w:p>
    <w:p w14:paraId="1F91B824" w14:textId="77777777" w:rsidR="00457AC7" w:rsidRDefault="00457AC7" w:rsidP="00457AC7">
      <w:pPr>
        <w:rPr>
          <w:lang w:eastAsia="en-AU"/>
        </w:rPr>
      </w:pPr>
    </w:p>
    <w:p w14:paraId="3451F3C7" w14:textId="1328DDCC" w:rsidR="00F7377D" w:rsidRDefault="00F7377D" w:rsidP="00193744">
      <w:pPr>
        <w:keepLines/>
        <w:rPr>
          <w:lang w:eastAsia="en-AU"/>
        </w:rPr>
      </w:pPr>
      <w:r w:rsidRPr="00E91326">
        <w:rPr>
          <w:lang w:eastAsia="en-AU"/>
        </w:rPr>
        <w:t>Overall, $</w:t>
      </w:r>
      <w:r w:rsidR="006E01D9">
        <w:rPr>
          <w:lang w:eastAsia="en-AU"/>
        </w:rPr>
        <w:t>292.5</w:t>
      </w:r>
      <w:r w:rsidRPr="00E91326">
        <w:rPr>
          <w:lang w:eastAsia="en-AU"/>
        </w:rPr>
        <w:t xml:space="preserve"> million</w:t>
      </w:r>
      <w:r w:rsidR="00DE6AA3">
        <w:rPr>
          <w:rStyle w:val="FootnoteReference"/>
          <w:lang w:eastAsia="en-AU"/>
        </w:rPr>
        <w:footnoteReference w:id="19"/>
      </w:r>
      <w:r w:rsidRPr="00E91326">
        <w:rPr>
          <w:lang w:eastAsia="en-AU"/>
        </w:rPr>
        <w:t xml:space="preserve"> is lost to the tax base through the failure to pay appropriate taxes in relation to revenues and profit generated by illegal drug trafficking. </w:t>
      </w:r>
      <w:r>
        <w:rPr>
          <w:lang w:eastAsia="en-AU"/>
        </w:rPr>
        <w:t>T</w:t>
      </w:r>
      <w:r w:rsidRPr="00E91326">
        <w:rPr>
          <w:lang w:eastAsia="en-AU"/>
        </w:rPr>
        <w:t xml:space="preserve">his additional revenue could only be realised either by the legalisation of illegal drugs or by the diversion of this investment into legal forms of investment. Nevertheless, it remains a genuine social harm associated with illegal drug trafficking. </w:t>
      </w:r>
      <w:r w:rsidR="00457AC7">
        <w:rPr>
          <w:lang w:eastAsia="en-AU"/>
        </w:rPr>
        <w:fldChar w:fldCharType="begin"/>
      </w:r>
      <w:r w:rsidR="00457AC7">
        <w:rPr>
          <w:lang w:eastAsia="en-AU"/>
        </w:rPr>
        <w:instrText xml:space="preserve"> REF _Ref88223384 \h </w:instrText>
      </w:r>
      <w:r w:rsidR="00457AC7">
        <w:rPr>
          <w:lang w:eastAsia="en-AU"/>
        </w:rPr>
      </w:r>
      <w:r w:rsidR="00457AC7">
        <w:rPr>
          <w:lang w:eastAsia="en-AU"/>
        </w:rPr>
        <w:fldChar w:fldCharType="separate"/>
      </w:r>
      <w:r w:rsidR="006A55D7">
        <w:t>Table </w:t>
      </w:r>
      <w:r w:rsidR="006A55D7">
        <w:rPr>
          <w:noProof/>
        </w:rPr>
        <w:t>4</w:t>
      </w:r>
      <w:r w:rsidR="00457AC7">
        <w:rPr>
          <w:lang w:eastAsia="en-AU"/>
        </w:rPr>
        <w:fldChar w:fldCharType="end"/>
      </w:r>
      <w:r w:rsidRPr="00E91326">
        <w:rPr>
          <w:lang w:eastAsia="en-AU"/>
        </w:rPr>
        <w:t xml:space="preserve"> has details of total cost.</w:t>
      </w:r>
    </w:p>
    <w:p w14:paraId="4701E3B2" w14:textId="77777777" w:rsidR="00457AC7" w:rsidRDefault="00457AC7" w:rsidP="00457AC7">
      <w:pPr>
        <w:rPr>
          <w:lang w:eastAsia="en-AU"/>
        </w:rPr>
      </w:pPr>
    </w:p>
    <w:p w14:paraId="2E890BAA" w14:textId="495A8E3A" w:rsidR="00F7377D" w:rsidRPr="00182773" w:rsidRDefault="00457AC7" w:rsidP="00457AC7">
      <w:pPr>
        <w:pStyle w:val="Table"/>
        <w:rPr>
          <w:lang w:eastAsia="en-AU"/>
        </w:rPr>
      </w:pPr>
      <w:bookmarkStart w:id="28" w:name="_Ref88223384"/>
      <w:bookmarkStart w:id="29" w:name="_Toc95476484"/>
      <w:bookmarkStart w:id="30" w:name="_Hlk32403044"/>
      <w:r>
        <w:t>Table </w:t>
      </w:r>
      <w:fldSimple w:instr=" SEQ Table \* ARABIC ">
        <w:r w:rsidR="006A55D7">
          <w:rPr>
            <w:noProof/>
          </w:rPr>
          <w:t>4</w:t>
        </w:r>
      </w:fldSimple>
      <w:bookmarkEnd w:id="28"/>
      <w:r w:rsidR="00C6085E">
        <w:rPr>
          <w:noProof/>
        </w:rPr>
        <w:t>.</w:t>
      </w:r>
      <w:r w:rsidR="00F7377D" w:rsidRPr="00182773">
        <w:rPr>
          <w:lang w:eastAsia="en-AU"/>
        </w:rPr>
        <w:t xml:space="preserve"> </w:t>
      </w:r>
      <w:r w:rsidR="00F7377D">
        <w:rPr>
          <w:lang w:eastAsia="en-AU"/>
        </w:rPr>
        <w:t>Community</w:t>
      </w:r>
      <w:r w:rsidR="00F7377D" w:rsidRPr="009C3045">
        <w:rPr>
          <w:lang w:eastAsia="en-AU"/>
        </w:rPr>
        <w:t xml:space="preserve"> harms</w:t>
      </w:r>
      <w:r w:rsidR="00F7377D">
        <w:rPr>
          <w:lang w:eastAsia="en-AU"/>
        </w:rPr>
        <w:t xml:space="preserve"> by </w:t>
      </w:r>
      <w:r w:rsidR="00F7377D" w:rsidRPr="009C3045">
        <w:rPr>
          <w:lang w:eastAsia="en-AU"/>
        </w:rPr>
        <w:t>drug type</w:t>
      </w:r>
      <w:r w:rsidR="00F7377D">
        <w:rPr>
          <w:lang w:eastAsia="en-AU"/>
        </w:rPr>
        <w:t xml:space="preserve"> ($ million)</w:t>
      </w:r>
      <w:r w:rsidR="00DE6AA3">
        <w:rPr>
          <w:rStyle w:val="FootnoteReference"/>
          <w:lang w:eastAsia="en-AU"/>
        </w:rPr>
        <w:footnoteReference w:id="20"/>
      </w:r>
      <w:bookmarkEnd w:id="29"/>
    </w:p>
    <w:tbl>
      <w:tblPr>
        <w:tblStyle w:val="TableGrid"/>
        <w:tblW w:w="9109" w:type="dxa"/>
        <w:tblInd w:w="113" w:type="dxa"/>
        <w:tblLayout w:type="fixed"/>
        <w:tblCellMar>
          <w:left w:w="113" w:type="dxa"/>
          <w:right w:w="113" w:type="dxa"/>
        </w:tblCellMar>
        <w:tblLook w:val="04A0" w:firstRow="1" w:lastRow="0" w:firstColumn="1" w:lastColumn="0" w:noHBand="0" w:noVBand="1"/>
      </w:tblPr>
      <w:tblGrid>
        <w:gridCol w:w="2127"/>
        <w:gridCol w:w="1594"/>
        <w:gridCol w:w="1311"/>
        <w:gridCol w:w="1631"/>
        <w:gridCol w:w="1312"/>
        <w:gridCol w:w="1134"/>
      </w:tblGrid>
      <w:tr w:rsidR="00F7377D" w:rsidRPr="00457AC7" w14:paraId="457A7274" w14:textId="77777777" w:rsidTr="00570DA7">
        <w:trPr>
          <w:cantSplit/>
        </w:trPr>
        <w:tc>
          <w:tcPr>
            <w:tcW w:w="2127" w:type="dxa"/>
            <w:shd w:val="clear" w:color="auto" w:fill="auto"/>
          </w:tcPr>
          <w:bookmarkEnd w:id="30"/>
          <w:p w14:paraId="5A915717" w14:textId="77777777" w:rsidR="00F7377D" w:rsidRPr="00457AC7" w:rsidRDefault="00F7377D" w:rsidP="00D54749">
            <w:pPr>
              <w:pStyle w:val="TableText"/>
              <w:rPr>
                <w:b/>
              </w:rPr>
            </w:pPr>
            <w:r w:rsidRPr="00457AC7">
              <w:rPr>
                <w:b/>
              </w:rPr>
              <w:t xml:space="preserve">Drug </w:t>
            </w:r>
            <w:r w:rsidR="00457AC7" w:rsidRPr="00457AC7">
              <w:rPr>
                <w:b/>
              </w:rPr>
              <w:t>t</w:t>
            </w:r>
            <w:r w:rsidRPr="00457AC7">
              <w:rPr>
                <w:b/>
              </w:rPr>
              <w:t>ype</w:t>
            </w:r>
          </w:p>
        </w:tc>
        <w:tc>
          <w:tcPr>
            <w:tcW w:w="1594" w:type="dxa"/>
            <w:shd w:val="clear" w:color="auto" w:fill="auto"/>
          </w:tcPr>
          <w:p w14:paraId="14C7017F" w14:textId="77777777" w:rsidR="00F7377D" w:rsidRPr="00457AC7" w:rsidRDefault="00F7377D" w:rsidP="00457AC7">
            <w:pPr>
              <w:pStyle w:val="TableText"/>
              <w:jc w:val="center"/>
              <w:rPr>
                <w:b/>
              </w:rPr>
            </w:pPr>
            <w:r w:rsidRPr="00457AC7">
              <w:rPr>
                <w:b/>
              </w:rPr>
              <w:t>Harm to family and friends</w:t>
            </w:r>
          </w:p>
        </w:tc>
        <w:tc>
          <w:tcPr>
            <w:tcW w:w="1311" w:type="dxa"/>
            <w:shd w:val="clear" w:color="auto" w:fill="auto"/>
          </w:tcPr>
          <w:p w14:paraId="31912D72" w14:textId="77777777" w:rsidR="00F7377D" w:rsidRPr="00457AC7" w:rsidRDefault="00F7377D" w:rsidP="00457AC7">
            <w:pPr>
              <w:pStyle w:val="TableText"/>
              <w:jc w:val="center"/>
              <w:rPr>
                <w:b/>
              </w:rPr>
            </w:pPr>
            <w:r w:rsidRPr="00457AC7">
              <w:rPr>
                <w:b/>
              </w:rPr>
              <w:t>Acquisitive crime</w:t>
            </w:r>
          </w:p>
        </w:tc>
        <w:tc>
          <w:tcPr>
            <w:tcW w:w="1631" w:type="dxa"/>
            <w:shd w:val="clear" w:color="auto" w:fill="auto"/>
          </w:tcPr>
          <w:p w14:paraId="29892CC2" w14:textId="77777777" w:rsidR="00F7377D" w:rsidRPr="00457AC7" w:rsidRDefault="00F7377D" w:rsidP="00457AC7">
            <w:pPr>
              <w:pStyle w:val="TableText"/>
              <w:jc w:val="center"/>
              <w:rPr>
                <w:b/>
              </w:rPr>
            </w:pPr>
            <w:r w:rsidRPr="00457AC7">
              <w:rPr>
                <w:b/>
              </w:rPr>
              <w:t>Reinvestment in other crime</w:t>
            </w:r>
          </w:p>
        </w:tc>
        <w:tc>
          <w:tcPr>
            <w:tcW w:w="1312" w:type="dxa"/>
            <w:shd w:val="clear" w:color="auto" w:fill="auto"/>
          </w:tcPr>
          <w:p w14:paraId="0E86C6C0" w14:textId="77777777" w:rsidR="00F7377D" w:rsidRPr="00457AC7" w:rsidRDefault="00F7377D" w:rsidP="00457AC7">
            <w:pPr>
              <w:pStyle w:val="TableText"/>
              <w:jc w:val="center"/>
              <w:rPr>
                <w:b/>
              </w:rPr>
            </w:pPr>
            <w:r w:rsidRPr="00457AC7">
              <w:rPr>
                <w:b/>
              </w:rPr>
              <w:t>Tax revenue foregone</w:t>
            </w:r>
          </w:p>
        </w:tc>
        <w:tc>
          <w:tcPr>
            <w:tcW w:w="1134" w:type="dxa"/>
            <w:shd w:val="clear" w:color="auto" w:fill="auto"/>
          </w:tcPr>
          <w:p w14:paraId="63837709" w14:textId="77777777" w:rsidR="00F7377D" w:rsidRPr="00457AC7" w:rsidRDefault="00F7377D" w:rsidP="00457AC7">
            <w:pPr>
              <w:pStyle w:val="TableText"/>
              <w:jc w:val="center"/>
              <w:rPr>
                <w:b/>
              </w:rPr>
            </w:pPr>
            <w:r w:rsidRPr="00457AC7">
              <w:rPr>
                <w:b/>
              </w:rPr>
              <w:t>Total harm</w:t>
            </w:r>
          </w:p>
        </w:tc>
      </w:tr>
      <w:tr w:rsidR="00570DA7" w:rsidRPr="00797148" w14:paraId="671BA7B9" w14:textId="77777777" w:rsidTr="00570DA7">
        <w:trPr>
          <w:cantSplit/>
        </w:trPr>
        <w:tc>
          <w:tcPr>
            <w:tcW w:w="2127" w:type="dxa"/>
            <w:tcBorders>
              <w:bottom w:val="nil"/>
            </w:tcBorders>
            <w:shd w:val="clear" w:color="auto" w:fill="auto"/>
          </w:tcPr>
          <w:p w14:paraId="0585B259" w14:textId="77777777" w:rsidR="00570DA7" w:rsidRPr="00D54749" w:rsidRDefault="00570DA7" w:rsidP="00570DA7">
            <w:pPr>
              <w:pStyle w:val="TableText"/>
              <w:rPr>
                <w:i/>
              </w:rPr>
            </w:pPr>
            <w:r w:rsidRPr="00D54749">
              <w:rPr>
                <w:i/>
                <w:lang w:eastAsia="en-AU"/>
              </w:rPr>
              <w:t>Methamphetamine</w:t>
            </w:r>
          </w:p>
        </w:tc>
        <w:tc>
          <w:tcPr>
            <w:tcW w:w="1594" w:type="dxa"/>
            <w:tcBorders>
              <w:bottom w:val="nil"/>
            </w:tcBorders>
            <w:shd w:val="clear" w:color="auto" w:fill="auto"/>
          </w:tcPr>
          <w:p w14:paraId="7517AA84" w14:textId="2ECDCD3A" w:rsidR="00570DA7" w:rsidRPr="006B795E" w:rsidRDefault="00570DA7" w:rsidP="00570DA7">
            <w:pPr>
              <w:pStyle w:val="TableText"/>
              <w:tabs>
                <w:tab w:val="decimal" w:pos="737"/>
              </w:tabs>
            </w:pPr>
            <w:r w:rsidRPr="000C6648">
              <w:t>254.27</w:t>
            </w:r>
          </w:p>
        </w:tc>
        <w:tc>
          <w:tcPr>
            <w:tcW w:w="1311" w:type="dxa"/>
            <w:tcBorders>
              <w:bottom w:val="nil"/>
            </w:tcBorders>
            <w:shd w:val="clear" w:color="auto" w:fill="auto"/>
          </w:tcPr>
          <w:p w14:paraId="27F56DE9" w14:textId="4585294D" w:rsidR="00570DA7" w:rsidRPr="006B795E" w:rsidRDefault="00570DA7" w:rsidP="00570DA7">
            <w:pPr>
              <w:pStyle w:val="TableText"/>
              <w:tabs>
                <w:tab w:val="decimal" w:pos="561"/>
              </w:tabs>
            </w:pPr>
            <w:r w:rsidRPr="000C6648">
              <w:t>100.51</w:t>
            </w:r>
          </w:p>
        </w:tc>
        <w:tc>
          <w:tcPr>
            <w:tcW w:w="1631" w:type="dxa"/>
            <w:tcBorders>
              <w:bottom w:val="nil"/>
            </w:tcBorders>
            <w:shd w:val="clear" w:color="auto" w:fill="auto"/>
          </w:tcPr>
          <w:p w14:paraId="0D86431D" w14:textId="0EFC14AF" w:rsidR="00570DA7" w:rsidRPr="006B795E" w:rsidRDefault="00570DA7" w:rsidP="00570DA7">
            <w:pPr>
              <w:pStyle w:val="TableText"/>
              <w:tabs>
                <w:tab w:val="decimal" w:pos="652"/>
              </w:tabs>
            </w:pPr>
            <w:r w:rsidRPr="000C6648">
              <w:t>13.08</w:t>
            </w:r>
          </w:p>
        </w:tc>
        <w:tc>
          <w:tcPr>
            <w:tcW w:w="1312" w:type="dxa"/>
            <w:tcBorders>
              <w:bottom w:val="nil"/>
            </w:tcBorders>
            <w:shd w:val="clear" w:color="auto" w:fill="auto"/>
          </w:tcPr>
          <w:p w14:paraId="72C95D3D" w14:textId="0B6F419F" w:rsidR="00570DA7" w:rsidRPr="006B795E" w:rsidRDefault="00570DA7" w:rsidP="00570DA7">
            <w:pPr>
              <w:pStyle w:val="TableText"/>
              <w:tabs>
                <w:tab w:val="decimal" w:pos="595"/>
              </w:tabs>
            </w:pPr>
            <w:r w:rsidRPr="000C6648">
              <w:t>51.12</w:t>
            </w:r>
          </w:p>
        </w:tc>
        <w:tc>
          <w:tcPr>
            <w:tcW w:w="1134" w:type="dxa"/>
            <w:tcBorders>
              <w:bottom w:val="nil"/>
            </w:tcBorders>
            <w:shd w:val="clear" w:color="auto" w:fill="auto"/>
          </w:tcPr>
          <w:p w14:paraId="320AE5B9" w14:textId="7F0F9197" w:rsidR="00570DA7" w:rsidRPr="006B795E" w:rsidRDefault="00570DA7" w:rsidP="00570DA7">
            <w:pPr>
              <w:pStyle w:val="TableText"/>
              <w:tabs>
                <w:tab w:val="decimal" w:pos="526"/>
              </w:tabs>
            </w:pPr>
            <w:r w:rsidRPr="000C6648">
              <w:t>418.98</w:t>
            </w:r>
          </w:p>
        </w:tc>
      </w:tr>
      <w:tr w:rsidR="00570DA7" w:rsidRPr="00797148" w14:paraId="042A41DE" w14:textId="77777777" w:rsidTr="00570DA7">
        <w:trPr>
          <w:cantSplit/>
        </w:trPr>
        <w:tc>
          <w:tcPr>
            <w:tcW w:w="2127" w:type="dxa"/>
            <w:tcBorders>
              <w:top w:val="nil"/>
              <w:bottom w:val="nil"/>
            </w:tcBorders>
            <w:shd w:val="clear" w:color="auto" w:fill="auto"/>
          </w:tcPr>
          <w:p w14:paraId="2AFE42EB" w14:textId="77777777" w:rsidR="00570DA7" w:rsidRPr="00D54749" w:rsidRDefault="00570DA7" w:rsidP="00570DA7">
            <w:pPr>
              <w:pStyle w:val="TableText"/>
              <w:rPr>
                <w:i/>
              </w:rPr>
            </w:pPr>
            <w:r w:rsidRPr="00D54749">
              <w:rPr>
                <w:i/>
                <w:lang w:eastAsia="en-AU"/>
              </w:rPr>
              <w:t>Cocaine</w:t>
            </w:r>
          </w:p>
        </w:tc>
        <w:tc>
          <w:tcPr>
            <w:tcW w:w="1594" w:type="dxa"/>
            <w:tcBorders>
              <w:top w:val="nil"/>
              <w:bottom w:val="nil"/>
            </w:tcBorders>
            <w:shd w:val="clear" w:color="auto" w:fill="auto"/>
          </w:tcPr>
          <w:p w14:paraId="7759FB9F" w14:textId="2DEACCB4" w:rsidR="00570DA7" w:rsidRPr="006B795E" w:rsidRDefault="00570DA7" w:rsidP="00570DA7">
            <w:pPr>
              <w:pStyle w:val="TableText"/>
              <w:tabs>
                <w:tab w:val="decimal" w:pos="737"/>
              </w:tabs>
            </w:pPr>
            <w:r w:rsidRPr="000C6648">
              <w:t>2.66</w:t>
            </w:r>
          </w:p>
        </w:tc>
        <w:tc>
          <w:tcPr>
            <w:tcW w:w="1311" w:type="dxa"/>
            <w:tcBorders>
              <w:top w:val="nil"/>
              <w:bottom w:val="nil"/>
            </w:tcBorders>
            <w:shd w:val="clear" w:color="auto" w:fill="auto"/>
          </w:tcPr>
          <w:p w14:paraId="52170330" w14:textId="77F008FA" w:rsidR="00570DA7" w:rsidRPr="006B795E" w:rsidRDefault="00570DA7" w:rsidP="00570DA7">
            <w:pPr>
              <w:pStyle w:val="TableText"/>
              <w:tabs>
                <w:tab w:val="decimal" w:pos="561"/>
              </w:tabs>
            </w:pPr>
            <w:r w:rsidRPr="000C6648">
              <w:t>1.05</w:t>
            </w:r>
          </w:p>
        </w:tc>
        <w:tc>
          <w:tcPr>
            <w:tcW w:w="1631" w:type="dxa"/>
            <w:tcBorders>
              <w:top w:val="nil"/>
              <w:bottom w:val="nil"/>
            </w:tcBorders>
            <w:shd w:val="clear" w:color="auto" w:fill="auto"/>
          </w:tcPr>
          <w:p w14:paraId="57E22F2A" w14:textId="54EF498B" w:rsidR="00570DA7" w:rsidRPr="006B795E" w:rsidRDefault="00570DA7" w:rsidP="00570DA7">
            <w:pPr>
              <w:pStyle w:val="TableText"/>
              <w:tabs>
                <w:tab w:val="decimal" w:pos="652"/>
              </w:tabs>
            </w:pPr>
            <w:r w:rsidRPr="000C6648">
              <w:t>1.06</w:t>
            </w:r>
          </w:p>
        </w:tc>
        <w:tc>
          <w:tcPr>
            <w:tcW w:w="1312" w:type="dxa"/>
            <w:tcBorders>
              <w:top w:val="nil"/>
              <w:bottom w:val="nil"/>
            </w:tcBorders>
            <w:shd w:val="clear" w:color="auto" w:fill="auto"/>
          </w:tcPr>
          <w:p w14:paraId="1B383939" w14:textId="4511E5DF" w:rsidR="00570DA7" w:rsidRPr="006B795E" w:rsidRDefault="00570DA7" w:rsidP="00570DA7">
            <w:pPr>
              <w:pStyle w:val="TableText"/>
              <w:tabs>
                <w:tab w:val="decimal" w:pos="595"/>
              </w:tabs>
            </w:pPr>
            <w:r w:rsidRPr="000C6648">
              <w:t>4.13</w:t>
            </w:r>
          </w:p>
        </w:tc>
        <w:tc>
          <w:tcPr>
            <w:tcW w:w="1134" w:type="dxa"/>
            <w:tcBorders>
              <w:top w:val="nil"/>
              <w:bottom w:val="nil"/>
            </w:tcBorders>
            <w:shd w:val="clear" w:color="auto" w:fill="auto"/>
          </w:tcPr>
          <w:p w14:paraId="56F806D0" w14:textId="26B32C8A" w:rsidR="00570DA7" w:rsidRPr="006B795E" w:rsidRDefault="00570DA7" w:rsidP="00570DA7">
            <w:pPr>
              <w:pStyle w:val="TableText"/>
              <w:tabs>
                <w:tab w:val="decimal" w:pos="526"/>
              </w:tabs>
            </w:pPr>
            <w:r w:rsidRPr="000C6648">
              <w:t>8.89</w:t>
            </w:r>
          </w:p>
        </w:tc>
      </w:tr>
      <w:tr w:rsidR="00570DA7" w:rsidRPr="00797148" w14:paraId="00948C05" w14:textId="77777777" w:rsidTr="00570DA7">
        <w:trPr>
          <w:cantSplit/>
        </w:trPr>
        <w:tc>
          <w:tcPr>
            <w:tcW w:w="2127" w:type="dxa"/>
            <w:tcBorders>
              <w:top w:val="nil"/>
              <w:bottom w:val="nil"/>
            </w:tcBorders>
            <w:shd w:val="clear" w:color="auto" w:fill="auto"/>
          </w:tcPr>
          <w:p w14:paraId="642D8F21" w14:textId="77777777" w:rsidR="00570DA7" w:rsidRPr="00D54749" w:rsidRDefault="00570DA7" w:rsidP="00570DA7">
            <w:pPr>
              <w:pStyle w:val="TableText"/>
              <w:rPr>
                <w:i/>
              </w:rPr>
            </w:pPr>
            <w:r w:rsidRPr="00D54749">
              <w:rPr>
                <w:i/>
                <w:lang w:eastAsia="en-AU"/>
              </w:rPr>
              <w:t>MDMA</w:t>
            </w:r>
          </w:p>
        </w:tc>
        <w:tc>
          <w:tcPr>
            <w:tcW w:w="1594" w:type="dxa"/>
            <w:tcBorders>
              <w:top w:val="nil"/>
              <w:bottom w:val="nil"/>
            </w:tcBorders>
            <w:shd w:val="clear" w:color="auto" w:fill="auto"/>
          </w:tcPr>
          <w:p w14:paraId="42D8C8A5" w14:textId="6C3DD407" w:rsidR="00570DA7" w:rsidRPr="006B795E" w:rsidRDefault="00570DA7" w:rsidP="00570DA7">
            <w:pPr>
              <w:pStyle w:val="TableText"/>
              <w:tabs>
                <w:tab w:val="decimal" w:pos="737"/>
              </w:tabs>
            </w:pPr>
            <w:r w:rsidRPr="000C6648">
              <w:t>9.00</w:t>
            </w:r>
          </w:p>
        </w:tc>
        <w:tc>
          <w:tcPr>
            <w:tcW w:w="1311" w:type="dxa"/>
            <w:tcBorders>
              <w:top w:val="nil"/>
              <w:bottom w:val="nil"/>
            </w:tcBorders>
            <w:shd w:val="clear" w:color="auto" w:fill="auto"/>
          </w:tcPr>
          <w:p w14:paraId="11962BC0" w14:textId="4F442D5D" w:rsidR="00570DA7" w:rsidRPr="006B795E" w:rsidRDefault="00570DA7" w:rsidP="00570DA7">
            <w:pPr>
              <w:pStyle w:val="TableText"/>
              <w:tabs>
                <w:tab w:val="decimal" w:pos="561"/>
              </w:tabs>
            </w:pPr>
            <w:r w:rsidRPr="000C6648">
              <w:t>3.56</w:t>
            </w:r>
          </w:p>
        </w:tc>
        <w:tc>
          <w:tcPr>
            <w:tcW w:w="1631" w:type="dxa"/>
            <w:tcBorders>
              <w:top w:val="nil"/>
              <w:bottom w:val="nil"/>
            </w:tcBorders>
            <w:shd w:val="clear" w:color="auto" w:fill="auto"/>
          </w:tcPr>
          <w:p w14:paraId="49191501" w14:textId="11EF0BE1" w:rsidR="00570DA7" w:rsidRPr="006B795E" w:rsidRDefault="00570DA7" w:rsidP="00570DA7">
            <w:pPr>
              <w:pStyle w:val="TableText"/>
              <w:tabs>
                <w:tab w:val="decimal" w:pos="652"/>
              </w:tabs>
            </w:pPr>
            <w:r w:rsidRPr="000C6648">
              <w:t>3.32</w:t>
            </w:r>
          </w:p>
        </w:tc>
        <w:tc>
          <w:tcPr>
            <w:tcW w:w="1312" w:type="dxa"/>
            <w:tcBorders>
              <w:top w:val="nil"/>
              <w:bottom w:val="nil"/>
            </w:tcBorders>
            <w:shd w:val="clear" w:color="auto" w:fill="auto"/>
          </w:tcPr>
          <w:p w14:paraId="6247A04D" w14:textId="23D92F32" w:rsidR="00570DA7" w:rsidRPr="006B795E" w:rsidRDefault="00570DA7" w:rsidP="00570DA7">
            <w:pPr>
              <w:pStyle w:val="TableText"/>
              <w:tabs>
                <w:tab w:val="decimal" w:pos="595"/>
              </w:tabs>
            </w:pPr>
            <w:r w:rsidRPr="000C6648">
              <w:t>13.00</w:t>
            </w:r>
          </w:p>
        </w:tc>
        <w:tc>
          <w:tcPr>
            <w:tcW w:w="1134" w:type="dxa"/>
            <w:tcBorders>
              <w:top w:val="nil"/>
              <w:bottom w:val="nil"/>
            </w:tcBorders>
            <w:shd w:val="clear" w:color="auto" w:fill="auto"/>
          </w:tcPr>
          <w:p w14:paraId="70DD9B1D" w14:textId="046C3A88" w:rsidR="00570DA7" w:rsidRPr="006B795E" w:rsidRDefault="00570DA7" w:rsidP="00570DA7">
            <w:pPr>
              <w:pStyle w:val="TableText"/>
              <w:tabs>
                <w:tab w:val="decimal" w:pos="526"/>
              </w:tabs>
            </w:pPr>
            <w:r w:rsidRPr="000C6648">
              <w:t>28.88</w:t>
            </w:r>
          </w:p>
        </w:tc>
      </w:tr>
      <w:tr w:rsidR="00570DA7" w:rsidRPr="00797148" w14:paraId="5DF2CCF9" w14:textId="77777777" w:rsidTr="00570DA7">
        <w:trPr>
          <w:cantSplit/>
        </w:trPr>
        <w:tc>
          <w:tcPr>
            <w:tcW w:w="2127" w:type="dxa"/>
            <w:tcBorders>
              <w:top w:val="nil"/>
              <w:bottom w:val="nil"/>
            </w:tcBorders>
            <w:shd w:val="clear" w:color="auto" w:fill="auto"/>
          </w:tcPr>
          <w:p w14:paraId="5DCC3F42" w14:textId="77777777" w:rsidR="00570DA7" w:rsidRPr="00D54749" w:rsidRDefault="00570DA7" w:rsidP="00570DA7">
            <w:pPr>
              <w:pStyle w:val="TableText"/>
              <w:rPr>
                <w:i/>
              </w:rPr>
            </w:pPr>
            <w:r w:rsidRPr="00D54749">
              <w:rPr>
                <w:i/>
                <w:lang w:eastAsia="en-AU"/>
              </w:rPr>
              <w:t>Heroin</w:t>
            </w:r>
          </w:p>
        </w:tc>
        <w:tc>
          <w:tcPr>
            <w:tcW w:w="1594" w:type="dxa"/>
            <w:tcBorders>
              <w:top w:val="nil"/>
              <w:bottom w:val="nil"/>
            </w:tcBorders>
            <w:shd w:val="clear" w:color="auto" w:fill="auto"/>
          </w:tcPr>
          <w:p w14:paraId="7FA39D97" w14:textId="0452A526" w:rsidR="00570DA7" w:rsidRPr="006B795E" w:rsidRDefault="00570DA7" w:rsidP="00570DA7">
            <w:pPr>
              <w:pStyle w:val="TableText"/>
              <w:tabs>
                <w:tab w:val="decimal" w:pos="737"/>
              </w:tabs>
            </w:pPr>
            <w:r w:rsidRPr="000C6648">
              <w:t>*</w:t>
            </w:r>
          </w:p>
        </w:tc>
        <w:tc>
          <w:tcPr>
            <w:tcW w:w="1311" w:type="dxa"/>
            <w:tcBorders>
              <w:top w:val="nil"/>
              <w:bottom w:val="nil"/>
            </w:tcBorders>
            <w:shd w:val="clear" w:color="auto" w:fill="auto"/>
          </w:tcPr>
          <w:p w14:paraId="42E1B49F" w14:textId="301CB275" w:rsidR="00570DA7" w:rsidRPr="006B795E" w:rsidRDefault="00570DA7" w:rsidP="00570DA7">
            <w:pPr>
              <w:pStyle w:val="TableText"/>
              <w:tabs>
                <w:tab w:val="decimal" w:pos="561"/>
              </w:tabs>
            </w:pPr>
            <w:r w:rsidRPr="000C6648">
              <w:t>*</w:t>
            </w:r>
          </w:p>
        </w:tc>
        <w:tc>
          <w:tcPr>
            <w:tcW w:w="1631" w:type="dxa"/>
            <w:tcBorders>
              <w:top w:val="nil"/>
              <w:bottom w:val="nil"/>
            </w:tcBorders>
            <w:shd w:val="clear" w:color="auto" w:fill="auto"/>
          </w:tcPr>
          <w:p w14:paraId="67DB20E2" w14:textId="3ADDE66F" w:rsidR="00570DA7" w:rsidRPr="006B795E" w:rsidRDefault="00570DA7" w:rsidP="00570DA7">
            <w:pPr>
              <w:pStyle w:val="TableText"/>
              <w:tabs>
                <w:tab w:val="decimal" w:pos="652"/>
              </w:tabs>
            </w:pPr>
            <w:r w:rsidRPr="000C6648">
              <w:t>*</w:t>
            </w:r>
          </w:p>
        </w:tc>
        <w:tc>
          <w:tcPr>
            <w:tcW w:w="1312" w:type="dxa"/>
            <w:tcBorders>
              <w:top w:val="nil"/>
              <w:bottom w:val="nil"/>
            </w:tcBorders>
            <w:shd w:val="clear" w:color="auto" w:fill="auto"/>
          </w:tcPr>
          <w:p w14:paraId="5C89783C" w14:textId="7BE7EB87" w:rsidR="00570DA7" w:rsidRPr="006B795E" w:rsidRDefault="00570DA7" w:rsidP="00570DA7">
            <w:pPr>
              <w:pStyle w:val="TableText"/>
              <w:tabs>
                <w:tab w:val="decimal" w:pos="595"/>
              </w:tabs>
            </w:pPr>
            <w:r w:rsidRPr="000C6648">
              <w:t>*</w:t>
            </w:r>
          </w:p>
        </w:tc>
        <w:tc>
          <w:tcPr>
            <w:tcW w:w="1134" w:type="dxa"/>
            <w:tcBorders>
              <w:top w:val="nil"/>
              <w:bottom w:val="nil"/>
            </w:tcBorders>
            <w:shd w:val="clear" w:color="auto" w:fill="auto"/>
          </w:tcPr>
          <w:p w14:paraId="20D6727C" w14:textId="3AC93CE9" w:rsidR="00570DA7" w:rsidRPr="006B795E" w:rsidRDefault="00570DA7" w:rsidP="00570DA7">
            <w:pPr>
              <w:pStyle w:val="TableText"/>
              <w:tabs>
                <w:tab w:val="decimal" w:pos="526"/>
              </w:tabs>
            </w:pPr>
            <w:r w:rsidRPr="000C6648">
              <w:t>*</w:t>
            </w:r>
          </w:p>
        </w:tc>
      </w:tr>
      <w:tr w:rsidR="00570DA7" w:rsidRPr="00797148" w14:paraId="2D8D9E41" w14:textId="77777777" w:rsidTr="00570DA7">
        <w:trPr>
          <w:cantSplit/>
        </w:trPr>
        <w:tc>
          <w:tcPr>
            <w:tcW w:w="2127" w:type="dxa"/>
            <w:tcBorders>
              <w:top w:val="nil"/>
              <w:bottom w:val="nil"/>
            </w:tcBorders>
            <w:shd w:val="clear" w:color="auto" w:fill="auto"/>
          </w:tcPr>
          <w:p w14:paraId="46AE42B3" w14:textId="77777777" w:rsidR="00570DA7" w:rsidRPr="00D54749" w:rsidRDefault="00570DA7" w:rsidP="00570DA7">
            <w:pPr>
              <w:pStyle w:val="TableText"/>
              <w:rPr>
                <w:i/>
                <w:lang w:eastAsia="en-AU"/>
              </w:rPr>
            </w:pPr>
            <w:r w:rsidRPr="00D54749">
              <w:rPr>
                <w:i/>
                <w:lang w:eastAsia="en-AU"/>
              </w:rPr>
              <w:t>GHB/GBL</w:t>
            </w:r>
          </w:p>
        </w:tc>
        <w:tc>
          <w:tcPr>
            <w:tcW w:w="1594" w:type="dxa"/>
            <w:tcBorders>
              <w:top w:val="nil"/>
              <w:bottom w:val="nil"/>
            </w:tcBorders>
            <w:shd w:val="clear" w:color="auto" w:fill="auto"/>
          </w:tcPr>
          <w:p w14:paraId="2641A97E" w14:textId="101FD3BF" w:rsidR="00570DA7" w:rsidRPr="006B795E" w:rsidRDefault="00570DA7" w:rsidP="00570DA7">
            <w:pPr>
              <w:pStyle w:val="TableText"/>
              <w:tabs>
                <w:tab w:val="decimal" w:pos="737"/>
              </w:tabs>
            </w:pPr>
            <w:r w:rsidRPr="000C6648">
              <w:t>1.39</w:t>
            </w:r>
          </w:p>
        </w:tc>
        <w:tc>
          <w:tcPr>
            <w:tcW w:w="1311" w:type="dxa"/>
            <w:tcBorders>
              <w:top w:val="nil"/>
              <w:bottom w:val="nil"/>
            </w:tcBorders>
            <w:shd w:val="clear" w:color="auto" w:fill="auto"/>
          </w:tcPr>
          <w:p w14:paraId="400FFFCB" w14:textId="331A22B0" w:rsidR="00570DA7" w:rsidRPr="006B795E" w:rsidRDefault="00570DA7" w:rsidP="00570DA7">
            <w:pPr>
              <w:pStyle w:val="TableText"/>
              <w:tabs>
                <w:tab w:val="decimal" w:pos="561"/>
              </w:tabs>
            </w:pPr>
            <w:r w:rsidRPr="000C6648">
              <w:t>0.55</w:t>
            </w:r>
          </w:p>
        </w:tc>
        <w:tc>
          <w:tcPr>
            <w:tcW w:w="1631" w:type="dxa"/>
            <w:tcBorders>
              <w:top w:val="nil"/>
              <w:bottom w:val="nil"/>
            </w:tcBorders>
            <w:shd w:val="clear" w:color="auto" w:fill="auto"/>
          </w:tcPr>
          <w:p w14:paraId="40D4F15A" w14:textId="10BECAA7" w:rsidR="00570DA7" w:rsidRPr="006B795E" w:rsidRDefault="00570DA7" w:rsidP="00570DA7">
            <w:pPr>
              <w:pStyle w:val="TableText"/>
              <w:tabs>
                <w:tab w:val="decimal" w:pos="652"/>
              </w:tabs>
            </w:pPr>
            <w:r w:rsidRPr="000C6648">
              <w:t>*</w:t>
            </w:r>
          </w:p>
        </w:tc>
        <w:tc>
          <w:tcPr>
            <w:tcW w:w="1312" w:type="dxa"/>
            <w:tcBorders>
              <w:top w:val="nil"/>
              <w:bottom w:val="nil"/>
            </w:tcBorders>
            <w:shd w:val="clear" w:color="auto" w:fill="auto"/>
          </w:tcPr>
          <w:p w14:paraId="443BE508" w14:textId="4A14D4CF" w:rsidR="00570DA7" w:rsidRPr="006B795E" w:rsidRDefault="00570DA7" w:rsidP="00570DA7">
            <w:pPr>
              <w:pStyle w:val="TableText"/>
              <w:tabs>
                <w:tab w:val="decimal" w:pos="595"/>
              </w:tabs>
            </w:pPr>
            <w:r w:rsidRPr="000C6648">
              <w:t>*</w:t>
            </w:r>
          </w:p>
        </w:tc>
        <w:tc>
          <w:tcPr>
            <w:tcW w:w="1134" w:type="dxa"/>
            <w:tcBorders>
              <w:top w:val="nil"/>
              <w:bottom w:val="nil"/>
            </w:tcBorders>
            <w:shd w:val="clear" w:color="auto" w:fill="auto"/>
          </w:tcPr>
          <w:p w14:paraId="48CE4DDB" w14:textId="34ABF729" w:rsidR="00570DA7" w:rsidRPr="006B795E" w:rsidRDefault="00570DA7" w:rsidP="00570DA7">
            <w:pPr>
              <w:pStyle w:val="TableText"/>
              <w:tabs>
                <w:tab w:val="decimal" w:pos="526"/>
              </w:tabs>
            </w:pPr>
            <w:r w:rsidRPr="000C6648">
              <w:t>1.93</w:t>
            </w:r>
          </w:p>
        </w:tc>
      </w:tr>
      <w:tr w:rsidR="00570DA7" w:rsidRPr="00797148" w14:paraId="50E3203A" w14:textId="77777777" w:rsidTr="00570DA7">
        <w:trPr>
          <w:cantSplit/>
        </w:trPr>
        <w:tc>
          <w:tcPr>
            <w:tcW w:w="2127" w:type="dxa"/>
            <w:tcBorders>
              <w:top w:val="nil"/>
              <w:bottom w:val="nil"/>
            </w:tcBorders>
            <w:shd w:val="clear" w:color="auto" w:fill="auto"/>
          </w:tcPr>
          <w:p w14:paraId="2CFCF955" w14:textId="77777777" w:rsidR="00570DA7" w:rsidRPr="00D54749" w:rsidRDefault="00570DA7" w:rsidP="00570DA7">
            <w:pPr>
              <w:pStyle w:val="TableText"/>
              <w:rPr>
                <w:i/>
              </w:rPr>
            </w:pPr>
            <w:r w:rsidRPr="00D54749">
              <w:rPr>
                <w:i/>
                <w:lang w:eastAsia="en-AU"/>
              </w:rPr>
              <w:t>Cannabis</w:t>
            </w:r>
          </w:p>
        </w:tc>
        <w:tc>
          <w:tcPr>
            <w:tcW w:w="1594" w:type="dxa"/>
            <w:tcBorders>
              <w:top w:val="nil"/>
              <w:bottom w:val="nil"/>
            </w:tcBorders>
            <w:shd w:val="clear" w:color="auto" w:fill="auto"/>
          </w:tcPr>
          <w:p w14:paraId="7FF603EC" w14:textId="5C0C3400" w:rsidR="00570DA7" w:rsidRPr="006B795E" w:rsidRDefault="00570DA7" w:rsidP="00570DA7">
            <w:pPr>
              <w:pStyle w:val="TableText"/>
              <w:tabs>
                <w:tab w:val="decimal" w:pos="737"/>
              </w:tabs>
            </w:pPr>
            <w:r w:rsidRPr="000C6648">
              <w:t>249.89</w:t>
            </w:r>
          </w:p>
        </w:tc>
        <w:tc>
          <w:tcPr>
            <w:tcW w:w="1311" w:type="dxa"/>
            <w:tcBorders>
              <w:top w:val="nil"/>
              <w:bottom w:val="nil"/>
            </w:tcBorders>
            <w:shd w:val="clear" w:color="auto" w:fill="auto"/>
          </w:tcPr>
          <w:p w14:paraId="1C0170F8" w14:textId="6FE63AA6" w:rsidR="00570DA7" w:rsidRPr="006B795E" w:rsidRDefault="00570DA7" w:rsidP="00570DA7">
            <w:pPr>
              <w:pStyle w:val="TableText"/>
              <w:tabs>
                <w:tab w:val="decimal" w:pos="561"/>
              </w:tabs>
            </w:pPr>
            <w:r w:rsidRPr="000C6648">
              <w:t>98.78</w:t>
            </w:r>
          </w:p>
        </w:tc>
        <w:tc>
          <w:tcPr>
            <w:tcW w:w="1631" w:type="dxa"/>
            <w:tcBorders>
              <w:top w:val="nil"/>
              <w:bottom w:val="nil"/>
            </w:tcBorders>
            <w:shd w:val="clear" w:color="auto" w:fill="auto"/>
          </w:tcPr>
          <w:p w14:paraId="7E5793DC" w14:textId="2E14E0E0" w:rsidR="00570DA7" w:rsidRPr="006B795E" w:rsidRDefault="00570DA7" w:rsidP="00570DA7">
            <w:pPr>
              <w:pStyle w:val="TableText"/>
              <w:tabs>
                <w:tab w:val="decimal" w:pos="652"/>
              </w:tabs>
            </w:pPr>
            <w:r w:rsidRPr="000C6648">
              <w:t>57.38</w:t>
            </w:r>
          </w:p>
        </w:tc>
        <w:tc>
          <w:tcPr>
            <w:tcW w:w="1312" w:type="dxa"/>
            <w:tcBorders>
              <w:top w:val="nil"/>
              <w:bottom w:val="nil"/>
            </w:tcBorders>
            <w:shd w:val="clear" w:color="auto" w:fill="auto"/>
          </w:tcPr>
          <w:p w14:paraId="00D060DA" w14:textId="16755035" w:rsidR="00570DA7" w:rsidRPr="006B795E" w:rsidRDefault="00570DA7" w:rsidP="00570DA7">
            <w:pPr>
              <w:pStyle w:val="TableText"/>
              <w:tabs>
                <w:tab w:val="decimal" w:pos="595"/>
              </w:tabs>
            </w:pPr>
            <w:r w:rsidRPr="000C6648">
              <w:t>224.29</w:t>
            </w:r>
          </w:p>
        </w:tc>
        <w:tc>
          <w:tcPr>
            <w:tcW w:w="1134" w:type="dxa"/>
            <w:tcBorders>
              <w:top w:val="nil"/>
              <w:bottom w:val="nil"/>
            </w:tcBorders>
            <w:shd w:val="clear" w:color="auto" w:fill="auto"/>
          </w:tcPr>
          <w:p w14:paraId="55203D79" w14:textId="71CA28FB" w:rsidR="00570DA7" w:rsidRPr="006B795E" w:rsidRDefault="00570DA7" w:rsidP="00570DA7">
            <w:pPr>
              <w:pStyle w:val="TableText"/>
              <w:tabs>
                <w:tab w:val="decimal" w:pos="526"/>
              </w:tabs>
            </w:pPr>
            <w:r w:rsidRPr="000C6648">
              <w:t>630.34</w:t>
            </w:r>
          </w:p>
        </w:tc>
      </w:tr>
      <w:tr w:rsidR="00570DA7" w:rsidRPr="00797148" w14:paraId="5397C976" w14:textId="77777777" w:rsidTr="00570DA7">
        <w:trPr>
          <w:cantSplit/>
        </w:trPr>
        <w:tc>
          <w:tcPr>
            <w:tcW w:w="2127" w:type="dxa"/>
            <w:tcBorders>
              <w:top w:val="nil"/>
            </w:tcBorders>
            <w:shd w:val="clear" w:color="auto" w:fill="auto"/>
          </w:tcPr>
          <w:p w14:paraId="34582B23" w14:textId="77777777" w:rsidR="00570DA7" w:rsidRPr="00D54749" w:rsidRDefault="00570DA7" w:rsidP="00570DA7">
            <w:pPr>
              <w:pStyle w:val="TableText"/>
              <w:rPr>
                <w:i/>
              </w:rPr>
            </w:pPr>
            <w:r w:rsidRPr="00D54749">
              <w:rPr>
                <w:i/>
                <w:lang w:eastAsia="en-AU"/>
              </w:rPr>
              <w:t>Synthetic cannabinoids</w:t>
            </w:r>
          </w:p>
        </w:tc>
        <w:tc>
          <w:tcPr>
            <w:tcW w:w="1594" w:type="dxa"/>
            <w:tcBorders>
              <w:top w:val="nil"/>
            </w:tcBorders>
            <w:shd w:val="clear" w:color="auto" w:fill="auto"/>
          </w:tcPr>
          <w:p w14:paraId="357B9DEE" w14:textId="6C4AF886" w:rsidR="00570DA7" w:rsidRPr="006B795E" w:rsidRDefault="00570DA7" w:rsidP="00570DA7">
            <w:pPr>
              <w:pStyle w:val="TableText"/>
              <w:tabs>
                <w:tab w:val="decimal" w:pos="737"/>
              </w:tabs>
            </w:pPr>
            <w:r w:rsidRPr="000C6648">
              <w:t>1.52</w:t>
            </w:r>
          </w:p>
        </w:tc>
        <w:tc>
          <w:tcPr>
            <w:tcW w:w="1311" w:type="dxa"/>
            <w:tcBorders>
              <w:top w:val="nil"/>
            </w:tcBorders>
            <w:shd w:val="clear" w:color="auto" w:fill="auto"/>
          </w:tcPr>
          <w:p w14:paraId="6266807C" w14:textId="44CF867D" w:rsidR="00570DA7" w:rsidRPr="006B795E" w:rsidRDefault="00570DA7" w:rsidP="00570DA7">
            <w:pPr>
              <w:pStyle w:val="TableText"/>
              <w:tabs>
                <w:tab w:val="decimal" w:pos="561"/>
              </w:tabs>
            </w:pPr>
            <w:r w:rsidRPr="000C6648">
              <w:t>0.60</w:t>
            </w:r>
          </w:p>
        </w:tc>
        <w:tc>
          <w:tcPr>
            <w:tcW w:w="1631" w:type="dxa"/>
            <w:tcBorders>
              <w:top w:val="nil"/>
            </w:tcBorders>
            <w:shd w:val="clear" w:color="auto" w:fill="auto"/>
          </w:tcPr>
          <w:p w14:paraId="115C0AC3" w14:textId="5E438C22" w:rsidR="00570DA7" w:rsidRPr="006B795E" w:rsidRDefault="00570DA7" w:rsidP="00570DA7">
            <w:pPr>
              <w:pStyle w:val="TableText"/>
              <w:tabs>
                <w:tab w:val="decimal" w:pos="652"/>
              </w:tabs>
            </w:pPr>
            <w:r w:rsidRPr="000C6648">
              <w:t>*</w:t>
            </w:r>
          </w:p>
        </w:tc>
        <w:tc>
          <w:tcPr>
            <w:tcW w:w="1312" w:type="dxa"/>
            <w:tcBorders>
              <w:top w:val="nil"/>
            </w:tcBorders>
            <w:shd w:val="clear" w:color="auto" w:fill="auto"/>
          </w:tcPr>
          <w:p w14:paraId="13159C08" w14:textId="73177ADF" w:rsidR="00570DA7" w:rsidRPr="006B795E" w:rsidRDefault="00570DA7" w:rsidP="00570DA7">
            <w:pPr>
              <w:pStyle w:val="TableText"/>
              <w:tabs>
                <w:tab w:val="decimal" w:pos="595"/>
              </w:tabs>
            </w:pPr>
            <w:r w:rsidRPr="000C6648">
              <w:t>*</w:t>
            </w:r>
          </w:p>
        </w:tc>
        <w:tc>
          <w:tcPr>
            <w:tcW w:w="1134" w:type="dxa"/>
            <w:tcBorders>
              <w:top w:val="nil"/>
            </w:tcBorders>
            <w:shd w:val="clear" w:color="auto" w:fill="auto"/>
          </w:tcPr>
          <w:p w14:paraId="3F0F936E" w14:textId="14F633F1" w:rsidR="00570DA7" w:rsidRPr="006B795E" w:rsidRDefault="00570DA7" w:rsidP="00570DA7">
            <w:pPr>
              <w:pStyle w:val="TableText"/>
              <w:tabs>
                <w:tab w:val="decimal" w:pos="526"/>
              </w:tabs>
            </w:pPr>
            <w:r w:rsidRPr="000C6648">
              <w:t>2.13</w:t>
            </w:r>
          </w:p>
        </w:tc>
      </w:tr>
      <w:tr w:rsidR="00570DA7" w:rsidRPr="00D54749" w14:paraId="549DF768" w14:textId="77777777" w:rsidTr="00570DA7">
        <w:trPr>
          <w:cantSplit/>
        </w:trPr>
        <w:tc>
          <w:tcPr>
            <w:tcW w:w="2127" w:type="dxa"/>
            <w:shd w:val="clear" w:color="auto" w:fill="auto"/>
          </w:tcPr>
          <w:p w14:paraId="0118A04B" w14:textId="77777777" w:rsidR="00570DA7" w:rsidRPr="00D54749" w:rsidRDefault="00570DA7" w:rsidP="00570DA7">
            <w:pPr>
              <w:pStyle w:val="TableText"/>
            </w:pPr>
            <w:r w:rsidRPr="00D54749">
              <w:t>Total</w:t>
            </w:r>
          </w:p>
        </w:tc>
        <w:tc>
          <w:tcPr>
            <w:tcW w:w="1594" w:type="dxa"/>
            <w:shd w:val="clear" w:color="auto" w:fill="auto"/>
          </w:tcPr>
          <w:p w14:paraId="28CA0A5B" w14:textId="0487CAE5" w:rsidR="00570DA7" w:rsidRPr="00D54749" w:rsidRDefault="00570DA7" w:rsidP="00570DA7">
            <w:pPr>
              <w:pStyle w:val="TableText"/>
              <w:tabs>
                <w:tab w:val="decimal" w:pos="737"/>
              </w:tabs>
            </w:pPr>
            <w:r w:rsidRPr="000C6648">
              <w:t>518.74</w:t>
            </w:r>
          </w:p>
        </w:tc>
        <w:tc>
          <w:tcPr>
            <w:tcW w:w="1311" w:type="dxa"/>
            <w:shd w:val="clear" w:color="auto" w:fill="auto"/>
          </w:tcPr>
          <w:p w14:paraId="69FC05DF" w14:textId="7A955FA9" w:rsidR="00570DA7" w:rsidRPr="00D54749" w:rsidRDefault="00570DA7" w:rsidP="00570DA7">
            <w:pPr>
              <w:pStyle w:val="TableText"/>
              <w:tabs>
                <w:tab w:val="decimal" w:pos="561"/>
              </w:tabs>
            </w:pPr>
            <w:r w:rsidRPr="000C6648">
              <w:t>205.05</w:t>
            </w:r>
          </w:p>
        </w:tc>
        <w:tc>
          <w:tcPr>
            <w:tcW w:w="1631" w:type="dxa"/>
            <w:shd w:val="clear" w:color="auto" w:fill="auto"/>
          </w:tcPr>
          <w:p w14:paraId="047A25ED" w14:textId="0F1D254C" w:rsidR="00570DA7" w:rsidRPr="00D54749" w:rsidRDefault="00570DA7" w:rsidP="00570DA7">
            <w:pPr>
              <w:pStyle w:val="TableText"/>
              <w:tabs>
                <w:tab w:val="decimal" w:pos="652"/>
              </w:tabs>
            </w:pPr>
            <w:r w:rsidRPr="000C6648">
              <w:t>74.83</w:t>
            </w:r>
          </w:p>
        </w:tc>
        <w:tc>
          <w:tcPr>
            <w:tcW w:w="1312" w:type="dxa"/>
            <w:shd w:val="clear" w:color="auto" w:fill="auto"/>
          </w:tcPr>
          <w:p w14:paraId="5D0DB216" w14:textId="02E0AC01" w:rsidR="00570DA7" w:rsidRPr="00D54749" w:rsidRDefault="00570DA7" w:rsidP="00570DA7">
            <w:pPr>
              <w:pStyle w:val="TableText"/>
              <w:tabs>
                <w:tab w:val="decimal" w:pos="595"/>
              </w:tabs>
            </w:pPr>
            <w:r w:rsidRPr="000C6648">
              <w:t>292.53</w:t>
            </w:r>
          </w:p>
        </w:tc>
        <w:tc>
          <w:tcPr>
            <w:tcW w:w="1134" w:type="dxa"/>
            <w:shd w:val="clear" w:color="auto" w:fill="auto"/>
          </w:tcPr>
          <w:p w14:paraId="7175F0A6" w14:textId="4DE699F7" w:rsidR="00570DA7" w:rsidRPr="00D54749" w:rsidRDefault="00570DA7" w:rsidP="00570DA7">
            <w:pPr>
              <w:pStyle w:val="TableText"/>
              <w:tabs>
                <w:tab w:val="decimal" w:pos="526"/>
              </w:tabs>
            </w:pPr>
            <w:r w:rsidRPr="000C6648">
              <w:t>1091.15</w:t>
            </w:r>
          </w:p>
        </w:tc>
      </w:tr>
    </w:tbl>
    <w:p w14:paraId="4B292839" w14:textId="77777777" w:rsidR="00F7377D" w:rsidRPr="00997770" w:rsidRDefault="00F7377D" w:rsidP="00457AC7">
      <w:pPr>
        <w:pStyle w:val="Note"/>
        <w:ind w:left="284" w:hanging="284"/>
        <w:rPr>
          <w:lang w:eastAsia="en-AU"/>
        </w:rPr>
      </w:pPr>
      <w:r w:rsidRPr="00997770">
        <w:rPr>
          <w:lang w:eastAsia="en-AU"/>
        </w:rPr>
        <w:t>*</w:t>
      </w:r>
      <w:r w:rsidR="00457AC7">
        <w:rPr>
          <w:lang w:eastAsia="en-AU"/>
        </w:rPr>
        <w:tab/>
      </w:r>
      <w:r w:rsidRPr="00997770">
        <w:rPr>
          <w:lang w:eastAsia="en-AU"/>
        </w:rPr>
        <w:t>Insufficient data for an estimate to be made.</w:t>
      </w:r>
    </w:p>
    <w:p w14:paraId="04F8EB93" w14:textId="77777777" w:rsidR="00457AC7" w:rsidRDefault="00457AC7" w:rsidP="00193744">
      <w:pPr>
        <w:rPr>
          <w:lang w:eastAsia="en-AU"/>
        </w:rPr>
      </w:pPr>
    </w:p>
    <w:p w14:paraId="5C722A36" w14:textId="76327F26" w:rsidR="00457AC7" w:rsidRDefault="00F7377D" w:rsidP="00457AC7">
      <w:pPr>
        <w:rPr>
          <w:lang w:eastAsia="en-AU"/>
        </w:rPr>
      </w:pPr>
      <w:r w:rsidRPr="00CC5EFB">
        <w:rPr>
          <w:lang w:eastAsia="en-AU"/>
        </w:rPr>
        <w:t>In total, the cost to the community of harms associated with drug use was</w:t>
      </w:r>
      <w:r w:rsidRPr="00797148">
        <w:rPr>
          <w:color w:val="FF0000"/>
          <w:lang w:eastAsia="en-AU"/>
        </w:rPr>
        <w:t xml:space="preserve"> </w:t>
      </w:r>
      <w:r w:rsidRPr="00A0506E">
        <w:rPr>
          <w:lang w:eastAsia="en-AU"/>
        </w:rPr>
        <w:t>$1,0</w:t>
      </w:r>
      <w:r w:rsidR="00570DA7">
        <w:rPr>
          <w:lang w:eastAsia="en-AU"/>
        </w:rPr>
        <w:t>91.2</w:t>
      </w:r>
      <w:r w:rsidR="00457AC7">
        <w:rPr>
          <w:lang w:eastAsia="en-AU"/>
        </w:rPr>
        <w:t> </w:t>
      </w:r>
      <w:r w:rsidRPr="00CC5EFB">
        <w:rPr>
          <w:lang w:eastAsia="en-AU"/>
        </w:rPr>
        <w:t>million in 2019</w:t>
      </w:r>
      <w:r w:rsidRPr="00D404BC">
        <w:rPr>
          <w:lang w:eastAsia="en-AU"/>
        </w:rPr>
        <w:t>.</w:t>
      </w:r>
      <w:r>
        <w:rPr>
          <w:lang w:eastAsia="en-AU"/>
        </w:rPr>
        <w:t xml:space="preserve"> Harm to family and friends of people who use drugs was the major contributing harm at $518.7</w:t>
      </w:r>
      <w:r w:rsidR="00193744">
        <w:rPr>
          <w:lang w:eastAsia="en-AU"/>
        </w:rPr>
        <w:t> </w:t>
      </w:r>
      <w:r>
        <w:rPr>
          <w:lang w:eastAsia="en-AU"/>
        </w:rPr>
        <w:t>million and cannabis the major contributing drug type at $6</w:t>
      </w:r>
      <w:r w:rsidR="00570DA7">
        <w:rPr>
          <w:lang w:eastAsia="en-AU"/>
        </w:rPr>
        <w:t>30.3</w:t>
      </w:r>
      <w:r>
        <w:rPr>
          <w:lang w:eastAsia="en-AU"/>
        </w:rPr>
        <w:t xml:space="preserve"> million.</w:t>
      </w:r>
    </w:p>
    <w:p w14:paraId="22CA4238" w14:textId="77777777" w:rsidR="00193744" w:rsidRPr="00D404BC" w:rsidRDefault="00193744" w:rsidP="00457AC7">
      <w:pPr>
        <w:rPr>
          <w:lang w:eastAsia="en-AU"/>
        </w:rPr>
      </w:pPr>
    </w:p>
    <w:p w14:paraId="445B27B3" w14:textId="77777777" w:rsidR="00F7377D" w:rsidRPr="00165A89" w:rsidRDefault="00F7377D" w:rsidP="00457AC7">
      <w:pPr>
        <w:pStyle w:val="Heading1"/>
        <w:rPr>
          <w:lang w:eastAsia="en-AU"/>
        </w:rPr>
      </w:pPr>
      <w:bookmarkStart w:id="31" w:name="_Toc95470206"/>
      <w:r w:rsidRPr="008E0A8A">
        <w:lastRenderedPageBreak/>
        <w:t>Conclusion</w:t>
      </w:r>
      <w:bookmarkEnd w:id="31"/>
    </w:p>
    <w:p w14:paraId="780ED132" w14:textId="7BE96AC3" w:rsidR="00F7377D" w:rsidRDefault="00F7377D" w:rsidP="00457AC7">
      <w:pPr>
        <w:rPr>
          <w:lang w:eastAsia="en-AU"/>
        </w:rPr>
      </w:pPr>
      <w:r>
        <w:rPr>
          <w:color w:val="000000" w:themeColor="text1"/>
          <w:lang w:eastAsia="en-AU"/>
        </w:rPr>
        <w:t xml:space="preserve">Estimates of harms per kilogram of illicit drug </w:t>
      </w:r>
      <w:r w:rsidRPr="00CC5EFB">
        <w:rPr>
          <w:lang w:eastAsia="en-AU"/>
        </w:rPr>
        <w:t xml:space="preserve">consumed are given in </w:t>
      </w:r>
      <w:r w:rsidR="00457AC7">
        <w:rPr>
          <w:lang w:eastAsia="en-AU"/>
        </w:rPr>
        <w:fldChar w:fldCharType="begin"/>
      </w:r>
      <w:r w:rsidR="00457AC7">
        <w:rPr>
          <w:lang w:eastAsia="en-AU"/>
        </w:rPr>
        <w:instrText xml:space="preserve"> REF _Ref88223600 \h </w:instrText>
      </w:r>
      <w:r w:rsidR="00457AC7">
        <w:rPr>
          <w:lang w:eastAsia="en-AU"/>
        </w:rPr>
      </w:r>
      <w:r w:rsidR="00457AC7">
        <w:rPr>
          <w:lang w:eastAsia="en-AU"/>
        </w:rPr>
        <w:fldChar w:fldCharType="separate"/>
      </w:r>
      <w:r w:rsidR="006A55D7">
        <w:t>Table </w:t>
      </w:r>
      <w:r w:rsidR="006A55D7">
        <w:rPr>
          <w:noProof/>
        </w:rPr>
        <w:t>5</w:t>
      </w:r>
      <w:r w:rsidR="00457AC7">
        <w:rPr>
          <w:lang w:eastAsia="en-AU"/>
        </w:rPr>
        <w:fldChar w:fldCharType="end"/>
      </w:r>
      <w:r w:rsidRPr="00CC5EFB">
        <w:rPr>
          <w:lang w:eastAsia="en-AU"/>
        </w:rPr>
        <w:t>.</w:t>
      </w:r>
      <w:r>
        <w:rPr>
          <w:lang w:eastAsia="en-AU"/>
        </w:rPr>
        <w:t xml:space="preserve"> These estimates underpin any attempt to calculate return-on-investment for interventions aimed at reducing or eliminating the consumption of illicit drugs in specific user populations.</w:t>
      </w:r>
    </w:p>
    <w:p w14:paraId="6B7C5CD4" w14:textId="77777777" w:rsidR="00457AC7" w:rsidRDefault="00457AC7" w:rsidP="00457AC7">
      <w:pPr>
        <w:rPr>
          <w:lang w:eastAsia="en-AU"/>
        </w:rPr>
      </w:pPr>
    </w:p>
    <w:p w14:paraId="1D021FFD" w14:textId="60AAD7ED" w:rsidR="00F7377D" w:rsidRPr="006A4A00" w:rsidRDefault="00457AC7" w:rsidP="00457AC7">
      <w:pPr>
        <w:pStyle w:val="Table"/>
        <w:rPr>
          <w:lang w:eastAsia="en-AU"/>
        </w:rPr>
      </w:pPr>
      <w:bookmarkStart w:id="32" w:name="_Ref88223600"/>
      <w:bookmarkStart w:id="33" w:name="_Toc95476485"/>
      <w:r>
        <w:t>Table </w:t>
      </w:r>
      <w:fldSimple w:instr=" SEQ Table \* ARABIC ">
        <w:r w:rsidR="006A55D7">
          <w:rPr>
            <w:noProof/>
          </w:rPr>
          <w:t>5</w:t>
        </w:r>
      </w:fldSimple>
      <w:bookmarkEnd w:id="32"/>
      <w:r w:rsidR="00C6085E">
        <w:rPr>
          <w:noProof/>
        </w:rPr>
        <w:t>.</w:t>
      </w:r>
      <w:r w:rsidR="00F7377D" w:rsidRPr="006A4A00">
        <w:rPr>
          <w:lang w:eastAsia="en-AU"/>
        </w:rPr>
        <w:t xml:space="preserve"> Summary of social </w:t>
      </w:r>
      <w:r w:rsidR="00F7377D">
        <w:rPr>
          <w:lang w:eastAsia="en-AU"/>
        </w:rPr>
        <w:t>harm</w:t>
      </w:r>
      <w:r w:rsidR="00F7377D" w:rsidRPr="006A4A00">
        <w:rPr>
          <w:lang w:eastAsia="en-AU"/>
        </w:rPr>
        <w:t xml:space="preserve">s ($) per </w:t>
      </w:r>
      <w:r w:rsidR="00F7377D">
        <w:rPr>
          <w:lang w:eastAsia="en-AU"/>
        </w:rPr>
        <w:t>kilo</w:t>
      </w:r>
      <w:r w:rsidR="00F7377D" w:rsidRPr="006A4A00">
        <w:rPr>
          <w:lang w:eastAsia="en-AU"/>
        </w:rPr>
        <w:t>gram by drug type</w:t>
      </w:r>
      <w:r w:rsidR="00292E4E">
        <w:rPr>
          <w:rStyle w:val="FootnoteReference"/>
          <w:lang w:eastAsia="en-AU"/>
        </w:rPr>
        <w:footnoteReference w:id="21"/>
      </w:r>
      <w:bookmarkEnd w:id="33"/>
    </w:p>
    <w:tbl>
      <w:tblPr>
        <w:tblStyle w:val="TableGrid"/>
        <w:tblW w:w="9072" w:type="dxa"/>
        <w:tblInd w:w="113" w:type="dxa"/>
        <w:tblLayout w:type="fixed"/>
        <w:tblCellMar>
          <w:left w:w="113" w:type="dxa"/>
          <w:right w:w="113" w:type="dxa"/>
        </w:tblCellMar>
        <w:tblLook w:val="04A0" w:firstRow="1" w:lastRow="0" w:firstColumn="1" w:lastColumn="0" w:noHBand="0" w:noVBand="1"/>
      </w:tblPr>
      <w:tblGrid>
        <w:gridCol w:w="2552"/>
        <w:gridCol w:w="2173"/>
        <w:gridCol w:w="2173"/>
        <w:gridCol w:w="2174"/>
      </w:tblGrid>
      <w:tr w:rsidR="00F7377D" w:rsidRPr="001F3983" w14:paraId="7B5C409A" w14:textId="77777777" w:rsidTr="00B850F5">
        <w:trPr>
          <w:cantSplit/>
        </w:trPr>
        <w:tc>
          <w:tcPr>
            <w:tcW w:w="2552" w:type="dxa"/>
            <w:shd w:val="clear" w:color="auto" w:fill="auto"/>
          </w:tcPr>
          <w:p w14:paraId="7591E0D5" w14:textId="77777777" w:rsidR="00F7377D" w:rsidRPr="001F3983" w:rsidRDefault="00F7377D" w:rsidP="00B850F5">
            <w:pPr>
              <w:pStyle w:val="TableText"/>
              <w:rPr>
                <w:b/>
              </w:rPr>
            </w:pPr>
            <w:r w:rsidRPr="001F3983">
              <w:rPr>
                <w:b/>
              </w:rPr>
              <w:t>Drug type</w:t>
            </w:r>
          </w:p>
        </w:tc>
        <w:tc>
          <w:tcPr>
            <w:tcW w:w="2173" w:type="dxa"/>
            <w:shd w:val="clear" w:color="auto" w:fill="auto"/>
          </w:tcPr>
          <w:p w14:paraId="786B46DC" w14:textId="77777777" w:rsidR="00F7377D" w:rsidRPr="001F3983" w:rsidRDefault="001F3983" w:rsidP="001F3983">
            <w:pPr>
              <w:pStyle w:val="TableText"/>
              <w:jc w:val="center"/>
              <w:rPr>
                <w:b/>
              </w:rPr>
            </w:pPr>
            <w:r>
              <w:rPr>
                <w:b/>
              </w:rPr>
              <w:t>Personal harm</w:t>
            </w:r>
            <w:r w:rsidR="00F7377D" w:rsidRPr="001F3983">
              <w:rPr>
                <w:b/>
              </w:rPr>
              <w:br/>
              <w:t>$ per kilogram</w:t>
            </w:r>
          </w:p>
        </w:tc>
        <w:tc>
          <w:tcPr>
            <w:tcW w:w="2173" w:type="dxa"/>
            <w:shd w:val="clear" w:color="auto" w:fill="auto"/>
          </w:tcPr>
          <w:p w14:paraId="468A4CF3" w14:textId="77777777" w:rsidR="00F7377D" w:rsidRPr="001F3983" w:rsidRDefault="001F3983" w:rsidP="001F3983">
            <w:pPr>
              <w:pStyle w:val="TableText"/>
              <w:jc w:val="center"/>
              <w:rPr>
                <w:b/>
              </w:rPr>
            </w:pPr>
            <w:r>
              <w:rPr>
                <w:b/>
              </w:rPr>
              <w:t>Community harm</w:t>
            </w:r>
            <w:r w:rsidR="00F7377D" w:rsidRPr="001F3983">
              <w:rPr>
                <w:b/>
              </w:rPr>
              <w:br/>
              <w:t>$ per kilogram</w:t>
            </w:r>
          </w:p>
        </w:tc>
        <w:tc>
          <w:tcPr>
            <w:tcW w:w="2174" w:type="dxa"/>
            <w:shd w:val="clear" w:color="auto" w:fill="auto"/>
          </w:tcPr>
          <w:p w14:paraId="42B6D6D3" w14:textId="77777777" w:rsidR="00F7377D" w:rsidRPr="001F3983" w:rsidRDefault="001F3983" w:rsidP="001F3983">
            <w:pPr>
              <w:pStyle w:val="TableText"/>
              <w:jc w:val="center"/>
              <w:rPr>
                <w:b/>
              </w:rPr>
            </w:pPr>
            <w:r>
              <w:rPr>
                <w:b/>
              </w:rPr>
              <w:t>Total harm</w:t>
            </w:r>
            <w:r w:rsidR="00F7377D" w:rsidRPr="001F3983">
              <w:rPr>
                <w:b/>
              </w:rPr>
              <w:br/>
              <w:t>$ per kilogram</w:t>
            </w:r>
          </w:p>
        </w:tc>
      </w:tr>
      <w:tr w:rsidR="00570DA7" w:rsidRPr="00E85F5B" w14:paraId="029C883B" w14:textId="77777777" w:rsidTr="005C3119">
        <w:trPr>
          <w:cantSplit/>
        </w:trPr>
        <w:tc>
          <w:tcPr>
            <w:tcW w:w="2552" w:type="dxa"/>
            <w:tcBorders>
              <w:bottom w:val="nil"/>
            </w:tcBorders>
            <w:shd w:val="clear" w:color="auto" w:fill="auto"/>
          </w:tcPr>
          <w:p w14:paraId="1D275FFD" w14:textId="77777777" w:rsidR="00570DA7" w:rsidRPr="00D54749" w:rsidRDefault="00570DA7" w:rsidP="00570DA7">
            <w:pPr>
              <w:pStyle w:val="TableText"/>
              <w:rPr>
                <w:i/>
              </w:rPr>
            </w:pPr>
            <w:r w:rsidRPr="00D54749">
              <w:rPr>
                <w:i/>
              </w:rPr>
              <w:t>Methamphetamine</w:t>
            </w:r>
          </w:p>
        </w:tc>
        <w:tc>
          <w:tcPr>
            <w:tcW w:w="2173" w:type="dxa"/>
            <w:tcBorders>
              <w:bottom w:val="nil"/>
            </w:tcBorders>
            <w:shd w:val="clear" w:color="auto" w:fill="auto"/>
          </w:tcPr>
          <w:p w14:paraId="0A9A331F" w14:textId="1DBF1E5B" w:rsidR="00570DA7" w:rsidRPr="006B795E" w:rsidRDefault="00570DA7" w:rsidP="00570DA7">
            <w:pPr>
              <w:pStyle w:val="TableText"/>
              <w:tabs>
                <w:tab w:val="decimal" w:pos="1304"/>
              </w:tabs>
            </w:pPr>
            <w:r w:rsidRPr="00DA4380">
              <w:t>544,451.68</w:t>
            </w:r>
          </w:p>
        </w:tc>
        <w:tc>
          <w:tcPr>
            <w:tcW w:w="2173" w:type="dxa"/>
            <w:tcBorders>
              <w:bottom w:val="nil"/>
            </w:tcBorders>
            <w:shd w:val="clear" w:color="auto" w:fill="auto"/>
          </w:tcPr>
          <w:p w14:paraId="58A7E74E" w14:textId="326348AD" w:rsidR="00570DA7" w:rsidRPr="006B795E" w:rsidRDefault="00570DA7" w:rsidP="00570DA7">
            <w:pPr>
              <w:pStyle w:val="TableText"/>
              <w:tabs>
                <w:tab w:val="decimal" w:pos="1304"/>
              </w:tabs>
            </w:pPr>
            <w:r w:rsidRPr="00DA4380">
              <w:t>563,910.03</w:t>
            </w:r>
          </w:p>
        </w:tc>
        <w:tc>
          <w:tcPr>
            <w:tcW w:w="2174" w:type="dxa"/>
            <w:tcBorders>
              <w:bottom w:val="nil"/>
            </w:tcBorders>
            <w:shd w:val="clear" w:color="auto" w:fill="auto"/>
          </w:tcPr>
          <w:p w14:paraId="3C617A45" w14:textId="4BDC9D35" w:rsidR="00570DA7" w:rsidRPr="006B795E" w:rsidRDefault="00570DA7" w:rsidP="00570DA7">
            <w:pPr>
              <w:pStyle w:val="TableText"/>
              <w:tabs>
                <w:tab w:val="decimal" w:pos="1304"/>
              </w:tabs>
            </w:pPr>
            <w:r w:rsidRPr="00DA4380">
              <w:t>1,108,361.71</w:t>
            </w:r>
          </w:p>
        </w:tc>
      </w:tr>
      <w:tr w:rsidR="00570DA7" w:rsidRPr="00E85F5B" w14:paraId="6CE11093" w14:textId="77777777" w:rsidTr="005C3119">
        <w:trPr>
          <w:cantSplit/>
        </w:trPr>
        <w:tc>
          <w:tcPr>
            <w:tcW w:w="2552" w:type="dxa"/>
            <w:tcBorders>
              <w:top w:val="nil"/>
              <w:bottom w:val="nil"/>
            </w:tcBorders>
            <w:shd w:val="clear" w:color="auto" w:fill="auto"/>
          </w:tcPr>
          <w:p w14:paraId="4A22E6C5" w14:textId="77777777" w:rsidR="00570DA7" w:rsidRPr="00D54749" w:rsidRDefault="00570DA7" w:rsidP="00570DA7">
            <w:pPr>
              <w:pStyle w:val="TableText"/>
              <w:rPr>
                <w:i/>
              </w:rPr>
            </w:pPr>
            <w:r w:rsidRPr="00D54749">
              <w:rPr>
                <w:i/>
              </w:rPr>
              <w:t>Cocaine</w:t>
            </w:r>
          </w:p>
        </w:tc>
        <w:tc>
          <w:tcPr>
            <w:tcW w:w="2173" w:type="dxa"/>
            <w:tcBorders>
              <w:top w:val="nil"/>
              <w:bottom w:val="nil"/>
            </w:tcBorders>
            <w:shd w:val="clear" w:color="auto" w:fill="auto"/>
          </w:tcPr>
          <w:p w14:paraId="37FBFB45" w14:textId="1A76132E" w:rsidR="00570DA7" w:rsidRPr="006B795E" w:rsidRDefault="00570DA7" w:rsidP="00570DA7">
            <w:pPr>
              <w:pStyle w:val="TableText"/>
              <w:tabs>
                <w:tab w:val="decimal" w:pos="1304"/>
              </w:tabs>
            </w:pPr>
            <w:r w:rsidRPr="00DA4380">
              <w:t>125,917.23</w:t>
            </w:r>
          </w:p>
        </w:tc>
        <w:tc>
          <w:tcPr>
            <w:tcW w:w="2173" w:type="dxa"/>
            <w:tcBorders>
              <w:top w:val="nil"/>
              <w:bottom w:val="nil"/>
            </w:tcBorders>
            <w:shd w:val="clear" w:color="auto" w:fill="auto"/>
          </w:tcPr>
          <w:p w14:paraId="58E35F88" w14:textId="79478890" w:rsidR="00570DA7" w:rsidRPr="006B795E" w:rsidRDefault="00570DA7" w:rsidP="00570DA7">
            <w:pPr>
              <w:pStyle w:val="TableText"/>
              <w:tabs>
                <w:tab w:val="decimal" w:pos="1304"/>
              </w:tabs>
            </w:pPr>
            <w:r w:rsidRPr="00DA4380">
              <w:t>173,755.03</w:t>
            </w:r>
          </w:p>
        </w:tc>
        <w:tc>
          <w:tcPr>
            <w:tcW w:w="2174" w:type="dxa"/>
            <w:tcBorders>
              <w:top w:val="nil"/>
              <w:bottom w:val="nil"/>
            </w:tcBorders>
            <w:shd w:val="clear" w:color="auto" w:fill="auto"/>
          </w:tcPr>
          <w:p w14:paraId="25D4B99A" w14:textId="196543D6" w:rsidR="00570DA7" w:rsidRPr="006B795E" w:rsidRDefault="00570DA7" w:rsidP="00570DA7">
            <w:pPr>
              <w:pStyle w:val="TableText"/>
              <w:tabs>
                <w:tab w:val="decimal" w:pos="1304"/>
              </w:tabs>
            </w:pPr>
            <w:r w:rsidRPr="00DA4380">
              <w:t>299,672.26</w:t>
            </w:r>
          </w:p>
        </w:tc>
      </w:tr>
      <w:tr w:rsidR="00570DA7" w:rsidRPr="00E85F5B" w14:paraId="772D9305" w14:textId="77777777" w:rsidTr="005C3119">
        <w:trPr>
          <w:cantSplit/>
        </w:trPr>
        <w:tc>
          <w:tcPr>
            <w:tcW w:w="2552" w:type="dxa"/>
            <w:tcBorders>
              <w:top w:val="nil"/>
              <w:bottom w:val="nil"/>
            </w:tcBorders>
            <w:shd w:val="clear" w:color="auto" w:fill="auto"/>
          </w:tcPr>
          <w:p w14:paraId="1145CA1F" w14:textId="77777777" w:rsidR="00570DA7" w:rsidRPr="00D54749" w:rsidRDefault="00570DA7" w:rsidP="00570DA7">
            <w:pPr>
              <w:pStyle w:val="TableText"/>
              <w:rPr>
                <w:i/>
              </w:rPr>
            </w:pPr>
            <w:r w:rsidRPr="00D54749">
              <w:rPr>
                <w:i/>
              </w:rPr>
              <w:t>MDMA</w:t>
            </w:r>
          </w:p>
        </w:tc>
        <w:tc>
          <w:tcPr>
            <w:tcW w:w="2173" w:type="dxa"/>
            <w:tcBorders>
              <w:top w:val="nil"/>
              <w:bottom w:val="nil"/>
            </w:tcBorders>
            <w:shd w:val="clear" w:color="auto" w:fill="auto"/>
          </w:tcPr>
          <w:p w14:paraId="3D67BE56" w14:textId="53D0D100" w:rsidR="00570DA7" w:rsidRPr="006B795E" w:rsidRDefault="00570DA7" w:rsidP="00570DA7">
            <w:pPr>
              <w:pStyle w:val="TableText"/>
              <w:tabs>
                <w:tab w:val="decimal" w:pos="1304"/>
              </w:tabs>
            </w:pPr>
            <w:r w:rsidRPr="00DA4380">
              <w:t>62,283.36</w:t>
            </w:r>
          </w:p>
        </w:tc>
        <w:tc>
          <w:tcPr>
            <w:tcW w:w="2173" w:type="dxa"/>
            <w:tcBorders>
              <w:top w:val="nil"/>
              <w:bottom w:val="nil"/>
            </w:tcBorders>
            <w:shd w:val="clear" w:color="auto" w:fill="auto"/>
          </w:tcPr>
          <w:p w14:paraId="4FFDB020" w14:textId="40E4458B" w:rsidR="00570DA7" w:rsidRPr="006B795E" w:rsidRDefault="00570DA7" w:rsidP="00570DA7">
            <w:pPr>
              <w:pStyle w:val="TableText"/>
              <w:tabs>
                <w:tab w:val="decimal" w:pos="1304"/>
              </w:tabs>
            </w:pPr>
            <w:r w:rsidRPr="00DA4380">
              <w:t>76,455.46</w:t>
            </w:r>
          </w:p>
        </w:tc>
        <w:tc>
          <w:tcPr>
            <w:tcW w:w="2174" w:type="dxa"/>
            <w:tcBorders>
              <w:top w:val="nil"/>
              <w:bottom w:val="nil"/>
            </w:tcBorders>
            <w:shd w:val="clear" w:color="auto" w:fill="auto"/>
          </w:tcPr>
          <w:p w14:paraId="525A8F05" w14:textId="6A6C4263" w:rsidR="00570DA7" w:rsidRPr="006B795E" w:rsidRDefault="00570DA7" w:rsidP="00570DA7">
            <w:pPr>
              <w:pStyle w:val="TableText"/>
              <w:tabs>
                <w:tab w:val="decimal" w:pos="1304"/>
              </w:tabs>
            </w:pPr>
            <w:r w:rsidRPr="00DA4380">
              <w:t>138,738.82</w:t>
            </w:r>
          </w:p>
        </w:tc>
      </w:tr>
      <w:tr w:rsidR="00570DA7" w:rsidRPr="00E85F5B" w14:paraId="754313C8" w14:textId="77777777" w:rsidTr="005C3119">
        <w:trPr>
          <w:cantSplit/>
        </w:trPr>
        <w:tc>
          <w:tcPr>
            <w:tcW w:w="2552" w:type="dxa"/>
            <w:tcBorders>
              <w:top w:val="nil"/>
            </w:tcBorders>
            <w:shd w:val="clear" w:color="auto" w:fill="auto"/>
          </w:tcPr>
          <w:p w14:paraId="2A6E2FB6" w14:textId="77777777" w:rsidR="00570DA7" w:rsidRPr="00D54749" w:rsidRDefault="00570DA7" w:rsidP="00570DA7">
            <w:pPr>
              <w:pStyle w:val="TableText"/>
              <w:rPr>
                <w:i/>
              </w:rPr>
            </w:pPr>
            <w:r w:rsidRPr="00D54749">
              <w:rPr>
                <w:i/>
              </w:rPr>
              <w:t>Cannabis</w:t>
            </w:r>
          </w:p>
        </w:tc>
        <w:tc>
          <w:tcPr>
            <w:tcW w:w="2173" w:type="dxa"/>
            <w:tcBorders>
              <w:top w:val="nil"/>
            </w:tcBorders>
            <w:shd w:val="clear" w:color="auto" w:fill="auto"/>
          </w:tcPr>
          <w:p w14:paraId="60292D8F" w14:textId="61492B25" w:rsidR="00570DA7" w:rsidRPr="006B795E" w:rsidRDefault="00570DA7" w:rsidP="00570DA7">
            <w:pPr>
              <w:pStyle w:val="TableText"/>
              <w:tabs>
                <w:tab w:val="decimal" w:pos="1304"/>
              </w:tabs>
            </w:pPr>
            <w:r w:rsidRPr="003B7AEA">
              <w:t>4,847.90</w:t>
            </w:r>
          </w:p>
        </w:tc>
        <w:tc>
          <w:tcPr>
            <w:tcW w:w="2173" w:type="dxa"/>
            <w:tcBorders>
              <w:top w:val="nil"/>
            </w:tcBorders>
            <w:shd w:val="clear" w:color="auto" w:fill="auto"/>
          </w:tcPr>
          <w:p w14:paraId="26C5BBFD" w14:textId="2A743E95" w:rsidR="00570DA7" w:rsidRPr="006B795E" w:rsidRDefault="00570DA7" w:rsidP="00570DA7">
            <w:pPr>
              <w:pStyle w:val="TableText"/>
              <w:tabs>
                <w:tab w:val="decimal" w:pos="1304"/>
              </w:tabs>
            </w:pPr>
            <w:r w:rsidRPr="003B7AEA">
              <w:t>10,876.13</w:t>
            </w:r>
          </w:p>
        </w:tc>
        <w:tc>
          <w:tcPr>
            <w:tcW w:w="2174" w:type="dxa"/>
            <w:tcBorders>
              <w:top w:val="nil"/>
            </w:tcBorders>
            <w:shd w:val="clear" w:color="auto" w:fill="auto"/>
          </w:tcPr>
          <w:p w14:paraId="0AC9A81D" w14:textId="184D674B" w:rsidR="00570DA7" w:rsidRPr="006B795E" w:rsidRDefault="00570DA7" w:rsidP="00570DA7">
            <w:pPr>
              <w:pStyle w:val="TableText"/>
              <w:tabs>
                <w:tab w:val="decimal" w:pos="1304"/>
              </w:tabs>
            </w:pPr>
            <w:r w:rsidRPr="003B7AEA">
              <w:t>15,724.02</w:t>
            </w:r>
          </w:p>
        </w:tc>
      </w:tr>
    </w:tbl>
    <w:p w14:paraId="295AE927" w14:textId="77777777" w:rsidR="00457AC7" w:rsidRDefault="00457AC7" w:rsidP="00B850F5">
      <w:pPr>
        <w:rPr>
          <w:lang w:eastAsia="en-AU"/>
        </w:rPr>
      </w:pPr>
    </w:p>
    <w:p w14:paraId="1FAF3CA2" w14:textId="0BFB4B59" w:rsidR="00F7377D" w:rsidRDefault="00F7377D" w:rsidP="00457AC7">
      <w:pPr>
        <w:rPr>
          <w:color w:val="000000" w:themeColor="text1"/>
          <w:lang w:eastAsia="en-AU"/>
        </w:rPr>
      </w:pPr>
      <w:r w:rsidRPr="007A6A1C">
        <w:rPr>
          <w:color w:val="000000" w:themeColor="text1"/>
          <w:lang w:eastAsia="en-AU"/>
        </w:rPr>
        <w:t xml:space="preserve">Overall, the </w:t>
      </w:r>
      <w:r w:rsidRPr="003D4FD6">
        <w:rPr>
          <w:lang w:eastAsia="en-AU"/>
        </w:rPr>
        <w:t>estimated harm resulting from the use of Illicit drugs is $1,</w:t>
      </w:r>
      <w:r w:rsidR="00570DA7">
        <w:rPr>
          <w:lang w:eastAsia="en-AU"/>
        </w:rPr>
        <w:t>904.3</w:t>
      </w:r>
      <w:r>
        <w:rPr>
          <w:lang w:eastAsia="en-AU"/>
        </w:rPr>
        <w:t xml:space="preserve"> million</w:t>
      </w:r>
      <w:r w:rsidRPr="003D4FD6">
        <w:rPr>
          <w:lang w:eastAsia="en-AU"/>
        </w:rPr>
        <w:t xml:space="preserve"> (</w:t>
      </w:r>
      <w:r w:rsidR="00457AC7">
        <w:rPr>
          <w:lang w:eastAsia="en-AU"/>
        </w:rPr>
        <w:fldChar w:fldCharType="begin"/>
      </w:r>
      <w:r w:rsidR="00457AC7">
        <w:rPr>
          <w:lang w:eastAsia="en-AU"/>
        </w:rPr>
        <w:instrText xml:space="preserve"> REF _Ref88223620 \h </w:instrText>
      </w:r>
      <w:r w:rsidR="00457AC7">
        <w:rPr>
          <w:lang w:eastAsia="en-AU"/>
        </w:rPr>
      </w:r>
      <w:r w:rsidR="00457AC7">
        <w:rPr>
          <w:lang w:eastAsia="en-AU"/>
        </w:rPr>
        <w:fldChar w:fldCharType="separate"/>
      </w:r>
      <w:r w:rsidR="006A55D7">
        <w:t>Table </w:t>
      </w:r>
      <w:r w:rsidR="006A55D7">
        <w:rPr>
          <w:noProof/>
        </w:rPr>
        <w:t>6</w:t>
      </w:r>
      <w:r w:rsidR="00457AC7">
        <w:rPr>
          <w:lang w:eastAsia="en-AU"/>
        </w:rPr>
        <w:fldChar w:fldCharType="end"/>
      </w:r>
      <w:r w:rsidRPr="003D4FD6">
        <w:rPr>
          <w:lang w:eastAsia="en-AU"/>
        </w:rPr>
        <w:t>). This compares with the estimate of $</w:t>
      </w:r>
      <w:r>
        <w:rPr>
          <w:lang w:eastAsia="en-AU"/>
        </w:rPr>
        <w:t>1,493.7 million</w:t>
      </w:r>
      <w:r w:rsidRPr="003D4FD6">
        <w:rPr>
          <w:lang w:eastAsia="en-AU"/>
        </w:rPr>
        <w:t xml:space="preserve"> in 2016, noting that there are significant methodological improvements in the 2020 report so t</w:t>
      </w:r>
      <w:r w:rsidRPr="007A6A1C">
        <w:rPr>
          <w:color w:val="000000" w:themeColor="text1"/>
          <w:lang w:eastAsia="en-AU"/>
        </w:rPr>
        <w:t>hat these figures are not comparable.</w:t>
      </w:r>
    </w:p>
    <w:p w14:paraId="20B5E6EC" w14:textId="77777777" w:rsidR="00457AC7" w:rsidRDefault="00457AC7" w:rsidP="00457AC7">
      <w:pPr>
        <w:rPr>
          <w:color w:val="000000" w:themeColor="text1"/>
          <w:lang w:eastAsia="en-AU"/>
        </w:rPr>
      </w:pPr>
    </w:p>
    <w:p w14:paraId="7D68BDED" w14:textId="6719E7CF" w:rsidR="00F7377D" w:rsidRDefault="00457AC7" w:rsidP="00457AC7">
      <w:pPr>
        <w:pStyle w:val="Table"/>
        <w:rPr>
          <w:lang w:eastAsia="en-AU"/>
        </w:rPr>
      </w:pPr>
      <w:bookmarkStart w:id="34" w:name="_Ref88223620"/>
      <w:bookmarkStart w:id="35" w:name="_Toc95476486"/>
      <w:r>
        <w:t>Table </w:t>
      </w:r>
      <w:fldSimple w:instr=" SEQ Table \* ARABIC ">
        <w:r w:rsidR="006A55D7">
          <w:rPr>
            <w:noProof/>
          </w:rPr>
          <w:t>6</w:t>
        </w:r>
      </w:fldSimple>
      <w:bookmarkEnd w:id="34"/>
      <w:r w:rsidR="00C6085E">
        <w:rPr>
          <w:noProof/>
        </w:rPr>
        <w:t>.</w:t>
      </w:r>
      <w:r w:rsidR="00F7377D" w:rsidRPr="006A4A00">
        <w:rPr>
          <w:lang w:eastAsia="en-AU"/>
        </w:rPr>
        <w:t xml:space="preserve"> Summary of social </w:t>
      </w:r>
      <w:r w:rsidR="00F7377D">
        <w:rPr>
          <w:lang w:eastAsia="en-AU"/>
        </w:rPr>
        <w:t>harms</w:t>
      </w:r>
      <w:r w:rsidR="00F7377D" w:rsidRPr="006A4A00">
        <w:rPr>
          <w:lang w:eastAsia="en-AU"/>
        </w:rPr>
        <w:t xml:space="preserve"> by drug type ($ </w:t>
      </w:r>
      <w:r w:rsidR="00F7377D">
        <w:rPr>
          <w:lang w:eastAsia="en-AU"/>
        </w:rPr>
        <w:t>m</w:t>
      </w:r>
      <w:r w:rsidR="00F7377D" w:rsidRPr="006A4A00">
        <w:rPr>
          <w:lang w:eastAsia="en-AU"/>
        </w:rPr>
        <w:t>illion</w:t>
      </w:r>
      <w:r w:rsidR="00F7377D">
        <w:rPr>
          <w:lang w:eastAsia="en-AU"/>
        </w:rPr>
        <w:t>)</w:t>
      </w:r>
      <w:r w:rsidR="00292E4E">
        <w:rPr>
          <w:rStyle w:val="FootnoteReference"/>
          <w:lang w:eastAsia="en-AU"/>
        </w:rPr>
        <w:footnoteReference w:id="22"/>
      </w:r>
      <w:bookmarkEnd w:id="35"/>
    </w:p>
    <w:tbl>
      <w:tblPr>
        <w:tblStyle w:val="TableGrid"/>
        <w:tblW w:w="9072" w:type="dxa"/>
        <w:tblInd w:w="57" w:type="dxa"/>
        <w:tblLayout w:type="fixed"/>
        <w:tblCellMar>
          <w:left w:w="57" w:type="dxa"/>
          <w:right w:w="57" w:type="dxa"/>
        </w:tblCellMar>
        <w:tblLook w:val="04A0" w:firstRow="1" w:lastRow="0" w:firstColumn="1" w:lastColumn="0" w:noHBand="0" w:noVBand="1"/>
      </w:tblPr>
      <w:tblGrid>
        <w:gridCol w:w="2552"/>
        <w:gridCol w:w="2173"/>
        <w:gridCol w:w="2173"/>
        <w:gridCol w:w="2174"/>
      </w:tblGrid>
      <w:tr w:rsidR="00F7377D" w:rsidRPr="001F3983" w14:paraId="2CA3E961" w14:textId="77777777" w:rsidTr="00570DA7">
        <w:trPr>
          <w:cantSplit/>
        </w:trPr>
        <w:tc>
          <w:tcPr>
            <w:tcW w:w="2552" w:type="dxa"/>
            <w:shd w:val="clear" w:color="auto" w:fill="auto"/>
          </w:tcPr>
          <w:p w14:paraId="364B3744" w14:textId="77777777" w:rsidR="00F7377D" w:rsidRPr="001F3983" w:rsidRDefault="00F7377D" w:rsidP="001F3983">
            <w:pPr>
              <w:pStyle w:val="TableText"/>
              <w:ind w:right="113"/>
              <w:rPr>
                <w:b/>
              </w:rPr>
            </w:pPr>
            <w:r w:rsidRPr="001F3983">
              <w:rPr>
                <w:b/>
              </w:rPr>
              <w:t>Drug type</w:t>
            </w:r>
          </w:p>
        </w:tc>
        <w:tc>
          <w:tcPr>
            <w:tcW w:w="2173" w:type="dxa"/>
            <w:shd w:val="clear" w:color="auto" w:fill="auto"/>
          </w:tcPr>
          <w:p w14:paraId="7E940371" w14:textId="77777777" w:rsidR="00F7377D" w:rsidRPr="001F3983" w:rsidRDefault="001F3983" w:rsidP="001F3983">
            <w:pPr>
              <w:pStyle w:val="TableText"/>
              <w:jc w:val="center"/>
              <w:rPr>
                <w:b/>
              </w:rPr>
            </w:pPr>
            <w:r>
              <w:rPr>
                <w:b/>
              </w:rPr>
              <w:t>Personal harm</w:t>
            </w:r>
            <w:r w:rsidR="00F7377D" w:rsidRPr="001F3983">
              <w:rPr>
                <w:b/>
              </w:rPr>
              <w:br/>
              <w:t>$ million</w:t>
            </w:r>
          </w:p>
        </w:tc>
        <w:tc>
          <w:tcPr>
            <w:tcW w:w="2173" w:type="dxa"/>
            <w:shd w:val="clear" w:color="auto" w:fill="auto"/>
          </w:tcPr>
          <w:p w14:paraId="0F54FACB" w14:textId="77777777" w:rsidR="00F7377D" w:rsidRPr="001F3983" w:rsidRDefault="001F3983" w:rsidP="001F3983">
            <w:pPr>
              <w:pStyle w:val="TableText"/>
              <w:jc w:val="center"/>
              <w:rPr>
                <w:b/>
              </w:rPr>
            </w:pPr>
            <w:r>
              <w:rPr>
                <w:b/>
              </w:rPr>
              <w:t>Community harm</w:t>
            </w:r>
            <w:r w:rsidR="00F7377D" w:rsidRPr="001F3983">
              <w:rPr>
                <w:b/>
              </w:rPr>
              <w:br/>
              <w:t>$ million</w:t>
            </w:r>
          </w:p>
        </w:tc>
        <w:tc>
          <w:tcPr>
            <w:tcW w:w="2174" w:type="dxa"/>
            <w:shd w:val="clear" w:color="auto" w:fill="auto"/>
          </w:tcPr>
          <w:p w14:paraId="4A25F139" w14:textId="77777777" w:rsidR="00F7377D" w:rsidRPr="001F3983" w:rsidRDefault="001F3983" w:rsidP="001F3983">
            <w:pPr>
              <w:pStyle w:val="TableText"/>
              <w:jc w:val="center"/>
              <w:rPr>
                <w:b/>
              </w:rPr>
            </w:pPr>
            <w:r>
              <w:rPr>
                <w:b/>
              </w:rPr>
              <w:t>Total harm</w:t>
            </w:r>
            <w:r w:rsidR="00F7377D" w:rsidRPr="001F3983">
              <w:rPr>
                <w:b/>
              </w:rPr>
              <w:br/>
              <w:t>$ million</w:t>
            </w:r>
          </w:p>
        </w:tc>
      </w:tr>
      <w:tr w:rsidR="00570DA7" w:rsidRPr="0075716E" w14:paraId="7C25C6AE" w14:textId="77777777" w:rsidTr="00570DA7">
        <w:trPr>
          <w:cantSplit/>
        </w:trPr>
        <w:tc>
          <w:tcPr>
            <w:tcW w:w="2552" w:type="dxa"/>
            <w:tcBorders>
              <w:bottom w:val="nil"/>
            </w:tcBorders>
            <w:shd w:val="clear" w:color="auto" w:fill="auto"/>
          </w:tcPr>
          <w:p w14:paraId="273D07A1" w14:textId="77777777" w:rsidR="00570DA7" w:rsidRPr="00D54749" w:rsidRDefault="00570DA7" w:rsidP="00570DA7">
            <w:pPr>
              <w:pStyle w:val="TableText"/>
              <w:ind w:right="113"/>
              <w:rPr>
                <w:i/>
              </w:rPr>
            </w:pPr>
            <w:r w:rsidRPr="00D54749">
              <w:rPr>
                <w:i/>
              </w:rPr>
              <w:t>Methamphetamine</w:t>
            </w:r>
          </w:p>
        </w:tc>
        <w:tc>
          <w:tcPr>
            <w:tcW w:w="2173" w:type="dxa"/>
            <w:tcBorders>
              <w:bottom w:val="nil"/>
            </w:tcBorders>
            <w:shd w:val="clear" w:color="auto" w:fill="auto"/>
          </w:tcPr>
          <w:p w14:paraId="6B5A79B6" w14:textId="4D7333FB" w:rsidR="00570DA7" w:rsidRPr="006B795E" w:rsidRDefault="00570DA7" w:rsidP="00570DA7">
            <w:pPr>
              <w:pStyle w:val="TableText"/>
              <w:tabs>
                <w:tab w:val="decimal" w:pos="1077"/>
              </w:tabs>
              <w:rPr>
                <w:color w:val="000000" w:themeColor="text1"/>
              </w:rPr>
            </w:pPr>
            <w:r w:rsidRPr="005C5DA0">
              <w:t>404.52</w:t>
            </w:r>
          </w:p>
        </w:tc>
        <w:tc>
          <w:tcPr>
            <w:tcW w:w="2173" w:type="dxa"/>
            <w:tcBorders>
              <w:bottom w:val="nil"/>
            </w:tcBorders>
            <w:shd w:val="clear" w:color="auto" w:fill="auto"/>
          </w:tcPr>
          <w:p w14:paraId="08FC2D3D" w14:textId="61F08BD1" w:rsidR="00570DA7" w:rsidRPr="006B795E" w:rsidRDefault="00570DA7" w:rsidP="00570DA7">
            <w:pPr>
              <w:pStyle w:val="TableText"/>
              <w:tabs>
                <w:tab w:val="decimal" w:pos="1077"/>
              </w:tabs>
              <w:rPr>
                <w:color w:val="000000" w:themeColor="text1"/>
              </w:rPr>
            </w:pPr>
            <w:r w:rsidRPr="005C5DA0">
              <w:t>418.98</w:t>
            </w:r>
          </w:p>
        </w:tc>
        <w:tc>
          <w:tcPr>
            <w:tcW w:w="2174" w:type="dxa"/>
            <w:tcBorders>
              <w:bottom w:val="nil"/>
            </w:tcBorders>
            <w:shd w:val="clear" w:color="auto" w:fill="auto"/>
          </w:tcPr>
          <w:p w14:paraId="4D6022D9" w14:textId="3D780BD2" w:rsidR="00570DA7" w:rsidRPr="006B795E" w:rsidRDefault="00570DA7" w:rsidP="00570DA7">
            <w:pPr>
              <w:pStyle w:val="TableText"/>
              <w:tabs>
                <w:tab w:val="decimal" w:pos="1077"/>
              </w:tabs>
              <w:rPr>
                <w:color w:val="000000" w:themeColor="text1"/>
              </w:rPr>
            </w:pPr>
            <w:r w:rsidRPr="005C5DA0">
              <w:t>823.50</w:t>
            </w:r>
          </w:p>
        </w:tc>
      </w:tr>
      <w:tr w:rsidR="00570DA7" w:rsidRPr="0075716E" w14:paraId="16CD6BF3" w14:textId="77777777" w:rsidTr="00570DA7">
        <w:trPr>
          <w:cantSplit/>
        </w:trPr>
        <w:tc>
          <w:tcPr>
            <w:tcW w:w="2552" w:type="dxa"/>
            <w:tcBorders>
              <w:top w:val="nil"/>
              <w:bottom w:val="nil"/>
            </w:tcBorders>
            <w:shd w:val="clear" w:color="auto" w:fill="auto"/>
          </w:tcPr>
          <w:p w14:paraId="5043F7F9" w14:textId="77777777" w:rsidR="00570DA7" w:rsidRPr="00D54749" w:rsidRDefault="00570DA7" w:rsidP="00570DA7">
            <w:pPr>
              <w:pStyle w:val="TableText"/>
              <w:ind w:right="113"/>
              <w:rPr>
                <w:i/>
              </w:rPr>
            </w:pPr>
            <w:r w:rsidRPr="00D54749">
              <w:rPr>
                <w:i/>
              </w:rPr>
              <w:t>Cocaine</w:t>
            </w:r>
          </w:p>
        </w:tc>
        <w:tc>
          <w:tcPr>
            <w:tcW w:w="2173" w:type="dxa"/>
            <w:tcBorders>
              <w:top w:val="nil"/>
              <w:bottom w:val="nil"/>
            </w:tcBorders>
            <w:shd w:val="clear" w:color="auto" w:fill="auto"/>
          </w:tcPr>
          <w:p w14:paraId="5A8CE18C" w14:textId="241C4EAA" w:rsidR="00570DA7" w:rsidRPr="006B795E" w:rsidRDefault="00570DA7" w:rsidP="00570DA7">
            <w:pPr>
              <w:pStyle w:val="TableText"/>
              <w:tabs>
                <w:tab w:val="decimal" w:pos="1077"/>
              </w:tabs>
              <w:rPr>
                <w:color w:val="000000" w:themeColor="text1"/>
              </w:rPr>
            </w:pPr>
            <w:r w:rsidRPr="005C5DA0">
              <w:t>6.44</w:t>
            </w:r>
          </w:p>
        </w:tc>
        <w:tc>
          <w:tcPr>
            <w:tcW w:w="2173" w:type="dxa"/>
            <w:tcBorders>
              <w:top w:val="nil"/>
              <w:bottom w:val="nil"/>
            </w:tcBorders>
            <w:shd w:val="clear" w:color="auto" w:fill="auto"/>
          </w:tcPr>
          <w:p w14:paraId="69B5ACBF" w14:textId="19ACEA35" w:rsidR="00570DA7" w:rsidRPr="006B795E" w:rsidRDefault="00570DA7" w:rsidP="00570DA7">
            <w:pPr>
              <w:pStyle w:val="TableText"/>
              <w:tabs>
                <w:tab w:val="decimal" w:pos="1077"/>
              </w:tabs>
              <w:rPr>
                <w:color w:val="000000" w:themeColor="text1"/>
              </w:rPr>
            </w:pPr>
            <w:r w:rsidRPr="005C5DA0">
              <w:t>8.89</w:t>
            </w:r>
          </w:p>
        </w:tc>
        <w:tc>
          <w:tcPr>
            <w:tcW w:w="2174" w:type="dxa"/>
            <w:tcBorders>
              <w:top w:val="nil"/>
              <w:bottom w:val="nil"/>
            </w:tcBorders>
            <w:shd w:val="clear" w:color="auto" w:fill="auto"/>
          </w:tcPr>
          <w:p w14:paraId="79B10302" w14:textId="691EAA42" w:rsidR="00570DA7" w:rsidRPr="006B795E" w:rsidRDefault="00570DA7" w:rsidP="00570DA7">
            <w:pPr>
              <w:pStyle w:val="TableText"/>
              <w:tabs>
                <w:tab w:val="decimal" w:pos="1077"/>
              </w:tabs>
              <w:rPr>
                <w:color w:val="000000" w:themeColor="text1"/>
              </w:rPr>
            </w:pPr>
            <w:r w:rsidRPr="005C5DA0">
              <w:t>15.33</w:t>
            </w:r>
          </w:p>
        </w:tc>
      </w:tr>
      <w:tr w:rsidR="00570DA7" w:rsidRPr="0075716E" w14:paraId="78A7E611" w14:textId="77777777" w:rsidTr="00570DA7">
        <w:trPr>
          <w:cantSplit/>
        </w:trPr>
        <w:tc>
          <w:tcPr>
            <w:tcW w:w="2552" w:type="dxa"/>
            <w:tcBorders>
              <w:top w:val="nil"/>
              <w:bottom w:val="nil"/>
            </w:tcBorders>
            <w:shd w:val="clear" w:color="auto" w:fill="auto"/>
          </w:tcPr>
          <w:p w14:paraId="61B30571" w14:textId="77777777" w:rsidR="00570DA7" w:rsidRPr="00D54749" w:rsidRDefault="00570DA7" w:rsidP="00570DA7">
            <w:pPr>
              <w:pStyle w:val="TableText"/>
              <w:ind w:right="113"/>
              <w:rPr>
                <w:i/>
              </w:rPr>
            </w:pPr>
            <w:r w:rsidRPr="00D54749">
              <w:rPr>
                <w:i/>
              </w:rPr>
              <w:t>MDMA</w:t>
            </w:r>
          </w:p>
        </w:tc>
        <w:tc>
          <w:tcPr>
            <w:tcW w:w="2173" w:type="dxa"/>
            <w:tcBorders>
              <w:top w:val="nil"/>
              <w:bottom w:val="nil"/>
            </w:tcBorders>
            <w:shd w:val="clear" w:color="auto" w:fill="auto"/>
          </w:tcPr>
          <w:p w14:paraId="2BE4BAC9" w14:textId="59FD4DF4" w:rsidR="00570DA7" w:rsidRPr="006B795E" w:rsidRDefault="00570DA7" w:rsidP="00570DA7">
            <w:pPr>
              <w:pStyle w:val="TableText"/>
              <w:tabs>
                <w:tab w:val="decimal" w:pos="1077"/>
              </w:tabs>
              <w:rPr>
                <w:color w:val="000000" w:themeColor="text1"/>
              </w:rPr>
            </w:pPr>
            <w:r w:rsidRPr="005C5DA0">
              <w:t>23.53</w:t>
            </w:r>
          </w:p>
        </w:tc>
        <w:tc>
          <w:tcPr>
            <w:tcW w:w="2173" w:type="dxa"/>
            <w:tcBorders>
              <w:top w:val="nil"/>
              <w:bottom w:val="nil"/>
            </w:tcBorders>
            <w:shd w:val="clear" w:color="auto" w:fill="auto"/>
          </w:tcPr>
          <w:p w14:paraId="00DE78BB" w14:textId="6E2D3B7E" w:rsidR="00570DA7" w:rsidRPr="006B795E" w:rsidRDefault="00570DA7" w:rsidP="00570DA7">
            <w:pPr>
              <w:pStyle w:val="TableText"/>
              <w:tabs>
                <w:tab w:val="decimal" w:pos="1077"/>
              </w:tabs>
              <w:rPr>
                <w:color w:val="000000" w:themeColor="text1"/>
              </w:rPr>
            </w:pPr>
            <w:r w:rsidRPr="005C5DA0">
              <w:t>28.88</w:t>
            </w:r>
          </w:p>
        </w:tc>
        <w:tc>
          <w:tcPr>
            <w:tcW w:w="2174" w:type="dxa"/>
            <w:tcBorders>
              <w:top w:val="nil"/>
              <w:bottom w:val="nil"/>
            </w:tcBorders>
            <w:shd w:val="clear" w:color="auto" w:fill="auto"/>
          </w:tcPr>
          <w:p w14:paraId="71CA4AE3" w14:textId="18F23E97" w:rsidR="00570DA7" w:rsidRPr="006B795E" w:rsidRDefault="00570DA7" w:rsidP="00570DA7">
            <w:pPr>
              <w:pStyle w:val="TableText"/>
              <w:tabs>
                <w:tab w:val="decimal" w:pos="1077"/>
              </w:tabs>
              <w:rPr>
                <w:color w:val="000000" w:themeColor="text1"/>
              </w:rPr>
            </w:pPr>
            <w:r w:rsidRPr="005C5DA0">
              <w:t>52.42</w:t>
            </w:r>
          </w:p>
        </w:tc>
      </w:tr>
      <w:tr w:rsidR="00570DA7" w:rsidRPr="0075716E" w14:paraId="54E8B475" w14:textId="77777777" w:rsidTr="00570DA7">
        <w:trPr>
          <w:cantSplit/>
        </w:trPr>
        <w:tc>
          <w:tcPr>
            <w:tcW w:w="2552" w:type="dxa"/>
            <w:tcBorders>
              <w:top w:val="nil"/>
              <w:bottom w:val="nil"/>
            </w:tcBorders>
            <w:shd w:val="clear" w:color="auto" w:fill="auto"/>
          </w:tcPr>
          <w:p w14:paraId="5C320C71" w14:textId="77777777" w:rsidR="00570DA7" w:rsidRPr="00D54749" w:rsidRDefault="00570DA7" w:rsidP="00570DA7">
            <w:pPr>
              <w:pStyle w:val="TableText"/>
              <w:ind w:right="113"/>
              <w:rPr>
                <w:i/>
              </w:rPr>
            </w:pPr>
            <w:r w:rsidRPr="00D54749">
              <w:rPr>
                <w:i/>
              </w:rPr>
              <w:t>Heroin</w:t>
            </w:r>
          </w:p>
        </w:tc>
        <w:tc>
          <w:tcPr>
            <w:tcW w:w="2173" w:type="dxa"/>
            <w:tcBorders>
              <w:top w:val="nil"/>
              <w:bottom w:val="nil"/>
            </w:tcBorders>
            <w:shd w:val="clear" w:color="auto" w:fill="auto"/>
          </w:tcPr>
          <w:p w14:paraId="0714250B" w14:textId="69B26EC2" w:rsidR="00570DA7" w:rsidRPr="006B795E" w:rsidRDefault="00570DA7" w:rsidP="00570DA7">
            <w:pPr>
              <w:pStyle w:val="TableText"/>
              <w:tabs>
                <w:tab w:val="decimal" w:pos="1077"/>
              </w:tabs>
              <w:rPr>
                <w:color w:val="000000" w:themeColor="text1"/>
              </w:rPr>
            </w:pPr>
            <w:r w:rsidRPr="005C5DA0">
              <w:t>18.16</w:t>
            </w:r>
          </w:p>
        </w:tc>
        <w:tc>
          <w:tcPr>
            <w:tcW w:w="2173" w:type="dxa"/>
            <w:tcBorders>
              <w:top w:val="nil"/>
              <w:bottom w:val="nil"/>
            </w:tcBorders>
            <w:shd w:val="clear" w:color="auto" w:fill="auto"/>
          </w:tcPr>
          <w:p w14:paraId="2ADDD03E" w14:textId="004A8554" w:rsidR="00570DA7" w:rsidRPr="006B795E" w:rsidRDefault="00570DA7" w:rsidP="00570DA7">
            <w:pPr>
              <w:pStyle w:val="TableText"/>
              <w:tabs>
                <w:tab w:val="decimal" w:pos="1077"/>
              </w:tabs>
              <w:rPr>
                <w:color w:val="000000" w:themeColor="text1"/>
              </w:rPr>
            </w:pPr>
            <w:r w:rsidRPr="005C5DA0">
              <w:t>*</w:t>
            </w:r>
          </w:p>
        </w:tc>
        <w:tc>
          <w:tcPr>
            <w:tcW w:w="2174" w:type="dxa"/>
            <w:tcBorders>
              <w:top w:val="nil"/>
              <w:bottom w:val="nil"/>
            </w:tcBorders>
            <w:shd w:val="clear" w:color="auto" w:fill="auto"/>
          </w:tcPr>
          <w:p w14:paraId="1A8AABAC" w14:textId="2F9B008D" w:rsidR="00570DA7" w:rsidRPr="006B795E" w:rsidRDefault="00570DA7" w:rsidP="00570DA7">
            <w:pPr>
              <w:pStyle w:val="TableText"/>
              <w:tabs>
                <w:tab w:val="decimal" w:pos="1077"/>
              </w:tabs>
              <w:rPr>
                <w:color w:val="000000" w:themeColor="text1"/>
              </w:rPr>
            </w:pPr>
            <w:r w:rsidRPr="005C5DA0">
              <w:t>18.16</w:t>
            </w:r>
          </w:p>
        </w:tc>
      </w:tr>
      <w:tr w:rsidR="00570DA7" w:rsidRPr="0075716E" w14:paraId="00D4236A" w14:textId="77777777" w:rsidTr="00570DA7">
        <w:trPr>
          <w:cantSplit/>
        </w:trPr>
        <w:tc>
          <w:tcPr>
            <w:tcW w:w="2552" w:type="dxa"/>
            <w:tcBorders>
              <w:top w:val="nil"/>
              <w:bottom w:val="nil"/>
            </w:tcBorders>
            <w:shd w:val="clear" w:color="auto" w:fill="auto"/>
          </w:tcPr>
          <w:p w14:paraId="7E5FD793" w14:textId="77777777" w:rsidR="00570DA7" w:rsidRPr="00D54749" w:rsidRDefault="00570DA7" w:rsidP="00570DA7">
            <w:pPr>
              <w:pStyle w:val="TableText"/>
              <w:ind w:right="113"/>
              <w:rPr>
                <w:i/>
              </w:rPr>
            </w:pPr>
            <w:r w:rsidRPr="00D54749">
              <w:rPr>
                <w:i/>
              </w:rPr>
              <w:t>GHB/GBL</w:t>
            </w:r>
          </w:p>
        </w:tc>
        <w:tc>
          <w:tcPr>
            <w:tcW w:w="2173" w:type="dxa"/>
            <w:tcBorders>
              <w:top w:val="nil"/>
              <w:bottom w:val="nil"/>
            </w:tcBorders>
            <w:shd w:val="clear" w:color="auto" w:fill="auto"/>
          </w:tcPr>
          <w:p w14:paraId="3DDE11E5" w14:textId="4D0C9825" w:rsidR="00570DA7" w:rsidRPr="006B795E" w:rsidRDefault="00570DA7" w:rsidP="00570DA7">
            <w:pPr>
              <w:pStyle w:val="TableText"/>
              <w:tabs>
                <w:tab w:val="decimal" w:pos="1077"/>
              </w:tabs>
            </w:pPr>
            <w:r w:rsidRPr="005C5DA0">
              <w:t>1.13</w:t>
            </w:r>
          </w:p>
        </w:tc>
        <w:tc>
          <w:tcPr>
            <w:tcW w:w="2173" w:type="dxa"/>
            <w:tcBorders>
              <w:top w:val="nil"/>
              <w:bottom w:val="nil"/>
            </w:tcBorders>
            <w:shd w:val="clear" w:color="auto" w:fill="auto"/>
          </w:tcPr>
          <w:p w14:paraId="0B6162D3" w14:textId="603E550C" w:rsidR="00570DA7" w:rsidRPr="006B795E" w:rsidRDefault="00570DA7" w:rsidP="00570DA7">
            <w:pPr>
              <w:pStyle w:val="TableText"/>
              <w:tabs>
                <w:tab w:val="decimal" w:pos="1077"/>
              </w:tabs>
            </w:pPr>
            <w:r w:rsidRPr="005C5DA0">
              <w:t>1.93</w:t>
            </w:r>
          </w:p>
        </w:tc>
        <w:tc>
          <w:tcPr>
            <w:tcW w:w="2174" w:type="dxa"/>
            <w:tcBorders>
              <w:top w:val="nil"/>
              <w:bottom w:val="nil"/>
            </w:tcBorders>
            <w:shd w:val="clear" w:color="auto" w:fill="auto"/>
          </w:tcPr>
          <w:p w14:paraId="3218E9F5" w14:textId="21CFC6BF" w:rsidR="00570DA7" w:rsidRPr="006B795E" w:rsidRDefault="00570DA7" w:rsidP="00570DA7">
            <w:pPr>
              <w:pStyle w:val="TableText"/>
              <w:tabs>
                <w:tab w:val="decimal" w:pos="1077"/>
              </w:tabs>
            </w:pPr>
            <w:r w:rsidRPr="005C5DA0">
              <w:t>3.06</w:t>
            </w:r>
          </w:p>
        </w:tc>
      </w:tr>
      <w:tr w:rsidR="00570DA7" w:rsidRPr="0075716E" w14:paraId="3FFD6C69" w14:textId="77777777" w:rsidTr="00570DA7">
        <w:trPr>
          <w:cantSplit/>
        </w:trPr>
        <w:tc>
          <w:tcPr>
            <w:tcW w:w="2552" w:type="dxa"/>
            <w:tcBorders>
              <w:top w:val="nil"/>
              <w:bottom w:val="nil"/>
            </w:tcBorders>
            <w:shd w:val="clear" w:color="auto" w:fill="auto"/>
          </w:tcPr>
          <w:p w14:paraId="655F50F4" w14:textId="77777777" w:rsidR="00570DA7" w:rsidRPr="00D54749" w:rsidRDefault="00570DA7" w:rsidP="00570DA7">
            <w:pPr>
              <w:pStyle w:val="TableText"/>
              <w:ind w:right="113"/>
              <w:rPr>
                <w:i/>
              </w:rPr>
            </w:pPr>
            <w:r w:rsidRPr="00D54749">
              <w:rPr>
                <w:i/>
              </w:rPr>
              <w:t>Cannabis</w:t>
            </w:r>
          </w:p>
        </w:tc>
        <w:tc>
          <w:tcPr>
            <w:tcW w:w="2173" w:type="dxa"/>
            <w:tcBorders>
              <w:top w:val="nil"/>
              <w:bottom w:val="nil"/>
            </w:tcBorders>
            <w:shd w:val="clear" w:color="auto" w:fill="auto"/>
          </w:tcPr>
          <w:p w14:paraId="14B18A5E" w14:textId="492B533F" w:rsidR="00570DA7" w:rsidRPr="006B795E" w:rsidRDefault="00570DA7" w:rsidP="00570DA7">
            <w:pPr>
              <w:pStyle w:val="TableText"/>
              <w:tabs>
                <w:tab w:val="decimal" w:pos="1077"/>
              </w:tabs>
              <w:rPr>
                <w:color w:val="000000" w:themeColor="text1"/>
              </w:rPr>
            </w:pPr>
            <w:r w:rsidRPr="005C5DA0">
              <w:t>280.97</w:t>
            </w:r>
          </w:p>
        </w:tc>
        <w:tc>
          <w:tcPr>
            <w:tcW w:w="2173" w:type="dxa"/>
            <w:tcBorders>
              <w:top w:val="nil"/>
              <w:bottom w:val="nil"/>
            </w:tcBorders>
            <w:shd w:val="clear" w:color="auto" w:fill="auto"/>
          </w:tcPr>
          <w:p w14:paraId="7A160266" w14:textId="1E57B4EF" w:rsidR="00570DA7" w:rsidRPr="006B795E" w:rsidRDefault="00570DA7" w:rsidP="00570DA7">
            <w:pPr>
              <w:pStyle w:val="TableText"/>
              <w:tabs>
                <w:tab w:val="decimal" w:pos="1077"/>
              </w:tabs>
              <w:rPr>
                <w:color w:val="000000" w:themeColor="text1"/>
              </w:rPr>
            </w:pPr>
            <w:r w:rsidRPr="005C5DA0">
              <w:t>630.34</w:t>
            </w:r>
          </w:p>
        </w:tc>
        <w:tc>
          <w:tcPr>
            <w:tcW w:w="2174" w:type="dxa"/>
            <w:tcBorders>
              <w:top w:val="nil"/>
              <w:bottom w:val="nil"/>
            </w:tcBorders>
            <w:shd w:val="clear" w:color="auto" w:fill="auto"/>
          </w:tcPr>
          <w:p w14:paraId="3967037C" w14:textId="0F8652D6" w:rsidR="00570DA7" w:rsidRPr="006B795E" w:rsidRDefault="00570DA7" w:rsidP="00570DA7">
            <w:pPr>
              <w:pStyle w:val="TableText"/>
              <w:tabs>
                <w:tab w:val="decimal" w:pos="1077"/>
              </w:tabs>
              <w:rPr>
                <w:color w:val="000000" w:themeColor="text1"/>
              </w:rPr>
            </w:pPr>
            <w:r w:rsidRPr="005C5DA0">
              <w:t>911.31</w:t>
            </w:r>
          </w:p>
        </w:tc>
      </w:tr>
      <w:tr w:rsidR="00570DA7" w:rsidRPr="0075716E" w14:paraId="332329DC" w14:textId="77777777" w:rsidTr="00570DA7">
        <w:trPr>
          <w:cantSplit/>
        </w:trPr>
        <w:tc>
          <w:tcPr>
            <w:tcW w:w="2552" w:type="dxa"/>
            <w:tcBorders>
              <w:top w:val="nil"/>
            </w:tcBorders>
            <w:shd w:val="clear" w:color="auto" w:fill="auto"/>
          </w:tcPr>
          <w:p w14:paraId="7834D31B" w14:textId="77777777" w:rsidR="00570DA7" w:rsidRPr="00D54749" w:rsidRDefault="00570DA7" w:rsidP="00570DA7">
            <w:pPr>
              <w:pStyle w:val="TableText"/>
              <w:ind w:right="113"/>
              <w:rPr>
                <w:i/>
              </w:rPr>
            </w:pPr>
            <w:r w:rsidRPr="00D54749">
              <w:rPr>
                <w:i/>
              </w:rPr>
              <w:t>Synthetic cannabinoids</w:t>
            </w:r>
          </w:p>
        </w:tc>
        <w:tc>
          <w:tcPr>
            <w:tcW w:w="2173" w:type="dxa"/>
            <w:tcBorders>
              <w:top w:val="nil"/>
            </w:tcBorders>
            <w:shd w:val="clear" w:color="auto" w:fill="auto"/>
          </w:tcPr>
          <w:p w14:paraId="1D93A048" w14:textId="28B9A777" w:rsidR="00570DA7" w:rsidRPr="006B795E" w:rsidRDefault="00570DA7" w:rsidP="00570DA7">
            <w:pPr>
              <w:pStyle w:val="TableText"/>
              <w:tabs>
                <w:tab w:val="decimal" w:pos="1077"/>
              </w:tabs>
              <w:rPr>
                <w:color w:val="000000" w:themeColor="text1"/>
              </w:rPr>
            </w:pPr>
            <w:r w:rsidRPr="005C5DA0">
              <w:t>78.35</w:t>
            </w:r>
          </w:p>
        </w:tc>
        <w:tc>
          <w:tcPr>
            <w:tcW w:w="2173" w:type="dxa"/>
            <w:tcBorders>
              <w:top w:val="nil"/>
            </w:tcBorders>
            <w:shd w:val="clear" w:color="auto" w:fill="auto"/>
          </w:tcPr>
          <w:p w14:paraId="4378AC2B" w14:textId="24838A21" w:rsidR="00570DA7" w:rsidRPr="006B795E" w:rsidRDefault="00570DA7" w:rsidP="00570DA7">
            <w:pPr>
              <w:pStyle w:val="TableText"/>
              <w:tabs>
                <w:tab w:val="decimal" w:pos="1077"/>
              </w:tabs>
              <w:rPr>
                <w:color w:val="000000" w:themeColor="text1"/>
              </w:rPr>
            </w:pPr>
            <w:r w:rsidRPr="005C5DA0">
              <w:t>2.13</w:t>
            </w:r>
          </w:p>
        </w:tc>
        <w:tc>
          <w:tcPr>
            <w:tcW w:w="2174" w:type="dxa"/>
            <w:tcBorders>
              <w:top w:val="nil"/>
            </w:tcBorders>
            <w:shd w:val="clear" w:color="auto" w:fill="auto"/>
          </w:tcPr>
          <w:p w14:paraId="0771C870" w14:textId="503CCEBA" w:rsidR="00570DA7" w:rsidRPr="006B795E" w:rsidRDefault="00570DA7" w:rsidP="00570DA7">
            <w:pPr>
              <w:pStyle w:val="TableText"/>
              <w:tabs>
                <w:tab w:val="decimal" w:pos="1077"/>
              </w:tabs>
              <w:rPr>
                <w:color w:val="000000" w:themeColor="text1"/>
              </w:rPr>
            </w:pPr>
            <w:r w:rsidRPr="005C5DA0">
              <w:t>80.47</w:t>
            </w:r>
          </w:p>
        </w:tc>
      </w:tr>
      <w:tr w:rsidR="00570DA7" w:rsidRPr="001F3983" w14:paraId="405B24C7" w14:textId="77777777" w:rsidTr="00570DA7">
        <w:trPr>
          <w:cantSplit/>
        </w:trPr>
        <w:tc>
          <w:tcPr>
            <w:tcW w:w="2552" w:type="dxa"/>
            <w:shd w:val="clear" w:color="auto" w:fill="auto"/>
          </w:tcPr>
          <w:p w14:paraId="6709A719" w14:textId="77777777" w:rsidR="00570DA7" w:rsidRPr="00D54749" w:rsidRDefault="00570DA7" w:rsidP="00570DA7">
            <w:pPr>
              <w:pStyle w:val="TableText"/>
              <w:ind w:right="113"/>
            </w:pPr>
            <w:r w:rsidRPr="00D54749">
              <w:t>Total</w:t>
            </w:r>
          </w:p>
        </w:tc>
        <w:tc>
          <w:tcPr>
            <w:tcW w:w="2173" w:type="dxa"/>
            <w:shd w:val="clear" w:color="auto" w:fill="auto"/>
          </w:tcPr>
          <w:p w14:paraId="785C638A" w14:textId="18DE5014" w:rsidR="00570DA7" w:rsidRPr="00D54749" w:rsidRDefault="00570DA7" w:rsidP="00570DA7">
            <w:pPr>
              <w:pStyle w:val="TableText"/>
              <w:tabs>
                <w:tab w:val="decimal" w:pos="1077"/>
              </w:tabs>
              <w:rPr>
                <w:color w:val="000000" w:themeColor="text1"/>
              </w:rPr>
            </w:pPr>
            <w:r w:rsidRPr="005C5DA0">
              <w:t>813.09</w:t>
            </w:r>
          </w:p>
        </w:tc>
        <w:tc>
          <w:tcPr>
            <w:tcW w:w="2173" w:type="dxa"/>
            <w:shd w:val="clear" w:color="auto" w:fill="auto"/>
          </w:tcPr>
          <w:p w14:paraId="0B638FD6" w14:textId="1FB718BA" w:rsidR="00570DA7" w:rsidRPr="00D54749" w:rsidRDefault="00570DA7" w:rsidP="00570DA7">
            <w:pPr>
              <w:pStyle w:val="TableText"/>
              <w:tabs>
                <w:tab w:val="decimal" w:pos="1077"/>
              </w:tabs>
              <w:rPr>
                <w:color w:val="000000" w:themeColor="text1"/>
              </w:rPr>
            </w:pPr>
            <w:r w:rsidRPr="005C5DA0">
              <w:t>1091.15</w:t>
            </w:r>
          </w:p>
        </w:tc>
        <w:tc>
          <w:tcPr>
            <w:tcW w:w="2174" w:type="dxa"/>
            <w:shd w:val="clear" w:color="auto" w:fill="auto"/>
          </w:tcPr>
          <w:p w14:paraId="0591AB09" w14:textId="7CC3FE40" w:rsidR="00570DA7" w:rsidRPr="00D54749" w:rsidRDefault="00570DA7" w:rsidP="00570DA7">
            <w:pPr>
              <w:pStyle w:val="TableText"/>
              <w:tabs>
                <w:tab w:val="decimal" w:pos="1077"/>
              </w:tabs>
              <w:rPr>
                <w:color w:val="000000" w:themeColor="text1"/>
              </w:rPr>
            </w:pPr>
            <w:r w:rsidRPr="005C5DA0">
              <w:t>1,904.25</w:t>
            </w:r>
          </w:p>
        </w:tc>
      </w:tr>
    </w:tbl>
    <w:p w14:paraId="039EBC17" w14:textId="77777777" w:rsidR="00F7377D" w:rsidRDefault="00F7377D" w:rsidP="00457AC7">
      <w:pPr>
        <w:pStyle w:val="Note"/>
        <w:ind w:left="284" w:hanging="284"/>
        <w:rPr>
          <w:lang w:eastAsia="en-AU"/>
        </w:rPr>
      </w:pPr>
      <w:r w:rsidRPr="00997770">
        <w:rPr>
          <w:lang w:eastAsia="en-AU"/>
        </w:rPr>
        <w:t>*</w:t>
      </w:r>
      <w:r w:rsidR="00457AC7">
        <w:rPr>
          <w:lang w:eastAsia="en-AU"/>
        </w:rPr>
        <w:tab/>
      </w:r>
      <w:r w:rsidRPr="00997770">
        <w:rPr>
          <w:lang w:eastAsia="en-AU"/>
        </w:rPr>
        <w:t>Insufficient data for an estimate to be made.</w:t>
      </w:r>
    </w:p>
    <w:p w14:paraId="7BA27101" w14:textId="77777777" w:rsidR="00F7377D" w:rsidRDefault="00F7377D" w:rsidP="00457AC7">
      <w:pPr>
        <w:pStyle w:val="Note"/>
        <w:ind w:left="284" w:hanging="284"/>
        <w:rPr>
          <w:lang w:eastAsia="en-AU"/>
        </w:rPr>
      </w:pPr>
      <w:r>
        <w:rPr>
          <w:lang w:eastAsia="en-AU"/>
        </w:rPr>
        <w:t>^</w:t>
      </w:r>
      <w:r w:rsidR="00457AC7">
        <w:rPr>
          <w:lang w:eastAsia="en-AU"/>
        </w:rPr>
        <w:tab/>
      </w:r>
      <w:r>
        <w:rPr>
          <w:lang w:eastAsia="en-AU"/>
        </w:rPr>
        <w:t>Partial estimate due to insufficient data.</w:t>
      </w:r>
    </w:p>
    <w:p w14:paraId="21D62B7A" w14:textId="77777777" w:rsidR="00457AC7" w:rsidRPr="00457AC7" w:rsidRDefault="00457AC7" w:rsidP="00457AC7">
      <w:pPr>
        <w:rPr>
          <w:lang w:eastAsia="en-AU"/>
        </w:rPr>
      </w:pPr>
    </w:p>
    <w:p w14:paraId="304EA164" w14:textId="77777777" w:rsidR="00F7377D" w:rsidRPr="00785C82" w:rsidRDefault="00F7377D" w:rsidP="00457AC7">
      <w:pPr>
        <w:pStyle w:val="Heading1"/>
      </w:pPr>
      <w:bookmarkStart w:id="36" w:name="_Toc444941802"/>
      <w:bookmarkStart w:id="37" w:name="_Toc95470207"/>
      <w:r w:rsidRPr="008E0A8A">
        <w:lastRenderedPageBreak/>
        <w:t>References</w:t>
      </w:r>
      <w:bookmarkEnd w:id="36"/>
      <w:bookmarkEnd w:id="37"/>
    </w:p>
    <w:p w14:paraId="53924A66" w14:textId="77777777" w:rsidR="00F3293F" w:rsidRPr="00F05E5B" w:rsidRDefault="00F3293F" w:rsidP="00F3293F">
      <w:pPr>
        <w:pStyle w:val="References"/>
        <w:rPr>
          <w:color w:val="000000" w:themeColor="text1"/>
        </w:rPr>
      </w:pPr>
      <w:r w:rsidRPr="00D404BC">
        <w:t xml:space="preserve">Attewell R &amp; McFadden M (2008). Measuring the benefits of drug law enforcement: The </w:t>
      </w:r>
      <w:r w:rsidRPr="00F05E5B">
        <w:rPr>
          <w:color w:val="000000" w:themeColor="text1"/>
        </w:rPr>
        <w:t>development of the Australian Federal Police drug harm index,</w:t>
      </w:r>
      <w:r w:rsidRPr="00F05E5B">
        <w:rPr>
          <w:i/>
          <w:color w:val="000000" w:themeColor="text1"/>
        </w:rPr>
        <w:t xml:space="preserve"> Bulletin on Narcotics</w:t>
      </w:r>
      <w:r w:rsidRPr="00F05E5B">
        <w:rPr>
          <w:color w:val="000000" w:themeColor="text1"/>
        </w:rPr>
        <w:t>,</w:t>
      </w:r>
      <w:r w:rsidR="00FD38A3">
        <w:rPr>
          <w:color w:val="000000" w:themeColor="text1"/>
        </w:rPr>
        <w:br/>
      </w:r>
      <w:r w:rsidRPr="00F05E5B">
        <w:rPr>
          <w:color w:val="000000" w:themeColor="text1"/>
        </w:rPr>
        <w:t>60 1–2: 45–58.</w:t>
      </w:r>
    </w:p>
    <w:p w14:paraId="2E3D196D" w14:textId="77777777" w:rsidR="00F3293F" w:rsidRPr="00A16B99" w:rsidRDefault="00F3293F" w:rsidP="00F3293F">
      <w:pPr>
        <w:pStyle w:val="References"/>
        <w:rPr>
          <w:color w:val="000000" w:themeColor="text1"/>
        </w:rPr>
      </w:pPr>
      <w:r w:rsidRPr="00A16B99">
        <w:rPr>
          <w:color w:val="000000" w:themeColor="text1"/>
        </w:rPr>
        <w:t xml:space="preserve">Bryan M, Del Bono E &amp; Pudney S (2013). </w:t>
      </w:r>
      <w:r w:rsidRPr="00A16B99">
        <w:rPr>
          <w:i/>
          <w:color w:val="000000" w:themeColor="text1"/>
        </w:rPr>
        <w:t>Drug-related crime</w:t>
      </w:r>
      <w:r w:rsidRPr="00A16B99">
        <w:rPr>
          <w:color w:val="000000" w:themeColor="text1"/>
        </w:rPr>
        <w:t>, ISER Working Paper Series, 2013–08, Institute for Social and Economic Research.</w:t>
      </w:r>
    </w:p>
    <w:p w14:paraId="7905336D" w14:textId="77777777" w:rsidR="00F3293F" w:rsidRDefault="00F3293F" w:rsidP="00F3293F">
      <w:pPr>
        <w:pStyle w:val="References"/>
        <w:rPr>
          <w:color w:val="000000" w:themeColor="text1"/>
        </w:rPr>
      </w:pPr>
      <w:r w:rsidRPr="00A16B99">
        <w:rPr>
          <w:color w:val="000000" w:themeColor="text1"/>
        </w:rPr>
        <w:t xml:space="preserve">Caulkins J &amp; Kleiman M (2011). Chapter 10 Drugs and crime in </w:t>
      </w:r>
      <w:r w:rsidRPr="00A16B99">
        <w:rPr>
          <w:i/>
          <w:color w:val="000000" w:themeColor="text1"/>
        </w:rPr>
        <w:t>The Oxford Handbook of Crime and Criminal Justice</w:t>
      </w:r>
      <w:r w:rsidRPr="00A16B99">
        <w:rPr>
          <w:color w:val="000000" w:themeColor="text1"/>
        </w:rPr>
        <w:t>, Oxford University Press, New York, 275–310.</w:t>
      </w:r>
    </w:p>
    <w:p w14:paraId="5792CBB7" w14:textId="77777777" w:rsidR="00F3293F" w:rsidRPr="00A16B99" w:rsidRDefault="00F3293F" w:rsidP="00F3293F">
      <w:pPr>
        <w:pStyle w:val="References"/>
        <w:rPr>
          <w:rFonts w:ascii="Segoe UI" w:hAnsi="Segoe UI" w:cs="Segoe UI"/>
          <w:color w:val="000000" w:themeColor="text1"/>
          <w:sz w:val="20"/>
        </w:rPr>
      </w:pPr>
      <w:r w:rsidRPr="00A16B99">
        <w:rPr>
          <w:color w:val="000000" w:themeColor="text1"/>
        </w:rPr>
        <w:t xml:space="preserve">Goodwin A (2007). </w:t>
      </w:r>
      <w:r w:rsidRPr="00A16B99">
        <w:rPr>
          <w:i/>
          <w:color w:val="000000" w:themeColor="text1"/>
        </w:rPr>
        <w:t>Measuring the harm from illegal drugs: The Drug Harm Index 2005</w:t>
      </w:r>
      <w:r w:rsidRPr="00A16B99">
        <w:rPr>
          <w:color w:val="000000" w:themeColor="text1"/>
        </w:rPr>
        <w:t xml:space="preserve">, Home Office Online Report 22/07 accessed at </w:t>
      </w:r>
      <w:hyperlink r:id="rId16" w:history="1">
        <w:r w:rsidR="00FD38A3" w:rsidRPr="00FD38A3">
          <w:rPr>
            <w:rStyle w:val="Hyperlink"/>
          </w:rPr>
          <w:t>http://webarchive.nationalarchives.gov.uk/20110220105210/rds.homeoffice.gov.uk/rds/pdfs07/rdsolr2207.pdf</w:t>
        </w:r>
      </w:hyperlink>
      <w:r w:rsidR="00FD38A3">
        <w:rPr>
          <w:color w:val="000000" w:themeColor="text1"/>
        </w:rPr>
        <w:t>.</w:t>
      </w:r>
    </w:p>
    <w:p w14:paraId="359E13B5" w14:textId="77777777" w:rsidR="00F3293F" w:rsidRPr="00F05E5B" w:rsidRDefault="00F3293F" w:rsidP="00F3293F">
      <w:pPr>
        <w:pStyle w:val="References"/>
        <w:rPr>
          <w:color w:val="000000" w:themeColor="text1"/>
        </w:rPr>
      </w:pPr>
      <w:r w:rsidRPr="00F05E5B">
        <w:rPr>
          <w:color w:val="000000" w:themeColor="text1"/>
        </w:rPr>
        <w:t xml:space="preserve">Greenfield V &amp; Paoli L (2010). </w:t>
      </w:r>
      <w:r w:rsidRPr="00F05E5B">
        <w:rPr>
          <w:i/>
          <w:color w:val="000000" w:themeColor="text1"/>
        </w:rPr>
        <w:t>If supply-oriented drug policy is broken, can harm reduction help fix it? Melding disciplines and methods to advance international drug control policy</w:t>
      </w:r>
      <w:r w:rsidRPr="00F05E5B">
        <w:rPr>
          <w:color w:val="000000" w:themeColor="text1"/>
        </w:rPr>
        <w:t>, United States Naval Academy, Department of Economics, Working Paper 2010–30.</w:t>
      </w:r>
    </w:p>
    <w:p w14:paraId="0C66D3A2" w14:textId="77777777" w:rsidR="00F3293F" w:rsidRPr="00A45BD9" w:rsidRDefault="00F3293F" w:rsidP="00F3293F">
      <w:pPr>
        <w:pStyle w:val="References"/>
        <w:rPr>
          <w:color w:val="000000" w:themeColor="text1"/>
        </w:rPr>
      </w:pPr>
      <w:r w:rsidRPr="00A45BD9">
        <w:rPr>
          <w:color w:val="000000" w:themeColor="text1"/>
        </w:rPr>
        <w:t xml:space="preserve">Hall W, Ross J, Lynskey M, Law M &amp; Degenhardt L (2000). </w:t>
      </w:r>
      <w:r w:rsidRPr="00A45BD9">
        <w:rPr>
          <w:i/>
          <w:color w:val="000000" w:themeColor="text1"/>
        </w:rPr>
        <w:t>How many dependent heroin users are there in Australia</w:t>
      </w:r>
      <w:r w:rsidRPr="00A45BD9">
        <w:rPr>
          <w:color w:val="000000" w:themeColor="text1"/>
        </w:rPr>
        <w:t>? Monograph 44. Sydney: National Drug and Alcohol Research Centre.</w:t>
      </w:r>
    </w:p>
    <w:p w14:paraId="5FD1AF43" w14:textId="77777777" w:rsidR="00F3293F" w:rsidRDefault="00F3293F" w:rsidP="00F3293F">
      <w:pPr>
        <w:pStyle w:val="References"/>
        <w:rPr>
          <w:color w:val="000000" w:themeColor="text1"/>
        </w:rPr>
      </w:pPr>
      <w:r w:rsidRPr="00A16B99">
        <w:rPr>
          <w:color w:val="000000" w:themeColor="text1"/>
        </w:rPr>
        <w:t xml:space="preserve">Hughes C, Chalmers J, Bright D &amp; McFadden M (2015). </w:t>
      </w:r>
      <w:r w:rsidRPr="00A16B99">
        <w:rPr>
          <w:i/>
          <w:color w:val="000000" w:themeColor="text1"/>
        </w:rPr>
        <w:t>Trafficking in multiple commodities: Exposing Australia’s polydrug and poly-crime networks</w:t>
      </w:r>
      <w:r w:rsidRPr="00A16B99">
        <w:rPr>
          <w:color w:val="000000" w:themeColor="text1"/>
        </w:rPr>
        <w:t>. Monograph Series No. 4, National Drug Law Enforcement Research Fund.</w:t>
      </w:r>
    </w:p>
    <w:p w14:paraId="0A3D8D23" w14:textId="77777777" w:rsidR="00F3293F" w:rsidRDefault="00F3293F" w:rsidP="00F3293F">
      <w:pPr>
        <w:pStyle w:val="References"/>
        <w:rPr>
          <w:color w:val="000000" w:themeColor="text1"/>
        </w:rPr>
      </w:pPr>
      <w:r w:rsidRPr="00AC4EBE">
        <w:rPr>
          <w:color w:val="000000" w:themeColor="text1"/>
        </w:rPr>
        <w:t>Lai F</w:t>
      </w:r>
      <w:r>
        <w:rPr>
          <w:color w:val="000000" w:themeColor="text1"/>
        </w:rPr>
        <w:t>Y,</w:t>
      </w:r>
      <w:r w:rsidRPr="00AC4EBE">
        <w:rPr>
          <w:color w:val="000000" w:themeColor="text1"/>
        </w:rPr>
        <w:t xml:space="preserve"> Wilkins</w:t>
      </w:r>
      <w:r>
        <w:rPr>
          <w:color w:val="000000" w:themeColor="text1"/>
        </w:rPr>
        <w:t xml:space="preserve"> C</w:t>
      </w:r>
      <w:r w:rsidRPr="00AC4EBE">
        <w:rPr>
          <w:color w:val="000000" w:themeColor="text1"/>
        </w:rPr>
        <w:t>, Thai</w:t>
      </w:r>
      <w:r>
        <w:rPr>
          <w:color w:val="000000" w:themeColor="text1"/>
        </w:rPr>
        <w:t xml:space="preserve"> P</w:t>
      </w:r>
      <w:r w:rsidRPr="00AC4EBE">
        <w:rPr>
          <w:color w:val="000000" w:themeColor="text1"/>
        </w:rPr>
        <w:t>, &amp;</w:t>
      </w:r>
      <w:r>
        <w:rPr>
          <w:color w:val="000000" w:themeColor="text1"/>
        </w:rPr>
        <w:t xml:space="preserve"> </w:t>
      </w:r>
      <w:r w:rsidRPr="00AC4EBE">
        <w:rPr>
          <w:color w:val="000000" w:themeColor="text1"/>
        </w:rPr>
        <w:t>Mueller</w:t>
      </w:r>
      <w:r>
        <w:rPr>
          <w:color w:val="000000" w:themeColor="text1"/>
        </w:rPr>
        <w:t xml:space="preserve"> J F (2017). </w:t>
      </w:r>
      <w:r w:rsidRPr="00AC4EBE">
        <w:rPr>
          <w:color w:val="000000" w:themeColor="text1"/>
        </w:rPr>
        <w:t>An exploratory wastewater analysis study of drug use in Auckland,</w:t>
      </w:r>
      <w:r>
        <w:rPr>
          <w:color w:val="000000" w:themeColor="text1"/>
        </w:rPr>
        <w:t xml:space="preserve"> </w:t>
      </w:r>
      <w:r w:rsidRPr="00AC4EBE">
        <w:rPr>
          <w:color w:val="000000" w:themeColor="text1"/>
        </w:rPr>
        <w:t>New Zealand</w:t>
      </w:r>
      <w:r>
        <w:rPr>
          <w:color w:val="000000" w:themeColor="text1"/>
        </w:rPr>
        <w:t xml:space="preserve">, </w:t>
      </w:r>
      <w:r w:rsidRPr="00AC4EBE">
        <w:rPr>
          <w:rFonts w:ascii="PlantinStd-Italic" w:hAnsi="PlantinStd-Italic" w:cs="PlantinStd-Italic"/>
          <w:i/>
          <w:iCs/>
          <w:szCs w:val="22"/>
          <w:lang w:val="en-AU" w:eastAsia="en-NZ"/>
        </w:rPr>
        <w:t xml:space="preserve">Drug and Alcohol Review </w:t>
      </w:r>
      <w:r w:rsidRPr="00AC4EBE">
        <w:rPr>
          <w:rFonts w:ascii="PlantinStd" w:hAnsi="PlantinStd" w:cs="PlantinStd"/>
          <w:szCs w:val="22"/>
          <w:lang w:val="en-AU" w:eastAsia="en-NZ"/>
        </w:rPr>
        <w:t>(September 2017), 36, 597–601</w:t>
      </w:r>
      <w:r>
        <w:rPr>
          <w:rFonts w:ascii="PlantinStd" w:hAnsi="PlantinStd" w:cs="PlantinStd"/>
          <w:szCs w:val="22"/>
          <w:lang w:val="en-AU" w:eastAsia="en-NZ"/>
        </w:rPr>
        <w:t>.</w:t>
      </w:r>
    </w:p>
    <w:p w14:paraId="765C2B7D" w14:textId="77777777" w:rsidR="00F3293F" w:rsidRPr="00F05E5B" w:rsidRDefault="00F3293F" w:rsidP="00F3293F">
      <w:pPr>
        <w:pStyle w:val="References"/>
        <w:rPr>
          <w:color w:val="000000" w:themeColor="text1"/>
        </w:rPr>
      </w:pPr>
      <w:r w:rsidRPr="00F05E5B">
        <w:rPr>
          <w:color w:val="000000" w:themeColor="text1"/>
        </w:rPr>
        <w:t xml:space="preserve">MacDonald Z, Collingwood J &amp; Gordon L (2006). </w:t>
      </w:r>
      <w:r w:rsidRPr="00F05E5B">
        <w:rPr>
          <w:i/>
          <w:color w:val="000000" w:themeColor="text1"/>
        </w:rPr>
        <w:t>Measuring the harm from illegal drugs using the Drug Harm Index – an update</w:t>
      </w:r>
      <w:r w:rsidRPr="00F05E5B">
        <w:rPr>
          <w:color w:val="000000" w:themeColor="text1"/>
        </w:rPr>
        <w:t>, London, Home Office, Online Report 08/06.</w:t>
      </w:r>
    </w:p>
    <w:p w14:paraId="48FD47F5" w14:textId="77777777" w:rsidR="00F3293F" w:rsidRPr="00DF128B" w:rsidRDefault="00F3293F" w:rsidP="00F3293F">
      <w:pPr>
        <w:pStyle w:val="References"/>
        <w:rPr>
          <w:color w:val="000000" w:themeColor="text1"/>
        </w:rPr>
      </w:pPr>
      <w:r w:rsidRPr="00DF128B">
        <w:rPr>
          <w:color w:val="000000" w:themeColor="text1"/>
        </w:rPr>
        <w:t xml:space="preserve">McDowell J &amp; Novis G (2001). </w:t>
      </w:r>
      <w:r w:rsidRPr="00DF128B">
        <w:rPr>
          <w:i/>
          <w:color w:val="000000" w:themeColor="text1"/>
        </w:rPr>
        <w:t>The Consequences of Money Laundering and Financial Crime</w:t>
      </w:r>
      <w:r w:rsidRPr="00DF128B">
        <w:rPr>
          <w:color w:val="000000" w:themeColor="text1"/>
        </w:rPr>
        <w:t>, Bureau of International Narcotics and Law Enforcement Affairs, US Department of State.</w:t>
      </w:r>
    </w:p>
    <w:p w14:paraId="37BE4B0F" w14:textId="77777777" w:rsidR="00F3293F" w:rsidRDefault="00F3293F" w:rsidP="00F3293F">
      <w:pPr>
        <w:pStyle w:val="References"/>
        <w:rPr>
          <w:color w:val="000000" w:themeColor="text1"/>
        </w:rPr>
      </w:pPr>
      <w:r w:rsidRPr="00A16B99">
        <w:rPr>
          <w:color w:val="000000" w:themeColor="text1"/>
        </w:rPr>
        <w:t xml:space="preserve">McFadden M (2015). </w:t>
      </w:r>
      <w:r w:rsidRPr="00A16B99">
        <w:rPr>
          <w:i/>
          <w:color w:val="000000" w:themeColor="text1"/>
        </w:rPr>
        <w:t>Development of a Proceeds of Crime Disruption Index</w:t>
      </w:r>
      <w:r w:rsidRPr="00A16B99">
        <w:rPr>
          <w:color w:val="000000" w:themeColor="text1"/>
        </w:rPr>
        <w:t>, New Zealand Police, Wellington.</w:t>
      </w:r>
    </w:p>
    <w:p w14:paraId="1A525C1D" w14:textId="77777777" w:rsidR="00F3293F" w:rsidRPr="00A16B99" w:rsidRDefault="00F3293F" w:rsidP="00F3293F">
      <w:pPr>
        <w:pStyle w:val="References"/>
        <w:rPr>
          <w:color w:val="000000" w:themeColor="text1"/>
        </w:rPr>
      </w:pPr>
      <w:r>
        <w:rPr>
          <w:color w:val="000000" w:themeColor="text1"/>
        </w:rPr>
        <w:t xml:space="preserve">McFadden M (2016). </w:t>
      </w:r>
      <w:r w:rsidRPr="00A57BCD">
        <w:rPr>
          <w:i/>
          <w:iCs/>
          <w:color w:val="000000" w:themeColor="text1"/>
        </w:rPr>
        <w:t>The New Zealand Drug Harm Index 2016</w:t>
      </w:r>
      <w:r>
        <w:rPr>
          <w:color w:val="000000" w:themeColor="text1"/>
        </w:rPr>
        <w:t>, Ministry of Health, Wellington.</w:t>
      </w:r>
    </w:p>
    <w:p w14:paraId="64A479F5" w14:textId="77777777" w:rsidR="00F3293F" w:rsidRPr="00F05E5B" w:rsidRDefault="00F3293F" w:rsidP="00F3293F">
      <w:pPr>
        <w:pStyle w:val="References"/>
        <w:rPr>
          <w:color w:val="000000" w:themeColor="text1"/>
        </w:rPr>
      </w:pPr>
      <w:r w:rsidRPr="00F05E5B">
        <w:rPr>
          <w:color w:val="000000" w:themeColor="text1"/>
        </w:rPr>
        <w:t>McFadden M, Mwesigye S &amp; Williamson G (2002). Pricing outputs: A case study in law enforcement</w:t>
      </w:r>
      <w:r w:rsidRPr="00F05E5B">
        <w:rPr>
          <w:i/>
          <w:color w:val="000000" w:themeColor="text1"/>
        </w:rPr>
        <w:t>,</w:t>
      </w:r>
      <w:r w:rsidRPr="00F05E5B">
        <w:rPr>
          <w:color w:val="000000" w:themeColor="text1"/>
        </w:rPr>
        <w:t xml:space="preserve"> </w:t>
      </w:r>
      <w:r w:rsidRPr="00F05E5B">
        <w:rPr>
          <w:i/>
          <w:color w:val="000000" w:themeColor="text1"/>
        </w:rPr>
        <w:t>Australian Journal of Public Administration</w:t>
      </w:r>
      <w:r w:rsidRPr="00F05E5B">
        <w:rPr>
          <w:color w:val="000000" w:themeColor="text1"/>
        </w:rPr>
        <w:t>, 61(4), 80–88.</w:t>
      </w:r>
    </w:p>
    <w:p w14:paraId="14E79967" w14:textId="77777777" w:rsidR="00F3293F" w:rsidRPr="00A45BD9" w:rsidRDefault="00F3293F" w:rsidP="00F3293F">
      <w:pPr>
        <w:pStyle w:val="References"/>
        <w:rPr>
          <w:color w:val="000000" w:themeColor="text1"/>
        </w:rPr>
      </w:pPr>
      <w:r w:rsidRPr="00A45BD9">
        <w:rPr>
          <w:color w:val="000000" w:themeColor="text1"/>
        </w:rPr>
        <w:t>Melberg H, Hakkarainen P, Houborg E, Jääskeläinen M, Skretting A, Ramstedt M &amp; Rosenqvist P (2011). Measuring the harm of illicit drug use on friends and family,</w:t>
      </w:r>
      <w:r w:rsidRPr="00A45BD9">
        <w:rPr>
          <w:i/>
          <w:color w:val="000000" w:themeColor="text1"/>
        </w:rPr>
        <w:t xml:space="preserve"> Nordic Studies on Alcohol and Drugs</w:t>
      </w:r>
      <w:r w:rsidRPr="00A45BD9">
        <w:rPr>
          <w:color w:val="000000" w:themeColor="text1"/>
        </w:rPr>
        <w:t>, 28, 2, 105–121.</w:t>
      </w:r>
    </w:p>
    <w:p w14:paraId="13F4BF64" w14:textId="77777777" w:rsidR="00F3293F" w:rsidRPr="00F05E5B" w:rsidRDefault="00F3293F" w:rsidP="00F3293F">
      <w:pPr>
        <w:pStyle w:val="References"/>
        <w:rPr>
          <w:color w:val="000000" w:themeColor="text1"/>
        </w:rPr>
      </w:pPr>
      <w:r w:rsidRPr="00F05E5B">
        <w:rPr>
          <w:rFonts w:ascii="Calibri" w:hAnsi="Calibri"/>
          <w:color w:val="000000" w:themeColor="text1"/>
          <w:lang w:eastAsia="en-AU"/>
        </w:rPr>
        <w:t>Ministry of Transport (2019).</w:t>
      </w:r>
      <w:r w:rsidRPr="00F05E5B">
        <w:rPr>
          <w:rFonts w:ascii="Calibri" w:hAnsi="Calibri"/>
          <w:i/>
          <w:iCs/>
          <w:color w:val="000000" w:themeColor="text1"/>
          <w:lang w:eastAsia="en-AU"/>
        </w:rPr>
        <w:t xml:space="preserve"> Social Cost of Road Crashes and Injuries 2018 update</w:t>
      </w:r>
      <w:r w:rsidRPr="00F05E5B">
        <w:rPr>
          <w:rFonts w:ascii="Calibri" w:hAnsi="Calibri"/>
          <w:color w:val="000000" w:themeColor="text1"/>
          <w:lang w:eastAsia="en-AU"/>
        </w:rPr>
        <w:t>, Wellington.</w:t>
      </w:r>
    </w:p>
    <w:p w14:paraId="2F5F10EF" w14:textId="77777777" w:rsidR="00F3293F" w:rsidRPr="00DA387A" w:rsidRDefault="00F3293F" w:rsidP="006253AD">
      <w:pPr>
        <w:pStyle w:val="References"/>
        <w:rPr>
          <w:rFonts w:ascii="Calibri" w:hAnsi="Calibri" w:cs="Calibri"/>
          <w:szCs w:val="22"/>
          <w:lang w:val="en-AU" w:eastAsia="en-AU"/>
        </w:rPr>
      </w:pPr>
      <w:r>
        <w:t xml:space="preserve">New Zealand Police (2019). </w:t>
      </w:r>
      <w:r w:rsidRPr="00DA387A">
        <w:rPr>
          <w:i/>
          <w:iCs/>
        </w:rPr>
        <w:t>Crime in New Zealand at a glance.</w:t>
      </w:r>
      <w:r>
        <w:t xml:space="preserve"> Accessed at </w:t>
      </w:r>
      <w:hyperlink r:id="rId17" w:history="1">
        <w:r w:rsidR="006253AD" w:rsidRPr="006253AD">
          <w:rPr>
            <w:rStyle w:val="Hyperlink"/>
          </w:rPr>
          <w:t>https://www.police.govt.nz/sites/default/files/publications/crime-at-a-glance-nov2019.pdf</w:t>
        </w:r>
      </w:hyperlink>
      <w:r w:rsidR="006253AD">
        <w:t>.</w:t>
      </w:r>
    </w:p>
    <w:p w14:paraId="6D195DBD" w14:textId="77777777" w:rsidR="00F3293F" w:rsidRPr="00A16B99" w:rsidRDefault="00F3293F" w:rsidP="00F3293F">
      <w:pPr>
        <w:pStyle w:val="References"/>
        <w:rPr>
          <w:color w:val="000000" w:themeColor="text1"/>
        </w:rPr>
      </w:pPr>
      <w:r w:rsidRPr="00A16B99">
        <w:rPr>
          <w:color w:val="000000" w:themeColor="text1"/>
        </w:rPr>
        <w:lastRenderedPageBreak/>
        <w:t xml:space="preserve">Murray C et al (2012). Disability-adjusted life years (DALYs) for 291 diseases and injuries in 21 regions, 1990–2010: a systematic analysis for the Global Burden of Disease Study 2010, </w:t>
      </w:r>
      <w:r w:rsidRPr="00A16B99">
        <w:rPr>
          <w:i/>
          <w:color w:val="000000" w:themeColor="text1"/>
        </w:rPr>
        <w:t>The Lancet</w:t>
      </w:r>
      <w:r w:rsidRPr="00A16B99">
        <w:rPr>
          <w:color w:val="000000" w:themeColor="text1"/>
        </w:rPr>
        <w:t>, 380, 2213. (Full author list exceeds 400 names.)</w:t>
      </w:r>
    </w:p>
    <w:p w14:paraId="012E0F5B" w14:textId="77777777" w:rsidR="00F3293F" w:rsidRPr="00A45BD9" w:rsidRDefault="00F3293F" w:rsidP="00F3293F">
      <w:pPr>
        <w:pStyle w:val="References"/>
        <w:rPr>
          <w:color w:val="000000" w:themeColor="text1"/>
        </w:rPr>
      </w:pPr>
      <w:r w:rsidRPr="00A45BD9">
        <w:rPr>
          <w:color w:val="000000" w:themeColor="text1"/>
        </w:rPr>
        <w:t xml:space="preserve">Nutt D, King L &amp; Phillips L (2010). Development of a rational scale to assess the harm of drugs of potential misuse, </w:t>
      </w:r>
      <w:r w:rsidRPr="00A45BD9">
        <w:rPr>
          <w:i/>
          <w:color w:val="000000" w:themeColor="text1"/>
        </w:rPr>
        <w:t>The Lancet</w:t>
      </w:r>
      <w:r w:rsidRPr="00A45BD9">
        <w:rPr>
          <w:color w:val="000000" w:themeColor="text1"/>
        </w:rPr>
        <w:t>, 369, 9566, 1047–1053.</w:t>
      </w:r>
    </w:p>
    <w:p w14:paraId="5F0FB48E" w14:textId="77777777" w:rsidR="00F3293F" w:rsidRPr="00A45BD9" w:rsidRDefault="00F3293F" w:rsidP="00F3293F">
      <w:pPr>
        <w:pStyle w:val="References"/>
        <w:rPr>
          <w:color w:val="000000" w:themeColor="text1"/>
        </w:rPr>
      </w:pPr>
      <w:r w:rsidRPr="00A45BD9">
        <w:rPr>
          <w:color w:val="000000" w:themeColor="text1"/>
        </w:rPr>
        <w:t xml:space="preserve">Reuter P (2009). Ten years after the United Nations General Assembly Special Session (UNGASS): assessing drug problems, policies and reform proposals, </w:t>
      </w:r>
      <w:r w:rsidRPr="00A45BD9">
        <w:rPr>
          <w:i/>
          <w:color w:val="000000" w:themeColor="text1"/>
        </w:rPr>
        <w:t>Addiction</w:t>
      </w:r>
      <w:r w:rsidRPr="00A45BD9">
        <w:rPr>
          <w:color w:val="000000" w:themeColor="text1"/>
        </w:rPr>
        <w:t>, 104: 510–517.</w:t>
      </w:r>
    </w:p>
    <w:p w14:paraId="788E82A7" w14:textId="77777777" w:rsidR="00F3293F" w:rsidRPr="00A45BD9" w:rsidRDefault="00F3293F" w:rsidP="00F3293F">
      <w:pPr>
        <w:pStyle w:val="References"/>
        <w:rPr>
          <w:color w:val="000000" w:themeColor="text1"/>
        </w:rPr>
      </w:pPr>
      <w:r w:rsidRPr="00A45BD9">
        <w:rPr>
          <w:color w:val="000000" w:themeColor="text1"/>
        </w:rPr>
        <w:t xml:space="preserve">Ritter A (2009), Methods for comparing drug policies—the utility of composite Drug Harm Indexes, </w:t>
      </w:r>
      <w:r w:rsidRPr="00A45BD9">
        <w:rPr>
          <w:i/>
          <w:color w:val="000000" w:themeColor="text1"/>
        </w:rPr>
        <w:t>International Journal of Drug Policy</w:t>
      </w:r>
      <w:r w:rsidRPr="00A45BD9">
        <w:rPr>
          <w:color w:val="000000" w:themeColor="text1"/>
        </w:rPr>
        <w:t>, 20, 6, 475–479.</w:t>
      </w:r>
    </w:p>
    <w:p w14:paraId="0E372886" w14:textId="77777777" w:rsidR="00F3293F" w:rsidRPr="00C14C7A" w:rsidRDefault="00F3293F" w:rsidP="00F3293F">
      <w:pPr>
        <w:pStyle w:val="References"/>
        <w:rPr>
          <w:color w:val="000000" w:themeColor="text1"/>
        </w:rPr>
      </w:pPr>
      <w:r w:rsidRPr="00C14C7A">
        <w:rPr>
          <w:color w:val="000000" w:themeColor="text1"/>
        </w:rPr>
        <w:t>Ritter Al &amp; Moxham-Hall</w:t>
      </w:r>
      <w:r>
        <w:rPr>
          <w:color w:val="000000" w:themeColor="text1"/>
        </w:rPr>
        <w:t xml:space="preserve"> V (2016)</w:t>
      </w:r>
      <w:r w:rsidRPr="00C14C7A">
        <w:rPr>
          <w:color w:val="000000" w:themeColor="text1"/>
        </w:rPr>
        <w:t xml:space="preserve">. Complexities and challenges - NZ's Drug Harm Index 2016. </w:t>
      </w:r>
      <w:r w:rsidRPr="00C14C7A">
        <w:rPr>
          <w:i/>
          <w:iCs/>
          <w:color w:val="000000" w:themeColor="text1"/>
        </w:rPr>
        <w:t>Matters of Substance</w:t>
      </w:r>
      <w:r w:rsidRPr="00C14C7A">
        <w:rPr>
          <w:color w:val="000000" w:themeColor="text1"/>
        </w:rPr>
        <w:t>, V</w:t>
      </w:r>
      <w:r w:rsidR="006253AD">
        <w:rPr>
          <w:color w:val="000000" w:themeColor="text1"/>
        </w:rPr>
        <w:t>ol. 27, No. 3, Aug 2016: 34–36.</w:t>
      </w:r>
    </w:p>
    <w:p w14:paraId="751A46DD" w14:textId="77777777" w:rsidR="00F3293F" w:rsidRPr="00A45BD9" w:rsidRDefault="00F3293F" w:rsidP="00F3293F">
      <w:pPr>
        <w:pStyle w:val="References"/>
        <w:rPr>
          <w:color w:val="000000" w:themeColor="text1"/>
        </w:rPr>
      </w:pPr>
      <w:r w:rsidRPr="00A45BD9">
        <w:rPr>
          <w:color w:val="000000" w:themeColor="text1"/>
        </w:rPr>
        <w:t xml:space="preserve">Roberts M, Bewley-Taylor D &amp; Trace M (2006). </w:t>
      </w:r>
      <w:r w:rsidRPr="00A45BD9">
        <w:rPr>
          <w:i/>
          <w:color w:val="000000" w:themeColor="text1"/>
        </w:rPr>
        <w:t>Monitoring Drug Policy Outcomes: The Measurement of Drug-related Harm</w:t>
      </w:r>
      <w:r w:rsidRPr="00A45BD9">
        <w:rPr>
          <w:color w:val="000000" w:themeColor="text1"/>
        </w:rPr>
        <w:t>, The Beckley Foundation, Report Nine.</w:t>
      </w:r>
    </w:p>
    <w:p w14:paraId="0C1D703E" w14:textId="77777777" w:rsidR="00F3293F" w:rsidRPr="00817895" w:rsidRDefault="00F3293F" w:rsidP="00F3293F">
      <w:pPr>
        <w:pStyle w:val="References"/>
        <w:rPr>
          <w:color w:val="000000" w:themeColor="text1"/>
        </w:rPr>
      </w:pPr>
      <w:r w:rsidRPr="00817895">
        <w:rPr>
          <w:color w:val="000000" w:themeColor="text1"/>
        </w:rPr>
        <w:t xml:space="preserve">Shanahan M, Seddon J &amp; Ritter A (2015). Exploring the economic costs to family members affected by drug use: A discrete choice experiment, Drug Policy Modelling Program, UNSW, Accessed 30 December 2015 at </w:t>
      </w:r>
      <w:hyperlink r:id="rId18" w:history="1">
        <w:r w:rsidR="006253AD" w:rsidRPr="006253AD">
          <w:rPr>
            <w:rStyle w:val="Hyperlink"/>
          </w:rPr>
          <w:t>https://dpmp.unsw.edu.au/project/exploring-economic-costs-family-members-affected-drug-use-discrete-choice-experiment</w:t>
        </w:r>
      </w:hyperlink>
      <w:r w:rsidR="006253AD">
        <w:rPr>
          <w:color w:val="000000" w:themeColor="text1"/>
        </w:rPr>
        <w:t>.</w:t>
      </w:r>
    </w:p>
    <w:p w14:paraId="6067B9FC" w14:textId="77777777" w:rsidR="00F3293F" w:rsidRPr="00F05E5B" w:rsidRDefault="00F3293F" w:rsidP="00F3293F">
      <w:pPr>
        <w:pStyle w:val="References"/>
        <w:rPr>
          <w:color w:val="000000" w:themeColor="text1"/>
        </w:rPr>
      </w:pPr>
      <w:r w:rsidRPr="00F05E5B">
        <w:rPr>
          <w:color w:val="000000" w:themeColor="text1"/>
        </w:rPr>
        <w:t xml:space="preserve">Slack A, O’Dea D, Sheerin I, Norman D, Jiani Wu &amp; Nana G (2008). </w:t>
      </w:r>
      <w:r w:rsidRPr="00F05E5B">
        <w:rPr>
          <w:i/>
          <w:color w:val="000000" w:themeColor="text1"/>
        </w:rPr>
        <w:t xml:space="preserve">New Zealand Drug Harm Index, </w:t>
      </w:r>
      <w:r w:rsidRPr="00F05E5B">
        <w:rPr>
          <w:color w:val="000000" w:themeColor="text1"/>
        </w:rPr>
        <w:t>BERL report for the New Zealand Police.</w:t>
      </w:r>
    </w:p>
    <w:p w14:paraId="0656F2FC" w14:textId="77777777" w:rsidR="00F3293F" w:rsidRDefault="00F3293F" w:rsidP="00F3293F">
      <w:pPr>
        <w:pStyle w:val="References"/>
        <w:rPr>
          <w:color w:val="000000" w:themeColor="text1"/>
        </w:rPr>
      </w:pPr>
      <w:r w:rsidRPr="00817895">
        <w:rPr>
          <w:color w:val="000000" w:themeColor="text1"/>
        </w:rPr>
        <w:t xml:space="preserve">Stevens, A. (2008). Weighing up crime: The overestimation of drug-related crime, </w:t>
      </w:r>
      <w:r w:rsidRPr="00817895">
        <w:rPr>
          <w:i/>
          <w:color w:val="000000" w:themeColor="text1"/>
        </w:rPr>
        <w:t>Contemporary Drug Problems</w:t>
      </w:r>
      <w:r w:rsidRPr="00817895">
        <w:rPr>
          <w:color w:val="000000" w:themeColor="text1"/>
        </w:rPr>
        <w:t>, 35(2/3), 265.</w:t>
      </w:r>
    </w:p>
    <w:p w14:paraId="50B45961" w14:textId="77777777" w:rsidR="00F3293F" w:rsidRDefault="00F3293F" w:rsidP="00F3293F">
      <w:pPr>
        <w:pStyle w:val="References"/>
        <w:rPr>
          <w:color w:val="000000" w:themeColor="text1"/>
        </w:rPr>
      </w:pPr>
      <w:r>
        <w:rPr>
          <w:color w:val="000000" w:themeColor="text1"/>
        </w:rPr>
        <w:t>United Nations Office on Drugs and Crime (2005). World Drug Report 2005, United Nations publication, E.05.XI.10.</w:t>
      </w:r>
    </w:p>
    <w:p w14:paraId="31D5C20B" w14:textId="77777777" w:rsidR="00F3293F" w:rsidRDefault="00F3293F" w:rsidP="00F3293F">
      <w:pPr>
        <w:pStyle w:val="References"/>
        <w:rPr>
          <w:color w:val="000000" w:themeColor="text1"/>
        </w:rPr>
      </w:pPr>
      <w:r>
        <w:rPr>
          <w:color w:val="000000" w:themeColor="text1"/>
        </w:rPr>
        <w:t>United Nations Office on Drugs and Crime (2006). World Drug Report 2006, United Nations publication, E.06.XI.10.</w:t>
      </w:r>
    </w:p>
    <w:p w14:paraId="7081F7BC" w14:textId="77777777" w:rsidR="00F3293F" w:rsidRDefault="00F3293F" w:rsidP="00F3293F">
      <w:pPr>
        <w:pStyle w:val="References"/>
        <w:rPr>
          <w:iCs/>
        </w:rPr>
      </w:pPr>
      <w:r w:rsidRPr="00D404BC">
        <w:t xml:space="preserve">Wilkins C, Prasad </w:t>
      </w:r>
      <w:r w:rsidR="006253AD">
        <w:t>J</w:t>
      </w:r>
      <w:r w:rsidRPr="00D404BC">
        <w:t xml:space="preserve">, Moewaka Barnes H, Romeo J S &amp; Rychert M (2016). </w:t>
      </w:r>
      <w:r w:rsidRPr="00D404BC">
        <w:rPr>
          <w:i/>
        </w:rPr>
        <w:t>New Zealand Arrestee Drug Use Monitoring 2016</w:t>
      </w:r>
      <w:r w:rsidRPr="00D404BC">
        <w:rPr>
          <w:iCs/>
        </w:rPr>
        <w:t>, SHORE &amp; Whariki Research Centre, Massey University.</w:t>
      </w:r>
    </w:p>
    <w:p w14:paraId="4509DC09" w14:textId="77777777" w:rsidR="00F7377D" w:rsidRDefault="00F7377D" w:rsidP="00457AC7">
      <w:pPr>
        <w:pStyle w:val="References"/>
        <w:rPr>
          <w:iCs/>
        </w:rPr>
      </w:pPr>
    </w:p>
    <w:p w14:paraId="264B1F1C" w14:textId="77777777" w:rsidR="00F7377D" w:rsidRPr="006253AD" w:rsidRDefault="00F7377D" w:rsidP="00A51E51">
      <w:pPr>
        <w:pStyle w:val="Heading1"/>
        <w:rPr>
          <w:sz w:val="28"/>
          <w:szCs w:val="28"/>
        </w:rPr>
      </w:pPr>
      <w:bookmarkStart w:id="38" w:name="_Ref88221730"/>
      <w:bookmarkStart w:id="39" w:name="_Toc95470208"/>
      <w:r>
        <w:lastRenderedPageBreak/>
        <w:t>Appendix One</w:t>
      </w:r>
      <w:bookmarkEnd w:id="38"/>
      <w:r w:rsidR="00A51E51">
        <w:t>:</w:t>
      </w:r>
      <w:r w:rsidR="00A51E51">
        <w:br/>
      </w:r>
      <w:r w:rsidRPr="006253AD">
        <w:rPr>
          <w:sz w:val="28"/>
          <w:szCs w:val="28"/>
        </w:rPr>
        <w:t>Conceptual framework</w:t>
      </w:r>
      <w:bookmarkEnd w:id="39"/>
    </w:p>
    <w:p w14:paraId="2AF546D8" w14:textId="77777777" w:rsidR="00F7377D" w:rsidRPr="008A0230" w:rsidRDefault="00F7377D" w:rsidP="00C22C61">
      <w:r w:rsidRPr="00210CDA">
        <w:t xml:space="preserve">This section sets out the general framework used for the research. </w:t>
      </w:r>
      <w:r>
        <w:t xml:space="preserve">The current framework is heavily dependent on the DHI 2016 </w:t>
      </w:r>
      <w:r w:rsidRPr="00EC0339">
        <w:t>framework (pp</w:t>
      </w:r>
      <w:r w:rsidR="00EC0339">
        <w:t> </w:t>
      </w:r>
      <w:r w:rsidRPr="00EC0339">
        <w:t>11</w:t>
      </w:r>
      <w:r w:rsidR="00EC0339">
        <w:t>–</w:t>
      </w:r>
      <w:r w:rsidRPr="00EC0339">
        <w:t>15). The</w:t>
      </w:r>
      <w:r w:rsidRPr="008A0230">
        <w:t xml:space="preserve"> framework identifies the burden of illicit drug use</w:t>
      </w:r>
      <w:r>
        <w:t xml:space="preserve"> through</w:t>
      </w:r>
      <w:r w:rsidRPr="008A0230">
        <w:t xml:space="preserve"> the inclusion of estimates of harm to family and friends and a re-evaluation of crimes attributable to drug use.</w:t>
      </w:r>
    </w:p>
    <w:p w14:paraId="1EABA5DC" w14:textId="77777777" w:rsidR="00C22C61" w:rsidRDefault="00C22C61" w:rsidP="00C22C61"/>
    <w:p w14:paraId="3A06B726" w14:textId="77777777" w:rsidR="00F7377D" w:rsidRPr="008A0230" w:rsidRDefault="00F7377D" w:rsidP="00C22C61">
      <w:r w:rsidRPr="008A0230">
        <w:t>Personal harms include poor health, injury, psychological trauma, poor interpersonal relationships, loss of income, loss of lifestyle, arrest and imprisonment. The fact</w:t>
      </w:r>
      <w:r>
        <w:t xml:space="preserve"> </w:t>
      </w:r>
      <w:r w:rsidRPr="008A0230">
        <w:t xml:space="preserve">these outcomes can be identified as separate harms does not necessarily </w:t>
      </w:r>
      <w:r>
        <w:t>mean</w:t>
      </w:r>
      <w:r w:rsidRPr="008A0230">
        <w:t xml:space="preserve"> they should be measured separately. Actual measures of personal harm used in this report included the cost of premature death and the cost of years of life lost through drug-related disability. Both these measures incorporate a range of personal harms </w:t>
      </w:r>
      <w:r w:rsidRPr="00F05E5B">
        <w:t>(</w:t>
      </w:r>
      <w:r w:rsidRPr="00C22C61">
        <w:t>Ministry of Transport, 2019; Murray et al, 2012). As with Slack et al (2008), this report did not consider the potential personal benefits of illicit drug use due to the difficulties</w:t>
      </w:r>
      <w:r w:rsidRPr="008E0A8A">
        <w:t xml:space="preserve"> related to quantification</w:t>
      </w:r>
      <w:r w:rsidR="00C22C61">
        <w:t>.</w:t>
      </w:r>
    </w:p>
    <w:p w14:paraId="2EACF88F" w14:textId="77777777" w:rsidR="00C22C61" w:rsidRDefault="00C22C61" w:rsidP="00C22C61"/>
    <w:p w14:paraId="3CC851ED" w14:textId="77777777" w:rsidR="00F7377D" w:rsidRPr="00ED185E" w:rsidRDefault="00F7377D" w:rsidP="00C22C61">
      <w:r w:rsidRPr="00ED185E">
        <w:t>The majority of DHIs have used a prevalence approach to calculating harms, as is common in burden of disease studies. The approach is explained by Slack et al (2008):</w:t>
      </w:r>
    </w:p>
    <w:p w14:paraId="6BFBD1FA" w14:textId="77777777" w:rsidR="00F7377D" w:rsidRPr="0081365B" w:rsidRDefault="00F7377D" w:rsidP="00C22C61">
      <w:pPr>
        <w:pStyle w:val="Quote"/>
      </w:pPr>
      <w:r w:rsidRPr="00ED185E">
        <w:t xml:space="preserve">The prevalence approach estimates resource diverted in a given year due to the impacts of past and present illicit drug use. The costs estimated using the prevalence approach are then compared to a counterfactual situation, in this case where no illicit drugs were ever used. That is, in order to determine the harm avoided by reducing drug consumption we compare the current situation with drug use to a hypothetical case where there is no harmful drug use. </w:t>
      </w:r>
      <w:r>
        <w:t xml:space="preserve">(…) </w:t>
      </w:r>
      <w:r w:rsidRPr="00ED185E">
        <w:t xml:space="preserve">The prevalence approach has the advantage of using currently available health data, such as mortality and morbidity figures related to illicit drug use, to define what a counterfactual population would have looked like today. This is </w:t>
      </w:r>
      <w:r>
        <w:t>li</w:t>
      </w:r>
      <w:r w:rsidRPr="00ED185E">
        <w:t>kely to result in more robust estimates than under the major alternative approach based on incidence.</w:t>
      </w:r>
    </w:p>
    <w:p w14:paraId="36B35EB4" w14:textId="77777777" w:rsidR="00C22C61" w:rsidRDefault="00C22C61" w:rsidP="00C22C61"/>
    <w:p w14:paraId="1A44F509" w14:textId="77777777" w:rsidR="00F7377D" w:rsidRPr="00ED185E" w:rsidRDefault="00F7377D" w:rsidP="00C22C61">
      <w:r w:rsidRPr="008E0A8A">
        <w:t xml:space="preserve">Here, incidence is the preferred and adopted approach for calculating harms. This approach uses data from a defined period (normally a year) to estimate harm and answers the question </w:t>
      </w:r>
      <w:r w:rsidR="00461CB5">
        <w:t>‘</w:t>
      </w:r>
      <w:r w:rsidRPr="008E0A8A">
        <w:t>How much harm is current drug use causing now and likely to cause in the near future?</w:t>
      </w:r>
      <w:r w:rsidR="00461CB5">
        <w:t>’</w:t>
      </w:r>
      <w:r w:rsidRPr="008E0A8A">
        <w:t xml:space="preserve">. Making it of more interest to government, policy makers, practitioners and the community. The prevalence approach is primarily a historical one and calculates the harm that could have been avoided had illicit drugs never existed; answering the question </w:t>
      </w:r>
      <w:r w:rsidR="00461CB5">
        <w:t>‘</w:t>
      </w:r>
      <w:r w:rsidRPr="008E0A8A">
        <w:t>How much harm has histo</w:t>
      </w:r>
      <w:r w:rsidR="00C22C61">
        <w:t>rical illicit drug use caused?</w:t>
      </w:r>
      <w:r w:rsidR="00461CB5">
        <w:t>’</w:t>
      </w:r>
      <w:r w:rsidR="00C22C61">
        <w:t>.</w:t>
      </w:r>
    </w:p>
    <w:p w14:paraId="62792559" w14:textId="77777777" w:rsidR="00C22C61" w:rsidRDefault="00C22C61" w:rsidP="00C22C61"/>
    <w:p w14:paraId="5C9AA152" w14:textId="77777777" w:rsidR="00C46664" w:rsidRDefault="00F7377D" w:rsidP="00C22C61">
      <w:r w:rsidRPr="00537A9A">
        <w:t>In summary, the current method included many of the building blocks used in the previous version of the New Zealand Drug Harm Index. Changes were minimal and were mainly related to improved data sources to underpin the analysis.</w:t>
      </w:r>
    </w:p>
    <w:p w14:paraId="1608F374" w14:textId="09052FE9" w:rsidR="00292E4E" w:rsidRDefault="00292E4E" w:rsidP="00524863">
      <w:pPr>
        <w:pStyle w:val="Heading1"/>
        <w:rPr>
          <w:sz w:val="28"/>
          <w:szCs w:val="28"/>
        </w:rPr>
      </w:pPr>
      <w:bookmarkStart w:id="40" w:name="_Toc95470209"/>
      <w:r>
        <w:lastRenderedPageBreak/>
        <w:t>Appendix Two:</w:t>
      </w:r>
      <w:r>
        <w:br/>
      </w:r>
      <w:r>
        <w:rPr>
          <w:sz w:val="28"/>
          <w:szCs w:val="28"/>
        </w:rPr>
        <w:t xml:space="preserve">Tables with incorrect numbers previously published in </w:t>
      </w:r>
      <w:r w:rsidR="003B2245">
        <w:rPr>
          <w:sz w:val="28"/>
          <w:szCs w:val="28"/>
        </w:rPr>
        <w:t>the DHI</w:t>
      </w:r>
      <w:r>
        <w:rPr>
          <w:sz w:val="28"/>
          <w:szCs w:val="28"/>
        </w:rPr>
        <w:t xml:space="preserve"> 2020</w:t>
      </w:r>
      <w:bookmarkEnd w:id="40"/>
    </w:p>
    <w:p w14:paraId="4D6ACFD0" w14:textId="6935B3CB" w:rsidR="00555ECF" w:rsidRPr="00555ECF" w:rsidRDefault="00555ECF" w:rsidP="00555ECF">
      <w:pPr>
        <w:rPr>
          <w:u w:val="single"/>
        </w:rPr>
      </w:pPr>
      <w:r w:rsidRPr="00555ECF">
        <w:rPr>
          <w:u w:val="single"/>
        </w:rPr>
        <w:t>Please note this information is provided for transparency and should not be relied upon for analysis.</w:t>
      </w:r>
    </w:p>
    <w:p w14:paraId="6F77F8A8" w14:textId="77777777" w:rsidR="00555ECF" w:rsidRPr="00555ECF" w:rsidRDefault="00555ECF" w:rsidP="00555ECF"/>
    <w:p w14:paraId="1F9C02B0" w14:textId="11A5C65F" w:rsidR="00292E4E" w:rsidRPr="00555ECF" w:rsidRDefault="00292E4E" w:rsidP="00292E4E">
      <w:pPr>
        <w:pStyle w:val="Table"/>
        <w:rPr>
          <w:color w:val="FF0000"/>
        </w:rPr>
      </w:pPr>
      <w:bookmarkStart w:id="41" w:name="_Toc95476487"/>
      <w:r w:rsidRPr="00555ECF">
        <w:rPr>
          <w:color w:val="FF0000"/>
        </w:rPr>
        <w:t>Table </w:t>
      </w:r>
      <w:r w:rsidR="00555ECF" w:rsidRPr="00555ECF">
        <w:rPr>
          <w:color w:val="FF0000"/>
        </w:rPr>
        <w:fldChar w:fldCharType="begin"/>
      </w:r>
      <w:r w:rsidR="00555ECF" w:rsidRPr="00555ECF">
        <w:rPr>
          <w:color w:val="FF0000"/>
        </w:rPr>
        <w:instrText xml:space="preserve"> SEQ Table \* ARABIC </w:instrText>
      </w:r>
      <w:r w:rsidR="00555ECF" w:rsidRPr="00555ECF">
        <w:rPr>
          <w:color w:val="FF0000"/>
        </w:rPr>
        <w:fldChar w:fldCharType="separate"/>
      </w:r>
      <w:r w:rsidR="006A55D7">
        <w:rPr>
          <w:noProof/>
          <w:color w:val="FF0000"/>
        </w:rPr>
        <w:t>7</w:t>
      </w:r>
      <w:r w:rsidR="00555ECF" w:rsidRPr="00555ECF">
        <w:rPr>
          <w:noProof/>
          <w:color w:val="FF0000"/>
        </w:rPr>
        <w:fldChar w:fldCharType="end"/>
      </w:r>
      <w:r w:rsidR="00684EA6" w:rsidRPr="00555ECF">
        <w:rPr>
          <w:noProof/>
          <w:color w:val="FF0000"/>
        </w:rPr>
        <w:t>i</w:t>
      </w:r>
      <w:r w:rsidRPr="00555ECF">
        <w:rPr>
          <w:noProof/>
          <w:color w:val="FF0000"/>
        </w:rPr>
        <w:t>.</w:t>
      </w:r>
      <w:r w:rsidRPr="00555ECF">
        <w:rPr>
          <w:color w:val="FF0000"/>
        </w:rPr>
        <w:t xml:space="preserve"> Estimated annual consumption of illicit drugs in New Zealand 2019</w:t>
      </w:r>
      <w:bookmarkEnd w:id="41"/>
    </w:p>
    <w:tbl>
      <w:tblPr>
        <w:tblStyle w:val="TableGrid"/>
        <w:tblW w:w="0" w:type="auto"/>
        <w:tblInd w:w="113" w:type="dxa"/>
        <w:tblLayout w:type="fixed"/>
        <w:tblCellMar>
          <w:left w:w="113" w:type="dxa"/>
          <w:right w:w="113" w:type="dxa"/>
        </w:tblCellMar>
        <w:tblLook w:val="04A0" w:firstRow="1" w:lastRow="0" w:firstColumn="1" w:lastColumn="0" w:noHBand="0" w:noVBand="1"/>
      </w:tblPr>
      <w:tblGrid>
        <w:gridCol w:w="2268"/>
        <w:gridCol w:w="2519"/>
      </w:tblGrid>
      <w:tr w:rsidR="00555ECF" w:rsidRPr="00555ECF" w14:paraId="671546B9" w14:textId="77777777" w:rsidTr="00D91EEF">
        <w:trPr>
          <w:cantSplit/>
        </w:trPr>
        <w:tc>
          <w:tcPr>
            <w:tcW w:w="2268" w:type="dxa"/>
            <w:shd w:val="clear" w:color="auto" w:fill="auto"/>
          </w:tcPr>
          <w:p w14:paraId="3F1FE7B7" w14:textId="77777777" w:rsidR="00292E4E" w:rsidRPr="00555ECF" w:rsidRDefault="00292E4E" w:rsidP="00D91EEF">
            <w:pPr>
              <w:pStyle w:val="TableText"/>
              <w:rPr>
                <w:b/>
                <w:color w:val="FF0000"/>
              </w:rPr>
            </w:pPr>
            <w:r w:rsidRPr="00555ECF">
              <w:rPr>
                <w:b/>
                <w:color w:val="FF0000"/>
              </w:rPr>
              <w:t>Drug type</w:t>
            </w:r>
          </w:p>
        </w:tc>
        <w:tc>
          <w:tcPr>
            <w:tcW w:w="2519" w:type="dxa"/>
            <w:shd w:val="clear" w:color="auto" w:fill="auto"/>
          </w:tcPr>
          <w:p w14:paraId="46091FC9" w14:textId="77777777" w:rsidR="00292E4E" w:rsidRPr="00555ECF" w:rsidRDefault="00292E4E" w:rsidP="00D91EEF">
            <w:pPr>
              <w:pStyle w:val="TableText"/>
              <w:rPr>
                <w:b/>
                <w:color w:val="FF0000"/>
              </w:rPr>
            </w:pPr>
            <w:r w:rsidRPr="00555ECF">
              <w:rPr>
                <w:b/>
                <w:color w:val="FF0000"/>
              </w:rPr>
              <w:t>Total consumption (kg)</w:t>
            </w:r>
          </w:p>
        </w:tc>
      </w:tr>
      <w:tr w:rsidR="00555ECF" w:rsidRPr="00555ECF" w14:paraId="74E8B44C" w14:textId="77777777" w:rsidTr="00292E4E">
        <w:trPr>
          <w:cantSplit/>
        </w:trPr>
        <w:tc>
          <w:tcPr>
            <w:tcW w:w="2268" w:type="dxa"/>
            <w:tcBorders>
              <w:bottom w:val="nil"/>
            </w:tcBorders>
            <w:shd w:val="clear" w:color="auto" w:fill="auto"/>
          </w:tcPr>
          <w:p w14:paraId="364705D8" w14:textId="77777777" w:rsidR="00292E4E" w:rsidRPr="00555ECF" w:rsidRDefault="00292E4E" w:rsidP="00D91EEF">
            <w:pPr>
              <w:pStyle w:val="TableText"/>
              <w:rPr>
                <w:i/>
                <w:color w:val="FF0000"/>
              </w:rPr>
            </w:pPr>
            <w:r w:rsidRPr="00555ECF">
              <w:rPr>
                <w:i/>
                <w:color w:val="FF0000"/>
              </w:rPr>
              <w:t>Methamphetamine</w:t>
            </w:r>
          </w:p>
        </w:tc>
        <w:tc>
          <w:tcPr>
            <w:tcW w:w="2519" w:type="dxa"/>
            <w:tcBorders>
              <w:bottom w:val="nil"/>
            </w:tcBorders>
            <w:shd w:val="clear" w:color="auto" w:fill="auto"/>
            <w:tcMar>
              <w:right w:w="57" w:type="dxa"/>
            </w:tcMar>
          </w:tcPr>
          <w:p w14:paraId="5DB7F2C1" w14:textId="54094AB3" w:rsidR="00292E4E" w:rsidRPr="00555ECF" w:rsidRDefault="00292E4E" w:rsidP="00D91EEF">
            <w:pPr>
              <w:pStyle w:val="TableText"/>
              <w:tabs>
                <w:tab w:val="decimal" w:pos="1187"/>
              </w:tabs>
              <w:rPr>
                <w:color w:val="FF0000"/>
              </w:rPr>
            </w:pPr>
            <w:r w:rsidRPr="00555ECF">
              <w:rPr>
                <w:color w:val="FF0000"/>
              </w:rPr>
              <w:t>171</w:t>
            </w:r>
          </w:p>
        </w:tc>
      </w:tr>
      <w:tr w:rsidR="00555ECF" w:rsidRPr="00555ECF" w14:paraId="1D957721" w14:textId="77777777" w:rsidTr="00292E4E">
        <w:trPr>
          <w:cantSplit/>
        </w:trPr>
        <w:tc>
          <w:tcPr>
            <w:tcW w:w="2268" w:type="dxa"/>
            <w:tcBorders>
              <w:top w:val="nil"/>
              <w:bottom w:val="nil"/>
            </w:tcBorders>
            <w:shd w:val="clear" w:color="auto" w:fill="auto"/>
          </w:tcPr>
          <w:p w14:paraId="1E59ADD0" w14:textId="77777777" w:rsidR="00292E4E" w:rsidRPr="00555ECF" w:rsidRDefault="00292E4E" w:rsidP="00D91EEF">
            <w:pPr>
              <w:pStyle w:val="TableText"/>
              <w:rPr>
                <w:i/>
                <w:color w:val="FF0000"/>
              </w:rPr>
            </w:pPr>
            <w:r w:rsidRPr="00555ECF">
              <w:rPr>
                <w:i/>
                <w:color w:val="FF0000"/>
              </w:rPr>
              <w:t>Cocaine</w:t>
            </w:r>
          </w:p>
        </w:tc>
        <w:tc>
          <w:tcPr>
            <w:tcW w:w="2519" w:type="dxa"/>
            <w:tcBorders>
              <w:top w:val="nil"/>
              <w:bottom w:val="nil"/>
            </w:tcBorders>
            <w:shd w:val="clear" w:color="auto" w:fill="auto"/>
            <w:tcMar>
              <w:right w:w="57" w:type="dxa"/>
            </w:tcMar>
          </w:tcPr>
          <w:p w14:paraId="716DD51C" w14:textId="0C24D019" w:rsidR="00292E4E" w:rsidRPr="00555ECF" w:rsidRDefault="00292E4E" w:rsidP="00D91EEF">
            <w:pPr>
              <w:pStyle w:val="TableText"/>
              <w:tabs>
                <w:tab w:val="decimal" w:pos="1187"/>
              </w:tabs>
              <w:rPr>
                <w:color w:val="FF0000"/>
              </w:rPr>
            </w:pPr>
            <w:r w:rsidRPr="00555ECF">
              <w:rPr>
                <w:color w:val="FF0000"/>
              </w:rPr>
              <w:t>12</w:t>
            </w:r>
          </w:p>
        </w:tc>
      </w:tr>
      <w:tr w:rsidR="00555ECF" w:rsidRPr="00555ECF" w14:paraId="3E86D3D0" w14:textId="77777777" w:rsidTr="00292E4E">
        <w:trPr>
          <w:cantSplit/>
        </w:trPr>
        <w:tc>
          <w:tcPr>
            <w:tcW w:w="2268" w:type="dxa"/>
            <w:tcBorders>
              <w:top w:val="nil"/>
              <w:bottom w:val="nil"/>
            </w:tcBorders>
            <w:shd w:val="clear" w:color="auto" w:fill="auto"/>
          </w:tcPr>
          <w:p w14:paraId="0A07EC75" w14:textId="77777777" w:rsidR="00292E4E" w:rsidRPr="00555ECF" w:rsidRDefault="00292E4E" w:rsidP="00D91EEF">
            <w:pPr>
              <w:pStyle w:val="TableText"/>
              <w:rPr>
                <w:i/>
                <w:color w:val="FF0000"/>
              </w:rPr>
            </w:pPr>
            <w:r w:rsidRPr="00555ECF">
              <w:rPr>
                <w:i/>
                <w:color w:val="FF0000"/>
              </w:rPr>
              <w:t>MDMA</w:t>
            </w:r>
          </w:p>
        </w:tc>
        <w:tc>
          <w:tcPr>
            <w:tcW w:w="2519" w:type="dxa"/>
            <w:tcBorders>
              <w:top w:val="nil"/>
              <w:bottom w:val="nil"/>
            </w:tcBorders>
            <w:shd w:val="clear" w:color="auto" w:fill="auto"/>
            <w:tcMar>
              <w:right w:w="57" w:type="dxa"/>
            </w:tcMar>
          </w:tcPr>
          <w:p w14:paraId="6D06F235" w14:textId="6D0781F3" w:rsidR="00292E4E" w:rsidRPr="00555ECF" w:rsidRDefault="00292E4E" w:rsidP="00D91EEF">
            <w:pPr>
              <w:pStyle w:val="TableText"/>
              <w:tabs>
                <w:tab w:val="decimal" w:pos="1187"/>
              </w:tabs>
              <w:rPr>
                <w:color w:val="FF0000"/>
              </w:rPr>
            </w:pPr>
            <w:r w:rsidRPr="00555ECF">
              <w:rPr>
                <w:color w:val="FF0000"/>
              </w:rPr>
              <w:t>87</w:t>
            </w:r>
          </w:p>
        </w:tc>
      </w:tr>
      <w:tr w:rsidR="00292E4E" w:rsidRPr="00555ECF" w14:paraId="65906218" w14:textId="77777777" w:rsidTr="00D91EEF">
        <w:trPr>
          <w:cantSplit/>
        </w:trPr>
        <w:tc>
          <w:tcPr>
            <w:tcW w:w="2268" w:type="dxa"/>
            <w:tcBorders>
              <w:top w:val="nil"/>
            </w:tcBorders>
            <w:shd w:val="clear" w:color="auto" w:fill="auto"/>
          </w:tcPr>
          <w:p w14:paraId="5578B671" w14:textId="77777777" w:rsidR="00292E4E" w:rsidRPr="00555ECF" w:rsidRDefault="00292E4E" w:rsidP="00D91EEF">
            <w:pPr>
              <w:pStyle w:val="TableText"/>
              <w:rPr>
                <w:i/>
                <w:color w:val="FF0000"/>
              </w:rPr>
            </w:pPr>
            <w:r w:rsidRPr="00555ECF">
              <w:rPr>
                <w:i/>
                <w:color w:val="FF0000"/>
              </w:rPr>
              <w:t>Cannabis</w:t>
            </w:r>
          </w:p>
        </w:tc>
        <w:tc>
          <w:tcPr>
            <w:tcW w:w="2519" w:type="dxa"/>
            <w:tcBorders>
              <w:top w:val="nil"/>
            </w:tcBorders>
            <w:shd w:val="clear" w:color="auto" w:fill="auto"/>
            <w:tcMar>
              <w:right w:w="57" w:type="dxa"/>
            </w:tcMar>
          </w:tcPr>
          <w:p w14:paraId="12FBEBC3" w14:textId="77777777" w:rsidR="00292E4E" w:rsidRPr="00555ECF" w:rsidRDefault="00292E4E" w:rsidP="00D91EEF">
            <w:pPr>
              <w:pStyle w:val="TableText"/>
              <w:tabs>
                <w:tab w:val="decimal" w:pos="1187"/>
              </w:tabs>
              <w:rPr>
                <w:color w:val="FF0000"/>
              </w:rPr>
            </w:pPr>
            <w:r w:rsidRPr="00555ECF">
              <w:rPr>
                <w:color w:val="FF0000"/>
              </w:rPr>
              <w:t>58,000</w:t>
            </w:r>
          </w:p>
        </w:tc>
      </w:tr>
    </w:tbl>
    <w:p w14:paraId="332BA666" w14:textId="7B12F866" w:rsidR="00E711E8" w:rsidRPr="00555ECF" w:rsidRDefault="00E711E8" w:rsidP="00C22C61">
      <w:pPr>
        <w:rPr>
          <w:color w:val="FF0000"/>
        </w:rPr>
      </w:pPr>
    </w:p>
    <w:p w14:paraId="5277CF6A" w14:textId="406D39F9" w:rsidR="00292E4E" w:rsidRPr="00555ECF" w:rsidRDefault="00292E4E" w:rsidP="00292E4E">
      <w:pPr>
        <w:pStyle w:val="Table"/>
        <w:rPr>
          <w:color w:val="FF0000"/>
          <w:lang w:eastAsia="en-AU"/>
        </w:rPr>
      </w:pPr>
      <w:bookmarkStart w:id="42" w:name="_Toc95476488"/>
      <w:r w:rsidRPr="00555ECF">
        <w:rPr>
          <w:color w:val="FF0000"/>
        </w:rPr>
        <w:t>Table </w:t>
      </w:r>
      <w:r w:rsidR="00555ECF" w:rsidRPr="00555ECF">
        <w:rPr>
          <w:color w:val="FF0000"/>
        </w:rPr>
        <w:fldChar w:fldCharType="begin"/>
      </w:r>
      <w:r w:rsidR="00555ECF" w:rsidRPr="00555ECF">
        <w:rPr>
          <w:color w:val="FF0000"/>
        </w:rPr>
        <w:instrText xml:space="preserve"> SEQ Table \* ARABIC </w:instrText>
      </w:r>
      <w:r w:rsidR="00555ECF" w:rsidRPr="00555ECF">
        <w:rPr>
          <w:color w:val="FF0000"/>
        </w:rPr>
        <w:fldChar w:fldCharType="separate"/>
      </w:r>
      <w:r w:rsidR="006A55D7">
        <w:rPr>
          <w:noProof/>
          <w:color w:val="FF0000"/>
        </w:rPr>
        <w:t>8</w:t>
      </w:r>
      <w:r w:rsidR="00555ECF" w:rsidRPr="00555ECF">
        <w:rPr>
          <w:noProof/>
          <w:color w:val="FF0000"/>
        </w:rPr>
        <w:fldChar w:fldCharType="end"/>
      </w:r>
      <w:r w:rsidR="00684EA6" w:rsidRPr="00555ECF">
        <w:rPr>
          <w:noProof/>
          <w:color w:val="FF0000"/>
        </w:rPr>
        <w:t>i</w:t>
      </w:r>
      <w:r w:rsidRPr="00555ECF">
        <w:rPr>
          <w:noProof/>
          <w:color w:val="FF0000"/>
        </w:rPr>
        <w:t>.</w:t>
      </w:r>
      <w:r w:rsidRPr="00555ECF">
        <w:rPr>
          <w:color w:val="FF0000"/>
          <w:lang w:eastAsia="en-AU"/>
        </w:rPr>
        <w:t xml:space="preserve"> Personal harms by drug type ($ million)</w:t>
      </w:r>
      <w:bookmarkEnd w:id="42"/>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268"/>
        <w:gridCol w:w="1701"/>
        <w:gridCol w:w="1760"/>
        <w:gridCol w:w="1760"/>
        <w:gridCol w:w="1583"/>
      </w:tblGrid>
      <w:tr w:rsidR="00555ECF" w:rsidRPr="00555ECF" w14:paraId="6C82EB8D" w14:textId="77777777" w:rsidTr="00D91EEF">
        <w:trPr>
          <w:cantSplit/>
        </w:trPr>
        <w:tc>
          <w:tcPr>
            <w:tcW w:w="2268" w:type="dxa"/>
            <w:vMerge w:val="restart"/>
            <w:shd w:val="clear" w:color="auto" w:fill="auto"/>
            <w:noWrap/>
          </w:tcPr>
          <w:p w14:paraId="595CFAF6" w14:textId="77777777" w:rsidR="00292E4E" w:rsidRPr="00555ECF" w:rsidRDefault="00292E4E" w:rsidP="00D91EEF">
            <w:pPr>
              <w:pStyle w:val="TableText"/>
              <w:rPr>
                <w:color w:val="FF0000"/>
                <w:lang w:eastAsia="en-AU"/>
              </w:rPr>
            </w:pPr>
            <w:r w:rsidRPr="00555ECF">
              <w:rPr>
                <w:rFonts w:cstheme="minorHAnsi"/>
                <w:b/>
                <w:bCs/>
                <w:color w:val="FF0000"/>
                <w:lang w:eastAsia="en-AU"/>
              </w:rPr>
              <w:t>Drug type</w:t>
            </w:r>
          </w:p>
        </w:tc>
        <w:tc>
          <w:tcPr>
            <w:tcW w:w="1701" w:type="dxa"/>
            <w:vMerge w:val="restart"/>
            <w:shd w:val="clear" w:color="auto" w:fill="auto"/>
          </w:tcPr>
          <w:p w14:paraId="5F1486F5" w14:textId="77777777" w:rsidR="00292E4E" w:rsidRPr="00555ECF" w:rsidRDefault="00292E4E" w:rsidP="00D91EEF">
            <w:pPr>
              <w:pStyle w:val="TableText"/>
              <w:jc w:val="center"/>
              <w:rPr>
                <w:rFonts w:ascii="Calibri" w:hAnsi="Calibri" w:cs="Calibri"/>
                <w:b/>
                <w:color w:val="FF0000"/>
                <w:lang w:eastAsia="en-AU"/>
              </w:rPr>
            </w:pPr>
            <w:r w:rsidRPr="00555ECF">
              <w:rPr>
                <w:b/>
                <w:color w:val="FF0000"/>
                <w:lang w:eastAsia="en-AU"/>
              </w:rPr>
              <w:t>Premature death</w:t>
            </w:r>
          </w:p>
        </w:tc>
        <w:tc>
          <w:tcPr>
            <w:tcW w:w="3520" w:type="dxa"/>
            <w:gridSpan w:val="2"/>
            <w:tcBorders>
              <w:bottom w:val="nil"/>
            </w:tcBorders>
            <w:shd w:val="clear" w:color="auto" w:fill="auto"/>
          </w:tcPr>
          <w:p w14:paraId="318A4BCF" w14:textId="77777777" w:rsidR="00292E4E" w:rsidRPr="00555ECF" w:rsidRDefault="00292E4E" w:rsidP="00D91EEF">
            <w:pPr>
              <w:pStyle w:val="TableText"/>
              <w:spacing w:after="0"/>
              <w:jc w:val="center"/>
              <w:rPr>
                <w:b/>
                <w:color w:val="FF0000"/>
                <w:lang w:eastAsia="en-AU"/>
              </w:rPr>
            </w:pPr>
            <w:r w:rsidRPr="00555ECF">
              <w:rPr>
                <w:b/>
                <w:color w:val="FF0000"/>
                <w:lang w:eastAsia="en-AU"/>
              </w:rPr>
              <w:t>Quality of life</w:t>
            </w:r>
          </w:p>
        </w:tc>
        <w:tc>
          <w:tcPr>
            <w:tcW w:w="1583" w:type="dxa"/>
            <w:vMerge w:val="restart"/>
            <w:shd w:val="clear" w:color="auto" w:fill="auto"/>
          </w:tcPr>
          <w:p w14:paraId="218AFFC5" w14:textId="77777777" w:rsidR="00292E4E" w:rsidRPr="00555ECF" w:rsidRDefault="00292E4E" w:rsidP="00D91EEF">
            <w:pPr>
              <w:pStyle w:val="TableText"/>
              <w:jc w:val="center"/>
              <w:rPr>
                <w:rFonts w:ascii="Calibri" w:hAnsi="Calibri" w:cs="Calibri"/>
                <w:b/>
                <w:color w:val="FF0000"/>
                <w:lang w:eastAsia="en-AU"/>
              </w:rPr>
            </w:pPr>
            <w:r w:rsidRPr="00555ECF">
              <w:rPr>
                <w:b/>
                <w:color w:val="FF0000"/>
                <w:lang w:eastAsia="en-AU"/>
              </w:rPr>
              <w:t>Total harm</w:t>
            </w:r>
          </w:p>
        </w:tc>
      </w:tr>
      <w:tr w:rsidR="00555ECF" w:rsidRPr="00555ECF" w14:paraId="3CCEFCDD" w14:textId="77777777" w:rsidTr="00D91EEF">
        <w:trPr>
          <w:cantSplit/>
        </w:trPr>
        <w:tc>
          <w:tcPr>
            <w:tcW w:w="2268" w:type="dxa"/>
            <w:vMerge/>
            <w:shd w:val="clear" w:color="auto" w:fill="auto"/>
            <w:noWrap/>
            <w:hideMark/>
          </w:tcPr>
          <w:p w14:paraId="759368E5" w14:textId="77777777" w:rsidR="00292E4E" w:rsidRPr="00555ECF" w:rsidRDefault="00292E4E" w:rsidP="00D91EEF">
            <w:pPr>
              <w:pStyle w:val="TableText"/>
              <w:rPr>
                <w:rFonts w:cstheme="minorHAnsi"/>
                <w:b/>
                <w:bCs/>
                <w:color w:val="FF0000"/>
                <w:lang w:eastAsia="en-AU"/>
              </w:rPr>
            </w:pPr>
          </w:p>
        </w:tc>
        <w:tc>
          <w:tcPr>
            <w:tcW w:w="1701" w:type="dxa"/>
            <w:vMerge/>
            <w:shd w:val="clear" w:color="auto" w:fill="auto"/>
            <w:hideMark/>
          </w:tcPr>
          <w:p w14:paraId="332C0FF4" w14:textId="77777777" w:rsidR="00292E4E" w:rsidRPr="00555ECF" w:rsidRDefault="00292E4E" w:rsidP="00D91EEF">
            <w:pPr>
              <w:pStyle w:val="TableText"/>
              <w:rPr>
                <w:rFonts w:cstheme="minorHAnsi"/>
                <w:b/>
                <w:bCs/>
                <w:color w:val="FF0000"/>
                <w:lang w:eastAsia="en-AU"/>
              </w:rPr>
            </w:pPr>
          </w:p>
        </w:tc>
        <w:tc>
          <w:tcPr>
            <w:tcW w:w="1760" w:type="dxa"/>
            <w:tcBorders>
              <w:top w:val="nil"/>
              <w:right w:val="nil"/>
            </w:tcBorders>
            <w:shd w:val="clear" w:color="auto" w:fill="auto"/>
            <w:hideMark/>
          </w:tcPr>
          <w:p w14:paraId="3C6CD9BC" w14:textId="77777777" w:rsidR="00292E4E" w:rsidRPr="00555ECF" w:rsidRDefault="00292E4E" w:rsidP="00D91EEF">
            <w:pPr>
              <w:pStyle w:val="TableText"/>
              <w:spacing w:before="0"/>
              <w:jc w:val="center"/>
              <w:rPr>
                <w:b/>
                <w:color w:val="FF0000"/>
                <w:lang w:eastAsia="en-AU"/>
              </w:rPr>
            </w:pPr>
            <w:r w:rsidRPr="00555ECF">
              <w:rPr>
                <w:b/>
                <w:color w:val="FF0000"/>
                <w:lang w:eastAsia="en-AU"/>
              </w:rPr>
              <w:t>Serious injury</w:t>
            </w:r>
          </w:p>
        </w:tc>
        <w:tc>
          <w:tcPr>
            <w:tcW w:w="1760" w:type="dxa"/>
            <w:tcBorders>
              <w:top w:val="nil"/>
              <w:left w:val="nil"/>
            </w:tcBorders>
            <w:shd w:val="clear" w:color="auto" w:fill="auto"/>
            <w:hideMark/>
          </w:tcPr>
          <w:p w14:paraId="36E9CFD3" w14:textId="77777777" w:rsidR="00292E4E" w:rsidRPr="00555ECF" w:rsidRDefault="00292E4E" w:rsidP="00D91EEF">
            <w:pPr>
              <w:pStyle w:val="TableText"/>
              <w:spacing w:before="0"/>
              <w:jc w:val="center"/>
              <w:rPr>
                <w:b/>
                <w:color w:val="FF0000"/>
                <w:lang w:eastAsia="en-AU"/>
              </w:rPr>
            </w:pPr>
            <w:r w:rsidRPr="00555ECF">
              <w:rPr>
                <w:b/>
                <w:color w:val="FF0000"/>
                <w:lang w:eastAsia="en-AU"/>
              </w:rPr>
              <w:t>Minor injury</w:t>
            </w:r>
          </w:p>
        </w:tc>
        <w:tc>
          <w:tcPr>
            <w:tcW w:w="1583" w:type="dxa"/>
            <w:vMerge/>
            <w:shd w:val="clear" w:color="auto" w:fill="auto"/>
            <w:hideMark/>
          </w:tcPr>
          <w:p w14:paraId="42D692EA" w14:textId="77777777" w:rsidR="00292E4E" w:rsidRPr="00555ECF" w:rsidRDefault="00292E4E" w:rsidP="00D91EEF">
            <w:pPr>
              <w:pStyle w:val="TableText"/>
              <w:rPr>
                <w:rFonts w:cstheme="minorHAnsi"/>
                <w:b/>
                <w:bCs/>
                <w:color w:val="FF0000"/>
                <w:lang w:eastAsia="en-AU"/>
              </w:rPr>
            </w:pPr>
          </w:p>
        </w:tc>
      </w:tr>
      <w:tr w:rsidR="00555ECF" w:rsidRPr="00555ECF" w14:paraId="556291F7" w14:textId="77777777" w:rsidTr="00D91EEF">
        <w:trPr>
          <w:cantSplit/>
        </w:trPr>
        <w:tc>
          <w:tcPr>
            <w:tcW w:w="2268" w:type="dxa"/>
            <w:tcBorders>
              <w:bottom w:val="nil"/>
            </w:tcBorders>
            <w:shd w:val="clear" w:color="auto" w:fill="auto"/>
            <w:noWrap/>
            <w:hideMark/>
          </w:tcPr>
          <w:p w14:paraId="6BC78CAA" w14:textId="77777777" w:rsidR="00292E4E" w:rsidRPr="00555ECF" w:rsidRDefault="00292E4E" w:rsidP="00292E4E">
            <w:pPr>
              <w:pStyle w:val="TableText"/>
              <w:rPr>
                <w:i/>
                <w:color w:val="FF0000"/>
                <w:lang w:eastAsia="en-AU"/>
              </w:rPr>
            </w:pPr>
            <w:r w:rsidRPr="00555ECF">
              <w:rPr>
                <w:i/>
                <w:color w:val="FF0000"/>
                <w:lang w:eastAsia="en-AU"/>
              </w:rPr>
              <w:t>Methamphetamine</w:t>
            </w:r>
          </w:p>
        </w:tc>
        <w:tc>
          <w:tcPr>
            <w:tcW w:w="1701" w:type="dxa"/>
            <w:tcBorders>
              <w:bottom w:val="nil"/>
            </w:tcBorders>
            <w:shd w:val="clear" w:color="auto" w:fill="auto"/>
            <w:noWrap/>
            <w:hideMark/>
          </w:tcPr>
          <w:p w14:paraId="616C428D" w14:textId="4ED09896" w:rsidR="00292E4E" w:rsidRPr="00555ECF" w:rsidRDefault="00292E4E" w:rsidP="00292E4E">
            <w:pPr>
              <w:pStyle w:val="TableText"/>
              <w:tabs>
                <w:tab w:val="decimal" w:pos="822"/>
              </w:tabs>
              <w:rPr>
                <w:color w:val="FF0000"/>
                <w:lang w:eastAsia="en-AU"/>
              </w:rPr>
            </w:pPr>
            <w:r w:rsidRPr="00555ECF">
              <w:rPr>
                <w:color w:val="FF0000"/>
              </w:rPr>
              <w:t>244.47</w:t>
            </w:r>
          </w:p>
        </w:tc>
        <w:tc>
          <w:tcPr>
            <w:tcW w:w="1760" w:type="dxa"/>
            <w:tcBorders>
              <w:bottom w:val="nil"/>
              <w:right w:val="nil"/>
            </w:tcBorders>
            <w:shd w:val="clear" w:color="auto" w:fill="auto"/>
            <w:noWrap/>
            <w:hideMark/>
          </w:tcPr>
          <w:p w14:paraId="1142118A" w14:textId="7D72410D" w:rsidR="00292E4E" w:rsidRPr="00555ECF" w:rsidRDefault="00292E4E" w:rsidP="00292E4E">
            <w:pPr>
              <w:pStyle w:val="TableText"/>
              <w:tabs>
                <w:tab w:val="decimal" w:pos="794"/>
              </w:tabs>
              <w:rPr>
                <w:color w:val="FF0000"/>
                <w:lang w:eastAsia="en-AU"/>
              </w:rPr>
            </w:pPr>
            <w:r w:rsidRPr="00555ECF">
              <w:rPr>
                <w:color w:val="FF0000"/>
              </w:rPr>
              <w:t>151.65</w:t>
            </w:r>
          </w:p>
        </w:tc>
        <w:tc>
          <w:tcPr>
            <w:tcW w:w="1760" w:type="dxa"/>
            <w:tcBorders>
              <w:left w:val="nil"/>
              <w:bottom w:val="nil"/>
            </w:tcBorders>
            <w:shd w:val="clear" w:color="auto" w:fill="auto"/>
            <w:noWrap/>
            <w:hideMark/>
          </w:tcPr>
          <w:p w14:paraId="2EA78758" w14:textId="7D64DE0D" w:rsidR="00292E4E" w:rsidRPr="00555ECF" w:rsidRDefault="00292E4E" w:rsidP="00292E4E">
            <w:pPr>
              <w:pStyle w:val="TableText"/>
              <w:tabs>
                <w:tab w:val="decimal" w:pos="794"/>
              </w:tabs>
              <w:rPr>
                <w:color w:val="FF0000"/>
                <w:lang w:eastAsia="en-AU"/>
              </w:rPr>
            </w:pPr>
            <w:r w:rsidRPr="00555ECF">
              <w:rPr>
                <w:color w:val="FF0000"/>
              </w:rPr>
              <w:t>8.11</w:t>
            </w:r>
          </w:p>
        </w:tc>
        <w:tc>
          <w:tcPr>
            <w:tcW w:w="1583" w:type="dxa"/>
            <w:tcBorders>
              <w:bottom w:val="nil"/>
            </w:tcBorders>
            <w:shd w:val="clear" w:color="auto" w:fill="auto"/>
            <w:noWrap/>
            <w:hideMark/>
          </w:tcPr>
          <w:p w14:paraId="6BFFF4E3" w14:textId="34693C04" w:rsidR="00292E4E" w:rsidRPr="00555ECF" w:rsidRDefault="00292E4E" w:rsidP="00292E4E">
            <w:pPr>
              <w:pStyle w:val="TableText"/>
              <w:tabs>
                <w:tab w:val="decimal" w:pos="762"/>
              </w:tabs>
              <w:rPr>
                <w:color w:val="FF0000"/>
                <w:lang w:eastAsia="en-AU"/>
              </w:rPr>
            </w:pPr>
            <w:r w:rsidRPr="00555ECF">
              <w:rPr>
                <w:color w:val="FF0000"/>
              </w:rPr>
              <w:t>404.23</w:t>
            </w:r>
          </w:p>
        </w:tc>
      </w:tr>
      <w:tr w:rsidR="00555ECF" w:rsidRPr="00555ECF" w14:paraId="62C80224" w14:textId="77777777" w:rsidTr="00D91EEF">
        <w:trPr>
          <w:cantSplit/>
        </w:trPr>
        <w:tc>
          <w:tcPr>
            <w:tcW w:w="2268" w:type="dxa"/>
            <w:tcBorders>
              <w:top w:val="nil"/>
              <w:bottom w:val="nil"/>
            </w:tcBorders>
            <w:shd w:val="clear" w:color="auto" w:fill="auto"/>
            <w:noWrap/>
            <w:hideMark/>
          </w:tcPr>
          <w:p w14:paraId="418680FB" w14:textId="77777777" w:rsidR="00292E4E" w:rsidRPr="00555ECF" w:rsidRDefault="00292E4E" w:rsidP="00292E4E">
            <w:pPr>
              <w:pStyle w:val="TableText"/>
              <w:rPr>
                <w:i/>
                <w:color w:val="FF0000"/>
                <w:lang w:eastAsia="en-AU"/>
              </w:rPr>
            </w:pPr>
            <w:r w:rsidRPr="00555ECF">
              <w:rPr>
                <w:i/>
                <w:color w:val="FF0000"/>
                <w:lang w:eastAsia="en-AU"/>
              </w:rPr>
              <w:t>Cocaine</w:t>
            </w:r>
          </w:p>
        </w:tc>
        <w:tc>
          <w:tcPr>
            <w:tcW w:w="1701" w:type="dxa"/>
            <w:tcBorders>
              <w:top w:val="nil"/>
              <w:bottom w:val="nil"/>
            </w:tcBorders>
            <w:shd w:val="clear" w:color="auto" w:fill="auto"/>
            <w:noWrap/>
            <w:hideMark/>
          </w:tcPr>
          <w:p w14:paraId="600EE543" w14:textId="0A520DEA" w:rsidR="00292E4E" w:rsidRPr="00555ECF" w:rsidRDefault="00292E4E" w:rsidP="00292E4E">
            <w:pPr>
              <w:pStyle w:val="TableText"/>
              <w:tabs>
                <w:tab w:val="decimal" w:pos="822"/>
              </w:tabs>
              <w:rPr>
                <w:color w:val="FF0000"/>
                <w:lang w:eastAsia="en-AU"/>
              </w:rPr>
            </w:pPr>
            <w:r w:rsidRPr="00555ECF">
              <w:rPr>
                <w:color w:val="FF0000"/>
              </w:rPr>
              <w:t>4.53</w:t>
            </w:r>
          </w:p>
        </w:tc>
        <w:tc>
          <w:tcPr>
            <w:tcW w:w="1760" w:type="dxa"/>
            <w:tcBorders>
              <w:top w:val="nil"/>
              <w:bottom w:val="nil"/>
              <w:right w:val="nil"/>
            </w:tcBorders>
            <w:shd w:val="clear" w:color="auto" w:fill="auto"/>
            <w:noWrap/>
            <w:hideMark/>
          </w:tcPr>
          <w:p w14:paraId="367E3181" w14:textId="719FC659" w:rsidR="00292E4E" w:rsidRPr="00555ECF" w:rsidRDefault="00292E4E" w:rsidP="00292E4E">
            <w:pPr>
              <w:pStyle w:val="TableText"/>
              <w:tabs>
                <w:tab w:val="decimal" w:pos="794"/>
              </w:tabs>
              <w:rPr>
                <w:color w:val="FF0000"/>
                <w:lang w:eastAsia="en-AU"/>
              </w:rPr>
            </w:pPr>
            <w:r w:rsidRPr="00555ECF">
              <w:rPr>
                <w:color w:val="FF0000"/>
              </w:rPr>
              <w:t>1.59</w:t>
            </w:r>
          </w:p>
        </w:tc>
        <w:tc>
          <w:tcPr>
            <w:tcW w:w="1760" w:type="dxa"/>
            <w:tcBorders>
              <w:top w:val="nil"/>
              <w:left w:val="nil"/>
              <w:bottom w:val="nil"/>
            </w:tcBorders>
            <w:shd w:val="clear" w:color="auto" w:fill="auto"/>
            <w:noWrap/>
            <w:hideMark/>
          </w:tcPr>
          <w:p w14:paraId="223DE680" w14:textId="40DDBBB0" w:rsidR="00292E4E" w:rsidRPr="00555ECF" w:rsidRDefault="00292E4E" w:rsidP="00292E4E">
            <w:pPr>
              <w:pStyle w:val="TableText"/>
              <w:tabs>
                <w:tab w:val="decimal" w:pos="794"/>
              </w:tabs>
              <w:rPr>
                <w:color w:val="FF0000"/>
                <w:lang w:eastAsia="en-AU"/>
              </w:rPr>
            </w:pPr>
            <w:r w:rsidRPr="00555ECF">
              <w:rPr>
                <w:color w:val="FF0000"/>
              </w:rPr>
              <w:t>0.33</w:t>
            </w:r>
          </w:p>
        </w:tc>
        <w:tc>
          <w:tcPr>
            <w:tcW w:w="1583" w:type="dxa"/>
            <w:tcBorders>
              <w:top w:val="nil"/>
              <w:bottom w:val="nil"/>
            </w:tcBorders>
            <w:shd w:val="clear" w:color="auto" w:fill="auto"/>
            <w:noWrap/>
            <w:hideMark/>
          </w:tcPr>
          <w:p w14:paraId="3BC07EAA" w14:textId="716047F4" w:rsidR="00292E4E" w:rsidRPr="00555ECF" w:rsidRDefault="00292E4E" w:rsidP="00292E4E">
            <w:pPr>
              <w:pStyle w:val="TableText"/>
              <w:tabs>
                <w:tab w:val="decimal" w:pos="762"/>
              </w:tabs>
              <w:rPr>
                <w:color w:val="FF0000"/>
                <w:lang w:eastAsia="en-AU"/>
              </w:rPr>
            </w:pPr>
            <w:r w:rsidRPr="00555ECF">
              <w:rPr>
                <w:color w:val="FF0000"/>
              </w:rPr>
              <w:t>6.45</w:t>
            </w:r>
          </w:p>
        </w:tc>
      </w:tr>
      <w:tr w:rsidR="00555ECF" w:rsidRPr="00555ECF" w14:paraId="2247E7D8" w14:textId="77777777" w:rsidTr="00D91EEF">
        <w:trPr>
          <w:cantSplit/>
        </w:trPr>
        <w:tc>
          <w:tcPr>
            <w:tcW w:w="2268" w:type="dxa"/>
            <w:tcBorders>
              <w:top w:val="nil"/>
              <w:bottom w:val="nil"/>
            </w:tcBorders>
            <w:shd w:val="clear" w:color="auto" w:fill="auto"/>
            <w:noWrap/>
            <w:hideMark/>
          </w:tcPr>
          <w:p w14:paraId="2E071CBC" w14:textId="77777777" w:rsidR="00292E4E" w:rsidRPr="00555ECF" w:rsidRDefault="00292E4E" w:rsidP="00292E4E">
            <w:pPr>
              <w:pStyle w:val="TableText"/>
              <w:rPr>
                <w:i/>
                <w:color w:val="FF0000"/>
                <w:lang w:eastAsia="en-AU"/>
              </w:rPr>
            </w:pPr>
            <w:r w:rsidRPr="00555ECF">
              <w:rPr>
                <w:i/>
                <w:color w:val="FF0000"/>
                <w:lang w:eastAsia="en-AU"/>
              </w:rPr>
              <w:t>MDMA</w:t>
            </w:r>
          </w:p>
        </w:tc>
        <w:tc>
          <w:tcPr>
            <w:tcW w:w="1701" w:type="dxa"/>
            <w:tcBorders>
              <w:top w:val="nil"/>
              <w:bottom w:val="nil"/>
            </w:tcBorders>
            <w:shd w:val="clear" w:color="auto" w:fill="auto"/>
            <w:noWrap/>
            <w:hideMark/>
          </w:tcPr>
          <w:p w14:paraId="61E62339" w14:textId="679A35C5" w:rsidR="00292E4E" w:rsidRPr="00555ECF" w:rsidRDefault="00292E4E" w:rsidP="00292E4E">
            <w:pPr>
              <w:pStyle w:val="TableText"/>
              <w:tabs>
                <w:tab w:val="decimal" w:pos="822"/>
              </w:tabs>
              <w:rPr>
                <w:color w:val="FF0000"/>
                <w:lang w:eastAsia="en-AU"/>
              </w:rPr>
            </w:pPr>
            <w:r w:rsidRPr="00555ECF">
              <w:rPr>
                <w:color w:val="FF0000"/>
              </w:rPr>
              <w:t>15.85</w:t>
            </w:r>
          </w:p>
        </w:tc>
        <w:tc>
          <w:tcPr>
            <w:tcW w:w="1760" w:type="dxa"/>
            <w:tcBorders>
              <w:top w:val="nil"/>
              <w:bottom w:val="nil"/>
              <w:right w:val="nil"/>
            </w:tcBorders>
            <w:shd w:val="clear" w:color="auto" w:fill="auto"/>
            <w:noWrap/>
            <w:hideMark/>
          </w:tcPr>
          <w:p w14:paraId="54E2341F" w14:textId="0455F357" w:rsidR="00292E4E" w:rsidRPr="00555ECF" w:rsidRDefault="00292E4E" w:rsidP="00292E4E">
            <w:pPr>
              <w:pStyle w:val="TableText"/>
              <w:tabs>
                <w:tab w:val="decimal" w:pos="794"/>
              </w:tabs>
              <w:rPr>
                <w:color w:val="FF0000"/>
                <w:lang w:eastAsia="en-AU"/>
              </w:rPr>
            </w:pPr>
            <w:r w:rsidRPr="00555ECF">
              <w:rPr>
                <w:color w:val="FF0000"/>
              </w:rPr>
              <w:t>5.37</w:t>
            </w:r>
          </w:p>
        </w:tc>
        <w:tc>
          <w:tcPr>
            <w:tcW w:w="1760" w:type="dxa"/>
            <w:tcBorders>
              <w:top w:val="nil"/>
              <w:left w:val="nil"/>
              <w:bottom w:val="nil"/>
            </w:tcBorders>
            <w:shd w:val="clear" w:color="auto" w:fill="auto"/>
            <w:noWrap/>
            <w:hideMark/>
          </w:tcPr>
          <w:p w14:paraId="04F6711E" w14:textId="6C9CDF58" w:rsidR="00292E4E" w:rsidRPr="00555ECF" w:rsidRDefault="00292E4E" w:rsidP="00292E4E">
            <w:pPr>
              <w:pStyle w:val="TableText"/>
              <w:tabs>
                <w:tab w:val="decimal" w:pos="794"/>
              </w:tabs>
              <w:rPr>
                <w:color w:val="FF0000"/>
                <w:lang w:eastAsia="en-AU"/>
              </w:rPr>
            </w:pPr>
            <w:r w:rsidRPr="00555ECF">
              <w:rPr>
                <w:color w:val="FF0000"/>
              </w:rPr>
              <w:t>2.32</w:t>
            </w:r>
          </w:p>
        </w:tc>
        <w:tc>
          <w:tcPr>
            <w:tcW w:w="1583" w:type="dxa"/>
            <w:tcBorders>
              <w:top w:val="nil"/>
              <w:bottom w:val="nil"/>
            </w:tcBorders>
            <w:shd w:val="clear" w:color="auto" w:fill="auto"/>
            <w:noWrap/>
            <w:hideMark/>
          </w:tcPr>
          <w:p w14:paraId="7D5E35EE" w14:textId="4D740887" w:rsidR="00292E4E" w:rsidRPr="00555ECF" w:rsidRDefault="00292E4E" w:rsidP="00292E4E">
            <w:pPr>
              <w:pStyle w:val="TableText"/>
              <w:tabs>
                <w:tab w:val="decimal" w:pos="762"/>
              </w:tabs>
              <w:rPr>
                <w:color w:val="FF0000"/>
                <w:lang w:eastAsia="en-AU"/>
              </w:rPr>
            </w:pPr>
            <w:r w:rsidRPr="00555ECF">
              <w:rPr>
                <w:color w:val="FF0000"/>
              </w:rPr>
              <w:t>23.54</w:t>
            </w:r>
          </w:p>
        </w:tc>
      </w:tr>
      <w:tr w:rsidR="00555ECF" w:rsidRPr="00555ECF" w14:paraId="5682E40B" w14:textId="77777777" w:rsidTr="00D91EEF">
        <w:trPr>
          <w:cantSplit/>
        </w:trPr>
        <w:tc>
          <w:tcPr>
            <w:tcW w:w="2268" w:type="dxa"/>
            <w:tcBorders>
              <w:top w:val="nil"/>
              <w:bottom w:val="nil"/>
            </w:tcBorders>
            <w:shd w:val="clear" w:color="auto" w:fill="auto"/>
            <w:noWrap/>
            <w:hideMark/>
          </w:tcPr>
          <w:p w14:paraId="3B961107" w14:textId="77777777" w:rsidR="00292E4E" w:rsidRPr="00555ECF" w:rsidRDefault="00292E4E" w:rsidP="00292E4E">
            <w:pPr>
              <w:pStyle w:val="TableText"/>
              <w:rPr>
                <w:i/>
                <w:color w:val="FF0000"/>
                <w:lang w:eastAsia="en-AU"/>
              </w:rPr>
            </w:pPr>
            <w:r w:rsidRPr="00555ECF">
              <w:rPr>
                <w:i/>
                <w:color w:val="FF0000"/>
                <w:lang w:eastAsia="en-AU"/>
              </w:rPr>
              <w:t>Heroin</w:t>
            </w:r>
          </w:p>
        </w:tc>
        <w:tc>
          <w:tcPr>
            <w:tcW w:w="1701" w:type="dxa"/>
            <w:tcBorders>
              <w:top w:val="nil"/>
              <w:bottom w:val="nil"/>
            </w:tcBorders>
            <w:shd w:val="clear" w:color="auto" w:fill="auto"/>
            <w:noWrap/>
            <w:hideMark/>
          </w:tcPr>
          <w:p w14:paraId="0717FEEE" w14:textId="50CE600A" w:rsidR="00292E4E" w:rsidRPr="00555ECF" w:rsidRDefault="00292E4E" w:rsidP="00292E4E">
            <w:pPr>
              <w:pStyle w:val="TableText"/>
              <w:tabs>
                <w:tab w:val="decimal" w:pos="822"/>
              </w:tabs>
              <w:rPr>
                <w:color w:val="FF0000"/>
                <w:lang w:eastAsia="en-AU"/>
              </w:rPr>
            </w:pPr>
            <w:r w:rsidRPr="00555ECF">
              <w:rPr>
                <w:color w:val="FF0000"/>
              </w:rPr>
              <w:t>18.11</w:t>
            </w:r>
          </w:p>
        </w:tc>
        <w:tc>
          <w:tcPr>
            <w:tcW w:w="1760" w:type="dxa"/>
            <w:tcBorders>
              <w:top w:val="nil"/>
              <w:bottom w:val="nil"/>
              <w:right w:val="nil"/>
            </w:tcBorders>
            <w:shd w:val="clear" w:color="auto" w:fill="auto"/>
            <w:noWrap/>
            <w:hideMark/>
          </w:tcPr>
          <w:p w14:paraId="3E9BAB94" w14:textId="02884533" w:rsidR="00292E4E" w:rsidRPr="00555ECF" w:rsidRDefault="00292E4E" w:rsidP="00292E4E">
            <w:pPr>
              <w:pStyle w:val="TableText"/>
              <w:tabs>
                <w:tab w:val="decimal" w:pos="794"/>
              </w:tabs>
              <w:rPr>
                <w:color w:val="FF0000"/>
                <w:lang w:eastAsia="en-AU"/>
              </w:rPr>
            </w:pPr>
            <w:r w:rsidRPr="00555ECF">
              <w:rPr>
                <w:color w:val="FF0000"/>
              </w:rPr>
              <w:t>0.00</w:t>
            </w:r>
          </w:p>
        </w:tc>
        <w:tc>
          <w:tcPr>
            <w:tcW w:w="1760" w:type="dxa"/>
            <w:tcBorders>
              <w:top w:val="nil"/>
              <w:left w:val="nil"/>
              <w:bottom w:val="nil"/>
            </w:tcBorders>
            <w:shd w:val="clear" w:color="auto" w:fill="auto"/>
            <w:noWrap/>
            <w:hideMark/>
          </w:tcPr>
          <w:p w14:paraId="751232AA" w14:textId="06E0BA87" w:rsidR="00292E4E" w:rsidRPr="00555ECF" w:rsidRDefault="00292E4E" w:rsidP="00292E4E">
            <w:pPr>
              <w:pStyle w:val="TableText"/>
              <w:tabs>
                <w:tab w:val="decimal" w:pos="794"/>
              </w:tabs>
              <w:rPr>
                <w:color w:val="FF0000"/>
                <w:lang w:eastAsia="en-AU"/>
              </w:rPr>
            </w:pPr>
            <w:r w:rsidRPr="00555ECF">
              <w:rPr>
                <w:color w:val="FF0000"/>
              </w:rPr>
              <w:t>0.13</w:t>
            </w:r>
          </w:p>
        </w:tc>
        <w:tc>
          <w:tcPr>
            <w:tcW w:w="1583" w:type="dxa"/>
            <w:tcBorders>
              <w:top w:val="nil"/>
              <w:bottom w:val="nil"/>
            </w:tcBorders>
            <w:shd w:val="clear" w:color="auto" w:fill="auto"/>
            <w:noWrap/>
            <w:hideMark/>
          </w:tcPr>
          <w:p w14:paraId="562EA528" w14:textId="6FA51AAF" w:rsidR="00292E4E" w:rsidRPr="00555ECF" w:rsidRDefault="00292E4E" w:rsidP="00292E4E">
            <w:pPr>
              <w:pStyle w:val="TableText"/>
              <w:tabs>
                <w:tab w:val="decimal" w:pos="762"/>
              </w:tabs>
              <w:rPr>
                <w:color w:val="FF0000"/>
                <w:lang w:eastAsia="en-AU"/>
              </w:rPr>
            </w:pPr>
            <w:r w:rsidRPr="00555ECF">
              <w:rPr>
                <w:color w:val="FF0000"/>
              </w:rPr>
              <w:t>18.24</w:t>
            </w:r>
          </w:p>
        </w:tc>
      </w:tr>
      <w:tr w:rsidR="00555ECF" w:rsidRPr="00555ECF" w14:paraId="60B869B6" w14:textId="77777777" w:rsidTr="00D91EEF">
        <w:trPr>
          <w:cantSplit/>
        </w:trPr>
        <w:tc>
          <w:tcPr>
            <w:tcW w:w="2268" w:type="dxa"/>
            <w:tcBorders>
              <w:top w:val="nil"/>
              <w:bottom w:val="nil"/>
            </w:tcBorders>
            <w:shd w:val="clear" w:color="auto" w:fill="auto"/>
            <w:noWrap/>
          </w:tcPr>
          <w:p w14:paraId="76736524" w14:textId="77777777" w:rsidR="00292E4E" w:rsidRPr="00555ECF" w:rsidRDefault="00292E4E" w:rsidP="00292E4E">
            <w:pPr>
              <w:pStyle w:val="TableText"/>
              <w:rPr>
                <w:i/>
                <w:color w:val="FF0000"/>
                <w:lang w:eastAsia="en-AU"/>
              </w:rPr>
            </w:pPr>
            <w:r w:rsidRPr="00555ECF">
              <w:rPr>
                <w:i/>
                <w:color w:val="FF0000"/>
                <w:lang w:eastAsia="en-AU"/>
              </w:rPr>
              <w:t>GHB/GBL</w:t>
            </w:r>
          </w:p>
        </w:tc>
        <w:tc>
          <w:tcPr>
            <w:tcW w:w="1701" w:type="dxa"/>
            <w:tcBorders>
              <w:top w:val="nil"/>
              <w:bottom w:val="nil"/>
            </w:tcBorders>
            <w:shd w:val="clear" w:color="auto" w:fill="auto"/>
            <w:noWrap/>
          </w:tcPr>
          <w:p w14:paraId="43FC0C8A" w14:textId="3B525E75" w:rsidR="00292E4E" w:rsidRPr="00555ECF" w:rsidRDefault="00292E4E" w:rsidP="00292E4E">
            <w:pPr>
              <w:pStyle w:val="TableText"/>
              <w:tabs>
                <w:tab w:val="decimal" w:pos="822"/>
              </w:tabs>
              <w:rPr>
                <w:color w:val="FF0000"/>
              </w:rPr>
            </w:pPr>
            <w:r w:rsidRPr="00555ECF">
              <w:rPr>
                <w:color w:val="FF0000"/>
              </w:rPr>
              <w:t>0.00</w:t>
            </w:r>
          </w:p>
        </w:tc>
        <w:tc>
          <w:tcPr>
            <w:tcW w:w="1760" w:type="dxa"/>
            <w:tcBorders>
              <w:top w:val="nil"/>
              <w:bottom w:val="nil"/>
              <w:right w:val="nil"/>
            </w:tcBorders>
            <w:shd w:val="clear" w:color="auto" w:fill="auto"/>
            <w:noWrap/>
          </w:tcPr>
          <w:p w14:paraId="3779EAB7" w14:textId="7C6E0D63" w:rsidR="00292E4E" w:rsidRPr="00555ECF" w:rsidRDefault="00292E4E" w:rsidP="00292E4E">
            <w:pPr>
              <w:pStyle w:val="TableText"/>
              <w:tabs>
                <w:tab w:val="decimal" w:pos="794"/>
              </w:tabs>
              <w:rPr>
                <w:color w:val="FF0000"/>
              </w:rPr>
            </w:pPr>
            <w:r w:rsidRPr="00555ECF">
              <w:rPr>
                <w:color w:val="FF0000"/>
              </w:rPr>
              <w:t>0.83</w:t>
            </w:r>
          </w:p>
        </w:tc>
        <w:tc>
          <w:tcPr>
            <w:tcW w:w="1760" w:type="dxa"/>
            <w:tcBorders>
              <w:top w:val="nil"/>
              <w:left w:val="nil"/>
              <w:bottom w:val="nil"/>
            </w:tcBorders>
            <w:shd w:val="clear" w:color="auto" w:fill="auto"/>
            <w:noWrap/>
          </w:tcPr>
          <w:p w14:paraId="5B2E4D7D" w14:textId="3B8D8F70" w:rsidR="00292E4E" w:rsidRPr="00555ECF" w:rsidRDefault="00292E4E" w:rsidP="00292E4E">
            <w:pPr>
              <w:pStyle w:val="TableText"/>
              <w:tabs>
                <w:tab w:val="decimal" w:pos="794"/>
              </w:tabs>
              <w:rPr>
                <w:color w:val="FF0000"/>
              </w:rPr>
            </w:pPr>
            <w:r w:rsidRPr="00555ECF">
              <w:rPr>
                <w:color w:val="FF0000"/>
              </w:rPr>
              <w:t>0.30</w:t>
            </w:r>
          </w:p>
        </w:tc>
        <w:tc>
          <w:tcPr>
            <w:tcW w:w="1583" w:type="dxa"/>
            <w:tcBorders>
              <w:top w:val="nil"/>
              <w:bottom w:val="nil"/>
            </w:tcBorders>
            <w:shd w:val="clear" w:color="auto" w:fill="auto"/>
            <w:noWrap/>
          </w:tcPr>
          <w:p w14:paraId="1A5F9A8A" w14:textId="525B3A30" w:rsidR="00292E4E" w:rsidRPr="00555ECF" w:rsidRDefault="00292E4E" w:rsidP="00292E4E">
            <w:pPr>
              <w:pStyle w:val="TableText"/>
              <w:tabs>
                <w:tab w:val="decimal" w:pos="762"/>
              </w:tabs>
              <w:rPr>
                <w:color w:val="FF0000"/>
              </w:rPr>
            </w:pPr>
            <w:r w:rsidRPr="00555ECF">
              <w:rPr>
                <w:color w:val="FF0000"/>
              </w:rPr>
              <w:t>1.13</w:t>
            </w:r>
          </w:p>
        </w:tc>
      </w:tr>
      <w:tr w:rsidR="00555ECF" w:rsidRPr="00555ECF" w14:paraId="76B7600B" w14:textId="77777777" w:rsidTr="00D91EEF">
        <w:trPr>
          <w:cantSplit/>
        </w:trPr>
        <w:tc>
          <w:tcPr>
            <w:tcW w:w="2268" w:type="dxa"/>
            <w:tcBorders>
              <w:top w:val="nil"/>
              <w:bottom w:val="nil"/>
            </w:tcBorders>
            <w:shd w:val="clear" w:color="auto" w:fill="auto"/>
            <w:noWrap/>
            <w:hideMark/>
          </w:tcPr>
          <w:p w14:paraId="1DBC5332" w14:textId="77777777" w:rsidR="00292E4E" w:rsidRPr="00555ECF" w:rsidRDefault="00292E4E" w:rsidP="00292E4E">
            <w:pPr>
              <w:pStyle w:val="TableText"/>
              <w:rPr>
                <w:i/>
                <w:color w:val="FF0000"/>
                <w:lang w:eastAsia="en-AU"/>
              </w:rPr>
            </w:pPr>
            <w:r w:rsidRPr="00555ECF">
              <w:rPr>
                <w:i/>
                <w:color w:val="FF0000"/>
                <w:lang w:eastAsia="en-AU"/>
              </w:rPr>
              <w:t>Cannabis</w:t>
            </w:r>
          </w:p>
        </w:tc>
        <w:tc>
          <w:tcPr>
            <w:tcW w:w="1701" w:type="dxa"/>
            <w:tcBorders>
              <w:top w:val="nil"/>
              <w:bottom w:val="nil"/>
            </w:tcBorders>
            <w:shd w:val="clear" w:color="auto" w:fill="auto"/>
            <w:noWrap/>
            <w:hideMark/>
          </w:tcPr>
          <w:p w14:paraId="5CD0641A" w14:textId="331DEDDB" w:rsidR="00292E4E" w:rsidRPr="00555ECF" w:rsidRDefault="00292E4E" w:rsidP="00292E4E">
            <w:pPr>
              <w:pStyle w:val="TableText"/>
              <w:tabs>
                <w:tab w:val="decimal" w:pos="822"/>
              </w:tabs>
              <w:rPr>
                <w:color w:val="FF0000"/>
                <w:lang w:eastAsia="en-AU"/>
              </w:rPr>
            </w:pPr>
            <w:r w:rsidRPr="00555ECF">
              <w:rPr>
                <w:color w:val="FF0000"/>
              </w:rPr>
              <w:t>124.50</w:t>
            </w:r>
          </w:p>
        </w:tc>
        <w:tc>
          <w:tcPr>
            <w:tcW w:w="1760" w:type="dxa"/>
            <w:tcBorders>
              <w:top w:val="nil"/>
              <w:bottom w:val="nil"/>
              <w:right w:val="nil"/>
            </w:tcBorders>
            <w:shd w:val="clear" w:color="auto" w:fill="auto"/>
            <w:noWrap/>
            <w:hideMark/>
          </w:tcPr>
          <w:p w14:paraId="419D2977" w14:textId="4E3CFDDB" w:rsidR="00292E4E" w:rsidRPr="00555ECF" w:rsidRDefault="00292E4E" w:rsidP="00292E4E">
            <w:pPr>
              <w:pStyle w:val="TableText"/>
              <w:tabs>
                <w:tab w:val="decimal" w:pos="794"/>
              </w:tabs>
              <w:rPr>
                <w:color w:val="FF0000"/>
                <w:lang w:eastAsia="en-AU"/>
              </w:rPr>
            </w:pPr>
            <w:r w:rsidRPr="00555ECF">
              <w:rPr>
                <w:color w:val="FF0000"/>
              </w:rPr>
              <w:t>149.07</w:t>
            </w:r>
          </w:p>
        </w:tc>
        <w:tc>
          <w:tcPr>
            <w:tcW w:w="1760" w:type="dxa"/>
            <w:tcBorders>
              <w:top w:val="nil"/>
              <w:left w:val="nil"/>
              <w:bottom w:val="nil"/>
            </w:tcBorders>
            <w:shd w:val="clear" w:color="auto" w:fill="auto"/>
            <w:noWrap/>
            <w:hideMark/>
          </w:tcPr>
          <w:p w14:paraId="454C82E9" w14:textId="7CF419DE" w:rsidR="00292E4E" w:rsidRPr="00555ECF" w:rsidRDefault="00292E4E" w:rsidP="00292E4E">
            <w:pPr>
              <w:pStyle w:val="TableText"/>
              <w:tabs>
                <w:tab w:val="decimal" w:pos="794"/>
              </w:tabs>
              <w:rPr>
                <w:color w:val="FF0000"/>
                <w:lang w:eastAsia="en-AU"/>
              </w:rPr>
            </w:pPr>
            <w:r w:rsidRPr="00555ECF">
              <w:rPr>
                <w:color w:val="FF0000"/>
              </w:rPr>
              <w:t>7.51</w:t>
            </w:r>
          </w:p>
        </w:tc>
        <w:tc>
          <w:tcPr>
            <w:tcW w:w="1583" w:type="dxa"/>
            <w:tcBorders>
              <w:top w:val="nil"/>
              <w:bottom w:val="nil"/>
            </w:tcBorders>
            <w:shd w:val="clear" w:color="auto" w:fill="auto"/>
            <w:noWrap/>
            <w:hideMark/>
          </w:tcPr>
          <w:p w14:paraId="234705D4" w14:textId="4E961B88" w:rsidR="00292E4E" w:rsidRPr="00555ECF" w:rsidRDefault="00292E4E" w:rsidP="00292E4E">
            <w:pPr>
              <w:pStyle w:val="TableText"/>
              <w:tabs>
                <w:tab w:val="decimal" w:pos="762"/>
              </w:tabs>
              <w:rPr>
                <w:color w:val="FF0000"/>
                <w:lang w:eastAsia="en-AU"/>
              </w:rPr>
            </w:pPr>
            <w:r w:rsidRPr="00555ECF">
              <w:rPr>
                <w:color w:val="FF0000"/>
              </w:rPr>
              <w:t>281.08</w:t>
            </w:r>
          </w:p>
        </w:tc>
      </w:tr>
      <w:tr w:rsidR="00555ECF" w:rsidRPr="00555ECF" w14:paraId="0738AB9E" w14:textId="77777777" w:rsidTr="00D91EEF">
        <w:trPr>
          <w:cantSplit/>
        </w:trPr>
        <w:tc>
          <w:tcPr>
            <w:tcW w:w="2268" w:type="dxa"/>
            <w:tcBorders>
              <w:top w:val="nil"/>
            </w:tcBorders>
            <w:shd w:val="clear" w:color="auto" w:fill="auto"/>
            <w:noWrap/>
            <w:hideMark/>
          </w:tcPr>
          <w:p w14:paraId="73EC7184" w14:textId="77777777" w:rsidR="00292E4E" w:rsidRPr="00555ECF" w:rsidRDefault="00292E4E" w:rsidP="00292E4E">
            <w:pPr>
              <w:pStyle w:val="TableText"/>
              <w:rPr>
                <w:i/>
                <w:color w:val="FF0000"/>
                <w:lang w:eastAsia="en-AU"/>
              </w:rPr>
            </w:pPr>
            <w:r w:rsidRPr="00555ECF">
              <w:rPr>
                <w:i/>
                <w:color w:val="FF0000"/>
                <w:lang w:eastAsia="en-AU"/>
              </w:rPr>
              <w:t>Synthetic cannabinoids</w:t>
            </w:r>
          </w:p>
        </w:tc>
        <w:tc>
          <w:tcPr>
            <w:tcW w:w="1701" w:type="dxa"/>
            <w:tcBorders>
              <w:top w:val="nil"/>
            </w:tcBorders>
            <w:shd w:val="clear" w:color="auto" w:fill="auto"/>
            <w:noWrap/>
            <w:hideMark/>
          </w:tcPr>
          <w:p w14:paraId="50CBC7F8" w14:textId="0EC08F8E" w:rsidR="00292E4E" w:rsidRPr="00555ECF" w:rsidRDefault="00292E4E" w:rsidP="00292E4E">
            <w:pPr>
              <w:pStyle w:val="TableText"/>
              <w:tabs>
                <w:tab w:val="decimal" w:pos="822"/>
              </w:tabs>
              <w:rPr>
                <w:color w:val="FF0000"/>
                <w:lang w:eastAsia="en-AU"/>
              </w:rPr>
            </w:pPr>
            <w:r w:rsidRPr="00555ECF">
              <w:rPr>
                <w:color w:val="FF0000"/>
              </w:rPr>
              <w:t>76.96</w:t>
            </w:r>
          </w:p>
        </w:tc>
        <w:tc>
          <w:tcPr>
            <w:tcW w:w="1760" w:type="dxa"/>
            <w:tcBorders>
              <w:top w:val="nil"/>
              <w:right w:val="nil"/>
            </w:tcBorders>
            <w:shd w:val="clear" w:color="auto" w:fill="auto"/>
            <w:noWrap/>
            <w:hideMark/>
          </w:tcPr>
          <w:p w14:paraId="34C3480A" w14:textId="721EE577" w:rsidR="00292E4E" w:rsidRPr="00555ECF" w:rsidRDefault="00292E4E" w:rsidP="00292E4E">
            <w:pPr>
              <w:pStyle w:val="TableText"/>
              <w:tabs>
                <w:tab w:val="decimal" w:pos="794"/>
              </w:tabs>
              <w:rPr>
                <w:color w:val="FF0000"/>
                <w:lang w:eastAsia="en-AU"/>
              </w:rPr>
            </w:pPr>
            <w:r w:rsidRPr="00555ECF">
              <w:rPr>
                <w:color w:val="FF0000"/>
              </w:rPr>
              <w:t>0.91</w:t>
            </w:r>
          </w:p>
        </w:tc>
        <w:tc>
          <w:tcPr>
            <w:tcW w:w="1760" w:type="dxa"/>
            <w:tcBorders>
              <w:top w:val="nil"/>
              <w:left w:val="nil"/>
            </w:tcBorders>
            <w:shd w:val="clear" w:color="auto" w:fill="auto"/>
            <w:noWrap/>
            <w:hideMark/>
          </w:tcPr>
          <w:p w14:paraId="42AF8465" w14:textId="4964CE8F" w:rsidR="00292E4E" w:rsidRPr="00555ECF" w:rsidRDefault="00292E4E" w:rsidP="00292E4E">
            <w:pPr>
              <w:pStyle w:val="TableText"/>
              <w:tabs>
                <w:tab w:val="decimal" w:pos="794"/>
              </w:tabs>
              <w:rPr>
                <w:color w:val="FF0000"/>
                <w:lang w:eastAsia="en-AU"/>
              </w:rPr>
            </w:pPr>
            <w:r w:rsidRPr="00555ECF">
              <w:rPr>
                <w:color w:val="FF0000"/>
              </w:rPr>
              <w:t>0.48</w:t>
            </w:r>
          </w:p>
        </w:tc>
        <w:tc>
          <w:tcPr>
            <w:tcW w:w="1583" w:type="dxa"/>
            <w:tcBorders>
              <w:top w:val="nil"/>
            </w:tcBorders>
            <w:shd w:val="clear" w:color="auto" w:fill="auto"/>
            <w:noWrap/>
            <w:hideMark/>
          </w:tcPr>
          <w:p w14:paraId="6276EB95" w14:textId="4C19B7E8" w:rsidR="00292E4E" w:rsidRPr="00555ECF" w:rsidRDefault="00292E4E" w:rsidP="00292E4E">
            <w:pPr>
              <w:pStyle w:val="TableText"/>
              <w:tabs>
                <w:tab w:val="decimal" w:pos="762"/>
              </w:tabs>
              <w:rPr>
                <w:color w:val="FF0000"/>
                <w:lang w:eastAsia="en-AU"/>
              </w:rPr>
            </w:pPr>
            <w:r w:rsidRPr="00555ECF">
              <w:rPr>
                <w:color w:val="FF0000"/>
              </w:rPr>
              <w:t>78.35</w:t>
            </w:r>
          </w:p>
        </w:tc>
      </w:tr>
      <w:tr w:rsidR="00292E4E" w:rsidRPr="00555ECF" w14:paraId="4227B587" w14:textId="77777777" w:rsidTr="00D91EEF">
        <w:trPr>
          <w:cantSplit/>
        </w:trPr>
        <w:tc>
          <w:tcPr>
            <w:tcW w:w="2268" w:type="dxa"/>
            <w:shd w:val="clear" w:color="auto" w:fill="auto"/>
            <w:noWrap/>
            <w:hideMark/>
          </w:tcPr>
          <w:p w14:paraId="241C82E0" w14:textId="77777777" w:rsidR="00292E4E" w:rsidRPr="00555ECF" w:rsidRDefault="00292E4E" w:rsidP="00292E4E">
            <w:pPr>
              <w:pStyle w:val="TableText"/>
              <w:rPr>
                <w:color w:val="FF0000"/>
                <w:lang w:eastAsia="en-AU"/>
              </w:rPr>
            </w:pPr>
            <w:r w:rsidRPr="00555ECF">
              <w:rPr>
                <w:color w:val="FF0000"/>
                <w:lang w:eastAsia="en-AU"/>
              </w:rPr>
              <w:t>Total</w:t>
            </w:r>
          </w:p>
        </w:tc>
        <w:tc>
          <w:tcPr>
            <w:tcW w:w="1701" w:type="dxa"/>
            <w:shd w:val="clear" w:color="auto" w:fill="auto"/>
            <w:noWrap/>
            <w:hideMark/>
          </w:tcPr>
          <w:p w14:paraId="74D580DF" w14:textId="53625D52" w:rsidR="00292E4E" w:rsidRPr="00555ECF" w:rsidRDefault="00292E4E" w:rsidP="00292E4E">
            <w:pPr>
              <w:pStyle w:val="TableText"/>
              <w:tabs>
                <w:tab w:val="decimal" w:pos="822"/>
              </w:tabs>
              <w:rPr>
                <w:color w:val="FF0000"/>
                <w:lang w:eastAsia="en-AU"/>
              </w:rPr>
            </w:pPr>
            <w:r w:rsidRPr="00555ECF">
              <w:rPr>
                <w:color w:val="FF0000"/>
              </w:rPr>
              <w:t>484.42</w:t>
            </w:r>
          </w:p>
        </w:tc>
        <w:tc>
          <w:tcPr>
            <w:tcW w:w="1760" w:type="dxa"/>
            <w:tcBorders>
              <w:right w:val="nil"/>
            </w:tcBorders>
            <w:shd w:val="clear" w:color="auto" w:fill="auto"/>
            <w:noWrap/>
            <w:hideMark/>
          </w:tcPr>
          <w:p w14:paraId="3DBDDF60" w14:textId="277F581F" w:rsidR="00292E4E" w:rsidRPr="00555ECF" w:rsidRDefault="00292E4E" w:rsidP="00292E4E">
            <w:pPr>
              <w:pStyle w:val="TableText"/>
              <w:tabs>
                <w:tab w:val="decimal" w:pos="794"/>
              </w:tabs>
              <w:rPr>
                <w:color w:val="FF0000"/>
                <w:lang w:eastAsia="en-AU"/>
              </w:rPr>
            </w:pPr>
            <w:r w:rsidRPr="00555ECF">
              <w:rPr>
                <w:color w:val="FF0000"/>
              </w:rPr>
              <w:t>309.42</w:t>
            </w:r>
          </w:p>
        </w:tc>
        <w:tc>
          <w:tcPr>
            <w:tcW w:w="1760" w:type="dxa"/>
            <w:tcBorders>
              <w:left w:val="nil"/>
            </w:tcBorders>
            <w:shd w:val="clear" w:color="auto" w:fill="auto"/>
            <w:noWrap/>
            <w:hideMark/>
          </w:tcPr>
          <w:p w14:paraId="382F4329" w14:textId="33FB6301" w:rsidR="00292E4E" w:rsidRPr="00555ECF" w:rsidRDefault="00292E4E" w:rsidP="00292E4E">
            <w:pPr>
              <w:pStyle w:val="TableText"/>
              <w:tabs>
                <w:tab w:val="decimal" w:pos="794"/>
              </w:tabs>
              <w:rPr>
                <w:color w:val="FF0000"/>
                <w:lang w:eastAsia="en-AU"/>
              </w:rPr>
            </w:pPr>
            <w:r w:rsidRPr="00555ECF">
              <w:rPr>
                <w:color w:val="FF0000"/>
              </w:rPr>
              <w:t>19.17</w:t>
            </w:r>
          </w:p>
        </w:tc>
        <w:tc>
          <w:tcPr>
            <w:tcW w:w="1583" w:type="dxa"/>
            <w:shd w:val="clear" w:color="auto" w:fill="auto"/>
            <w:noWrap/>
            <w:hideMark/>
          </w:tcPr>
          <w:p w14:paraId="08305B35" w14:textId="1FEF7277" w:rsidR="00292E4E" w:rsidRPr="00555ECF" w:rsidRDefault="00292E4E" w:rsidP="00292E4E">
            <w:pPr>
              <w:pStyle w:val="TableText"/>
              <w:tabs>
                <w:tab w:val="decimal" w:pos="762"/>
              </w:tabs>
              <w:rPr>
                <w:color w:val="FF0000"/>
                <w:lang w:eastAsia="en-AU"/>
              </w:rPr>
            </w:pPr>
            <w:r w:rsidRPr="00555ECF">
              <w:rPr>
                <w:color w:val="FF0000"/>
              </w:rPr>
              <w:t>813.01</w:t>
            </w:r>
          </w:p>
        </w:tc>
      </w:tr>
    </w:tbl>
    <w:p w14:paraId="086BDB81" w14:textId="77777777" w:rsidR="00292E4E" w:rsidRPr="00555ECF" w:rsidRDefault="00292E4E" w:rsidP="00292E4E">
      <w:pPr>
        <w:rPr>
          <w:color w:val="FF0000"/>
          <w:lang w:eastAsia="en-AU"/>
        </w:rPr>
      </w:pPr>
    </w:p>
    <w:p w14:paraId="056369E1" w14:textId="515537F5" w:rsidR="00292E4E" w:rsidRPr="00555ECF" w:rsidRDefault="00292E4E" w:rsidP="00292E4E">
      <w:pPr>
        <w:pStyle w:val="Table"/>
        <w:rPr>
          <w:color w:val="FF0000"/>
          <w:lang w:eastAsia="en-AU"/>
        </w:rPr>
      </w:pPr>
      <w:bookmarkStart w:id="43" w:name="_Toc95476489"/>
      <w:r w:rsidRPr="00555ECF">
        <w:rPr>
          <w:color w:val="FF0000"/>
        </w:rPr>
        <w:t>Table </w:t>
      </w:r>
      <w:r w:rsidR="00555ECF" w:rsidRPr="00555ECF">
        <w:rPr>
          <w:color w:val="FF0000"/>
        </w:rPr>
        <w:fldChar w:fldCharType="begin"/>
      </w:r>
      <w:r w:rsidR="00555ECF" w:rsidRPr="00555ECF">
        <w:rPr>
          <w:color w:val="FF0000"/>
        </w:rPr>
        <w:instrText xml:space="preserve"> SEQ Table \* ARABIC </w:instrText>
      </w:r>
      <w:r w:rsidR="00555ECF" w:rsidRPr="00555ECF">
        <w:rPr>
          <w:color w:val="FF0000"/>
        </w:rPr>
        <w:fldChar w:fldCharType="separate"/>
      </w:r>
      <w:r w:rsidR="006A55D7">
        <w:rPr>
          <w:noProof/>
          <w:color w:val="FF0000"/>
        </w:rPr>
        <w:t>9</w:t>
      </w:r>
      <w:r w:rsidR="00555ECF" w:rsidRPr="00555ECF">
        <w:rPr>
          <w:noProof/>
          <w:color w:val="FF0000"/>
        </w:rPr>
        <w:fldChar w:fldCharType="end"/>
      </w:r>
      <w:r w:rsidR="00684EA6" w:rsidRPr="00555ECF">
        <w:rPr>
          <w:noProof/>
          <w:color w:val="FF0000"/>
        </w:rPr>
        <w:t>i</w:t>
      </w:r>
      <w:r w:rsidRPr="00555ECF">
        <w:rPr>
          <w:noProof/>
          <w:color w:val="FF0000"/>
        </w:rPr>
        <w:t>.</w:t>
      </w:r>
      <w:r w:rsidRPr="00555ECF">
        <w:rPr>
          <w:color w:val="FF0000"/>
          <w:lang w:eastAsia="en-AU"/>
        </w:rPr>
        <w:t xml:space="preserve"> Community harms by drug type ($ million)</w:t>
      </w:r>
      <w:bookmarkEnd w:id="43"/>
    </w:p>
    <w:tbl>
      <w:tblPr>
        <w:tblStyle w:val="TableGrid"/>
        <w:tblW w:w="9109" w:type="dxa"/>
        <w:tblInd w:w="113" w:type="dxa"/>
        <w:tblLayout w:type="fixed"/>
        <w:tblCellMar>
          <w:left w:w="113" w:type="dxa"/>
          <w:right w:w="113" w:type="dxa"/>
        </w:tblCellMar>
        <w:tblLook w:val="04A0" w:firstRow="1" w:lastRow="0" w:firstColumn="1" w:lastColumn="0" w:noHBand="0" w:noVBand="1"/>
      </w:tblPr>
      <w:tblGrid>
        <w:gridCol w:w="2127"/>
        <w:gridCol w:w="1594"/>
        <w:gridCol w:w="1311"/>
        <w:gridCol w:w="1631"/>
        <w:gridCol w:w="1312"/>
        <w:gridCol w:w="1134"/>
      </w:tblGrid>
      <w:tr w:rsidR="00555ECF" w:rsidRPr="00555ECF" w14:paraId="2298AA31" w14:textId="77777777" w:rsidTr="00D91EEF">
        <w:trPr>
          <w:cantSplit/>
        </w:trPr>
        <w:tc>
          <w:tcPr>
            <w:tcW w:w="2127" w:type="dxa"/>
            <w:shd w:val="clear" w:color="auto" w:fill="auto"/>
          </w:tcPr>
          <w:p w14:paraId="51E19E13" w14:textId="77777777" w:rsidR="00292E4E" w:rsidRPr="00555ECF" w:rsidRDefault="00292E4E" w:rsidP="00D91EEF">
            <w:pPr>
              <w:pStyle w:val="TableText"/>
              <w:rPr>
                <w:b/>
                <w:color w:val="FF0000"/>
              </w:rPr>
            </w:pPr>
            <w:r w:rsidRPr="00555ECF">
              <w:rPr>
                <w:b/>
                <w:color w:val="FF0000"/>
              </w:rPr>
              <w:t>Drug type</w:t>
            </w:r>
          </w:p>
        </w:tc>
        <w:tc>
          <w:tcPr>
            <w:tcW w:w="1594" w:type="dxa"/>
            <w:shd w:val="clear" w:color="auto" w:fill="auto"/>
          </w:tcPr>
          <w:p w14:paraId="577A27BA" w14:textId="77777777" w:rsidR="00292E4E" w:rsidRPr="00555ECF" w:rsidRDefault="00292E4E" w:rsidP="00D91EEF">
            <w:pPr>
              <w:pStyle w:val="TableText"/>
              <w:jc w:val="center"/>
              <w:rPr>
                <w:b/>
                <w:color w:val="FF0000"/>
              </w:rPr>
            </w:pPr>
            <w:r w:rsidRPr="00555ECF">
              <w:rPr>
                <w:b/>
                <w:color w:val="FF0000"/>
              </w:rPr>
              <w:t>Harm to family and friends</w:t>
            </w:r>
          </w:p>
        </w:tc>
        <w:tc>
          <w:tcPr>
            <w:tcW w:w="1311" w:type="dxa"/>
            <w:shd w:val="clear" w:color="auto" w:fill="auto"/>
          </w:tcPr>
          <w:p w14:paraId="0452E8D6" w14:textId="77777777" w:rsidR="00292E4E" w:rsidRPr="00555ECF" w:rsidRDefault="00292E4E" w:rsidP="00D91EEF">
            <w:pPr>
              <w:pStyle w:val="TableText"/>
              <w:jc w:val="center"/>
              <w:rPr>
                <w:b/>
                <w:color w:val="FF0000"/>
              </w:rPr>
            </w:pPr>
            <w:r w:rsidRPr="00555ECF">
              <w:rPr>
                <w:b/>
                <w:color w:val="FF0000"/>
              </w:rPr>
              <w:t>Acquisitive crime</w:t>
            </w:r>
          </w:p>
        </w:tc>
        <w:tc>
          <w:tcPr>
            <w:tcW w:w="1631" w:type="dxa"/>
            <w:shd w:val="clear" w:color="auto" w:fill="auto"/>
          </w:tcPr>
          <w:p w14:paraId="7BBAFA2F" w14:textId="77777777" w:rsidR="00292E4E" w:rsidRPr="00555ECF" w:rsidRDefault="00292E4E" w:rsidP="00D91EEF">
            <w:pPr>
              <w:pStyle w:val="TableText"/>
              <w:jc w:val="center"/>
              <w:rPr>
                <w:b/>
                <w:color w:val="FF0000"/>
              </w:rPr>
            </w:pPr>
            <w:r w:rsidRPr="00555ECF">
              <w:rPr>
                <w:b/>
                <w:color w:val="FF0000"/>
              </w:rPr>
              <w:t>Reinvestment in other crime</w:t>
            </w:r>
          </w:p>
        </w:tc>
        <w:tc>
          <w:tcPr>
            <w:tcW w:w="1312" w:type="dxa"/>
            <w:shd w:val="clear" w:color="auto" w:fill="auto"/>
          </w:tcPr>
          <w:p w14:paraId="4F1CCFDD" w14:textId="77777777" w:rsidR="00292E4E" w:rsidRPr="00555ECF" w:rsidRDefault="00292E4E" w:rsidP="00D91EEF">
            <w:pPr>
              <w:pStyle w:val="TableText"/>
              <w:jc w:val="center"/>
              <w:rPr>
                <w:b/>
                <w:color w:val="FF0000"/>
              </w:rPr>
            </w:pPr>
            <w:r w:rsidRPr="00555ECF">
              <w:rPr>
                <w:b/>
                <w:color w:val="FF0000"/>
              </w:rPr>
              <w:t>Tax revenue foregone</w:t>
            </w:r>
          </w:p>
        </w:tc>
        <w:tc>
          <w:tcPr>
            <w:tcW w:w="1134" w:type="dxa"/>
            <w:shd w:val="clear" w:color="auto" w:fill="auto"/>
          </w:tcPr>
          <w:p w14:paraId="1F5F359E" w14:textId="77777777" w:rsidR="00292E4E" w:rsidRPr="00555ECF" w:rsidRDefault="00292E4E" w:rsidP="00D91EEF">
            <w:pPr>
              <w:pStyle w:val="TableText"/>
              <w:jc w:val="center"/>
              <w:rPr>
                <w:b/>
                <w:color w:val="FF0000"/>
              </w:rPr>
            </w:pPr>
            <w:r w:rsidRPr="00555ECF">
              <w:rPr>
                <w:b/>
                <w:color w:val="FF0000"/>
              </w:rPr>
              <w:t>Total harm</w:t>
            </w:r>
          </w:p>
        </w:tc>
      </w:tr>
      <w:tr w:rsidR="00555ECF" w:rsidRPr="00555ECF" w14:paraId="26358F3F" w14:textId="77777777" w:rsidTr="00D91EEF">
        <w:trPr>
          <w:cantSplit/>
        </w:trPr>
        <w:tc>
          <w:tcPr>
            <w:tcW w:w="2127" w:type="dxa"/>
            <w:tcBorders>
              <w:bottom w:val="nil"/>
            </w:tcBorders>
            <w:shd w:val="clear" w:color="auto" w:fill="auto"/>
          </w:tcPr>
          <w:p w14:paraId="55C5F1B1" w14:textId="77777777" w:rsidR="00292E4E" w:rsidRPr="00555ECF" w:rsidRDefault="00292E4E" w:rsidP="00292E4E">
            <w:pPr>
              <w:pStyle w:val="TableText"/>
              <w:rPr>
                <w:i/>
                <w:color w:val="FF0000"/>
              </w:rPr>
            </w:pPr>
            <w:r w:rsidRPr="00555ECF">
              <w:rPr>
                <w:i/>
                <w:color w:val="FF0000"/>
                <w:lang w:eastAsia="en-AU"/>
              </w:rPr>
              <w:t>Methamphetamine</w:t>
            </w:r>
          </w:p>
        </w:tc>
        <w:tc>
          <w:tcPr>
            <w:tcW w:w="1594" w:type="dxa"/>
            <w:tcBorders>
              <w:bottom w:val="nil"/>
            </w:tcBorders>
            <w:shd w:val="clear" w:color="auto" w:fill="auto"/>
          </w:tcPr>
          <w:p w14:paraId="25D5EF9D" w14:textId="257E9E0E" w:rsidR="00292E4E" w:rsidRPr="00555ECF" w:rsidRDefault="00292E4E" w:rsidP="00292E4E">
            <w:pPr>
              <w:pStyle w:val="TableText"/>
              <w:tabs>
                <w:tab w:val="decimal" w:pos="737"/>
              </w:tabs>
              <w:rPr>
                <w:color w:val="FF0000"/>
              </w:rPr>
            </w:pPr>
            <w:r w:rsidRPr="00555ECF">
              <w:rPr>
                <w:color w:val="FF0000"/>
              </w:rPr>
              <w:t>254.24</w:t>
            </w:r>
          </w:p>
        </w:tc>
        <w:tc>
          <w:tcPr>
            <w:tcW w:w="1311" w:type="dxa"/>
            <w:tcBorders>
              <w:bottom w:val="nil"/>
            </w:tcBorders>
            <w:shd w:val="clear" w:color="auto" w:fill="auto"/>
          </w:tcPr>
          <w:p w14:paraId="1B562B7C" w14:textId="740A943C" w:rsidR="00292E4E" w:rsidRPr="00555ECF" w:rsidRDefault="00292E4E" w:rsidP="00292E4E">
            <w:pPr>
              <w:pStyle w:val="TableText"/>
              <w:tabs>
                <w:tab w:val="decimal" w:pos="561"/>
              </w:tabs>
              <w:rPr>
                <w:color w:val="FF0000"/>
              </w:rPr>
            </w:pPr>
            <w:r w:rsidRPr="00555ECF">
              <w:rPr>
                <w:color w:val="FF0000"/>
              </w:rPr>
              <w:t>96.30</w:t>
            </w:r>
          </w:p>
        </w:tc>
        <w:tc>
          <w:tcPr>
            <w:tcW w:w="1631" w:type="dxa"/>
            <w:tcBorders>
              <w:bottom w:val="nil"/>
            </w:tcBorders>
            <w:shd w:val="clear" w:color="auto" w:fill="auto"/>
          </w:tcPr>
          <w:p w14:paraId="53CEF888" w14:textId="09A1762B" w:rsidR="00292E4E" w:rsidRPr="00555ECF" w:rsidRDefault="00292E4E" w:rsidP="00292E4E">
            <w:pPr>
              <w:pStyle w:val="TableText"/>
              <w:tabs>
                <w:tab w:val="decimal" w:pos="652"/>
              </w:tabs>
              <w:rPr>
                <w:color w:val="FF0000"/>
              </w:rPr>
            </w:pPr>
            <w:r w:rsidRPr="00555ECF">
              <w:rPr>
                <w:color w:val="FF0000"/>
              </w:rPr>
              <w:t>3.01</w:t>
            </w:r>
          </w:p>
        </w:tc>
        <w:tc>
          <w:tcPr>
            <w:tcW w:w="1312" w:type="dxa"/>
            <w:tcBorders>
              <w:bottom w:val="nil"/>
            </w:tcBorders>
            <w:shd w:val="clear" w:color="auto" w:fill="auto"/>
          </w:tcPr>
          <w:p w14:paraId="462153FF" w14:textId="18B9ACFC" w:rsidR="00292E4E" w:rsidRPr="00555ECF" w:rsidRDefault="00292E4E" w:rsidP="00292E4E">
            <w:pPr>
              <w:pStyle w:val="TableText"/>
              <w:tabs>
                <w:tab w:val="decimal" w:pos="595"/>
              </w:tabs>
              <w:rPr>
                <w:color w:val="FF0000"/>
              </w:rPr>
            </w:pPr>
            <w:r w:rsidRPr="00555ECF">
              <w:rPr>
                <w:color w:val="FF0000"/>
              </w:rPr>
              <w:t>11.76</w:t>
            </w:r>
          </w:p>
        </w:tc>
        <w:tc>
          <w:tcPr>
            <w:tcW w:w="1134" w:type="dxa"/>
            <w:tcBorders>
              <w:bottom w:val="nil"/>
            </w:tcBorders>
            <w:shd w:val="clear" w:color="auto" w:fill="auto"/>
          </w:tcPr>
          <w:p w14:paraId="07A02845" w14:textId="5023AD0F" w:rsidR="00292E4E" w:rsidRPr="00555ECF" w:rsidRDefault="00292E4E" w:rsidP="00292E4E">
            <w:pPr>
              <w:pStyle w:val="TableText"/>
              <w:tabs>
                <w:tab w:val="decimal" w:pos="526"/>
              </w:tabs>
              <w:rPr>
                <w:color w:val="FF0000"/>
              </w:rPr>
            </w:pPr>
            <w:r w:rsidRPr="00555ECF">
              <w:rPr>
                <w:color w:val="FF0000"/>
              </w:rPr>
              <w:t>365.32</w:t>
            </w:r>
          </w:p>
        </w:tc>
      </w:tr>
      <w:tr w:rsidR="00555ECF" w:rsidRPr="00555ECF" w14:paraId="304986D7" w14:textId="77777777" w:rsidTr="00D91EEF">
        <w:trPr>
          <w:cantSplit/>
        </w:trPr>
        <w:tc>
          <w:tcPr>
            <w:tcW w:w="2127" w:type="dxa"/>
            <w:tcBorders>
              <w:top w:val="nil"/>
              <w:bottom w:val="nil"/>
            </w:tcBorders>
            <w:shd w:val="clear" w:color="auto" w:fill="auto"/>
          </w:tcPr>
          <w:p w14:paraId="6FC535DB" w14:textId="77777777" w:rsidR="00292E4E" w:rsidRPr="00555ECF" w:rsidRDefault="00292E4E" w:rsidP="00292E4E">
            <w:pPr>
              <w:pStyle w:val="TableText"/>
              <w:rPr>
                <w:i/>
                <w:color w:val="FF0000"/>
              </w:rPr>
            </w:pPr>
            <w:r w:rsidRPr="00555ECF">
              <w:rPr>
                <w:i/>
                <w:color w:val="FF0000"/>
                <w:lang w:eastAsia="en-AU"/>
              </w:rPr>
              <w:t>Cocaine</w:t>
            </w:r>
          </w:p>
        </w:tc>
        <w:tc>
          <w:tcPr>
            <w:tcW w:w="1594" w:type="dxa"/>
            <w:tcBorders>
              <w:top w:val="nil"/>
              <w:bottom w:val="nil"/>
            </w:tcBorders>
            <w:shd w:val="clear" w:color="auto" w:fill="auto"/>
          </w:tcPr>
          <w:p w14:paraId="7BB007D1" w14:textId="06A648C9" w:rsidR="00292E4E" w:rsidRPr="00555ECF" w:rsidRDefault="00292E4E" w:rsidP="00292E4E">
            <w:pPr>
              <w:pStyle w:val="TableText"/>
              <w:tabs>
                <w:tab w:val="decimal" w:pos="737"/>
              </w:tabs>
              <w:rPr>
                <w:color w:val="FF0000"/>
              </w:rPr>
            </w:pPr>
            <w:r w:rsidRPr="00555ECF">
              <w:rPr>
                <w:color w:val="FF0000"/>
              </w:rPr>
              <w:t>2.66</w:t>
            </w:r>
          </w:p>
        </w:tc>
        <w:tc>
          <w:tcPr>
            <w:tcW w:w="1311" w:type="dxa"/>
            <w:tcBorders>
              <w:top w:val="nil"/>
              <w:bottom w:val="nil"/>
            </w:tcBorders>
            <w:shd w:val="clear" w:color="auto" w:fill="auto"/>
          </w:tcPr>
          <w:p w14:paraId="2B28E778" w14:textId="0A3CF88B" w:rsidR="00292E4E" w:rsidRPr="00555ECF" w:rsidRDefault="00292E4E" w:rsidP="00292E4E">
            <w:pPr>
              <w:pStyle w:val="TableText"/>
              <w:tabs>
                <w:tab w:val="decimal" w:pos="561"/>
              </w:tabs>
              <w:rPr>
                <w:color w:val="FF0000"/>
              </w:rPr>
            </w:pPr>
            <w:r w:rsidRPr="00555ECF">
              <w:rPr>
                <w:color w:val="FF0000"/>
              </w:rPr>
              <w:t>1.01</w:t>
            </w:r>
          </w:p>
        </w:tc>
        <w:tc>
          <w:tcPr>
            <w:tcW w:w="1631" w:type="dxa"/>
            <w:tcBorders>
              <w:top w:val="nil"/>
              <w:bottom w:val="nil"/>
            </w:tcBorders>
            <w:shd w:val="clear" w:color="auto" w:fill="auto"/>
          </w:tcPr>
          <w:p w14:paraId="5B44BAE3" w14:textId="0547064C" w:rsidR="00292E4E" w:rsidRPr="00555ECF" w:rsidRDefault="00292E4E" w:rsidP="00292E4E">
            <w:pPr>
              <w:pStyle w:val="TableText"/>
              <w:tabs>
                <w:tab w:val="decimal" w:pos="652"/>
              </w:tabs>
              <w:rPr>
                <w:color w:val="FF0000"/>
              </w:rPr>
            </w:pPr>
            <w:r w:rsidRPr="00555ECF">
              <w:rPr>
                <w:color w:val="FF0000"/>
              </w:rPr>
              <w:t>0.24</w:t>
            </w:r>
          </w:p>
        </w:tc>
        <w:tc>
          <w:tcPr>
            <w:tcW w:w="1312" w:type="dxa"/>
            <w:tcBorders>
              <w:top w:val="nil"/>
              <w:bottom w:val="nil"/>
            </w:tcBorders>
            <w:shd w:val="clear" w:color="auto" w:fill="auto"/>
          </w:tcPr>
          <w:p w14:paraId="76C27D90" w14:textId="142A11A4" w:rsidR="00292E4E" w:rsidRPr="00555ECF" w:rsidRDefault="00292E4E" w:rsidP="00292E4E">
            <w:pPr>
              <w:pStyle w:val="TableText"/>
              <w:tabs>
                <w:tab w:val="decimal" w:pos="595"/>
              </w:tabs>
              <w:rPr>
                <w:color w:val="FF0000"/>
              </w:rPr>
            </w:pPr>
            <w:r w:rsidRPr="00555ECF">
              <w:rPr>
                <w:color w:val="FF0000"/>
              </w:rPr>
              <w:t>0.95</w:t>
            </w:r>
          </w:p>
        </w:tc>
        <w:tc>
          <w:tcPr>
            <w:tcW w:w="1134" w:type="dxa"/>
            <w:tcBorders>
              <w:top w:val="nil"/>
              <w:bottom w:val="nil"/>
            </w:tcBorders>
            <w:shd w:val="clear" w:color="auto" w:fill="auto"/>
          </w:tcPr>
          <w:p w14:paraId="1E57FB1F" w14:textId="155B905E" w:rsidR="00292E4E" w:rsidRPr="00555ECF" w:rsidRDefault="00292E4E" w:rsidP="00292E4E">
            <w:pPr>
              <w:pStyle w:val="TableText"/>
              <w:tabs>
                <w:tab w:val="decimal" w:pos="526"/>
              </w:tabs>
              <w:rPr>
                <w:color w:val="FF0000"/>
              </w:rPr>
            </w:pPr>
            <w:r w:rsidRPr="00555ECF">
              <w:rPr>
                <w:color w:val="FF0000"/>
              </w:rPr>
              <w:t>4.87</w:t>
            </w:r>
          </w:p>
        </w:tc>
      </w:tr>
      <w:tr w:rsidR="00555ECF" w:rsidRPr="00555ECF" w14:paraId="1F9F87E9" w14:textId="77777777" w:rsidTr="00D91EEF">
        <w:trPr>
          <w:cantSplit/>
        </w:trPr>
        <w:tc>
          <w:tcPr>
            <w:tcW w:w="2127" w:type="dxa"/>
            <w:tcBorders>
              <w:top w:val="nil"/>
              <w:bottom w:val="nil"/>
            </w:tcBorders>
            <w:shd w:val="clear" w:color="auto" w:fill="auto"/>
          </w:tcPr>
          <w:p w14:paraId="0FC6B0E3" w14:textId="77777777" w:rsidR="00292E4E" w:rsidRPr="00555ECF" w:rsidRDefault="00292E4E" w:rsidP="00292E4E">
            <w:pPr>
              <w:pStyle w:val="TableText"/>
              <w:rPr>
                <w:i/>
                <w:color w:val="FF0000"/>
              </w:rPr>
            </w:pPr>
            <w:r w:rsidRPr="00555ECF">
              <w:rPr>
                <w:i/>
                <w:color w:val="FF0000"/>
                <w:lang w:eastAsia="en-AU"/>
              </w:rPr>
              <w:t>MDMA</w:t>
            </w:r>
          </w:p>
        </w:tc>
        <w:tc>
          <w:tcPr>
            <w:tcW w:w="1594" w:type="dxa"/>
            <w:tcBorders>
              <w:top w:val="nil"/>
              <w:bottom w:val="nil"/>
            </w:tcBorders>
            <w:shd w:val="clear" w:color="auto" w:fill="auto"/>
          </w:tcPr>
          <w:p w14:paraId="547CB294" w14:textId="40310F86" w:rsidR="00292E4E" w:rsidRPr="00555ECF" w:rsidRDefault="00292E4E" w:rsidP="00292E4E">
            <w:pPr>
              <w:pStyle w:val="TableText"/>
              <w:tabs>
                <w:tab w:val="decimal" w:pos="737"/>
              </w:tabs>
              <w:rPr>
                <w:color w:val="FF0000"/>
              </w:rPr>
            </w:pPr>
            <w:r w:rsidRPr="00555ECF">
              <w:rPr>
                <w:color w:val="FF0000"/>
              </w:rPr>
              <w:t>9.01</w:t>
            </w:r>
          </w:p>
        </w:tc>
        <w:tc>
          <w:tcPr>
            <w:tcW w:w="1311" w:type="dxa"/>
            <w:tcBorders>
              <w:top w:val="nil"/>
              <w:bottom w:val="nil"/>
            </w:tcBorders>
            <w:shd w:val="clear" w:color="auto" w:fill="auto"/>
          </w:tcPr>
          <w:p w14:paraId="4EDBC7DC" w14:textId="295EF8DA" w:rsidR="00292E4E" w:rsidRPr="00555ECF" w:rsidRDefault="00292E4E" w:rsidP="00292E4E">
            <w:pPr>
              <w:pStyle w:val="TableText"/>
              <w:tabs>
                <w:tab w:val="decimal" w:pos="561"/>
              </w:tabs>
              <w:rPr>
                <w:color w:val="FF0000"/>
              </w:rPr>
            </w:pPr>
            <w:r w:rsidRPr="00555ECF">
              <w:rPr>
                <w:color w:val="FF0000"/>
              </w:rPr>
              <w:t>3.41</w:t>
            </w:r>
          </w:p>
        </w:tc>
        <w:tc>
          <w:tcPr>
            <w:tcW w:w="1631" w:type="dxa"/>
            <w:tcBorders>
              <w:top w:val="nil"/>
              <w:bottom w:val="nil"/>
            </w:tcBorders>
            <w:shd w:val="clear" w:color="auto" w:fill="auto"/>
          </w:tcPr>
          <w:p w14:paraId="608F1292" w14:textId="5A6911AF" w:rsidR="00292E4E" w:rsidRPr="00555ECF" w:rsidRDefault="00292E4E" w:rsidP="00292E4E">
            <w:pPr>
              <w:pStyle w:val="TableText"/>
              <w:tabs>
                <w:tab w:val="decimal" w:pos="652"/>
              </w:tabs>
              <w:rPr>
                <w:color w:val="FF0000"/>
              </w:rPr>
            </w:pPr>
            <w:r w:rsidRPr="00555ECF">
              <w:rPr>
                <w:color w:val="FF0000"/>
              </w:rPr>
              <w:t>0.77</w:t>
            </w:r>
          </w:p>
        </w:tc>
        <w:tc>
          <w:tcPr>
            <w:tcW w:w="1312" w:type="dxa"/>
            <w:tcBorders>
              <w:top w:val="nil"/>
              <w:bottom w:val="nil"/>
            </w:tcBorders>
            <w:shd w:val="clear" w:color="auto" w:fill="auto"/>
          </w:tcPr>
          <w:p w14:paraId="6BC84819" w14:textId="062B4625" w:rsidR="00292E4E" w:rsidRPr="00555ECF" w:rsidRDefault="00292E4E" w:rsidP="00292E4E">
            <w:pPr>
              <w:pStyle w:val="TableText"/>
              <w:tabs>
                <w:tab w:val="decimal" w:pos="595"/>
              </w:tabs>
              <w:rPr>
                <w:color w:val="FF0000"/>
              </w:rPr>
            </w:pPr>
            <w:r w:rsidRPr="00555ECF">
              <w:rPr>
                <w:color w:val="FF0000"/>
              </w:rPr>
              <w:t>2.99</w:t>
            </w:r>
          </w:p>
        </w:tc>
        <w:tc>
          <w:tcPr>
            <w:tcW w:w="1134" w:type="dxa"/>
            <w:tcBorders>
              <w:top w:val="nil"/>
              <w:bottom w:val="nil"/>
            </w:tcBorders>
            <w:shd w:val="clear" w:color="auto" w:fill="auto"/>
          </w:tcPr>
          <w:p w14:paraId="7D82D7D8" w14:textId="2936D5DB" w:rsidR="00292E4E" w:rsidRPr="00555ECF" w:rsidRDefault="00292E4E" w:rsidP="00292E4E">
            <w:pPr>
              <w:pStyle w:val="TableText"/>
              <w:tabs>
                <w:tab w:val="decimal" w:pos="526"/>
              </w:tabs>
              <w:rPr>
                <w:color w:val="FF0000"/>
              </w:rPr>
            </w:pPr>
            <w:r w:rsidRPr="00555ECF">
              <w:rPr>
                <w:color w:val="FF0000"/>
              </w:rPr>
              <w:t>16.17</w:t>
            </w:r>
          </w:p>
        </w:tc>
      </w:tr>
      <w:tr w:rsidR="00555ECF" w:rsidRPr="00555ECF" w14:paraId="3B48540F" w14:textId="77777777" w:rsidTr="00D91EEF">
        <w:trPr>
          <w:cantSplit/>
        </w:trPr>
        <w:tc>
          <w:tcPr>
            <w:tcW w:w="2127" w:type="dxa"/>
            <w:tcBorders>
              <w:top w:val="nil"/>
              <w:bottom w:val="nil"/>
            </w:tcBorders>
            <w:shd w:val="clear" w:color="auto" w:fill="auto"/>
          </w:tcPr>
          <w:p w14:paraId="462DB4A9" w14:textId="77777777" w:rsidR="00292E4E" w:rsidRPr="00555ECF" w:rsidRDefault="00292E4E" w:rsidP="00292E4E">
            <w:pPr>
              <w:pStyle w:val="TableText"/>
              <w:rPr>
                <w:i/>
                <w:color w:val="FF0000"/>
              </w:rPr>
            </w:pPr>
            <w:r w:rsidRPr="00555ECF">
              <w:rPr>
                <w:i/>
                <w:color w:val="FF0000"/>
                <w:lang w:eastAsia="en-AU"/>
              </w:rPr>
              <w:t>Heroin</w:t>
            </w:r>
          </w:p>
        </w:tc>
        <w:tc>
          <w:tcPr>
            <w:tcW w:w="1594" w:type="dxa"/>
            <w:tcBorders>
              <w:top w:val="nil"/>
              <w:bottom w:val="nil"/>
            </w:tcBorders>
            <w:shd w:val="clear" w:color="auto" w:fill="auto"/>
          </w:tcPr>
          <w:p w14:paraId="62788804" w14:textId="041E79D6" w:rsidR="00292E4E" w:rsidRPr="00555ECF" w:rsidRDefault="00292E4E" w:rsidP="00292E4E">
            <w:pPr>
              <w:pStyle w:val="TableText"/>
              <w:tabs>
                <w:tab w:val="decimal" w:pos="737"/>
              </w:tabs>
              <w:rPr>
                <w:color w:val="FF0000"/>
              </w:rPr>
            </w:pPr>
            <w:r w:rsidRPr="00555ECF">
              <w:rPr>
                <w:color w:val="FF0000"/>
              </w:rPr>
              <w:t>*</w:t>
            </w:r>
          </w:p>
        </w:tc>
        <w:tc>
          <w:tcPr>
            <w:tcW w:w="1311" w:type="dxa"/>
            <w:tcBorders>
              <w:top w:val="nil"/>
              <w:bottom w:val="nil"/>
            </w:tcBorders>
            <w:shd w:val="clear" w:color="auto" w:fill="auto"/>
          </w:tcPr>
          <w:p w14:paraId="4506EC60" w14:textId="1F5AA4BA" w:rsidR="00292E4E" w:rsidRPr="00555ECF" w:rsidRDefault="00292E4E" w:rsidP="00292E4E">
            <w:pPr>
              <w:pStyle w:val="TableText"/>
              <w:tabs>
                <w:tab w:val="decimal" w:pos="561"/>
              </w:tabs>
              <w:rPr>
                <w:color w:val="FF0000"/>
              </w:rPr>
            </w:pPr>
            <w:r w:rsidRPr="00555ECF">
              <w:rPr>
                <w:color w:val="FF0000"/>
              </w:rPr>
              <w:t>*</w:t>
            </w:r>
          </w:p>
        </w:tc>
        <w:tc>
          <w:tcPr>
            <w:tcW w:w="1631" w:type="dxa"/>
            <w:tcBorders>
              <w:top w:val="nil"/>
              <w:bottom w:val="nil"/>
            </w:tcBorders>
            <w:shd w:val="clear" w:color="auto" w:fill="auto"/>
          </w:tcPr>
          <w:p w14:paraId="35A7006F" w14:textId="68AB11AD" w:rsidR="00292E4E" w:rsidRPr="00555ECF" w:rsidRDefault="00292E4E" w:rsidP="00292E4E">
            <w:pPr>
              <w:pStyle w:val="TableText"/>
              <w:tabs>
                <w:tab w:val="decimal" w:pos="652"/>
              </w:tabs>
              <w:rPr>
                <w:color w:val="FF0000"/>
              </w:rPr>
            </w:pPr>
            <w:r w:rsidRPr="00555ECF">
              <w:rPr>
                <w:color w:val="FF0000"/>
              </w:rPr>
              <w:t>*</w:t>
            </w:r>
          </w:p>
        </w:tc>
        <w:tc>
          <w:tcPr>
            <w:tcW w:w="1312" w:type="dxa"/>
            <w:tcBorders>
              <w:top w:val="nil"/>
              <w:bottom w:val="nil"/>
            </w:tcBorders>
            <w:shd w:val="clear" w:color="auto" w:fill="auto"/>
          </w:tcPr>
          <w:p w14:paraId="62C868D4" w14:textId="6855355C" w:rsidR="00292E4E" w:rsidRPr="00555ECF" w:rsidRDefault="00292E4E" w:rsidP="00292E4E">
            <w:pPr>
              <w:pStyle w:val="TableText"/>
              <w:tabs>
                <w:tab w:val="decimal" w:pos="595"/>
              </w:tabs>
              <w:rPr>
                <w:color w:val="FF0000"/>
              </w:rPr>
            </w:pPr>
            <w:r w:rsidRPr="00555ECF">
              <w:rPr>
                <w:color w:val="FF0000"/>
              </w:rPr>
              <w:t>*</w:t>
            </w:r>
          </w:p>
        </w:tc>
        <w:tc>
          <w:tcPr>
            <w:tcW w:w="1134" w:type="dxa"/>
            <w:tcBorders>
              <w:top w:val="nil"/>
              <w:bottom w:val="nil"/>
            </w:tcBorders>
            <w:shd w:val="clear" w:color="auto" w:fill="auto"/>
          </w:tcPr>
          <w:p w14:paraId="3D6A8A4C" w14:textId="46BB677A" w:rsidR="00292E4E" w:rsidRPr="00555ECF" w:rsidRDefault="00292E4E" w:rsidP="00292E4E">
            <w:pPr>
              <w:pStyle w:val="TableText"/>
              <w:tabs>
                <w:tab w:val="decimal" w:pos="526"/>
              </w:tabs>
              <w:rPr>
                <w:color w:val="FF0000"/>
              </w:rPr>
            </w:pPr>
            <w:r w:rsidRPr="00555ECF">
              <w:rPr>
                <w:color w:val="FF0000"/>
              </w:rPr>
              <w:t>*</w:t>
            </w:r>
          </w:p>
        </w:tc>
      </w:tr>
      <w:tr w:rsidR="00555ECF" w:rsidRPr="00555ECF" w14:paraId="1F85D29B" w14:textId="77777777" w:rsidTr="00D91EEF">
        <w:trPr>
          <w:cantSplit/>
        </w:trPr>
        <w:tc>
          <w:tcPr>
            <w:tcW w:w="2127" w:type="dxa"/>
            <w:tcBorders>
              <w:top w:val="nil"/>
              <w:bottom w:val="nil"/>
            </w:tcBorders>
            <w:shd w:val="clear" w:color="auto" w:fill="auto"/>
          </w:tcPr>
          <w:p w14:paraId="60CDA41B" w14:textId="77777777" w:rsidR="00292E4E" w:rsidRPr="00555ECF" w:rsidRDefault="00292E4E" w:rsidP="00292E4E">
            <w:pPr>
              <w:pStyle w:val="TableText"/>
              <w:rPr>
                <w:i/>
                <w:color w:val="FF0000"/>
                <w:lang w:eastAsia="en-AU"/>
              </w:rPr>
            </w:pPr>
            <w:r w:rsidRPr="00555ECF">
              <w:rPr>
                <w:i/>
                <w:color w:val="FF0000"/>
                <w:lang w:eastAsia="en-AU"/>
              </w:rPr>
              <w:t>GHB/GBL</w:t>
            </w:r>
          </w:p>
        </w:tc>
        <w:tc>
          <w:tcPr>
            <w:tcW w:w="1594" w:type="dxa"/>
            <w:tcBorders>
              <w:top w:val="nil"/>
              <w:bottom w:val="nil"/>
            </w:tcBorders>
            <w:shd w:val="clear" w:color="auto" w:fill="auto"/>
          </w:tcPr>
          <w:p w14:paraId="4C1D85C9" w14:textId="5107B64A" w:rsidR="00292E4E" w:rsidRPr="00555ECF" w:rsidRDefault="00292E4E" w:rsidP="00292E4E">
            <w:pPr>
              <w:pStyle w:val="TableText"/>
              <w:tabs>
                <w:tab w:val="decimal" w:pos="737"/>
              </w:tabs>
              <w:rPr>
                <w:color w:val="FF0000"/>
              </w:rPr>
            </w:pPr>
            <w:r w:rsidRPr="00555ECF">
              <w:rPr>
                <w:color w:val="FF0000"/>
              </w:rPr>
              <w:t>1.39</w:t>
            </w:r>
          </w:p>
        </w:tc>
        <w:tc>
          <w:tcPr>
            <w:tcW w:w="1311" w:type="dxa"/>
            <w:tcBorders>
              <w:top w:val="nil"/>
              <w:bottom w:val="nil"/>
            </w:tcBorders>
            <w:shd w:val="clear" w:color="auto" w:fill="auto"/>
          </w:tcPr>
          <w:p w14:paraId="23A25207" w14:textId="1E33BADC" w:rsidR="00292E4E" w:rsidRPr="00555ECF" w:rsidRDefault="00292E4E" w:rsidP="00292E4E">
            <w:pPr>
              <w:pStyle w:val="TableText"/>
              <w:tabs>
                <w:tab w:val="decimal" w:pos="561"/>
              </w:tabs>
              <w:rPr>
                <w:color w:val="FF0000"/>
              </w:rPr>
            </w:pPr>
            <w:r w:rsidRPr="00555ECF">
              <w:rPr>
                <w:color w:val="FF0000"/>
              </w:rPr>
              <w:t>0.53</w:t>
            </w:r>
          </w:p>
        </w:tc>
        <w:tc>
          <w:tcPr>
            <w:tcW w:w="1631" w:type="dxa"/>
            <w:tcBorders>
              <w:top w:val="nil"/>
              <w:bottom w:val="nil"/>
            </w:tcBorders>
            <w:shd w:val="clear" w:color="auto" w:fill="auto"/>
          </w:tcPr>
          <w:p w14:paraId="2531A080" w14:textId="715A28D3" w:rsidR="00292E4E" w:rsidRPr="00555ECF" w:rsidRDefault="00292E4E" w:rsidP="00292E4E">
            <w:pPr>
              <w:pStyle w:val="TableText"/>
              <w:tabs>
                <w:tab w:val="decimal" w:pos="652"/>
              </w:tabs>
              <w:rPr>
                <w:color w:val="FF0000"/>
              </w:rPr>
            </w:pPr>
            <w:r w:rsidRPr="00555ECF">
              <w:rPr>
                <w:color w:val="FF0000"/>
              </w:rPr>
              <w:t>*</w:t>
            </w:r>
          </w:p>
        </w:tc>
        <w:tc>
          <w:tcPr>
            <w:tcW w:w="1312" w:type="dxa"/>
            <w:tcBorders>
              <w:top w:val="nil"/>
              <w:bottom w:val="nil"/>
            </w:tcBorders>
            <w:shd w:val="clear" w:color="auto" w:fill="auto"/>
          </w:tcPr>
          <w:p w14:paraId="7BE70CB0" w14:textId="7F1D48D7" w:rsidR="00292E4E" w:rsidRPr="00555ECF" w:rsidRDefault="00292E4E" w:rsidP="00292E4E">
            <w:pPr>
              <w:pStyle w:val="TableText"/>
              <w:tabs>
                <w:tab w:val="decimal" w:pos="595"/>
              </w:tabs>
              <w:rPr>
                <w:color w:val="FF0000"/>
              </w:rPr>
            </w:pPr>
            <w:r w:rsidRPr="00555ECF">
              <w:rPr>
                <w:color w:val="FF0000"/>
              </w:rPr>
              <w:t>*</w:t>
            </w:r>
          </w:p>
        </w:tc>
        <w:tc>
          <w:tcPr>
            <w:tcW w:w="1134" w:type="dxa"/>
            <w:tcBorders>
              <w:top w:val="nil"/>
              <w:bottom w:val="nil"/>
            </w:tcBorders>
            <w:shd w:val="clear" w:color="auto" w:fill="auto"/>
          </w:tcPr>
          <w:p w14:paraId="69DEB2FF" w14:textId="53607ADD" w:rsidR="00292E4E" w:rsidRPr="00555ECF" w:rsidRDefault="00292E4E" w:rsidP="00292E4E">
            <w:pPr>
              <w:pStyle w:val="TableText"/>
              <w:tabs>
                <w:tab w:val="decimal" w:pos="526"/>
              </w:tabs>
              <w:rPr>
                <w:color w:val="FF0000"/>
              </w:rPr>
            </w:pPr>
            <w:r w:rsidRPr="00555ECF">
              <w:rPr>
                <w:color w:val="FF0000"/>
              </w:rPr>
              <w:t>1.92</w:t>
            </w:r>
          </w:p>
        </w:tc>
      </w:tr>
      <w:tr w:rsidR="00555ECF" w:rsidRPr="00555ECF" w14:paraId="485C2BC0" w14:textId="77777777" w:rsidTr="00D91EEF">
        <w:trPr>
          <w:cantSplit/>
        </w:trPr>
        <w:tc>
          <w:tcPr>
            <w:tcW w:w="2127" w:type="dxa"/>
            <w:tcBorders>
              <w:top w:val="nil"/>
              <w:bottom w:val="nil"/>
            </w:tcBorders>
            <w:shd w:val="clear" w:color="auto" w:fill="auto"/>
          </w:tcPr>
          <w:p w14:paraId="6BED4259" w14:textId="77777777" w:rsidR="00292E4E" w:rsidRPr="00555ECF" w:rsidRDefault="00292E4E" w:rsidP="00292E4E">
            <w:pPr>
              <w:pStyle w:val="TableText"/>
              <w:rPr>
                <w:i/>
                <w:color w:val="FF0000"/>
              </w:rPr>
            </w:pPr>
            <w:r w:rsidRPr="00555ECF">
              <w:rPr>
                <w:i/>
                <w:color w:val="FF0000"/>
                <w:lang w:eastAsia="en-AU"/>
              </w:rPr>
              <w:t>Cannabis</w:t>
            </w:r>
          </w:p>
        </w:tc>
        <w:tc>
          <w:tcPr>
            <w:tcW w:w="1594" w:type="dxa"/>
            <w:tcBorders>
              <w:top w:val="nil"/>
              <w:bottom w:val="nil"/>
            </w:tcBorders>
            <w:shd w:val="clear" w:color="auto" w:fill="auto"/>
          </w:tcPr>
          <w:p w14:paraId="08173976" w14:textId="06690827" w:rsidR="00292E4E" w:rsidRPr="00555ECF" w:rsidRDefault="00292E4E" w:rsidP="00292E4E">
            <w:pPr>
              <w:pStyle w:val="TableText"/>
              <w:tabs>
                <w:tab w:val="decimal" w:pos="737"/>
              </w:tabs>
              <w:rPr>
                <w:color w:val="FF0000"/>
              </w:rPr>
            </w:pPr>
            <w:r w:rsidRPr="00555ECF">
              <w:rPr>
                <w:color w:val="FF0000"/>
              </w:rPr>
              <w:t>249.91</w:t>
            </w:r>
          </w:p>
        </w:tc>
        <w:tc>
          <w:tcPr>
            <w:tcW w:w="1311" w:type="dxa"/>
            <w:tcBorders>
              <w:top w:val="nil"/>
              <w:bottom w:val="nil"/>
            </w:tcBorders>
            <w:shd w:val="clear" w:color="auto" w:fill="auto"/>
          </w:tcPr>
          <w:p w14:paraId="7E041158" w14:textId="3B81C285" w:rsidR="00292E4E" w:rsidRPr="00555ECF" w:rsidRDefault="00292E4E" w:rsidP="00292E4E">
            <w:pPr>
              <w:pStyle w:val="TableText"/>
              <w:tabs>
                <w:tab w:val="decimal" w:pos="561"/>
              </w:tabs>
              <w:rPr>
                <w:color w:val="FF0000"/>
              </w:rPr>
            </w:pPr>
            <w:r w:rsidRPr="00555ECF">
              <w:rPr>
                <w:color w:val="FF0000"/>
              </w:rPr>
              <w:t>94.66</w:t>
            </w:r>
          </w:p>
        </w:tc>
        <w:tc>
          <w:tcPr>
            <w:tcW w:w="1631" w:type="dxa"/>
            <w:tcBorders>
              <w:top w:val="nil"/>
              <w:bottom w:val="nil"/>
            </w:tcBorders>
            <w:shd w:val="clear" w:color="auto" w:fill="auto"/>
          </w:tcPr>
          <w:p w14:paraId="7D1A66FC" w14:textId="17EEDCE3" w:rsidR="00292E4E" w:rsidRPr="00555ECF" w:rsidRDefault="00292E4E" w:rsidP="00292E4E">
            <w:pPr>
              <w:pStyle w:val="TableText"/>
              <w:tabs>
                <w:tab w:val="decimal" w:pos="652"/>
              </w:tabs>
              <w:rPr>
                <w:color w:val="FF0000"/>
              </w:rPr>
            </w:pPr>
            <w:r w:rsidRPr="00555ECF">
              <w:rPr>
                <w:color w:val="FF0000"/>
              </w:rPr>
              <w:t>57.42</w:t>
            </w:r>
          </w:p>
        </w:tc>
        <w:tc>
          <w:tcPr>
            <w:tcW w:w="1312" w:type="dxa"/>
            <w:tcBorders>
              <w:top w:val="nil"/>
              <w:bottom w:val="nil"/>
            </w:tcBorders>
            <w:shd w:val="clear" w:color="auto" w:fill="auto"/>
          </w:tcPr>
          <w:p w14:paraId="78EDC1DC" w14:textId="30DCEB23" w:rsidR="00292E4E" w:rsidRPr="00555ECF" w:rsidRDefault="00292E4E" w:rsidP="00292E4E">
            <w:pPr>
              <w:pStyle w:val="TableText"/>
              <w:tabs>
                <w:tab w:val="decimal" w:pos="595"/>
              </w:tabs>
              <w:rPr>
                <w:color w:val="FF0000"/>
              </w:rPr>
            </w:pPr>
            <w:r w:rsidRPr="00555ECF">
              <w:rPr>
                <w:color w:val="FF0000"/>
              </w:rPr>
              <w:t>224.46</w:t>
            </w:r>
          </w:p>
        </w:tc>
        <w:tc>
          <w:tcPr>
            <w:tcW w:w="1134" w:type="dxa"/>
            <w:tcBorders>
              <w:top w:val="nil"/>
              <w:bottom w:val="nil"/>
            </w:tcBorders>
            <w:shd w:val="clear" w:color="auto" w:fill="auto"/>
          </w:tcPr>
          <w:p w14:paraId="54331FEA" w14:textId="6C9FCF9A" w:rsidR="00292E4E" w:rsidRPr="00555ECF" w:rsidRDefault="00292E4E" w:rsidP="00292E4E">
            <w:pPr>
              <w:pStyle w:val="TableText"/>
              <w:tabs>
                <w:tab w:val="decimal" w:pos="526"/>
              </w:tabs>
              <w:rPr>
                <w:color w:val="FF0000"/>
              </w:rPr>
            </w:pPr>
            <w:r w:rsidRPr="00555ECF">
              <w:rPr>
                <w:color w:val="FF0000"/>
              </w:rPr>
              <w:t>626.45</w:t>
            </w:r>
          </w:p>
        </w:tc>
      </w:tr>
      <w:tr w:rsidR="00555ECF" w:rsidRPr="00555ECF" w14:paraId="336EFD5C" w14:textId="77777777" w:rsidTr="00D91EEF">
        <w:trPr>
          <w:cantSplit/>
        </w:trPr>
        <w:tc>
          <w:tcPr>
            <w:tcW w:w="2127" w:type="dxa"/>
            <w:tcBorders>
              <w:top w:val="nil"/>
            </w:tcBorders>
            <w:shd w:val="clear" w:color="auto" w:fill="auto"/>
          </w:tcPr>
          <w:p w14:paraId="13073321" w14:textId="77777777" w:rsidR="00292E4E" w:rsidRPr="00555ECF" w:rsidRDefault="00292E4E" w:rsidP="00292E4E">
            <w:pPr>
              <w:pStyle w:val="TableText"/>
              <w:rPr>
                <w:i/>
                <w:color w:val="FF0000"/>
              </w:rPr>
            </w:pPr>
            <w:r w:rsidRPr="00555ECF">
              <w:rPr>
                <w:i/>
                <w:color w:val="FF0000"/>
                <w:lang w:eastAsia="en-AU"/>
              </w:rPr>
              <w:t>Synthetic cannabinoids</w:t>
            </w:r>
          </w:p>
        </w:tc>
        <w:tc>
          <w:tcPr>
            <w:tcW w:w="1594" w:type="dxa"/>
            <w:tcBorders>
              <w:top w:val="nil"/>
            </w:tcBorders>
            <w:shd w:val="clear" w:color="auto" w:fill="auto"/>
          </w:tcPr>
          <w:p w14:paraId="16412C51" w14:textId="0364C8C1" w:rsidR="00292E4E" w:rsidRPr="00555ECF" w:rsidRDefault="00292E4E" w:rsidP="00292E4E">
            <w:pPr>
              <w:pStyle w:val="TableText"/>
              <w:tabs>
                <w:tab w:val="decimal" w:pos="737"/>
              </w:tabs>
              <w:rPr>
                <w:color w:val="FF0000"/>
              </w:rPr>
            </w:pPr>
            <w:r w:rsidRPr="00555ECF">
              <w:rPr>
                <w:color w:val="FF0000"/>
              </w:rPr>
              <w:t>1.52</w:t>
            </w:r>
          </w:p>
        </w:tc>
        <w:tc>
          <w:tcPr>
            <w:tcW w:w="1311" w:type="dxa"/>
            <w:tcBorders>
              <w:top w:val="nil"/>
            </w:tcBorders>
            <w:shd w:val="clear" w:color="auto" w:fill="auto"/>
          </w:tcPr>
          <w:p w14:paraId="5D4DE329" w14:textId="6DD3BDFC" w:rsidR="00292E4E" w:rsidRPr="00555ECF" w:rsidRDefault="00292E4E" w:rsidP="00292E4E">
            <w:pPr>
              <w:pStyle w:val="TableText"/>
              <w:tabs>
                <w:tab w:val="decimal" w:pos="561"/>
              </w:tabs>
              <w:rPr>
                <w:color w:val="FF0000"/>
              </w:rPr>
            </w:pPr>
            <w:r w:rsidRPr="00555ECF">
              <w:rPr>
                <w:color w:val="FF0000"/>
              </w:rPr>
              <w:t>0.58</w:t>
            </w:r>
          </w:p>
        </w:tc>
        <w:tc>
          <w:tcPr>
            <w:tcW w:w="1631" w:type="dxa"/>
            <w:tcBorders>
              <w:top w:val="nil"/>
            </w:tcBorders>
            <w:shd w:val="clear" w:color="auto" w:fill="auto"/>
          </w:tcPr>
          <w:p w14:paraId="10107D88" w14:textId="160CF6CF" w:rsidR="00292E4E" w:rsidRPr="00555ECF" w:rsidRDefault="00292E4E" w:rsidP="00292E4E">
            <w:pPr>
              <w:pStyle w:val="TableText"/>
              <w:tabs>
                <w:tab w:val="decimal" w:pos="652"/>
              </w:tabs>
              <w:rPr>
                <w:color w:val="FF0000"/>
              </w:rPr>
            </w:pPr>
            <w:r w:rsidRPr="00555ECF">
              <w:rPr>
                <w:color w:val="FF0000"/>
              </w:rPr>
              <w:t>*</w:t>
            </w:r>
          </w:p>
        </w:tc>
        <w:tc>
          <w:tcPr>
            <w:tcW w:w="1312" w:type="dxa"/>
            <w:tcBorders>
              <w:top w:val="nil"/>
            </w:tcBorders>
            <w:shd w:val="clear" w:color="auto" w:fill="auto"/>
          </w:tcPr>
          <w:p w14:paraId="63AC7184" w14:textId="635D39EE" w:rsidR="00292E4E" w:rsidRPr="00555ECF" w:rsidRDefault="00292E4E" w:rsidP="00292E4E">
            <w:pPr>
              <w:pStyle w:val="TableText"/>
              <w:tabs>
                <w:tab w:val="decimal" w:pos="595"/>
              </w:tabs>
              <w:rPr>
                <w:color w:val="FF0000"/>
              </w:rPr>
            </w:pPr>
            <w:r w:rsidRPr="00555ECF">
              <w:rPr>
                <w:color w:val="FF0000"/>
              </w:rPr>
              <w:t>*</w:t>
            </w:r>
          </w:p>
        </w:tc>
        <w:tc>
          <w:tcPr>
            <w:tcW w:w="1134" w:type="dxa"/>
            <w:tcBorders>
              <w:top w:val="nil"/>
            </w:tcBorders>
            <w:shd w:val="clear" w:color="auto" w:fill="auto"/>
          </w:tcPr>
          <w:p w14:paraId="698BCE1C" w14:textId="126B190A" w:rsidR="00292E4E" w:rsidRPr="00555ECF" w:rsidRDefault="00292E4E" w:rsidP="00292E4E">
            <w:pPr>
              <w:pStyle w:val="TableText"/>
              <w:tabs>
                <w:tab w:val="decimal" w:pos="526"/>
              </w:tabs>
              <w:rPr>
                <w:color w:val="FF0000"/>
              </w:rPr>
            </w:pPr>
            <w:r w:rsidRPr="00555ECF">
              <w:rPr>
                <w:color w:val="FF0000"/>
              </w:rPr>
              <w:t>2.10</w:t>
            </w:r>
          </w:p>
        </w:tc>
      </w:tr>
      <w:tr w:rsidR="00555ECF" w:rsidRPr="00555ECF" w14:paraId="4EED81C9" w14:textId="77777777" w:rsidTr="00D91EEF">
        <w:trPr>
          <w:cantSplit/>
        </w:trPr>
        <w:tc>
          <w:tcPr>
            <w:tcW w:w="2127" w:type="dxa"/>
            <w:shd w:val="clear" w:color="auto" w:fill="auto"/>
          </w:tcPr>
          <w:p w14:paraId="43FA8F8F" w14:textId="77777777" w:rsidR="00292E4E" w:rsidRPr="00555ECF" w:rsidRDefault="00292E4E" w:rsidP="00292E4E">
            <w:pPr>
              <w:pStyle w:val="TableText"/>
              <w:rPr>
                <w:color w:val="FF0000"/>
              </w:rPr>
            </w:pPr>
            <w:r w:rsidRPr="00555ECF">
              <w:rPr>
                <w:color w:val="FF0000"/>
              </w:rPr>
              <w:t>Total</w:t>
            </w:r>
          </w:p>
        </w:tc>
        <w:tc>
          <w:tcPr>
            <w:tcW w:w="1594" w:type="dxa"/>
            <w:shd w:val="clear" w:color="auto" w:fill="auto"/>
          </w:tcPr>
          <w:p w14:paraId="7E623251" w14:textId="382C394B" w:rsidR="00292E4E" w:rsidRPr="00555ECF" w:rsidRDefault="00292E4E" w:rsidP="00292E4E">
            <w:pPr>
              <w:pStyle w:val="TableText"/>
              <w:tabs>
                <w:tab w:val="decimal" w:pos="737"/>
              </w:tabs>
              <w:rPr>
                <w:color w:val="FF0000"/>
              </w:rPr>
            </w:pPr>
            <w:r w:rsidRPr="00555ECF">
              <w:rPr>
                <w:color w:val="FF0000"/>
              </w:rPr>
              <w:t>518.74</w:t>
            </w:r>
          </w:p>
        </w:tc>
        <w:tc>
          <w:tcPr>
            <w:tcW w:w="1311" w:type="dxa"/>
            <w:shd w:val="clear" w:color="auto" w:fill="auto"/>
          </w:tcPr>
          <w:p w14:paraId="183157AC" w14:textId="4EF3EF0F" w:rsidR="00292E4E" w:rsidRPr="00555ECF" w:rsidRDefault="00292E4E" w:rsidP="00292E4E">
            <w:pPr>
              <w:pStyle w:val="TableText"/>
              <w:tabs>
                <w:tab w:val="decimal" w:pos="561"/>
              </w:tabs>
              <w:rPr>
                <w:color w:val="FF0000"/>
              </w:rPr>
            </w:pPr>
            <w:r w:rsidRPr="00555ECF">
              <w:rPr>
                <w:color w:val="FF0000"/>
              </w:rPr>
              <w:t>196.48</w:t>
            </w:r>
          </w:p>
        </w:tc>
        <w:tc>
          <w:tcPr>
            <w:tcW w:w="1631" w:type="dxa"/>
            <w:shd w:val="clear" w:color="auto" w:fill="auto"/>
          </w:tcPr>
          <w:p w14:paraId="37FD19E8" w14:textId="144C18A9" w:rsidR="00292E4E" w:rsidRPr="00555ECF" w:rsidRDefault="00292E4E" w:rsidP="00292E4E">
            <w:pPr>
              <w:pStyle w:val="TableText"/>
              <w:tabs>
                <w:tab w:val="decimal" w:pos="652"/>
              </w:tabs>
              <w:rPr>
                <w:color w:val="FF0000"/>
              </w:rPr>
            </w:pPr>
            <w:r w:rsidRPr="00555ECF">
              <w:rPr>
                <w:color w:val="FF0000"/>
              </w:rPr>
              <w:t>61.44</w:t>
            </w:r>
          </w:p>
        </w:tc>
        <w:tc>
          <w:tcPr>
            <w:tcW w:w="1312" w:type="dxa"/>
            <w:shd w:val="clear" w:color="auto" w:fill="auto"/>
          </w:tcPr>
          <w:p w14:paraId="03D7AA82" w14:textId="22FA3B72" w:rsidR="00292E4E" w:rsidRPr="00555ECF" w:rsidRDefault="00292E4E" w:rsidP="00292E4E">
            <w:pPr>
              <w:pStyle w:val="TableText"/>
              <w:tabs>
                <w:tab w:val="decimal" w:pos="595"/>
              </w:tabs>
              <w:rPr>
                <w:color w:val="FF0000"/>
              </w:rPr>
            </w:pPr>
            <w:r w:rsidRPr="00555ECF">
              <w:rPr>
                <w:color w:val="FF0000"/>
              </w:rPr>
              <w:t>240.16</w:t>
            </w:r>
          </w:p>
        </w:tc>
        <w:tc>
          <w:tcPr>
            <w:tcW w:w="1134" w:type="dxa"/>
            <w:shd w:val="clear" w:color="auto" w:fill="auto"/>
          </w:tcPr>
          <w:p w14:paraId="03B4ECCF" w14:textId="198FB950" w:rsidR="00292E4E" w:rsidRPr="00555ECF" w:rsidRDefault="00292E4E" w:rsidP="00292E4E">
            <w:pPr>
              <w:pStyle w:val="TableText"/>
              <w:tabs>
                <w:tab w:val="decimal" w:pos="526"/>
              </w:tabs>
              <w:rPr>
                <w:color w:val="FF0000"/>
              </w:rPr>
            </w:pPr>
            <w:r w:rsidRPr="00555ECF">
              <w:rPr>
                <w:color w:val="FF0000"/>
              </w:rPr>
              <w:t>1,016.83</w:t>
            </w:r>
          </w:p>
        </w:tc>
      </w:tr>
    </w:tbl>
    <w:p w14:paraId="0898EBE4" w14:textId="77777777" w:rsidR="00292E4E" w:rsidRPr="00555ECF" w:rsidRDefault="00292E4E" w:rsidP="00292E4E">
      <w:pPr>
        <w:pStyle w:val="Note"/>
        <w:ind w:left="284" w:hanging="284"/>
        <w:rPr>
          <w:color w:val="FF0000"/>
          <w:lang w:eastAsia="en-AU"/>
        </w:rPr>
      </w:pPr>
      <w:r w:rsidRPr="00555ECF">
        <w:rPr>
          <w:color w:val="FF0000"/>
          <w:lang w:eastAsia="en-AU"/>
        </w:rPr>
        <w:t>*</w:t>
      </w:r>
      <w:r w:rsidRPr="00555ECF">
        <w:rPr>
          <w:color w:val="FF0000"/>
          <w:lang w:eastAsia="en-AU"/>
        </w:rPr>
        <w:tab/>
        <w:t>Insufficient data for an estimate to be made.</w:t>
      </w:r>
    </w:p>
    <w:p w14:paraId="21D06322" w14:textId="784B5079" w:rsidR="00292E4E" w:rsidRPr="00555ECF" w:rsidRDefault="00292E4E" w:rsidP="00C22C61">
      <w:pPr>
        <w:rPr>
          <w:color w:val="FF0000"/>
        </w:rPr>
      </w:pPr>
    </w:p>
    <w:p w14:paraId="7C5B1768" w14:textId="4D9DEEE3" w:rsidR="00292E4E" w:rsidRPr="00555ECF" w:rsidRDefault="00292E4E" w:rsidP="00C22C61">
      <w:pPr>
        <w:rPr>
          <w:color w:val="FF0000"/>
        </w:rPr>
      </w:pPr>
    </w:p>
    <w:p w14:paraId="3EE248EA" w14:textId="77777777" w:rsidR="00292E4E" w:rsidRPr="00555ECF" w:rsidRDefault="00292E4E" w:rsidP="00C22C61">
      <w:pPr>
        <w:rPr>
          <w:color w:val="FF0000"/>
        </w:rPr>
      </w:pPr>
    </w:p>
    <w:p w14:paraId="150491F0" w14:textId="620996EE" w:rsidR="00292E4E" w:rsidRPr="00555ECF" w:rsidRDefault="00292E4E" w:rsidP="00292E4E">
      <w:pPr>
        <w:pStyle w:val="Table"/>
        <w:rPr>
          <w:color w:val="FF0000"/>
          <w:lang w:eastAsia="en-AU"/>
        </w:rPr>
      </w:pPr>
      <w:bookmarkStart w:id="44" w:name="_Toc95476490"/>
      <w:r w:rsidRPr="00555ECF">
        <w:rPr>
          <w:color w:val="FF0000"/>
        </w:rPr>
        <w:lastRenderedPageBreak/>
        <w:t>Table </w:t>
      </w:r>
      <w:r w:rsidR="00555ECF" w:rsidRPr="00555ECF">
        <w:rPr>
          <w:color w:val="FF0000"/>
        </w:rPr>
        <w:fldChar w:fldCharType="begin"/>
      </w:r>
      <w:r w:rsidR="00555ECF" w:rsidRPr="00555ECF">
        <w:rPr>
          <w:color w:val="FF0000"/>
        </w:rPr>
        <w:instrText xml:space="preserve"> SEQ Table \* ARABIC </w:instrText>
      </w:r>
      <w:r w:rsidR="00555ECF" w:rsidRPr="00555ECF">
        <w:rPr>
          <w:color w:val="FF0000"/>
        </w:rPr>
        <w:fldChar w:fldCharType="separate"/>
      </w:r>
      <w:r w:rsidR="006A55D7">
        <w:rPr>
          <w:noProof/>
          <w:color w:val="FF0000"/>
        </w:rPr>
        <w:t>10</w:t>
      </w:r>
      <w:r w:rsidR="00555ECF" w:rsidRPr="00555ECF">
        <w:rPr>
          <w:noProof/>
          <w:color w:val="FF0000"/>
        </w:rPr>
        <w:fldChar w:fldCharType="end"/>
      </w:r>
      <w:r w:rsidR="00684EA6" w:rsidRPr="00555ECF">
        <w:rPr>
          <w:noProof/>
          <w:color w:val="FF0000"/>
        </w:rPr>
        <w:t>i</w:t>
      </w:r>
      <w:r w:rsidRPr="00555ECF">
        <w:rPr>
          <w:noProof/>
          <w:color w:val="FF0000"/>
        </w:rPr>
        <w:t>.</w:t>
      </w:r>
      <w:r w:rsidRPr="00555ECF">
        <w:rPr>
          <w:color w:val="FF0000"/>
          <w:lang w:eastAsia="en-AU"/>
        </w:rPr>
        <w:t xml:space="preserve"> Summary of social harms ($) per kilogram by drug type</w:t>
      </w:r>
      <w:bookmarkEnd w:id="44"/>
    </w:p>
    <w:tbl>
      <w:tblPr>
        <w:tblStyle w:val="TableGrid"/>
        <w:tblW w:w="9072" w:type="dxa"/>
        <w:tblInd w:w="113" w:type="dxa"/>
        <w:tblLayout w:type="fixed"/>
        <w:tblCellMar>
          <w:left w:w="113" w:type="dxa"/>
          <w:right w:w="113" w:type="dxa"/>
        </w:tblCellMar>
        <w:tblLook w:val="04A0" w:firstRow="1" w:lastRow="0" w:firstColumn="1" w:lastColumn="0" w:noHBand="0" w:noVBand="1"/>
      </w:tblPr>
      <w:tblGrid>
        <w:gridCol w:w="2552"/>
        <w:gridCol w:w="2173"/>
        <w:gridCol w:w="2173"/>
        <w:gridCol w:w="2174"/>
      </w:tblGrid>
      <w:tr w:rsidR="00555ECF" w:rsidRPr="00555ECF" w14:paraId="5C32E1ED" w14:textId="77777777" w:rsidTr="00D91EEF">
        <w:trPr>
          <w:cantSplit/>
        </w:trPr>
        <w:tc>
          <w:tcPr>
            <w:tcW w:w="2552" w:type="dxa"/>
            <w:shd w:val="clear" w:color="auto" w:fill="auto"/>
          </w:tcPr>
          <w:p w14:paraId="6B5F6227" w14:textId="77777777" w:rsidR="00292E4E" w:rsidRPr="00555ECF" w:rsidRDefault="00292E4E" w:rsidP="00D91EEF">
            <w:pPr>
              <w:pStyle w:val="TableText"/>
              <w:rPr>
                <w:b/>
                <w:color w:val="FF0000"/>
              </w:rPr>
            </w:pPr>
            <w:r w:rsidRPr="00555ECF">
              <w:rPr>
                <w:b/>
                <w:color w:val="FF0000"/>
              </w:rPr>
              <w:t>Drug type</w:t>
            </w:r>
          </w:p>
        </w:tc>
        <w:tc>
          <w:tcPr>
            <w:tcW w:w="2173" w:type="dxa"/>
            <w:shd w:val="clear" w:color="auto" w:fill="auto"/>
          </w:tcPr>
          <w:p w14:paraId="45455453" w14:textId="77777777" w:rsidR="00292E4E" w:rsidRPr="00555ECF" w:rsidRDefault="00292E4E" w:rsidP="00D91EEF">
            <w:pPr>
              <w:pStyle w:val="TableText"/>
              <w:jc w:val="center"/>
              <w:rPr>
                <w:b/>
                <w:color w:val="FF0000"/>
              </w:rPr>
            </w:pPr>
            <w:r w:rsidRPr="00555ECF">
              <w:rPr>
                <w:b/>
                <w:color w:val="FF0000"/>
              </w:rPr>
              <w:t>Personal harm</w:t>
            </w:r>
            <w:r w:rsidRPr="00555ECF">
              <w:rPr>
                <w:b/>
                <w:color w:val="FF0000"/>
              </w:rPr>
              <w:br/>
              <w:t>$ per kilogram</w:t>
            </w:r>
          </w:p>
        </w:tc>
        <w:tc>
          <w:tcPr>
            <w:tcW w:w="2173" w:type="dxa"/>
            <w:shd w:val="clear" w:color="auto" w:fill="auto"/>
          </w:tcPr>
          <w:p w14:paraId="0FC0CC32" w14:textId="77777777" w:rsidR="00292E4E" w:rsidRPr="00555ECF" w:rsidRDefault="00292E4E" w:rsidP="00D91EEF">
            <w:pPr>
              <w:pStyle w:val="TableText"/>
              <w:jc w:val="center"/>
              <w:rPr>
                <w:b/>
                <w:color w:val="FF0000"/>
              </w:rPr>
            </w:pPr>
            <w:r w:rsidRPr="00555ECF">
              <w:rPr>
                <w:b/>
                <w:color w:val="FF0000"/>
              </w:rPr>
              <w:t>Community harm</w:t>
            </w:r>
            <w:r w:rsidRPr="00555ECF">
              <w:rPr>
                <w:b/>
                <w:color w:val="FF0000"/>
              </w:rPr>
              <w:br/>
              <w:t>$ per kilogram</w:t>
            </w:r>
          </w:p>
        </w:tc>
        <w:tc>
          <w:tcPr>
            <w:tcW w:w="2174" w:type="dxa"/>
            <w:shd w:val="clear" w:color="auto" w:fill="auto"/>
          </w:tcPr>
          <w:p w14:paraId="72665E0C" w14:textId="77777777" w:rsidR="00292E4E" w:rsidRPr="00555ECF" w:rsidRDefault="00292E4E" w:rsidP="00D91EEF">
            <w:pPr>
              <w:pStyle w:val="TableText"/>
              <w:jc w:val="center"/>
              <w:rPr>
                <w:b/>
                <w:color w:val="FF0000"/>
              </w:rPr>
            </w:pPr>
            <w:r w:rsidRPr="00555ECF">
              <w:rPr>
                <w:b/>
                <w:color w:val="FF0000"/>
              </w:rPr>
              <w:t>Total harm</w:t>
            </w:r>
            <w:r w:rsidRPr="00555ECF">
              <w:rPr>
                <w:b/>
                <w:color w:val="FF0000"/>
              </w:rPr>
              <w:br/>
              <w:t>$ per kilogram</w:t>
            </w:r>
          </w:p>
        </w:tc>
      </w:tr>
      <w:tr w:rsidR="00555ECF" w:rsidRPr="00555ECF" w14:paraId="4E7DF654" w14:textId="77777777" w:rsidTr="00D91EEF">
        <w:trPr>
          <w:cantSplit/>
        </w:trPr>
        <w:tc>
          <w:tcPr>
            <w:tcW w:w="2552" w:type="dxa"/>
            <w:tcBorders>
              <w:bottom w:val="nil"/>
            </w:tcBorders>
            <w:shd w:val="clear" w:color="auto" w:fill="auto"/>
          </w:tcPr>
          <w:p w14:paraId="27122CC5" w14:textId="77777777" w:rsidR="00292E4E" w:rsidRPr="00555ECF" w:rsidRDefault="00292E4E" w:rsidP="00292E4E">
            <w:pPr>
              <w:pStyle w:val="TableText"/>
              <w:rPr>
                <w:i/>
                <w:color w:val="FF0000"/>
              </w:rPr>
            </w:pPr>
            <w:r w:rsidRPr="00555ECF">
              <w:rPr>
                <w:i/>
                <w:color w:val="FF0000"/>
              </w:rPr>
              <w:t>Methamphetamine</w:t>
            </w:r>
          </w:p>
        </w:tc>
        <w:tc>
          <w:tcPr>
            <w:tcW w:w="2173" w:type="dxa"/>
            <w:tcBorders>
              <w:bottom w:val="nil"/>
            </w:tcBorders>
            <w:shd w:val="clear" w:color="auto" w:fill="auto"/>
          </w:tcPr>
          <w:p w14:paraId="7F4C5C14" w14:textId="07E8C50C" w:rsidR="00292E4E" w:rsidRPr="00555ECF" w:rsidRDefault="00292E4E" w:rsidP="00292E4E">
            <w:pPr>
              <w:pStyle w:val="TableText"/>
              <w:tabs>
                <w:tab w:val="decimal" w:pos="1304"/>
              </w:tabs>
              <w:rPr>
                <w:color w:val="FF0000"/>
              </w:rPr>
            </w:pPr>
            <w:r w:rsidRPr="00555ECF">
              <w:rPr>
                <w:color w:val="FF0000"/>
              </w:rPr>
              <w:t>2,364,073.01</w:t>
            </w:r>
          </w:p>
        </w:tc>
        <w:tc>
          <w:tcPr>
            <w:tcW w:w="2173" w:type="dxa"/>
            <w:tcBorders>
              <w:bottom w:val="nil"/>
            </w:tcBorders>
            <w:shd w:val="clear" w:color="auto" w:fill="auto"/>
          </w:tcPr>
          <w:p w14:paraId="2F75554A" w14:textId="202E370A" w:rsidR="00292E4E" w:rsidRPr="00555ECF" w:rsidRDefault="00292E4E" w:rsidP="00292E4E">
            <w:pPr>
              <w:pStyle w:val="TableText"/>
              <w:tabs>
                <w:tab w:val="decimal" w:pos="1304"/>
              </w:tabs>
              <w:rPr>
                <w:color w:val="FF0000"/>
              </w:rPr>
            </w:pPr>
            <w:r w:rsidRPr="00555ECF">
              <w:rPr>
                <w:color w:val="FF0000"/>
              </w:rPr>
              <w:t>2,136,479.42</w:t>
            </w:r>
          </w:p>
        </w:tc>
        <w:tc>
          <w:tcPr>
            <w:tcW w:w="2174" w:type="dxa"/>
            <w:tcBorders>
              <w:bottom w:val="nil"/>
            </w:tcBorders>
            <w:shd w:val="clear" w:color="auto" w:fill="auto"/>
          </w:tcPr>
          <w:p w14:paraId="4355D29F" w14:textId="76A9FA19" w:rsidR="00292E4E" w:rsidRPr="00555ECF" w:rsidRDefault="00292E4E" w:rsidP="00292E4E">
            <w:pPr>
              <w:pStyle w:val="TableText"/>
              <w:tabs>
                <w:tab w:val="decimal" w:pos="1304"/>
              </w:tabs>
              <w:rPr>
                <w:color w:val="FF0000"/>
              </w:rPr>
            </w:pPr>
            <w:r w:rsidRPr="00555ECF">
              <w:rPr>
                <w:color w:val="FF0000"/>
              </w:rPr>
              <w:t>4,500,552.43</w:t>
            </w:r>
          </w:p>
        </w:tc>
      </w:tr>
      <w:tr w:rsidR="00555ECF" w:rsidRPr="00555ECF" w14:paraId="1FB0D52B" w14:textId="77777777" w:rsidTr="00D91EEF">
        <w:trPr>
          <w:cantSplit/>
        </w:trPr>
        <w:tc>
          <w:tcPr>
            <w:tcW w:w="2552" w:type="dxa"/>
            <w:tcBorders>
              <w:top w:val="nil"/>
              <w:bottom w:val="nil"/>
            </w:tcBorders>
            <w:shd w:val="clear" w:color="auto" w:fill="auto"/>
          </w:tcPr>
          <w:p w14:paraId="515FC2D1" w14:textId="77777777" w:rsidR="00292E4E" w:rsidRPr="00555ECF" w:rsidRDefault="00292E4E" w:rsidP="00292E4E">
            <w:pPr>
              <w:pStyle w:val="TableText"/>
              <w:rPr>
                <w:i/>
                <w:color w:val="FF0000"/>
              </w:rPr>
            </w:pPr>
            <w:r w:rsidRPr="00555ECF">
              <w:rPr>
                <w:i/>
                <w:color w:val="FF0000"/>
              </w:rPr>
              <w:t>Cocaine</w:t>
            </w:r>
          </w:p>
        </w:tc>
        <w:tc>
          <w:tcPr>
            <w:tcW w:w="2173" w:type="dxa"/>
            <w:tcBorders>
              <w:top w:val="nil"/>
              <w:bottom w:val="nil"/>
            </w:tcBorders>
            <w:shd w:val="clear" w:color="auto" w:fill="auto"/>
          </w:tcPr>
          <w:p w14:paraId="61C19EA5" w14:textId="1CB961D2" w:rsidR="00292E4E" w:rsidRPr="00555ECF" w:rsidRDefault="00292E4E" w:rsidP="00292E4E">
            <w:pPr>
              <w:pStyle w:val="TableText"/>
              <w:tabs>
                <w:tab w:val="decimal" w:pos="1304"/>
              </w:tabs>
              <w:rPr>
                <w:color w:val="FF0000"/>
              </w:rPr>
            </w:pPr>
            <w:r w:rsidRPr="00555ECF">
              <w:rPr>
                <w:color w:val="FF0000"/>
              </w:rPr>
              <w:t>547,789.46</w:t>
            </w:r>
          </w:p>
        </w:tc>
        <w:tc>
          <w:tcPr>
            <w:tcW w:w="2173" w:type="dxa"/>
            <w:tcBorders>
              <w:top w:val="nil"/>
              <w:bottom w:val="nil"/>
            </w:tcBorders>
            <w:shd w:val="clear" w:color="auto" w:fill="auto"/>
          </w:tcPr>
          <w:p w14:paraId="5BF00E29" w14:textId="51C1F8E0" w:rsidR="00292E4E" w:rsidRPr="00555ECF" w:rsidRDefault="00292E4E" w:rsidP="00292E4E">
            <w:pPr>
              <w:pStyle w:val="TableText"/>
              <w:tabs>
                <w:tab w:val="decimal" w:pos="1304"/>
              </w:tabs>
              <w:rPr>
                <w:color w:val="FF0000"/>
              </w:rPr>
            </w:pPr>
            <w:r w:rsidRPr="00555ECF">
              <w:rPr>
                <w:color w:val="FF0000"/>
              </w:rPr>
              <w:t>413,382.17</w:t>
            </w:r>
          </w:p>
        </w:tc>
        <w:tc>
          <w:tcPr>
            <w:tcW w:w="2174" w:type="dxa"/>
            <w:tcBorders>
              <w:top w:val="nil"/>
              <w:bottom w:val="nil"/>
            </w:tcBorders>
            <w:shd w:val="clear" w:color="auto" w:fill="auto"/>
          </w:tcPr>
          <w:p w14:paraId="235C1C27" w14:textId="4C26676E" w:rsidR="00292E4E" w:rsidRPr="00555ECF" w:rsidRDefault="00292E4E" w:rsidP="00292E4E">
            <w:pPr>
              <w:pStyle w:val="TableText"/>
              <w:tabs>
                <w:tab w:val="decimal" w:pos="1304"/>
              </w:tabs>
              <w:rPr>
                <w:color w:val="FF0000"/>
              </w:rPr>
            </w:pPr>
            <w:r w:rsidRPr="00555ECF">
              <w:rPr>
                <w:color w:val="FF0000"/>
              </w:rPr>
              <w:t>961,171.63</w:t>
            </w:r>
          </w:p>
        </w:tc>
      </w:tr>
      <w:tr w:rsidR="00555ECF" w:rsidRPr="00555ECF" w14:paraId="1F5C1DE6" w14:textId="77777777" w:rsidTr="00D91EEF">
        <w:trPr>
          <w:cantSplit/>
        </w:trPr>
        <w:tc>
          <w:tcPr>
            <w:tcW w:w="2552" w:type="dxa"/>
            <w:tcBorders>
              <w:top w:val="nil"/>
              <w:bottom w:val="nil"/>
            </w:tcBorders>
            <w:shd w:val="clear" w:color="auto" w:fill="auto"/>
          </w:tcPr>
          <w:p w14:paraId="5DEE93A8" w14:textId="77777777" w:rsidR="00292E4E" w:rsidRPr="00555ECF" w:rsidRDefault="00292E4E" w:rsidP="00292E4E">
            <w:pPr>
              <w:pStyle w:val="TableText"/>
              <w:rPr>
                <w:i/>
                <w:color w:val="FF0000"/>
              </w:rPr>
            </w:pPr>
            <w:r w:rsidRPr="00555ECF">
              <w:rPr>
                <w:i/>
                <w:color w:val="FF0000"/>
              </w:rPr>
              <w:t>MDMA</w:t>
            </w:r>
          </w:p>
        </w:tc>
        <w:tc>
          <w:tcPr>
            <w:tcW w:w="2173" w:type="dxa"/>
            <w:tcBorders>
              <w:top w:val="nil"/>
              <w:bottom w:val="nil"/>
            </w:tcBorders>
            <w:shd w:val="clear" w:color="auto" w:fill="auto"/>
          </w:tcPr>
          <w:p w14:paraId="24A38759" w14:textId="4A86E275" w:rsidR="00292E4E" w:rsidRPr="00555ECF" w:rsidRDefault="00292E4E" w:rsidP="00292E4E">
            <w:pPr>
              <w:pStyle w:val="TableText"/>
              <w:tabs>
                <w:tab w:val="decimal" w:pos="1304"/>
              </w:tabs>
              <w:rPr>
                <w:color w:val="FF0000"/>
              </w:rPr>
            </w:pPr>
            <w:r w:rsidRPr="00555ECF">
              <w:rPr>
                <w:color w:val="FF0000"/>
              </w:rPr>
              <w:t>270,685.88</w:t>
            </w:r>
          </w:p>
        </w:tc>
        <w:tc>
          <w:tcPr>
            <w:tcW w:w="2173" w:type="dxa"/>
            <w:tcBorders>
              <w:top w:val="nil"/>
              <w:bottom w:val="nil"/>
            </w:tcBorders>
            <w:shd w:val="clear" w:color="auto" w:fill="auto"/>
          </w:tcPr>
          <w:p w14:paraId="308C29B7" w14:textId="2F85013A" w:rsidR="00292E4E" w:rsidRPr="00555ECF" w:rsidRDefault="00292E4E" w:rsidP="00292E4E">
            <w:pPr>
              <w:pStyle w:val="TableText"/>
              <w:tabs>
                <w:tab w:val="decimal" w:pos="1304"/>
              </w:tabs>
              <w:rPr>
                <w:color w:val="FF0000"/>
              </w:rPr>
            </w:pPr>
            <w:r w:rsidRPr="00555ECF">
              <w:rPr>
                <w:color w:val="FF0000"/>
              </w:rPr>
              <w:t>186,011.15</w:t>
            </w:r>
          </w:p>
        </w:tc>
        <w:tc>
          <w:tcPr>
            <w:tcW w:w="2174" w:type="dxa"/>
            <w:tcBorders>
              <w:top w:val="nil"/>
              <w:bottom w:val="nil"/>
            </w:tcBorders>
            <w:shd w:val="clear" w:color="auto" w:fill="auto"/>
          </w:tcPr>
          <w:p w14:paraId="0C2916CB" w14:textId="62CC7CC8" w:rsidR="00292E4E" w:rsidRPr="00555ECF" w:rsidRDefault="00292E4E" w:rsidP="00292E4E">
            <w:pPr>
              <w:pStyle w:val="TableText"/>
              <w:tabs>
                <w:tab w:val="decimal" w:pos="1304"/>
              </w:tabs>
              <w:rPr>
                <w:color w:val="FF0000"/>
              </w:rPr>
            </w:pPr>
            <w:r w:rsidRPr="00555ECF">
              <w:rPr>
                <w:color w:val="FF0000"/>
              </w:rPr>
              <w:t>456,697.02</w:t>
            </w:r>
          </w:p>
        </w:tc>
      </w:tr>
      <w:tr w:rsidR="00292E4E" w:rsidRPr="00555ECF" w14:paraId="6C6F38EE" w14:textId="77777777" w:rsidTr="00D91EEF">
        <w:trPr>
          <w:cantSplit/>
        </w:trPr>
        <w:tc>
          <w:tcPr>
            <w:tcW w:w="2552" w:type="dxa"/>
            <w:tcBorders>
              <w:top w:val="nil"/>
            </w:tcBorders>
            <w:shd w:val="clear" w:color="auto" w:fill="auto"/>
          </w:tcPr>
          <w:p w14:paraId="2BF3C437" w14:textId="77777777" w:rsidR="00292E4E" w:rsidRPr="00555ECF" w:rsidRDefault="00292E4E" w:rsidP="00292E4E">
            <w:pPr>
              <w:pStyle w:val="TableText"/>
              <w:rPr>
                <w:i/>
                <w:color w:val="FF0000"/>
              </w:rPr>
            </w:pPr>
            <w:r w:rsidRPr="00555ECF">
              <w:rPr>
                <w:i/>
                <w:color w:val="FF0000"/>
              </w:rPr>
              <w:t>Cannabis</w:t>
            </w:r>
          </w:p>
        </w:tc>
        <w:tc>
          <w:tcPr>
            <w:tcW w:w="2173" w:type="dxa"/>
            <w:tcBorders>
              <w:top w:val="nil"/>
            </w:tcBorders>
            <w:shd w:val="clear" w:color="auto" w:fill="auto"/>
          </w:tcPr>
          <w:p w14:paraId="41BB4CA5" w14:textId="49B64AA6" w:rsidR="00292E4E" w:rsidRPr="00555ECF" w:rsidRDefault="00292E4E" w:rsidP="00292E4E">
            <w:pPr>
              <w:pStyle w:val="TableText"/>
              <w:tabs>
                <w:tab w:val="decimal" w:pos="1304"/>
              </w:tabs>
              <w:rPr>
                <w:color w:val="FF0000"/>
              </w:rPr>
            </w:pPr>
            <w:r w:rsidRPr="00555ECF">
              <w:rPr>
                <w:color w:val="FF0000"/>
              </w:rPr>
              <w:t>4,846.18</w:t>
            </w:r>
          </w:p>
        </w:tc>
        <w:tc>
          <w:tcPr>
            <w:tcW w:w="2173" w:type="dxa"/>
            <w:tcBorders>
              <w:top w:val="nil"/>
            </w:tcBorders>
            <w:shd w:val="clear" w:color="auto" w:fill="auto"/>
          </w:tcPr>
          <w:p w14:paraId="4978278A" w14:textId="39F48255" w:rsidR="00292E4E" w:rsidRPr="00555ECF" w:rsidRDefault="00292E4E" w:rsidP="00292E4E">
            <w:pPr>
              <w:pStyle w:val="TableText"/>
              <w:tabs>
                <w:tab w:val="decimal" w:pos="1304"/>
              </w:tabs>
              <w:rPr>
                <w:color w:val="FF0000"/>
              </w:rPr>
            </w:pPr>
            <w:r w:rsidRPr="00555ECF">
              <w:rPr>
                <w:color w:val="FF0000"/>
              </w:rPr>
              <w:t>10,800.87</w:t>
            </w:r>
          </w:p>
        </w:tc>
        <w:tc>
          <w:tcPr>
            <w:tcW w:w="2174" w:type="dxa"/>
            <w:tcBorders>
              <w:top w:val="nil"/>
            </w:tcBorders>
            <w:shd w:val="clear" w:color="auto" w:fill="auto"/>
          </w:tcPr>
          <w:p w14:paraId="2191AB8E" w14:textId="424FF8A7" w:rsidR="00292E4E" w:rsidRPr="00555ECF" w:rsidRDefault="00292E4E" w:rsidP="00292E4E">
            <w:pPr>
              <w:pStyle w:val="TableText"/>
              <w:tabs>
                <w:tab w:val="decimal" w:pos="1304"/>
              </w:tabs>
              <w:rPr>
                <w:color w:val="FF0000"/>
              </w:rPr>
            </w:pPr>
            <w:r w:rsidRPr="00555ECF">
              <w:rPr>
                <w:color w:val="FF0000"/>
              </w:rPr>
              <w:t>15,647.06</w:t>
            </w:r>
          </w:p>
        </w:tc>
      </w:tr>
    </w:tbl>
    <w:p w14:paraId="01E7F435" w14:textId="77777777" w:rsidR="00292E4E" w:rsidRPr="00555ECF" w:rsidRDefault="00292E4E" w:rsidP="00292E4E">
      <w:pPr>
        <w:rPr>
          <w:color w:val="FF0000"/>
          <w:lang w:eastAsia="en-AU"/>
        </w:rPr>
      </w:pPr>
    </w:p>
    <w:p w14:paraId="2BEC8C93" w14:textId="17C7D58B" w:rsidR="00292E4E" w:rsidRPr="00555ECF" w:rsidRDefault="00292E4E" w:rsidP="00292E4E">
      <w:pPr>
        <w:pStyle w:val="Table"/>
        <w:rPr>
          <w:color w:val="FF0000"/>
          <w:lang w:eastAsia="en-AU"/>
        </w:rPr>
      </w:pPr>
      <w:bookmarkStart w:id="45" w:name="_Toc95476491"/>
      <w:r w:rsidRPr="00555ECF">
        <w:rPr>
          <w:color w:val="FF0000"/>
        </w:rPr>
        <w:t>Table </w:t>
      </w:r>
      <w:r w:rsidR="00555ECF" w:rsidRPr="00555ECF">
        <w:rPr>
          <w:color w:val="FF0000"/>
        </w:rPr>
        <w:fldChar w:fldCharType="begin"/>
      </w:r>
      <w:r w:rsidR="00555ECF" w:rsidRPr="00555ECF">
        <w:rPr>
          <w:color w:val="FF0000"/>
        </w:rPr>
        <w:instrText xml:space="preserve"> SEQ Table \* ARABIC </w:instrText>
      </w:r>
      <w:r w:rsidR="00555ECF" w:rsidRPr="00555ECF">
        <w:rPr>
          <w:color w:val="FF0000"/>
        </w:rPr>
        <w:fldChar w:fldCharType="separate"/>
      </w:r>
      <w:r w:rsidR="006A55D7">
        <w:rPr>
          <w:noProof/>
          <w:color w:val="FF0000"/>
        </w:rPr>
        <w:t>11</w:t>
      </w:r>
      <w:r w:rsidR="00555ECF" w:rsidRPr="00555ECF">
        <w:rPr>
          <w:noProof/>
          <w:color w:val="FF0000"/>
        </w:rPr>
        <w:fldChar w:fldCharType="end"/>
      </w:r>
      <w:r w:rsidR="00684EA6" w:rsidRPr="00555ECF">
        <w:rPr>
          <w:noProof/>
          <w:color w:val="FF0000"/>
        </w:rPr>
        <w:t>i</w:t>
      </w:r>
      <w:r w:rsidRPr="00555ECF">
        <w:rPr>
          <w:noProof/>
          <w:color w:val="FF0000"/>
        </w:rPr>
        <w:t>.</w:t>
      </w:r>
      <w:r w:rsidRPr="00555ECF">
        <w:rPr>
          <w:color w:val="FF0000"/>
          <w:lang w:eastAsia="en-AU"/>
        </w:rPr>
        <w:t xml:space="preserve"> Summary of social harms by drug type ($ million)</w:t>
      </w:r>
      <w:bookmarkEnd w:id="45"/>
    </w:p>
    <w:tbl>
      <w:tblPr>
        <w:tblStyle w:val="TableGrid"/>
        <w:tblW w:w="9072" w:type="dxa"/>
        <w:tblInd w:w="57" w:type="dxa"/>
        <w:tblLayout w:type="fixed"/>
        <w:tblCellMar>
          <w:left w:w="57" w:type="dxa"/>
          <w:right w:w="57" w:type="dxa"/>
        </w:tblCellMar>
        <w:tblLook w:val="04A0" w:firstRow="1" w:lastRow="0" w:firstColumn="1" w:lastColumn="0" w:noHBand="0" w:noVBand="1"/>
      </w:tblPr>
      <w:tblGrid>
        <w:gridCol w:w="2552"/>
        <w:gridCol w:w="2173"/>
        <w:gridCol w:w="2173"/>
        <w:gridCol w:w="2174"/>
      </w:tblGrid>
      <w:tr w:rsidR="00555ECF" w:rsidRPr="00555ECF" w14:paraId="7106387A" w14:textId="77777777" w:rsidTr="00D91EEF">
        <w:trPr>
          <w:cantSplit/>
        </w:trPr>
        <w:tc>
          <w:tcPr>
            <w:tcW w:w="2552" w:type="dxa"/>
            <w:shd w:val="clear" w:color="auto" w:fill="auto"/>
          </w:tcPr>
          <w:p w14:paraId="2CD99BFA" w14:textId="77777777" w:rsidR="00292E4E" w:rsidRPr="00555ECF" w:rsidRDefault="00292E4E" w:rsidP="00D91EEF">
            <w:pPr>
              <w:pStyle w:val="TableText"/>
              <w:ind w:right="113"/>
              <w:rPr>
                <w:b/>
                <w:color w:val="FF0000"/>
              </w:rPr>
            </w:pPr>
            <w:r w:rsidRPr="00555ECF">
              <w:rPr>
                <w:b/>
                <w:color w:val="FF0000"/>
              </w:rPr>
              <w:t>Drug type</w:t>
            </w:r>
          </w:p>
        </w:tc>
        <w:tc>
          <w:tcPr>
            <w:tcW w:w="2173" w:type="dxa"/>
            <w:shd w:val="clear" w:color="auto" w:fill="auto"/>
          </w:tcPr>
          <w:p w14:paraId="33417E9E" w14:textId="77777777" w:rsidR="00292E4E" w:rsidRPr="00555ECF" w:rsidRDefault="00292E4E" w:rsidP="00D91EEF">
            <w:pPr>
              <w:pStyle w:val="TableText"/>
              <w:jc w:val="center"/>
              <w:rPr>
                <w:b/>
                <w:color w:val="FF0000"/>
              </w:rPr>
            </w:pPr>
            <w:r w:rsidRPr="00555ECF">
              <w:rPr>
                <w:b/>
                <w:color w:val="FF0000"/>
              </w:rPr>
              <w:t>Personal harm</w:t>
            </w:r>
            <w:r w:rsidRPr="00555ECF">
              <w:rPr>
                <w:b/>
                <w:color w:val="FF0000"/>
              </w:rPr>
              <w:br/>
              <w:t>$ million</w:t>
            </w:r>
          </w:p>
        </w:tc>
        <w:tc>
          <w:tcPr>
            <w:tcW w:w="2173" w:type="dxa"/>
            <w:shd w:val="clear" w:color="auto" w:fill="auto"/>
          </w:tcPr>
          <w:p w14:paraId="72A34119" w14:textId="77777777" w:rsidR="00292E4E" w:rsidRPr="00555ECF" w:rsidRDefault="00292E4E" w:rsidP="00D91EEF">
            <w:pPr>
              <w:pStyle w:val="TableText"/>
              <w:jc w:val="center"/>
              <w:rPr>
                <w:b/>
                <w:color w:val="FF0000"/>
              </w:rPr>
            </w:pPr>
            <w:r w:rsidRPr="00555ECF">
              <w:rPr>
                <w:b/>
                <w:color w:val="FF0000"/>
              </w:rPr>
              <w:t>Community harm</w:t>
            </w:r>
            <w:r w:rsidRPr="00555ECF">
              <w:rPr>
                <w:b/>
                <w:color w:val="FF0000"/>
              </w:rPr>
              <w:br/>
              <w:t>$ million</w:t>
            </w:r>
          </w:p>
        </w:tc>
        <w:tc>
          <w:tcPr>
            <w:tcW w:w="2174" w:type="dxa"/>
            <w:shd w:val="clear" w:color="auto" w:fill="auto"/>
          </w:tcPr>
          <w:p w14:paraId="7C0543C8" w14:textId="77777777" w:rsidR="00292E4E" w:rsidRPr="00555ECF" w:rsidRDefault="00292E4E" w:rsidP="00D91EEF">
            <w:pPr>
              <w:pStyle w:val="TableText"/>
              <w:jc w:val="center"/>
              <w:rPr>
                <w:b/>
                <w:color w:val="FF0000"/>
              </w:rPr>
            </w:pPr>
            <w:r w:rsidRPr="00555ECF">
              <w:rPr>
                <w:b/>
                <w:color w:val="FF0000"/>
              </w:rPr>
              <w:t>Total harm</w:t>
            </w:r>
            <w:r w:rsidRPr="00555ECF">
              <w:rPr>
                <w:b/>
                <w:color w:val="FF0000"/>
              </w:rPr>
              <w:br/>
              <w:t>$ million</w:t>
            </w:r>
          </w:p>
        </w:tc>
      </w:tr>
      <w:tr w:rsidR="00555ECF" w:rsidRPr="00555ECF" w14:paraId="13AD1071" w14:textId="77777777" w:rsidTr="00D91EEF">
        <w:trPr>
          <w:cantSplit/>
        </w:trPr>
        <w:tc>
          <w:tcPr>
            <w:tcW w:w="2552" w:type="dxa"/>
            <w:tcBorders>
              <w:bottom w:val="nil"/>
            </w:tcBorders>
            <w:shd w:val="clear" w:color="auto" w:fill="auto"/>
          </w:tcPr>
          <w:p w14:paraId="16B1A505" w14:textId="77777777" w:rsidR="00292E4E" w:rsidRPr="00555ECF" w:rsidRDefault="00292E4E" w:rsidP="00292E4E">
            <w:pPr>
              <w:pStyle w:val="TableText"/>
              <w:ind w:right="113"/>
              <w:rPr>
                <w:i/>
                <w:color w:val="FF0000"/>
              </w:rPr>
            </w:pPr>
            <w:r w:rsidRPr="00555ECF">
              <w:rPr>
                <w:i/>
                <w:color w:val="FF0000"/>
              </w:rPr>
              <w:t>Methamphetamine</w:t>
            </w:r>
          </w:p>
        </w:tc>
        <w:tc>
          <w:tcPr>
            <w:tcW w:w="2173" w:type="dxa"/>
            <w:tcBorders>
              <w:bottom w:val="nil"/>
            </w:tcBorders>
            <w:shd w:val="clear" w:color="auto" w:fill="auto"/>
          </w:tcPr>
          <w:p w14:paraId="38147EAB" w14:textId="6987C336" w:rsidR="00292E4E" w:rsidRPr="00555ECF" w:rsidRDefault="00292E4E" w:rsidP="00292E4E">
            <w:pPr>
              <w:pStyle w:val="TableText"/>
              <w:tabs>
                <w:tab w:val="decimal" w:pos="1077"/>
              </w:tabs>
              <w:rPr>
                <w:color w:val="FF0000"/>
              </w:rPr>
            </w:pPr>
            <w:r w:rsidRPr="00555ECF">
              <w:rPr>
                <w:color w:val="FF0000"/>
              </w:rPr>
              <w:t>404.23</w:t>
            </w:r>
          </w:p>
        </w:tc>
        <w:tc>
          <w:tcPr>
            <w:tcW w:w="2173" w:type="dxa"/>
            <w:tcBorders>
              <w:bottom w:val="nil"/>
            </w:tcBorders>
            <w:shd w:val="clear" w:color="auto" w:fill="auto"/>
          </w:tcPr>
          <w:p w14:paraId="054C3566" w14:textId="2256B36F" w:rsidR="00292E4E" w:rsidRPr="00555ECF" w:rsidRDefault="00292E4E" w:rsidP="00292E4E">
            <w:pPr>
              <w:pStyle w:val="TableText"/>
              <w:tabs>
                <w:tab w:val="decimal" w:pos="1077"/>
              </w:tabs>
              <w:rPr>
                <w:color w:val="FF0000"/>
              </w:rPr>
            </w:pPr>
            <w:r w:rsidRPr="00555ECF">
              <w:rPr>
                <w:color w:val="FF0000"/>
              </w:rPr>
              <w:t>365.32</w:t>
            </w:r>
          </w:p>
        </w:tc>
        <w:tc>
          <w:tcPr>
            <w:tcW w:w="2174" w:type="dxa"/>
            <w:tcBorders>
              <w:bottom w:val="nil"/>
            </w:tcBorders>
            <w:shd w:val="clear" w:color="auto" w:fill="auto"/>
          </w:tcPr>
          <w:p w14:paraId="57A94446" w14:textId="58EF4500" w:rsidR="00292E4E" w:rsidRPr="00555ECF" w:rsidRDefault="00292E4E" w:rsidP="00292E4E">
            <w:pPr>
              <w:pStyle w:val="TableText"/>
              <w:tabs>
                <w:tab w:val="decimal" w:pos="1077"/>
              </w:tabs>
              <w:rPr>
                <w:color w:val="FF0000"/>
              </w:rPr>
            </w:pPr>
            <w:r w:rsidRPr="00555ECF">
              <w:rPr>
                <w:color w:val="FF0000"/>
              </w:rPr>
              <w:t>769.55</w:t>
            </w:r>
          </w:p>
        </w:tc>
      </w:tr>
      <w:tr w:rsidR="00555ECF" w:rsidRPr="00555ECF" w14:paraId="36D8EC36" w14:textId="77777777" w:rsidTr="00D91EEF">
        <w:trPr>
          <w:cantSplit/>
        </w:trPr>
        <w:tc>
          <w:tcPr>
            <w:tcW w:w="2552" w:type="dxa"/>
            <w:tcBorders>
              <w:top w:val="nil"/>
              <w:bottom w:val="nil"/>
            </w:tcBorders>
            <w:shd w:val="clear" w:color="auto" w:fill="auto"/>
          </w:tcPr>
          <w:p w14:paraId="715C7ED0" w14:textId="77777777" w:rsidR="00292E4E" w:rsidRPr="00555ECF" w:rsidRDefault="00292E4E" w:rsidP="00292E4E">
            <w:pPr>
              <w:pStyle w:val="TableText"/>
              <w:ind w:right="113"/>
              <w:rPr>
                <w:i/>
                <w:color w:val="FF0000"/>
              </w:rPr>
            </w:pPr>
            <w:r w:rsidRPr="00555ECF">
              <w:rPr>
                <w:i/>
                <w:color w:val="FF0000"/>
              </w:rPr>
              <w:t>Cocaine</w:t>
            </w:r>
          </w:p>
        </w:tc>
        <w:tc>
          <w:tcPr>
            <w:tcW w:w="2173" w:type="dxa"/>
            <w:tcBorders>
              <w:top w:val="nil"/>
              <w:bottom w:val="nil"/>
            </w:tcBorders>
            <w:shd w:val="clear" w:color="auto" w:fill="auto"/>
          </w:tcPr>
          <w:p w14:paraId="0479E182" w14:textId="4CD90065" w:rsidR="00292E4E" w:rsidRPr="00555ECF" w:rsidRDefault="00292E4E" w:rsidP="00292E4E">
            <w:pPr>
              <w:pStyle w:val="TableText"/>
              <w:tabs>
                <w:tab w:val="decimal" w:pos="1077"/>
              </w:tabs>
              <w:rPr>
                <w:color w:val="FF0000"/>
              </w:rPr>
            </w:pPr>
            <w:r w:rsidRPr="00555ECF">
              <w:rPr>
                <w:color w:val="FF0000"/>
              </w:rPr>
              <w:t>6.45</w:t>
            </w:r>
          </w:p>
        </w:tc>
        <w:tc>
          <w:tcPr>
            <w:tcW w:w="2173" w:type="dxa"/>
            <w:tcBorders>
              <w:top w:val="nil"/>
              <w:bottom w:val="nil"/>
            </w:tcBorders>
            <w:shd w:val="clear" w:color="auto" w:fill="auto"/>
          </w:tcPr>
          <w:p w14:paraId="52CCFA16" w14:textId="2A2E1B63" w:rsidR="00292E4E" w:rsidRPr="00555ECF" w:rsidRDefault="00292E4E" w:rsidP="00292E4E">
            <w:pPr>
              <w:pStyle w:val="TableText"/>
              <w:tabs>
                <w:tab w:val="decimal" w:pos="1077"/>
              </w:tabs>
              <w:rPr>
                <w:color w:val="FF0000"/>
              </w:rPr>
            </w:pPr>
            <w:r w:rsidRPr="00555ECF">
              <w:rPr>
                <w:color w:val="FF0000"/>
              </w:rPr>
              <w:t>4.87</w:t>
            </w:r>
          </w:p>
        </w:tc>
        <w:tc>
          <w:tcPr>
            <w:tcW w:w="2174" w:type="dxa"/>
            <w:tcBorders>
              <w:top w:val="nil"/>
              <w:bottom w:val="nil"/>
            </w:tcBorders>
            <w:shd w:val="clear" w:color="auto" w:fill="auto"/>
          </w:tcPr>
          <w:p w14:paraId="1CA3113C" w14:textId="598AE238" w:rsidR="00292E4E" w:rsidRPr="00555ECF" w:rsidRDefault="00292E4E" w:rsidP="00292E4E">
            <w:pPr>
              <w:pStyle w:val="TableText"/>
              <w:tabs>
                <w:tab w:val="decimal" w:pos="1077"/>
              </w:tabs>
              <w:rPr>
                <w:color w:val="FF0000"/>
              </w:rPr>
            </w:pPr>
            <w:r w:rsidRPr="00555ECF">
              <w:rPr>
                <w:color w:val="FF0000"/>
              </w:rPr>
              <w:t>11.31</w:t>
            </w:r>
          </w:p>
        </w:tc>
      </w:tr>
      <w:tr w:rsidR="00555ECF" w:rsidRPr="00555ECF" w14:paraId="5B3DC068" w14:textId="77777777" w:rsidTr="00D91EEF">
        <w:trPr>
          <w:cantSplit/>
        </w:trPr>
        <w:tc>
          <w:tcPr>
            <w:tcW w:w="2552" w:type="dxa"/>
            <w:tcBorders>
              <w:top w:val="nil"/>
              <w:bottom w:val="nil"/>
            </w:tcBorders>
            <w:shd w:val="clear" w:color="auto" w:fill="auto"/>
          </w:tcPr>
          <w:p w14:paraId="3AEA9D0C" w14:textId="77777777" w:rsidR="00292E4E" w:rsidRPr="00555ECF" w:rsidRDefault="00292E4E" w:rsidP="00292E4E">
            <w:pPr>
              <w:pStyle w:val="TableText"/>
              <w:ind w:right="113"/>
              <w:rPr>
                <w:i/>
                <w:color w:val="FF0000"/>
              </w:rPr>
            </w:pPr>
            <w:r w:rsidRPr="00555ECF">
              <w:rPr>
                <w:i/>
                <w:color w:val="FF0000"/>
              </w:rPr>
              <w:t>MDMA</w:t>
            </w:r>
          </w:p>
        </w:tc>
        <w:tc>
          <w:tcPr>
            <w:tcW w:w="2173" w:type="dxa"/>
            <w:tcBorders>
              <w:top w:val="nil"/>
              <w:bottom w:val="nil"/>
            </w:tcBorders>
            <w:shd w:val="clear" w:color="auto" w:fill="auto"/>
          </w:tcPr>
          <w:p w14:paraId="5597AF7F" w14:textId="0F99C118" w:rsidR="00292E4E" w:rsidRPr="00555ECF" w:rsidRDefault="00292E4E" w:rsidP="00292E4E">
            <w:pPr>
              <w:pStyle w:val="TableText"/>
              <w:tabs>
                <w:tab w:val="decimal" w:pos="1077"/>
              </w:tabs>
              <w:rPr>
                <w:color w:val="FF0000"/>
              </w:rPr>
            </w:pPr>
            <w:r w:rsidRPr="00555ECF">
              <w:rPr>
                <w:color w:val="FF0000"/>
              </w:rPr>
              <w:t>23.54</w:t>
            </w:r>
          </w:p>
        </w:tc>
        <w:tc>
          <w:tcPr>
            <w:tcW w:w="2173" w:type="dxa"/>
            <w:tcBorders>
              <w:top w:val="nil"/>
              <w:bottom w:val="nil"/>
            </w:tcBorders>
            <w:shd w:val="clear" w:color="auto" w:fill="auto"/>
          </w:tcPr>
          <w:p w14:paraId="373488AF" w14:textId="1B894B57" w:rsidR="00292E4E" w:rsidRPr="00555ECF" w:rsidRDefault="00292E4E" w:rsidP="00292E4E">
            <w:pPr>
              <w:pStyle w:val="TableText"/>
              <w:tabs>
                <w:tab w:val="decimal" w:pos="1077"/>
              </w:tabs>
              <w:rPr>
                <w:color w:val="FF0000"/>
              </w:rPr>
            </w:pPr>
            <w:r w:rsidRPr="00555ECF">
              <w:rPr>
                <w:color w:val="FF0000"/>
              </w:rPr>
              <w:t>16.17</w:t>
            </w:r>
          </w:p>
        </w:tc>
        <w:tc>
          <w:tcPr>
            <w:tcW w:w="2174" w:type="dxa"/>
            <w:tcBorders>
              <w:top w:val="nil"/>
              <w:bottom w:val="nil"/>
            </w:tcBorders>
            <w:shd w:val="clear" w:color="auto" w:fill="auto"/>
          </w:tcPr>
          <w:p w14:paraId="756C6A7A" w14:textId="398AD64C" w:rsidR="00292E4E" w:rsidRPr="00555ECF" w:rsidRDefault="00292E4E" w:rsidP="00292E4E">
            <w:pPr>
              <w:pStyle w:val="TableText"/>
              <w:tabs>
                <w:tab w:val="decimal" w:pos="1077"/>
              </w:tabs>
              <w:rPr>
                <w:color w:val="FF0000"/>
              </w:rPr>
            </w:pPr>
            <w:r w:rsidRPr="00555ECF">
              <w:rPr>
                <w:color w:val="FF0000"/>
              </w:rPr>
              <w:t>39.71</w:t>
            </w:r>
          </w:p>
        </w:tc>
      </w:tr>
      <w:tr w:rsidR="00555ECF" w:rsidRPr="00555ECF" w14:paraId="11FE6679" w14:textId="77777777" w:rsidTr="00D91EEF">
        <w:trPr>
          <w:cantSplit/>
        </w:trPr>
        <w:tc>
          <w:tcPr>
            <w:tcW w:w="2552" w:type="dxa"/>
            <w:tcBorders>
              <w:top w:val="nil"/>
              <w:bottom w:val="nil"/>
            </w:tcBorders>
            <w:shd w:val="clear" w:color="auto" w:fill="auto"/>
          </w:tcPr>
          <w:p w14:paraId="6B0B39CF" w14:textId="77777777" w:rsidR="00292E4E" w:rsidRPr="00555ECF" w:rsidRDefault="00292E4E" w:rsidP="00292E4E">
            <w:pPr>
              <w:pStyle w:val="TableText"/>
              <w:ind w:right="113"/>
              <w:rPr>
                <w:i/>
                <w:color w:val="FF0000"/>
              </w:rPr>
            </w:pPr>
            <w:r w:rsidRPr="00555ECF">
              <w:rPr>
                <w:i/>
                <w:color w:val="FF0000"/>
              </w:rPr>
              <w:t>Heroin</w:t>
            </w:r>
          </w:p>
        </w:tc>
        <w:tc>
          <w:tcPr>
            <w:tcW w:w="2173" w:type="dxa"/>
            <w:tcBorders>
              <w:top w:val="nil"/>
              <w:bottom w:val="nil"/>
            </w:tcBorders>
            <w:shd w:val="clear" w:color="auto" w:fill="auto"/>
          </w:tcPr>
          <w:p w14:paraId="28B5A6D9" w14:textId="61BB5650" w:rsidR="00292E4E" w:rsidRPr="00555ECF" w:rsidRDefault="00292E4E" w:rsidP="00292E4E">
            <w:pPr>
              <w:pStyle w:val="TableText"/>
              <w:tabs>
                <w:tab w:val="decimal" w:pos="1077"/>
              </w:tabs>
              <w:rPr>
                <w:color w:val="FF0000"/>
              </w:rPr>
            </w:pPr>
            <w:r w:rsidRPr="00555ECF">
              <w:rPr>
                <w:color w:val="FF0000"/>
              </w:rPr>
              <w:t>18.24</w:t>
            </w:r>
          </w:p>
        </w:tc>
        <w:tc>
          <w:tcPr>
            <w:tcW w:w="2173" w:type="dxa"/>
            <w:tcBorders>
              <w:top w:val="nil"/>
              <w:bottom w:val="nil"/>
            </w:tcBorders>
            <w:shd w:val="clear" w:color="auto" w:fill="auto"/>
          </w:tcPr>
          <w:p w14:paraId="5BCE94FE" w14:textId="5A45544B" w:rsidR="00292E4E" w:rsidRPr="00555ECF" w:rsidRDefault="00292E4E" w:rsidP="00292E4E">
            <w:pPr>
              <w:pStyle w:val="TableText"/>
              <w:tabs>
                <w:tab w:val="decimal" w:pos="1077"/>
              </w:tabs>
              <w:rPr>
                <w:color w:val="FF0000"/>
              </w:rPr>
            </w:pPr>
            <w:r w:rsidRPr="00555ECF">
              <w:rPr>
                <w:color w:val="FF0000"/>
              </w:rPr>
              <w:t>*</w:t>
            </w:r>
          </w:p>
        </w:tc>
        <w:tc>
          <w:tcPr>
            <w:tcW w:w="2174" w:type="dxa"/>
            <w:tcBorders>
              <w:top w:val="nil"/>
              <w:bottom w:val="nil"/>
            </w:tcBorders>
            <w:shd w:val="clear" w:color="auto" w:fill="auto"/>
          </w:tcPr>
          <w:p w14:paraId="1F36BD07" w14:textId="41A1ED2E" w:rsidR="00292E4E" w:rsidRPr="00555ECF" w:rsidRDefault="00292E4E" w:rsidP="00292E4E">
            <w:pPr>
              <w:pStyle w:val="TableText"/>
              <w:tabs>
                <w:tab w:val="decimal" w:pos="1077"/>
              </w:tabs>
              <w:rPr>
                <w:color w:val="FF0000"/>
              </w:rPr>
            </w:pPr>
            <w:r w:rsidRPr="00555ECF">
              <w:rPr>
                <w:color w:val="FF0000"/>
              </w:rPr>
              <w:t>18.24</w:t>
            </w:r>
          </w:p>
        </w:tc>
      </w:tr>
      <w:tr w:rsidR="00555ECF" w:rsidRPr="00555ECF" w14:paraId="63D3F7D0" w14:textId="77777777" w:rsidTr="00D91EEF">
        <w:trPr>
          <w:cantSplit/>
        </w:trPr>
        <w:tc>
          <w:tcPr>
            <w:tcW w:w="2552" w:type="dxa"/>
            <w:tcBorders>
              <w:top w:val="nil"/>
              <w:bottom w:val="nil"/>
            </w:tcBorders>
            <w:shd w:val="clear" w:color="auto" w:fill="auto"/>
          </w:tcPr>
          <w:p w14:paraId="67ADFAE2" w14:textId="77777777" w:rsidR="00292E4E" w:rsidRPr="00555ECF" w:rsidRDefault="00292E4E" w:rsidP="00292E4E">
            <w:pPr>
              <w:pStyle w:val="TableText"/>
              <w:ind w:right="113"/>
              <w:rPr>
                <w:i/>
                <w:color w:val="FF0000"/>
              </w:rPr>
            </w:pPr>
            <w:r w:rsidRPr="00555ECF">
              <w:rPr>
                <w:i/>
                <w:color w:val="FF0000"/>
              </w:rPr>
              <w:t>GHB/GBL</w:t>
            </w:r>
          </w:p>
        </w:tc>
        <w:tc>
          <w:tcPr>
            <w:tcW w:w="2173" w:type="dxa"/>
            <w:tcBorders>
              <w:top w:val="nil"/>
              <w:bottom w:val="nil"/>
            </w:tcBorders>
            <w:shd w:val="clear" w:color="auto" w:fill="auto"/>
          </w:tcPr>
          <w:p w14:paraId="187EA285" w14:textId="49053238" w:rsidR="00292E4E" w:rsidRPr="00555ECF" w:rsidRDefault="00292E4E" w:rsidP="00292E4E">
            <w:pPr>
              <w:pStyle w:val="TableText"/>
              <w:tabs>
                <w:tab w:val="decimal" w:pos="1077"/>
              </w:tabs>
              <w:rPr>
                <w:color w:val="FF0000"/>
              </w:rPr>
            </w:pPr>
            <w:r w:rsidRPr="00555ECF">
              <w:rPr>
                <w:color w:val="FF0000"/>
              </w:rPr>
              <w:t>1.13</w:t>
            </w:r>
          </w:p>
        </w:tc>
        <w:tc>
          <w:tcPr>
            <w:tcW w:w="2173" w:type="dxa"/>
            <w:tcBorders>
              <w:top w:val="nil"/>
              <w:bottom w:val="nil"/>
            </w:tcBorders>
            <w:shd w:val="clear" w:color="auto" w:fill="auto"/>
          </w:tcPr>
          <w:p w14:paraId="4D2D89CE" w14:textId="11FDA4C0" w:rsidR="00292E4E" w:rsidRPr="00555ECF" w:rsidRDefault="00292E4E" w:rsidP="00292E4E">
            <w:pPr>
              <w:pStyle w:val="TableText"/>
              <w:tabs>
                <w:tab w:val="decimal" w:pos="1077"/>
              </w:tabs>
              <w:rPr>
                <w:color w:val="FF0000"/>
              </w:rPr>
            </w:pPr>
            <w:r w:rsidRPr="00555ECF">
              <w:rPr>
                <w:color w:val="FF0000"/>
              </w:rPr>
              <w:t>1.92</w:t>
            </w:r>
          </w:p>
        </w:tc>
        <w:tc>
          <w:tcPr>
            <w:tcW w:w="2174" w:type="dxa"/>
            <w:tcBorders>
              <w:top w:val="nil"/>
              <w:bottom w:val="nil"/>
            </w:tcBorders>
            <w:shd w:val="clear" w:color="auto" w:fill="auto"/>
          </w:tcPr>
          <w:p w14:paraId="670C743B" w14:textId="5F44FC84" w:rsidR="00292E4E" w:rsidRPr="00555ECF" w:rsidRDefault="00292E4E" w:rsidP="00292E4E">
            <w:pPr>
              <w:pStyle w:val="TableText"/>
              <w:tabs>
                <w:tab w:val="decimal" w:pos="1077"/>
              </w:tabs>
              <w:rPr>
                <w:color w:val="FF0000"/>
              </w:rPr>
            </w:pPr>
            <w:r w:rsidRPr="00555ECF">
              <w:rPr>
                <w:color w:val="FF0000"/>
              </w:rPr>
              <w:t>3.05</w:t>
            </w:r>
          </w:p>
        </w:tc>
      </w:tr>
      <w:tr w:rsidR="00555ECF" w:rsidRPr="00555ECF" w14:paraId="74D24AAD" w14:textId="77777777" w:rsidTr="00D91EEF">
        <w:trPr>
          <w:cantSplit/>
        </w:trPr>
        <w:tc>
          <w:tcPr>
            <w:tcW w:w="2552" w:type="dxa"/>
            <w:tcBorders>
              <w:top w:val="nil"/>
              <w:bottom w:val="nil"/>
            </w:tcBorders>
            <w:shd w:val="clear" w:color="auto" w:fill="auto"/>
          </w:tcPr>
          <w:p w14:paraId="55D6D47B" w14:textId="77777777" w:rsidR="00292E4E" w:rsidRPr="00555ECF" w:rsidRDefault="00292E4E" w:rsidP="00292E4E">
            <w:pPr>
              <w:pStyle w:val="TableText"/>
              <w:ind w:right="113"/>
              <w:rPr>
                <w:i/>
                <w:color w:val="FF0000"/>
              </w:rPr>
            </w:pPr>
            <w:r w:rsidRPr="00555ECF">
              <w:rPr>
                <w:i/>
                <w:color w:val="FF0000"/>
              </w:rPr>
              <w:t>Cannabis</w:t>
            </w:r>
          </w:p>
        </w:tc>
        <w:tc>
          <w:tcPr>
            <w:tcW w:w="2173" w:type="dxa"/>
            <w:tcBorders>
              <w:top w:val="nil"/>
              <w:bottom w:val="nil"/>
            </w:tcBorders>
            <w:shd w:val="clear" w:color="auto" w:fill="auto"/>
          </w:tcPr>
          <w:p w14:paraId="2DA25E6F" w14:textId="10C4EC85" w:rsidR="00292E4E" w:rsidRPr="00555ECF" w:rsidRDefault="00292E4E" w:rsidP="00292E4E">
            <w:pPr>
              <w:pStyle w:val="TableText"/>
              <w:tabs>
                <w:tab w:val="decimal" w:pos="1077"/>
              </w:tabs>
              <w:rPr>
                <w:color w:val="FF0000"/>
              </w:rPr>
            </w:pPr>
            <w:r w:rsidRPr="00555ECF">
              <w:rPr>
                <w:color w:val="FF0000"/>
              </w:rPr>
              <w:t>281.08</w:t>
            </w:r>
          </w:p>
        </w:tc>
        <w:tc>
          <w:tcPr>
            <w:tcW w:w="2173" w:type="dxa"/>
            <w:tcBorders>
              <w:top w:val="nil"/>
              <w:bottom w:val="nil"/>
            </w:tcBorders>
            <w:shd w:val="clear" w:color="auto" w:fill="auto"/>
          </w:tcPr>
          <w:p w14:paraId="490D8371" w14:textId="6FD8FA00" w:rsidR="00292E4E" w:rsidRPr="00555ECF" w:rsidRDefault="00292E4E" w:rsidP="00292E4E">
            <w:pPr>
              <w:pStyle w:val="TableText"/>
              <w:tabs>
                <w:tab w:val="decimal" w:pos="1077"/>
              </w:tabs>
              <w:rPr>
                <w:color w:val="FF0000"/>
              </w:rPr>
            </w:pPr>
            <w:r w:rsidRPr="00555ECF">
              <w:rPr>
                <w:color w:val="FF0000"/>
              </w:rPr>
              <w:t>626.45</w:t>
            </w:r>
          </w:p>
        </w:tc>
        <w:tc>
          <w:tcPr>
            <w:tcW w:w="2174" w:type="dxa"/>
            <w:tcBorders>
              <w:top w:val="nil"/>
              <w:bottom w:val="nil"/>
            </w:tcBorders>
            <w:shd w:val="clear" w:color="auto" w:fill="auto"/>
          </w:tcPr>
          <w:p w14:paraId="26786BF5" w14:textId="62E47BD8" w:rsidR="00292E4E" w:rsidRPr="00555ECF" w:rsidRDefault="00292E4E" w:rsidP="00292E4E">
            <w:pPr>
              <w:pStyle w:val="TableText"/>
              <w:tabs>
                <w:tab w:val="decimal" w:pos="1077"/>
              </w:tabs>
              <w:rPr>
                <w:color w:val="FF0000"/>
              </w:rPr>
            </w:pPr>
            <w:r w:rsidRPr="00555ECF">
              <w:rPr>
                <w:color w:val="FF0000"/>
              </w:rPr>
              <w:t>907.53</w:t>
            </w:r>
          </w:p>
        </w:tc>
      </w:tr>
      <w:tr w:rsidR="00555ECF" w:rsidRPr="00555ECF" w14:paraId="2B9CDE9A" w14:textId="77777777" w:rsidTr="00D91EEF">
        <w:trPr>
          <w:cantSplit/>
        </w:trPr>
        <w:tc>
          <w:tcPr>
            <w:tcW w:w="2552" w:type="dxa"/>
            <w:tcBorders>
              <w:top w:val="nil"/>
            </w:tcBorders>
            <w:shd w:val="clear" w:color="auto" w:fill="auto"/>
          </w:tcPr>
          <w:p w14:paraId="4287C349" w14:textId="77777777" w:rsidR="00292E4E" w:rsidRPr="00555ECF" w:rsidRDefault="00292E4E" w:rsidP="00292E4E">
            <w:pPr>
              <w:pStyle w:val="TableText"/>
              <w:ind w:right="113"/>
              <w:rPr>
                <w:i/>
                <w:color w:val="FF0000"/>
              </w:rPr>
            </w:pPr>
            <w:r w:rsidRPr="00555ECF">
              <w:rPr>
                <w:i/>
                <w:color w:val="FF0000"/>
              </w:rPr>
              <w:t>Synthetic cannabinoids</w:t>
            </w:r>
          </w:p>
        </w:tc>
        <w:tc>
          <w:tcPr>
            <w:tcW w:w="2173" w:type="dxa"/>
            <w:tcBorders>
              <w:top w:val="nil"/>
            </w:tcBorders>
            <w:shd w:val="clear" w:color="auto" w:fill="auto"/>
          </w:tcPr>
          <w:p w14:paraId="6D5BABD9" w14:textId="4E92DF1F" w:rsidR="00292E4E" w:rsidRPr="00555ECF" w:rsidRDefault="00292E4E" w:rsidP="00292E4E">
            <w:pPr>
              <w:pStyle w:val="TableText"/>
              <w:tabs>
                <w:tab w:val="decimal" w:pos="1077"/>
              </w:tabs>
              <w:rPr>
                <w:color w:val="FF0000"/>
              </w:rPr>
            </w:pPr>
            <w:r w:rsidRPr="00555ECF">
              <w:rPr>
                <w:color w:val="FF0000"/>
              </w:rPr>
              <w:t>78.35</w:t>
            </w:r>
          </w:p>
        </w:tc>
        <w:tc>
          <w:tcPr>
            <w:tcW w:w="2173" w:type="dxa"/>
            <w:tcBorders>
              <w:top w:val="nil"/>
            </w:tcBorders>
            <w:shd w:val="clear" w:color="auto" w:fill="auto"/>
          </w:tcPr>
          <w:p w14:paraId="70DC85FC" w14:textId="0DA3C9CE" w:rsidR="00292E4E" w:rsidRPr="00555ECF" w:rsidRDefault="00292E4E" w:rsidP="00292E4E">
            <w:pPr>
              <w:pStyle w:val="TableText"/>
              <w:tabs>
                <w:tab w:val="decimal" w:pos="1077"/>
              </w:tabs>
              <w:rPr>
                <w:color w:val="FF0000"/>
              </w:rPr>
            </w:pPr>
            <w:r w:rsidRPr="00555ECF">
              <w:rPr>
                <w:color w:val="FF0000"/>
              </w:rPr>
              <w:t>2.10</w:t>
            </w:r>
          </w:p>
        </w:tc>
        <w:tc>
          <w:tcPr>
            <w:tcW w:w="2174" w:type="dxa"/>
            <w:tcBorders>
              <w:top w:val="nil"/>
            </w:tcBorders>
            <w:shd w:val="clear" w:color="auto" w:fill="auto"/>
          </w:tcPr>
          <w:p w14:paraId="570D12F3" w14:textId="0B85137E" w:rsidR="00292E4E" w:rsidRPr="00555ECF" w:rsidRDefault="00292E4E" w:rsidP="00292E4E">
            <w:pPr>
              <w:pStyle w:val="TableText"/>
              <w:tabs>
                <w:tab w:val="decimal" w:pos="1077"/>
              </w:tabs>
              <w:rPr>
                <w:color w:val="FF0000"/>
              </w:rPr>
            </w:pPr>
            <w:r w:rsidRPr="00555ECF">
              <w:rPr>
                <w:color w:val="FF0000"/>
              </w:rPr>
              <w:t>80.45</w:t>
            </w:r>
          </w:p>
        </w:tc>
      </w:tr>
      <w:tr w:rsidR="00555ECF" w:rsidRPr="00555ECF" w14:paraId="532A4E32" w14:textId="77777777" w:rsidTr="00D91EEF">
        <w:trPr>
          <w:cantSplit/>
        </w:trPr>
        <w:tc>
          <w:tcPr>
            <w:tcW w:w="2552" w:type="dxa"/>
            <w:shd w:val="clear" w:color="auto" w:fill="auto"/>
          </w:tcPr>
          <w:p w14:paraId="3C148A1F" w14:textId="77777777" w:rsidR="00292E4E" w:rsidRPr="00555ECF" w:rsidRDefault="00292E4E" w:rsidP="00292E4E">
            <w:pPr>
              <w:pStyle w:val="TableText"/>
              <w:ind w:right="113"/>
              <w:rPr>
                <w:color w:val="FF0000"/>
              </w:rPr>
            </w:pPr>
            <w:r w:rsidRPr="00555ECF">
              <w:rPr>
                <w:color w:val="FF0000"/>
              </w:rPr>
              <w:t>Total</w:t>
            </w:r>
          </w:p>
        </w:tc>
        <w:tc>
          <w:tcPr>
            <w:tcW w:w="2173" w:type="dxa"/>
            <w:shd w:val="clear" w:color="auto" w:fill="auto"/>
          </w:tcPr>
          <w:p w14:paraId="7B03885F" w14:textId="2021930A" w:rsidR="00292E4E" w:rsidRPr="00555ECF" w:rsidRDefault="00292E4E" w:rsidP="00292E4E">
            <w:pPr>
              <w:pStyle w:val="TableText"/>
              <w:tabs>
                <w:tab w:val="decimal" w:pos="1077"/>
              </w:tabs>
              <w:rPr>
                <w:color w:val="FF0000"/>
              </w:rPr>
            </w:pPr>
            <w:r w:rsidRPr="00555ECF">
              <w:rPr>
                <w:color w:val="FF0000"/>
              </w:rPr>
              <w:t>813.01</w:t>
            </w:r>
          </w:p>
        </w:tc>
        <w:tc>
          <w:tcPr>
            <w:tcW w:w="2173" w:type="dxa"/>
            <w:shd w:val="clear" w:color="auto" w:fill="auto"/>
          </w:tcPr>
          <w:p w14:paraId="51939ECB" w14:textId="4088BDFA" w:rsidR="00292E4E" w:rsidRPr="00555ECF" w:rsidRDefault="00292E4E" w:rsidP="00292E4E">
            <w:pPr>
              <w:pStyle w:val="TableText"/>
              <w:tabs>
                <w:tab w:val="decimal" w:pos="1077"/>
              </w:tabs>
              <w:rPr>
                <w:color w:val="FF0000"/>
              </w:rPr>
            </w:pPr>
            <w:r w:rsidRPr="00555ECF">
              <w:rPr>
                <w:color w:val="FF0000"/>
              </w:rPr>
              <w:t>1016.83</w:t>
            </w:r>
          </w:p>
        </w:tc>
        <w:tc>
          <w:tcPr>
            <w:tcW w:w="2174" w:type="dxa"/>
            <w:shd w:val="clear" w:color="auto" w:fill="auto"/>
          </w:tcPr>
          <w:p w14:paraId="273FBC5F" w14:textId="13CB75BF" w:rsidR="00292E4E" w:rsidRPr="00555ECF" w:rsidRDefault="00292E4E" w:rsidP="00292E4E">
            <w:pPr>
              <w:pStyle w:val="TableText"/>
              <w:tabs>
                <w:tab w:val="decimal" w:pos="1077"/>
              </w:tabs>
              <w:rPr>
                <w:color w:val="FF0000"/>
              </w:rPr>
            </w:pPr>
            <w:r w:rsidRPr="00555ECF">
              <w:rPr>
                <w:color w:val="FF0000"/>
              </w:rPr>
              <w:t>1,829.84</w:t>
            </w:r>
          </w:p>
        </w:tc>
      </w:tr>
    </w:tbl>
    <w:p w14:paraId="1906AB29" w14:textId="77777777" w:rsidR="00292E4E" w:rsidRPr="00555ECF" w:rsidRDefault="00292E4E" w:rsidP="00292E4E">
      <w:pPr>
        <w:pStyle w:val="Note"/>
        <w:ind w:left="284" w:hanging="284"/>
        <w:rPr>
          <w:color w:val="FF0000"/>
          <w:lang w:eastAsia="en-AU"/>
        </w:rPr>
      </w:pPr>
      <w:r w:rsidRPr="00555ECF">
        <w:rPr>
          <w:color w:val="FF0000"/>
          <w:lang w:eastAsia="en-AU"/>
        </w:rPr>
        <w:t>*</w:t>
      </w:r>
      <w:r w:rsidRPr="00555ECF">
        <w:rPr>
          <w:color w:val="FF0000"/>
          <w:lang w:eastAsia="en-AU"/>
        </w:rPr>
        <w:tab/>
        <w:t>Insufficient data for an estimate to be made.</w:t>
      </w:r>
    </w:p>
    <w:p w14:paraId="5CF44DE3" w14:textId="77777777" w:rsidR="00684EA6" w:rsidRPr="00555ECF" w:rsidRDefault="00292E4E" w:rsidP="00684EA6">
      <w:pPr>
        <w:pStyle w:val="Note"/>
        <w:ind w:left="284" w:hanging="284"/>
        <w:rPr>
          <w:color w:val="FF0000"/>
          <w:lang w:eastAsia="en-AU"/>
        </w:rPr>
      </w:pPr>
      <w:r w:rsidRPr="00555ECF">
        <w:rPr>
          <w:color w:val="FF0000"/>
          <w:lang w:eastAsia="en-AU"/>
        </w:rPr>
        <w:t>^</w:t>
      </w:r>
      <w:r w:rsidRPr="00555ECF">
        <w:rPr>
          <w:color w:val="FF0000"/>
          <w:lang w:eastAsia="en-AU"/>
        </w:rPr>
        <w:tab/>
        <w:t>Partial estimate due to insufficient data.</w:t>
      </w:r>
    </w:p>
    <w:p w14:paraId="56C48700" w14:textId="5C896AAF" w:rsidR="00684EA6" w:rsidRDefault="00684EA6" w:rsidP="00C22C61"/>
    <w:p w14:paraId="1ECEACB8" w14:textId="51FDAEA2" w:rsidR="00684EA6" w:rsidRDefault="00684EA6" w:rsidP="00C22C61">
      <w:pPr>
        <w:rPr>
          <w:b/>
          <w:bCs/>
          <w:sz w:val="28"/>
          <w:szCs w:val="28"/>
        </w:rPr>
      </w:pPr>
      <w:r>
        <w:rPr>
          <w:b/>
          <w:bCs/>
          <w:sz w:val="28"/>
          <w:szCs w:val="28"/>
        </w:rPr>
        <w:t>Summary of changes to the background modelling</w:t>
      </w:r>
    </w:p>
    <w:p w14:paraId="3AE0BFA1" w14:textId="653B7C66" w:rsidR="00D91EEF" w:rsidRDefault="00684EA6" w:rsidP="00D91EEF">
      <w:r>
        <w:t>The majority of corrections stem from the miscalculation of wastewater totals (Table 2i).</w:t>
      </w:r>
      <w:r w:rsidR="00230286">
        <w:t xml:space="preserve"> In addition,</w:t>
      </w:r>
      <w:r>
        <w:t xml:space="preserve"> </w:t>
      </w:r>
      <w:r w:rsidR="00230286">
        <w:t>t</w:t>
      </w:r>
      <w:r>
        <w:t xml:space="preserve">heft and burglary figures are now taken from victimisation </w:t>
      </w:r>
      <w:r w:rsidR="00230286">
        <w:t>totals</w:t>
      </w:r>
      <w:r>
        <w:t xml:space="preserve"> on the Police website</w:t>
      </w:r>
      <w:r w:rsidR="00D91EEF">
        <w:rPr>
          <w:rStyle w:val="FootnoteReference"/>
        </w:rPr>
        <w:footnoteReference w:id="23"/>
      </w:r>
      <w:r>
        <w:t xml:space="preserve"> rather than internal Police occurrence </w:t>
      </w:r>
      <w:r w:rsidR="00230286">
        <w:t>totals</w:t>
      </w:r>
      <w:r>
        <w:t xml:space="preserve">, leading to minor changes in </w:t>
      </w:r>
      <w:r w:rsidRPr="00684EA6">
        <w:rPr>
          <w:b/>
          <w:bCs/>
        </w:rPr>
        <w:t>Acquisitive crime</w:t>
      </w:r>
      <w:r>
        <w:t xml:space="preserve"> </w:t>
      </w:r>
      <w:r w:rsidR="00230286">
        <w:t>figures</w:t>
      </w:r>
      <w:r w:rsidR="00D91EEF">
        <w:t>. Any other minor corrections are due to rounded numbers being replaced by exact numbers in the background modelling.</w:t>
      </w:r>
    </w:p>
    <w:p w14:paraId="3620309E" w14:textId="4CD18519" w:rsidR="00555ECF" w:rsidRDefault="00555ECF" w:rsidP="00D91EEF"/>
    <w:p w14:paraId="7A544167" w14:textId="77777777" w:rsidR="00684EA6" w:rsidRPr="00537A9A" w:rsidRDefault="00684EA6"/>
    <w:sectPr w:rsidR="00684EA6" w:rsidRPr="00537A9A" w:rsidSect="00D23B2C">
      <w:footerReference w:type="even" r:id="rId19"/>
      <w:footerReference w:type="default" r:id="rId20"/>
      <w:pgSz w:w="11907" w:h="16834" w:code="9"/>
      <w:pgMar w:top="1418" w:right="1418" w:bottom="1134" w:left="1418" w:header="425" w:footer="425"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E32F6" w14:textId="77777777" w:rsidR="00BC6134" w:rsidRDefault="00BC6134">
      <w:r>
        <w:separator/>
      </w:r>
    </w:p>
    <w:p w14:paraId="2245C0D7" w14:textId="77777777" w:rsidR="00BC6134" w:rsidRDefault="00BC6134"/>
    <w:p w14:paraId="6903B7CB" w14:textId="77777777" w:rsidR="00BC6134" w:rsidRDefault="00BC6134"/>
  </w:endnote>
  <w:endnote w:type="continuationSeparator" w:id="0">
    <w:p w14:paraId="2363B20B" w14:textId="77777777" w:rsidR="00BC6134" w:rsidRDefault="00BC6134">
      <w:r>
        <w:continuationSeparator/>
      </w:r>
    </w:p>
    <w:p w14:paraId="42B20E90" w14:textId="77777777" w:rsidR="00BC6134" w:rsidRDefault="00BC6134"/>
    <w:p w14:paraId="43E5777D" w14:textId="77777777" w:rsidR="00BC6134" w:rsidRDefault="00BC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Std-Italic">
    <w:altName w:val="Calibri"/>
    <w:panose1 w:val="00000000000000000000"/>
    <w:charset w:val="00"/>
    <w:family w:val="auto"/>
    <w:notTrueType/>
    <w:pitch w:val="default"/>
    <w:sig w:usb0="00000003" w:usb1="00000000" w:usb2="00000000" w:usb3="00000000" w:csb0="00000001" w:csb1="00000000"/>
  </w:font>
  <w:font w:name="PlantinSt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5022" w14:textId="77777777" w:rsidR="00993D4F" w:rsidRDefault="00993D4F" w:rsidP="004D668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FD81" w14:textId="77777777" w:rsidR="00993D4F" w:rsidRDefault="00993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993D4F" w14:paraId="0E20F6F0" w14:textId="77777777" w:rsidTr="00D662F8">
      <w:trPr>
        <w:cantSplit/>
      </w:trPr>
      <w:tc>
        <w:tcPr>
          <w:tcW w:w="709" w:type="dxa"/>
          <w:vAlign w:val="center"/>
        </w:tcPr>
        <w:p w14:paraId="5869BE58" w14:textId="77777777" w:rsidR="00993D4F" w:rsidRPr="00931466" w:rsidRDefault="00993D4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6BB8083D" w14:textId="77777777" w:rsidR="00993D4F" w:rsidRDefault="00993D4F" w:rsidP="00117F59">
          <w:pPr>
            <w:pStyle w:val="RectoFooter"/>
            <w:jc w:val="left"/>
          </w:pPr>
          <w:r>
            <w:t>[title]: [subhead]</w:t>
          </w:r>
        </w:p>
      </w:tc>
    </w:tr>
  </w:tbl>
  <w:p w14:paraId="21AE0285" w14:textId="77777777" w:rsidR="00993D4F" w:rsidRPr="00571223" w:rsidRDefault="00993D4F"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F151" w14:textId="77777777" w:rsidR="00993D4F" w:rsidRPr="00931466" w:rsidRDefault="00993D4F" w:rsidP="00B97B17">
    <w:pPr>
      <w:pStyle w:val="Footer"/>
      <w:jc w:val="cen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p w14:paraId="0304864C" w14:textId="77777777" w:rsidR="00993D4F" w:rsidRPr="00581EB8" w:rsidRDefault="00993D4F" w:rsidP="00581EB8">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993D4F" w14:paraId="59506DF4" w14:textId="77777777" w:rsidTr="006E2886">
      <w:trPr>
        <w:cantSplit/>
      </w:trPr>
      <w:tc>
        <w:tcPr>
          <w:tcW w:w="675" w:type="dxa"/>
          <w:vAlign w:val="center"/>
        </w:tcPr>
        <w:p w14:paraId="36A16410" w14:textId="77777777" w:rsidR="00993D4F" w:rsidRPr="00931466" w:rsidRDefault="00993D4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18</w:t>
          </w:r>
          <w:r w:rsidRPr="00931466">
            <w:rPr>
              <w:rStyle w:val="PageNumber"/>
            </w:rPr>
            <w:fldChar w:fldCharType="end"/>
          </w:r>
        </w:p>
      </w:tc>
      <w:tc>
        <w:tcPr>
          <w:tcW w:w="9072" w:type="dxa"/>
          <w:vAlign w:val="center"/>
        </w:tcPr>
        <w:p w14:paraId="68888B2F" w14:textId="77777777" w:rsidR="00993D4F" w:rsidRDefault="00993D4F" w:rsidP="00305E02">
          <w:pPr>
            <w:pStyle w:val="RectoFooter"/>
            <w:ind w:left="-108"/>
            <w:jc w:val="left"/>
          </w:pPr>
          <w:r>
            <w:t>the new zealand illicit drug harm index 2020</w:t>
          </w:r>
        </w:p>
      </w:tc>
    </w:tr>
  </w:tbl>
  <w:p w14:paraId="7D970859" w14:textId="77777777" w:rsidR="00993D4F" w:rsidRPr="00571223" w:rsidRDefault="00993D4F"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FA6A" w14:textId="77777777" w:rsidR="00993D4F" w:rsidRPr="00931466" w:rsidRDefault="00993D4F" w:rsidP="0027566E">
    <w:pPr>
      <w:pStyle w:val="Footer"/>
      <w:jc w:val="cen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15</w:t>
    </w:r>
    <w:r w:rsidRPr="00931466">
      <w:rPr>
        <w:rStyle w:val="PageNumber"/>
      </w:rPr>
      <w:fldChar w:fldCharType="end"/>
    </w:r>
  </w:p>
  <w:p w14:paraId="3D9CA20E" w14:textId="77777777" w:rsidR="00993D4F" w:rsidRPr="00581EB8" w:rsidRDefault="00993D4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86B8F" w14:textId="77777777" w:rsidR="00BC6134" w:rsidRDefault="00BC6134"/>
  </w:footnote>
  <w:footnote w:type="continuationSeparator" w:id="0">
    <w:p w14:paraId="1419CA28" w14:textId="77777777" w:rsidR="00BC6134" w:rsidRDefault="00BC6134">
      <w:r>
        <w:continuationSeparator/>
      </w:r>
    </w:p>
    <w:p w14:paraId="3C6D2CE2" w14:textId="77777777" w:rsidR="00BC6134" w:rsidRDefault="00BC6134"/>
    <w:p w14:paraId="435FB776" w14:textId="77777777" w:rsidR="00BC6134" w:rsidRDefault="00BC6134"/>
  </w:footnote>
  <w:footnote w:id="1">
    <w:p w14:paraId="474B6739" w14:textId="41DE3A57" w:rsidR="00993D4F" w:rsidRPr="00EF4E47" w:rsidRDefault="00993D4F" w:rsidP="00EF4E47">
      <w:pPr>
        <w:pStyle w:val="FootnoteText"/>
        <w:ind w:left="567" w:hanging="567"/>
        <w:rPr>
          <w:szCs w:val="18"/>
        </w:rPr>
      </w:pPr>
      <w:r w:rsidRPr="00EF4E47">
        <w:rPr>
          <w:rStyle w:val="FootnoteReference"/>
          <w:szCs w:val="18"/>
        </w:rPr>
        <w:footnoteRef/>
      </w:r>
      <w:r w:rsidRPr="00EF4E47">
        <w:rPr>
          <w:szCs w:val="18"/>
        </w:rPr>
        <w:t xml:space="preserve"> </w:t>
      </w:r>
      <w:r>
        <w:rPr>
          <w:szCs w:val="18"/>
        </w:rPr>
        <w:tab/>
      </w:r>
      <w:r w:rsidRPr="00EF4E47">
        <w:rPr>
          <w:szCs w:val="18"/>
        </w:rPr>
        <w:t xml:space="preserve">All figures in the </w:t>
      </w:r>
      <w:r w:rsidRPr="00EF4E47">
        <w:rPr>
          <w:i/>
          <w:iCs/>
          <w:szCs w:val="18"/>
        </w:rPr>
        <w:t>Summary of social harms ($) per kilogram by drug type</w:t>
      </w:r>
      <w:r>
        <w:rPr>
          <w:i/>
          <w:iCs/>
          <w:szCs w:val="18"/>
        </w:rPr>
        <w:t xml:space="preserve"> </w:t>
      </w:r>
      <w:r>
        <w:rPr>
          <w:szCs w:val="18"/>
        </w:rPr>
        <w:t xml:space="preserve">have been corrected. All figures in </w:t>
      </w:r>
      <w:r w:rsidRPr="00EF4E47">
        <w:rPr>
          <w:szCs w:val="18"/>
        </w:rPr>
        <w:t xml:space="preserve">the </w:t>
      </w:r>
      <w:r w:rsidRPr="00EF4E47">
        <w:rPr>
          <w:i/>
          <w:iCs/>
          <w:szCs w:val="18"/>
        </w:rPr>
        <w:t>Summary of social harms by drug type ($ million)</w:t>
      </w:r>
      <w:r w:rsidRPr="00EF4E47">
        <w:rPr>
          <w:szCs w:val="18"/>
        </w:rPr>
        <w:t xml:space="preserve"> tables have been corrected</w:t>
      </w:r>
      <w:r>
        <w:rPr>
          <w:szCs w:val="18"/>
        </w:rPr>
        <w:t xml:space="preserve">, apart from Personal Harm $ million figures for GHB/GBL and Synthetic cannabinoids. </w:t>
      </w:r>
      <w:r w:rsidRPr="00684EA6">
        <w:rPr>
          <w:szCs w:val="18"/>
        </w:rPr>
        <w:t xml:space="preserve">See </w:t>
      </w:r>
      <w:r w:rsidRPr="00684EA6">
        <w:rPr>
          <w:b/>
          <w:bCs/>
          <w:szCs w:val="18"/>
        </w:rPr>
        <w:t xml:space="preserve">Appendix </w:t>
      </w:r>
      <w:r>
        <w:rPr>
          <w:b/>
          <w:bCs/>
          <w:szCs w:val="18"/>
        </w:rPr>
        <w:t>Two</w:t>
      </w:r>
      <w:r>
        <w:rPr>
          <w:szCs w:val="18"/>
        </w:rPr>
        <w:t xml:space="preserve"> for incorrect numbers.</w:t>
      </w:r>
    </w:p>
  </w:footnote>
  <w:footnote w:id="2">
    <w:p w14:paraId="18BFC473" w14:textId="77777777" w:rsidR="00993D4F" w:rsidRPr="008E0A8A" w:rsidRDefault="00993D4F" w:rsidP="006C6BA9">
      <w:pPr>
        <w:pStyle w:val="FootnoteText"/>
        <w:rPr>
          <w:lang w:val="mi-NZ"/>
        </w:rPr>
      </w:pPr>
      <w:r w:rsidRPr="006C6BA9">
        <w:rPr>
          <w:rStyle w:val="FootnoteReference"/>
        </w:rPr>
        <w:footnoteRef/>
      </w:r>
      <w:r>
        <w:rPr>
          <w:lang w:val="mi-NZ"/>
        </w:rPr>
        <w:tab/>
        <w:t xml:space="preserve">National Drug Intelligence Bureau. (May 2020). </w:t>
      </w:r>
      <w:r>
        <w:rPr>
          <w:i/>
          <w:iCs/>
          <w:lang w:val="mi-NZ"/>
        </w:rPr>
        <w:t xml:space="preserve">Wastewater Testing: Cannabis Update. </w:t>
      </w:r>
      <w:r>
        <w:rPr>
          <w:lang w:val="mi-NZ"/>
        </w:rPr>
        <w:t>IN CONFIDENCE.</w:t>
      </w:r>
    </w:p>
  </w:footnote>
  <w:footnote w:id="3">
    <w:p w14:paraId="3960A22C" w14:textId="353022E3" w:rsidR="00993D4F" w:rsidRDefault="00993D4F">
      <w:pPr>
        <w:pStyle w:val="FootnoteText"/>
      </w:pPr>
      <w:r>
        <w:rPr>
          <w:rStyle w:val="FootnoteReference"/>
        </w:rPr>
        <w:footnoteRef/>
      </w:r>
      <w:r>
        <w:t xml:space="preserve"> </w:t>
      </w:r>
      <w:r>
        <w:tab/>
        <w:t xml:space="preserve">Total consumption (kg) for </w:t>
      </w:r>
      <w:r w:rsidRPr="00DF3F1D">
        <w:t>Methamphetamine, Cocaine and MDMA</w:t>
      </w:r>
      <w:r>
        <w:t xml:space="preserve"> have been corrected. </w:t>
      </w:r>
      <w:r w:rsidRPr="00684EA6">
        <w:rPr>
          <w:szCs w:val="18"/>
        </w:rPr>
        <w:t xml:space="preserve">See </w:t>
      </w:r>
      <w:r w:rsidRPr="00684EA6">
        <w:rPr>
          <w:b/>
          <w:bCs/>
          <w:szCs w:val="18"/>
        </w:rPr>
        <w:t xml:space="preserve">Appendix </w:t>
      </w:r>
      <w:r>
        <w:rPr>
          <w:b/>
          <w:bCs/>
          <w:szCs w:val="18"/>
        </w:rPr>
        <w:t>Two</w:t>
      </w:r>
      <w:r>
        <w:rPr>
          <w:szCs w:val="18"/>
        </w:rPr>
        <w:t xml:space="preserve"> for incorrect numbers.</w:t>
      </w:r>
    </w:p>
  </w:footnote>
  <w:footnote w:id="4">
    <w:p w14:paraId="0FE036D0" w14:textId="77777777" w:rsidR="00993D4F" w:rsidRPr="008E0A8A" w:rsidRDefault="00993D4F" w:rsidP="006C6BA9">
      <w:pPr>
        <w:pStyle w:val="FootnoteText"/>
        <w:rPr>
          <w:lang w:val="mi-NZ"/>
        </w:rPr>
      </w:pPr>
      <w:r w:rsidRPr="006C6BA9">
        <w:rPr>
          <w:rStyle w:val="FootnoteReference"/>
        </w:rPr>
        <w:footnoteRef/>
      </w:r>
      <w:r>
        <w:rPr>
          <w:lang w:val="mi-NZ"/>
        </w:rPr>
        <w:tab/>
        <w:t xml:space="preserve">Keywords searched: </w:t>
      </w:r>
      <w:r w:rsidRPr="00293088">
        <w:rPr>
          <w:lang w:val="mi-NZ"/>
        </w:rPr>
        <w:t>heroin (heroin, opium), fentanyl, cocaine, methamphetamine, GHB (GHB, fantasy, liquid ecstasy), MDMA (MDMA, ecstasy), Synthetic cannabinoid (synthetic cannibi, FUBINACA, Kronic), Drug toxicity (drug overdose, drug toxicity), Multi-drug (multi-drug, multi drug)</w:t>
      </w:r>
      <w:r>
        <w:rPr>
          <w:lang w:val="mi-NZ"/>
        </w:rPr>
        <w:t>.</w:t>
      </w:r>
    </w:p>
  </w:footnote>
  <w:footnote w:id="5">
    <w:p w14:paraId="795302C5" w14:textId="369CC2B8" w:rsidR="00993D4F" w:rsidRDefault="00993D4F">
      <w:pPr>
        <w:pStyle w:val="FootnoteText"/>
      </w:pPr>
      <w:r>
        <w:rPr>
          <w:rStyle w:val="FootnoteReference"/>
        </w:rPr>
        <w:footnoteRef/>
      </w:r>
      <w:r>
        <w:t xml:space="preserve"> </w:t>
      </w:r>
      <w:r>
        <w:tab/>
        <w:t>Figure corrected from $484.4 million.</w:t>
      </w:r>
    </w:p>
  </w:footnote>
  <w:footnote w:id="6">
    <w:p w14:paraId="5D6DE184" w14:textId="71CC3977" w:rsidR="00993D4F" w:rsidRDefault="00993D4F">
      <w:pPr>
        <w:pStyle w:val="FootnoteText"/>
      </w:pPr>
      <w:r>
        <w:rPr>
          <w:rStyle w:val="FootnoteReference"/>
        </w:rPr>
        <w:footnoteRef/>
      </w:r>
      <w:r>
        <w:t xml:space="preserve"> </w:t>
      </w:r>
      <w:r>
        <w:tab/>
        <w:t>Figure corrected from $244.5 million.</w:t>
      </w:r>
    </w:p>
  </w:footnote>
  <w:footnote w:id="7">
    <w:p w14:paraId="2B23C6B3" w14:textId="7BF44B78" w:rsidR="00993D4F" w:rsidRDefault="00993D4F">
      <w:pPr>
        <w:pStyle w:val="FootnoteText"/>
      </w:pPr>
      <w:r>
        <w:rPr>
          <w:rStyle w:val="FootnoteReference"/>
        </w:rPr>
        <w:footnoteRef/>
      </w:r>
      <w:r>
        <w:t xml:space="preserve"> </w:t>
      </w:r>
      <w:r>
        <w:tab/>
        <w:t>Figure corrected from $328.6 million.</w:t>
      </w:r>
    </w:p>
  </w:footnote>
  <w:footnote w:id="8">
    <w:p w14:paraId="74D1A9F3" w14:textId="66004223" w:rsidR="00993D4F" w:rsidRDefault="00993D4F">
      <w:pPr>
        <w:pStyle w:val="FootnoteText"/>
      </w:pPr>
      <w:r>
        <w:rPr>
          <w:rStyle w:val="FootnoteReference"/>
        </w:rPr>
        <w:footnoteRef/>
      </w:r>
      <w:r>
        <w:t xml:space="preserve"> </w:t>
      </w:r>
      <w:r>
        <w:tab/>
        <w:t>Figure corrected from $309.4 million.</w:t>
      </w:r>
    </w:p>
  </w:footnote>
  <w:footnote w:id="9">
    <w:p w14:paraId="26DDED18" w14:textId="32F6292F" w:rsidR="00993D4F" w:rsidRDefault="00993D4F">
      <w:pPr>
        <w:pStyle w:val="FootnoteText"/>
      </w:pPr>
      <w:r>
        <w:rPr>
          <w:rStyle w:val="FootnoteReference"/>
        </w:rPr>
        <w:footnoteRef/>
      </w:r>
      <w:r>
        <w:t xml:space="preserve"> </w:t>
      </w:r>
      <w:r>
        <w:tab/>
        <w:t>Figure corrected from $19.2 million.</w:t>
      </w:r>
    </w:p>
  </w:footnote>
  <w:footnote w:id="10">
    <w:p w14:paraId="296BAB47" w14:textId="17DE5232" w:rsidR="00993D4F" w:rsidRDefault="00993D4F">
      <w:pPr>
        <w:pStyle w:val="FootnoteText"/>
      </w:pPr>
      <w:r>
        <w:rPr>
          <w:rStyle w:val="FootnoteReference"/>
        </w:rPr>
        <w:footnoteRef/>
      </w:r>
      <w:r>
        <w:t xml:space="preserve"> </w:t>
      </w:r>
      <w:r>
        <w:tab/>
        <w:t xml:space="preserve">The following figures in </w:t>
      </w:r>
      <w:r w:rsidRPr="00DF3F1D">
        <w:rPr>
          <w:i/>
          <w:iCs/>
        </w:rPr>
        <w:t>Table 3</w:t>
      </w:r>
      <w:r>
        <w:t xml:space="preserve"> have been corrected: Premature death – Methamphetamine; Serious injury – Methamphetamine, Cocaine, Cannabis; Minor injury – Methamphetamine, Heroin; Total harm – Methamphetamine, Cocaine, MDMA, Heroin, Cannabis. </w:t>
      </w:r>
      <w:r w:rsidRPr="00684EA6">
        <w:rPr>
          <w:szCs w:val="18"/>
        </w:rPr>
        <w:t xml:space="preserve">See </w:t>
      </w:r>
      <w:r w:rsidRPr="00684EA6">
        <w:rPr>
          <w:b/>
          <w:bCs/>
          <w:szCs w:val="18"/>
        </w:rPr>
        <w:t xml:space="preserve">Appendix </w:t>
      </w:r>
      <w:r>
        <w:rPr>
          <w:b/>
          <w:bCs/>
          <w:szCs w:val="18"/>
        </w:rPr>
        <w:t>Two</w:t>
      </w:r>
      <w:r>
        <w:rPr>
          <w:szCs w:val="18"/>
        </w:rPr>
        <w:t xml:space="preserve"> for incorrect numbers.</w:t>
      </w:r>
    </w:p>
  </w:footnote>
  <w:footnote w:id="11">
    <w:p w14:paraId="3D85B5B5" w14:textId="04362E82" w:rsidR="00993D4F" w:rsidRDefault="00993D4F">
      <w:pPr>
        <w:pStyle w:val="FootnoteText"/>
      </w:pPr>
      <w:r>
        <w:rPr>
          <w:rStyle w:val="FootnoteReference"/>
        </w:rPr>
        <w:footnoteRef/>
      </w:r>
      <w:r>
        <w:t xml:space="preserve"> </w:t>
      </w:r>
      <w:r>
        <w:tab/>
        <w:t>Corrected from $813.0 million.</w:t>
      </w:r>
    </w:p>
  </w:footnote>
  <w:footnote w:id="12">
    <w:p w14:paraId="02212A41" w14:textId="2DA2F02B" w:rsidR="00993D4F" w:rsidRDefault="00993D4F">
      <w:pPr>
        <w:pStyle w:val="FootnoteText"/>
      </w:pPr>
      <w:r>
        <w:rPr>
          <w:rStyle w:val="FootnoteReference"/>
        </w:rPr>
        <w:footnoteRef/>
      </w:r>
      <w:r>
        <w:t xml:space="preserve"> </w:t>
      </w:r>
      <w:r>
        <w:tab/>
        <w:t>Corrected from $484.4 million.</w:t>
      </w:r>
    </w:p>
  </w:footnote>
  <w:footnote w:id="13">
    <w:p w14:paraId="33B3BDCB" w14:textId="5EE46B46" w:rsidR="00993D4F" w:rsidRDefault="00993D4F">
      <w:pPr>
        <w:pStyle w:val="FootnoteText"/>
      </w:pPr>
      <w:r>
        <w:rPr>
          <w:rStyle w:val="FootnoteReference"/>
        </w:rPr>
        <w:footnoteRef/>
      </w:r>
      <w:r>
        <w:t xml:space="preserve"> </w:t>
      </w:r>
      <w:r>
        <w:tab/>
        <w:t>Corrected from $404.2 million.</w:t>
      </w:r>
    </w:p>
  </w:footnote>
  <w:footnote w:id="14">
    <w:p w14:paraId="78B0358D" w14:textId="378DF4C7" w:rsidR="00993D4F" w:rsidRDefault="00993D4F" w:rsidP="00DF3F1D">
      <w:pPr>
        <w:pStyle w:val="FootnoteText"/>
      </w:pPr>
      <w:r>
        <w:rPr>
          <w:rStyle w:val="FootnoteReference"/>
        </w:rPr>
        <w:footnoteRef/>
      </w:r>
      <w:r>
        <w:t xml:space="preserve"> </w:t>
      </w:r>
      <w:r>
        <w:tab/>
        <w:t xml:space="preserve">Corrected from 71,546 (source: </w:t>
      </w:r>
      <w:r w:rsidRPr="00DF3F1D">
        <w:t>https://www.police.govt.nz/about-us/publications-statistics/data-and-statistics/policedatanz/victimisation-time-and-place</w:t>
      </w:r>
      <w:r>
        <w:t>).</w:t>
      </w:r>
    </w:p>
  </w:footnote>
  <w:footnote w:id="15">
    <w:p w14:paraId="0F75638B" w14:textId="5BF43D8C" w:rsidR="00993D4F" w:rsidRDefault="00993D4F">
      <w:pPr>
        <w:pStyle w:val="FootnoteText"/>
      </w:pPr>
      <w:r>
        <w:rPr>
          <w:rStyle w:val="FootnoteReference"/>
        </w:rPr>
        <w:footnoteRef/>
      </w:r>
      <w:r>
        <w:t xml:space="preserve"> </w:t>
      </w:r>
      <w:r>
        <w:tab/>
        <w:t xml:space="preserve">Corrected from 106,916 (source: </w:t>
      </w:r>
      <w:r w:rsidRPr="00DF3F1D">
        <w:t>https://www.police.govt.nz/about-us/publications-statistics/data-and-statistics/policedatanz/victimisation-time-and-place</w:t>
      </w:r>
      <w:r>
        <w:t>).</w:t>
      </w:r>
    </w:p>
  </w:footnote>
  <w:footnote w:id="16">
    <w:p w14:paraId="38EAE9CE" w14:textId="6DE01BAE" w:rsidR="00993D4F" w:rsidRDefault="00993D4F">
      <w:pPr>
        <w:pStyle w:val="FootnoteText"/>
      </w:pPr>
      <w:r>
        <w:rPr>
          <w:rStyle w:val="FootnoteReference"/>
        </w:rPr>
        <w:footnoteRef/>
      </w:r>
      <w:r>
        <w:t xml:space="preserve"> </w:t>
      </w:r>
      <w:bookmarkStart w:id="26" w:name="_Hlk95403001"/>
      <w:r>
        <w:tab/>
        <w:t>Corrected from $196.5 million.</w:t>
      </w:r>
      <w:bookmarkEnd w:id="26"/>
    </w:p>
  </w:footnote>
  <w:footnote w:id="17">
    <w:p w14:paraId="63272879" w14:textId="5171C963" w:rsidR="00993D4F" w:rsidRDefault="00993D4F">
      <w:pPr>
        <w:pStyle w:val="FootnoteText"/>
      </w:pPr>
      <w:r>
        <w:rPr>
          <w:rStyle w:val="FootnoteReference"/>
        </w:rPr>
        <w:footnoteRef/>
      </w:r>
      <w:r>
        <w:t xml:space="preserve"> Corrected from $61.4 million.</w:t>
      </w:r>
    </w:p>
  </w:footnote>
  <w:footnote w:id="18">
    <w:p w14:paraId="01FC4B09" w14:textId="15AE7BE7" w:rsidR="00993D4F" w:rsidRDefault="00993D4F">
      <w:pPr>
        <w:pStyle w:val="FootnoteText"/>
      </w:pPr>
      <w:r>
        <w:rPr>
          <w:rStyle w:val="FootnoteReference"/>
        </w:rPr>
        <w:footnoteRef/>
      </w:r>
      <w:r>
        <w:t xml:space="preserve"> Corrected from “over 90%”.</w:t>
      </w:r>
    </w:p>
  </w:footnote>
  <w:footnote w:id="19">
    <w:p w14:paraId="1FFFD342" w14:textId="20CE3A97" w:rsidR="00993D4F" w:rsidRDefault="00993D4F">
      <w:pPr>
        <w:pStyle w:val="FootnoteText"/>
      </w:pPr>
      <w:r>
        <w:rPr>
          <w:rStyle w:val="FootnoteReference"/>
        </w:rPr>
        <w:footnoteRef/>
      </w:r>
      <w:r>
        <w:t xml:space="preserve"> </w:t>
      </w:r>
      <w:bookmarkStart w:id="27" w:name="_Hlk95403201"/>
      <w:r>
        <w:t>Corrected from $240.2 million.</w:t>
      </w:r>
      <w:bookmarkEnd w:id="27"/>
    </w:p>
  </w:footnote>
  <w:footnote w:id="20">
    <w:p w14:paraId="77FEBF3B" w14:textId="1F92F834" w:rsidR="00993D4F" w:rsidRDefault="00993D4F">
      <w:pPr>
        <w:pStyle w:val="FootnoteText"/>
      </w:pPr>
      <w:r>
        <w:rPr>
          <w:rStyle w:val="FootnoteReference"/>
        </w:rPr>
        <w:footnoteRef/>
      </w:r>
      <w:r>
        <w:t xml:space="preserve"> The following figures in </w:t>
      </w:r>
      <w:r w:rsidRPr="00DF3F1D">
        <w:rPr>
          <w:i/>
          <w:iCs/>
        </w:rPr>
        <w:t xml:space="preserve">Table </w:t>
      </w:r>
      <w:r>
        <w:rPr>
          <w:i/>
          <w:iCs/>
        </w:rPr>
        <w:t>4</w:t>
      </w:r>
      <w:r>
        <w:t xml:space="preserve"> have been corrected: Harm to family and friends – Methamphetamine, MDMA, Cannabis; Acquisitive crime – Methamphetamine, Cocaine, MDMA, GHB, Cannabis, Synthetic Cannabinoids; Reinvestment in other crime – Methamphetamine, Cocaine, MDMA, Cannabis; Tax revenue forgone – Methamphetamine, Cocaine, MDMA, Cannabis; All Total harm figures.</w:t>
      </w:r>
    </w:p>
  </w:footnote>
  <w:footnote w:id="21">
    <w:p w14:paraId="282D547A" w14:textId="145779EB" w:rsidR="00993D4F" w:rsidRDefault="00993D4F" w:rsidP="00292E4E">
      <w:pPr>
        <w:pStyle w:val="FootnoteText"/>
      </w:pPr>
      <w:r>
        <w:rPr>
          <w:rStyle w:val="FootnoteReference"/>
        </w:rPr>
        <w:footnoteRef/>
      </w:r>
      <w:r>
        <w:t xml:space="preserve"> </w:t>
      </w:r>
      <w:r>
        <w:tab/>
      </w:r>
      <w:r w:rsidRPr="00EF4E47">
        <w:rPr>
          <w:szCs w:val="18"/>
        </w:rPr>
        <w:t xml:space="preserve">All figures in </w:t>
      </w:r>
      <w:r w:rsidRPr="00292E4E">
        <w:rPr>
          <w:i/>
          <w:iCs/>
          <w:szCs w:val="18"/>
        </w:rPr>
        <w:t>Table 5</w:t>
      </w:r>
      <w:r>
        <w:rPr>
          <w:szCs w:val="18"/>
        </w:rPr>
        <w:t xml:space="preserve"> been corrected. </w:t>
      </w:r>
    </w:p>
  </w:footnote>
  <w:footnote w:id="22">
    <w:p w14:paraId="574639BE" w14:textId="7F49AF34" w:rsidR="00993D4F" w:rsidRDefault="00993D4F">
      <w:pPr>
        <w:pStyle w:val="FootnoteText"/>
      </w:pPr>
      <w:r>
        <w:rPr>
          <w:rStyle w:val="FootnoteReference"/>
        </w:rPr>
        <w:footnoteRef/>
      </w:r>
      <w:r>
        <w:t xml:space="preserve"> </w:t>
      </w:r>
      <w:r>
        <w:tab/>
      </w:r>
      <w:r>
        <w:rPr>
          <w:szCs w:val="18"/>
        </w:rPr>
        <w:t xml:space="preserve">All figures in </w:t>
      </w:r>
      <w:r w:rsidRPr="00EF4E47">
        <w:rPr>
          <w:szCs w:val="18"/>
        </w:rPr>
        <w:t xml:space="preserve">the </w:t>
      </w:r>
      <w:r w:rsidRPr="00EF4E47">
        <w:rPr>
          <w:i/>
          <w:iCs/>
          <w:szCs w:val="18"/>
        </w:rPr>
        <w:t>Summary of social harms by drug type ($ million)</w:t>
      </w:r>
      <w:r w:rsidRPr="00EF4E47">
        <w:rPr>
          <w:szCs w:val="18"/>
        </w:rPr>
        <w:t xml:space="preserve"> tables have been corrected</w:t>
      </w:r>
      <w:r>
        <w:rPr>
          <w:szCs w:val="18"/>
        </w:rPr>
        <w:t>, apart from Personal Harm $ million figures for GHB/GBL and Synthetic cannabinoids.</w:t>
      </w:r>
      <w:r w:rsidRPr="00292E4E">
        <w:rPr>
          <w:szCs w:val="18"/>
        </w:rPr>
        <w:t xml:space="preserve"> </w:t>
      </w:r>
      <w:r w:rsidRPr="00684EA6">
        <w:rPr>
          <w:szCs w:val="18"/>
        </w:rPr>
        <w:t xml:space="preserve">See </w:t>
      </w:r>
      <w:r w:rsidRPr="00684EA6">
        <w:rPr>
          <w:b/>
          <w:bCs/>
          <w:szCs w:val="18"/>
        </w:rPr>
        <w:t xml:space="preserve">Appendix </w:t>
      </w:r>
      <w:r>
        <w:rPr>
          <w:b/>
          <w:bCs/>
          <w:szCs w:val="18"/>
        </w:rPr>
        <w:t>Two</w:t>
      </w:r>
      <w:r>
        <w:rPr>
          <w:szCs w:val="18"/>
        </w:rPr>
        <w:t xml:space="preserve"> for incorrect numbers.</w:t>
      </w:r>
    </w:p>
  </w:footnote>
  <w:footnote w:id="23">
    <w:p w14:paraId="1FD40CA4" w14:textId="7B3DB33C" w:rsidR="00993D4F" w:rsidRDefault="00993D4F">
      <w:pPr>
        <w:pStyle w:val="FootnoteText"/>
      </w:pPr>
      <w:r>
        <w:rPr>
          <w:rStyle w:val="FootnoteReference"/>
        </w:rPr>
        <w:footnoteRef/>
      </w:r>
      <w:r>
        <w:t xml:space="preserve"> </w:t>
      </w:r>
      <w:r>
        <w:tab/>
        <w:t xml:space="preserve">Source: </w:t>
      </w:r>
      <w:r w:rsidRPr="00DF3F1D">
        <w:t>https://www.police.govt.nz/about-us/publications-statistics/data-and-statistics/policedatanz/victimisation-time-and-place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EC32" w14:textId="77777777" w:rsidR="00993D4F" w:rsidRDefault="00993D4F"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F6CA" w14:textId="77777777" w:rsidR="00993D4F" w:rsidRDefault="00993D4F" w:rsidP="007D2CB4">
    <w:pPr>
      <w:pStyle w:val="Header"/>
      <w:pBdr>
        <w:bottom w:val="single" w:sz="4" w:space="2" w:color="0070C0"/>
      </w:pBdr>
    </w:pPr>
    <w:r>
      <w:t>New Zealand Illicit Drug Harm Index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B00D65"/>
    <w:multiLevelType w:val="hybridMultilevel"/>
    <w:tmpl w:val="29261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4"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9"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47B67A1"/>
    <w:multiLevelType w:val="hybridMultilevel"/>
    <w:tmpl w:val="AD4E2F84"/>
    <w:lvl w:ilvl="0" w:tplc="1409000F">
      <w:start w:val="1"/>
      <w:numFmt w:val="decimal"/>
      <w:lvlText w:val="%1."/>
      <w:lvlJc w:val="left"/>
      <w:pPr>
        <w:ind w:left="1210" w:hanging="360"/>
      </w:pPr>
    </w:lvl>
    <w:lvl w:ilvl="1" w:tplc="14090019" w:tentative="1">
      <w:start w:val="1"/>
      <w:numFmt w:val="lowerLetter"/>
      <w:lvlText w:val="%2."/>
      <w:lvlJc w:val="left"/>
      <w:pPr>
        <w:ind w:left="1930" w:hanging="360"/>
      </w:pPr>
    </w:lvl>
    <w:lvl w:ilvl="2" w:tplc="1409001B" w:tentative="1">
      <w:start w:val="1"/>
      <w:numFmt w:val="lowerRoman"/>
      <w:lvlText w:val="%3."/>
      <w:lvlJc w:val="right"/>
      <w:pPr>
        <w:ind w:left="2650" w:hanging="180"/>
      </w:pPr>
    </w:lvl>
    <w:lvl w:ilvl="3" w:tplc="1409000F" w:tentative="1">
      <w:start w:val="1"/>
      <w:numFmt w:val="decimal"/>
      <w:lvlText w:val="%4."/>
      <w:lvlJc w:val="left"/>
      <w:pPr>
        <w:ind w:left="3370" w:hanging="360"/>
      </w:pPr>
    </w:lvl>
    <w:lvl w:ilvl="4" w:tplc="14090019" w:tentative="1">
      <w:start w:val="1"/>
      <w:numFmt w:val="lowerLetter"/>
      <w:lvlText w:val="%5."/>
      <w:lvlJc w:val="left"/>
      <w:pPr>
        <w:ind w:left="4090" w:hanging="360"/>
      </w:pPr>
    </w:lvl>
    <w:lvl w:ilvl="5" w:tplc="1409001B" w:tentative="1">
      <w:start w:val="1"/>
      <w:numFmt w:val="lowerRoman"/>
      <w:lvlText w:val="%6."/>
      <w:lvlJc w:val="right"/>
      <w:pPr>
        <w:ind w:left="4810" w:hanging="180"/>
      </w:pPr>
    </w:lvl>
    <w:lvl w:ilvl="6" w:tplc="1409000F" w:tentative="1">
      <w:start w:val="1"/>
      <w:numFmt w:val="decimal"/>
      <w:lvlText w:val="%7."/>
      <w:lvlJc w:val="left"/>
      <w:pPr>
        <w:ind w:left="5530" w:hanging="360"/>
      </w:pPr>
    </w:lvl>
    <w:lvl w:ilvl="7" w:tplc="14090019" w:tentative="1">
      <w:start w:val="1"/>
      <w:numFmt w:val="lowerLetter"/>
      <w:lvlText w:val="%8."/>
      <w:lvlJc w:val="left"/>
      <w:pPr>
        <w:ind w:left="6250" w:hanging="360"/>
      </w:pPr>
    </w:lvl>
    <w:lvl w:ilvl="8" w:tplc="1409001B" w:tentative="1">
      <w:start w:val="1"/>
      <w:numFmt w:val="lowerRoman"/>
      <w:lvlText w:val="%9."/>
      <w:lvlJc w:val="right"/>
      <w:pPr>
        <w:ind w:left="6970" w:hanging="180"/>
      </w:pPr>
    </w:lvl>
  </w:abstractNum>
  <w:abstractNum w:abstractNumId="26"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2"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2"/>
  </w:num>
  <w:num w:numId="2">
    <w:abstractNumId w:val="22"/>
  </w:num>
  <w:num w:numId="3">
    <w:abstractNumId w:val="23"/>
  </w:num>
  <w:num w:numId="4">
    <w:abstractNumId w:val="4"/>
  </w:num>
  <w:num w:numId="5">
    <w:abstractNumId w:val="1"/>
  </w:num>
  <w:num w:numId="6">
    <w:abstractNumId w:val="28"/>
  </w:num>
  <w:num w:numId="7">
    <w:abstractNumId w:val="36"/>
  </w:num>
  <w:num w:numId="8">
    <w:abstractNumId w:val="3"/>
  </w:num>
  <w:num w:numId="9">
    <w:abstractNumId w:val="37"/>
  </w:num>
  <w:num w:numId="10">
    <w:abstractNumId w:val="30"/>
  </w:num>
  <w:num w:numId="11">
    <w:abstractNumId w:val="16"/>
  </w:num>
  <w:num w:numId="12">
    <w:abstractNumId w:val="21"/>
  </w:num>
  <w:num w:numId="13">
    <w:abstractNumId w:val="0"/>
  </w:num>
  <w:num w:numId="14">
    <w:abstractNumId w:val="13"/>
  </w:num>
  <w:num w:numId="15">
    <w:abstractNumId w:val="19"/>
  </w:num>
  <w:num w:numId="16">
    <w:abstractNumId w:val="31"/>
  </w:num>
  <w:num w:numId="17">
    <w:abstractNumId w:val="8"/>
  </w:num>
  <w:num w:numId="18">
    <w:abstractNumId w:val="15"/>
  </w:num>
  <w:num w:numId="19">
    <w:abstractNumId w:val="9"/>
  </w:num>
  <w:num w:numId="20">
    <w:abstractNumId w:val="6"/>
  </w:num>
  <w:num w:numId="21">
    <w:abstractNumId w:val="40"/>
  </w:num>
  <w:num w:numId="22">
    <w:abstractNumId w:val="14"/>
  </w:num>
  <w:num w:numId="23">
    <w:abstractNumId w:val="38"/>
  </w:num>
  <w:num w:numId="24">
    <w:abstractNumId w:val="2"/>
  </w:num>
  <w:num w:numId="25">
    <w:abstractNumId w:val="7"/>
  </w:num>
  <w:num w:numId="26">
    <w:abstractNumId w:val="5"/>
  </w:num>
  <w:num w:numId="27">
    <w:abstractNumId w:val="33"/>
  </w:num>
  <w:num w:numId="28">
    <w:abstractNumId w:val="39"/>
  </w:num>
  <w:num w:numId="29">
    <w:abstractNumId w:val="18"/>
  </w:num>
  <w:num w:numId="30">
    <w:abstractNumId w:val="11"/>
  </w:num>
  <w:num w:numId="31">
    <w:abstractNumId w:val="29"/>
  </w:num>
  <w:num w:numId="32">
    <w:abstractNumId w:val="20"/>
  </w:num>
  <w:num w:numId="33">
    <w:abstractNumId w:val="43"/>
  </w:num>
  <w:num w:numId="34">
    <w:abstractNumId w:val="17"/>
  </w:num>
  <w:num w:numId="35">
    <w:abstractNumId w:val="35"/>
  </w:num>
  <w:num w:numId="36">
    <w:abstractNumId w:val="32"/>
  </w:num>
  <w:num w:numId="37">
    <w:abstractNumId w:val="41"/>
  </w:num>
  <w:num w:numId="38">
    <w:abstractNumId w:val="34"/>
  </w:num>
  <w:num w:numId="39">
    <w:abstractNumId w:val="24"/>
  </w:num>
  <w:num w:numId="40">
    <w:abstractNumId w:val="26"/>
  </w:num>
  <w:num w:numId="41">
    <w:abstractNumId w:val="10"/>
  </w:num>
  <w:num w:numId="42">
    <w:abstractNumId w:val="27"/>
  </w:num>
  <w:num w:numId="43">
    <w:abstractNumId w:val="25"/>
  </w:num>
  <w:num w:numId="44">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860"/>
    <w:rsid w:val="00005BB5"/>
    <w:rsid w:val="00025A6F"/>
    <w:rsid w:val="0002618D"/>
    <w:rsid w:val="00030B26"/>
    <w:rsid w:val="00030E84"/>
    <w:rsid w:val="000320CC"/>
    <w:rsid w:val="00032C0A"/>
    <w:rsid w:val="00035257"/>
    <w:rsid w:val="00035D68"/>
    <w:rsid w:val="00036027"/>
    <w:rsid w:val="000419A9"/>
    <w:rsid w:val="00045613"/>
    <w:rsid w:val="00047899"/>
    <w:rsid w:val="00053921"/>
    <w:rsid w:val="00054B44"/>
    <w:rsid w:val="0006006B"/>
    <w:rsid w:val="0006228D"/>
    <w:rsid w:val="00062940"/>
    <w:rsid w:val="00072BD6"/>
    <w:rsid w:val="00075B78"/>
    <w:rsid w:val="000763E9"/>
    <w:rsid w:val="00082CD6"/>
    <w:rsid w:val="0008437D"/>
    <w:rsid w:val="00085AFE"/>
    <w:rsid w:val="0009383C"/>
    <w:rsid w:val="00094800"/>
    <w:rsid w:val="0009487A"/>
    <w:rsid w:val="000A0158"/>
    <w:rsid w:val="000A0BC9"/>
    <w:rsid w:val="000A2053"/>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4508"/>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3744"/>
    <w:rsid w:val="00197427"/>
    <w:rsid w:val="001A21B4"/>
    <w:rsid w:val="001A5CF5"/>
    <w:rsid w:val="001B39D2"/>
    <w:rsid w:val="001B4BF8"/>
    <w:rsid w:val="001B7B14"/>
    <w:rsid w:val="001C4326"/>
    <w:rsid w:val="001C650A"/>
    <w:rsid w:val="001C665E"/>
    <w:rsid w:val="001D3541"/>
    <w:rsid w:val="001D3E4E"/>
    <w:rsid w:val="001E254A"/>
    <w:rsid w:val="001E6A6C"/>
    <w:rsid w:val="001E7386"/>
    <w:rsid w:val="001F3983"/>
    <w:rsid w:val="001F45A7"/>
    <w:rsid w:val="001F5E27"/>
    <w:rsid w:val="0020027C"/>
    <w:rsid w:val="00201A01"/>
    <w:rsid w:val="0020754B"/>
    <w:rsid w:val="002104D3"/>
    <w:rsid w:val="00213A33"/>
    <w:rsid w:val="0021763B"/>
    <w:rsid w:val="00230286"/>
    <w:rsid w:val="00232E9F"/>
    <w:rsid w:val="002345AF"/>
    <w:rsid w:val="00245748"/>
    <w:rsid w:val="00246DB1"/>
    <w:rsid w:val="002476B5"/>
    <w:rsid w:val="002520CC"/>
    <w:rsid w:val="00253ECF"/>
    <w:rsid w:val="00254044"/>
    <w:rsid w:val="002546A1"/>
    <w:rsid w:val="00256686"/>
    <w:rsid w:val="002575E8"/>
    <w:rsid w:val="00257EF1"/>
    <w:rsid w:val="002628F4"/>
    <w:rsid w:val="0027566E"/>
    <w:rsid w:val="00275D08"/>
    <w:rsid w:val="002839AF"/>
    <w:rsid w:val="002858E3"/>
    <w:rsid w:val="0029190A"/>
    <w:rsid w:val="00292C5A"/>
    <w:rsid w:val="00292E4E"/>
    <w:rsid w:val="00295241"/>
    <w:rsid w:val="002A4DFC"/>
    <w:rsid w:val="002B047D"/>
    <w:rsid w:val="002B732B"/>
    <w:rsid w:val="002B76A7"/>
    <w:rsid w:val="002B7BEC"/>
    <w:rsid w:val="002C2219"/>
    <w:rsid w:val="002C2552"/>
    <w:rsid w:val="002C380A"/>
    <w:rsid w:val="002D0DF2"/>
    <w:rsid w:val="002D23BD"/>
    <w:rsid w:val="002E0B47"/>
    <w:rsid w:val="002E2E2D"/>
    <w:rsid w:val="002F3A0D"/>
    <w:rsid w:val="002F4685"/>
    <w:rsid w:val="002F7213"/>
    <w:rsid w:val="002F78E4"/>
    <w:rsid w:val="0030382F"/>
    <w:rsid w:val="0030408D"/>
    <w:rsid w:val="00305E02"/>
    <w:rsid w:val="003060E4"/>
    <w:rsid w:val="003160E7"/>
    <w:rsid w:val="0031739E"/>
    <w:rsid w:val="00317DA3"/>
    <w:rsid w:val="003201D1"/>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224D"/>
    <w:rsid w:val="003648EF"/>
    <w:rsid w:val="003673E6"/>
    <w:rsid w:val="00372367"/>
    <w:rsid w:val="00376FAD"/>
    <w:rsid w:val="00377264"/>
    <w:rsid w:val="003779D2"/>
    <w:rsid w:val="00385E38"/>
    <w:rsid w:val="003A26A5"/>
    <w:rsid w:val="003A3761"/>
    <w:rsid w:val="003A512D"/>
    <w:rsid w:val="003A5FEA"/>
    <w:rsid w:val="003A710B"/>
    <w:rsid w:val="003B0E75"/>
    <w:rsid w:val="003B1D10"/>
    <w:rsid w:val="003B2245"/>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57AC7"/>
    <w:rsid w:val="00460826"/>
    <w:rsid w:val="00460B1E"/>
    <w:rsid w:val="00460EA7"/>
    <w:rsid w:val="0046195B"/>
    <w:rsid w:val="00461CB5"/>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5ED3"/>
    <w:rsid w:val="005019AE"/>
    <w:rsid w:val="00503749"/>
    <w:rsid w:val="00503D59"/>
    <w:rsid w:val="00504CF4"/>
    <w:rsid w:val="0050635B"/>
    <w:rsid w:val="005075B3"/>
    <w:rsid w:val="005151C2"/>
    <w:rsid w:val="00524863"/>
    <w:rsid w:val="005275E8"/>
    <w:rsid w:val="005309FE"/>
    <w:rsid w:val="0053199F"/>
    <w:rsid w:val="00531E12"/>
    <w:rsid w:val="00533B90"/>
    <w:rsid w:val="00535633"/>
    <w:rsid w:val="00535958"/>
    <w:rsid w:val="005410F8"/>
    <w:rsid w:val="005448EC"/>
    <w:rsid w:val="00545963"/>
    <w:rsid w:val="00550256"/>
    <w:rsid w:val="00553165"/>
    <w:rsid w:val="00553958"/>
    <w:rsid w:val="00555ECF"/>
    <w:rsid w:val="00556BB7"/>
    <w:rsid w:val="0055763D"/>
    <w:rsid w:val="00561516"/>
    <w:rsid w:val="00561BC1"/>
    <w:rsid w:val="005621F2"/>
    <w:rsid w:val="00567B58"/>
    <w:rsid w:val="00570DA7"/>
    <w:rsid w:val="00571223"/>
    <w:rsid w:val="005763E0"/>
    <w:rsid w:val="00581136"/>
    <w:rsid w:val="00581EB8"/>
    <w:rsid w:val="005839E7"/>
    <w:rsid w:val="0058437F"/>
    <w:rsid w:val="005A27CA"/>
    <w:rsid w:val="005A43BD"/>
    <w:rsid w:val="005A79E5"/>
    <w:rsid w:val="005C3119"/>
    <w:rsid w:val="005D034C"/>
    <w:rsid w:val="005E226E"/>
    <w:rsid w:val="005E2636"/>
    <w:rsid w:val="006015D7"/>
    <w:rsid w:val="00601B21"/>
    <w:rsid w:val="006041F0"/>
    <w:rsid w:val="00605C6D"/>
    <w:rsid w:val="0061152D"/>
    <w:rsid w:val="006120CA"/>
    <w:rsid w:val="0061443A"/>
    <w:rsid w:val="00624174"/>
    <w:rsid w:val="006253AD"/>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4EA6"/>
    <w:rsid w:val="00686D80"/>
    <w:rsid w:val="00694895"/>
    <w:rsid w:val="006949C8"/>
    <w:rsid w:val="00697E2E"/>
    <w:rsid w:val="006A25A2"/>
    <w:rsid w:val="006A3B87"/>
    <w:rsid w:val="006A55D7"/>
    <w:rsid w:val="006A5B87"/>
    <w:rsid w:val="006A5FE1"/>
    <w:rsid w:val="006B0A88"/>
    <w:rsid w:val="006B0E73"/>
    <w:rsid w:val="006B1E3D"/>
    <w:rsid w:val="006B4A4D"/>
    <w:rsid w:val="006B5695"/>
    <w:rsid w:val="006B60A4"/>
    <w:rsid w:val="006B62E6"/>
    <w:rsid w:val="006B7B2E"/>
    <w:rsid w:val="006C6BA9"/>
    <w:rsid w:val="006C78EB"/>
    <w:rsid w:val="006D1660"/>
    <w:rsid w:val="006D63E5"/>
    <w:rsid w:val="006E01D9"/>
    <w:rsid w:val="006E1753"/>
    <w:rsid w:val="006E2886"/>
    <w:rsid w:val="006E3911"/>
    <w:rsid w:val="006E69F4"/>
    <w:rsid w:val="006F1B67"/>
    <w:rsid w:val="006F4D9C"/>
    <w:rsid w:val="006F5707"/>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2C6D"/>
    <w:rsid w:val="007C43B6"/>
    <w:rsid w:val="007D2151"/>
    <w:rsid w:val="007D2CB4"/>
    <w:rsid w:val="007D3B90"/>
    <w:rsid w:val="007D42CC"/>
    <w:rsid w:val="007D5DE4"/>
    <w:rsid w:val="007D7C3A"/>
    <w:rsid w:val="007E0777"/>
    <w:rsid w:val="007E1341"/>
    <w:rsid w:val="007E1B41"/>
    <w:rsid w:val="007E1EC4"/>
    <w:rsid w:val="007E30B9"/>
    <w:rsid w:val="007E74F1"/>
    <w:rsid w:val="007F0F0C"/>
    <w:rsid w:val="007F1288"/>
    <w:rsid w:val="007F3E11"/>
    <w:rsid w:val="007F775A"/>
    <w:rsid w:val="00800A8A"/>
    <w:rsid w:val="0080155C"/>
    <w:rsid w:val="008017B4"/>
    <w:rsid w:val="008052E1"/>
    <w:rsid w:val="00811EEB"/>
    <w:rsid w:val="0081365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EAB"/>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3D4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1E51"/>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B0928"/>
    <w:rsid w:val="00AC101C"/>
    <w:rsid w:val="00AD4CF1"/>
    <w:rsid w:val="00AD5988"/>
    <w:rsid w:val="00AD6293"/>
    <w:rsid w:val="00AE1643"/>
    <w:rsid w:val="00AE16AF"/>
    <w:rsid w:val="00AF372E"/>
    <w:rsid w:val="00AF72D8"/>
    <w:rsid w:val="00AF7800"/>
    <w:rsid w:val="00B00CF5"/>
    <w:rsid w:val="00B010F0"/>
    <w:rsid w:val="00B072E0"/>
    <w:rsid w:val="00B1007E"/>
    <w:rsid w:val="00B13D41"/>
    <w:rsid w:val="00B253F6"/>
    <w:rsid w:val="00B26675"/>
    <w:rsid w:val="00B305DB"/>
    <w:rsid w:val="00B3101C"/>
    <w:rsid w:val="00B332F8"/>
    <w:rsid w:val="00B3492B"/>
    <w:rsid w:val="00B4646F"/>
    <w:rsid w:val="00B55C7D"/>
    <w:rsid w:val="00B63038"/>
    <w:rsid w:val="00B64BD8"/>
    <w:rsid w:val="00B701D1"/>
    <w:rsid w:val="00B73AF2"/>
    <w:rsid w:val="00B73D79"/>
    <w:rsid w:val="00B7551A"/>
    <w:rsid w:val="00B755BB"/>
    <w:rsid w:val="00B773F1"/>
    <w:rsid w:val="00B84C50"/>
    <w:rsid w:val="00B850F5"/>
    <w:rsid w:val="00B86AB1"/>
    <w:rsid w:val="00B87726"/>
    <w:rsid w:val="00B91B22"/>
    <w:rsid w:val="00B97B17"/>
    <w:rsid w:val="00BA7EBA"/>
    <w:rsid w:val="00BB2A06"/>
    <w:rsid w:val="00BB2CBB"/>
    <w:rsid w:val="00BB4198"/>
    <w:rsid w:val="00BC03EE"/>
    <w:rsid w:val="00BC59F1"/>
    <w:rsid w:val="00BC6134"/>
    <w:rsid w:val="00BD488E"/>
    <w:rsid w:val="00BF3DE1"/>
    <w:rsid w:val="00BF4843"/>
    <w:rsid w:val="00BF5205"/>
    <w:rsid w:val="00C05132"/>
    <w:rsid w:val="00C12508"/>
    <w:rsid w:val="00C22C61"/>
    <w:rsid w:val="00C23728"/>
    <w:rsid w:val="00C3026C"/>
    <w:rsid w:val="00C313A9"/>
    <w:rsid w:val="00C347C8"/>
    <w:rsid w:val="00C358E4"/>
    <w:rsid w:val="00C418EE"/>
    <w:rsid w:val="00C441CF"/>
    <w:rsid w:val="00C45AA2"/>
    <w:rsid w:val="00C46664"/>
    <w:rsid w:val="00C4792C"/>
    <w:rsid w:val="00C55BEF"/>
    <w:rsid w:val="00C57C00"/>
    <w:rsid w:val="00C601AF"/>
    <w:rsid w:val="00C6085E"/>
    <w:rsid w:val="00C61A63"/>
    <w:rsid w:val="00C66296"/>
    <w:rsid w:val="00C7394D"/>
    <w:rsid w:val="00C756B7"/>
    <w:rsid w:val="00C77282"/>
    <w:rsid w:val="00C84DE5"/>
    <w:rsid w:val="00C86248"/>
    <w:rsid w:val="00C90B31"/>
    <w:rsid w:val="00C956E1"/>
    <w:rsid w:val="00CA0D6F"/>
    <w:rsid w:val="00CA4C33"/>
    <w:rsid w:val="00CA6F4A"/>
    <w:rsid w:val="00CB3483"/>
    <w:rsid w:val="00CB6427"/>
    <w:rsid w:val="00CC0FBE"/>
    <w:rsid w:val="00CD077C"/>
    <w:rsid w:val="00CD2119"/>
    <w:rsid w:val="00CD237A"/>
    <w:rsid w:val="00CD36AC"/>
    <w:rsid w:val="00CE13A3"/>
    <w:rsid w:val="00CE36BC"/>
    <w:rsid w:val="00CE5227"/>
    <w:rsid w:val="00CF1747"/>
    <w:rsid w:val="00CF60ED"/>
    <w:rsid w:val="00D05D74"/>
    <w:rsid w:val="00D10612"/>
    <w:rsid w:val="00D20C59"/>
    <w:rsid w:val="00D23323"/>
    <w:rsid w:val="00D2392A"/>
    <w:rsid w:val="00D23B2C"/>
    <w:rsid w:val="00D25FFE"/>
    <w:rsid w:val="00D27922"/>
    <w:rsid w:val="00D27A64"/>
    <w:rsid w:val="00D37D80"/>
    <w:rsid w:val="00D442F3"/>
    <w:rsid w:val="00D44483"/>
    <w:rsid w:val="00D4476F"/>
    <w:rsid w:val="00D50573"/>
    <w:rsid w:val="00D54749"/>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0F7B"/>
    <w:rsid w:val="00D91EEF"/>
    <w:rsid w:val="00D932C2"/>
    <w:rsid w:val="00DA0232"/>
    <w:rsid w:val="00DA7F9E"/>
    <w:rsid w:val="00DB39CF"/>
    <w:rsid w:val="00DB7256"/>
    <w:rsid w:val="00DC0401"/>
    <w:rsid w:val="00DC20BD"/>
    <w:rsid w:val="00DD0BCD"/>
    <w:rsid w:val="00DD447A"/>
    <w:rsid w:val="00DD48EE"/>
    <w:rsid w:val="00DE3B20"/>
    <w:rsid w:val="00DE6AA3"/>
    <w:rsid w:val="00DE6C94"/>
    <w:rsid w:val="00DE6FD7"/>
    <w:rsid w:val="00DF0C7C"/>
    <w:rsid w:val="00DF3F1D"/>
    <w:rsid w:val="00DF7BC8"/>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11E8"/>
    <w:rsid w:val="00E76D66"/>
    <w:rsid w:val="00EA796A"/>
    <w:rsid w:val="00EB1856"/>
    <w:rsid w:val="00EC0339"/>
    <w:rsid w:val="00EC50CE"/>
    <w:rsid w:val="00EC5B34"/>
    <w:rsid w:val="00ED021E"/>
    <w:rsid w:val="00ED323C"/>
    <w:rsid w:val="00EE2D5C"/>
    <w:rsid w:val="00EE4ADE"/>
    <w:rsid w:val="00EE4DE8"/>
    <w:rsid w:val="00EE5CB7"/>
    <w:rsid w:val="00EF2925"/>
    <w:rsid w:val="00EF4E47"/>
    <w:rsid w:val="00F000BF"/>
    <w:rsid w:val="00F024FE"/>
    <w:rsid w:val="00F05AD4"/>
    <w:rsid w:val="00F103BE"/>
    <w:rsid w:val="00F10EB6"/>
    <w:rsid w:val="00F13F07"/>
    <w:rsid w:val="00F140B2"/>
    <w:rsid w:val="00F16595"/>
    <w:rsid w:val="00F25970"/>
    <w:rsid w:val="00F311A9"/>
    <w:rsid w:val="00F31343"/>
    <w:rsid w:val="00F3293F"/>
    <w:rsid w:val="00F36293"/>
    <w:rsid w:val="00F37381"/>
    <w:rsid w:val="00F5180D"/>
    <w:rsid w:val="00F54E74"/>
    <w:rsid w:val="00F6149D"/>
    <w:rsid w:val="00F63781"/>
    <w:rsid w:val="00F67496"/>
    <w:rsid w:val="00F7377D"/>
    <w:rsid w:val="00F7421E"/>
    <w:rsid w:val="00F801BA"/>
    <w:rsid w:val="00F807AD"/>
    <w:rsid w:val="00F9366A"/>
    <w:rsid w:val="00F946C9"/>
    <w:rsid w:val="00FA0EA5"/>
    <w:rsid w:val="00FA68C7"/>
    <w:rsid w:val="00FA74EE"/>
    <w:rsid w:val="00FB0A5B"/>
    <w:rsid w:val="00FB1B8E"/>
    <w:rsid w:val="00FC2084"/>
    <w:rsid w:val="00FC3711"/>
    <w:rsid w:val="00FC46E7"/>
    <w:rsid w:val="00FC5D25"/>
    <w:rsid w:val="00FD0D7E"/>
    <w:rsid w:val="00FD16C4"/>
    <w:rsid w:val="00FD362F"/>
    <w:rsid w:val="00FD38A3"/>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978CB"/>
  <w15:docId w15:val="{9B05BC05-3928-4AC9-BC84-367618C7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3C"/>
    <w:pPr>
      <w:spacing w:line="252" w:lineRule="auto"/>
    </w:pPr>
    <w:rPr>
      <w:rFonts w:asciiTheme="minorHAnsi" w:hAnsiTheme="minorHAnsi"/>
      <w:sz w:val="22"/>
      <w:lang w:eastAsia="en-GB"/>
    </w:rPr>
  </w:style>
  <w:style w:type="paragraph" w:styleId="Heading1">
    <w:name w:val="heading 1"/>
    <w:basedOn w:val="Normal"/>
    <w:next w:val="Normal"/>
    <w:link w:val="Heading1Char"/>
    <w:qFormat/>
    <w:rsid w:val="003B0E75"/>
    <w:pPr>
      <w:pageBreakBefore/>
      <w:spacing w:after="360"/>
      <w:outlineLvl w:val="0"/>
    </w:pPr>
    <w:rPr>
      <w:b/>
      <w:sz w:val="36"/>
    </w:rPr>
  </w:style>
  <w:style w:type="paragraph" w:styleId="Heading2">
    <w:name w:val="heading 2"/>
    <w:basedOn w:val="Normal"/>
    <w:next w:val="Normal"/>
    <w:link w:val="Heading2Char"/>
    <w:qFormat/>
    <w:rsid w:val="0027566E"/>
    <w:pPr>
      <w:keepNext/>
      <w:spacing w:before="480" w:after="180"/>
      <w:outlineLvl w:val="1"/>
    </w:pPr>
    <w:rPr>
      <w:b/>
      <w:sz w:val="28"/>
    </w:rPr>
  </w:style>
  <w:style w:type="paragraph" w:styleId="Heading3">
    <w:name w:val="heading 3"/>
    <w:basedOn w:val="Normal"/>
    <w:next w:val="Normal"/>
    <w:link w:val="Heading3Char"/>
    <w:qFormat/>
    <w:rsid w:val="007D2CB4"/>
    <w:pPr>
      <w:keepNext/>
      <w:spacing w:before="360" w:after="180"/>
      <w:outlineLvl w:val="2"/>
    </w:pPr>
    <w:rPr>
      <w:b/>
      <w:sz w:val="24"/>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0E75"/>
    <w:rPr>
      <w:rFonts w:asciiTheme="minorHAnsi" w:hAnsiTheme="minorHAnsi"/>
      <w:b/>
      <w:sz w:val="36"/>
      <w:lang w:eastAsia="en-GB"/>
    </w:rPr>
  </w:style>
  <w:style w:type="character" w:customStyle="1" w:styleId="Heading2Char">
    <w:name w:val="Heading 2 Char"/>
    <w:link w:val="Heading2"/>
    <w:rsid w:val="0027566E"/>
    <w:rPr>
      <w:rFonts w:asciiTheme="minorHAnsi" w:hAnsiTheme="minorHAnsi"/>
      <w:b/>
      <w:sz w:val="28"/>
      <w:lang w:eastAsia="en-GB"/>
    </w:rPr>
  </w:style>
  <w:style w:type="character" w:customStyle="1" w:styleId="Heading3Char">
    <w:name w:val="Heading 3 Char"/>
    <w:link w:val="Heading3"/>
    <w:rsid w:val="007D2CB4"/>
    <w:rPr>
      <w:rFonts w:asciiTheme="minorHAnsi" w:hAnsiTheme="minorHAnsi"/>
      <w:b/>
      <w:sz w:val="24"/>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B60A4"/>
    <w:pPr>
      <w:tabs>
        <w:tab w:val="right" w:pos="9072"/>
      </w:tabs>
      <w:spacing w:before="300"/>
      <w:ind w:right="567"/>
    </w:pPr>
    <w:rPr>
      <w:b/>
    </w:rPr>
  </w:style>
  <w:style w:type="paragraph" w:styleId="TOC2">
    <w:name w:val="toc 2"/>
    <w:basedOn w:val="Normal"/>
    <w:next w:val="Normal"/>
    <w:uiPriority w:val="39"/>
    <w:qFormat/>
    <w:rsid w:val="006B60A4"/>
    <w:pPr>
      <w:tabs>
        <w:tab w:val="right" w:pos="9072"/>
      </w:tabs>
      <w:spacing w:before="120"/>
      <w:ind w:left="567" w:right="567"/>
    </w:pPr>
  </w:style>
  <w:style w:type="paragraph" w:styleId="TOC3">
    <w:name w:val="toc 3"/>
    <w:basedOn w:val="Normal"/>
    <w:next w:val="Normal"/>
    <w:uiPriority w:val="39"/>
    <w:rsid w:val="006B60A4"/>
    <w:pPr>
      <w:tabs>
        <w:tab w:val="right" w:pos="9072"/>
      </w:tabs>
      <w:spacing w:before="120"/>
      <w:ind w:right="567"/>
    </w:pPr>
  </w:style>
  <w:style w:type="paragraph" w:customStyle="1" w:styleId="Bullet">
    <w:name w:val="Bullet"/>
    <w:basedOn w:val="Normal"/>
    <w:link w:val="BulletChar"/>
    <w:qFormat/>
    <w:rsid w:val="00B97B17"/>
    <w:pPr>
      <w:numPr>
        <w:numId w:val="1"/>
      </w:numPr>
      <w:tabs>
        <w:tab w:val="clear" w:pos="284"/>
      </w:tabs>
      <w:spacing w:before="120"/>
      <w:ind w:left="850" w:hanging="425"/>
    </w:pPr>
  </w:style>
  <w:style w:type="character" w:customStyle="1" w:styleId="BulletChar">
    <w:name w:val="Bullet Char"/>
    <w:link w:val="Bullet"/>
    <w:locked/>
    <w:rsid w:val="00B97B17"/>
    <w:rPr>
      <w:rFonts w:asciiTheme="minorHAnsi" w:hAnsiTheme="minorHAnsi"/>
      <w:sz w:val="22"/>
      <w:lang w:eastAsia="en-GB"/>
    </w:rPr>
  </w:style>
  <w:style w:type="paragraph" w:styleId="Quote">
    <w:name w:val="Quote"/>
    <w:basedOn w:val="Normal"/>
    <w:next w:val="Normal"/>
    <w:link w:val="QuoteChar"/>
    <w:qFormat/>
    <w:rsid w:val="0081365B"/>
    <w:pPr>
      <w:spacing w:before="120"/>
      <w:ind w:left="284" w:right="284"/>
    </w:pPr>
    <w:rPr>
      <w:sz w:val="20"/>
    </w:rPr>
  </w:style>
  <w:style w:type="character" w:customStyle="1" w:styleId="QuoteChar">
    <w:name w:val="Quote Char"/>
    <w:link w:val="Quote"/>
    <w:rsid w:val="0081365B"/>
    <w:rPr>
      <w:rFonts w:asciiTheme="minorHAnsi" w:hAnsiTheme="minorHAnsi"/>
      <w:lang w:eastAsia="en-GB"/>
    </w:rPr>
  </w:style>
  <w:style w:type="paragraph" w:styleId="FootnoteText">
    <w:name w:val="footnote text"/>
    <w:basedOn w:val="Normal"/>
    <w:link w:val="FootnoteTextChar"/>
    <w:uiPriority w:val="99"/>
    <w:rsid w:val="0027566E"/>
    <w:pPr>
      <w:spacing w:before="60"/>
      <w:ind w:left="284" w:hanging="284"/>
    </w:pPr>
    <w:rPr>
      <w:sz w:val="18"/>
    </w:rPr>
  </w:style>
  <w:style w:type="character" w:customStyle="1" w:styleId="FootnoteTextChar">
    <w:name w:val="Footnote Text Char"/>
    <w:link w:val="FootnoteText"/>
    <w:uiPriority w:val="99"/>
    <w:rsid w:val="0027566E"/>
    <w:rPr>
      <w:rFonts w:asciiTheme="minorHAnsi" w:hAnsiTheme="minorHAnsi"/>
      <w:sz w:val="18"/>
      <w:lang w:eastAsia="en-GB"/>
    </w:rPr>
  </w:style>
  <w:style w:type="paragraph" w:styleId="Header">
    <w:name w:val="header"/>
    <w:basedOn w:val="Normal"/>
    <w:link w:val="HeaderChar"/>
    <w:uiPriority w:val="99"/>
    <w:qFormat/>
    <w:rsid w:val="003B0E75"/>
    <w:rPr>
      <w:i/>
      <w:color w:val="0070C0"/>
    </w:rPr>
  </w:style>
  <w:style w:type="character" w:customStyle="1" w:styleId="HeaderChar">
    <w:name w:val="Header Char"/>
    <w:link w:val="Header"/>
    <w:uiPriority w:val="99"/>
    <w:rsid w:val="003B0E75"/>
    <w:rPr>
      <w:rFonts w:asciiTheme="minorHAnsi" w:hAnsiTheme="minorHAnsi"/>
      <w:i/>
      <w:color w:val="0070C0"/>
      <w:sz w:val="22"/>
      <w:lang w:eastAsia="en-GB"/>
    </w:rPr>
  </w:style>
  <w:style w:type="paragraph" w:styleId="Title">
    <w:name w:val="Title"/>
    <w:basedOn w:val="Normal"/>
    <w:next w:val="Normal"/>
    <w:link w:val="TitleChar"/>
    <w:qFormat/>
    <w:rsid w:val="00D23B2C"/>
    <w:pPr>
      <w:jc w:val="center"/>
    </w:pPr>
    <w:rPr>
      <w:rFonts w:cs="Lucida Sans Unicode"/>
      <w:b/>
      <w:sz w:val="64"/>
      <w:szCs w:val="72"/>
    </w:rPr>
  </w:style>
  <w:style w:type="character" w:customStyle="1" w:styleId="TitleChar">
    <w:name w:val="Title Char"/>
    <w:link w:val="Title"/>
    <w:rsid w:val="00D23B2C"/>
    <w:rPr>
      <w:rFonts w:asciiTheme="minorHAnsi" w:hAnsiTheme="minorHAnsi" w:cs="Lucida Sans Unicode"/>
      <w:b/>
      <w:sz w:val="64"/>
      <w:szCs w:val="72"/>
      <w:lang w:eastAsia="en-GB"/>
    </w:rPr>
  </w:style>
  <w:style w:type="paragraph" w:customStyle="1" w:styleId="Imprint">
    <w:name w:val="Imprint"/>
    <w:basedOn w:val="Normal"/>
    <w:next w:val="Normal"/>
    <w:qFormat/>
    <w:rsid w:val="00D23B2C"/>
    <w:pPr>
      <w:spacing w:after="240"/>
      <w:jc w:val="center"/>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3B2C"/>
    <w:rPr>
      <w:rFonts w:asciiTheme="minorHAnsi" w:hAnsiTheme="minorHAnsi"/>
      <w:b w:val="0"/>
      <w:sz w:val="22"/>
    </w:rPr>
  </w:style>
  <w:style w:type="paragraph" w:customStyle="1" w:styleId="VersoFooter">
    <w:name w:val="Verso Footer"/>
    <w:basedOn w:val="Footer"/>
    <w:rsid w:val="00D23B2C"/>
    <w:pPr>
      <w:jc w:val="center"/>
    </w:pPr>
    <w:rPr>
      <w:sz w:val="15"/>
    </w:rPr>
  </w:style>
  <w:style w:type="paragraph" w:customStyle="1" w:styleId="RectoFooter">
    <w:name w:val="Recto Footer"/>
    <w:basedOn w:val="Footer"/>
    <w:rsid w:val="00D23B2C"/>
    <w:pPr>
      <w:jc w:val="center"/>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27566E"/>
    <w:rPr>
      <w:b w:val="0"/>
      <w:i/>
      <w:sz w:val="22"/>
    </w:rPr>
  </w:style>
  <w:style w:type="character" w:customStyle="1" w:styleId="TableChar">
    <w:name w:val="Table Char"/>
    <w:link w:val="Table"/>
    <w:locked/>
    <w:rsid w:val="0027566E"/>
    <w:rPr>
      <w:rFonts w:asciiTheme="minorHAnsi" w:hAnsiTheme="minorHAnsi"/>
      <w:i/>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B97B17"/>
    <w:pPr>
      <w:spacing w:before="60" w:after="60" w:line="240" w:lineRule="auto"/>
    </w:pPr>
    <w:rPr>
      <w:sz w:val="20"/>
    </w:rPr>
  </w:style>
  <w:style w:type="paragraph" w:customStyle="1" w:styleId="TableBullet">
    <w:name w:val="TableBullet"/>
    <w:basedOn w:val="TableText"/>
    <w:qFormat/>
    <w:rsid w:val="00B73AF2"/>
    <w:pPr>
      <w:numPr>
        <w:numId w:val="4"/>
      </w:numPr>
      <w:spacing w:before="0"/>
    </w:pPr>
  </w:style>
  <w:style w:type="paragraph" w:customStyle="1" w:styleId="IntroHead">
    <w:name w:val="IntroHead"/>
    <w:basedOn w:val="Heading1"/>
    <w:next w:val="Normal"/>
    <w:qFormat/>
    <w:rsid w:val="00D23B2C"/>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193744"/>
    <w:pPr>
      <w:spacing w:before="80"/>
    </w:pPr>
    <w:rPr>
      <w:sz w:val="20"/>
    </w:rPr>
  </w:style>
  <w:style w:type="character" w:customStyle="1" w:styleId="NoteChar">
    <w:name w:val="Note Char"/>
    <w:link w:val="Note"/>
    <w:rsid w:val="00193744"/>
    <w:rPr>
      <w:rFonts w:asciiTheme="minorHAnsi" w:hAnsiTheme="minorHAnsi"/>
      <w:lang w:eastAsia="en-GB"/>
    </w:rPr>
  </w:style>
  <w:style w:type="paragraph" w:customStyle="1" w:styleId="Subhead">
    <w:name w:val="Subhead"/>
    <w:basedOn w:val="Normal"/>
    <w:next w:val="Year"/>
    <w:qFormat/>
    <w:rsid w:val="00D23B2C"/>
    <w:pPr>
      <w:jc w:val="center"/>
    </w:pPr>
    <w:rPr>
      <w:rFonts w:cs="Segoe UI Semibold"/>
      <w:sz w:val="44"/>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F3293F"/>
    <w:pPr>
      <w:spacing w:after="180"/>
      <w:ind w:left="567" w:hanging="567"/>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B97B17"/>
    <w:pPr>
      <w:numPr>
        <w:ilvl w:val="3"/>
        <w:numId w:val="5"/>
      </w:numPr>
      <w:spacing w:before="60"/>
      <w:ind w:left="1276" w:hanging="425"/>
    </w:pPr>
    <w:rPr>
      <w:szCs w:val="24"/>
    </w:rPr>
  </w:style>
  <w:style w:type="table" w:styleId="TableGrid">
    <w:name w:val="Table Grid"/>
    <w:basedOn w:val="TableNormal"/>
    <w:uiPriority w:val="39"/>
    <w:rsid w:val="00F7377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05E02"/>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E01D9"/>
    <w:rPr>
      <w:sz w:val="16"/>
      <w:szCs w:val="16"/>
    </w:rPr>
  </w:style>
  <w:style w:type="paragraph" w:styleId="CommentText">
    <w:name w:val="annotation text"/>
    <w:basedOn w:val="Normal"/>
    <w:link w:val="CommentTextChar"/>
    <w:uiPriority w:val="99"/>
    <w:semiHidden/>
    <w:unhideWhenUsed/>
    <w:rsid w:val="006E01D9"/>
    <w:pPr>
      <w:spacing w:line="240" w:lineRule="auto"/>
    </w:pPr>
    <w:rPr>
      <w:sz w:val="20"/>
    </w:rPr>
  </w:style>
  <w:style w:type="character" w:customStyle="1" w:styleId="CommentTextChar">
    <w:name w:val="Comment Text Char"/>
    <w:basedOn w:val="DefaultParagraphFont"/>
    <w:link w:val="CommentText"/>
    <w:uiPriority w:val="99"/>
    <w:semiHidden/>
    <w:rsid w:val="006E01D9"/>
    <w:rPr>
      <w:rFonts w:asciiTheme="minorHAnsi" w:hAnsiTheme="minorHAnsi"/>
      <w:lang w:eastAsia="en-GB"/>
    </w:rPr>
  </w:style>
  <w:style w:type="paragraph" w:styleId="CommentSubject">
    <w:name w:val="annotation subject"/>
    <w:basedOn w:val="CommentText"/>
    <w:next w:val="CommentText"/>
    <w:link w:val="CommentSubjectChar"/>
    <w:semiHidden/>
    <w:unhideWhenUsed/>
    <w:rsid w:val="006E01D9"/>
    <w:rPr>
      <w:b/>
      <w:bCs/>
    </w:rPr>
  </w:style>
  <w:style w:type="character" w:customStyle="1" w:styleId="CommentSubjectChar">
    <w:name w:val="Comment Subject Char"/>
    <w:basedOn w:val="CommentTextChar"/>
    <w:link w:val="CommentSubject"/>
    <w:semiHidden/>
    <w:rsid w:val="006E01D9"/>
    <w:rPr>
      <w:rFonts w:asciiTheme="minorHAnsi" w:hAnsiTheme="minorHAnsi"/>
      <w:b/>
      <w:bCs/>
      <w:lang w:eastAsia="en-GB"/>
    </w:rPr>
  </w:style>
  <w:style w:type="paragraph" w:styleId="BalloonText">
    <w:name w:val="Balloon Text"/>
    <w:basedOn w:val="Normal"/>
    <w:link w:val="BalloonTextChar"/>
    <w:semiHidden/>
    <w:unhideWhenUsed/>
    <w:rsid w:val="006E0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01D9"/>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DF3F1D"/>
    <w:rPr>
      <w:color w:val="605E5C"/>
      <w:shd w:val="clear" w:color="auto" w:fill="E1DFDD"/>
    </w:rPr>
  </w:style>
  <w:style w:type="paragraph" w:styleId="ListParagraph">
    <w:name w:val="List Paragraph"/>
    <w:basedOn w:val="Normal"/>
    <w:uiPriority w:val="34"/>
    <w:qFormat/>
    <w:rsid w:val="00684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976">
      <w:bodyDiv w:val="1"/>
      <w:marLeft w:val="0"/>
      <w:marRight w:val="0"/>
      <w:marTop w:val="0"/>
      <w:marBottom w:val="0"/>
      <w:divBdr>
        <w:top w:val="none" w:sz="0" w:space="0" w:color="auto"/>
        <w:left w:val="none" w:sz="0" w:space="0" w:color="auto"/>
        <w:bottom w:val="none" w:sz="0" w:space="0" w:color="auto"/>
        <w:right w:val="none" w:sz="0" w:space="0" w:color="auto"/>
      </w:divBdr>
    </w:div>
    <w:div w:id="13885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pmp.unsw.edu.au/project/exploring-economic-costs-family-members-affected-drug-use-discrete-choice-experi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police.govt.nz/sites/default/files/publications/crime-at-a-glance-nov2019.pdf" TargetMode="External"/><Relationship Id="rId2" Type="http://schemas.openxmlformats.org/officeDocument/2006/relationships/numbering" Target="numbering.xml"/><Relationship Id="rId16" Type="http://schemas.openxmlformats.org/officeDocument/2006/relationships/hyperlink" Target="http://webarchive.nationalarchives.gov.uk/20110220105210/rds.homeoffice.gov.uk/rds/pdfs07/rdsolr2207.pd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health.govt.nz" TargetMode="Externa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0F64-1D26-466E-BBBE-D0467254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21</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The New Zealand Illicit Drug Harm Index 2020: Research report</vt:lpstr>
    </vt:vector>
  </TitlesOfParts>
  <Company>Microsoft</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 Illicit Drug Harm Index 2020: Research report</dc:title>
  <dc:creator>McFadden Consultancy</dc:creator>
  <cp:lastModifiedBy>Ministry of Health</cp:lastModifiedBy>
  <cp:revision>5</cp:revision>
  <cp:lastPrinted>2022-02-11T00:00:00Z</cp:lastPrinted>
  <dcterms:created xsi:type="dcterms:W3CDTF">2022-02-10T23:55:00Z</dcterms:created>
  <dcterms:modified xsi:type="dcterms:W3CDTF">2022-02-11T00:00:00Z</dcterms:modified>
</cp:coreProperties>
</file>