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E8DEE" w14:textId="77777777" w:rsidR="00C86248" w:rsidRDefault="00EE67CB" w:rsidP="00926083">
      <w:pPr>
        <w:pStyle w:val="Title"/>
      </w:pPr>
      <w:r>
        <w:t>Drug Checking Service Provider Licensing Handbook</w:t>
      </w:r>
    </w:p>
    <w:p w14:paraId="3397A673" w14:textId="77777777" w:rsidR="00D27922" w:rsidRDefault="00EE67CB" w:rsidP="00D27922">
      <w:pPr>
        <w:pStyle w:val="Subhead"/>
      </w:pPr>
      <w:r>
        <w:t>Guidance for potential and current drug and substance checking service providers</w:t>
      </w:r>
    </w:p>
    <w:p w14:paraId="5BD94C16" w14:textId="77777777" w:rsidR="00466303" w:rsidRPr="00466303" w:rsidRDefault="00EE67CB" w:rsidP="00466303">
      <w:pPr>
        <w:pStyle w:val="Year"/>
      </w:pPr>
      <w:r>
        <w:t>2022</w:t>
      </w:r>
    </w:p>
    <w:p w14:paraId="3A48DEAE" w14:textId="77777777" w:rsidR="00C05132" w:rsidRDefault="00C05132" w:rsidP="00A06BE4"/>
    <w:p w14:paraId="18938843"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6EDF3E04"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EE67CB">
        <w:rPr>
          <w:rFonts w:cs="Segoe UI"/>
        </w:rPr>
        <w:t>2022</w:t>
      </w:r>
      <w:r w:rsidR="00442C1C" w:rsidRPr="00C05132">
        <w:rPr>
          <w:rFonts w:cs="Segoe UI"/>
        </w:rPr>
        <w:t xml:space="preserve">. </w:t>
      </w:r>
      <w:r w:rsidR="00EE67CB">
        <w:rPr>
          <w:rFonts w:cs="Segoe UI"/>
          <w:i/>
        </w:rPr>
        <w:t>Drug Checking Service Provider Licensing Handbook: Guidance for potential and current drug and substance checking service providers</w:t>
      </w:r>
      <w:r w:rsidR="00442C1C" w:rsidRPr="00C05132">
        <w:rPr>
          <w:rFonts w:cs="Segoe UI"/>
        </w:rPr>
        <w:t>. Wellington: Ministry of Health.</w:t>
      </w:r>
    </w:p>
    <w:p w14:paraId="055B0AD4" w14:textId="053C865C" w:rsidR="00C86248" w:rsidRDefault="00C86248">
      <w:pPr>
        <w:pStyle w:val="Imprint"/>
      </w:pPr>
      <w:r>
        <w:t xml:space="preserve">Published in </w:t>
      </w:r>
      <w:r w:rsidR="002B2D33">
        <w:t>April</w:t>
      </w:r>
      <w:r w:rsidR="00466303">
        <w:t xml:space="preserve"> </w:t>
      </w:r>
      <w:r w:rsidR="00EE67CB">
        <w:t>2022</w:t>
      </w:r>
      <w:r w:rsidR="0022068D">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10BB25BC" w14:textId="31B70644" w:rsidR="00082CD6" w:rsidRPr="009C0F2D" w:rsidRDefault="00D863D0" w:rsidP="00082CD6">
      <w:pPr>
        <w:pStyle w:val="Imprint"/>
      </w:pPr>
      <w:r>
        <w:t>ISBN</w:t>
      </w:r>
      <w:r w:rsidR="00442C1C">
        <w:t xml:space="preserve"> </w:t>
      </w:r>
      <w:r w:rsidR="002B2D33" w:rsidRPr="002B2D33">
        <w:t>978-1-99-110029-0</w:t>
      </w:r>
      <w:r w:rsidR="002B7BEC">
        <w:t xml:space="preserve"> </w:t>
      </w:r>
      <w:r>
        <w:t>(</w:t>
      </w:r>
      <w:r w:rsidR="00442C1C">
        <w:t>online</w:t>
      </w:r>
      <w:r>
        <w:t>)</w:t>
      </w:r>
      <w:r w:rsidR="00082CD6">
        <w:br/>
      </w:r>
      <w:r w:rsidR="00082CD6" w:rsidRPr="009C0F2D">
        <w:t xml:space="preserve">HP </w:t>
      </w:r>
      <w:r w:rsidR="00477202">
        <w:t>8087</w:t>
      </w:r>
    </w:p>
    <w:p w14:paraId="76A3520B" w14:textId="77777777" w:rsidR="00C86248" w:rsidRDefault="008C64C4" w:rsidP="00D27922">
      <w:pPr>
        <w:spacing w:before="360"/>
      </w:pPr>
      <w:r>
        <w:rPr>
          <w:noProof/>
          <w:lang w:eastAsia="en-NZ"/>
        </w:rPr>
        <w:drawing>
          <wp:inline distT="0" distB="0" distL="0" distR="0" wp14:anchorId="4837974F" wp14:editId="580D5510">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728F6B66" w14:textId="77777777" w:rsidR="00A63DFF" w:rsidRDefault="00A63DFF" w:rsidP="00A63DFF">
      <w:pPr>
        <w:pStyle w:val="Imprint"/>
        <w:spacing w:before="240" w:after="480"/>
      </w:pPr>
      <w:r>
        <w:t xml:space="preserve">This document is available at </w:t>
      </w:r>
      <w:hyperlink r:id="rId11"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1BE08163" w14:textId="77777777" w:rsidTr="00A63DFF">
        <w:trPr>
          <w:cantSplit/>
        </w:trPr>
        <w:tc>
          <w:tcPr>
            <w:tcW w:w="1526" w:type="dxa"/>
          </w:tcPr>
          <w:p w14:paraId="03182E8E"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05C9EE41" wp14:editId="2EC5F03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51BEB2DC"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gramStart"/>
            <w:r w:rsidRPr="00A63DFF">
              <w:rPr>
                <w:rFonts w:cs="Segoe UI"/>
                <w:bCs/>
                <w:sz w:val="15"/>
                <w:szCs w:val="15"/>
              </w:rPr>
              <w:t>licence</w:t>
            </w:r>
            <w:proofErr w:type="gramEnd"/>
            <w:r w:rsidRPr="00A63DFF">
              <w:rPr>
                <w:rFonts w:cs="Segoe UI"/>
                <w:bCs/>
                <w:sz w:val="15"/>
                <w:szCs w:val="15"/>
              </w:rPr>
              <w:t xml:space="preserve"> and indicate if changes were made.</w:t>
            </w:r>
          </w:p>
        </w:tc>
      </w:tr>
    </w:tbl>
    <w:p w14:paraId="0ED066D2" w14:textId="77777777" w:rsidR="007E74F1" w:rsidRPr="001F45A7" w:rsidRDefault="007E74F1" w:rsidP="006E2886">
      <w:pPr>
        <w:pStyle w:val="Imprint"/>
      </w:pPr>
    </w:p>
    <w:p w14:paraId="6C052E13"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p w14:paraId="1DC57A0D" w14:textId="77777777" w:rsidR="00C86248" w:rsidRDefault="00C86248" w:rsidP="00025A6F">
      <w:pPr>
        <w:pStyle w:val="IntroHead"/>
      </w:pPr>
      <w:bookmarkStart w:id="0" w:name="_Toc405792991"/>
      <w:bookmarkStart w:id="1" w:name="_Toc405793224"/>
      <w:r>
        <w:lastRenderedPageBreak/>
        <w:t>Contents</w:t>
      </w:r>
      <w:bookmarkEnd w:id="0"/>
      <w:bookmarkEnd w:id="1"/>
    </w:p>
    <w:p w14:paraId="2A0FDF1B" w14:textId="3E196CEA" w:rsidR="00FA092E" w:rsidRDefault="00FA092E">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99377689" w:history="1">
        <w:r w:rsidRPr="009F6684">
          <w:rPr>
            <w:rStyle w:val="Hyperlink"/>
            <w:noProof/>
          </w:rPr>
          <w:t>Purpose statement</w:t>
        </w:r>
        <w:r>
          <w:rPr>
            <w:noProof/>
            <w:webHidden/>
          </w:rPr>
          <w:tab/>
        </w:r>
        <w:r>
          <w:rPr>
            <w:noProof/>
            <w:webHidden/>
          </w:rPr>
          <w:fldChar w:fldCharType="begin"/>
        </w:r>
        <w:r>
          <w:rPr>
            <w:noProof/>
            <w:webHidden/>
          </w:rPr>
          <w:instrText xml:space="preserve"> PAGEREF _Toc99377689 \h </w:instrText>
        </w:r>
        <w:r>
          <w:rPr>
            <w:noProof/>
            <w:webHidden/>
          </w:rPr>
        </w:r>
        <w:r>
          <w:rPr>
            <w:noProof/>
            <w:webHidden/>
          </w:rPr>
          <w:fldChar w:fldCharType="separate"/>
        </w:r>
        <w:r w:rsidR="00D8378B">
          <w:rPr>
            <w:noProof/>
            <w:webHidden/>
          </w:rPr>
          <w:t>1</w:t>
        </w:r>
        <w:r>
          <w:rPr>
            <w:noProof/>
            <w:webHidden/>
          </w:rPr>
          <w:fldChar w:fldCharType="end"/>
        </w:r>
      </w:hyperlink>
    </w:p>
    <w:p w14:paraId="3DEEC967" w14:textId="7F2B3228" w:rsidR="00FA092E" w:rsidRDefault="00FA092E">
      <w:pPr>
        <w:pStyle w:val="TOC1"/>
        <w:rPr>
          <w:rFonts w:asciiTheme="minorHAnsi" w:eastAsiaTheme="minorEastAsia" w:hAnsiTheme="minorHAnsi" w:cstheme="minorBidi"/>
          <w:noProof/>
          <w:sz w:val="22"/>
          <w:szCs w:val="22"/>
          <w:lang w:eastAsia="en-NZ"/>
        </w:rPr>
      </w:pPr>
      <w:hyperlink w:anchor="_Toc99377690" w:history="1">
        <w:r w:rsidRPr="009F6684">
          <w:rPr>
            <w:rStyle w:val="Hyperlink"/>
            <w:noProof/>
          </w:rPr>
          <w:t>Introduction</w:t>
        </w:r>
        <w:r>
          <w:rPr>
            <w:noProof/>
            <w:webHidden/>
          </w:rPr>
          <w:tab/>
        </w:r>
        <w:r>
          <w:rPr>
            <w:noProof/>
            <w:webHidden/>
          </w:rPr>
          <w:fldChar w:fldCharType="begin"/>
        </w:r>
        <w:r>
          <w:rPr>
            <w:noProof/>
            <w:webHidden/>
          </w:rPr>
          <w:instrText xml:space="preserve"> PAGEREF _Toc99377690 \h </w:instrText>
        </w:r>
        <w:r>
          <w:rPr>
            <w:noProof/>
            <w:webHidden/>
          </w:rPr>
        </w:r>
        <w:r>
          <w:rPr>
            <w:noProof/>
            <w:webHidden/>
          </w:rPr>
          <w:fldChar w:fldCharType="separate"/>
        </w:r>
        <w:r w:rsidR="00D8378B">
          <w:rPr>
            <w:noProof/>
            <w:webHidden/>
          </w:rPr>
          <w:t>2</w:t>
        </w:r>
        <w:r>
          <w:rPr>
            <w:noProof/>
            <w:webHidden/>
          </w:rPr>
          <w:fldChar w:fldCharType="end"/>
        </w:r>
      </w:hyperlink>
    </w:p>
    <w:p w14:paraId="0CB14FE9" w14:textId="4D38AA63" w:rsidR="00FA092E" w:rsidRDefault="00FA092E">
      <w:pPr>
        <w:pStyle w:val="TOC1"/>
        <w:rPr>
          <w:rFonts w:asciiTheme="minorHAnsi" w:eastAsiaTheme="minorEastAsia" w:hAnsiTheme="minorHAnsi" w:cstheme="minorBidi"/>
          <w:noProof/>
          <w:sz w:val="22"/>
          <w:szCs w:val="22"/>
          <w:lang w:eastAsia="en-NZ"/>
        </w:rPr>
      </w:pPr>
      <w:hyperlink w:anchor="_Toc99377691" w:history="1">
        <w:r w:rsidRPr="009F6684">
          <w:rPr>
            <w:rStyle w:val="Hyperlink"/>
            <w:noProof/>
          </w:rPr>
          <w:t>Definitions</w:t>
        </w:r>
        <w:r>
          <w:rPr>
            <w:noProof/>
            <w:webHidden/>
          </w:rPr>
          <w:tab/>
        </w:r>
        <w:r>
          <w:rPr>
            <w:noProof/>
            <w:webHidden/>
          </w:rPr>
          <w:fldChar w:fldCharType="begin"/>
        </w:r>
        <w:r>
          <w:rPr>
            <w:noProof/>
            <w:webHidden/>
          </w:rPr>
          <w:instrText xml:space="preserve"> PAGEREF _Toc99377691 \h </w:instrText>
        </w:r>
        <w:r>
          <w:rPr>
            <w:noProof/>
            <w:webHidden/>
          </w:rPr>
        </w:r>
        <w:r>
          <w:rPr>
            <w:noProof/>
            <w:webHidden/>
          </w:rPr>
          <w:fldChar w:fldCharType="separate"/>
        </w:r>
        <w:r w:rsidR="00D8378B">
          <w:rPr>
            <w:noProof/>
            <w:webHidden/>
          </w:rPr>
          <w:t>4</w:t>
        </w:r>
        <w:r>
          <w:rPr>
            <w:noProof/>
            <w:webHidden/>
          </w:rPr>
          <w:fldChar w:fldCharType="end"/>
        </w:r>
      </w:hyperlink>
    </w:p>
    <w:p w14:paraId="095348CF" w14:textId="5C9B645C" w:rsidR="00FA092E" w:rsidRDefault="00FA092E">
      <w:pPr>
        <w:pStyle w:val="TOC1"/>
        <w:rPr>
          <w:rFonts w:asciiTheme="minorHAnsi" w:eastAsiaTheme="minorEastAsia" w:hAnsiTheme="minorHAnsi" w:cstheme="minorBidi"/>
          <w:noProof/>
          <w:sz w:val="22"/>
          <w:szCs w:val="22"/>
          <w:lang w:eastAsia="en-NZ"/>
        </w:rPr>
      </w:pPr>
      <w:hyperlink w:anchor="_Toc99377692" w:history="1">
        <w:r w:rsidRPr="009F6684">
          <w:rPr>
            <w:rStyle w:val="Hyperlink"/>
            <w:noProof/>
          </w:rPr>
          <w:t>General application information</w:t>
        </w:r>
        <w:r>
          <w:rPr>
            <w:noProof/>
            <w:webHidden/>
          </w:rPr>
          <w:tab/>
        </w:r>
        <w:r>
          <w:rPr>
            <w:noProof/>
            <w:webHidden/>
          </w:rPr>
          <w:fldChar w:fldCharType="begin"/>
        </w:r>
        <w:r>
          <w:rPr>
            <w:noProof/>
            <w:webHidden/>
          </w:rPr>
          <w:instrText xml:space="preserve"> PAGEREF _Toc99377692 \h </w:instrText>
        </w:r>
        <w:r>
          <w:rPr>
            <w:noProof/>
            <w:webHidden/>
          </w:rPr>
        </w:r>
        <w:r>
          <w:rPr>
            <w:noProof/>
            <w:webHidden/>
          </w:rPr>
          <w:fldChar w:fldCharType="separate"/>
        </w:r>
        <w:r w:rsidR="00D8378B">
          <w:rPr>
            <w:noProof/>
            <w:webHidden/>
          </w:rPr>
          <w:t>8</w:t>
        </w:r>
        <w:r>
          <w:rPr>
            <w:noProof/>
            <w:webHidden/>
          </w:rPr>
          <w:fldChar w:fldCharType="end"/>
        </w:r>
      </w:hyperlink>
    </w:p>
    <w:p w14:paraId="5B1CD24A" w14:textId="76B6C9E0" w:rsidR="00FA092E" w:rsidRDefault="00FA092E">
      <w:pPr>
        <w:pStyle w:val="TOC2"/>
        <w:rPr>
          <w:rFonts w:asciiTheme="minorHAnsi" w:eastAsiaTheme="minorEastAsia" w:hAnsiTheme="minorHAnsi" w:cstheme="minorBidi"/>
          <w:noProof/>
          <w:sz w:val="22"/>
          <w:szCs w:val="22"/>
          <w:lang w:eastAsia="en-NZ"/>
        </w:rPr>
      </w:pPr>
      <w:hyperlink w:anchor="_Toc99377693" w:history="1">
        <w:r w:rsidRPr="009F6684">
          <w:rPr>
            <w:rStyle w:val="Hyperlink"/>
            <w:noProof/>
          </w:rPr>
          <w:t>Applying for a licence</w:t>
        </w:r>
        <w:r>
          <w:rPr>
            <w:noProof/>
            <w:webHidden/>
          </w:rPr>
          <w:tab/>
        </w:r>
        <w:r>
          <w:rPr>
            <w:noProof/>
            <w:webHidden/>
          </w:rPr>
          <w:fldChar w:fldCharType="begin"/>
        </w:r>
        <w:r>
          <w:rPr>
            <w:noProof/>
            <w:webHidden/>
          </w:rPr>
          <w:instrText xml:space="preserve"> PAGEREF _Toc99377693 \h </w:instrText>
        </w:r>
        <w:r>
          <w:rPr>
            <w:noProof/>
            <w:webHidden/>
          </w:rPr>
        </w:r>
        <w:r>
          <w:rPr>
            <w:noProof/>
            <w:webHidden/>
          </w:rPr>
          <w:fldChar w:fldCharType="separate"/>
        </w:r>
        <w:r w:rsidR="00D8378B">
          <w:rPr>
            <w:noProof/>
            <w:webHidden/>
          </w:rPr>
          <w:t>8</w:t>
        </w:r>
        <w:r>
          <w:rPr>
            <w:noProof/>
            <w:webHidden/>
          </w:rPr>
          <w:fldChar w:fldCharType="end"/>
        </w:r>
      </w:hyperlink>
    </w:p>
    <w:p w14:paraId="7BBC3759" w14:textId="0099BED4" w:rsidR="00FA092E" w:rsidRDefault="00FA092E">
      <w:pPr>
        <w:pStyle w:val="TOC2"/>
        <w:rPr>
          <w:rFonts w:asciiTheme="minorHAnsi" w:eastAsiaTheme="minorEastAsia" w:hAnsiTheme="minorHAnsi" w:cstheme="minorBidi"/>
          <w:noProof/>
          <w:sz w:val="22"/>
          <w:szCs w:val="22"/>
          <w:lang w:eastAsia="en-NZ"/>
        </w:rPr>
      </w:pPr>
      <w:hyperlink w:anchor="_Toc99377694" w:history="1">
        <w:r w:rsidRPr="009F6684">
          <w:rPr>
            <w:rStyle w:val="Hyperlink"/>
            <w:noProof/>
          </w:rPr>
          <w:t>Penalties for breaching a licence or providing drug checking services without a licence</w:t>
        </w:r>
        <w:r>
          <w:rPr>
            <w:noProof/>
            <w:webHidden/>
          </w:rPr>
          <w:tab/>
        </w:r>
        <w:r>
          <w:rPr>
            <w:noProof/>
            <w:webHidden/>
          </w:rPr>
          <w:fldChar w:fldCharType="begin"/>
        </w:r>
        <w:r>
          <w:rPr>
            <w:noProof/>
            <w:webHidden/>
          </w:rPr>
          <w:instrText xml:space="preserve"> PAGEREF _Toc99377694 \h </w:instrText>
        </w:r>
        <w:r>
          <w:rPr>
            <w:noProof/>
            <w:webHidden/>
          </w:rPr>
        </w:r>
        <w:r>
          <w:rPr>
            <w:noProof/>
            <w:webHidden/>
          </w:rPr>
          <w:fldChar w:fldCharType="separate"/>
        </w:r>
        <w:r w:rsidR="00D8378B">
          <w:rPr>
            <w:noProof/>
            <w:webHidden/>
          </w:rPr>
          <w:t>8</w:t>
        </w:r>
        <w:r>
          <w:rPr>
            <w:noProof/>
            <w:webHidden/>
          </w:rPr>
          <w:fldChar w:fldCharType="end"/>
        </w:r>
      </w:hyperlink>
    </w:p>
    <w:p w14:paraId="7EA442B2" w14:textId="4FD71C29" w:rsidR="00FA092E" w:rsidRDefault="00FA092E">
      <w:pPr>
        <w:pStyle w:val="TOC2"/>
        <w:rPr>
          <w:rFonts w:asciiTheme="minorHAnsi" w:eastAsiaTheme="minorEastAsia" w:hAnsiTheme="minorHAnsi" w:cstheme="minorBidi"/>
          <w:noProof/>
          <w:sz w:val="22"/>
          <w:szCs w:val="22"/>
          <w:lang w:eastAsia="en-NZ"/>
        </w:rPr>
      </w:pPr>
      <w:hyperlink w:anchor="_Toc99377695" w:history="1">
        <w:r w:rsidRPr="009F6684">
          <w:rPr>
            <w:rStyle w:val="Hyperlink"/>
            <w:noProof/>
          </w:rPr>
          <w:t>Applicant background information</w:t>
        </w:r>
        <w:r>
          <w:rPr>
            <w:noProof/>
            <w:webHidden/>
          </w:rPr>
          <w:tab/>
        </w:r>
        <w:r>
          <w:rPr>
            <w:noProof/>
            <w:webHidden/>
          </w:rPr>
          <w:fldChar w:fldCharType="begin"/>
        </w:r>
        <w:r>
          <w:rPr>
            <w:noProof/>
            <w:webHidden/>
          </w:rPr>
          <w:instrText xml:space="preserve"> PAGEREF _Toc99377695 \h </w:instrText>
        </w:r>
        <w:r>
          <w:rPr>
            <w:noProof/>
            <w:webHidden/>
          </w:rPr>
        </w:r>
        <w:r>
          <w:rPr>
            <w:noProof/>
            <w:webHidden/>
          </w:rPr>
          <w:fldChar w:fldCharType="separate"/>
        </w:r>
        <w:r w:rsidR="00D8378B">
          <w:rPr>
            <w:noProof/>
            <w:webHidden/>
          </w:rPr>
          <w:t>9</w:t>
        </w:r>
        <w:r>
          <w:rPr>
            <w:noProof/>
            <w:webHidden/>
          </w:rPr>
          <w:fldChar w:fldCharType="end"/>
        </w:r>
      </w:hyperlink>
    </w:p>
    <w:p w14:paraId="7E9FA01F" w14:textId="2974CBEA" w:rsidR="00FA092E" w:rsidRDefault="00FA092E">
      <w:pPr>
        <w:pStyle w:val="TOC2"/>
        <w:rPr>
          <w:rFonts w:asciiTheme="minorHAnsi" w:eastAsiaTheme="minorEastAsia" w:hAnsiTheme="minorHAnsi" w:cstheme="minorBidi"/>
          <w:noProof/>
          <w:sz w:val="22"/>
          <w:szCs w:val="22"/>
          <w:lang w:eastAsia="en-NZ"/>
        </w:rPr>
      </w:pPr>
      <w:hyperlink w:anchor="_Toc99377696" w:history="1">
        <w:r w:rsidRPr="009F6684">
          <w:rPr>
            <w:rStyle w:val="Hyperlink"/>
            <w:noProof/>
          </w:rPr>
          <w:t>Conflict of interest of the entity (applicant organisation) and any responsible persons of the applicant</w:t>
        </w:r>
        <w:r>
          <w:rPr>
            <w:noProof/>
            <w:webHidden/>
          </w:rPr>
          <w:tab/>
        </w:r>
        <w:r>
          <w:rPr>
            <w:noProof/>
            <w:webHidden/>
          </w:rPr>
          <w:fldChar w:fldCharType="begin"/>
        </w:r>
        <w:r>
          <w:rPr>
            <w:noProof/>
            <w:webHidden/>
          </w:rPr>
          <w:instrText xml:space="preserve"> PAGEREF _Toc99377696 \h </w:instrText>
        </w:r>
        <w:r>
          <w:rPr>
            <w:noProof/>
            <w:webHidden/>
          </w:rPr>
        </w:r>
        <w:r>
          <w:rPr>
            <w:noProof/>
            <w:webHidden/>
          </w:rPr>
          <w:fldChar w:fldCharType="separate"/>
        </w:r>
        <w:r w:rsidR="00D8378B">
          <w:rPr>
            <w:noProof/>
            <w:webHidden/>
          </w:rPr>
          <w:t>9</w:t>
        </w:r>
        <w:r>
          <w:rPr>
            <w:noProof/>
            <w:webHidden/>
          </w:rPr>
          <w:fldChar w:fldCharType="end"/>
        </w:r>
      </w:hyperlink>
    </w:p>
    <w:p w14:paraId="4CCEB009" w14:textId="53C6FCCC" w:rsidR="00FA092E" w:rsidRDefault="00FA092E">
      <w:pPr>
        <w:pStyle w:val="TOC1"/>
        <w:rPr>
          <w:rFonts w:asciiTheme="minorHAnsi" w:eastAsiaTheme="minorEastAsia" w:hAnsiTheme="minorHAnsi" w:cstheme="minorBidi"/>
          <w:noProof/>
          <w:sz w:val="22"/>
          <w:szCs w:val="22"/>
          <w:lang w:eastAsia="en-NZ"/>
        </w:rPr>
      </w:pPr>
      <w:hyperlink w:anchor="_Toc99377697" w:history="1">
        <w:r w:rsidRPr="009F6684">
          <w:rPr>
            <w:rStyle w:val="Hyperlink"/>
            <w:noProof/>
          </w:rPr>
          <w:t>Applicant suitability</w:t>
        </w:r>
        <w:r>
          <w:rPr>
            <w:noProof/>
            <w:webHidden/>
          </w:rPr>
          <w:tab/>
        </w:r>
        <w:r>
          <w:rPr>
            <w:noProof/>
            <w:webHidden/>
          </w:rPr>
          <w:fldChar w:fldCharType="begin"/>
        </w:r>
        <w:r>
          <w:rPr>
            <w:noProof/>
            <w:webHidden/>
          </w:rPr>
          <w:instrText xml:space="preserve"> PAGEREF _Toc99377697 \h </w:instrText>
        </w:r>
        <w:r>
          <w:rPr>
            <w:noProof/>
            <w:webHidden/>
          </w:rPr>
        </w:r>
        <w:r>
          <w:rPr>
            <w:noProof/>
            <w:webHidden/>
          </w:rPr>
          <w:fldChar w:fldCharType="separate"/>
        </w:r>
        <w:r w:rsidR="00D8378B">
          <w:rPr>
            <w:noProof/>
            <w:webHidden/>
          </w:rPr>
          <w:t>10</w:t>
        </w:r>
        <w:r>
          <w:rPr>
            <w:noProof/>
            <w:webHidden/>
          </w:rPr>
          <w:fldChar w:fldCharType="end"/>
        </w:r>
      </w:hyperlink>
    </w:p>
    <w:p w14:paraId="30441CF7" w14:textId="1F7CFE47" w:rsidR="00FA092E" w:rsidRDefault="00FA092E">
      <w:pPr>
        <w:pStyle w:val="TOC2"/>
        <w:rPr>
          <w:rFonts w:asciiTheme="minorHAnsi" w:eastAsiaTheme="minorEastAsia" w:hAnsiTheme="minorHAnsi" w:cstheme="minorBidi"/>
          <w:noProof/>
          <w:sz w:val="22"/>
          <w:szCs w:val="22"/>
          <w:lang w:eastAsia="en-NZ"/>
        </w:rPr>
      </w:pPr>
      <w:hyperlink w:anchor="_Toc99377698" w:history="1">
        <w:r w:rsidRPr="009F6684">
          <w:rPr>
            <w:rStyle w:val="Hyperlink"/>
            <w:noProof/>
          </w:rPr>
          <w:t>Responsible persons</w:t>
        </w:r>
        <w:r>
          <w:rPr>
            <w:noProof/>
            <w:webHidden/>
          </w:rPr>
          <w:tab/>
        </w:r>
        <w:r>
          <w:rPr>
            <w:noProof/>
            <w:webHidden/>
          </w:rPr>
          <w:fldChar w:fldCharType="begin"/>
        </w:r>
        <w:r>
          <w:rPr>
            <w:noProof/>
            <w:webHidden/>
          </w:rPr>
          <w:instrText xml:space="preserve"> PAGEREF _Toc99377698 \h </w:instrText>
        </w:r>
        <w:r>
          <w:rPr>
            <w:noProof/>
            <w:webHidden/>
          </w:rPr>
        </w:r>
        <w:r>
          <w:rPr>
            <w:noProof/>
            <w:webHidden/>
          </w:rPr>
          <w:fldChar w:fldCharType="separate"/>
        </w:r>
        <w:r w:rsidR="00D8378B">
          <w:rPr>
            <w:noProof/>
            <w:webHidden/>
          </w:rPr>
          <w:t>10</w:t>
        </w:r>
        <w:r>
          <w:rPr>
            <w:noProof/>
            <w:webHidden/>
          </w:rPr>
          <w:fldChar w:fldCharType="end"/>
        </w:r>
      </w:hyperlink>
    </w:p>
    <w:p w14:paraId="40180573" w14:textId="6E1C3B1B" w:rsidR="00FA092E" w:rsidRDefault="00FA092E">
      <w:pPr>
        <w:pStyle w:val="TOC2"/>
        <w:rPr>
          <w:rFonts w:asciiTheme="minorHAnsi" w:eastAsiaTheme="minorEastAsia" w:hAnsiTheme="minorHAnsi" w:cstheme="minorBidi"/>
          <w:noProof/>
          <w:sz w:val="22"/>
          <w:szCs w:val="22"/>
          <w:lang w:eastAsia="en-NZ"/>
        </w:rPr>
      </w:pPr>
      <w:hyperlink w:anchor="_Toc99377699" w:history="1">
        <w:r w:rsidRPr="009F6684">
          <w:rPr>
            <w:rStyle w:val="Hyperlink"/>
            <w:noProof/>
          </w:rPr>
          <w:t>Suitability of the applicant</w:t>
        </w:r>
        <w:r>
          <w:rPr>
            <w:noProof/>
            <w:webHidden/>
          </w:rPr>
          <w:tab/>
        </w:r>
        <w:r>
          <w:rPr>
            <w:noProof/>
            <w:webHidden/>
          </w:rPr>
          <w:fldChar w:fldCharType="begin"/>
        </w:r>
        <w:r>
          <w:rPr>
            <w:noProof/>
            <w:webHidden/>
          </w:rPr>
          <w:instrText xml:space="preserve"> PAGEREF _Toc99377699 \h </w:instrText>
        </w:r>
        <w:r>
          <w:rPr>
            <w:noProof/>
            <w:webHidden/>
          </w:rPr>
        </w:r>
        <w:r>
          <w:rPr>
            <w:noProof/>
            <w:webHidden/>
          </w:rPr>
          <w:fldChar w:fldCharType="separate"/>
        </w:r>
        <w:r w:rsidR="00D8378B">
          <w:rPr>
            <w:noProof/>
            <w:webHidden/>
          </w:rPr>
          <w:t>10</w:t>
        </w:r>
        <w:r>
          <w:rPr>
            <w:noProof/>
            <w:webHidden/>
          </w:rPr>
          <w:fldChar w:fldCharType="end"/>
        </w:r>
      </w:hyperlink>
    </w:p>
    <w:p w14:paraId="7495DED2" w14:textId="4417096F" w:rsidR="00FA092E" w:rsidRDefault="00FA092E">
      <w:pPr>
        <w:pStyle w:val="TOC2"/>
        <w:rPr>
          <w:rFonts w:asciiTheme="minorHAnsi" w:eastAsiaTheme="minorEastAsia" w:hAnsiTheme="minorHAnsi" w:cstheme="minorBidi"/>
          <w:noProof/>
          <w:sz w:val="22"/>
          <w:szCs w:val="22"/>
          <w:lang w:eastAsia="en-NZ"/>
        </w:rPr>
      </w:pPr>
      <w:hyperlink w:anchor="_Toc99377700" w:history="1">
        <w:r w:rsidRPr="009F6684">
          <w:rPr>
            <w:rStyle w:val="Hyperlink"/>
            <w:noProof/>
          </w:rPr>
          <w:t>Convictions and non-compliance</w:t>
        </w:r>
        <w:r>
          <w:rPr>
            <w:noProof/>
            <w:webHidden/>
          </w:rPr>
          <w:tab/>
        </w:r>
        <w:r>
          <w:rPr>
            <w:noProof/>
            <w:webHidden/>
          </w:rPr>
          <w:fldChar w:fldCharType="begin"/>
        </w:r>
        <w:r>
          <w:rPr>
            <w:noProof/>
            <w:webHidden/>
          </w:rPr>
          <w:instrText xml:space="preserve"> PAGEREF _Toc99377700 \h </w:instrText>
        </w:r>
        <w:r>
          <w:rPr>
            <w:noProof/>
            <w:webHidden/>
          </w:rPr>
        </w:r>
        <w:r>
          <w:rPr>
            <w:noProof/>
            <w:webHidden/>
          </w:rPr>
          <w:fldChar w:fldCharType="separate"/>
        </w:r>
        <w:r w:rsidR="00D8378B">
          <w:rPr>
            <w:noProof/>
            <w:webHidden/>
          </w:rPr>
          <w:t>11</w:t>
        </w:r>
        <w:r>
          <w:rPr>
            <w:noProof/>
            <w:webHidden/>
          </w:rPr>
          <w:fldChar w:fldCharType="end"/>
        </w:r>
      </w:hyperlink>
    </w:p>
    <w:p w14:paraId="34921A85" w14:textId="0170F684" w:rsidR="00FA092E" w:rsidRDefault="00FA092E">
      <w:pPr>
        <w:pStyle w:val="TOC2"/>
        <w:rPr>
          <w:rFonts w:asciiTheme="minorHAnsi" w:eastAsiaTheme="minorEastAsia" w:hAnsiTheme="minorHAnsi" w:cstheme="minorBidi"/>
          <w:noProof/>
          <w:sz w:val="22"/>
          <w:szCs w:val="22"/>
          <w:lang w:eastAsia="en-NZ"/>
        </w:rPr>
      </w:pPr>
      <w:hyperlink w:anchor="_Toc99377701" w:history="1">
        <w:r w:rsidRPr="009F6684">
          <w:rPr>
            <w:rStyle w:val="Hyperlink"/>
            <w:noProof/>
          </w:rPr>
          <w:t>Seriousness</w:t>
        </w:r>
        <w:r>
          <w:rPr>
            <w:noProof/>
            <w:webHidden/>
          </w:rPr>
          <w:tab/>
        </w:r>
        <w:r>
          <w:rPr>
            <w:noProof/>
            <w:webHidden/>
          </w:rPr>
          <w:fldChar w:fldCharType="begin"/>
        </w:r>
        <w:r>
          <w:rPr>
            <w:noProof/>
            <w:webHidden/>
          </w:rPr>
          <w:instrText xml:space="preserve"> PAGEREF _Toc99377701 \h </w:instrText>
        </w:r>
        <w:r>
          <w:rPr>
            <w:noProof/>
            <w:webHidden/>
          </w:rPr>
        </w:r>
        <w:r>
          <w:rPr>
            <w:noProof/>
            <w:webHidden/>
          </w:rPr>
          <w:fldChar w:fldCharType="separate"/>
        </w:r>
        <w:r w:rsidR="00D8378B">
          <w:rPr>
            <w:noProof/>
            <w:webHidden/>
          </w:rPr>
          <w:t>11</w:t>
        </w:r>
        <w:r>
          <w:rPr>
            <w:noProof/>
            <w:webHidden/>
          </w:rPr>
          <w:fldChar w:fldCharType="end"/>
        </w:r>
      </w:hyperlink>
    </w:p>
    <w:p w14:paraId="64104073" w14:textId="57EB949C" w:rsidR="00FA092E" w:rsidRDefault="00FA092E">
      <w:pPr>
        <w:pStyle w:val="TOC2"/>
        <w:rPr>
          <w:rFonts w:asciiTheme="minorHAnsi" w:eastAsiaTheme="minorEastAsia" w:hAnsiTheme="minorHAnsi" w:cstheme="minorBidi"/>
          <w:noProof/>
          <w:sz w:val="22"/>
          <w:szCs w:val="22"/>
          <w:lang w:eastAsia="en-NZ"/>
        </w:rPr>
      </w:pPr>
      <w:hyperlink w:anchor="_Toc99377702" w:history="1">
        <w:r w:rsidRPr="009F6684">
          <w:rPr>
            <w:rStyle w:val="Hyperlink"/>
            <w:noProof/>
          </w:rPr>
          <w:t>Criminal record checking</w:t>
        </w:r>
        <w:r>
          <w:rPr>
            <w:noProof/>
            <w:webHidden/>
          </w:rPr>
          <w:tab/>
        </w:r>
        <w:r>
          <w:rPr>
            <w:noProof/>
            <w:webHidden/>
          </w:rPr>
          <w:fldChar w:fldCharType="begin"/>
        </w:r>
        <w:r>
          <w:rPr>
            <w:noProof/>
            <w:webHidden/>
          </w:rPr>
          <w:instrText xml:space="preserve"> PAGEREF _Toc99377702 \h </w:instrText>
        </w:r>
        <w:r>
          <w:rPr>
            <w:noProof/>
            <w:webHidden/>
          </w:rPr>
        </w:r>
        <w:r>
          <w:rPr>
            <w:noProof/>
            <w:webHidden/>
          </w:rPr>
          <w:fldChar w:fldCharType="separate"/>
        </w:r>
        <w:r w:rsidR="00D8378B">
          <w:rPr>
            <w:noProof/>
            <w:webHidden/>
          </w:rPr>
          <w:t>12</w:t>
        </w:r>
        <w:r>
          <w:rPr>
            <w:noProof/>
            <w:webHidden/>
          </w:rPr>
          <w:fldChar w:fldCharType="end"/>
        </w:r>
      </w:hyperlink>
    </w:p>
    <w:p w14:paraId="5E855757" w14:textId="3962AAC7" w:rsidR="00FA092E" w:rsidRDefault="00FA092E">
      <w:pPr>
        <w:pStyle w:val="TOC2"/>
        <w:rPr>
          <w:rFonts w:asciiTheme="minorHAnsi" w:eastAsiaTheme="minorEastAsia" w:hAnsiTheme="minorHAnsi" w:cstheme="minorBidi"/>
          <w:noProof/>
          <w:sz w:val="22"/>
          <w:szCs w:val="22"/>
          <w:lang w:eastAsia="en-NZ"/>
        </w:rPr>
      </w:pPr>
      <w:hyperlink w:anchor="_Toc99377703" w:history="1">
        <w:r w:rsidRPr="009F6684">
          <w:rPr>
            <w:rStyle w:val="Hyperlink"/>
            <w:noProof/>
          </w:rPr>
          <w:t>Information required where there has been offending or non</w:t>
        </w:r>
        <w:r w:rsidRPr="009F6684">
          <w:rPr>
            <w:rStyle w:val="Hyperlink"/>
            <w:noProof/>
          </w:rPr>
          <w:noBreakHyphen/>
          <w:t>compliance</w:t>
        </w:r>
        <w:r>
          <w:rPr>
            <w:noProof/>
            <w:webHidden/>
          </w:rPr>
          <w:tab/>
        </w:r>
        <w:r>
          <w:rPr>
            <w:noProof/>
            <w:webHidden/>
          </w:rPr>
          <w:fldChar w:fldCharType="begin"/>
        </w:r>
        <w:r>
          <w:rPr>
            <w:noProof/>
            <w:webHidden/>
          </w:rPr>
          <w:instrText xml:space="preserve"> PAGEREF _Toc99377703 \h </w:instrText>
        </w:r>
        <w:r>
          <w:rPr>
            <w:noProof/>
            <w:webHidden/>
          </w:rPr>
        </w:r>
        <w:r>
          <w:rPr>
            <w:noProof/>
            <w:webHidden/>
          </w:rPr>
          <w:fldChar w:fldCharType="separate"/>
        </w:r>
        <w:r w:rsidR="00D8378B">
          <w:rPr>
            <w:noProof/>
            <w:webHidden/>
          </w:rPr>
          <w:t>13</w:t>
        </w:r>
        <w:r>
          <w:rPr>
            <w:noProof/>
            <w:webHidden/>
          </w:rPr>
          <w:fldChar w:fldCharType="end"/>
        </w:r>
      </w:hyperlink>
    </w:p>
    <w:p w14:paraId="3C747D19" w14:textId="0AD4A2DF" w:rsidR="00FA092E" w:rsidRDefault="00FA092E">
      <w:pPr>
        <w:pStyle w:val="TOC1"/>
        <w:rPr>
          <w:rFonts w:asciiTheme="minorHAnsi" w:eastAsiaTheme="minorEastAsia" w:hAnsiTheme="minorHAnsi" w:cstheme="minorBidi"/>
          <w:noProof/>
          <w:sz w:val="22"/>
          <w:szCs w:val="22"/>
          <w:lang w:eastAsia="en-NZ"/>
        </w:rPr>
      </w:pPr>
      <w:hyperlink w:anchor="_Toc99377704" w:history="1">
        <w:r w:rsidRPr="009F6684">
          <w:rPr>
            <w:rStyle w:val="Hyperlink"/>
            <w:noProof/>
          </w:rPr>
          <w:t>Applicant suitability statement</w:t>
        </w:r>
        <w:r>
          <w:rPr>
            <w:noProof/>
            <w:webHidden/>
          </w:rPr>
          <w:tab/>
        </w:r>
        <w:r>
          <w:rPr>
            <w:noProof/>
            <w:webHidden/>
          </w:rPr>
          <w:fldChar w:fldCharType="begin"/>
        </w:r>
        <w:r>
          <w:rPr>
            <w:noProof/>
            <w:webHidden/>
          </w:rPr>
          <w:instrText xml:space="preserve"> PAGEREF _Toc99377704 \h </w:instrText>
        </w:r>
        <w:r>
          <w:rPr>
            <w:noProof/>
            <w:webHidden/>
          </w:rPr>
        </w:r>
        <w:r>
          <w:rPr>
            <w:noProof/>
            <w:webHidden/>
          </w:rPr>
          <w:fldChar w:fldCharType="separate"/>
        </w:r>
        <w:r w:rsidR="00D8378B">
          <w:rPr>
            <w:noProof/>
            <w:webHidden/>
          </w:rPr>
          <w:t>14</w:t>
        </w:r>
        <w:r>
          <w:rPr>
            <w:noProof/>
            <w:webHidden/>
          </w:rPr>
          <w:fldChar w:fldCharType="end"/>
        </w:r>
      </w:hyperlink>
    </w:p>
    <w:p w14:paraId="5BEFEF6A" w14:textId="2FE70DCE" w:rsidR="00FA092E" w:rsidRDefault="00FA092E">
      <w:pPr>
        <w:pStyle w:val="TOC1"/>
        <w:rPr>
          <w:rFonts w:asciiTheme="minorHAnsi" w:eastAsiaTheme="minorEastAsia" w:hAnsiTheme="minorHAnsi" w:cstheme="minorBidi"/>
          <w:noProof/>
          <w:sz w:val="22"/>
          <w:szCs w:val="22"/>
          <w:lang w:eastAsia="en-NZ"/>
        </w:rPr>
      </w:pPr>
      <w:hyperlink w:anchor="_Toc99377705" w:history="1">
        <w:r w:rsidRPr="009F6684">
          <w:rPr>
            <w:rStyle w:val="Hyperlink"/>
            <w:noProof/>
          </w:rPr>
          <w:t>Service delivery models</w:t>
        </w:r>
        <w:r>
          <w:rPr>
            <w:noProof/>
            <w:webHidden/>
          </w:rPr>
          <w:tab/>
        </w:r>
        <w:r>
          <w:rPr>
            <w:noProof/>
            <w:webHidden/>
          </w:rPr>
          <w:fldChar w:fldCharType="begin"/>
        </w:r>
        <w:r>
          <w:rPr>
            <w:noProof/>
            <w:webHidden/>
          </w:rPr>
          <w:instrText xml:space="preserve"> PAGEREF _Toc99377705 \h </w:instrText>
        </w:r>
        <w:r>
          <w:rPr>
            <w:noProof/>
            <w:webHidden/>
          </w:rPr>
        </w:r>
        <w:r>
          <w:rPr>
            <w:noProof/>
            <w:webHidden/>
          </w:rPr>
          <w:fldChar w:fldCharType="separate"/>
        </w:r>
        <w:r w:rsidR="00D8378B">
          <w:rPr>
            <w:noProof/>
            <w:webHidden/>
          </w:rPr>
          <w:t>15</w:t>
        </w:r>
        <w:r>
          <w:rPr>
            <w:noProof/>
            <w:webHidden/>
          </w:rPr>
          <w:fldChar w:fldCharType="end"/>
        </w:r>
      </w:hyperlink>
    </w:p>
    <w:p w14:paraId="1EC08C5A" w14:textId="595B228A" w:rsidR="00FA092E" w:rsidRDefault="00FA092E">
      <w:pPr>
        <w:pStyle w:val="TOC2"/>
        <w:rPr>
          <w:rFonts w:asciiTheme="minorHAnsi" w:eastAsiaTheme="minorEastAsia" w:hAnsiTheme="minorHAnsi" w:cstheme="minorBidi"/>
          <w:noProof/>
          <w:sz w:val="22"/>
          <w:szCs w:val="22"/>
          <w:lang w:eastAsia="en-NZ"/>
        </w:rPr>
      </w:pPr>
      <w:hyperlink w:anchor="_Toc99377706" w:history="1">
        <w:r w:rsidRPr="009F6684">
          <w:rPr>
            <w:rStyle w:val="Hyperlink"/>
            <w:noProof/>
          </w:rPr>
          <w:t>Target audiences, including equity and accessibility considerations</w:t>
        </w:r>
        <w:r>
          <w:rPr>
            <w:noProof/>
            <w:webHidden/>
          </w:rPr>
          <w:tab/>
        </w:r>
        <w:r>
          <w:rPr>
            <w:noProof/>
            <w:webHidden/>
          </w:rPr>
          <w:fldChar w:fldCharType="begin"/>
        </w:r>
        <w:r>
          <w:rPr>
            <w:noProof/>
            <w:webHidden/>
          </w:rPr>
          <w:instrText xml:space="preserve"> PAGEREF _Toc99377706 \h </w:instrText>
        </w:r>
        <w:r>
          <w:rPr>
            <w:noProof/>
            <w:webHidden/>
          </w:rPr>
        </w:r>
        <w:r>
          <w:rPr>
            <w:noProof/>
            <w:webHidden/>
          </w:rPr>
          <w:fldChar w:fldCharType="separate"/>
        </w:r>
        <w:r w:rsidR="00D8378B">
          <w:rPr>
            <w:noProof/>
            <w:webHidden/>
          </w:rPr>
          <w:t>17</w:t>
        </w:r>
        <w:r>
          <w:rPr>
            <w:noProof/>
            <w:webHidden/>
          </w:rPr>
          <w:fldChar w:fldCharType="end"/>
        </w:r>
      </w:hyperlink>
    </w:p>
    <w:p w14:paraId="5BD5202D" w14:textId="3FB2D7E3" w:rsidR="00FA092E" w:rsidRDefault="00FA092E">
      <w:pPr>
        <w:pStyle w:val="TOC2"/>
        <w:rPr>
          <w:rFonts w:asciiTheme="minorHAnsi" w:eastAsiaTheme="minorEastAsia" w:hAnsiTheme="minorHAnsi" w:cstheme="minorBidi"/>
          <w:noProof/>
          <w:sz w:val="22"/>
          <w:szCs w:val="22"/>
          <w:lang w:eastAsia="en-NZ"/>
        </w:rPr>
      </w:pPr>
      <w:hyperlink w:anchor="_Toc99377707" w:history="1">
        <w:r w:rsidRPr="009F6684">
          <w:rPr>
            <w:rStyle w:val="Hyperlink"/>
            <w:noProof/>
          </w:rPr>
          <w:t>Workforce structure</w:t>
        </w:r>
        <w:r>
          <w:rPr>
            <w:noProof/>
            <w:webHidden/>
          </w:rPr>
          <w:tab/>
        </w:r>
        <w:r>
          <w:rPr>
            <w:noProof/>
            <w:webHidden/>
          </w:rPr>
          <w:fldChar w:fldCharType="begin"/>
        </w:r>
        <w:r>
          <w:rPr>
            <w:noProof/>
            <w:webHidden/>
          </w:rPr>
          <w:instrText xml:space="preserve"> PAGEREF _Toc99377707 \h </w:instrText>
        </w:r>
        <w:r>
          <w:rPr>
            <w:noProof/>
            <w:webHidden/>
          </w:rPr>
        </w:r>
        <w:r>
          <w:rPr>
            <w:noProof/>
            <w:webHidden/>
          </w:rPr>
          <w:fldChar w:fldCharType="separate"/>
        </w:r>
        <w:r w:rsidR="00D8378B">
          <w:rPr>
            <w:noProof/>
            <w:webHidden/>
          </w:rPr>
          <w:t>18</w:t>
        </w:r>
        <w:r>
          <w:rPr>
            <w:noProof/>
            <w:webHidden/>
          </w:rPr>
          <w:fldChar w:fldCharType="end"/>
        </w:r>
      </w:hyperlink>
    </w:p>
    <w:p w14:paraId="1A404321" w14:textId="6510B8D1" w:rsidR="00FA092E" w:rsidRDefault="00FA092E">
      <w:pPr>
        <w:pStyle w:val="TOC1"/>
        <w:rPr>
          <w:rFonts w:asciiTheme="minorHAnsi" w:eastAsiaTheme="minorEastAsia" w:hAnsiTheme="minorHAnsi" w:cstheme="minorBidi"/>
          <w:noProof/>
          <w:sz w:val="22"/>
          <w:szCs w:val="22"/>
          <w:lang w:eastAsia="en-NZ"/>
        </w:rPr>
      </w:pPr>
      <w:hyperlink w:anchor="_Toc99377708" w:history="1">
        <w:r w:rsidRPr="009F6684">
          <w:rPr>
            <w:rStyle w:val="Hyperlink"/>
            <w:noProof/>
          </w:rPr>
          <w:t>Drug checking service provider functions</w:t>
        </w:r>
        <w:r>
          <w:rPr>
            <w:noProof/>
            <w:webHidden/>
          </w:rPr>
          <w:tab/>
        </w:r>
        <w:r>
          <w:rPr>
            <w:noProof/>
            <w:webHidden/>
          </w:rPr>
          <w:fldChar w:fldCharType="begin"/>
        </w:r>
        <w:r>
          <w:rPr>
            <w:noProof/>
            <w:webHidden/>
          </w:rPr>
          <w:instrText xml:space="preserve"> PAGEREF _Toc99377708 \h </w:instrText>
        </w:r>
        <w:r>
          <w:rPr>
            <w:noProof/>
            <w:webHidden/>
          </w:rPr>
        </w:r>
        <w:r>
          <w:rPr>
            <w:noProof/>
            <w:webHidden/>
          </w:rPr>
          <w:fldChar w:fldCharType="separate"/>
        </w:r>
        <w:r w:rsidR="00D8378B">
          <w:rPr>
            <w:noProof/>
            <w:webHidden/>
          </w:rPr>
          <w:t>19</w:t>
        </w:r>
        <w:r>
          <w:rPr>
            <w:noProof/>
            <w:webHidden/>
          </w:rPr>
          <w:fldChar w:fldCharType="end"/>
        </w:r>
      </w:hyperlink>
    </w:p>
    <w:p w14:paraId="2E5C083B" w14:textId="0564A74A" w:rsidR="00FA092E" w:rsidRDefault="00FA092E">
      <w:pPr>
        <w:pStyle w:val="TOC2"/>
        <w:rPr>
          <w:rFonts w:asciiTheme="minorHAnsi" w:eastAsiaTheme="minorEastAsia" w:hAnsiTheme="minorHAnsi" w:cstheme="minorBidi"/>
          <w:noProof/>
          <w:sz w:val="22"/>
          <w:szCs w:val="22"/>
          <w:lang w:eastAsia="en-NZ"/>
        </w:rPr>
      </w:pPr>
      <w:hyperlink w:anchor="_Toc99377709" w:history="1">
        <w:r w:rsidRPr="009F6684">
          <w:rPr>
            <w:rStyle w:val="Hyperlink"/>
            <w:noProof/>
          </w:rPr>
          <w:t>Provision of drug harm reduction advice with testing results</w:t>
        </w:r>
        <w:r>
          <w:rPr>
            <w:noProof/>
            <w:webHidden/>
          </w:rPr>
          <w:tab/>
        </w:r>
        <w:r>
          <w:rPr>
            <w:noProof/>
            <w:webHidden/>
          </w:rPr>
          <w:fldChar w:fldCharType="begin"/>
        </w:r>
        <w:r>
          <w:rPr>
            <w:noProof/>
            <w:webHidden/>
          </w:rPr>
          <w:instrText xml:space="preserve"> PAGEREF _Toc99377709 \h </w:instrText>
        </w:r>
        <w:r>
          <w:rPr>
            <w:noProof/>
            <w:webHidden/>
          </w:rPr>
        </w:r>
        <w:r>
          <w:rPr>
            <w:noProof/>
            <w:webHidden/>
          </w:rPr>
          <w:fldChar w:fldCharType="separate"/>
        </w:r>
        <w:r w:rsidR="00D8378B">
          <w:rPr>
            <w:noProof/>
            <w:webHidden/>
          </w:rPr>
          <w:t>20</w:t>
        </w:r>
        <w:r>
          <w:rPr>
            <w:noProof/>
            <w:webHidden/>
          </w:rPr>
          <w:fldChar w:fldCharType="end"/>
        </w:r>
      </w:hyperlink>
    </w:p>
    <w:p w14:paraId="1BB47E9A" w14:textId="1E946187" w:rsidR="00FA092E" w:rsidRDefault="00FA092E">
      <w:pPr>
        <w:pStyle w:val="TOC2"/>
        <w:rPr>
          <w:rFonts w:asciiTheme="minorHAnsi" w:eastAsiaTheme="minorEastAsia" w:hAnsiTheme="minorHAnsi" w:cstheme="minorBidi"/>
          <w:noProof/>
          <w:sz w:val="22"/>
          <w:szCs w:val="22"/>
          <w:lang w:eastAsia="en-NZ"/>
        </w:rPr>
      </w:pPr>
      <w:hyperlink w:anchor="_Toc99377710" w:history="1">
        <w:r w:rsidRPr="009F6684">
          <w:rPr>
            <w:rStyle w:val="Hyperlink"/>
            <w:noProof/>
          </w:rPr>
          <w:t>Testing</w:t>
        </w:r>
        <w:r>
          <w:rPr>
            <w:noProof/>
            <w:webHidden/>
          </w:rPr>
          <w:tab/>
        </w:r>
        <w:r>
          <w:rPr>
            <w:noProof/>
            <w:webHidden/>
          </w:rPr>
          <w:fldChar w:fldCharType="begin"/>
        </w:r>
        <w:r>
          <w:rPr>
            <w:noProof/>
            <w:webHidden/>
          </w:rPr>
          <w:instrText xml:space="preserve"> PAGEREF _Toc99377710 \h </w:instrText>
        </w:r>
        <w:r>
          <w:rPr>
            <w:noProof/>
            <w:webHidden/>
          </w:rPr>
        </w:r>
        <w:r>
          <w:rPr>
            <w:noProof/>
            <w:webHidden/>
          </w:rPr>
          <w:fldChar w:fldCharType="separate"/>
        </w:r>
        <w:r w:rsidR="00D8378B">
          <w:rPr>
            <w:noProof/>
            <w:webHidden/>
          </w:rPr>
          <w:t>22</w:t>
        </w:r>
        <w:r>
          <w:rPr>
            <w:noProof/>
            <w:webHidden/>
          </w:rPr>
          <w:fldChar w:fldCharType="end"/>
        </w:r>
      </w:hyperlink>
    </w:p>
    <w:p w14:paraId="76699223" w14:textId="49684962" w:rsidR="00FA092E" w:rsidRDefault="00FA092E">
      <w:pPr>
        <w:pStyle w:val="TOC2"/>
        <w:rPr>
          <w:rFonts w:asciiTheme="minorHAnsi" w:eastAsiaTheme="minorEastAsia" w:hAnsiTheme="minorHAnsi" w:cstheme="minorBidi"/>
          <w:noProof/>
          <w:sz w:val="22"/>
          <w:szCs w:val="22"/>
          <w:lang w:eastAsia="en-NZ"/>
        </w:rPr>
      </w:pPr>
      <w:hyperlink w:anchor="_Toc99377711" w:history="1">
        <w:r w:rsidRPr="009F6684">
          <w:rPr>
            <w:rStyle w:val="Hyperlink"/>
            <w:noProof/>
          </w:rPr>
          <w:t>Calibration of equipment</w:t>
        </w:r>
        <w:r>
          <w:rPr>
            <w:noProof/>
            <w:webHidden/>
          </w:rPr>
          <w:tab/>
        </w:r>
        <w:r>
          <w:rPr>
            <w:noProof/>
            <w:webHidden/>
          </w:rPr>
          <w:fldChar w:fldCharType="begin"/>
        </w:r>
        <w:r>
          <w:rPr>
            <w:noProof/>
            <w:webHidden/>
          </w:rPr>
          <w:instrText xml:space="preserve"> PAGEREF _Toc99377711 \h </w:instrText>
        </w:r>
        <w:r>
          <w:rPr>
            <w:noProof/>
            <w:webHidden/>
          </w:rPr>
        </w:r>
        <w:r>
          <w:rPr>
            <w:noProof/>
            <w:webHidden/>
          </w:rPr>
          <w:fldChar w:fldCharType="separate"/>
        </w:r>
        <w:r w:rsidR="00D8378B">
          <w:rPr>
            <w:noProof/>
            <w:webHidden/>
          </w:rPr>
          <w:t>23</w:t>
        </w:r>
        <w:r>
          <w:rPr>
            <w:noProof/>
            <w:webHidden/>
          </w:rPr>
          <w:fldChar w:fldCharType="end"/>
        </w:r>
      </w:hyperlink>
    </w:p>
    <w:p w14:paraId="4B1851C2" w14:textId="217A3F64" w:rsidR="00FA092E" w:rsidRDefault="00FA092E">
      <w:pPr>
        <w:pStyle w:val="TOC2"/>
        <w:rPr>
          <w:rFonts w:asciiTheme="minorHAnsi" w:eastAsiaTheme="minorEastAsia" w:hAnsiTheme="minorHAnsi" w:cstheme="minorBidi"/>
          <w:noProof/>
          <w:sz w:val="22"/>
          <w:szCs w:val="22"/>
          <w:lang w:eastAsia="en-NZ"/>
        </w:rPr>
      </w:pPr>
      <w:hyperlink w:anchor="_Toc99377712" w:history="1">
        <w:r w:rsidRPr="009F6684">
          <w:rPr>
            <w:rStyle w:val="Hyperlink"/>
            <w:noProof/>
          </w:rPr>
          <w:t>Disposal of samples</w:t>
        </w:r>
        <w:r>
          <w:rPr>
            <w:noProof/>
            <w:webHidden/>
          </w:rPr>
          <w:tab/>
        </w:r>
        <w:r>
          <w:rPr>
            <w:noProof/>
            <w:webHidden/>
          </w:rPr>
          <w:fldChar w:fldCharType="begin"/>
        </w:r>
        <w:r>
          <w:rPr>
            <w:noProof/>
            <w:webHidden/>
          </w:rPr>
          <w:instrText xml:space="preserve"> PAGEREF _Toc99377712 \h </w:instrText>
        </w:r>
        <w:r>
          <w:rPr>
            <w:noProof/>
            <w:webHidden/>
          </w:rPr>
        </w:r>
        <w:r>
          <w:rPr>
            <w:noProof/>
            <w:webHidden/>
          </w:rPr>
          <w:fldChar w:fldCharType="separate"/>
        </w:r>
        <w:r w:rsidR="00D8378B">
          <w:rPr>
            <w:noProof/>
            <w:webHidden/>
          </w:rPr>
          <w:t>23</w:t>
        </w:r>
        <w:r>
          <w:rPr>
            <w:noProof/>
            <w:webHidden/>
          </w:rPr>
          <w:fldChar w:fldCharType="end"/>
        </w:r>
      </w:hyperlink>
    </w:p>
    <w:p w14:paraId="7F0561DB" w14:textId="1BC3CE39" w:rsidR="00FA092E" w:rsidRDefault="00FA092E">
      <w:pPr>
        <w:pStyle w:val="TOC2"/>
        <w:rPr>
          <w:rFonts w:asciiTheme="minorHAnsi" w:eastAsiaTheme="minorEastAsia" w:hAnsiTheme="minorHAnsi" w:cstheme="minorBidi"/>
          <w:noProof/>
          <w:sz w:val="22"/>
          <w:szCs w:val="22"/>
          <w:lang w:eastAsia="en-NZ"/>
        </w:rPr>
      </w:pPr>
      <w:hyperlink w:anchor="_Toc99377713" w:history="1">
        <w:r w:rsidRPr="009F6684">
          <w:rPr>
            <w:rStyle w:val="Hyperlink"/>
            <w:noProof/>
          </w:rPr>
          <w:t>Surrender of drugs to the police</w:t>
        </w:r>
        <w:r>
          <w:rPr>
            <w:noProof/>
            <w:webHidden/>
          </w:rPr>
          <w:tab/>
        </w:r>
        <w:r>
          <w:rPr>
            <w:noProof/>
            <w:webHidden/>
          </w:rPr>
          <w:fldChar w:fldCharType="begin"/>
        </w:r>
        <w:r>
          <w:rPr>
            <w:noProof/>
            <w:webHidden/>
          </w:rPr>
          <w:instrText xml:space="preserve"> PAGEREF _Toc99377713 \h </w:instrText>
        </w:r>
        <w:r>
          <w:rPr>
            <w:noProof/>
            <w:webHidden/>
          </w:rPr>
        </w:r>
        <w:r>
          <w:rPr>
            <w:noProof/>
            <w:webHidden/>
          </w:rPr>
          <w:fldChar w:fldCharType="separate"/>
        </w:r>
        <w:r w:rsidR="00D8378B">
          <w:rPr>
            <w:noProof/>
            <w:webHidden/>
          </w:rPr>
          <w:t>24</w:t>
        </w:r>
        <w:r>
          <w:rPr>
            <w:noProof/>
            <w:webHidden/>
          </w:rPr>
          <w:fldChar w:fldCharType="end"/>
        </w:r>
      </w:hyperlink>
    </w:p>
    <w:p w14:paraId="0C87FB5C" w14:textId="2B52CCE3" w:rsidR="00FA092E" w:rsidRDefault="00FA092E">
      <w:pPr>
        <w:pStyle w:val="TOC2"/>
        <w:rPr>
          <w:rFonts w:asciiTheme="minorHAnsi" w:eastAsiaTheme="minorEastAsia" w:hAnsiTheme="minorHAnsi" w:cstheme="minorBidi"/>
          <w:noProof/>
          <w:sz w:val="22"/>
          <w:szCs w:val="22"/>
          <w:lang w:eastAsia="en-NZ"/>
        </w:rPr>
      </w:pPr>
      <w:hyperlink w:anchor="_Toc99377714" w:history="1">
        <w:r w:rsidRPr="009F6684">
          <w:rPr>
            <w:rStyle w:val="Hyperlink"/>
            <w:noProof/>
          </w:rPr>
          <w:t>Further testing</w:t>
        </w:r>
        <w:r>
          <w:rPr>
            <w:noProof/>
            <w:webHidden/>
          </w:rPr>
          <w:tab/>
        </w:r>
        <w:r>
          <w:rPr>
            <w:noProof/>
            <w:webHidden/>
          </w:rPr>
          <w:fldChar w:fldCharType="begin"/>
        </w:r>
        <w:r>
          <w:rPr>
            <w:noProof/>
            <w:webHidden/>
          </w:rPr>
          <w:instrText xml:space="preserve"> PAGEREF _Toc99377714 \h </w:instrText>
        </w:r>
        <w:r>
          <w:rPr>
            <w:noProof/>
            <w:webHidden/>
          </w:rPr>
        </w:r>
        <w:r>
          <w:rPr>
            <w:noProof/>
            <w:webHidden/>
          </w:rPr>
          <w:fldChar w:fldCharType="separate"/>
        </w:r>
        <w:r w:rsidR="00D8378B">
          <w:rPr>
            <w:noProof/>
            <w:webHidden/>
          </w:rPr>
          <w:t>24</w:t>
        </w:r>
        <w:r>
          <w:rPr>
            <w:noProof/>
            <w:webHidden/>
          </w:rPr>
          <w:fldChar w:fldCharType="end"/>
        </w:r>
      </w:hyperlink>
    </w:p>
    <w:p w14:paraId="57C2A202" w14:textId="482FF9D4" w:rsidR="00FA092E" w:rsidRDefault="00FA092E">
      <w:pPr>
        <w:pStyle w:val="TOC2"/>
        <w:rPr>
          <w:rFonts w:asciiTheme="minorHAnsi" w:eastAsiaTheme="minorEastAsia" w:hAnsiTheme="minorHAnsi" w:cstheme="minorBidi"/>
          <w:noProof/>
          <w:sz w:val="22"/>
          <w:szCs w:val="22"/>
          <w:lang w:eastAsia="en-NZ"/>
        </w:rPr>
      </w:pPr>
      <w:hyperlink w:anchor="_Toc99377715" w:history="1">
        <w:r w:rsidRPr="009F6684">
          <w:rPr>
            <w:rStyle w:val="Hyperlink"/>
            <w:noProof/>
          </w:rPr>
          <w:t>Loss or removal of drugs</w:t>
        </w:r>
        <w:r>
          <w:rPr>
            <w:noProof/>
            <w:webHidden/>
          </w:rPr>
          <w:tab/>
        </w:r>
        <w:r>
          <w:rPr>
            <w:noProof/>
            <w:webHidden/>
          </w:rPr>
          <w:fldChar w:fldCharType="begin"/>
        </w:r>
        <w:r>
          <w:rPr>
            <w:noProof/>
            <w:webHidden/>
          </w:rPr>
          <w:instrText xml:space="preserve"> PAGEREF _Toc99377715 \h </w:instrText>
        </w:r>
        <w:r>
          <w:rPr>
            <w:noProof/>
            <w:webHidden/>
          </w:rPr>
        </w:r>
        <w:r>
          <w:rPr>
            <w:noProof/>
            <w:webHidden/>
          </w:rPr>
          <w:fldChar w:fldCharType="separate"/>
        </w:r>
        <w:r w:rsidR="00D8378B">
          <w:rPr>
            <w:noProof/>
            <w:webHidden/>
          </w:rPr>
          <w:t>24</w:t>
        </w:r>
        <w:r>
          <w:rPr>
            <w:noProof/>
            <w:webHidden/>
          </w:rPr>
          <w:fldChar w:fldCharType="end"/>
        </w:r>
      </w:hyperlink>
    </w:p>
    <w:p w14:paraId="60CDF94C" w14:textId="7850F5FF" w:rsidR="00FA092E" w:rsidRDefault="00FA092E">
      <w:pPr>
        <w:pStyle w:val="TOC2"/>
        <w:rPr>
          <w:rFonts w:asciiTheme="minorHAnsi" w:eastAsiaTheme="minorEastAsia" w:hAnsiTheme="minorHAnsi" w:cstheme="minorBidi"/>
          <w:noProof/>
          <w:sz w:val="22"/>
          <w:szCs w:val="22"/>
          <w:lang w:eastAsia="en-NZ"/>
        </w:rPr>
      </w:pPr>
      <w:hyperlink w:anchor="_Toc99377716" w:history="1">
        <w:r w:rsidRPr="009F6684">
          <w:rPr>
            <w:rStyle w:val="Hyperlink"/>
            <w:noProof/>
          </w:rPr>
          <w:t>Training</w:t>
        </w:r>
        <w:r>
          <w:rPr>
            <w:noProof/>
            <w:webHidden/>
          </w:rPr>
          <w:tab/>
        </w:r>
        <w:r>
          <w:rPr>
            <w:noProof/>
            <w:webHidden/>
          </w:rPr>
          <w:fldChar w:fldCharType="begin"/>
        </w:r>
        <w:r>
          <w:rPr>
            <w:noProof/>
            <w:webHidden/>
          </w:rPr>
          <w:instrText xml:space="preserve"> PAGEREF _Toc99377716 \h </w:instrText>
        </w:r>
        <w:r>
          <w:rPr>
            <w:noProof/>
            <w:webHidden/>
          </w:rPr>
        </w:r>
        <w:r>
          <w:rPr>
            <w:noProof/>
            <w:webHidden/>
          </w:rPr>
          <w:fldChar w:fldCharType="separate"/>
        </w:r>
        <w:r w:rsidR="00D8378B">
          <w:rPr>
            <w:noProof/>
            <w:webHidden/>
          </w:rPr>
          <w:t>25</w:t>
        </w:r>
        <w:r>
          <w:rPr>
            <w:noProof/>
            <w:webHidden/>
          </w:rPr>
          <w:fldChar w:fldCharType="end"/>
        </w:r>
      </w:hyperlink>
    </w:p>
    <w:p w14:paraId="58E1B8E4" w14:textId="1CE41460" w:rsidR="00FA092E" w:rsidRDefault="00FA092E">
      <w:pPr>
        <w:pStyle w:val="TOC1"/>
        <w:rPr>
          <w:rFonts w:asciiTheme="minorHAnsi" w:eastAsiaTheme="minorEastAsia" w:hAnsiTheme="minorHAnsi" w:cstheme="minorBidi"/>
          <w:noProof/>
          <w:sz w:val="22"/>
          <w:szCs w:val="22"/>
          <w:lang w:eastAsia="en-NZ"/>
        </w:rPr>
      </w:pPr>
      <w:hyperlink w:anchor="_Toc99377717" w:history="1">
        <w:r w:rsidRPr="009F6684">
          <w:rPr>
            <w:rStyle w:val="Hyperlink"/>
            <w:noProof/>
          </w:rPr>
          <w:t>Additional information</w:t>
        </w:r>
        <w:r>
          <w:rPr>
            <w:noProof/>
            <w:webHidden/>
          </w:rPr>
          <w:tab/>
        </w:r>
        <w:r>
          <w:rPr>
            <w:noProof/>
            <w:webHidden/>
          </w:rPr>
          <w:fldChar w:fldCharType="begin"/>
        </w:r>
        <w:r>
          <w:rPr>
            <w:noProof/>
            <w:webHidden/>
          </w:rPr>
          <w:instrText xml:space="preserve"> PAGEREF _Toc99377717 \h </w:instrText>
        </w:r>
        <w:r>
          <w:rPr>
            <w:noProof/>
            <w:webHidden/>
          </w:rPr>
        </w:r>
        <w:r>
          <w:rPr>
            <w:noProof/>
            <w:webHidden/>
          </w:rPr>
          <w:fldChar w:fldCharType="separate"/>
        </w:r>
        <w:r w:rsidR="00D8378B">
          <w:rPr>
            <w:noProof/>
            <w:webHidden/>
          </w:rPr>
          <w:t>26</w:t>
        </w:r>
        <w:r>
          <w:rPr>
            <w:noProof/>
            <w:webHidden/>
          </w:rPr>
          <w:fldChar w:fldCharType="end"/>
        </w:r>
      </w:hyperlink>
    </w:p>
    <w:p w14:paraId="667EEC53" w14:textId="77661C5B" w:rsidR="00FA092E" w:rsidRDefault="00FA092E">
      <w:pPr>
        <w:pStyle w:val="TOC2"/>
        <w:rPr>
          <w:rFonts w:asciiTheme="minorHAnsi" w:eastAsiaTheme="minorEastAsia" w:hAnsiTheme="minorHAnsi" w:cstheme="minorBidi"/>
          <w:noProof/>
          <w:sz w:val="22"/>
          <w:szCs w:val="22"/>
          <w:lang w:eastAsia="en-NZ"/>
        </w:rPr>
      </w:pPr>
      <w:hyperlink w:anchor="_Toc99377718" w:history="1">
        <w:r w:rsidRPr="009F6684">
          <w:rPr>
            <w:rStyle w:val="Hyperlink"/>
            <w:noProof/>
          </w:rPr>
          <w:t>Safe storage of samples</w:t>
        </w:r>
        <w:r>
          <w:rPr>
            <w:noProof/>
            <w:webHidden/>
          </w:rPr>
          <w:tab/>
        </w:r>
        <w:r>
          <w:rPr>
            <w:noProof/>
            <w:webHidden/>
          </w:rPr>
          <w:fldChar w:fldCharType="begin"/>
        </w:r>
        <w:r>
          <w:rPr>
            <w:noProof/>
            <w:webHidden/>
          </w:rPr>
          <w:instrText xml:space="preserve"> PAGEREF _Toc99377718 \h </w:instrText>
        </w:r>
        <w:r>
          <w:rPr>
            <w:noProof/>
            <w:webHidden/>
          </w:rPr>
        </w:r>
        <w:r>
          <w:rPr>
            <w:noProof/>
            <w:webHidden/>
          </w:rPr>
          <w:fldChar w:fldCharType="separate"/>
        </w:r>
        <w:r w:rsidR="00D8378B">
          <w:rPr>
            <w:noProof/>
            <w:webHidden/>
          </w:rPr>
          <w:t>26</w:t>
        </w:r>
        <w:r>
          <w:rPr>
            <w:noProof/>
            <w:webHidden/>
          </w:rPr>
          <w:fldChar w:fldCharType="end"/>
        </w:r>
      </w:hyperlink>
    </w:p>
    <w:p w14:paraId="2E3D22C4" w14:textId="6BD9E596" w:rsidR="00FA092E" w:rsidRDefault="00FA092E">
      <w:pPr>
        <w:pStyle w:val="TOC2"/>
        <w:rPr>
          <w:rFonts w:asciiTheme="minorHAnsi" w:eastAsiaTheme="minorEastAsia" w:hAnsiTheme="minorHAnsi" w:cstheme="minorBidi"/>
          <w:noProof/>
          <w:sz w:val="22"/>
          <w:szCs w:val="22"/>
          <w:lang w:eastAsia="en-NZ"/>
        </w:rPr>
      </w:pPr>
      <w:hyperlink w:anchor="_Toc99377719" w:history="1">
        <w:r w:rsidRPr="009F6684">
          <w:rPr>
            <w:rStyle w:val="Hyperlink"/>
            <w:noProof/>
          </w:rPr>
          <w:t>Transportation</w:t>
        </w:r>
        <w:r>
          <w:rPr>
            <w:noProof/>
            <w:webHidden/>
          </w:rPr>
          <w:tab/>
        </w:r>
        <w:r>
          <w:rPr>
            <w:noProof/>
            <w:webHidden/>
          </w:rPr>
          <w:fldChar w:fldCharType="begin"/>
        </w:r>
        <w:r>
          <w:rPr>
            <w:noProof/>
            <w:webHidden/>
          </w:rPr>
          <w:instrText xml:space="preserve"> PAGEREF _Toc99377719 \h </w:instrText>
        </w:r>
        <w:r>
          <w:rPr>
            <w:noProof/>
            <w:webHidden/>
          </w:rPr>
        </w:r>
        <w:r>
          <w:rPr>
            <w:noProof/>
            <w:webHidden/>
          </w:rPr>
          <w:fldChar w:fldCharType="separate"/>
        </w:r>
        <w:r w:rsidR="00D8378B">
          <w:rPr>
            <w:noProof/>
            <w:webHidden/>
          </w:rPr>
          <w:t>28</w:t>
        </w:r>
        <w:r>
          <w:rPr>
            <w:noProof/>
            <w:webHidden/>
          </w:rPr>
          <w:fldChar w:fldCharType="end"/>
        </w:r>
      </w:hyperlink>
    </w:p>
    <w:p w14:paraId="7A6B8148" w14:textId="21808685" w:rsidR="00FA092E" w:rsidRDefault="00FA092E">
      <w:pPr>
        <w:pStyle w:val="TOC2"/>
        <w:rPr>
          <w:rFonts w:asciiTheme="minorHAnsi" w:eastAsiaTheme="minorEastAsia" w:hAnsiTheme="minorHAnsi" w:cstheme="minorBidi"/>
          <w:noProof/>
          <w:sz w:val="22"/>
          <w:szCs w:val="22"/>
          <w:lang w:eastAsia="en-NZ"/>
        </w:rPr>
      </w:pPr>
      <w:hyperlink w:anchor="_Toc99377720" w:history="1">
        <w:r w:rsidRPr="009F6684">
          <w:rPr>
            <w:rStyle w:val="Hyperlink"/>
            <w:noProof/>
          </w:rPr>
          <w:t>Privacy</w:t>
        </w:r>
        <w:r>
          <w:rPr>
            <w:noProof/>
            <w:webHidden/>
          </w:rPr>
          <w:tab/>
        </w:r>
        <w:r>
          <w:rPr>
            <w:noProof/>
            <w:webHidden/>
          </w:rPr>
          <w:fldChar w:fldCharType="begin"/>
        </w:r>
        <w:r>
          <w:rPr>
            <w:noProof/>
            <w:webHidden/>
          </w:rPr>
          <w:instrText xml:space="preserve"> PAGEREF _Toc99377720 \h </w:instrText>
        </w:r>
        <w:r>
          <w:rPr>
            <w:noProof/>
            <w:webHidden/>
          </w:rPr>
        </w:r>
        <w:r>
          <w:rPr>
            <w:noProof/>
            <w:webHidden/>
          </w:rPr>
          <w:fldChar w:fldCharType="separate"/>
        </w:r>
        <w:r w:rsidR="00D8378B">
          <w:rPr>
            <w:noProof/>
            <w:webHidden/>
          </w:rPr>
          <w:t>29</w:t>
        </w:r>
        <w:r>
          <w:rPr>
            <w:noProof/>
            <w:webHidden/>
          </w:rPr>
          <w:fldChar w:fldCharType="end"/>
        </w:r>
      </w:hyperlink>
    </w:p>
    <w:p w14:paraId="094B9D52" w14:textId="7C4C67AD" w:rsidR="00FA092E" w:rsidRDefault="00FA092E">
      <w:pPr>
        <w:pStyle w:val="TOC2"/>
        <w:rPr>
          <w:rFonts w:asciiTheme="minorHAnsi" w:eastAsiaTheme="minorEastAsia" w:hAnsiTheme="minorHAnsi" w:cstheme="minorBidi"/>
          <w:noProof/>
          <w:sz w:val="22"/>
          <w:szCs w:val="22"/>
          <w:lang w:eastAsia="en-NZ"/>
        </w:rPr>
      </w:pPr>
      <w:hyperlink w:anchor="_Toc99377721" w:history="1">
        <w:r w:rsidRPr="009F6684">
          <w:rPr>
            <w:rStyle w:val="Hyperlink"/>
            <w:noProof/>
          </w:rPr>
          <w:t>Data collection and storage of personal information</w:t>
        </w:r>
        <w:r>
          <w:rPr>
            <w:noProof/>
            <w:webHidden/>
          </w:rPr>
          <w:tab/>
        </w:r>
        <w:r>
          <w:rPr>
            <w:noProof/>
            <w:webHidden/>
          </w:rPr>
          <w:fldChar w:fldCharType="begin"/>
        </w:r>
        <w:r>
          <w:rPr>
            <w:noProof/>
            <w:webHidden/>
          </w:rPr>
          <w:instrText xml:space="preserve"> PAGEREF _Toc99377721 \h </w:instrText>
        </w:r>
        <w:r>
          <w:rPr>
            <w:noProof/>
            <w:webHidden/>
          </w:rPr>
        </w:r>
        <w:r>
          <w:rPr>
            <w:noProof/>
            <w:webHidden/>
          </w:rPr>
          <w:fldChar w:fldCharType="separate"/>
        </w:r>
        <w:r w:rsidR="00D8378B">
          <w:rPr>
            <w:noProof/>
            <w:webHidden/>
          </w:rPr>
          <w:t>29</w:t>
        </w:r>
        <w:r>
          <w:rPr>
            <w:noProof/>
            <w:webHidden/>
          </w:rPr>
          <w:fldChar w:fldCharType="end"/>
        </w:r>
      </w:hyperlink>
    </w:p>
    <w:p w14:paraId="34DF1780" w14:textId="19461270" w:rsidR="00FA092E" w:rsidRDefault="00FA092E">
      <w:pPr>
        <w:pStyle w:val="TOC1"/>
        <w:rPr>
          <w:rFonts w:asciiTheme="minorHAnsi" w:eastAsiaTheme="minorEastAsia" w:hAnsiTheme="minorHAnsi" w:cstheme="minorBidi"/>
          <w:noProof/>
          <w:sz w:val="22"/>
          <w:szCs w:val="22"/>
          <w:lang w:eastAsia="en-NZ"/>
        </w:rPr>
      </w:pPr>
      <w:hyperlink w:anchor="_Toc99377722" w:history="1">
        <w:r w:rsidRPr="009F6684">
          <w:rPr>
            <w:rStyle w:val="Hyperlink"/>
            <w:noProof/>
          </w:rPr>
          <w:t>Record keeping and reporting</w:t>
        </w:r>
        <w:r>
          <w:rPr>
            <w:noProof/>
            <w:webHidden/>
          </w:rPr>
          <w:tab/>
        </w:r>
        <w:r>
          <w:rPr>
            <w:noProof/>
            <w:webHidden/>
          </w:rPr>
          <w:fldChar w:fldCharType="begin"/>
        </w:r>
        <w:r>
          <w:rPr>
            <w:noProof/>
            <w:webHidden/>
          </w:rPr>
          <w:instrText xml:space="preserve"> PAGEREF _Toc99377722 \h </w:instrText>
        </w:r>
        <w:r>
          <w:rPr>
            <w:noProof/>
            <w:webHidden/>
          </w:rPr>
        </w:r>
        <w:r>
          <w:rPr>
            <w:noProof/>
            <w:webHidden/>
          </w:rPr>
          <w:fldChar w:fldCharType="separate"/>
        </w:r>
        <w:r w:rsidR="00D8378B">
          <w:rPr>
            <w:noProof/>
            <w:webHidden/>
          </w:rPr>
          <w:t>30</w:t>
        </w:r>
        <w:r>
          <w:rPr>
            <w:noProof/>
            <w:webHidden/>
          </w:rPr>
          <w:fldChar w:fldCharType="end"/>
        </w:r>
      </w:hyperlink>
    </w:p>
    <w:p w14:paraId="6D9552A1" w14:textId="5A9E3B77" w:rsidR="00FA092E" w:rsidRDefault="00FA092E">
      <w:pPr>
        <w:pStyle w:val="TOC2"/>
        <w:rPr>
          <w:rFonts w:asciiTheme="minorHAnsi" w:eastAsiaTheme="minorEastAsia" w:hAnsiTheme="minorHAnsi" w:cstheme="minorBidi"/>
          <w:noProof/>
          <w:sz w:val="22"/>
          <w:szCs w:val="22"/>
          <w:lang w:eastAsia="en-NZ"/>
        </w:rPr>
      </w:pPr>
      <w:hyperlink w:anchor="_Toc99377723" w:history="1">
        <w:r w:rsidRPr="009F6684">
          <w:rPr>
            <w:rStyle w:val="Hyperlink"/>
            <w:rFonts w:eastAsiaTheme="majorEastAsia"/>
            <w:noProof/>
          </w:rPr>
          <w:t>Record keeping</w:t>
        </w:r>
        <w:r>
          <w:rPr>
            <w:noProof/>
            <w:webHidden/>
          </w:rPr>
          <w:tab/>
        </w:r>
        <w:r>
          <w:rPr>
            <w:noProof/>
            <w:webHidden/>
          </w:rPr>
          <w:fldChar w:fldCharType="begin"/>
        </w:r>
        <w:r>
          <w:rPr>
            <w:noProof/>
            <w:webHidden/>
          </w:rPr>
          <w:instrText xml:space="preserve"> PAGEREF _Toc99377723 \h </w:instrText>
        </w:r>
        <w:r>
          <w:rPr>
            <w:noProof/>
            <w:webHidden/>
          </w:rPr>
        </w:r>
        <w:r>
          <w:rPr>
            <w:noProof/>
            <w:webHidden/>
          </w:rPr>
          <w:fldChar w:fldCharType="separate"/>
        </w:r>
        <w:r w:rsidR="00D8378B">
          <w:rPr>
            <w:noProof/>
            <w:webHidden/>
          </w:rPr>
          <w:t>30</w:t>
        </w:r>
        <w:r>
          <w:rPr>
            <w:noProof/>
            <w:webHidden/>
          </w:rPr>
          <w:fldChar w:fldCharType="end"/>
        </w:r>
      </w:hyperlink>
    </w:p>
    <w:p w14:paraId="148FCF1F" w14:textId="033924D7" w:rsidR="00FA092E" w:rsidRDefault="00FA092E">
      <w:pPr>
        <w:pStyle w:val="TOC2"/>
        <w:rPr>
          <w:rFonts w:asciiTheme="minorHAnsi" w:eastAsiaTheme="minorEastAsia" w:hAnsiTheme="minorHAnsi" w:cstheme="minorBidi"/>
          <w:noProof/>
          <w:sz w:val="22"/>
          <w:szCs w:val="22"/>
          <w:lang w:eastAsia="en-NZ"/>
        </w:rPr>
      </w:pPr>
      <w:hyperlink w:anchor="_Toc99377724" w:history="1">
        <w:r w:rsidRPr="009F6684">
          <w:rPr>
            <w:rStyle w:val="Hyperlink"/>
            <w:rFonts w:eastAsiaTheme="majorEastAsia"/>
            <w:noProof/>
          </w:rPr>
          <w:t>Reporting</w:t>
        </w:r>
        <w:r>
          <w:rPr>
            <w:noProof/>
            <w:webHidden/>
          </w:rPr>
          <w:tab/>
        </w:r>
        <w:r>
          <w:rPr>
            <w:noProof/>
            <w:webHidden/>
          </w:rPr>
          <w:fldChar w:fldCharType="begin"/>
        </w:r>
        <w:r>
          <w:rPr>
            <w:noProof/>
            <w:webHidden/>
          </w:rPr>
          <w:instrText xml:space="preserve"> PAGEREF _Toc99377724 \h </w:instrText>
        </w:r>
        <w:r>
          <w:rPr>
            <w:noProof/>
            <w:webHidden/>
          </w:rPr>
        </w:r>
        <w:r>
          <w:rPr>
            <w:noProof/>
            <w:webHidden/>
          </w:rPr>
          <w:fldChar w:fldCharType="separate"/>
        </w:r>
        <w:r w:rsidR="00D8378B">
          <w:rPr>
            <w:noProof/>
            <w:webHidden/>
          </w:rPr>
          <w:t>31</w:t>
        </w:r>
        <w:r>
          <w:rPr>
            <w:noProof/>
            <w:webHidden/>
          </w:rPr>
          <w:fldChar w:fldCharType="end"/>
        </w:r>
      </w:hyperlink>
    </w:p>
    <w:p w14:paraId="6C0989A3" w14:textId="38746C8E" w:rsidR="00FA092E" w:rsidRDefault="00FA092E">
      <w:pPr>
        <w:pStyle w:val="TOC1"/>
        <w:rPr>
          <w:rFonts w:asciiTheme="minorHAnsi" w:eastAsiaTheme="minorEastAsia" w:hAnsiTheme="minorHAnsi" w:cstheme="minorBidi"/>
          <w:noProof/>
          <w:sz w:val="22"/>
          <w:szCs w:val="22"/>
          <w:lang w:eastAsia="en-NZ"/>
        </w:rPr>
      </w:pPr>
      <w:hyperlink w:anchor="_Toc99377725" w:history="1">
        <w:r w:rsidRPr="009F6684">
          <w:rPr>
            <w:rStyle w:val="Hyperlink"/>
            <w:rFonts w:eastAsia="Arial"/>
            <w:noProof/>
          </w:rPr>
          <w:t>Licensing decision</w:t>
        </w:r>
        <w:r>
          <w:rPr>
            <w:noProof/>
            <w:webHidden/>
          </w:rPr>
          <w:tab/>
        </w:r>
        <w:r>
          <w:rPr>
            <w:noProof/>
            <w:webHidden/>
          </w:rPr>
          <w:fldChar w:fldCharType="begin"/>
        </w:r>
        <w:r>
          <w:rPr>
            <w:noProof/>
            <w:webHidden/>
          </w:rPr>
          <w:instrText xml:space="preserve"> PAGEREF _Toc99377725 \h </w:instrText>
        </w:r>
        <w:r>
          <w:rPr>
            <w:noProof/>
            <w:webHidden/>
          </w:rPr>
        </w:r>
        <w:r>
          <w:rPr>
            <w:noProof/>
            <w:webHidden/>
          </w:rPr>
          <w:fldChar w:fldCharType="separate"/>
        </w:r>
        <w:r w:rsidR="00D8378B">
          <w:rPr>
            <w:noProof/>
            <w:webHidden/>
          </w:rPr>
          <w:t>32</w:t>
        </w:r>
        <w:r>
          <w:rPr>
            <w:noProof/>
            <w:webHidden/>
          </w:rPr>
          <w:fldChar w:fldCharType="end"/>
        </w:r>
      </w:hyperlink>
    </w:p>
    <w:p w14:paraId="44F226F4" w14:textId="60D903ED" w:rsidR="00FA092E" w:rsidRDefault="00FA092E">
      <w:pPr>
        <w:pStyle w:val="TOC2"/>
        <w:rPr>
          <w:rFonts w:asciiTheme="minorHAnsi" w:eastAsiaTheme="minorEastAsia" w:hAnsiTheme="minorHAnsi" w:cstheme="minorBidi"/>
          <w:noProof/>
          <w:sz w:val="22"/>
          <w:szCs w:val="22"/>
          <w:lang w:eastAsia="en-NZ"/>
        </w:rPr>
      </w:pPr>
      <w:hyperlink w:anchor="_Toc99377726" w:history="1">
        <w:r w:rsidRPr="009F6684">
          <w:rPr>
            <w:rStyle w:val="Hyperlink"/>
            <w:noProof/>
          </w:rPr>
          <w:t>Decision to approve</w:t>
        </w:r>
        <w:r>
          <w:rPr>
            <w:noProof/>
            <w:webHidden/>
          </w:rPr>
          <w:tab/>
        </w:r>
        <w:r>
          <w:rPr>
            <w:noProof/>
            <w:webHidden/>
          </w:rPr>
          <w:fldChar w:fldCharType="begin"/>
        </w:r>
        <w:r>
          <w:rPr>
            <w:noProof/>
            <w:webHidden/>
          </w:rPr>
          <w:instrText xml:space="preserve"> PAGEREF _Toc99377726 \h </w:instrText>
        </w:r>
        <w:r>
          <w:rPr>
            <w:noProof/>
            <w:webHidden/>
          </w:rPr>
        </w:r>
        <w:r>
          <w:rPr>
            <w:noProof/>
            <w:webHidden/>
          </w:rPr>
          <w:fldChar w:fldCharType="separate"/>
        </w:r>
        <w:r w:rsidR="00D8378B">
          <w:rPr>
            <w:noProof/>
            <w:webHidden/>
          </w:rPr>
          <w:t>32</w:t>
        </w:r>
        <w:r>
          <w:rPr>
            <w:noProof/>
            <w:webHidden/>
          </w:rPr>
          <w:fldChar w:fldCharType="end"/>
        </w:r>
      </w:hyperlink>
    </w:p>
    <w:p w14:paraId="18CD387B" w14:textId="29FC97E9" w:rsidR="00FA092E" w:rsidRDefault="00FA092E">
      <w:pPr>
        <w:pStyle w:val="TOC2"/>
        <w:rPr>
          <w:rFonts w:asciiTheme="minorHAnsi" w:eastAsiaTheme="minorEastAsia" w:hAnsiTheme="minorHAnsi" w:cstheme="minorBidi"/>
          <w:noProof/>
          <w:sz w:val="22"/>
          <w:szCs w:val="22"/>
          <w:lang w:eastAsia="en-NZ"/>
        </w:rPr>
      </w:pPr>
      <w:hyperlink w:anchor="_Toc99377727" w:history="1">
        <w:r w:rsidRPr="009F6684">
          <w:rPr>
            <w:rStyle w:val="Hyperlink"/>
            <w:noProof/>
          </w:rPr>
          <w:t>Decision to decline</w:t>
        </w:r>
        <w:r>
          <w:rPr>
            <w:noProof/>
            <w:webHidden/>
          </w:rPr>
          <w:tab/>
        </w:r>
        <w:r>
          <w:rPr>
            <w:noProof/>
            <w:webHidden/>
          </w:rPr>
          <w:fldChar w:fldCharType="begin"/>
        </w:r>
        <w:r>
          <w:rPr>
            <w:noProof/>
            <w:webHidden/>
          </w:rPr>
          <w:instrText xml:space="preserve"> PAGEREF _Toc99377727 \h </w:instrText>
        </w:r>
        <w:r>
          <w:rPr>
            <w:noProof/>
            <w:webHidden/>
          </w:rPr>
        </w:r>
        <w:r>
          <w:rPr>
            <w:noProof/>
            <w:webHidden/>
          </w:rPr>
          <w:fldChar w:fldCharType="separate"/>
        </w:r>
        <w:r w:rsidR="00D8378B">
          <w:rPr>
            <w:noProof/>
            <w:webHidden/>
          </w:rPr>
          <w:t>32</w:t>
        </w:r>
        <w:r>
          <w:rPr>
            <w:noProof/>
            <w:webHidden/>
          </w:rPr>
          <w:fldChar w:fldCharType="end"/>
        </w:r>
      </w:hyperlink>
    </w:p>
    <w:p w14:paraId="13FC985C" w14:textId="2BFDD0A4" w:rsidR="00FA092E" w:rsidRDefault="00FA092E">
      <w:pPr>
        <w:pStyle w:val="TOC2"/>
        <w:rPr>
          <w:rFonts w:asciiTheme="minorHAnsi" w:eastAsiaTheme="minorEastAsia" w:hAnsiTheme="minorHAnsi" w:cstheme="minorBidi"/>
          <w:noProof/>
          <w:sz w:val="22"/>
          <w:szCs w:val="22"/>
          <w:lang w:eastAsia="en-NZ"/>
        </w:rPr>
      </w:pPr>
      <w:hyperlink w:anchor="_Toc99377728" w:history="1">
        <w:r w:rsidRPr="009F6684">
          <w:rPr>
            <w:rStyle w:val="Hyperlink"/>
            <w:noProof/>
          </w:rPr>
          <w:t>Licence renewal</w:t>
        </w:r>
        <w:r>
          <w:rPr>
            <w:noProof/>
            <w:webHidden/>
          </w:rPr>
          <w:tab/>
        </w:r>
        <w:r>
          <w:rPr>
            <w:noProof/>
            <w:webHidden/>
          </w:rPr>
          <w:fldChar w:fldCharType="begin"/>
        </w:r>
        <w:r>
          <w:rPr>
            <w:noProof/>
            <w:webHidden/>
          </w:rPr>
          <w:instrText xml:space="preserve"> PAGEREF _Toc99377728 \h </w:instrText>
        </w:r>
        <w:r>
          <w:rPr>
            <w:noProof/>
            <w:webHidden/>
          </w:rPr>
        </w:r>
        <w:r>
          <w:rPr>
            <w:noProof/>
            <w:webHidden/>
          </w:rPr>
          <w:fldChar w:fldCharType="separate"/>
        </w:r>
        <w:r w:rsidR="00D8378B">
          <w:rPr>
            <w:noProof/>
            <w:webHidden/>
          </w:rPr>
          <w:t>33</w:t>
        </w:r>
        <w:r>
          <w:rPr>
            <w:noProof/>
            <w:webHidden/>
          </w:rPr>
          <w:fldChar w:fldCharType="end"/>
        </w:r>
      </w:hyperlink>
    </w:p>
    <w:p w14:paraId="5C6DB472" w14:textId="1DCDDC52" w:rsidR="00FA092E" w:rsidRDefault="00FA092E">
      <w:pPr>
        <w:pStyle w:val="TOC1"/>
        <w:rPr>
          <w:rFonts w:asciiTheme="minorHAnsi" w:eastAsiaTheme="minorEastAsia" w:hAnsiTheme="minorHAnsi" w:cstheme="minorBidi"/>
          <w:noProof/>
          <w:sz w:val="22"/>
          <w:szCs w:val="22"/>
          <w:lang w:eastAsia="en-NZ"/>
        </w:rPr>
      </w:pPr>
      <w:hyperlink w:anchor="_Toc99377729" w:history="1">
        <w:r w:rsidRPr="009F6684">
          <w:rPr>
            <w:rStyle w:val="Hyperlink"/>
            <w:rFonts w:eastAsia="Arial"/>
            <w:noProof/>
          </w:rPr>
          <w:t>Appeals</w:t>
        </w:r>
        <w:r>
          <w:rPr>
            <w:noProof/>
            <w:webHidden/>
          </w:rPr>
          <w:tab/>
        </w:r>
        <w:r>
          <w:rPr>
            <w:noProof/>
            <w:webHidden/>
          </w:rPr>
          <w:fldChar w:fldCharType="begin"/>
        </w:r>
        <w:r>
          <w:rPr>
            <w:noProof/>
            <w:webHidden/>
          </w:rPr>
          <w:instrText xml:space="preserve"> PAGEREF _Toc99377729 \h </w:instrText>
        </w:r>
        <w:r>
          <w:rPr>
            <w:noProof/>
            <w:webHidden/>
          </w:rPr>
        </w:r>
        <w:r>
          <w:rPr>
            <w:noProof/>
            <w:webHidden/>
          </w:rPr>
          <w:fldChar w:fldCharType="separate"/>
        </w:r>
        <w:r w:rsidR="00D8378B">
          <w:rPr>
            <w:noProof/>
            <w:webHidden/>
          </w:rPr>
          <w:t>34</w:t>
        </w:r>
        <w:r>
          <w:rPr>
            <w:noProof/>
            <w:webHidden/>
          </w:rPr>
          <w:fldChar w:fldCharType="end"/>
        </w:r>
      </w:hyperlink>
    </w:p>
    <w:p w14:paraId="77B06E00" w14:textId="2F9E3DAD" w:rsidR="00FA092E" w:rsidRDefault="00FA092E">
      <w:pPr>
        <w:pStyle w:val="TOC1"/>
        <w:rPr>
          <w:rFonts w:asciiTheme="minorHAnsi" w:eastAsiaTheme="minorEastAsia" w:hAnsiTheme="minorHAnsi" w:cstheme="minorBidi"/>
          <w:noProof/>
          <w:sz w:val="22"/>
          <w:szCs w:val="22"/>
          <w:lang w:eastAsia="en-NZ"/>
        </w:rPr>
      </w:pPr>
      <w:hyperlink w:anchor="_Toc99377730" w:history="1">
        <w:r w:rsidRPr="009F6684">
          <w:rPr>
            <w:rStyle w:val="Hyperlink"/>
            <w:rFonts w:eastAsia="Arial"/>
            <w:noProof/>
          </w:rPr>
          <w:t>Suspension, or cancellation</w:t>
        </w:r>
        <w:r w:rsidRPr="009F6684">
          <w:rPr>
            <w:rStyle w:val="Hyperlink"/>
            <w:noProof/>
          </w:rPr>
          <w:t xml:space="preserve"> of licence</w:t>
        </w:r>
        <w:r>
          <w:rPr>
            <w:noProof/>
            <w:webHidden/>
          </w:rPr>
          <w:tab/>
        </w:r>
        <w:r>
          <w:rPr>
            <w:noProof/>
            <w:webHidden/>
          </w:rPr>
          <w:fldChar w:fldCharType="begin"/>
        </w:r>
        <w:r>
          <w:rPr>
            <w:noProof/>
            <w:webHidden/>
          </w:rPr>
          <w:instrText xml:space="preserve"> PAGEREF _Toc99377730 \h </w:instrText>
        </w:r>
        <w:r>
          <w:rPr>
            <w:noProof/>
            <w:webHidden/>
          </w:rPr>
        </w:r>
        <w:r>
          <w:rPr>
            <w:noProof/>
            <w:webHidden/>
          </w:rPr>
          <w:fldChar w:fldCharType="separate"/>
        </w:r>
        <w:r w:rsidR="00D8378B">
          <w:rPr>
            <w:noProof/>
            <w:webHidden/>
          </w:rPr>
          <w:t>35</w:t>
        </w:r>
        <w:r>
          <w:rPr>
            <w:noProof/>
            <w:webHidden/>
          </w:rPr>
          <w:fldChar w:fldCharType="end"/>
        </w:r>
      </w:hyperlink>
    </w:p>
    <w:p w14:paraId="4678E81E" w14:textId="72864901" w:rsidR="00FA092E" w:rsidRDefault="00FA092E">
      <w:pPr>
        <w:pStyle w:val="TOC1"/>
        <w:rPr>
          <w:rFonts w:asciiTheme="minorHAnsi" w:eastAsiaTheme="minorEastAsia" w:hAnsiTheme="minorHAnsi" w:cstheme="minorBidi"/>
          <w:noProof/>
          <w:sz w:val="22"/>
          <w:szCs w:val="22"/>
          <w:lang w:eastAsia="en-NZ"/>
        </w:rPr>
      </w:pPr>
      <w:hyperlink w:anchor="_Toc99377731" w:history="1">
        <w:r w:rsidRPr="009F6684">
          <w:rPr>
            <w:rStyle w:val="Hyperlink"/>
            <w:rFonts w:eastAsia="Arial"/>
            <w:noProof/>
          </w:rPr>
          <w:t>Surrender of licence by service provider</w:t>
        </w:r>
        <w:r>
          <w:rPr>
            <w:noProof/>
            <w:webHidden/>
          </w:rPr>
          <w:tab/>
        </w:r>
        <w:r>
          <w:rPr>
            <w:noProof/>
            <w:webHidden/>
          </w:rPr>
          <w:fldChar w:fldCharType="begin"/>
        </w:r>
        <w:r>
          <w:rPr>
            <w:noProof/>
            <w:webHidden/>
          </w:rPr>
          <w:instrText xml:space="preserve"> PAGEREF _Toc99377731 \h </w:instrText>
        </w:r>
        <w:r>
          <w:rPr>
            <w:noProof/>
            <w:webHidden/>
          </w:rPr>
        </w:r>
        <w:r>
          <w:rPr>
            <w:noProof/>
            <w:webHidden/>
          </w:rPr>
          <w:fldChar w:fldCharType="separate"/>
        </w:r>
        <w:r w:rsidR="00D8378B">
          <w:rPr>
            <w:noProof/>
            <w:webHidden/>
          </w:rPr>
          <w:t>36</w:t>
        </w:r>
        <w:r>
          <w:rPr>
            <w:noProof/>
            <w:webHidden/>
          </w:rPr>
          <w:fldChar w:fldCharType="end"/>
        </w:r>
      </w:hyperlink>
    </w:p>
    <w:p w14:paraId="276D92F4" w14:textId="66D0C337" w:rsidR="00FA092E" w:rsidRDefault="00FA092E">
      <w:pPr>
        <w:pStyle w:val="TOC1"/>
        <w:rPr>
          <w:rFonts w:asciiTheme="minorHAnsi" w:eastAsiaTheme="minorEastAsia" w:hAnsiTheme="minorHAnsi" w:cstheme="minorBidi"/>
          <w:noProof/>
          <w:sz w:val="22"/>
          <w:szCs w:val="22"/>
          <w:lang w:eastAsia="en-NZ"/>
        </w:rPr>
      </w:pPr>
      <w:hyperlink w:anchor="_Toc99377732" w:history="1">
        <w:r w:rsidRPr="009F6684">
          <w:rPr>
            <w:rStyle w:val="Hyperlink"/>
            <w:rFonts w:eastAsia="Arial"/>
            <w:noProof/>
          </w:rPr>
          <w:t>Complaints</w:t>
        </w:r>
        <w:r>
          <w:rPr>
            <w:noProof/>
            <w:webHidden/>
          </w:rPr>
          <w:tab/>
        </w:r>
        <w:r>
          <w:rPr>
            <w:noProof/>
            <w:webHidden/>
          </w:rPr>
          <w:fldChar w:fldCharType="begin"/>
        </w:r>
        <w:r>
          <w:rPr>
            <w:noProof/>
            <w:webHidden/>
          </w:rPr>
          <w:instrText xml:space="preserve"> PAGEREF _Toc99377732 \h </w:instrText>
        </w:r>
        <w:r>
          <w:rPr>
            <w:noProof/>
            <w:webHidden/>
          </w:rPr>
        </w:r>
        <w:r>
          <w:rPr>
            <w:noProof/>
            <w:webHidden/>
          </w:rPr>
          <w:fldChar w:fldCharType="separate"/>
        </w:r>
        <w:r w:rsidR="00D8378B">
          <w:rPr>
            <w:noProof/>
            <w:webHidden/>
          </w:rPr>
          <w:t>37</w:t>
        </w:r>
        <w:r>
          <w:rPr>
            <w:noProof/>
            <w:webHidden/>
          </w:rPr>
          <w:fldChar w:fldCharType="end"/>
        </w:r>
      </w:hyperlink>
    </w:p>
    <w:p w14:paraId="31AB5C21" w14:textId="6F80A203" w:rsidR="00FA092E" w:rsidRDefault="00FA092E">
      <w:pPr>
        <w:pStyle w:val="TOC2"/>
        <w:rPr>
          <w:rFonts w:asciiTheme="minorHAnsi" w:eastAsiaTheme="minorEastAsia" w:hAnsiTheme="minorHAnsi" w:cstheme="minorBidi"/>
          <w:noProof/>
          <w:sz w:val="22"/>
          <w:szCs w:val="22"/>
          <w:lang w:eastAsia="en-NZ"/>
        </w:rPr>
      </w:pPr>
      <w:hyperlink w:anchor="_Toc99377733" w:history="1">
        <w:r w:rsidRPr="009F6684">
          <w:rPr>
            <w:rStyle w:val="Hyperlink"/>
            <w:rFonts w:eastAsia="Arial"/>
            <w:noProof/>
          </w:rPr>
          <w:t>Maintenance and monitoring</w:t>
        </w:r>
        <w:r>
          <w:rPr>
            <w:noProof/>
            <w:webHidden/>
          </w:rPr>
          <w:tab/>
        </w:r>
        <w:r>
          <w:rPr>
            <w:noProof/>
            <w:webHidden/>
          </w:rPr>
          <w:fldChar w:fldCharType="begin"/>
        </w:r>
        <w:r>
          <w:rPr>
            <w:noProof/>
            <w:webHidden/>
          </w:rPr>
          <w:instrText xml:space="preserve"> PAGEREF _Toc99377733 \h </w:instrText>
        </w:r>
        <w:r>
          <w:rPr>
            <w:noProof/>
            <w:webHidden/>
          </w:rPr>
        </w:r>
        <w:r>
          <w:rPr>
            <w:noProof/>
            <w:webHidden/>
          </w:rPr>
          <w:fldChar w:fldCharType="separate"/>
        </w:r>
        <w:r w:rsidR="00D8378B">
          <w:rPr>
            <w:noProof/>
            <w:webHidden/>
          </w:rPr>
          <w:t>37</w:t>
        </w:r>
        <w:r>
          <w:rPr>
            <w:noProof/>
            <w:webHidden/>
          </w:rPr>
          <w:fldChar w:fldCharType="end"/>
        </w:r>
      </w:hyperlink>
    </w:p>
    <w:p w14:paraId="15FA2E64" w14:textId="4CF9E6C6" w:rsidR="00FA092E" w:rsidRDefault="00FA092E">
      <w:pPr>
        <w:pStyle w:val="TOC1"/>
        <w:rPr>
          <w:rFonts w:asciiTheme="minorHAnsi" w:eastAsiaTheme="minorEastAsia" w:hAnsiTheme="minorHAnsi" w:cstheme="minorBidi"/>
          <w:noProof/>
          <w:sz w:val="22"/>
          <w:szCs w:val="22"/>
          <w:lang w:eastAsia="en-NZ"/>
        </w:rPr>
      </w:pPr>
      <w:hyperlink w:anchor="_Toc99377734" w:history="1">
        <w:r w:rsidRPr="009F6684">
          <w:rPr>
            <w:rStyle w:val="Hyperlink"/>
            <w:noProof/>
          </w:rPr>
          <w:t>Monitoring schedule</w:t>
        </w:r>
        <w:r>
          <w:rPr>
            <w:noProof/>
            <w:webHidden/>
          </w:rPr>
          <w:tab/>
        </w:r>
        <w:r>
          <w:rPr>
            <w:noProof/>
            <w:webHidden/>
          </w:rPr>
          <w:fldChar w:fldCharType="begin"/>
        </w:r>
        <w:r>
          <w:rPr>
            <w:noProof/>
            <w:webHidden/>
          </w:rPr>
          <w:instrText xml:space="preserve"> PAGEREF _Toc99377734 \h </w:instrText>
        </w:r>
        <w:r>
          <w:rPr>
            <w:noProof/>
            <w:webHidden/>
          </w:rPr>
        </w:r>
        <w:r>
          <w:rPr>
            <w:noProof/>
            <w:webHidden/>
          </w:rPr>
          <w:fldChar w:fldCharType="separate"/>
        </w:r>
        <w:r w:rsidR="00D8378B">
          <w:rPr>
            <w:noProof/>
            <w:webHidden/>
          </w:rPr>
          <w:t>39</w:t>
        </w:r>
        <w:r>
          <w:rPr>
            <w:noProof/>
            <w:webHidden/>
          </w:rPr>
          <w:fldChar w:fldCharType="end"/>
        </w:r>
      </w:hyperlink>
    </w:p>
    <w:p w14:paraId="62E1EA5B" w14:textId="39D261FC" w:rsidR="00C86248" w:rsidRDefault="00FA092E">
      <w:r>
        <w:rPr>
          <w:rFonts w:ascii="Segoe UI Semibold" w:hAnsi="Segoe UI Semibold"/>
          <w:b/>
          <w:sz w:val="24"/>
        </w:rPr>
        <w:fldChar w:fldCharType="end"/>
      </w:r>
    </w:p>
    <w:p w14:paraId="0FE88BCA" w14:textId="77777777" w:rsidR="00FB0A5B" w:rsidRDefault="00FB0A5B" w:rsidP="003A5FEA"/>
    <w:p w14:paraId="674778FB" w14:textId="77777777" w:rsidR="001D3E4E" w:rsidRDefault="001D3E4E" w:rsidP="003A5FEA">
      <w:pPr>
        <w:sectPr w:rsidR="001D3E4E" w:rsidSect="00925892">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p>
    <w:p w14:paraId="3BF922A8" w14:textId="77777777" w:rsidR="008C2973" w:rsidRDefault="00EE67CB" w:rsidP="00A05704">
      <w:pPr>
        <w:pStyle w:val="Heading1"/>
      </w:pPr>
      <w:bookmarkStart w:id="2" w:name="_Toc99377689"/>
      <w:r>
        <w:lastRenderedPageBreak/>
        <w:t>Purpose statement</w:t>
      </w:r>
      <w:bookmarkEnd w:id="2"/>
    </w:p>
    <w:p w14:paraId="5FB348F7" w14:textId="77777777" w:rsidR="00A25A47" w:rsidRDefault="00EE67CB" w:rsidP="005739EE">
      <w:r>
        <w:t>The purpose of this handbook is to provide information for both potential and current licensed drug and substance checking service providers. The handbook gives details on the application process, along with general information about the Drug Checking Licensing Scheme for drug checking service providers.</w:t>
      </w:r>
    </w:p>
    <w:p w14:paraId="7C0325EF" w14:textId="77777777" w:rsidR="005739EE" w:rsidRDefault="005739EE" w:rsidP="005739EE"/>
    <w:p w14:paraId="1FD34BD8" w14:textId="77777777" w:rsidR="00EE67CB" w:rsidRDefault="00EE67CB" w:rsidP="009B1687">
      <w:pPr>
        <w:pStyle w:val="Italics"/>
      </w:pPr>
      <w:r w:rsidRPr="006C798A">
        <w:t>NB: Guidance for information to be included in the application submission appears in italics.</w:t>
      </w:r>
    </w:p>
    <w:p w14:paraId="0811676D" w14:textId="77777777" w:rsidR="005739EE" w:rsidRPr="006C798A" w:rsidRDefault="005739EE" w:rsidP="005739EE"/>
    <w:p w14:paraId="1EB97ECA" w14:textId="77777777" w:rsidR="00EE67CB" w:rsidRPr="009502A5" w:rsidRDefault="00EE67CB" w:rsidP="005739EE">
      <w:pPr>
        <w:pStyle w:val="Heading1"/>
      </w:pPr>
      <w:bookmarkStart w:id="3" w:name="_Toc98861445"/>
      <w:bookmarkStart w:id="4" w:name="_Toc99377690"/>
      <w:r w:rsidRPr="009502A5">
        <w:lastRenderedPageBreak/>
        <w:t>Introduction</w:t>
      </w:r>
      <w:bookmarkEnd w:id="3"/>
      <w:bookmarkEnd w:id="4"/>
    </w:p>
    <w:p w14:paraId="4D41DC15" w14:textId="77777777" w:rsidR="00EE67CB" w:rsidRDefault="00EE67CB" w:rsidP="005739EE">
      <w:r w:rsidRPr="00496CB9">
        <w:t xml:space="preserve">Drug checking is a drug harm reduction service. Drug checking </w:t>
      </w:r>
      <w:r>
        <w:t xml:space="preserve">reduces some of the risks associated with drug consumption; it involves </w:t>
      </w:r>
      <w:r w:rsidRPr="00496CB9">
        <w:t xml:space="preserve">testing the composition of </w:t>
      </w:r>
      <w:r>
        <w:t>a drug</w:t>
      </w:r>
      <w:r w:rsidRPr="00496CB9">
        <w:t xml:space="preserve"> to ascertain </w:t>
      </w:r>
      <w:r>
        <w:t xml:space="preserve">its </w:t>
      </w:r>
      <w:r w:rsidRPr="00496CB9">
        <w:t>likely composition. Drug checking services</w:t>
      </w:r>
      <w:r>
        <w:t xml:space="preserve"> also </w:t>
      </w:r>
      <w:r w:rsidRPr="00496CB9">
        <w:t xml:space="preserve">provide </w:t>
      </w:r>
      <w:r>
        <w:t xml:space="preserve">people with </w:t>
      </w:r>
      <w:r w:rsidRPr="00496CB9">
        <w:t xml:space="preserve">advice on how </w:t>
      </w:r>
      <w:r>
        <w:t xml:space="preserve">to reduce </w:t>
      </w:r>
      <w:r w:rsidRPr="00496CB9">
        <w:t>risks and harms</w:t>
      </w:r>
      <w:r>
        <w:t xml:space="preserve">, and information that can </w:t>
      </w:r>
      <w:r w:rsidRPr="00496CB9">
        <w:t xml:space="preserve">help </w:t>
      </w:r>
      <w:r>
        <w:t xml:space="preserve">them </w:t>
      </w:r>
      <w:r w:rsidRPr="00496CB9">
        <w:t>make informed decisions about drug use.</w:t>
      </w:r>
      <w:r>
        <w:t xml:space="preserve"> Drug checking services do not promote illicit drug use or claim that illicit drug use is safe.</w:t>
      </w:r>
    </w:p>
    <w:p w14:paraId="72A4DD27" w14:textId="77777777" w:rsidR="005739EE" w:rsidRDefault="005739EE" w:rsidP="005739EE"/>
    <w:p w14:paraId="39C524F8" w14:textId="77777777" w:rsidR="00EE67CB" w:rsidRDefault="00EE67CB" w:rsidP="005739EE">
      <w:r>
        <w:t>The Ministry of Health</w:t>
      </w:r>
      <w:r w:rsidR="00A25A47">
        <w:t>’</w:t>
      </w:r>
      <w:r>
        <w:t>s Drug Checking Licensing Scheme implements drug checking services in New Zealand. It:</w:t>
      </w:r>
    </w:p>
    <w:p w14:paraId="5B28050D" w14:textId="77777777" w:rsidR="00EE67CB" w:rsidRDefault="00EE67CB" w:rsidP="005739EE">
      <w:pPr>
        <w:pStyle w:val="Bullet"/>
      </w:pPr>
      <w:r>
        <w:t>licenses</w:t>
      </w:r>
      <w:r w:rsidRPr="00791092">
        <w:t xml:space="preserve"> new providers</w:t>
      </w:r>
    </w:p>
    <w:p w14:paraId="29569E16" w14:textId="77777777" w:rsidR="00A25A47" w:rsidRDefault="00EE67CB" w:rsidP="005739EE">
      <w:pPr>
        <w:pStyle w:val="Bullet"/>
      </w:pPr>
      <w:r w:rsidRPr="00791092">
        <w:t>renews licences</w:t>
      </w:r>
    </w:p>
    <w:p w14:paraId="7AFB8E13" w14:textId="77777777" w:rsidR="00A25A47" w:rsidRDefault="00EE67CB" w:rsidP="005739EE">
      <w:pPr>
        <w:pStyle w:val="Bullet"/>
      </w:pPr>
      <w:r w:rsidRPr="00791092">
        <w:t>suspends</w:t>
      </w:r>
      <w:r>
        <w:t>,</w:t>
      </w:r>
      <w:r w:rsidRPr="00791092">
        <w:t xml:space="preserve"> </w:t>
      </w:r>
      <w:r>
        <w:t>and cancels l</w:t>
      </w:r>
      <w:r w:rsidRPr="00791092">
        <w:t>icences</w:t>
      </w:r>
    </w:p>
    <w:p w14:paraId="1F86782C" w14:textId="77777777" w:rsidR="00EE67CB" w:rsidRDefault="00EE67CB" w:rsidP="005739EE">
      <w:pPr>
        <w:pStyle w:val="Bullet"/>
      </w:pPr>
      <w:r>
        <w:t>imposes,</w:t>
      </w:r>
      <w:r w:rsidRPr="002B39E8">
        <w:t xml:space="preserve"> </w:t>
      </w:r>
      <w:r w:rsidRPr="00791092">
        <w:t>revokes</w:t>
      </w:r>
      <w:r>
        <w:t xml:space="preserve"> and amends licence conditions</w:t>
      </w:r>
    </w:p>
    <w:p w14:paraId="04BD00D6" w14:textId="77777777" w:rsidR="00EE67CB" w:rsidRDefault="00EE67CB" w:rsidP="005739EE">
      <w:pPr>
        <w:pStyle w:val="Bullet"/>
      </w:pPr>
      <w:r w:rsidRPr="00791092">
        <w:t xml:space="preserve">manages appeals </w:t>
      </w:r>
      <w:r>
        <w:t>related to licensing decisions</w:t>
      </w:r>
    </w:p>
    <w:p w14:paraId="61D5C4D7" w14:textId="77777777" w:rsidR="00EE67CB" w:rsidRDefault="00EE67CB" w:rsidP="005739EE">
      <w:pPr>
        <w:pStyle w:val="Bullet"/>
      </w:pPr>
      <w:r>
        <w:t>manages</w:t>
      </w:r>
      <w:r w:rsidRPr="00791092">
        <w:t xml:space="preserve"> complaints</w:t>
      </w:r>
    </w:p>
    <w:p w14:paraId="60ED67A9" w14:textId="77777777" w:rsidR="00EE67CB" w:rsidRPr="00791092" w:rsidRDefault="00EE67CB" w:rsidP="005739EE">
      <w:pPr>
        <w:pStyle w:val="Bullet"/>
      </w:pPr>
      <w:r w:rsidRPr="00791092">
        <w:t>monitors the compliance of drug checking service providers</w:t>
      </w:r>
      <w:r>
        <w:t>.</w:t>
      </w:r>
    </w:p>
    <w:p w14:paraId="0EAEAC65" w14:textId="77777777" w:rsidR="005739EE" w:rsidRDefault="005739EE" w:rsidP="005739EE"/>
    <w:p w14:paraId="5E1844AE" w14:textId="77777777" w:rsidR="00A25A47" w:rsidRDefault="00EE67CB" w:rsidP="005739EE">
      <w:r>
        <w:t>Under the scheme, f</w:t>
      </w:r>
      <w:r w:rsidRPr="00496CB9">
        <w:t xml:space="preserve">or </w:t>
      </w:r>
      <w:r>
        <w:t xml:space="preserve">drug checking service </w:t>
      </w:r>
      <w:r w:rsidRPr="00496CB9">
        <w:t>providers to operate legally</w:t>
      </w:r>
      <w:r>
        <w:t>,</w:t>
      </w:r>
      <w:r w:rsidRPr="00496CB9">
        <w:t xml:space="preserve"> </w:t>
      </w:r>
      <w:r>
        <w:t xml:space="preserve">the Director-General of Health </w:t>
      </w:r>
      <w:r w:rsidRPr="00496CB9">
        <w:t xml:space="preserve">must </w:t>
      </w:r>
      <w:r>
        <w:t>have l</w:t>
      </w:r>
      <w:r w:rsidRPr="00496CB9">
        <w:t>icen</w:t>
      </w:r>
      <w:r>
        <w:t>s</w:t>
      </w:r>
      <w:r w:rsidRPr="00496CB9">
        <w:t xml:space="preserve">ed </w:t>
      </w:r>
      <w:r>
        <w:t>them</w:t>
      </w:r>
      <w:r w:rsidRPr="00496CB9">
        <w:t xml:space="preserve">. </w:t>
      </w:r>
      <w:r>
        <w:t>In terms of legislation, d</w:t>
      </w:r>
      <w:r w:rsidRPr="003860B7">
        <w:t>rug checking is regulated under amendments to the Misuse of Drugs Act 1975</w:t>
      </w:r>
      <w:r>
        <w:t xml:space="preserve"> (</w:t>
      </w:r>
      <w:proofErr w:type="spellStart"/>
      <w:r>
        <w:t>MoDA</w:t>
      </w:r>
      <w:proofErr w:type="spellEnd"/>
      <w:r>
        <w:t>)</w:t>
      </w:r>
      <w:r w:rsidRPr="003860B7">
        <w:t xml:space="preserve">, </w:t>
      </w:r>
      <w:r>
        <w:t xml:space="preserve">along with </w:t>
      </w:r>
      <w:r w:rsidRPr="003860B7">
        <w:t>the Psychoactive Substances Act 2013</w:t>
      </w:r>
      <w:r>
        <w:t>,</w:t>
      </w:r>
      <w:r w:rsidRPr="003860B7">
        <w:t xml:space="preserve"> the Medicines Act 1981</w:t>
      </w:r>
      <w:r>
        <w:t>,</w:t>
      </w:r>
      <w:r w:rsidRPr="003860B7">
        <w:t xml:space="preserve"> and the relevant regulations</w:t>
      </w:r>
      <w:r>
        <w:t xml:space="preserve"> of those Acts</w:t>
      </w:r>
      <w:r w:rsidRPr="003860B7">
        <w:t>.</w:t>
      </w:r>
    </w:p>
    <w:p w14:paraId="640FA492" w14:textId="77777777" w:rsidR="005739EE" w:rsidRDefault="005739EE" w:rsidP="005739EE"/>
    <w:p w14:paraId="47295B51" w14:textId="77777777" w:rsidR="00A25A47" w:rsidRPr="005739EE" w:rsidRDefault="00EE67CB" w:rsidP="005739EE">
      <w:r w:rsidRPr="003860B7">
        <w:t>The</w:t>
      </w:r>
      <w:r>
        <w:t xml:space="preserve"> </w:t>
      </w:r>
      <w:bookmarkStart w:id="5" w:name="_Hlk98231998"/>
      <w:r>
        <w:t>Drug and Substance Checking Legislation Act 2021 made relevant</w:t>
      </w:r>
      <w:r w:rsidRPr="003860B7">
        <w:t xml:space="preserve"> </w:t>
      </w:r>
      <w:bookmarkEnd w:id="5"/>
      <w:r w:rsidRPr="003860B7">
        <w:t>permanent amendment</w:t>
      </w:r>
      <w:r>
        <w:t>s</w:t>
      </w:r>
      <w:r w:rsidRPr="003860B7">
        <w:t xml:space="preserve"> to </w:t>
      </w:r>
      <w:r>
        <w:t xml:space="preserve">the </w:t>
      </w:r>
      <w:proofErr w:type="spellStart"/>
      <w:r>
        <w:t>MoDA</w:t>
      </w:r>
      <w:proofErr w:type="spellEnd"/>
      <w:r>
        <w:t xml:space="preserve"> to implement the Drug Checking Licensing Scheme. It </w:t>
      </w:r>
      <w:r w:rsidRPr="003860B7">
        <w:t xml:space="preserve">received Royal assent in </w:t>
      </w:r>
      <w:proofErr w:type="gramStart"/>
      <w:r w:rsidRPr="003860B7">
        <w:t>November 2021</w:t>
      </w:r>
      <w:r>
        <w:t>,</w:t>
      </w:r>
      <w:r w:rsidRPr="003860B7">
        <w:t xml:space="preserve"> and</w:t>
      </w:r>
      <w:proofErr w:type="gramEnd"/>
      <w:r w:rsidRPr="003860B7">
        <w:t xml:space="preserve"> can be viewed at: </w:t>
      </w:r>
      <w:hyperlink r:id="rId19" w:history="1">
        <w:r w:rsidRPr="00DA422F">
          <w:rPr>
            <w:rStyle w:val="Hyperlink"/>
            <w:rFonts w:eastAsia="MS Gothic"/>
          </w:rPr>
          <w:t>https://www.legislation.govt.nz/act/public/1975/0116/latest/DLM436101.html</w:t>
        </w:r>
      </w:hyperlink>
      <w:r w:rsidR="005739EE" w:rsidRPr="005739EE">
        <w:rPr>
          <w:rFonts w:eastAsia="MS Gothic"/>
        </w:rPr>
        <w:t>.</w:t>
      </w:r>
    </w:p>
    <w:p w14:paraId="18A109F2" w14:textId="77777777" w:rsidR="005739EE" w:rsidRDefault="005739EE" w:rsidP="005739EE"/>
    <w:p w14:paraId="75074262" w14:textId="77777777" w:rsidR="00EE67CB" w:rsidRPr="003860B7" w:rsidRDefault="00EE67CB" w:rsidP="005739EE">
      <w:r>
        <w:t>The Government has also developed r</w:t>
      </w:r>
      <w:r w:rsidRPr="003860B7">
        <w:t>egulations to support the implementation of the Drug Checking Licensing Scheme</w:t>
      </w:r>
      <w:r>
        <w:t>. A</w:t>
      </w:r>
      <w:r w:rsidRPr="003860B7">
        <w:t>pplications for drug checking licen</w:t>
      </w:r>
      <w:r>
        <w:t>c</w:t>
      </w:r>
      <w:r w:rsidRPr="003860B7">
        <w:t xml:space="preserve">es will be open once the regulations come into force, </w:t>
      </w:r>
      <w:r>
        <w:t xml:space="preserve">probably </w:t>
      </w:r>
      <w:r w:rsidRPr="003860B7">
        <w:t>in the second quarter of 2022.</w:t>
      </w:r>
    </w:p>
    <w:p w14:paraId="328A8FA8" w14:textId="77777777" w:rsidR="005739EE" w:rsidRDefault="005739EE" w:rsidP="005739EE"/>
    <w:p w14:paraId="08B5E2CC" w14:textId="77777777" w:rsidR="00EE67CB" w:rsidRPr="003860B7" w:rsidRDefault="00EE67CB" w:rsidP="005739EE">
      <w:r>
        <w:t xml:space="preserve">This new legislation replaces the </w:t>
      </w:r>
      <w:r w:rsidRPr="0008240D">
        <w:t>Drug and Substance Checking Legislation Act 2020</w:t>
      </w:r>
      <w:r>
        <w:t xml:space="preserve">, which was temporary legislation. </w:t>
      </w:r>
      <w:r w:rsidRPr="003860B7">
        <w:t>A transition period enables providers appointed at the date of repeal of the 2020 legislation to continue to deliver drug checking services under the same conditions as</w:t>
      </w:r>
      <w:r w:rsidRPr="003860B7">
        <w:rPr>
          <w:i/>
          <w:iCs/>
        </w:rPr>
        <w:t xml:space="preserve"> </w:t>
      </w:r>
      <w:r w:rsidRPr="00AD4E16">
        <w:t>gazetted</w:t>
      </w:r>
      <w:r w:rsidRPr="003860B7">
        <w:rPr>
          <w:i/>
          <w:iCs/>
        </w:rPr>
        <w:t xml:space="preserve"> </w:t>
      </w:r>
      <w:r w:rsidRPr="003860B7">
        <w:t xml:space="preserve">under </w:t>
      </w:r>
      <w:r>
        <w:t xml:space="preserve">that </w:t>
      </w:r>
      <w:r w:rsidRPr="003860B7">
        <w:t>legislation.</w:t>
      </w:r>
    </w:p>
    <w:p w14:paraId="44CA5984" w14:textId="77777777" w:rsidR="005739EE" w:rsidRDefault="005739EE" w:rsidP="005739EE"/>
    <w:p w14:paraId="21D8F9A4" w14:textId="77777777" w:rsidR="00A25A47" w:rsidRDefault="00EE67CB" w:rsidP="005739EE">
      <w:pPr>
        <w:keepNext/>
      </w:pPr>
      <w:r w:rsidRPr="003860B7">
        <w:lastRenderedPageBreak/>
        <w:t xml:space="preserve">If an appointed provider applies for a licence within one month </w:t>
      </w:r>
      <w:r w:rsidRPr="004206A5">
        <w:t xml:space="preserve">after </w:t>
      </w:r>
      <w:r>
        <w:t xml:space="preserve">the </w:t>
      </w:r>
      <w:r w:rsidRPr="004206A5">
        <w:t>regulations come into force</w:t>
      </w:r>
      <w:r w:rsidRPr="003860B7">
        <w:t>, their appointment continues until the Director-General of Health (the Director-General)</w:t>
      </w:r>
      <w:r w:rsidRPr="005739EE">
        <w:rPr>
          <w:rStyle w:val="FootnoteReference"/>
        </w:rPr>
        <w:footnoteReference w:id="1"/>
      </w:r>
      <w:r w:rsidRPr="003860B7">
        <w:t xml:space="preserve"> makes a licensing decision on the applicant.</w:t>
      </w:r>
    </w:p>
    <w:p w14:paraId="1BEDD682" w14:textId="77777777" w:rsidR="005739EE" w:rsidRDefault="005739EE" w:rsidP="005739EE"/>
    <w:p w14:paraId="0E4AE91C" w14:textId="77777777" w:rsidR="00A25A47" w:rsidRDefault="00EE67CB" w:rsidP="005739EE">
      <w:r w:rsidRPr="003860B7">
        <w:t xml:space="preserve">If a provider does not apply for a licence within one month of </w:t>
      </w:r>
      <w:r>
        <w:t xml:space="preserve">the </w:t>
      </w:r>
      <w:r w:rsidRPr="003860B7">
        <w:t>regulations coming into force, their appointment will lapse.</w:t>
      </w:r>
    </w:p>
    <w:p w14:paraId="6ADD8D45" w14:textId="77777777" w:rsidR="005739EE" w:rsidRDefault="005739EE" w:rsidP="005739EE"/>
    <w:p w14:paraId="50816F73" w14:textId="77777777" w:rsidR="00EE67CB" w:rsidRDefault="00EE67CB" w:rsidP="005739EE">
      <w:r w:rsidRPr="00837A0D">
        <w:t xml:space="preserve">The penalty for </w:t>
      </w:r>
      <w:r>
        <w:t xml:space="preserve">a person (or entity) </w:t>
      </w:r>
      <w:r w:rsidRPr="00837A0D">
        <w:t xml:space="preserve">undertaking </w:t>
      </w:r>
      <w:r>
        <w:t>drug checking</w:t>
      </w:r>
      <w:r w:rsidRPr="00837A0D">
        <w:t xml:space="preserve"> without a licence is $20,000.</w:t>
      </w:r>
    </w:p>
    <w:p w14:paraId="109D7176" w14:textId="77777777" w:rsidR="005739EE" w:rsidRDefault="005739EE" w:rsidP="005739EE"/>
    <w:p w14:paraId="031677D0" w14:textId="77777777" w:rsidR="00EE67CB" w:rsidRDefault="00EE67CB" w:rsidP="005739EE">
      <w:pPr>
        <w:rPr>
          <w:rFonts w:eastAsia="MS Gothic"/>
        </w:rPr>
      </w:pPr>
      <w:r w:rsidRPr="008335A1">
        <w:t xml:space="preserve">All enquiries, application submission and supporting documentation are to be sent to: </w:t>
      </w:r>
      <w:hyperlink r:id="rId20" w:history="1">
        <w:r w:rsidRPr="005739EE">
          <w:rPr>
            <w:rStyle w:val="Hyperlink"/>
            <w:rFonts w:eastAsia="MS Gothic"/>
          </w:rPr>
          <w:t>drugcheckingadmin@health.govt.nz</w:t>
        </w:r>
      </w:hyperlink>
      <w:r w:rsidR="005739EE" w:rsidRPr="005739EE">
        <w:rPr>
          <w:rFonts w:eastAsia="MS Gothic"/>
        </w:rPr>
        <w:t>.</w:t>
      </w:r>
    </w:p>
    <w:p w14:paraId="0FFF2608" w14:textId="77777777" w:rsidR="005739EE" w:rsidRPr="005739EE" w:rsidRDefault="005739EE" w:rsidP="005739EE">
      <w:pPr>
        <w:rPr>
          <w:rFonts w:eastAsia="MS Gothic"/>
        </w:rPr>
      </w:pPr>
    </w:p>
    <w:p w14:paraId="4A62AE9D" w14:textId="77777777" w:rsidR="00EE67CB" w:rsidRDefault="00EE67CB" w:rsidP="005739EE">
      <w:pPr>
        <w:pStyle w:val="Heading1"/>
      </w:pPr>
      <w:bookmarkStart w:id="6" w:name="_Toc98861446"/>
      <w:bookmarkStart w:id="7" w:name="_Toc99377691"/>
      <w:r w:rsidRPr="00FB1622">
        <w:lastRenderedPageBreak/>
        <w:t>Definitions</w:t>
      </w:r>
      <w:bookmarkEnd w:id="6"/>
      <w:bookmarkEnd w:id="7"/>
    </w:p>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552"/>
        <w:gridCol w:w="5528"/>
      </w:tblGrid>
      <w:tr w:rsidR="00EE67CB" w:rsidRPr="005739EE" w14:paraId="6C4A2E55" w14:textId="77777777" w:rsidTr="005739EE">
        <w:trPr>
          <w:cantSplit/>
          <w:tblHeader/>
        </w:trPr>
        <w:tc>
          <w:tcPr>
            <w:tcW w:w="2552" w:type="dxa"/>
            <w:tcBorders>
              <w:top w:val="nil"/>
              <w:bottom w:val="nil"/>
            </w:tcBorders>
            <w:shd w:val="clear" w:color="auto" w:fill="D9D9D9" w:themeFill="background1" w:themeFillShade="D9"/>
          </w:tcPr>
          <w:p w14:paraId="46D1A63C" w14:textId="77777777" w:rsidR="00EE67CB" w:rsidRPr="005739EE" w:rsidRDefault="00EE67CB" w:rsidP="005739EE">
            <w:pPr>
              <w:pStyle w:val="TableText"/>
              <w:ind w:right="113"/>
              <w:rPr>
                <w:b/>
              </w:rPr>
            </w:pPr>
            <w:r w:rsidRPr="005739EE">
              <w:rPr>
                <w:b/>
              </w:rPr>
              <w:t>Term</w:t>
            </w:r>
          </w:p>
        </w:tc>
        <w:tc>
          <w:tcPr>
            <w:tcW w:w="5528" w:type="dxa"/>
            <w:tcBorders>
              <w:top w:val="nil"/>
              <w:bottom w:val="nil"/>
            </w:tcBorders>
            <w:shd w:val="clear" w:color="auto" w:fill="D9D9D9" w:themeFill="background1" w:themeFillShade="D9"/>
          </w:tcPr>
          <w:p w14:paraId="73E32688" w14:textId="77777777" w:rsidR="00EE67CB" w:rsidRPr="005739EE" w:rsidRDefault="00EE67CB" w:rsidP="005739EE">
            <w:pPr>
              <w:pStyle w:val="TableText"/>
              <w:rPr>
                <w:b/>
              </w:rPr>
            </w:pPr>
            <w:r w:rsidRPr="005739EE">
              <w:rPr>
                <w:b/>
              </w:rPr>
              <w:t>Definition</w:t>
            </w:r>
          </w:p>
        </w:tc>
      </w:tr>
      <w:tr w:rsidR="00EE67CB" w:rsidRPr="00CE504D" w14:paraId="1AE469EE" w14:textId="77777777" w:rsidTr="005739EE">
        <w:trPr>
          <w:cantSplit/>
        </w:trPr>
        <w:tc>
          <w:tcPr>
            <w:tcW w:w="2552" w:type="dxa"/>
            <w:tcBorders>
              <w:top w:val="nil"/>
            </w:tcBorders>
          </w:tcPr>
          <w:p w14:paraId="74E067B0" w14:textId="77777777" w:rsidR="00EE67CB" w:rsidRDefault="00EE67CB" w:rsidP="005739EE">
            <w:pPr>
              <w:pStyle w:val="TableText"/>
              <w:ind w:right="113"/>
            </w:pPr>
            <w:r>
              <w:t>Accessibility</w:t>
            </w:r>
          </w:p>
        </w:tc>
        <w:tc>
          <w:tcPr>
            <w:tcW w:w="5528" w:type="dxa"/>
            <w:tcBorders>
              <w:top w:val="nil"/>
            </w:tcBorders>
          </w:tcPr>
          <w:p w14:paraId="5FF6D208" w14:textId="77777777" w:rsidR="00EE67CB" w:rsidRDefault="00EE67CB" w:rsidP="005739EE">
            <w:pPr>
              <w:pStyle w:val="TableText"/>
            </w:pPr>
            <w:r>
              <w:t>A measure of how</w:t>
            </w:r>
            <w:r w:rsidRPr="001A2D75">
              <w:t xml:space="preserve"> easy </w:t>
            </w:r>
            <w:r>
              <w:t xml:space="preserve">services are </w:t>
            </w:r>
            <w:r w:rsidRPr="001A2D75">
              <w:t xml:space="preserve">to approach, reach, enter, speak with, </w:t>
            </w:r>
            <w:proofErr w:type="gramStart"/>
            <w:r w:rsidRPr="001A2D75">
              <w:t>use</w:t>
            </w:r>
            <w:proofErr w:type="gramEnd"/>
            <w:r w:rsidRPr="001A2D75">
              <w:t xml:space="preserve"> or understand</w:t>
            </w:r>
            <w:r>
              <w:t>.</w:t>
            </w:r>
          </w:p>
        </w:tc>
      </w:tr>
      <w:tr w:rsidR="00EE67CB" w:rsidRPr="00CE504D" w14:paraId="0025593E" w14:textId="77777777" w:rsidTr="005739EE">
        <w:trPr>
          <w:cantSplit/>
        </w:trPr>
        <w:tc>
          <w:tcPr>
            <w:tcW w:w="2552" w:type="dxa"/>
          </w:tcPr>
          <w:p w14:paraId="47C08DF3" w14:textId="77777777" w:rsidR="00EE67CB" w:rsidRDefault="00EE67CB" w:rsidP="005739EE">
            <w:pPr>
              <w:pStyle w:val="TableText"/>
              <w:ind w:right="113"/>
            </w:pPr>
            <w:r>
              <w:t>Applicant</w:t>
            </w:r>
          </w:p>
        </w:tc>
        <w:tc>
          <w:tcPr>
            <w:tcW w:w="5528" w:type="dxa"/>
          </w:tcPr>
          <w:p w14:paraId="41128FD9" w14:textId="77777777" w:rsidR="00EE67CB" w:rsidRDefault="00EE67CB" w:rsidP="005739EE">
            <w:pPr>
              <w:pStyle w:val="TableText"/>
            </w:pPr>
            <w:r>
              <w:t xml:space="preserve">The individual or entity who is applying to become a drug checking service </w:t>
            </w:r>
            <w:r w:rsidR="005739EE">
              <w:t>provider.</w:t>
            </w:r>
          </w:p>
        </w:tc>
      </w:tr>
      <w:tr w:rsidR="00EE67CB" w:rsidRPr="00CE504D" w14:paraId="2C95E6D4" w14:textId="77777777" w:rsidTr="005739EE">
        <w:trPr>
          <w:cantSplit/>
        </w:trPr>
        <w:tc>
          <w:tcPr>
            <w:tcW w:w="2552" w:type="dxa"/>
          </w:tcPr>
          <w:p w14:paraId="33DD5818" w14:textId="77777777" w:rsidR="00EE67CB" w:rsidRPr="00B90BCF" w:rsidRDefault="00EE67CB" w:rsidP="005739EE">
            <w:pPr>
              <w:pStyle w:val="TableText"/>
              <w:ind w:right="113"/>
            </w:pPr>
            <w:r>
              <w:t>Conflict of interest</w:t>
            </w:r>
          </w:p>
        </w:tc>
        <w:tc>
          <w:tcPr>
            <w:tcW w:w="5528" w:type="dxa"/>
          </w:tcPr>
          <w:p w14:paraId="4D896FE1" w14:textId="77777777" w:rsidR="00EE67CB" w:rsidRPr="00B90BCF" w:rsidRDefault="00EE67CB" w:rsidP="005739EE">
            <w:pPr>
              <w:pStyle w:val="TableText"/>
            </w:pPr>
            <w:r>
              <w:t>A</w:t>
            </w:r>
            <w:r w:rsidRPr="00452387">
              <w:t xml:space="preserve"> situation in which a person </w:t>
            </w:r>
            <w:r>
              <w:t xml:space="preserve">(or potentially an organisation or other entity) </w:t>
            </w:r>
            <w:r w:rsidRPr="00452387">
              <w:t>is in a position to derive personal benefit from actions or decisions made in their official capacity.</w:t>
            </w:r>
          </w:p>
        </w:tc>
      </w:tr>
      <w:tr w:rsidR="00EE67CB" w:rsidRPr="00CE504D" w14:paraId="089BB894" w14:textId="77777777" w:rsidTr="005739EE">
        <w:trPr>
          <w:cantSplit/>
        </w:trPr>
        <w:tc>
          <w:tcPr>
            <w:tcW w:w="2552" w:type="dxa"/>
          </w:tcPr>
          <w:p w14:paraId="0DC50F90" w14:textId="77777777" w:rsidR="00EE67CB" w:rsidRDefault="00EE67CB" w:rsidP="005739EE">
            <w:pPr>
              <w:pStyle w:val="TableText"/>
              <w:ind w:right="113"/>
            </w:pPr>
            <w:r>
              <w:t>Contactless and/or mail-in service delivery model</w:t>
            </w:r>
          </w:p>
        </w:tc>
        <w:tc>
          <w:tcPr>
            <w:tcW w:w="5528" w:type="dxa"/>
          </w:tcPr>
          <w:p w14:paraId="5BF2B1CC" w14:textId="77777777" w:rsidR="00EE67CB" w:rsidRDefault="00EE67CB" w:rsidP="005739EE">
            <w:pPr>
              <w:pStyle w:val="TableText"/>
            </w:pPr>
            <w:r>
              <w:t>A service delivery model that facilitates fully contactless drug checking; that is, drug checkers have no face-to-face contact with the individual presenting the drug for checking.</w:t>
            </w:r>
          </w:p>
        </w:tc>
      </w:tr>
      <w:tr w:rsidR="00EE67CB" w:rsidRPr="00CE504D" w14:paraId="0D9BDD3E" w14:textId="77777777" w:rsidTr="005739EE">
        <w:trPr>
          <w:cantSplit/>
        </w:trPr>
        <w:tc>
          <w:tcPr>
            <w:tcW w:w="2552" w:type="dxa"/>
          </w:tcPr>
          <w:p w14:paraId="5904B498" w14:textId="77777777" w:rsidR="00EE67CB" w:rsidRPr="00E5347E" w:rsidRDefault="00EE67CB" w:rsidP="005739EE">
            <w:pPr>
              <w:pStyle w:val="TableText"/>
              <w:ind w:right="113"/>
              <w:rPr>
                <w:rFonts w:cs="Segoe UI"/>
              </w:rPr>
            </w:pPr>
            <w:r w:rsidRPr="00B90BCF">
              <w:t xml:space="preserve">Drug </w:t>
            </w:r>
            <w:r>
              <w:t>and substance</w:t>
            </w:r>
          </w:p>
        </w:tc>
        <w:tc>
          <w:tcPr>
            <w:tcW w:w="5528" w:type="dxa"/>
          </w:tcPr>
          <w:p w14:paraId="24911937" w14:textId="77777777" w:rsidR="00EE67CB" w:rsidRDefault="00EE67CB" w:rsidP="005739EE">
            <w:pPr>
              <w:pStyle w:val="TableText"/>
            </w:pPr>
            <w:r>
              <w:t>A</w:t>
            </w:r>
            <w:r w:rsidRPr="00B90BCF">
              <w:t xml:space="preserve"> drug</w:t>
            </w:r>
            <w:r>
              <w:t xml:space="preserve">, </w:t>
            </w:r>
            <w:r w:rsidRPr="00B90BCF">
              <w:t>substance</w:t>
            </w:r>
            <w:r>
              <w:t xml:space="preserve"> or any other material presented for checking.</w:t>
            </w:r>
          </w:p>
          <w:p w14:paraId="6D811F54" w14:textId="77777777" w:rsidR="00EE67CB" w:rsidRPr="00B90BCF" w:rsidRDefault="00EE67CB" w:rsidP="005739EE">
            <w:pPr>
              <w:pStyle w:val="TableText"/>
            </w:pPr>
            <w:r>
              <w:t xml:space="preserve">The terms </w:t>
            </w:r>
            <w:r w:rsidR="00A25A47">
              <w:t>‘</w:t>
            </w:r>
            <w:r>
              <w:t>drug</w:t>
            </w:r>
            <w:r w:rsidR="00A25A47">
              <w:t>’</w:t>
            </w:r>
            <w:r>
              <w:t xml:space="preserve"> and </w:t>
            </w:r>
            <w:r w:rsidR="00A25A47">
              <w:t>‘</w:t>
            </w:r>
            <w:r>
              <w:t>substance</w:t>
            </w:r>
            <w:r w:rsidR="00A25A47">
              <w:t>’</w:t>
            </w:r>
            <w:r>
              <w:t xml:space="preserve"> are interchangeable for</w:t>
            </w:r>
            <w:r w:rsidR="005739EE">
              <w:t xml:space="preserve"> the purposes of this handbook.</w:t>
            </w:r>
          </w:p>
        </w:tc>
      </w:tr>
      <w:tr w:rsidR="00EE67CB" w:rsidRPr="00CE504D" w14:paraId="6687C981" w14:textId="77777777" w:rsidTr="005739EE">
        <w:trPr>
          <w:cantSplit/>
        </w:trPr>
        <w:tc>
          <w:tcPr>
            <w:tcW w:w="2552" w:type="dxa"/>
          </w:tcPr>
          <w:p w14:paraId="2F835397" w14:textId="77777777" w:rsidR="00EE67CB" w:rsidRPr="00B90BCF" w:rsidRDefault="00EE67CB" w:rsidP="005739EE">
            <w:pPr>
              <w:pStyle w:val="TableText"/>
              <w:ind w:right="113"/>
            </w:pPr>
            <w:r w:rsidRPr="00B90BCF">
              <w:t xml:space="preserve">Drug checking service provider </w:t>
            </w:r>
            <w:r>
              <w:t>(</w:t>
            </w:r>
            <w:r w:rsidRPr="00B90BCF">
              <w:t>or service provider</w:t>
            </w:r>
            <w:r>
              <w:t>)</w:t>
            </w:r>
          </w:p>
        </w:tc>
        <w:tc>
          <w:tcPr>
            <w:tcW w:w="5528" w:type="dxa"/>
          </w:tcPr>
          <w:p w14:paraId="5C2A86F2" w14:textId="77777777" w:rsidR="00EE67CB" w:rsidRPr="00B90BCF" w:rsidRDefault="00EE67CB" w:rsidP="005739EE">
            <w:pPr>
              <w:pStyle w:val="TableText"/>
            </w:pPr>
            <w:r>
              <w:t>A</w:t>
            </w:r>
            <w:r w:rsidRPr="00B90BCF">
              <w:t>n individual or entity licensed as a drug and substance checking service provider under clause 4 of Schedule 6</w:t>
            </w:r>
            <w:r>
              <w:t xml:space="preserve"> of the </w:t>
            </w:r>
            <w:proofErr w:type="spellStart"/>
            <w:r>
              <w:t>MoDA</w:t>
            </w:r>
            <w:proofErr w:type="spellEnd"/>
            <w:r>
              <w:t>.</w:t>
            </w:r>
          </w:p>
        </w:tc>
      </w:tr>
      <w:tr w:rsidR="00EE67CB" w:rsidRPr="00CE504D" w14:paraId="51BEB293" w14:textId="77777777" w:rsidTr="005739EE">
        <w:trPr>
          <w:cantSplit/>
        </w:trPr>
        <w:tc>
          <w:tcPr>
            <w:tcW w:w="2552" w:type="dxa"/>
          </w:tcPr>
          <w:p w14:paraId="024A40AB" w14:textId="77777777" w:rsidR="00EE67CB" w:rsidRPr="00B90BCF" w:rsidRDefault="00EE67CB" w:rsidP="005739EE">
            <w:pPr>
              <w:pStyle w:val="TableText"/>
              <w:ind w:right="113"/>
            </w:pPr>
            <w:r w:rsidRPr="00B90BCF">
              <w:t>Entity</w:t>
            </w:r>
          </w:p>
        </w:tc>
        <w:tc>
          <w:tcPr>
            <w:tcW w:w="5528" w:type="dxa"/>
          </w:tcPr>
          <w:p w14:paraId="759F9BB0" w14:textId="77777777" w:rsidR="00EE67CB" w:rsidRPr="005739EE" w:rsidRDefault="00EE67CB" w:rsidP="005739EE">
            <w:pPr>
              <w:pStyle w:val="TableText"/>
              <w:rPr>
                <w:szCs w:val="18"/>
              </w:rPr>
            </w:pPr>
            <w:r w:rsidRPr="005739EE">
              <w:rPr>
                <w:szCs w:val="18"/>
              </w:rPr>
              <w:t>Includes:</w:t>
            </w:r>
          </w:p>
          <w:p w14:paraId="0724984B" w14:textId="77777777" w:rsidR="00EE67CB" w:rsidRPr="005739EE" w:rsidRDefault="00EE67CB" w:rsidP="00F01EE1">
            <w:pPr>
              <w:pStyle w:val="Letter"/>
              <w:spacing w:before="60" w:after="60"/>
              <w:ind w:left="284" w:hanging="284"/>
              <w:rPr>
                <w:sz w:val="18"/>
                <w:szCs w:val="18"/>
              </w:rPr>
            </w:pPr>
            <w:r w:rsidRPr="005739EE">
              <w:rPr>
                <w:sz w:val="18"/>
                <w:szCs w:val="18"/>
              </w:rPr>
              <w:t>a body corporate</w:t>
            </w:r>
          </w:p>
          <w:p w14:paraId="21F32846" w14:textId="77777777" w:rsidR="00EE67CB" w:rsidRPr="005739EE" w:rsidRDefault="00EE67CB" w:rsidP="00F01EE1">
            <w:pPr>
              <w:pStyle w:val="Letter"/>
              <w:spacing w:before="60" w:after="60"/>
              <w:ind w:left="284" w:hanging="284"/>
              <w:rPr>
                <w:sz w:val="18"/>
                <w:szCs w:val="18"/>
              </w:rPr>
            </w:pPr>
            <w:r w:rsidRPr="005739EE">
              <w:rPr>
                <w:sz w:val="18"/>
                <w:szCs w:val="18"/>
              </w:rPr>
              <w:t>a corporation sole</w:t>
            </w:r>
          </w:p>
          <w:p w14:paraId="085CD3A9" w14:textId="77777777" w:rsidR="00EE67CB" w:rsidRPr="005739EE" w:rsidRDefault="00EE67CB" w:rsidP="00F01EE1">
            <w:pPr>
              <w:pStyle w:val="Letter"/>
              <w:spacing w:before="60" w:after="60"/>
              <w:ind w:left="284" w:hanging="284"/>
              <w:rPr>
                <w:sz w:val="18"/>
                <w:szCs w:val="18"/>
              </w:rPr>
            </w:pPr>
            <w:r w:rsidRPr="005739EE">
              <w:rPr>
                <w:sz w:val="18"/>
                <w:szCs w:val="18"/>
              </w:rPr>
              <w:t>in the case of a trust that has:</w:t>
            </w:r>
          </w:p>
          <w:p w14:paraId="6C309FC8" w14:textId="77777777" w:rsidR="00EE67CB" w:rsidRPr="005739EE" w:rsidRDefault="00EE67CB" w:rsidP="00F01EE1">
            <w:pPr>
              <w:pStyle w:val="Roman"/>
              <w:spacing w:before="60" w:after="60"/>
              <w:ind w:left="568" w:hanging="284"/>
              <w:rPr>
                <w:sz w:val="18"/>
                <w:szCs w:val="18"/>
              </w:rPr>
            </w:pPr>
            <w:r w:rsidRPr="005739EE">
              <w:rPr>
                <w:sz w:val="18"/>
                <w:szCs w:val="18"/>
              </w:rPr>
              <w:t>only one trustee, the trustee acting in their capacity as trustee</w:t>
            </w:r>
          </w:p>
          <w:p w14:paraId="206EAE00" w14:textId="77777777" w:rsidR="00EE67CB" w:rsidRPr="005739EE" w:rsidRDefault="00EE67CB" w:rsidP="00F01EE1">
            <w:pPr>
              <w:pStyle w:val="Roman"/>
              <w:spacing w:before="60" w:after="60"/>
              <w:ind w:left="568" w:hanging="284"/>
              <w:rPr>
                <w:sz w:val="18"/>
                <w:szCs w:val="18"/>
              </w:rPr>
            </w:pPr>
            <w:r w:rsidRPr="005739EE">
              <w:rPr>
                <w:sz w:val="18"/>
                <w:szCs w:val="18"/>
              </w:rPr>
              <w:t>more than one trustee, the trustees acting jointly in their capacity as trustees</w:t>
            </w:r>
          </w:p>
          <w:p w14:paraId="5115F0AB" w14:textId="77777777" w:rsidR="00EE67CB" w:rsidRPr="005739EE" w:rsidRDefault="00EE67CB" w:rsidP="00F01EE1">
            <w:pPr>
              <w:pStyle w:val="Letter"/>
              <w:spacing w:before="60" w:after="60"/>
              <w:ind w:left="284" w:hanging="284"/>
              <w:rPr>
                <w:sz w:val="18"/>
                <w:szCs w:val="18"/>
              </w:rPr>
            </w:pPr>
            <w:r w:rsidRPr="005739EE">
              <w:rPr>
                <w:sz w:val="18"/>
                <w:szCs w:val="18"/>
              </w:rPr>
              <w:t>an unincorporated body (including a partnership).</w:t>
            </w:r>
          </w:p>
        </w:tc>
      </w:tr>
      <w:tr w:rsidR="00EE67CB" w:rsidRPr="00CE504D" w14:paraId="7CB8C4B8" w14:textId="77777777" w:rsidTr="005739EE">
        <w:trPr>
          <w:cantSplit/>
        </w:trPr>
        <w:tc>
          <w:tcPr>
            <w:tcW w:w="2552" w:type="dxa"/>
          </w:tcPr>
          <w:p w14:paraId="1BD5A52B" w14:textId="77777777" w:rsidR="00EE67CB" w:rsidRPr="00B90BCF" w:rsidRDefault="00EE67CB" w:rsidP="005739EE">
            <w:pPr>
              <w:pStyle w:val="TableText"/>
              <w:ind w:right="113"/>
            </w:pPr>
            <w:r>
              <w:t>Equity</w:t>
            </w:r>
          </w:p>
        </w:tc>
        <w:tc>
          <w:tcPr>
            <w:tcW w:w="5528" w:type="dxa"/>
          </w:tcPr>
          <w:p w14:paraId="6E2E2E72" w14:textId="77777777" w:rsidR="00EE67CB" w:rsidRPr="00B90BCF" w:rsidRDefault="00EE67CB" w:rsidP="005739EE">
            <w:pPr>
              <w:pStyle w:val="TableText"/>
            </w:pPr>
            <w:r>
              <w:t>T</w:t>
            </w:r>
            <w:r w:rsidRPr="000022A1">
              <w:t>he absence of avoidable or remediable differences among groups of people.</w:t>
            </w:r>
          </w:p>
        </w:tc>
      </w:tr>
      <w:tr w:rsidR="00EE67CB" w:rsidRPr="00CE504D" w14:paraId="12899A76" w14:textId="77777777" w:rsidTr="005739EE">
        <w:trPr>
          <w:cantSplit/>
        </w:trPr>
        <w:tc>
          <w:tcPr>
            <w:tcW w:w="2552" w:type="dxa"/>
          </w:tcPr>
          <w:p w14:paraId="575FCA0B" w14:textId="77777777" w:rsidR="00EE67CB" w:rsidRPr="00B90BCF" w:rsidRDefault="00EE67CB" w:rsidP="005739EE">
            <w:pPr>
              <w:pStyle w:val="TableText"/>
              <w:ind w:right="113"/>
            </w:pPr>
            <w:r w:rsidRPr="00B90BCF">
              <w:t>Existing service provider</w:t>
            </w:r>
          </w:p>
        </w:tc>
        <w:tc>
          <w:tcPr>
            <w:tcW w:w="5528" w:type="dxa"/>
          </w:tcPr>
          <w:p w14:paraId="10D6E3F0" w14:textId="77777777" w:rsidR="00EE67CB" w:rsidRPr="005739EE" w:rsidRDefault="00EE67CB" w:rsidP="005739EE">
            <w:pPr>
              <w:pStyle w:val="TableText"/>
              <w:rPr>
                <w:szCs w:val="18"/>
              </w:rPr>
            </w:pPr>
            <w:r w:rsidRPr="005739EE">
              <w:rPr>
                <w:szCs w:val="18"/>
              </w:rPr>
              <w:t>A drug and substance checking service provider that:</w:t>
            </w:r>
          </w:p>
          <w:p w14:paraId="1EF31CCC" w14:textId="77777777" w:rsidR="00EE67CB" w:rsidRPr="005739EE" w:rsidRDefault="00EE67CB" w:rsidP="005D377F">
            <w:pPr>
              <w:pStyle w:val="Letter"/>
              <w:numPr>
                <w:ilvl w:val="4"/>
                <w:numId w:val="35"/>
              </w:numPr>
              <w:spacing w:before="60" w:after="60"/>
              <w:ind w:left="284" w:hanging="284"/>
              <w:rPr>
                <w:sz w:val="18"/>
                <w:szCs w:val="18"/>
              </w:rPr>
            </w:pPr>
            <w:r w:rsidRPr="005739EE">
              <w:rPr>
                <w:sz w:val="18"/>
                <w:szCs w:val="18"/>
              </w:rPr>
              <w:t>was appointed under old section 35DA of the Drug and Substance Checking Legislation Act 2020; and</w:t>
            </w:r>
          </w:p>
          <w:p w14:paraId="6FA470D5" w14:textId="77777777" w:rsidR="00EE67CB" w:rsidRPr="005739EE" w:rsidRDefault="00EE67CB" w:rsidP="00F01EE1">
            <w:pPr>
              <w:pStyle w:val="Letter"/>
              <w:spacing w:before="60" w:after="60"/>
              <w:ind w:left="284" w:hanging="284"/>
              <w:rPr>
                <w:sz w:val="18"/>
                <w:szCs w:val="18"/>
              </w:rPr>
            </w:pPr>
            <w:r w:rsidRPr="005739EE">
              <w:rPr>
                <w:sz w:val="18"/>
                <w:szCs w:val="18"/>
              </w:rPr>
              <w:t>still held the appointment immediately before old section 35DA was repealed (by section 16 of the Drug and Substance Checking Legislation Act 2020).</w:t>
            </w:r>
          </w:p>
        </w:tc>
      </w:tr>
      <w:tr w:rsidR="00EE67CB" w:rsidRPr="00CE504D" w14:paraId="3ABFFA78" w14:textId="77777777" w:rsidTr="005739EE">
        <w:trPr>
          <w:cantSplit/>
        </w:trPr>
        <w:tc>
          <w:tcPr>
            <w:tcW w:w="2552" w:type="dxa"/>
          </w:tcPr>
          <w:p w14:paraId="43F756BE" w14:textId="77777777" w:rsidR="00EE67CB" w:rsidRDefault="00EE67CB" w:rsidP="005739EE">
            <w:pPr>
              <w:pStyle w:val="TableText"/>
              <w:ind w:right="113"/>
            </w:pPr>
            <w:r>
              <w:t>Field event service delivery model</w:t>
            </w:r>
          </w:p>
        </w:tc>
        <w:tc>
          <w:tcPr>
            <w:tcW w:w="5528" w:type="dxa"/>
          </w:tcPr>
          <w:p w14:paraId="02C78182" w14:textId="77777777" w:rsidR="00EE67CB" w:rsidRDefault="00EE67CB" w:rsidP="005739EE">
            <w:pPr>
              <w:pStyle w:val="TableText"/>
            </w:pPr>
            <w:r w:rsidRPr="00842167">
              <w:t xml:space="preserve">A service delivery model </w:t>
            </w:r>
            <w:r>
              <w:t xml:space="preserve">that </w:t>
            </w:r>
            <w:r w:rsidRPr="00842167">
              <w:t>involves a drug checking setup in a temporary location at an external event or festival (</w:t>
            </w:r>
            <w:proofErr w:type="spellStart"/>
            <w:r w:rsidRPr="00842167">
              <w:t>eg</w:t>
            </w:r>
            <w:proofErr w:type="spellEnd"/>
            <w:r w:rsidRPr="00842167">
              <w:t>, a music festival</w:t>
            </w:r>
            <w:r>
              <w:t>).</w:t>
            </w:r>
          </w:p>
        </w:tc>
      </w:tr>
      <w:tr w:rsidR="00EE67CB" w:rsidRPr="00CE504D" w14:paraId="27507FEE" w14:textId="77777777" w:rsidTr="005739EE">
        <w:trPr>
          <w:cantSplit/>
        </w:trPr>
        <w:tc>
          <w:tcPr>
            <w:tcW w:w="2552" w:type="dxa"/>
          </w:tcPr>
          <w:p w14:paraId="71F8A7CF" w14:textId="77777777" w:rsidR="00EE67CB" w:rsidRDefault="00EE67CB" w:rsidP="005739EE">
            <w:pPr>
              <w:pStyle w:val="TableText"/>
              <w:ind w:right="113"/>
            </w:pPr>
            <w:r>
              <w:t>Licence</w:t>
            </w:r>
          </w:p>
        </w:tc>
        <w:tc>
          <w:tcPr>
            <w:tcW w:w="5528" w:type="dxa"/>
          </w:tcPr>
          <w:p w14:paraId="6B4A955A" w14:textId="77777777" w:rsidR="00EE67CB" w:rsidRDefault="00EE67CB" w:rsidP="005739EE">
            <w:pPr>
              <w:pStyle w:val="TableText"/>
            </w:pPr>
            <w:r>
              <w:t xml:space="preserve">A </w:t>
            </w:r>
            <w:r w:rsidRPr="00460A67">
              <w:t xml:space="preserve">legal document giving </w:t>
            </w:r>
            <w:r>
              <w:t xml:space="preserve">the provider </w:t>
            </w:r>
            <w:r w:rsidRPr="00460A67">
              <w:t>official permission to</w:t>
            </w:r>
            <w:r>
              <w:t xml:space="preserve"> deliver drug checking services in New Zealand.</w:t>
            </w:r>
          </w:p>
        </w:tc>
      </w:tr>
      <w:tr w:rsidR="00EE67CB" w:rsidRPr="00CE504D" w14:paraId="49B719E0" w14:textId="77777777" w:rsidTr="005739EE">
        <w:trPr>
          <w:cantSplit/>
        </w:trPr>
        <w:tc>
          <w:tcPr>
            <w:tcW w:w="2552" w:type="dxa"/>
          </w:tcPr>
          <w:p w14:paraId="56488608" w14:textId="77777777" w:rsidR="00EE67CB" w:rsidRDefault="00EE67CB" w:rsidP="005739EE">
            <w:pPr>
              <w:pStyle w:val="TableText"/>
              <w:ind w:right="113"/>
            </w:pPr>
            <w:r>
              <w:t>Loss (of drugs)</w:t>
            </w:r>
          </w:p>
        </w:tc>
        <w:tc>
          <w:tcPr>
            <w:tcW w:w="5528" w:type="dxa"/>
          </w:tcPr>
          <w:p w14:paraId="374AC011" w14:textId="77777777" w:rsidR="00EE67CB" w:rsidRDefault="00EE67CB" w:rsidP="005739EE">
            <w:pPr>
              <w:pStyle w:val="TableText"/>
            </w:pPr>
            <w:r>
              <w:t>Unauthorised removal of drug or substances (</w:t>
            </w:r>
            <w:proofErr w:type="spellStart"/>
            <w:r>
              <w:t>eg</w:t>
            </w:r>
            <w:proofErr w:type="spellEnd"/>
            <w:r>
              <w:t>, because of theft)</w:t>
            </w:r>
            <w:r w:rsidR="005739EE">
              <w:t>.</w:t>
            </w:r>
          </w:p>
        </w:tc>
      </w:tr>
      <w:tr w:rsidR="00EE67CB" w:rsidRPr="00CE504D" w14:paraId="4B7558D4" w14:textId="77777777" w:rsidTr="005739EE">
        <w:trPr>
          <w:cantSplit/>
        </w:trPr>
        <w:tc>
          <w:tcPr>
            <w:tcW w:w="2552" w:type="dxa"/>
          </w:tcPr>
          <w:p w14:paraId="10688E14" w14:textId="77777777" w:rsidR="00EE67CB" w:rsidRDefault="00EE67CB" w:rsidP="005739EE">
            <w:pPr>
              <w:pStyle w:val="TableText"/>
              <w:keepNext/>
              <w:ind w:right="113"/>
            </w:pPr>
            <w:r>
              <w:lastRenderedPageBreak/>
              <w:t>Low-contact/drop-off service delivery model</w:t>
            </w:r>
          </w:p>
        </w:tc>
        <w:tc>
          <w:tcPr>
            <w:tcW w:w="5528" w:type="dxa"/>
          </w:tcPr>
          <w:p w14:paraId="161F57BB" w14:textId="77777777" w:rsidR="00EE67CB" w:rsidRDefault="00EE67CB" w:rsidP="005739EE">
            <w:pPr>
              <w:pStyle w:val="TableText"/>
              <w:keepNext/>
            </w:pPr>
            <w:r>
              <w:t>A service delivery model that involves a drug checking setup entailing less contact (</w:t>
            </w:r>
            <w:proofErr w:type="spellStart"/>
            <w:r>
              <w:t>eg</w:t>
            </w:r>
            <w:proofErr w:type="spellEnd"/>
            <w:r>
              <w:t>, an individual drops off samples for checking and comes back later to receive results face-to-face).</w:t>
            </w:r>
          </w:p>
        </w:tc>
      </w:tr>
      <w:tr w:rsidR="00EE67CB" w:rsidRPr="00CE504D" w14:paraId="3A8B659D" w14:textId="77777777" w:rsidTr="005739EE">
        <w:trPr>
          <w:cantSplit/>
        </w:trPr>
        <w:tc>
          <w:tcPr>
            <w:tcW w:w="2552" w:type="dxa"/>
          </w:tcPr>
          <w:p w14:paraId="6FDDAA2F" w14:textId="77777777" w:rsidR="00EE67CB" w:rsidRDefault="00EE67CB" w:rsidP="005739EE">
            <w:pPr>
              <w:pStyle w:val="TableText"/>
              <w:ind w:right="113"/>
            </w:pPr>
            <w:r>
              <w:t>Mobile clinic service delivery model</w:t>
            </w:r>
          </w:p>
        </w:tc>
        <w:tc>
          <w:tcPr>
            <w:tcW w:w="5528" w:type="dxa"/>
          </w:tcPr>
          <w:p w14:paraId="25D6BFDE" w14:textId="77777777" w:rsidR="00EE67CB" w:rsidRDefault="00EE67CB" w:rsidP="005739EE">
            <w:pPr>
              <w:pStyle w:val="TableText"/>
            </w:pPr>
            <w:r w:rsidRPr="008A67E0">
              <w:rPr>
                <w:rFonts w:cs="Segoe UI"/>
              </w:rPr>
              <w:t xml:space="preserve">A service </w:t>
            </w:r>
            <w:r>
              <w:rPr>
                <w:rFonts w:cs="Segoe UI"/>
              </w:rPr>
              <w:t xml:space="preserve">delivery </w:t>
            </w:r>
            <w:r w:rsidRPr="008A67E0">
              <w:rPr>
                <w:rFonts w:cs="Segoe UI"/>
              </w:rPr>
              <w:t xml:space="preserve">model </w:t>
            </w:r>
            <w:r>
              <w:rPr>
                <w:rFonts w:cs="Segoe UI"/>
              </w:rPr>
              <w:t xml:space="preserve">that </w:t>
            </w:r>
            <w:r w:rsidRPr="008A67E0">
              <w:rPr>
                <w:rFonts w:cs="Segoe UI"/>
              </w:rPr>
              <w:t>involves a drug checking set</w:t>
            </w:r>
            <w:r>
              <w:rPr>
                <w:rFonts w:cs="Segoe UI"/>
              </w:rPr>
              <w:t>-</w:t>
            </w:r>
            <w:r w:rsidRPr="008A67E0">
              <w:rPr>
                <w:rFonts w:cs="Segoe UI"/>
              </w:rPr>
              <w:t xml:space="preserve">up </w:t>
            </w:r>
            <w:r>
              <w:rPr>
                <w:rFonts w:cs="Segoe UI"/>
              </w:rPr>
              <w:t>run out of a vehicle (</w:t>
            </w:r>
            <w:proofErr w:type="spellStart"/>
            <w:r>
              <w:rPr>
                <w:rFonts w:cs="Segoe UI"/>
              </w:rPr>
              <w:t>eg</w:t>
            </w:r>
            <w:proofErr w:type="spellEnd"/>
            <w:r>
              <w:rPr>
                <w:rFonts w:cs="Segoe UI"/>
              </w:rPr>
              <w:t>, a van).</w:t>
            </w:r>
          </w:p>
        </w:tc>
      </w:tr>
      <w:tr w:rsidR="00EE67CB" w:rsidRPr="00CE504D" w14:paraId="0EF76889" w14:textId="77777777" w:rsidTr="005739EE">
        <w:trPr>
          <w:cantSplit/>
        </w:trPr>
        <w:tc>
          <w:tcPr>
            <w:tcW w:w="2552" w:type="dxa"/>
          </w:tcPr>
          <w:p w14:paraId="10C61A32" w14:textId="77777777" w:rsidR="00EE67CB" w:rsidRPr="00B90BCF" w:rsidRDefault="00EE67CB" w:rsidP="005739EE">
            <w:pPr>
              <w:pStyle w:val="TableText"/>
              <w:ind w:right="113"/>
            </w:pPr>
            <w:r>
              <w:t>N</w:t>
            </w:r>
            <w:r w:rsidRPr="0096248D">
              <w:t xml:space="preserve">on-compliance with the </w:t>
            </w:r>
            <w:proofErr w:type="spellStart"/>
            <w:r w:rsidRPr="0096248D">
              <w:t>MoDA</w:t>
            </w:r>
            <w:proofErr w:type="spellEnd"/>
          </w:p>
        </w:tc>
        <w:tc>
          <w:tcPr>
            <w:tcW w:w="5528" w:type="dxa"/>
          </w:tcPr>
          <w:p w14:paraId="1AE7A1B2" w14:textId="77777777" w:rsidR="00A25A47" w:rsidRDefault="00EE67CB" w:rsidP="005739EE">
            <w:pPr>
              <w:pStyle w:val="TableText"/>
            </w:pPr>
            <w:r>
              <w:t xml:space="preserve">Any repeated or serious non-compliance offences under the </w:t>
            </w:r>
            <w:proofErr w:type="spellStart"/>
            <w:r>
              <w:t>MoDA</w:t>
            </w:r>
            <w:proofErr w:type="spellEnd"/>
            <w:r>
              <w:t xml:space="preserve">, including activities that do not adhere to the requirements of the </w:t>
            </w:r>
            <w:proofErr w:type="spellStart"/>
            <w:r>
              <w:t>MoDA</w:t>
            </w:r>
            <w:proofErr w:type="spellEnd"/>
            <w:r>
              <w:t>, including:</w:t>
            </w:r>
          </w:p>
          <w:p w14:paraId="4332DF9D" w14:textId="77777777" w:rsidR="00A25A47" w:rsidRDefault="00EE67CB" w:rsidP="005739EE">
            <w:pPr>
              <w:pStyle w:val="TableBullet"/>
            </w:pPr>
            <w:r>
              <w:t xml:space="preserve">offences against sections 6 to 13 of the Act – these sections cover involvement in the illicit drug trade, such as supplying, possessing, manufacturing, </w:t>
            </w:r>
            <w:proofErr w:type="gramStart"/>
            <w:r>
              <w:t>growing</w:t>
            </w:r>
            <w:proofErr w:type="gramEnd"/>
            <w:r>
              <w:t xml:space="preserve"> or importing illicit drugs (whether or not the person was convicted)</w:t>
            </w:r>
          </w:p>
          <w:p w14:paraId="11B95B7C" w14:textId="77777777" w:rsidR="00EE67CB" w:rsidRDefault="00EE67CB" w:rsidP="005739EE">
            <w:pPr>
              <w:pStyle w:val="TableBullet"/>
            </w:pPr>
            <w:r>
              <w:t xml:space="preserve">failure to comply with regulatory requirements relating to a licence or other permit under the Act, including a drug checking licence. </w:t>
            </w:r>
            <w:r w:rsidRPr="006222DD">
              <w:t>Some (but not all) regulatory non-compliance is an offence under</w:t>
            </w:r>
            <w:r>
              <w:t xml:space="preserve"> the</w:t>
            </w:r>
            <w:r w:rsidRPr="006222DD">
              <w:t xml:space="preserve"> </w:t>
            </w:r>
            <w:proofErr w:type="spellStart"/>
            <w:r w:rsidRPr="006222DD">
              <w:t>MoDA</w:t>
            </w:r>
            <w:proofErr w:type="spellEnd"/>
            <w:r w:rsidRPr="006222DD">
              <w:t xml:space="preserve"> or its regulations.</w:t>
            </w:r>
          </w:p>
        </w:tc>
      </w:tr>
      <w:tr w:rsidR="00EE67CB" w:rsidRPr="00CE504D" w14:paraId="357FBF3F" w14:textId="77777777" w:rsidTr="005739EE">
        <w:trPr>
          <w:cantSplit/>
        </w:trPr>
        <w:tc>
          <w:tcPr>
            <w:tcW w:w="2552" w:type="dxa"/>
          </w:tcPr>
          <w:p w14:paraId="447203FF" w14:textId="77777777" w:rsidR="00EE67CB" w:rsidRPr="00B90BCF" w:rsidRDefault="00EE67CB" w:rsidP="005739EE">
            <w:pPr>
              <w:pStyle w:val="TableText"/>
              <w:ind w:right="113"/>
            </w:pPr>
            <w:r>
              <w:t>Offence</w:t>
            </w:r>
          </w:p>
        </w:tc>
        <w:tc>
          <w:tcPr>
            <w:tcW w:w="5528" w:type="dxa"/>
          </w:tcPr>
          <w:p w14:paraId="65101843" w14:textId="77777777" w:rsidR="00EE67CB" w:rsidRDefault="00EE67CB" w:rsidP="005739EE">
            <w:pPr>
              <w:pStyle w:val="TableText"/>
            </w:pPr>
            <w:r w:rsidRPr="002F3F9F">
              <w:t>An act or omission that one may be prosecuted for and punished under the criminal law.</w:t>
            </w:r>
          </w:p>
        </w:tc>
      </w:tr>
      <w:tr w:rsidR="00EE67CB" w:rsidRPr="00CE504D" w14:paraId="0DC40100" w14:textId="77777777" w:rsidTr="005739EE">
        <w:trPr>
          <w:cantSplit/>
        </w:trPr>
        <w:tc>
          <w:tcPr>
            <w:tcW w:w="2552" w:type="dxa"/>
          </w:tcPr>
          <w:p w14:paraId="00D8A5DD" w14:textId="77777777" w:rsidR="00EE67CB" w:rsidRPr="00B90BCF" w:rsidRDefault="00EE67CB" w:rsidP="005739EE">
            <w:pPr>
              <w:pStyle w:val="TableText"/>
              <w:ind w:right="113"/>
            </w:pPr>
            <w:r w:rsidRPr="00B90BCF">
              <w:t xml:space="preserve">Other health services </w:t>
            </w:r>
          </w:p>
        </w:tc>
        <w:tc>
          <w:tcPr>
            <w:tcW w:w="5528" w:type="dxa"/>
          </w:tcPr>
          <w:p w14:paraId="125FB7D3" w14:textId="77777777" w:rsidR="00EE67CB" w:rsidRDefault="00EE67CB" w:rsidP="005739EE">
            <w:pPr>
              <w:pStyle w:val="TableText"/>
            </w:pPr>
            <w:r>
              <w:t>H</w:t>
            </w:r>
            <w:r w:rsidRPr="00B90BCF">
              <w:t>ealth services as defined in section 2(1) of the Health and Disability Commissioner Act 2004 other than services carried out in the performance of a function specified in section 35DB</w:t>
            </w:r>
            <w:r>
              <w:t xml:space="preserve"> of the </w:t>
            </w:r>
            <w:proofErr w:type="spellStart"/>
            <w:r>
              <w:t>MoDA</w:t>
            </w:r>
            <w:proofErr w:type="spellEnd"/>
            <w:r>
              <w:t>. Such services include:</w:t>
            </w:r>
          </w:p>
          <w:p w14:paraId="7D1BD764" w14:textId="77777777" w:rsidR="00A25A47" w:rsidRPr="005739EE" w:rsidRDefault="00EE67CB" w:rsidP="005D377F">
            <w:pPr>
              <w:pStyle w:val="Letter"/>
              <w:numPr>
                <w:ilvl w:val="4"/>
                <w:numId w:val="36"/>
              </w:numPr>
              <w:spacing w:before="60" w:after="60"/>
              <w:ind w:left="284" w:hanging="284"/>
              <w:rPr>
                <w:sz w:val="18"/>
                <w:szCs w:val="18"/>
              </w:rPr>
            </w:pPr>
            <w:r w:rsidRPr="005739EE">
              <w:rPr>
                <w:sz w:val="18"/>
                <w:szCs w:val="18"/>
              </w:rPr>
              <w:t>services to promote health</w:t>
            </w:r>
          </w:p>
          <w:p w14:paraId="30231672" w14:textId="77777777" w:rsidR="00A25A47" w:rsidRPr="005739EE" w:rsidRDefault="00EE67CB" w:rsidP="00F01EE1">
            <w:pPr>
              <w:pStyle w:val="Letter"/>
              <w:spacing w:before="60" w:after="60"/>
              <w:ind w:left="284" w:hanging="284"/>
              <w:rPr>
                <w:sz w:val="18"/>
                <w:szCs w:val="18"/>
              </w:rPr>
            </w:pPr>
            <w:r w:rsidRPr="005739EE">
              <w:rPr>
                <w:sz w:val="18"/>
                <w:szCs w:val="18"/>
              </w:rPr>
              <w:t>services to protect health</w:t>
            </w:r>
          </w:p>
          <w:p w14:paraId="4D20E011" w14:textId="77777777" w:rsidR="00A25A47" w:rsidRPr="005739EE" w:rsidRDefault="00EE67CB" w:rsidP="00F01EE1">
            <w:pPr>
              <w:pStyle w:val="Letter"/>
              <w:spacing w:before="60" w:after="60"/>
              <w:ind w:left="284" w:hanging="284"/>
              <w:rPr>
                <w:sz w:val="18"/>
                <w:szCs w:val="18"/>
              </w:rPr>
            </w:pPr>
            <w:r w:rsidRPr="005739EE">
              <w:rPr>
                <w:sz w:val="18"/>
                <w:szCs w:val="18"/>
              </w:rPr>
              <w:t>services to prevent disease or ill health</w:t>
            </w:r>
          </w:p>
          <w:p w14:paraId="0140BF0D" w14:textId="77777777" w:rsidR="00EE67CB" w:rsidRPr="005739EE" w:rsidRDefault="00EE67CB" w:rsidP="00F01EE1">
            <w:pPr>
              <w:pStyle w:val="Letter"/>
              <w:spacing w:before="60" w:after="60"/>
              <w:ind w:left="284" w:hanging="284"/>
              <w:rPr>
                <w:sz w:val="18"/>
                <w:szCs w:val="18"/>
              </w:rPr>
            </w:pPr>
            <w:r w:rsidRPr="005739EE">
              <w:rPr>
                <w:sz w:val="18"/>
                <w:szCs w:val="18"/>
              </w:rPr>
              <w:t>treatment services</w:t>
            </w:r>
          </w:p>
          <w:p w14:paraId="2BEE0527" w14:textId="77777777" w:rsidR="00A25A47" w:rsidRPr="005739EE" w:rsidRDefault="00EE67CB" w:rsidP="00F01EE1">
            <w:pPr>
              <w:pStyle w:val="Letter"/>
              <w:spacing w:before="60" w:after="60"/>
              <w:ind w:left="284" w:hanging="284"/>
              <w:rPr>
                <w:sz w:val="18"/>
                <w:szCs w:val="18"/>
              </w:rPr>
            </w:pPr>
            <w:r w:rsidRPr="005739EE">
              <w:rPr>
                <w:sz w:val="18"/>
                <w:szCs w:val="18"/>
              </w:rPr>
              <w:t>nursing services</w:t>
            </w:r>
          </w:p>
          <w:p w14:paraId="6548822F" w14:textId="77777777" w:rsidR="00A25A47" w:rsidRPr="005739EE" w:rsidRDefault="00EE67CB" w:rsidP="00F01EE1">
            <w:pPr>
              <w:pStyle w:val="Letter"/>
              <w:spacing w:before="60" w:after="60"/>
              <w:ind w:left="284" w:hanging="284"/>
              <w:rPr>
                <w:sz w:val="18"/>
                <w:szCs w:val="18"/>
              </w:rPr>
            </w:pPr>
            <w:r w:rsidRPr="005739EE">
              <w:rPr>
                <w:sz w:val="18"/>
                <w:szCs w:val="18"/>
              </w:rPr>
              <w:t>rehabilitative services</w:t>
            </w:r>
          </w:p>
          <w:p w14:paraId="29B72253" w14:textId="77777777" w:rsidR="00EE67CB" w:rsidRPr="005739EE" w:rsidRDefault="00EE67CB" w:rsidP="00F01EE1">
            <w:pPr>
              <w:pStyle w:val="Letter"/>
              <w:spacing w:before="60" w:after="60"/>
              <w:ind w:left="284" w:hanging="284"/>
              <w:rPr>
                <w:sz w:val="18"/>
                <w:szCs w:val="18"/>
              </w:rPr>
            </w:pPr>
            <w:r w:rsidRPr="005739EE">
              <w:rPr>
                <w:sz w:val="18"/>
                <w:szCs w:val="18"/>
              </w:rPr>
              <w:t>diagnostic services</w:t>
            </w:r>
          </w:p>
          <w:p w14:paraId="71AC92D5" w14:textId="77777777" w:rsidR="00EE67CB" w:rsidRPr="005739EE" w:rsidRDefault="00EE67CB" w:rsidP="00F01EE1">
            <w:pPr>
              <w:pStyle w:val="Letter"/>
              <w:spacing w:before="60" w:after="60"/>
              <w:ind w:left="284" w:hanging="284"/>
              <w:rPr>
                <w:sz w:val="18"/>
                <w:szCs w:val="18"/>
              </w:rPr>
            </w:pPr>
            <w:r w:rsidRPr="005739EE">
              <w:rPr>
                <w:sz w:val="18"/>
                <w:szCs w:val="18"/>
              </w:rPr>
              <w:t xml:space="preserve">services provided to a person who has requested assisted dying under the </w:t>
            </w:r>
            <w:proofErr w:type="gramStart"/>
            <w:r w:rsidRPr="005739EE">
              <w:rPr>
                <w:sz w:val="18"/>
                <w:szCs w:val="18"/>
              </w:rPr>
              <w:t>End of Life</w:t>
            </w:r>
            <w:proofErr w:type="gramEnd"/>
            <w:r w:rsidRPr="005739EE">
              <w:rPr>
                <w:sz w:val="18"/>
                <w:szCs w:val="18"/>
              </w:rPr>
              <w:t xml:space="preserve"> Choice Act 2019, including psychotherapy and counselling services</w:t>
            </w:r>
          </w:p>
          <w:p w14:paraId="0489D691" w14:textId="77777777" w:rsidR="00EE67CB" w:rsidRPr="005739EE" w:rsidRDefault="00EE67CB" w:rsidP="00F01EE1">
            <w:pPr>
              <w:pStyle w:val="Letter"/>
              <w:spacing w:before="60" w:after="60"/>
              <w:ind w:left="284" w:hanging="284"/>
              <w:rPr>
                <w:sz w:val="18"/>
                <w:szCs w:val="18"/>
              </w:rPr>
            </w:pPr>
            <w:r w:rsidRPr="005739EE">
              <w:rPr>
                <w:sz w:val="18"/>
                <w:szCs w:val="18"/>
              </w:rPr>
              <w:t>reproductive health services, including contraception services and advice, fertility services, sterilisation services and abortion services.</w:t>
            </w:r>
          </w:p>
          <w:p w14:paraId="36F91C6B" w14:textId="77777777" w:rsidR="00EE67CB" w:rsidRPr="00B90BCF" w:rsidRDefault="00EE67CB" w:rsidP="005739EE">
            <w:pPr>
              <w:pStyle w:val="TableText"/>
            </w:pPr>
            <w:r>
              <w:t>Note that health services may also include social type services.</w:t>
            </w:r>
          </w:p>
        </w:tc>
      </w:tr>
      <w:tr w:rsidR="00EE67CB" w:rsidRPr="00CE504D" w14:paraId="12F4600D" w14:textId="77777777" w:rsidTr="005739EE">
        <w:trPr>
          <w:cantSplit/>
        </w:trPr>
        <w:tc>
          <w:tcPr>
            <w:tcW w:w="2552" w:type="dxa"/>
          </w:tcPr>
          <w:p w14:paraId="33672575" w14:textId="77777777" w:rsidR="00EE67CB" w:rsidRPr="00B90BCF" w:rsidRDefault="00EE67CB" w:rsidP="005739EE">
            <w:pPr>
              <w:pStyle w:val="TableText"/>
              <w:ind w:right="113"/>
            </w:pPr>
            <w:r w:rsidRPr="00B90BCF">
              <w:t>Personal information</w:t>
            </w:r>
          </w:p>
        </w:tc>
        <w:tc>
          <w:tcPr>
            <w:tcW w:w="5528" w:type="dxa"/>
          </w:tcPr>
          <w:p w14:paraId="1714C5C9" w14:textId="77777777" w:rsidR="00EE67CB" w:rsidRPr="00FB1622" w:rsidRDefault="00EE67CB" w:rsidP="005739EE">
            <w:pPr>
              <w:pStyle w:val="TableText"/>
              <w:rPr>
                <w:lang w:eastAsia="en-US"/>
              </w:rPr>
            </w:pPr>
            <w:r>
              <w:rPr>
                <w:lang w:eastAsia="en-US"/>
              </w:rPr>
              <w:t>I</w:t>
            </w:r>
            <w:r w:rsidRPr="000F37F4">
              <w:rPr>
                <w:lang w:eastAsia="en-US"/>
              </w:rPr>
              <w:t>nformation about an identifiable ind</w:t>
            </w:r>
            <w:r w:rsidRPr="00FB1622">
              <w:rPr>
                <w:lang w:eastAsia="en-US"/>
              </w:rPr>
              <w:t xml:space="preserve">ividual </w:t>
            </w:r>
            <w:r>
              <w:rPr>
                <w:lang w:eastAsia="en-US"/>
              </w:rPr>
              <w:t>(</w:t>
            </w:r>
            <w:proofErr w:type="spellStart"/>
            <w:r w:rsidRPr="00FB1622">
              <w:rPr>
                <w:lang w:eastAsia="en-US"/>
              </w:rPr>
              <w:t>eg</w:t>
            </w:r>
            <w:proofErr w:type="spellEnd"/>
            <w:r w:rsidRPr="00FB1622">
              <w:rPr>
                <w:lang w:eastAsia="en-US"/>
              </w:rPr>
              <w:t>,</w:t>
            </w:r>
            <w:r w:rsidRPr="006A0DBE">
              <w:rPr>
                <w:lang w:eastAsia="en-US"/>
              </w:rPr>
              <w:t xml:space="preserve"> name, contact details), as defined by section 7(1) of the Privacy Act 2020</w:t>
            </w:r>
            <w:r>
              <w:t>.</w:t>
            </w:r>
          </w:p>
        </w:tc>
      </w:tr>
      <w:tr w:rsidR="00EE67CB" w:rsidRPr="00CE504D" w14:paraId="00A4FBC2" w14:textId="77777777" w:rsidTr="005739EE">
        <w:trPr>
          <w:cantSplit/>
        </w:trPr>
        <w:tc>
          <w:tcPr>
            <w:tcW w:w="2552" w:type="dxa"/>
          </w:tcPr>
          <w:p w14:paraId="441596C2" w14:textId="77777777" w:rsidR="00EE67CB" w:rsidRDefault="00EE67CB" w:rsidP="005739EE">
            <w:pPr>
              <w:pStyle w:val="TableText"/>
              <w:ind w:right="113"/>
              <w:rPr>
                <w:rFonts w:cs="Segoe UI"/>
                <w:lang w:val="mi-NZ"/>
              </w:rPr>
            </w:pPr>
            <w:proofErr w:type="spellStart"/>
            <w:r>
              <w:rPr>
                <w:rFonts w:cs="Segoe UI"/>
                <w:lang w:val="mi-NZ"/>
              </w:rPr>
              <w:t>Residential</w:t>
            </w:r>
            <w:proofErr w:type="spellEnd"/>
            <w:r>
              <w:rPr>
                <w:rFonts w:cs="Segoe UI"/>
                <w:lang w:val="mi-NZ"/>
              </w:rPr>
              <w:t xml:space="preserve"> </w:t>
            </w:r>
            <w:proofErr w:type="spellStart"/>
            <w:r>
              <w:rPr>
                <w:rFonts w:cs="Segoe UI"/>
                <w:lang w:val="mi-NZ"/>
              </w:rPr>
              <w:t>premises</w:t>
            </w:r>
            <w:proofErr w:type="spellEnd"/>
          </w:p>
        </w:tc>
        <w:tc>
          <w:tcPr>
            <w:tcW w:w="5528" w:type="dxa"/>
          </w:tcPr>
          <w:p w14:paraId="0B45679F" w14:textId="77777777" w:rsidR="00EE67CB" w:rsidRPr="00DF6CB8" w:rsidDel="00FF1138" w:rsidRDefault="00EE67CB" w:rsidP="005739EE">
            <w:pPr>
              <w:pStyle w:val="TableText"/>
              <w:rPr>
                <w:rFonts w:cs="Segoe UI"/>
                <w:lang w:val="mi-NZ"/>
              </w:rPr>
            </w:pPr>
            <w:proofErr w:type="spellStart"/>
            <w:r w:rsidRPr="0012126D">
              <w:rPr>
                <w:rFonts w:cs="Segoe UI"/>
                <w:lang w:val="mi-NZ"/>
              </w:rPr>
              <w:t>As</w:t>
            </w:r>
            <w:proofErr w:type="spellEnd"/>
            <w:r w:rsidRPr="0012126D">
              <w:rPr>
                <w:rFonts w:cs="Segoe UI"/>
                <w:lang w:val="mi-NZ"/>
              </w:rPr>
              <w:t xml:space="preserve"> </w:t>
            </w:r>
            <w:proofErr w:type="spellStart"/>
            <w:r w:rsidRPr="0012126D">
              <w:rPr>
                <w:rFonts w:cs="Segoe UI"/>
                <w:lang w:val="mi-NZ"/>
              </w:rPr>
              <w:t>defined</w:t>
            </w:r>
            <w:proofErr w:type="spellEnd"/>
            <w:r w:rsidRPr="0012126D">
              <w:rPr>
                <w:rFonts w:cs="Segoe UI"/>
                <w:lang w:val="mi-NZ"/>
              </w:rPr>
              <w:t xml:space="preserve"> </w:t>
            </w:r>
            <w:proofErr w:type="spellStart"/>
            <w:r w:rsidRPr="0012126D">
              <w:rPr>
                <w:rFonts w:cs="Segoe UI"/>
                <w:lang w:val="mi-NZ"/>
              </w:rPr>
              <w:t>in</w:t>
            </w:r>
            <w:proofErr w:type="spellEnd"/>
            <w:r w:rsidRPr="0012126D">
              <w:rPr>
                <w:rFonts w:cs="Segoe UI"/>
                <w:lang w:val="mi-NZ"/>
              </w:rPr>
              <w:t xml:space="preserve"> </w:t>
            </w:r>
            <w:r w:rsidRPr="00980EF6">
              <w:t>Residential Tenancies Act 1986</w:t>
            </w:r>
            <w:r>
              <w:t xml:space="preserve">, </w:t>
            </w:r>
            <w:r w:rsidRPr="00980EF6">
              <w:t>section 2(1)</w:t>
            </w:r>
            <w:r>
              <w:t>, a residential premises means a</w:t>
            </w:r>
            <w:r w:rsidRPr="00FA68B6">
              <w:t>ny premises used or intended for occupation by any person as a place of residence, whether or not the occupation or intended occupation for residential purposes is or would be unlawful</w:t>
            </w:r>
            <w:r>
              <w:t>.</w:t>
            </w:r>
          </w:p>
        </w:tc>
      </w:tr>
      <w:tr w:rsidR="00EE67CB" w:rsidRPr="00CE504D" w14:paraId="6E174192" w14:textId="77777777" w:rsidTr="005739EE">
        <w:trPr>
          <w:cantSplit/>
        </w:trPr>
        <w:tc>
          <w:tcPr>
            <w:tcW w:w="2552" w:type="dxa"/>
          </w:tcPr>
          <w:p w14:paraId="545AEF68" w14:textId="77777777" w:rsidR="00EE67CB" w:rsidRPr="00B90BCF" w:rsidRDefault="00EE67CB" w:rsidP="005739EE">
            <w:pPr>
              <w:pStyle w:val="TableText"/>
              <w:ind w:right="113"/>
            </w:pPr>
            <w:proofErr w:type="spellStart"/>
            <w:r>
              <w:rPr>
                <w:rFonts w:cs="Segoe UI"/>
                <w:lang w:val="mi-NZ"/>
              </w:rPr>
              <w:t>Repeat</w:t>
            </w:r>
            <w:proofErr w:type="spellEnd"/>
            <w:r>
              <w:rPr>
                <w:rFonts w:cs="Segoe UI"/>
                <w:lang w:val="mi-NZ"/>
              </w:rPr>
              <w:t xml:space="preserve"> </w:t>
            </w:r>
            <w:proofErr w:type="spellStart"/>
            <w:r>
              <w:rPr>
                <w:rFonts w:cs="Segoe UI"/>
                <w:lang w:val="mi-NZ"/>
              </w:rPr>
              <w:t>offending</w:t>
            </w:r>
            <w:proofErr w:type="spellEnd"/>
            <w:r>
              <w:rPr>
                <w:rFonts w:cs="Segoe UI"/>
                <w:lang w:val="mi-NZ"/>
              </w:rPr>
              <w:t>/</w:t>
            </w:r>
            <w:r w:rsidR="005739EE">
              <w:rPr>
                <w:rFonts w:cs="Segoe UI"/>
                <w:lang w:val="mi-NZ"/>
              </w:rPr>
              <w:t xml:space="preserve"> </w:t>
            </w:r>
            <w:proofErr w:type="spellStart"/>
            <w:r>
              <w:rPr>
                <w:rFonts w:cs="Segoe UI"/>
                <w:lang w:val="mi-NZ"/>
              </w:rPr>
              <w:t>non</w:t>
            </w:r>
            <w:r w:rsidR="005739EE">
              <w:rPr>
                <w:rFonts w:cs="Segoe UI"/>
                <w:lang w:val="mi-NZ"/>
              </w:rPr>
              <w:noBreakHyphen/>
            </w:r>
            <w:r>
              <w:rPr>
                <w:rFonts w:cs="Segoe UI"/>
                <w:lang w:val="mi-NZ"/>
              </w:rPr>
              <w:t>compliance</w:t>
            </w:r>
            <w:proofErr w:type="spellEnd"/>
          </w:p>
        </w:tc>
        <w:tc>
          <w:tcPr>
            <w:tcW w:w="5528" w:type="dxa"/>
          </w:tcPr>
          <w:p w14:paraId="3F9F4FE2" w14:textId="77777777" w:rsidR="00A25A47" w:rsidRDefault="005739EE" w:rsidP="005739EE">
            <w:pPr>
              <w:pStyle w:val="TableBullet"/>
              <w:spacing w:before="60"/>
            </w:pPr>
            <w:r>
              <w:t>A</w:t>
            </w:r>
            <w:r w:rsidR="00EE67CB" w:rsidRPr="00DF6CB8">
              <w:t>ny significant (or serious) offence/non-compliance committed more than once</w:t>
            </w:r>
            <w:r>
              <w:t>.</w:t>
            </w:r>
          </w:p>
          <w:p w14:paraId="5DC87401" w14:textId="77777777" w:rsidR="00EE67CB" w:rsidRPr="00B90BCF" w:rsidRDefault="005739EE" w:rsidP="005739EE">
            <w:pPr>
              <w:pStyle w:val="TableBullet"/>
            </w:pPr>
            <w:r>
              <w:t>A</w:t>
            </w:r>
            <w:r w:rsidR="00EE67CB" w:rsidRPr="00137063">
              <w:t xml:space="preserve">ny less significant (non-serious) offending </w:t>
            </w:r>
            <w:r w:rsidR="00EE67CB">
              <w:t xml:space="preserve">that is </w:t>
            </w:r>
            <w:r w:rsidR="00EE67CB" w:rsidRPr="00137063">
              <w:t>habitual or regular.</w:t>
            </w:r>
          </w:p>
        </w:tc>
      </w:tr>
      <w:tr w:rsidR="00EE67CB" w:rsidRPr="00CE504D" w14:paraId="79E5BCDF" w14:textId="77777777" w:rsidTr="005739EE">
        <w:trPr>
          <w:cantSplit/>
        </w:trPr>
        <w:tc>
          <w:tcPr>
            <w:tcW w:w="2552" w:type="dxa"/>
          </w:tcPr>
          <w:p w14:paraId="0D3B7DDF" w14:textId="77777777" w:rsidR="00EE67CB" w:rsidRPr="00B90BCF" w:rsidRDefault="00EE67CB" w:rsidP="005739EE">
            <w:pPr>
              <w:pStyle w:val="TableText"/>
              <w:ind w:right="113"/>
            </w:pPr>
            <w:r w:rsidRPr="00B90BCF">
              <w:lastRenderedPageBreak/>
              <w:t>Responsible person</w:t>
            </w:r>
          </w:p>
        </w:tc>
        <w:tc>
          <w:tcPr>
            <w:tcW w:w="5528" w:type="dxa"/>
          </w:tcPr>
          <w:p w14:paraId="3E5882FE" w14:textId="77777777" w:rsidR="00EE67CB" w:rsidRPr="005739EE" w:rsidRDefault="00EE67CB" w:rsidP="005739EE">
            <w:pPr>
              <w:pStyle w:val="TableText"/>
              <w:rPr>
                <w:szCs w:val="18"/>
              </w:rPr>
            </w:pPr>
            <w:r w:rsidRPr="005739EE">
              <w:rPr>
                <w:szCs w:val="18"/>
              </w:rPr>
              <w:t>In relation to an entity that is, or is applying to be, a drug and substance checking service provider:</w:t>
            </w:r>
          </w:p>
          <w:p w14:paraId="64A61FD7" w14:textId="77777777" w:rsidR="00EE67CB" w:rsidRPr="005739EE" w:rsidRDefault="00EE67CB" w:rsidP="005D377F">
            <w:pPr>
              <w:pStyle w:val="Letter"/>
              <w:numPr>
                <w:ilvl w:val="4"/>
                <w:numId w:val="37"/>
              </w:numPr>
              <w:spacing w:before="60" w:after="60"/>
              <w:ind w:left="284" w:hanging="284"/>
              <w:rPr>
                <w:sz w:val="18"/>
                <w:szCs w:val="18"/>
              </w:rPr>
            </w:pPr>
            <w:r w:rsidRPr="005739EE">
              <w:rPr>
                <w:sz w:val="18"/>
                <w:szCs w:val="18"/>
              </w:rPr>
              <w:t xml:space="preserve">a director, </w:t>
            </w:r>
            <w:proofErr w:type="gramStart"/>
            <w:r w:rsidRPr="005739EE">
              <w:rPr>
                <w:sz w:val="18"/>
                <w:szCs w:val="18"/>
              </w:rPr>
              <w:t>partner</w:t>
            </w:r>
            <w:proofErr w:type="gramEnd"/>
            <w:r w:rsidRPr="005739EE">
              <w:rPr>
                <w:sz w:val="18"/>
                <w:szCs w:val="18"/>
              </w:rPr>
              <w:t xml:space="preserve"> or trustee of the entity</w:t>
            </w:r>
          </w:p>
          <w:p w14:paraId="54206594" w14:textId="77777777" w:rsidR="00EE67CB" w:rsidRPr="005739EE" w:rsidRDefault="00EE67CB" w:rsidP="00F01EE1">
            <w:pPr>
              <w:pStyle w:val="Letter"/>
              <w:spacing w:before="60" w:after="60"/>
              <w:ind w:left="284" w:hanging="284"/>
              <w:rPr>
                <w:sz w:val="18"/>
                <w:szCs w:val="18"/>
              </w:rPr>
            </w:pPr>
            <w:r w:rsidRPr="005739EE">
              <w:rPr>
                <w:sz w:val="18"/>
                <w:szCs w:val="18"/>
              </w:rPr>
              <w:t xml:space="preserve">if the entity does not have directors, partners or trustees, a person who acts in relation to the entity in the same or a similar fashion as a director, partner or trustee would were the entity a company, </w:t>
            </w:r>
            <w:proofErr w:type="gramStart"/>
            <w:r w:rsidRPr="005739EE">
              <w:rPr>
                <w:sz w:val="18"/>
                <w:szCs w:val="18"/>
              </w:rPr>
              <w:t>partnership</w:t>
            </w:r>
            <w:proofErr w:type="gramEnd"/>
            <w:r w:rsidRPr="005739EE">
              <w:rPr>
                <w:sz w:val="18"/>
                <w:szCs w:val="18"/>
              </w:rPr>
              <w:t xml:space="preserve"> or trust.</w:t>
            </w:r>
          </w:p>
        </w:tc>
      </w:tr>
      <w:tr w:rsidR="00EE67CB" w:rsidRPr="00CE504D" w14:paraId="57A4AA21" w14:textId="77777777" w:rsidTr="005739EE">
        <w:trPr>
          <w:cantSplit/>
        </w:trPr>
        <w:tc>
          <w:tcPr>
            <w:tcW w:w="2552" w:type="dxa"/>
          </w:tcPr>
          <w:p w14:paraId="7D8BBC9B" w14:textId="77777777" w:rsidR="00EE67CB" w:rsidRDefault="00EE67CB" w:rsidP="005739EE">
            <w:pPr>
              <w:pStyle w:val="TableText"/>
              <w:ind w:right="113"/>
              <w:rPr>
                <w:rFonts w:cs="Segoe UI"/>
                <w:lang w:val="mi-NZ"/>
              </w:rPr>
            </w:pPr>
            <w:proofErr w:type="spellStart"/>
            <w:r>
              <w:rPr>
                <w:rFonts w:cs="Segoe UI"/>
                <w:lang w:val="mi-NZ"/>
              </w:rPr>
              <w:t>Satellite</w:t>
            </w:r>
            <w:proofErr w:type="spellEnd"/>
            <w:r>
              <w:rPr>
                <w:rFonts w:cs="Segoe UI"/>
                <w:lang w:val="mi-NZ"/>
              </w:rPr>
              <w:t>/</w:t>
            </w:r>
            <w:proofErr w:type="spellStart"/>
            <w:r>
              <w:rPr>
                <w:rFonts w:cs="Segoe UI"/>
                <w:lang w:val="mi-NZ"/>
              </w:rPr>
              <w:t>pop-up</w:t>
            </w:r>
            <w:proofErr w:type="spellEnd"/>
            <w:r>
              <w:rPr>
                <w:rFonts w:cs="Segoe UI"/>
                <w:lang w:val="mi-NZ"/>
              </w:rPr>
              <w:t xml:space="preserve"> </w:t>
            </w:r>
            <w:proofErr w:type="spellStart"/>
            <w:r>
              <w:rPr>
                <w:rFonts w:cs="Segoe UI"/>
                <w:lang w:val="mi-NZ"/>
              </w:rPr>
              <w:t>clinic</w:t>
            </w:r>
            <w:proofErr w:type="spellEnd"/>
            <w:r>
              <w:rPr>
                <w:rFonts w:cs="Segoe UI"/>
                <w:lang w:val="mi-NZ"/>
              </w:rPr>
              <w:t xml:space="preserve"> </w:t>
            </w:r>
            <w:proofErr w:type="spellStart"/>
            <w:r>
              <w:rPr>
                <w:rFonts w:cs="Segoe UI"/>
                <w:lang w:val="mi-NZ"/>
              </w:rPr>
              <w:t>service</w:t>
            </w:r>
            <w:proofErr w:type="spellEnd"/>
            <w:r>
              <w:rPr>
                <w:rFonts w:cs="Segoe UI"/>
                <w:lang w:val="mi-NZ"/>
              </w:rPr>
              <w:t xml:space="preserve"> </w:t>
            </w:r>
            <w:proofErr w:type="spellStart"/>
            <w:r>
              <w:rPr>
                <w:rFonts w:cs="Segoe UI"/>
                <w:lang w:val="mi-NZ"/>
              </w:rPr>
              <w:t>delivery</w:t>
            </w:r>
            <w:proofErr w:type="spellEnd"/>
            <w:r>
              <w:rPr>
                <w:rFonts w:cs="Segoe UI"/>
                <w:lang w:val="mi-NZ"/>
              </w:rPr>
              <w:t xml:space="preserve"> </w:t>
            </w:r>
            <w:proofErr w:type="spellStart"/>
            <w:r>
              <w:rPr>
                <w:rFonts w:cs="Segoe UI"/>
                <w:lang w:val="mi-NZ"/>
              </w:rPr>
              <w:t>model</w:t>
            </w:r>
            <w:proofErr w:type="spellEnd"/>
          </w:p>
        </w:tc>
        <w:tc>
          <w:tcPr>
            <w:tcW w:w="5528" w:type="dxa"/>
          </w:tcPr>
          <w:p w14:paraId="74CF816A" w14:textId="77777777" w:rsidR="00EE67CB" w:rsidRPr="006850DD" w:rsidRDefault="00EE67CB" w:rsidP="005739EE">
            <w:pPr>
              <w:pStyle w:val="TableText"/>
              <w:rPr>
                <w:rFonts w:cs="Segoe UI"/>
              </w:rPr>
            </w:pPr>
            <w:r w:rsidRPr="00095D94">
              <w:t xml:space="preserve">A service delivery model </w:t>
            </w:r>
            <w:r>
              <w:t xml:space="preserve">that </w:t>
            </w:r>
            <w:r w:rsidRPr="00095D94">
              <w:t xml:space="preserve">involves a drug checking setup at a location </w:t>
            </w:r>
            <w:r>
              <w:t xml:space="preserve">that </w:t>
            </w:r>
            <w:r w:rsidRPr="00095D94">
              <w:t>is not the provider</w:t>
            </w:r>
            <w:r w:rsidR="00A25A47">
              <w:t>’</w:t>
            </w:r>
            <w:r w:rsidRPr="00095D94">
              <w:t xml:space="preserve">s permanent location and </w:t>
            </w:r>
            <w:r>
              <w:t xml:space="preserve">not </w:t>
            </w:r>
            <w:r w:rsidRPr="00095D94">
              <w:t>a field event</w:t>
            </w:r>
            <w:r>
              <w:t xml:space="preserve"> (</w:t>
            </w:r>
            <w:proofErr w:type="spellStart"/>
            <w:r>
              <w:t>eg</w:t>
            </w:r>
            <w:proofErr w:type="spellEnd"/>
            <w:r>
              <w:t xml:space="preserve">, </w:t>
            </w:r>
            <w:r w:rsidRPr="00095D94">
              <w:t>a short</w:t>
            </w:r>
            <w:r>
              <w:t>-</w:t>
            </w:r>
            <w:r w:rsidRPr="00095D94">
              <w:t>term rented location in a city where the provider does not have a permanent location</w:t>
            </w:r>
            <w:r>
              <w:t>).</w:t>
            </w:r>
          </w:p>
        </w:tc>
      </w:tr>
      <w:tr w:rsidR="00EE67CB" w:rsidRPr="00CE504D" w14:paraId="29575931" w14:textId="77777777" w:rsidTr="005739EE">
        <w:trPr>
          <w:cantSplit/>
        </w:trPr>
        <w:tc>
          <w:tcPr>
            <w:tcW w:w="2552" w:type="dxa"/>
          </w:tcPr>
          <w:p w14:paraId="631FA01C" w14:textId="77777777" w:rsidR="00EE67CB" w:rsidRPr="00B90BCF" w:rsidRDefault="00EE67CB" w:rsidP="005739EE">
            <w:pPr>
              <w:pStyle w:val="TableText"/>
              <w:ind w:right="113"/>
            </w:pPr>
            <w:proofErr w:type="spellStart"/>
            <w:r>
              <w:rPr>
                <w:rFonts w:cs="Segoe UI"/>
                <w:lang w:val="mi-NZ"/>
              </w:rPr>
              <w:t>Seriousness</w:t>
            </w:r>
            <w:proofErr w:type="spellEnd"/>
            <w:r>
              <w:rPr>
                <w:rFonts w:cs="Segoe UI"/>
                <w:lang w:val="mi-NZ"/>
              </w:rPr>
              <w:t xml:space="preserve"> (of </w:t>
            </w:r>
            <w:proofErr w:type="spellStart"/>
            <w:r>
              <w:rPr>
                <w:rFonts w:cs="Segoe UI"/>
                <w:lang w:val="mi-NZ"/>
              </w:rPr>
              <w:t>drug</w:t>
            </w:r>
            <w:proofErr w:type="spellEnd"/>
            <w:r>
              <w:rPr>
                <w:rFonts w:cs="Segoe UI"/>
                <w:lang w:val="mi-NZ"/>
              </w:rPr>
              <w:t xml:space="preserve"> </w:t>
            </w:r>
            <w:proofErr w:type="spellStart"/>
            <w:r>
              <w:rPr>
                <w:rFonts w:cs="Segoe UI"/>
                <w:lang w:val="mi-NZ"/>
              </w:rPr>
              <w:t>offences</w:t>
            </w:r>
            <w:proofErr w:type="spellEnd"/>
            <w:r>
              <w:rPr>
                <w:rFonts w:cs="Segoe UI"/>
                <w:lang w:val="mi-NZ"/>
              </w:rPr>
              <w:t xml:space="preserve"> and </w:t>
            </w:r>
            <w:proofErr w:type="spellStart"/>
            <w:r>
              <w:rPr>
                <w:rFonts w:cs="Segoe UI"/>
                <w:lang w:val="mi-NZ"/>
              </w:rPr>
              <w:t>regulatory</w:t>
            </w:r>
            <w:proofErr w:type="spellEnd"/>
            <w:r>
              <w:rPr>
                <w:rFonts w:cs="Segoe UI"/>
                <w:lang w:val="mi-NZ"/>
              </w:rPr>
              <w:t xml:space="preserve"> </w:t>
            </w:r>
            <w:proofErr w:type="spellStart"/>
            <w:r>
              <w:rPr>
                <w:rFonts w:cs="Segoe UI"/>
                <w:lang w:val="mi-NZ"/>
              </w:rPr>
              <w:t>non-compliance</w:t>
            </w:r>
            <w:proofErr w:type="spellEnd"/>
            <w:r>
              <w:rPr>
                <w:rFonts w:cs="Segoe UI"/>
                <w:lang w:val="mi-NZ"/>
              </w:rPr>
              <w:t>)</w:t>
            </w:r>
          </w:p>
        </w:tc>
        <w:tc>
          <w:tcPr>
            <w:tcW w:w="5528" w:type="dxa"/>
          </w:tcPr>
          <w:p w14:paraId="4F4E3022" w14:textId="77777777" w:rsidR="00A25A47" w:rsidRDefault="00EE67CB" w:rsidP="005739EE">
            <w:pPr>
              <w:pStyle w:val="TableText"/>
              <w:rPr>
                <w:rFonts w:cs="Segoe UI"/>
              </w:rPr>
            </w:pPr>
            <w:r w:rsidRPr="006850DD">
              <w:rPr>
                <w:rFonts w:cs="Segoe UI"/>
              </w:rPr>
              <w:t>Seriousness of drug offences is determined by consideration of the following:</w:t>
            </w:r>
          </w:p>
          <w:p w14:paraId="059959A7" w14:textId="77777777" w:rsidR="00EE67CB" w:rsidRPr="006850DD" w:rsidRDefault="00EE67CB" w:rsidP="005739EE">
            <w:pPr>
              <w:pStyle w:val="TableBullet"/>
            </w:pPr>
            <w:r w:rsidRPr="006850DD">
              <w:t>the usual justice system response to an offence</w:t>
            </w:r>
          </w:p>
          <w:p w14:paraId="67111237" w14:textId="77777777" w:rsidR="00EE67CB" w:rsidRPr="006850DD" w:rsidRDefault="00EE67CB" w:rsidP="005739EE">
            <w:pPr>
              <w:pStyle w:val="TableBullet"/>
            </w:pPr>
            <w:r w:rsidRPr="006850DD">
              <w:t>the likely impact of the offending on other people, and the scale of the likely impact</w:t>
            </w:r>
          </w:p>
          <w:p w14:paraId="14F4AAD0" w14:textId="77777777" w:rsidR="00A25A47" w:rsidRDefault="00EE67CB" w:rsidP="005739EE">
            <w:pPr>
              <w:pStyle w:val="TableBullet"/>
            </w:pPr>
            <w:r w:rsidRPr="006850DD">
              <w:t>the extent to which the offending calls into question the character or judgement of the offender.</w:t>
            </w:r>
          </w:p>
          <w:p w14:paraId="0949B772" w14:textId="77777777" w:rsidR="00A25A47" w:rsidRDefault="00EE67CB" w:rsidP="005739EE">
            <w:pPr>
              <w:pStyle w:val="TableText"/>
              <w:rPr>
                <w:rFonts w:cs="Segoe UI"/>
              </w:rPr>
            </w:pPr>
            <w:r w:rsidRPr="006850DD">
              <w:rPr>
                <w:rFonts w:cs="Segoe UI"/>
              </w:rPr>
              <w:t>Seriousness of regulatory non-compliance is determined by consideration of the following:</w:t>
            </w:r>
          </w:p>
          <w:p w14:paraId="6C0F47A2" w14:textId="77777777" w:rsidR="00EE67CB" w:rsidRPr="006850DD" w:rsidRDefault="00EE67CB" w:rsidP="005739EE">
            <w:pPr>
              <w:pStyle w:val="TableBullet"/>
            </w:pPr>
            <w:r w:rsidRPr="006850DD">
              <w:t>the actual and potential impact of the non-compliance</w:t>
            </w:r>
          </w:p>
          <w:p w14:paraId="213C0D09" w14:textId="77777777" w:rsidR="00EE67CB" w:rsidRPr="006850DD" w:rsidRDefault="00EE67CB" w:rsidP="005739EE">
            <w:pPr>
              <w:pStyle w:val="TableBullet"/>
            </w:pPr>
            <w:r w:rsidRPr="006850DD">
              <w:t xml:space="preserve">whether </w:t>
            </w:r>
            <w:r>
              <w:t xml:space="preserve">the non-compliance </w:t>
            </w:r>
            <w:r w:rsidRPr="006850DD">
              <w:t>was technical (</w:t>
            </w:r>
            <w:proofErr w:type="spellStart"/>
            <w:r w:rsidRPr="006850DD">
              <w:t>eg</w:t>
            </w:r>
            <w:proofErr w:type="spellEnd"/>
            <w:r w:rsidRPr="006850DD">
              <w:t>, providing information late or in the wrong format)</w:t>
            </w:r>
          </w:p>
          <w:p w14:paraId="17CCDD6D" w14:textId="77777777" w:rsidR="00EE67CB" w:rsidRDefault="00EE67CB" w:rsidP="005739EE">
            <w:pPr>
              <w:pStyle w:val="TableBullet"/>
            </w:pPr>
            <w:r w:rsidRPr="00FB127B">
              <w:t xml:space="preserve">whether </w:t>
            </w:r>
            <w:r>
              <w:t xml:space="preserve">the relevant regulatory Ministry officials </w:t>
            </w:r>
            <w:r w:rsidRPr="00FB127B">
              <w:t>regard</w:t>
            </w:r>
            <w:r>
              <w:t>s</w:t>
            </w:r>
            <w:r w:rsidRPr="00FB127B">
              <w:t xml:space="preserve"> </w:t>
            </w:r>
            <w:r>
              <w:t xml:space="preserve">the non-compliance </w:t>
            </w:r>
            <w:r w:rsidR="005739EE">
              <w:t>as serious.</w:t>
            </w:r>
          </w:p>
        </w:tc>
      </w:tr>
      <w:tr w:rsidR="00EE67CB" w:rsidRPr="00CE504D" w14:paraId="1FFB713C" w14:textId="77777777" w:rsidTr="005739EE">
        <w:trPr>
          <w:cantSplit/>
        </w:trPr>
        <w:tc>
          <w:tcPr>
            <w:tcW w:w="2552" w:type="dxa"/>
          </w:tcPr>
          <w:p w14:paraId="1705884B" w14:textId="77777777" w:rsidR="00EE67CB" w:rsidRDefault="00EE67CB" w:rsidP="005739EE">
            <w:pPr>
              <w:pStyle w:val="TableText"/>
              <w:ind w:right="113"/>
              <w:rPr>
                <w:rFonts w:cs="Segoe UI"/>
                <w:lang w:val="mi-NZ"/>
              </w:rPr>
            </w:pPr>
            <w:r>
              <w:t>Static clinic/commercial premises service delivery model</w:t>
            </w:r>
          </w:p>
        </w:tc>
        <w:tc>
          <w:tcPr>
            <w:tcW w:w="5528" w:type="dxa"/>
          </w:tcPr>
          <w:p w14:paraId="4A4A5068" w14:textId="77777777" w:rsidR="00EE67CB" w:rsidRPr="006850DD" w:rsidRDefault="00EE67CB" w:rsidP="005739EE">
            <w:pPr>
              <w:pStyle w:val="TableText"/>
              <w:rPr>
                <w:rFonts w:cs="Segoe UI"/>
              </w:rPr>
            </w:pPr>
            <w:r w:rsidRPr="008A67E0">
              <w:rPr>
                <w:rFonts w:cs="Segoe UI"/>
              </w:rPr>
              <w:t xml:space="preserve">A service </w:t>
            </w:r>
            <w:r>
              <w:rPr>
                <w:rFonts w:cs="Segoe UI"/>
              </w:rPr>
              <w:t xml:space="preserve">delivery </w:t>
            </w:r>
            <w:r w:rsidRPr="008A67E0">
              <w:rPr>
                <w:rFonts w:cs="Segoe UI"/>
              </w:rPr>
              <w:t xml:space="preserve">model </w:t>
            </w:r>
            <w:r>
              <w:rPr>
                <w:rFonts w:cs="Segoe UI"/>
              </w:rPr>
              <w:t xml:space="preserve">that </w:t>
            </w:r>
            <w:r w:rsidRPr="008A67E0">
              <w:rPr>
                <w:rFonts w:cs="Segoe UI"/>
              </w:rPr>
              <w:t xml:space="preserve">involves a drug checking setup at </w:t>
            </w:r>
            <w:r>
              <w:rPr>
                <w:rFonts w:cs="Segoe UI"/>
              </w:rPr>
              <w:t xml:space="preserve">a location that is the </w:t>
            </w:r>
            <w:r w:rsidRPr="008A67E0">
              <w:rPr>
                <w:rFonts w:cs="Segoe UI"/>
              </w:rPr>
              <w:t>provider</w:t>
            </w:r>
            <w:r w:rsidR="00A25A47">
              <w:rPr>
                <w:rFonts w:cs="Segoe UI"/>
              </w:rPr>
              <w:t>’</w:t>
            </w:r>
            <w:r w:rsidRPr="008A67E0">
              <w:rPr>
                <w:rFonts w:cs="Segoe UI"/>
              </w:rPr>
              <w:t xml:space="preserve">s </w:t>
            </w:r>
            <w:r>
              <w:rPr>
                <w:rFonts w:cs="Segoe UI"/>
              </w:rPr>
              <w:t>permanent</w:t>
            </w:r>
            <w:r w:rsidRPr="008A67E0">
              <w:rPr>
                <w:rFonts w:cs="Segoe UI"/>
              </w:rPr>
              <w:t xml:space="preserve"> location.</w:t>
            </w:r>
            <w:r>
              <w:rPr>
                <w:rFonts w:cs="Segoe UI"/>
              </w:rPr>
              <w:t xml:space="preserve"> This will usually be the provider</w:t>
            </w:r>
            <w:r w:rsidR="00A25A47">
              <w:rPr>
                <w:rFonts w:cs="Segoe UI"/>
              </w:rPr>
              <w:t>’</w:t>
            </w:r>
            <w:r>
              <w:rPr>
                <w:rFonts w:cs="Segoe UI"/>
              </w:rPr>
              <w:t>s office or other location re</w:t>
            </w:r>
            <w:r w:rsidR="00F01EE1">
              <w:rPr>
                <w:rFonts w:cs="Segoe UI"/>
              </w:rPr>
              <w:t>gularly used for drug checking.</w:t>
            </w:r>
          </w:p>
        </w:tc>
      </w:tr>
      <w:tr w:rsidR="00EE67CB" w:rsidRPr="00CE504D" w14:paraId="41201F13" w14:textId="77777777" w:rsidTr="005739EE">
        <w:trPr>
          <w:cantSplit/>
        </w:trPr>
        <w:tc>
          <w:tcPr>
            <w:tcW w:w="2552" w:type="dxa"/>
          </w:tcPr>
          <w:p w14:paraId="0C33E145" w14:textId="77777777" w:rsidR="00EE67CB" w:rsidRPr="00B90BCF" w:rsidRDefault="00EE67CB" w:rsidP="005739EE">
            <w:pPr>
              <w:pStyle w:val="TableText"/>
              <w:ind w:right="113"/>
            </w:pPr>
            <w:r w:rsidRPr="00B90BCF">
              <w:t xml:space="preserve">Suitable applicant </w:t>
            </w:r>
          </w:p>
        </w:tc>
        <w:tc>
          <w:tcPr>
            <w:tcW w:w="5528" w:type="dxa"/>
          </w:tcPr>
          <w:p w14:paraId="3D55B8B5" w14:textId="77777777" w:rsidR="00EE67CB" w:rsidRPr="005739EE" w:rsidRDefault="00EE67CB" w:rsidP="005739EE">
            <w:pPr>
              <w:pStyle w:val="TableText"/>
              <w:rPr>
                <w:szCs w:val="18"/>
              </w:rPr>
            </w:pPr>
            <w:r w:rsidRPr="005739EE">
              <w:rPr>
                <w:szCs w:val="18"/>
              </w:rPr>
              <w:t>An applicant is suitable if the Director-General or the Minister (as the case may be) is satisfied that:</w:t>
            </w:r>
          </w:p>
          <w:p w14:paraId="1C9BCAC7" w14:textId="77777777" w:rsidR="00A25A47" w:rsidRPr="005739EE" w:rsidRDefault="00EE67CB" w:rsidP="005D377F">
            <w:pPr>
              <w:pStyle w:val="Letter"/>
              <w:numPr>
                <w:ilvl w:val="4"/>
                <w:numId w:val="38"/>
              </w:numPr>
              <w:spacing w:before="60" w:after="60"/>
              <w:ind w:left="284" w:hanging="284"/>
              <w:rPr>
                <w:sz w:val="18"/>
                <w:szCs w:val="18"/>
              </w:rPr>
            </w:pPr>
            <w:r w:rsidRPr="005739EE">
              <w:rPr>
                <w:sz w:val="18"/>
                <w:szCs w:val="18"/>
              </w:rPr>
              <w:t xml:space="preserve">the applicant will comply with the </w:t>
            </w:r>
            <w:proofErr w:type="spellStart"/>
            <w:r w:rsidRPr="005739EE">
              <w:rPr>
                <w:sz w:val="18"/>
                <w:szCs w:val="18"/>
              </w:rPr>
              <w:t>MoDA</w:t>
            </w:r>
            <w:proofErr w:type="spellEnd"/>
            <w:r w:rsidRPr="005739EE">
              <w:rPr>
                <w:sz w:val="18"/>
                <w:szCs w:val="18"/>
              </w:rPr>
              <w:t>, its regulations and the applicant</w:t>
            </w:r>
            <w:r w:rsidR="00A25A47" w:rsidRPr="005739EE">
              <w:rPr>
                <w:sz w:val="18"/>
                <w:szCs w:val="18"/>
              </w:rPr>
              <w:t>’</w:t>
            </w:r>
            <w:r w:rsidRPr="005739EE">
              <w:rPr>
                <w:sz w:val="18"/>
                <w:szCs w:val="18"/>
              </w:rPr>
              <w:t>s licence conditions; and</w:t>
            </w:r>
          </w:p>
          <w:p w14:paraId="1FBEF1A9" w14:textId="77777777" w:rsidR="00EE67CB" w:rsidRPr="005739EE" w:rsidRDefault="00EE67CB" w:rsidP="00F01EE1">
            <w:pPr>
              <w:pStyle w:val="Letter"/>
              <w:spacing w:before="60" w:after="60"/>
              <w:ind w:left="284" w:hanging="284"/>
              <w:rPr>
                <w:sz w:val="18"/>
                <w:szCs w:val="18"/>
              </w:rPr>
            </w:pPr>
            <w:r w:rsidRPr="005739EE">
              <w:rPr>
                <w:sz w:val="18"/>
                <w:szCs w:val="18"/>
              </w:rPr>
              <w:t>there is no other reason why the applicant would not be suitable, with consideration to:</w:t>
            </w:r>
          </w:p>
          <w:p w14:paraId="7B49B12A" w14:textId="77777777" w:rsidR="00EE67CB" w:rsidRPr="005739EE" w:rsidRDefault="00EE67CB" w:rsidP="00F01EE1">
            <w:pPr>
              <w:pStyle w:val="Roman"/>
              <w:spacing w:before="60" w:after="60"/>
              <w:ind w:left="568" w:hanging="284"/>
              <w:rPr>
                <w:sz w:val="18"/>
                <w:szCs w:val="18"/>
              </w:rPr>
            </w:pPr>
            <w:r w:rsidRPr="005739EE">
              <w:rPr>
                <w:sz w:val="18"/>
                <w:szCs w:val="18"/>
              </w:rPr>
              <w:t xml:space="preserve">conviction of an offence against the </w:t>
            </w:r>
            <w:proofErr w:type="spellStart"/>
            <w:r w:rsidRPr="005739EE">
              <w:rPr>
                <w:sz w:val="18"/>
                <w:szCs w:val="18"/>
              </w:rPr>
              <w:t>MoDA</w:t>
            </w:r>
            <w:proofErr w:type="spellEnd"/>
            <w:r w:rsidRPr="005739EE">
              <w:rPr>
                <w:sz w:val="18"/>
                <w:szCs w:val="18"/>
              </w:rPr>
              <w:t>, the Psychoactive Substances Act 2013 or the Medicines Act 1981 (or any regulations made under any of those Acts); or</w:t>
            </w:r>
          </w:p>
          <w:p w14:paraId="551E911E" w14:textId="77777777" w:rsidR="00EE67CB" w:rsidRPr="005739EE" w:rsidRDefault="00EE67CB" w:rsidP="00F01EE1">
            <w:pPr>
              <w:pStyle w:val="Roman"/>
              <w:spacing w:before="60" w:after="60"/>
              <w:ind w:left="568" w:hanging="284"/>
              <w:rPr>
                <w:sz w:val="18"/>
                <w:szCs w:val="18"/>
              </w:rPr>
            </w:pPr>
            <w:r w:rsidRPr="005739EE">
              <w:rPr>
                <w:sz w:val="18"/>
                <w:szCs w:val="18"/>
              </w:rPr>
              <w:t>a crime involving dishonesty (as defined in section</w:t>
            </w:r>
            <w:r w:rsidR="005739EE">
              <w:rPr>
                <w:sz w:val="18"/>
                <w:szCs w:val="18"/>
              </w:rPr>
              <w:t> </w:t>
            </w:r>
            <w:r w:rsidRPr="005739EE">
              <w:rPr>
                <w:sz w:val="18"/>
                <w:szCs w:val="18"/>
              </w:rPr>
              <w:t>2(1) of the Crimes Act 1961); and</w:t>
            </w:r>
          </w:p>
          <w:p w14:paraId="10B2054B" w14:textId="77777777" w:rsidR="00EE67CB" w:rsidRPr="005739EE" w:rsidRDefault="00EE67CB" w:rsidP="00F01EE1">
            <w:pPr>
              <w:pStyle w:val="Roman"/>
              <w:spacing w:before="60" w:after="60"/>
              <w:ind w:left="568" w:hanging="284"/>
              <w:rPr>
                <w:sz w:val="18"/>
                <w:szCs w:val="18"/>
              </w:rPr>
            </w:pPr>
            <w:r w:rsidRPr="005739EE">
              <w:rPr>
                <w:sz w:val="18"/>
                <w:szCs w:val="18"/>
              </w:rPr>
              <w:t xml:space="preserve">whether there has been a serious or repeated failure by the applicant (and, if the applicant is an entity, any responsible person) to comply with any requirement of the </w:t>
            </w:r>
            <w:proofErr w:type="spellStart"/>
            <w:r w:rsidRPr="005739EE">
              <w:rPr>
                <w:sz w:val="18"/>
                <w:szCs w:val="18"/>
              </w:rPr>
              <w:t>MoDA</w:t>
            </w:r>
            <w:proofErr w:type="spellEnd"/>
            <w:r w:rsidRPr="005739EE">
              <w:rPr>
                <w:sz w:val="18"/>
                <w:szCs w:val="18"/>
              </w:rPr>
              <w:t xml:space="preserve"> or its regulations; and</w:t>
            </w:r>
          </w:p>
          <w:p w14:paraId="1881B61C" w14:textId="77777777" w:rsidR="00A25A47" w:rsidRPr="005739EE" w:rsidRDefault="00EE67CB" w:rsidP="00F01EE1">
            <w:pPr>
              <w:pStyle w:val="Roman"/>
              <w:spacing w:before="60" w:after="60"/>
              <w:ind w:left="568" w:hanging="284"/>
              <w:rPr>
                <w:sz w:val="18"/>
                <w:szCs w:val="18"/>
              </w:rPr>
            </w:pPr>
            <w:r w:rsidRPr="005739EE">
              <w:rPr>
                <w:sz w:val="18"/>
                <w:szCs w:val="18"/>
              </w:rPr>
              <w:t>any evidence provided by the applicant about their suitability; and</w:t>
            </w:r>
          </w:p>
          <w:p w14:paraId="43341BED" w14:textId="77777777" w:rsidR="00EE67CB" w:rsidRPr="005739EE" w:rsidRDefault="00EE67CB" w:rsidP="00F01EE1">
            <w:pPr>
              <w:pStyle w:val="Roman"/>
              <w:spacing w:before="60" w:after="60"/>
              <w:ind w:left="568" w:hanging="284"/>
              <w:rPr>
                <w:sz w:val="18"/>
                <w:szCs w:val="18"/>
              </w:rPr>
            </w:pPr>
            <w:r w:rsidRPr="005739EE">
              <w:rPr>
                <w:sz w:val="18"/>
                <w:szCs w:val="18"/>
              </w:rPr>
              <w:t>any other matter that the Director-General or the Minister considers relevant.</w:t>
            </w:r>
          </w:p>
        </w:tc>
      </w:tr>
      <w:tr w:rsidR="00EE67CB" w:rsidRPr="00CE504D" w14:paraId="0971EB60" w14:textId="77777777" w:rsidTr="005739EE">
        <w:trPr>
          <w:cantSplit/>
        </w:trPr>
        <w:tc>
          <w:tcPr>
            <w:tcW w:w="2552" w:type="dxa"/>
          </w:tcPr>
          <w:p w14:paraId="0854FCCA" w14:textId="77777777" w:rsidR="00EE67CB" w:rsidRPr="00B90BCF" w:rsidRDefault="00EE67CB" w:rsidP="00F01EE1">
            <w:pPr>
              <w:pStyle w:val="TableText"/>
              <w:keepNext/>
              <w:ind w:right="113"/>
            </w:pPr>
            <w:r>
              <w:lastRenderedPageBreak/>
              <w:t xml:space="preserve">Term of </w:t>
            </w:r>
            <w:r w:rsidR="00F01EE1">
              <w:t>l</w:t>
            </w:r>
            <w:r>
              <w:t>icence</w:t>
            </w:r>
          </w:p>
        </w:tc>
        <w:tc>
          <w:tcPr>
            <w:tcW w:w="5528" w:type="dxa"/>
          </w:tcPr>
          <w:p w14:paraId="3F727F8A" w14:textId="77777777" w:rsidR="00A25A47" w:rsidRDefault="00EE67CB" w:rsidP="00F01EE1">
            <w:pPr>
              <w:pStyle w:val="TableText"/>
              <w:keepNext/>
            </w:pPr>
            <w:r>
              <w:t>The licence is for a maximum term of three years.</w:t>
            </w:r>
          </w:p>
          <w:p w14:paraId="2693A6C7" w14:textId="77777777" w:rsidR="00EE67CB" w:rsidRDefault="00EE67CB" w:rsidP="00F01EE1">
            <w:pPr>
              <w:pStyle w:val="TableText"/>
              <w:keepNext/>
            </w:pPr>
            <w:r>
              <w:t>This term may be shorter at the discretion of the Director-General.</w:t>
            </w:r>
          </w:p>
        </w:tc>
      </w:tr>
      <w:tr w:rsidR="00EE67CB" w:rsidRPr="00CE504D" w14:paraId="07E23724" w14:textId="77777777" w:rsidTr="005739EE">
        <w:trPr>
          <w:cantSplit/>
        </w:trPr>
        <w:tc>
          <w:tcPr>
            <w:tcW w:w="2552" w:type="dxa"/>
          </w:tcPr>
          <w:p w14:paraId="725F757F" w14:textId="77777777" w:rsidR="00EE67CB" w:rsidRPr="00B90BCF" w:rsidRDefault="00F01EE1" w:rsidP="005739EE">
            <w:pPr>
              <w:pStyle w:val="TableText"/>
              <w:ind w:right="113"/>
            </w:pPr>
            <w:r>
              <w:t>Worker</w:t>
            </w:r>
          </w:p>
        </w:tc>
        <w:tc>
          <w:tcPr>
            <w:tcW w:w="5528" w:type="dxa"/>
          </w:tcPr>
          <w:p w14:paraId="532B8F1C" w14:textId="77777777" w:rsidR="00A25A47" w:rsidRPr="00F01EE1" w:rsidRDefault="00EE67CB" w:rsidP="005739EE">
            <w:pPr>
              <w:pStyle w:val="TableText"/>
              <w:rPr>
                <w:szCs w:val="18"/>
              </w:rPr>
            </w:pPr>
            <w:r w:rsidRPr="00F01EE1">
              <w:rPr>
                <w:szCs w:val="18"/>
              </w:rPr>
              <w:t>A person who carries out work in any capacity for a drug checking service provider, including work as:</w:t>
            </w:r>
          </w:p>
          <w:p w14:paraId="491DF652" w14:textId="77777777" w:rsidR="00EE67CB" w:rsidRPr="00F01EE1" w:rsidRDefault="00EE67CB" w:rsidP="005D377F">
            <w:pPr>
              <w:pStyle w:val="Letter"/>
              <w:numPr>
                <w:ilvl w:val="4"/>
                <w:numId w:val="39"/>
              </w:numPr>
              <w:spacing w:before="60" w:after="60"/>
              <w:ind w:left="284" w:hanging="284"/>
              <w:rPr>
                <w:sz w:val="18"/>
                <w:szCs w:val="18"/>
              </w:rPr>
            </w:pPr>
            <w:r w:rsidRPr="00F01EE1">
              <w:rPr>
                <w:sz w:val="18"/>
                <w:szCs w:val="18"/>
              </w:rPr>
              <w:t>an employee</w:t>
            </w:r>
          </w:p>
          <w:p w14:paraId="1D7F76C4" w14:textId="77777777" w:rsidR="00EE67CB" w:rsidRPr="00F01EE1" w:rsidRDefault="00EE67CB" w:rsidP="00F01EE1">
            <w:pPr>
              <w:pStyle w:val="Letter"/>
              <w:spacing w:before="60" w:after="60"/>
              <w:ind w:left="284" w:hanging="284"/>
              <w:rPr>
                <w:sz w:val="18"/>
                <w:szCs w:val="18"/>
              </w:rPr>
            </w:pPr>
            <w:r w:rsidRPr="00F01EE1">
              <w:rPr>
                <w:sz w:val="18"/>
                <w:szCs w:val="18"/>
              </w:rPr>
              <w:t>a contractor or subcontractor</w:t>
            </w:r>
          </w:p>
          <w:p w14:paraId="3DFC01EA" w14:textId="77777777" w:rsidR="00EE67CB" w:rsidRPr="00F01EE1" w:rsidRDefault="00EE67CB" w:rsidP="00F01EE1">
            <w:pPr>
              <w:pStyle w:val="Letter"/>
              <w:spacing w:before="60" w:after="60"/>
              <w:ind w:left="284" w:hanging="284"/>
              <w:rPr>
                <w:sz w:val="18"/>
                <w:szCs w:val="18"/>
              </w:rPr>
            </w:pPr>
            <w:r w:rsidRPr="00F01EE1">
              <w:rPr>
                <w:sz w:val="18"/>
                <w:szCs w:val="18"/>
              </w:rPr>
              <w:t>a volunteer (a person who carries out work on a voluntary basis, whether or not they receive out-of-pocket expenses).</w:t>
            </w:r>
          </w:p>
        </w:tc>
      </w:tr>
    </w:tbl>
    <w:p w14:paraId="0C6A1E59" w14:textId="77777777" w:rsidR="00EE67CB" w:rsidRDefault="00EE67CB" w:rsidP="00EE67CB"/>
    <w:p w14:paraId="5E1AEDA2" w14:textId="77777777" w:rsidR="00EE67CB" w:rsidRPr="00FB1622" w:rsidRDefault="00EE67CB" w:rsidP="009B3E0F">
      <w:pPr>
        <w:pStyle w:val="Heading1"/>
      </w:pPr>
      <w:bookmarkStart w:id="8" w:name="_Toc98861447"/>
      <w:bookmarkStart w:id="9" w:name="_Toc99377692"/>
      <w:r w:rsidRPr="00FB1622">
        <w:lastRenderedPageBreak/>
        <w:t xml:space="preserve">General </w:t>
      </w:r>
      <w:r>
        <w:t>a</w:t>
      </w:r>
      <w:r w:rsidRPr="00FB1622">
        <w:t xml:space="preserve">pplication </w:t>
      </w:r>
      <w:r>
        <w:t>i</w:t>
      </w:r>
      <w:r w:rsidRPr="00FB1622">
        <w:t>nformation</w:t>
      </w:r>
      <w:bookmarkEnd w:id="8"/>
      <w:bookmarkEnd w:id="9"/>
    </w:p>
    <w:p w14:paraId="4A1B4D9F" w14:textId="77777777" w:rsidR="00EE67CB" w:rsidRDefault="00EE67CB" w:rsidP="00B903EE">
      <w:r>
        <w:t>Organisations or individuals may apply for licensing if they consider they meet the requirements of the relevant Acts, their regulations and the suitability requirements outlined in this handbook.</w:t>
      </w:r>
    </w:p>
    <w:p w14:paraId="147DAA93" w14:textId="77777777" w:rsidR="00B903EE" w:rsidRDefault="00B903EE" w:rsidP="00B903EE"/>
    <w:p w14:paraId="34058CC4" w14:textId="77777777" w:rsidR="00EE67CB" w:rsidRDefault="00EE67CB" w:rsidP="00B903EE">
      <w:r>
        <w:t xml:space="preserve">Applicants must demonstrate how they meet (or intend to meet) the functions of a drug checking service provider as specified in the </w:t>
      </w:r>
      <w:proofErr w:type="spellStart"/>
      <w:r>
        <w:t>MoDA</w:t>
      </w:r>
      <w:proofErr w:type="spellEnd"/>
      <w:r>
        <w:t>.</w:t>
      </w:r>
    </w:p>
    <w:p w14:paraId="53F5F9FE" w14:textId="77777777" w:rsidR="00B903EE" w:rsidRDefault="00B903EE" w:rsidP="00B903EE"/>
    <w:p w14:paraId="1E84675B" w14:textId="77777777" w:rsidR="00EE67CB" w:rsidRDefault="00EE67CB" w:rsidP="009B3E0F">
      <w:pPr>
        <w:pStyle w:val="Heading2"/>
      </w:pPr>
      <w:bookmarkStart w:id="10" w:name="_Toc99377693"/>
      <w:r>
        <w:t>Applying for a licence</w:t>
      </w:r>
      <w:bookmarkEnd w:id="10"/>
    </w:p>
    <w:p w14:paraId="587DDEFB" w14:textId="77777777" w:rsidR="00A25A47" w:rsidRDefault="00EE67CB" w:rsidP="00B903EE">
      <w:r>
        <w:t xml:space="preserve">Download the Drug Checking licensing application form available on the Ministry of Health drug checking webpage under </w:t>
      </w:r>
      <w:r w:rsidR="00A25A47">
        <w:t>‘</w:t>
      </w:r>
      <w:r>
        <w:t>published documents</w:t>
      </w:r>
      <w:r w:rsidR="00A25A47">
        <w:t>’</w:t>
      </w:r>
      <w:r>
        <w:t xml:space="preserve">, complete this and submit it with supporting documentation to </w:t>
      </w:r>
      <w:hyperlink r:id="rId21" w:history="1">
        <w:r w:rsidRPr="00861D04">
          <w:rPr>
            <w:rStyle w:val="Hyperlink"/>
            <w:rFonts w:eastAsia="MS Gothic"/>
          </w:rPr>
          <w:t>drugcheckingadmin@health.govt.nz</w:t>
        </w:r>
      </w:hyperlink>
      <w:r>
        <w:t>.</w:t>
      </w:r>
    </w:p>
    <w:p w14:paraId="6FE0239D" w14:textId="77777777" w:rsidR="00B903EE" w:rsidRDefault="00B903EE" w:rsidP="00B903EE"/>
    <w:p w14:paraId="04C3357A" w14:textId="77777777" w:rsidR="00EE67CB" w:rsidRDefault="00EE67CB" w:rsidP="00B903EE">
      <w:r>
        <w:t>There are no application fees.</w:t>
      </w:r>
    </w:p>
    <w:p w14:paraId="4FE72B1D" w14:textId="77777777" w:rsidR="00B903EE" w:rsidRDefault="00B903EE" w:rsidP="00B903EE"/>
    <w:p w14:paraId="726DCE4D" w14:textId="77777777" w:rsidR="00EE67CB" w:rsidRDefault="00EE67CB" w:rsidP="009B3E0F">
      <w:pPr>
        <w:pStyle w:val="Heading2"/>
      </w:pPr>
      <w:bookmarkStart w:id="11" w:name="_Toc99377694"/>
      <w:r>
        <w:t>P</w:t>
      </w:r>
      <w:r w:rsidRPr="001D6026">
        <w:t>enalties for breaching a licence or providing drug checking services without a licence</w:t>
      </w:r>
      <w:bookmarkEnd w:id="11"/>
    </w:p>
    <w:p w14:paraId="799046D9" w14:textId="77777777" w:rsidR="00EE67CB" w:rsidRPr="0058361B" w:rsidRDefault="00EE67CB" w:rsidP="00B903EE">
      <w:r w:rsidRPr="0058361B">
        <w:t>If there is a breach of any terms or condition of licence, the offender is liable for a fine of up to $5,000, and the licence may be cancelled.</w:t>
      </w:r>
    </w:p>
    <w:p w14:paraId="2EFADBCF" w14:textId="77777777" w:rsidR="00B903EE" w:rsidRDefault="00B903EE" w:rsidP="00B903EE"/>
    <w:p w14:paraId="68CF5A1B" w14:textId="77777777" w:rsidR="00EE67CB" w:rsidRDefault="00EE67CB" w:rsidP="00B903EE">
      <w:r w:rsidRPr="0058361B">
        <w:t>Providing drug checking services without a licence is an offence and the offender may incur a fine up to $20,000.</w:t>
      </w:r>
    </w:p>
    <w:p w14:paraId="75C0A9B4" w14:textId="77777777" w:rsidR="00B903EE" w:rsidRPr="001D6026" w:rsidRDefault="00B903EE" w:rsidP="00B903EE"/>
    <w:p w14:paraId="7B3B4DCE" w14:textId="77777777" w:rsidR="00EE67CB" w:rsidRPr="009502A5" w:rsidRDefault="00EE67CB" w:rsidP="009B3E0F">
      <w:pPr>
        <w:pStyle w:val="Heading2"/>
      </w:pPr>
      <w:bookmarkStart w:id="12" w:name="_Toc98861448"/>
      <w:bookmarkStart w:id="13" w:name="_Toc99377695"/>
      <w:r w:rsidRPr="009502A5">
        <w:lastRenderedPageBreak/>
        <w:t>Applicant background information</w:t>
      </w:r>
      <w:bookmarkEnd w:id="12"/>
      <w:bookmarkEnd w:id="13"/>
    </w:p>
    <w:p w14:paraId="2D24DBF0" w14:textId="77777777" w:rsidR="00EE67CB" w:rsidRDefault="00EE67CB" w:rsidP="00B903EE">
      <w:pPr>
        <w:keepNext/>
      </w:pPr>
      <w:r>
        <w:t>The Ministry requests certain information to obtain an</w:t>
      </w:r>
      <w:r w:rsidRPr="00496CB9">
        <w:t xml:space="preserve"> insight </w:t>
      </w:r>
      <w:r>
        <w:t>in</w:t>
      </w:r>
      <w:r w:rsidRPr="00496CB9">
        <w:t>to the applicant</w:t>
      </w:r>
      <w:r w:rsidR="00A25A47">
        <w:t>’</w:t>
      </w:r>
      <w:r>
        <w:t xml:space="preserve">s </w:t>
      </w:r>
      <w:r w:rsidRPr="00496CB9">
        <w:t xml:space="preserve">background, </w:t>
      </w:r>
      <w:r>
        <w:t xml:space="preserve">their </w:t>
      </w:r>
      <w:r w:rsidRPr="00496CB9">
        <w:t xml:space="preserve">reasons for wanting to be licensed as a drug checking </w:t>
      </w:r>
      <w:r>
        <w:t xml:space="preserve">service </w:t>
      </w:r>
      <w:r w:rsidRPr="00496CB9">
        <w:t xml:space="preserve">provider, </w:t>
      </w:r>
      <w:r>
        <w:t xml:space="preserve">their </w:t>
      </w:r>
      <w:r w:rsidRPr="00496CB9">
        <w:t xml:space="preserve">previous experience in </w:t>
      </w:r>
      <w:r>
        <w:t xml:space="preserve">harm reduction or </w:t>
      </w:r>
      <w:r w:rsidRPr="00496CB9">
        <w:t xml:space="preserve">drug checking services </w:t>
      </w:r>
      <w:r>
        <w:t>and</w:t>
      </w:r>
      <w:r w:rsidRPr="00496CB9">
        <w:t xml:space="preserve"> any other </w:t>
      </w:r>
      <w:r>
        <w:t xml:space="preserve">supporting </w:t>
      </w:r>
      <w:r w:rsidRPr="00496CB9">
        <w:t>information.</w:t>
      </w:r>
    </w:p>
    <w:p w14:paraId="7A1642A7" w14:textId="77777777" w:rsidR="00B903EE" w:rsidRDefault="00B903EE" w:rsidP="00B903EE">
      <w:pPr>
        <w:keepNext/>
      </w:pPr>
    </w:p>
    <w:p w14:paraId="4307F0E9" w14:textId="77777777" w:rsidR="00EE67CB" w:rsidRPr="00482614" w:rsidRDefault="00EE67CB" w:rsidP="00B903EE">
      <w:pPr>
        <w:pStyle w:val="Italics"/>
      </w:pPr>
      <w:r>
        <w:t>P</w:t>
      </w:r>
      <w:r w:rsidRPr="00482614">
        <w:t>rovide a summary (maximum 300 words) of background information</w:t>
      </w:r>
      <w:r>
        <w:t>,</w:t>
      </w:r>
      <w:r w:rsidRPr="00482614">
        <w:t xml:space="preserve"> including:</w:t>
      </w:r>
    </w:p>
    <w:p w14:paraId="22B1F862" w14:textId="77777777" w:rsidR="00EE67CB" w:rsidRPr="00482614" w:rsidRDefault="00EE67CB" w:rsidP="00B903EE">
      <w:pPr>
        <w:pStyle w:val="ItalicsBullet"/>
      </w:pPr>
      <w:r w:rsidRPr="00482614">
        <w:t>a general statement about the applicant</w:t>
      </w:r>
    </w:p>
    <w:p w14:paraId="209283FF" w14:textId="77777777" w:rsidR="00EE67CB" w:rsidRPr="00482614" w:rsidRDefault="00EE67CB" w:rsidP="00B903EE">
      <w:pPr>
        <w:pStyle w:val="ItalicsBullet"/>
      </w:pPr>
      <w:r w:rsidRPr="00482614">
        <w:t>previous drug checking experience or related work</w:t>
      </w:r>
    </w:p>
    <w:p w14:paraId="2FDE908D" w14:textId="77777777" w:rsidR="00EE67CB" w:rsidRDefault="00EE67CB" w:rsidP="00B903EE">
      <w:pPr>
        <w:pStyle w:val="ItalicsBullet"/>
      </w:pPr>
      <w:r w:rsidRPr="00482614">
        <w:t xml:space="preserve">why the applicant is applying to become a drug checking </w:t>
      </w:r>
      <w:r>
        <w:t xml:space="preserve">service </w:t>
      </w:r>
      <w:r w:rsidRPr="00482614">
        <w:t>provider.</w:t>
      </w:r>
    </w:p>
    <w:p w14:paraId="085C2C92" w14:textId="77777777" w:rsidR="00B903EE" w:rsidRPr="00482614" w:rsidRDefault="00B903EE" w:rsidP="00B903EE"/>
    <w:p w14:paraId="53268B1E" w14:textId="77777777" w:rsidR="00EE67CB" w:rsidRPr="007C761A" w:rsidRDefault="00EE67CB" w:rsidP="009B3E0F">
      <w:pPr>
        <w:pStyle w:val="Heading2"/>
      </w:pPr>
      <w:bookmarkStart w:id="14" w:name="_Toc98861449"/>
      <w:bookmarkStart w:id="15" w:name="_Toc99377696"/>
      <w:r w:rsidRPr="007C761A">
        <w:t>Conflict of interest of the entity (applicant organisation) and any responsible persons of the applicant</w:t>
      </w:r>
      <w:bookmarkEnd w:id="14"/>
      <w:bookmarkEnd w:id="15"/>
    </w:p>
    <w:p w14:paraId="08B3F2F1" w14:textId="77777777" w:rsidR="00A25A47" w:rsidRDefault="00EE67CB" w:rsidP="00B903EE">
      <w:r w:rsidRPr="00825A59">
        <w:t>A conflict of interest arises when</w:t>
      </w:r>
      <w:r>
        <w:t xml:space="preserve"> something that is </w:t>
      </w:r>
      <w:r w:rsidRPr="00825A59">
        <w:t xml:space="preserve">in </w:t>
      </w:r>
      <w:r>
        <w:t xml:space="preserve">one </w:t>
      </w:r>
      <w:r w:rsidRPr="00825A59">
        <w:t>person</w:t>
      </w:r>
      <w:r w:rsidR="00A25A47">
        <w:t>’</w:t>
      </w:r>
      <w:r w:rsidRPr="00825A59">
        <w:t xml:space="preserve">s </w:t>
      </w:r>
      <w:r>
        <w:t>(</w:t>
      </w:r>
      <w:r w:rsidRPr="00825A59">
        <w:t>or organisation</w:t>
      </w:r>
      <w:r w:rsidR="00A25A47">
        <w:t>’</w:t>
      </w:r>
      <w:r w:rsidRPr="00825A59">
        <w:t>s</w:t>
      </w:r>
      <w:r>
        <w:t>)</w:t>
      </w:r>
      <w:r w:rsidRPr="00825A59">
        <w:t xml:space="preserve"> best interest</w:t>
      </w:r>
      <w:r>
        <w:t>s</w:t>
      </w:r>
      <w:r w:rsidRPr="00825A59">
        <w:t xml:space="preserve"> is not in the best interest</w:t>
      </w:r>
      <w:r>
        <w:t>s</w:t>
      </w:r>
      <w:r w:rsidRPr="00825A59">
        <w:t xml:space="preserve"> of another</w:t>
      </w:r>
      <w:r>
        <w:t>.</w:t>
      </w:r>
      <w:r w:rsidRPr="004B4F9E">
        <w:t xml:space="preserve"> </w:t>
      </w:r>
      <w:r w:rsidRPr="00000DDD">
        <w:t>Conflict of interest may be actual or perceived.</w:t>
      </w:r>
    </w:p>
    <w:p w14:paraId="7A7BB062" w14:textId="77777777" w:rsidR="00B903EE" w:rsidRDefault="00B903EE" w:rsidP="00B903EE"/>
    <w:p w14:paraId="762A9F93" w14:textId="77777777" w:rsidR="00EE67CB" w:rsidRDefault="00EE67CB" w:rsidP="00B903EE">
      <w:r w:rsidRPr="00000DDD">
        <w:t xml:space="preserve">It is preferable to declare </w:t>
      </w:r>
      <w:r>
        <w:t xml:space="preserve">potential </w:t>
      </w:r>
      <w:r w:rsidRPr="00000DDD">
        <w:t>conflicts of interest</w:t>
      </w:r>
      <w:r>
        <w:t>,</w:t>
      </w:r>
      <w:r w:rsidRPr="00000DDD">
        <w:t xml:space="preserve"> to ensure </w:t>
      </w:r>
      <w:r>
        <w:t xml:space="preserve">they can be </w:t>
      </w:r>
      <w:r w:rsidRPr="00000DDD">
        <w:t>manage</w:t>
      </w:r>
      <w:r>
        <w:t>d</w:t>
      </w:r>
      <w:r w:rsidRPr="00000DDD">
        <w:t xml:space="preserve"> </w:t>
      </w:r>
      <w:r>
        <w:t>if necessary.</w:t>
      </w:r>
    </w:p>
    <w:p w14:paraId="5C38D3E5" w14:textId="77777777" w:rsidR="00B903EE" w:rsidRDefault="00B903EE" w:rsidP="00B903EE"/>
    <w:p w14:paraId="0B25DE06" w14:textId="77777777" w:rsidR="00A25A47" w:rsidRDefault="00EE67CB" w:rsidP="00B903EE">
      <w:r>
        <w:t xml:space="preserve">In the drug checking context, an example of a conflict of interest is </w:t>
      </w:r>
      <w:r w:rsidRPr="00825A59">
        <w:t>a financial interest in a drug-related service or</w:t>
      </w:r>
      <w:r>
        <w:t xml:space="preserve"> providing a service that promotes an abstinence-only approach to drug usage</w:t>
      </w:r>
      <w:r w:rsidRPr="00000DDD">
        <w:t>.</w:t>
      </w:r>
    </w:p>
    <w:p w14:paraId="46C339E3" w14:textId="77777777" w:rsidR="00B903EE" w:rsidRDefault="00B903EE" w:rsidP="00B903EE"/>
    <w:p w14:paraId="4A908BA9" w14:textId="77777777" w:rsidR="00A25A47" w:rsidRDefault="00EE67CB" w:rsidP="00B903EE">
      <w:r>
        <w:t>The Ministry directly asks applicants about potential conflicts of interest, but it also seeks broader information on o</w:t>
      </w:r>
      <w:r w:rsidRPr="00825A59">
        <w:t xml:space="preserve">ther activities </w:t>
      </w:r>
      <w:r>
        <w:t xml:space="preserve">an applicant </w:t>
      </w:r>
      <w:r w:rsidRPr="00825A59">
        <w:t>undertake</w:t>
      </w:r>
      <w:r>
        <w:t xml:space="preserve">s; this will help </w:t>
      </w:r>
      <w:r w:rsidRPr="00825A59">
        <w:t xml:space="preserve">to determine </w:t>
      </w:r>
      <w:r>
        <w:t xml:space="preserve">further potential </w:t>
      </w:r>
      <w:r w:rsidRPr="00825A59">
        <w:t xml:space="preserve">conflicts of interest, </w:t>
      </w:r>
      <w:r>
        <w:t>as well as the suitability of the applicant as a licensed provider.</w:t>
      </w:r>
    </w:p>
    <w:p w14:paraId="264AB633" w14:textId="77777777" w:rsidR="00B903EE" w:rsidRDefault="00B903EE" w:rsidP="00B903EE"/>
    <w:p w14:paraId="1B3C9A45" w14:textId="77777777" w:rsidR="00A25A47" w:rsidRDefault="00EE67CB" w:rsidP="00B903EE">
      <w:pPr>
        <w:pStyle w:val="Italics"/>
      </w:pPr>
      <w:r w:rsidRPr="006370C9">
        <w:t xml:space="preserve">If the applicant is an entity, outline any activities (other than drug checking) that </w:t>
      </w:r>
      <w:r>
        <w:t xml:space="preserve">it </w:t>
      </w:r>
      <w:r w:rsidRPr="006370C9">
        <w:t xml:space="preserve">will </w:t>
      </w:r>
      <w:r>
        <w:t>carry out</w:t>
      </w:r>
      <w:r w:rsidRPr="006370C9">
        <w:t xml:space="preserve">, or </w:t>
      </w:r>
      <w:r>
        <w:t xml:space="preserve">is </w:t>
      </w:r>
      <w:r w:rsidRPr="006370C9">
        <w:t>likely to carr</w:t>
      </w:r>
      <w:r>
        <w:t>y</w:t>
      </w:r>
      <w:r w:rsidRPr="006370C9">
        <w:t xml:space="preserve"> out</w:t>
      </w:r>
      <w:r>
        <w:t xml:space="preserve">, </w:t>
      </w:r>
      <w:r w:rsidRPr="006370C9">
        <w:t>during the term of the licence.</w:t>
      </w:r>
    </w:p>
    <w:p w14:paraId="7EF71770" w14:textId="77777777" w:rsidR="00B903EE" w:rsidRDefault="00B903EE" w:rsidP="00B903EE">
      <w:pPr>
        <w:pStyle w:val="Italics"/>
      </w:pPr>
    </w:p>
    <w:p w14:paraId="684B23BD" w14:textId="77777777" w:rsidR="00EE67CB" w:rsidRDefault="00EE67CB" w:rsidP="00B903EE">
      <w:pPr>
        <w:pStyle w:val="Italics"/>
      </w:pPr>
      <w:r>
        <w:t>S</w:t>
      </w:r>
      <w:r w:rsidRPr="006370C9">
        <w:t xml:space="preserve">tate any potential conflict of interest the applicant or any responsible person </w:t>
      </w:r>
      <w:r>
        <w:t xml:space="preserve">may have </w:t>
      </w:r>
      <w:r w:rsidRPr="006370C9">
        <w:t>in providing drug checking services.</w:t>
      </w:r>
    </w:p>
    <w:p w14:paraId="25A6F3D6" w14:textId="77777777" w:rsidR="00B903EE" w:rsidRPr="006370C9" w:rsidRDefault="00B903EE" w:rsidP="00B903EE"/>
    <w:p w14:paraId="10E51AFB" w14:textId="77777777" w:rsidR="00EE67CB" w:rsidRPr="000F38A2" w:rsidRDefault="00EE67CB" w:rsidP="009B3E0F">
      <w:pPr>
        <w:pStyle w:val="Heading1"/>
      </w:pPr>
      <w:bookmarkStart w:id="16" w:name="_Toc98861450"/>
      <w:bookmarkStart w:id="17" w:name="_Toc99377697"/>
      <w:r w:rsidRPr="000F38A2">
        <w:lastRenderedPageBreak/>
        <w:t>Applicant suitability</w:t>
      </w:r>
      <w:bookmarkEnd w:id="16"/>
      <w:bookmarkEnd w:id="17"/>
    </w:p>
    <w:p w14:paraId="4048D88A" w14:textId="77777777" w:rsidR="00EE67CB" w:rsidRPr="009502A5" w:rsidRDefault="00EE67CB" w:rsidP="009B3E0F">
      <w:pPr>
        <w:pStyle w:val="Heading2"/>
      </w:pPr>
      <w:bookmarkStart w:id="18" w:name="_Toc98861451"/>
      <w:bookmarkStart w:id="19" w:name="_Toc99377698"/>
      <w:r w:rsidRPr="009502A5">
        <w:t>Responsible persons</w:t>
      </w:r>
      <w:bookmarkEnd w:id="18"/>
      <w:bookmarkEnd w:id="19"/>
    </w:p>
    <w:p w14:paraId="45A7F94E" w14:textId="77777777" w:rsidR="00A25A47" w:rsidRDefault="00EE67CB" w:rsidP="00B903EE">
      <w:pPr>
        <w:rPr>
          <w:rFonts w:cs="Segoe UI"/>
        </w:rPr>
      </w:pPr>
      <w:r w:rsidRPr="00B903EE">
        <w:t>For the purposes of the application to be licensed as a drug checking service provider,</w:t>
      </w:r>
      <w:r w:rsidRPr="008F71AC">
        <w:rPr>
          <w:rFonts w:cs="Segoe UI"/>
        </w:rPr>
        <w:t xml:space="preserve"> a responsible person includes </w:t>
      </w:r>
      <w:r w:rsidRPr="008E69D4">
        <w:rPr>
          <w:rFonts w:cs="Segoe UI"/>
        </w:rPr>
        <w:t xml:space="preserve">a director, </w:t>
      </w:r>
      <w:proofErr w:type="gramStart"/>
      <w:r w:rsidRPr="008E69D4">
        <w:rPr>
          <w:rFonts w:cs="Segoe UI"/>
        </w:rPr>
        <w:t>partner</w:t>
      </w:r>
      <w:proofErr w:type="gramEnd"/>
      <w:r w:rsidRPr="008E69D4">
        <w:rPr>
          <w:rFonts w:cs="Segoe UI"/>
        </w:rPr>
        <w:t xml:space="preserve"> or trustee of the </w:t>
      </w:r>
      <w:r>
        <w:rPr>
          <w:rFonts w:cs="Segoe UI"/>
        </w:rPr>
        <w:t xml:space="preserve">applicant </w:t>
      </w:r>
      <w:r w:rsidRPr="008E69D4">
        <w:rPr>
          <w:rFonts w:cs="Segoe UI"/>
        </w:rPr>
        <w:t>entity</w:t>
      </w:r>
      <w:r>
        <w:rPr>
          <w:rFonts w:cs="Segoe UI"/>
        </w:rPr>
        <w:t>.</w:t>
      </w:r>
    </w:p>
    <w:p w14:paraId="5813F0A3" w14:textId="77777777" w:rsidR="00B903EE" w:rsidRDefault="00B903EE" w:rsidP="00B903EE">
      <w:pPr>
        <w:rPr>
          <w:rFonts w:cs="Segoe UI"/>
        </w:rPr>
      </w:pPr>
    </w:p>
    <w:p w14:paraId="10038C1D" w14:textId="77777777" w:rsidR="00EE67CB" w:rsidRDefault="00EE67CB" w:rsidP="00B903EE">
      <w:r w:rsidRPr="000D7CAF">
        <w:rPr>
          <w:rFonts w:cs="Segoe UI"/>
        </w:rPr>
        <w:t>If the e</w:t>
      </w:r>
      <w:r>
        <w:t>ntity does not have directors, partners or trustees, a person who acts in relation to the entity in the same or a similar way as a director, partner or trustee is a responsible person.</w:t>
      </w:r>
    </w:p>
    <w:p w14:paraId="7322E16A" w14:textId="77777777" w:rsidR="00B903EE" w:rsidRDefault="00B903EE" w:rsidP="00B903EE"/>
    <w:p w14:paraId="1C2E9825" w14:textId="77777777" w:rsidR="00EE67CB" w:rsidRDefault="00EE67CB" w:rsidP="00B903EE">
      <w:r w:rsidRPr="00227B56">
        <w:t>If the applicant is an individual person</w:t>
      </w:r>
      <w:r>
        <w:t>,</w:t>
      </w:r>
      <w:r w:rsidRPr="00227B56">
        <w:t xml:space="preserve"> </w:t>
      </w:r>
      <w:r>
        <w:t xml:space="preserve">that person is the responsible </w:t>
      </w:r>
      <w:r w:rsidRPr="00227B56">
        <w:t>person.</w:t>
      </w:r>
    </w:p>
    <w:p w14:paraId="428F8800" w14:textId="77777777" w:rsidR="00B903EE" w:rsidRDefault="00B903EE" w:rsidP="00B903EE"/>
    <w:p w14:paraId="1761498F" w14:textId="77777777" w:rsidR="00EE67CB" w:rsidRPr="006370C9" w:rsidRDefault="00EE67CB" w:rsidP="00B903EE">
      <w:pPr>
        <w:pStyle w:val="Italics"/>
      </w:pPr>
      <w:r>
        <w:t xml:space="preserve">Provide </w:t>
      </w:r>
      <w:r w:rsidRPr="006370C9">
        <w:t>certified identification documentation</w:t>
      </w:r>
      <w:r>
        <w:t xml:space="preserve"> for each responsible person</w:t>
      </w:r>
      <w:r w:rsidRPr="006370C9">
        <w:t xml:space="preserve"> </w:t>
      </w:r>
      <w:r>
        <w:t>that comprises at least one of the following</w:t>
      </w:r>
      <w:r w:rsidRPr="006370C9">
        <w:t>:</w:t>
      </w:r>
    </w:p>
    <w:p w14:paraId="0A4FB976" w14:textId="77777777" w:rsidR="00EE67CB" w:rsidRPr="006370C9" w:rsidRDefault="00EE67CB" w:rsidP="00B903EE">
      <w:pPr>
        <w:pStyle w:val="ItalicsBullet"/>
      </w:pPr>
      <w:r w:rsidRPr="006370C9">
        <w:t>N</w:t>
      </w:r>
      <w:r>
        <w:t xml:space="preserve">ew </w:t>
      </w:r>
      <w:r w:rsidRPr="006370C9">
        <w:t>Z</w:t>
      </w:r>
      <w:r>
        <w:t>ealand</w:t>
      </w:r>
      <w:r w:rsidRPr="006370C9">
        <w:t xml:space="preserve"> </w:t>
      </w:r>
      <w:r>
        <w:t>d</w:t>
      </w:r>
      <w:r w:rsidRPr="006370C9">
        <w:t>river</w:t>
      </w:r>
      <w:r w:rsidR="00A25A47">
        <w:t>’</w:t>
      </w:r>
      <w:r w:rsidRPr="006370C9">
        <w:t xml:space="preserve">s </w:t>
      </w:r>
      <w:r>
        <w:t>l</w:t>
      </w:r>
      <w:r w:rsidRPr="006370C9">
        <w:t>icence</w:t>
      </w:r>
    </w:p>
    <w:p w14:paraId="2F8A946C" w14:textId="77777777" w:rsidR="00EE67CB" w:rsidRPr="006370C9" w:rsidRDefault="00EE67CB" w:rsidP="00B903EE">
      <w:pPr>
        <w:pStyle w:val="ItalicsBullet"/>
      </w:pPr>
      <w:r w:rsidRPr="006370C9">
        <w:t>Passport</w:t>
      </w:r>
    </w:p>
    <w:p w14:paraId="726CC1AE" w14:textId="77777777" w:rsidR="00EE67CB" w:rsidRPr="006370C9" w:rsidRDefault="00EE67CB" w:rsidP="00B903EE">
      <w:pPr>
        <w:pStyle w:val="ItalicsBullet"/>
      </w:pPr>
      <w:r w:rsidRPr="006370C9">
        <w:t xml:space="preserve">Birth </w:t>
      </w:r>
      <w:r>
        <w:t>c</w:t>
      </w:r>
      <w:r w:rsidRPr="006370C9">
        <w:t>ertificate</w:t>
      </w:r>
      <w:r>
        <w:t>.</w:t>
      </w:r>
    </w:p>
    <w:p w14:paraId="514F373B" w14:textId="77777777" w:rsidR="00B903EE" w:rsidRDefault="00B903EE" w:rsidP="00B903EE">
      <w:pPr>
        <w:pStyle w:val="Italics"/>
      </w:pPr>
    </w:p>
    <w:p w14:paraId="6706B88F" w14:textId="77777777" w:rsidR="00EE67CB" w:rsidRDefault="00EE67CB" w:rsidP="00B903EE">
      <w:pPr>
        <w:pStyle w:val="Italics"/>
      </w:pPr>
      <w:r>
        <w:t>I</w:t>
      </w:r>
      <w:r w:rsidRPr="006370C9">
        <w:t xml:space="preserve">nclude any other names </w:t>
      </w:r>
      <w:r>
        <w:t xml:space="preserve">the </w:t>
      </w:r>
      <w:r w:rsidRPr="006370C9">
        <w:t>responsible person(s) has previously been known by.</w:t>
      </w:r>
    </w:p>
    <w:p w14:paraId="07E335E5" w14:textId="77777777" w:rsidR="00B903EE" w:rsidRPr="006370C9" w:rsidRDefault="00B903EE" w:rsidP="00B903EE"/>
    <w:p w14:paraId="329753E8" w14:textId="77777777" w:rsidR="00EE67CB" w:rsidRPr="009502A5" w:rsidRDefault="00EE67CB" w:rsidP="009B3E0F">
      <w:pPr>
        <w:pStyle w:val="Heading2"/>
      </w:pPr>
      <w:bookmarkStart w:id="20" w:name="_Toc98861452"/>
      <w:bookmarkStart w:id="21" w:name="_Toc99377699"/>
      <w:r w:rsidRPr="009502A5">
        <w:t>Suitability of the applicant</w:t>
      </w:r>
      <w:bookmarkEnd w:id="20"/>
      <w:bookmarkEnd w:id="21"/>
    </w:p>
    <w:p w14:paraId="727AAA38" w14:textId="77777777" w:rsidR="00EE67CB" w:rsidRDefault="00EE67CB" w:rsidP="00E03645">
      <w:r w:rsidRPr="0093253B">
        <w:t xml:space="preserve">The legislation requires the Director-General to be satisfied as to the suitability of the applicant and any responsible person of the applicant. </w:t>
      </w:r>
      <w:r>
        <w:t>A</w:t>
      </w:r>
      <w:r w:rsidRPr="0093253B">
        <w:t>n applicant or any responsible person will be suitable if the Director-General is satisfied that</w:t>
      </w:r>
      <w:r>
        <w:t>:</w:t>
      </w:r>
    </w:p>
    <w:p w14:paraId="66E1165C" w14:textId="77777777" w:rsidR="00A25A47" w:rsidRDefault="00EE67CB" w:rsidP="00E03645">
      <w:pPr>
        <w:pStyle w:val="Bullet"/>
      </w:pPr>
      <w:r w:rsidRPr="0093253B">
        <w:t xml:space="preserve">the applicant will comply with </w:t>
      </w:r>
      <w:r>
        <w:t xml:space="preserve">the </w:t>
      </w:r>
      <w:proofErr w:type="spellStart"/>
      <w:r w:rsidRPr="0093253B">
        <w:t>M</w:t>
      </w:r>
      <w:r>
        <w:t>oDA</w:t>
      </w:r>
      <w:proofErr w:type="spellEnd"/>
      <w:r w:rsidRPr="0093253B">
        <w:t>, its regulations and the applicant</w:t>
      </w:r>
      <w:r w:rsidR="00A25A47">
        <w:t>’</w:t>
      </w:r>
      <w:r w:rsidRPr="0093253B">
        <w:t>s licence conditions, and</w:t>
      </w:r>
    </w:p>
    <w:p w14:paraId="6423B68A" w14:textId="77777777" w:rsidR="00EE67CB" w:rsidRDefault="00EE67CB" w:rsidP="00E03645">
      <w:pPr>
        <w:pStyle w:val="Bullet"/>
      </w:pPr>
      <w:r w:rsidRPr="0093253B">
        <w:t>there is no other reason why the applicant would not be suitable</w:t>
      </w:r>
      <w:r>
        <w:t xml:space="preserve"> (see below).</w:t>
      </w:r>
    </w:p>
    <w:p w14:paraId="491EB448" w14:textId="77777777" w:rsidR="00E03645" w:rsidRDefault="00E03645" w:rsidP="00E03645">
      <w:bookmarkStart w:id="22" w:name="_Hlk89349027"/>
    </w:p>
    <w:p w14:paraId="39F71A6E" w14:textId="77777777" w:rsidR="00A25A47" w:rsidRDefault="00EE67CB" w:rsidP="00E03645">
      <w:r>
        <w:t>T</w:t>
      </w:r>
      <w:r w:rsidRPr="00621473">
        <w:t xml:space="preserve">he licensing process </w:t>
      </w:r>
      <w:r>
        <w:t xml:space="preserve">assesses </w:t>
      </w:r>
      <w:r w:rsidRPr="00621473">
        <w:t xml:space="preserve">the suitability </w:t>
      </w:r>
      <w:r>
        <w:t>of the applicant and r</w:t>
      </w:r>
      <w:r w:rsidRPr="00621473">
        <w:t>esponsible persons.</w:t>
      </w:r>
    </w:p>
    <w:p w14:paraId="57BDB37E" w14:textId="77777777" w:rsidR="00E03645" w:rsidRDefault="00E03645" w:rsidP="00E03645"/>
    <w:p w14:paraId="239BD832" w14:textId="77777777" w:rsidR="00A25A47" w:rsidRDefault="00EE67CB" w:rsidP="00E03645">
      <w:r>
        <w:t>U</w:t>
      </w:r>
      <w:r w:rsidRPr="00621473">
        <w:t>nsuitability of a responsible person does not automatically mean that the applicant cannot be licen</w:t>
      </w:r>
      <w:r>
        <w:t>s</w:t>
      </w:r>
      <w:r w:rsidRPr="00621473">
        <w:t xml:space="preserve">ed. </w:t>
      </w:r>
      <w:r>
        <w:t xml:space="preserve">For example, the Ministry may still consider a particular </w:t>
      </w:r>
      <w:r w:rsidRPr="00621473">
        <w:t xml:space="preserve">applicant </w:t>
      </w:r>
      <w:r>
        <w:t xml:space="preserve">to </w:t>
      </w:r>
      <w:r w:rsidRPr="00621473">
        <w:t>be suitable</w:t>
      </w:r>
      <w:r>
        <w:t>, on the condition that</w:t>
      </w:r>
      <w:r w:rsidRPr="00621473">
        <w:t xml:space="preserve"> the unsuitable responsible person is not involved with drug checking.</w:t>
      </w:r>
    </w:p>
    <w:p w14:paraId="2CC1AD76" w14:textId="77777777" w:rsidR="00E03645" w:rsidRDefault="00E03645" w:rsidP="00E03645"/>
    <w:p w14:paraId="1D2863A8" w14:textId="77777777" w:rsidR="00A25A47" w:rsidRDefault="00EE67CB" w:rsidP="009B3E0F">
      <w:pPr>
        <w:pStyle w:val="Heading2"/>
      </w:pPr>
      <w:bookmarkStart w:id="23" w:name="_Toc98861453"/>
      <w:bookmarkStart w:id="24" w:name="_Toc99377700"/>
      <w:r w:rsidRPr="009502A5">
        <w:lastRenderedPageBreak/>
        <w:t>Convictions and non-compliance</w:t>
      </w:r>
      <w:bookmarkEnd w:id="23"/>
      <w:bookmarkEnd w:id="24"/>
    </w:p>
    <w:p w14:paraId="3183EB11" w14:textId="77777777" w:rsidR="00A25A47" w:rsidRDefault="00EE67CB" w:rsidP="00E03645">
      <w:r>
        <w:t>In determining suitability, t</w:t>
      </w:r>
      <w:r w:rsidRPr="0093253B">
        <w:t>he Director-General</w:t>
      </w:r>
      <w:r>
        <w:t xml:space="preserve"> </w:t>
      </w:r>
      <w:r w:rsidRPr="0093253B">
        <w:t xml:space="preserve">must consider any relevant convictions (as defined in the legislation) and any serious or repeated non-compliance with </w:t>
      </w:r>
      <w:r>
        <w:t xml:space="preserve">the </w:t>
      </w:r>
      <w:proofErr w:type="spellStart"/>
      <w:r>
        <w:t>MoDA</w:t>
      </w:r>
      <w:proofErr w:type="spellEnd"/>
      <w:r w:rsidRPr="0093253B">
        <w:t>.</w:t>
      </w:r>
    </w:p>
    <w:p w14:paraId="2CDDA625" w14:textId="77777777" w:rsidR="00E03645" w:rsidRDefault="00E03645" w:rsidP="00E03645"/>
    <w:p w14:paraId="4E3BB168" w14:textId="77777777" w:rsidR="00EE67CB" w:rsidRDefault="00EE67CB" w:rsidP="00E03645">
      <w:r>
        <w:t>T</w:t>
      </w:r>
      <w:r w:rsidRPr="007C533E">
        <w:t>he Minister of Health</w:t>
      </w:r>
      <w:r w:rsidR="00A25A47">
        <w:t>’</w:t>
      </w:r>
      <w:r>
        <w:t xml:space="preserve">s approval is required where an </w:t>
      </w:r>
      <w:bookmarkStart w:id="25" w:name="_Hlk88734613"/>
      <w:r w:rsidRPr="007C533E">
        <w:t>applicant, or any responsible person of the applicant</w:t>
      </w:r>
      <w:bookmarkEnd w:id="25"/>
      <w:r>
        <w:t>:</w:t>
      </w:r>
    </w:p>
    <w:p w14:paraId="6311C60F" w14:textId="77777777" w:rsidR="00A25A47" w:rsidRDefault="00EE67CB" w:rsidP="00E03645">
      <w:pPr>
        <w:pStyle w:val="Bullet"/>
      </w:pPr>
      <w:r w:rsidRPr="00083CBE">
        <w:t xml:space="preserve">has been convicted of an offence under the </w:t>
      </w:r>
      <w:proofErr w:type="spellStart"/>
      <w:r w:rsidRPr="00083CBE">
        <w:t>MoDA</w:t>
      </w:r>
      <w:proofErr w:type="spellEnd"/>
      <w:r w:rsidRPr="00083CBE">
        <w:t xml:space="preserve"> or its regulations, or</w:t>
      </w:r>
    </w:p>
    <w:p w14:paraId="3BE82124" w14:textId="77777777" w:rsidR="00A25A47" w:rsidRDefault="00EE67CB" w:rsidP="00E03645">
      <w:pPr>
        <w:pStyle w:val="Bullet"/>
      </w:pPr>
      <w:r w:rsidRPr="00083CBE">
        <w:t>has had a licence under that Act revoked due to non-compliance</w:t>
      </w:r>
      <w:r>
        <w:t xml:space="preserve"> or</w:t>
      </w:r>
    </w:p>
    <w:p w14:paraId="534C26F0" w14:textId="77777777" w:rsidR="00A25A47" w:rsidRDefault="00EE67CB" w:rsidP="00E03645">
      <w:pPr>
        <w:pStyle w:val="Bullet"/>
      </w:pPr>
      <w:r w:rsidRPr="007C533E">
        <w:t xml:space="preserve">was a responsible person for another entity </w:t>
      </w:r>
      <w:r>
        <w:t xml:space="preserve">that </w:t>
      </w:r>
      <w:r w:rsidRPr="007C533E">
        <w:t xml:space="preserve">has been convicted of a </w:t>
      </w:r>
      <w:proofErr w:type="spellStart"/>
      <w:r>
        <w:t>MoDA</w:t>
      </w:r>
      <w:proofErr w:type="spellEnd"/>
      <w:r>
        <w:t xml:space="preserve"> </w:t>
      </w:r>
      <w:r w:rsidRPr="007C533E">
        <w:t xml:space="preserve">offence or </w:t>
      </w:r>
      <w:r>
        <w:t xml:space="preserve">had </w:t>
      </w:r>
      <w:r w:rsidRPr="007C533E">
        <w:t>a licence revoked</w:t>
      </w:r>
      <w:r w:rsidRPr="00083CBE">
        <w:t>.</w:t>
      </w:r>
    </w:p>
    <w:p w14:paraId="2B7E9C41" w14:textId="77777777" w:rsidR="00E03645" w:rsidRDefault="00E03645" w:rsidP="00E03645"/>
    <w:p w14:paraId="333D4600" w14:textId="77777777" w:rsidR="00A25A47" w:rsidRDefault="00EE67CB" w:rsidP="009B3E0F">
      <w:pPr>
        <w:pStyle w:val="Heading2"/>
      </w:pPr>
      <w:bookmarkStart w:id="26" w:name="_Toc98861454"/>
      <w:bookmarkStart w:id="27" w:name="_Toc99377701"/>
      <w:r w:rsidRPr="009502A5">
        <w:t>Seriousness</w:t>
      </w:r>
      <w:bookmarkEnd w:id="26"/>
      <w:bookmarkEnd w:id="27"/>
    </w:p>
    <w:p w14:paraId="50B3466A" w14:textId="77777777" w:rsidR="00A25A47" w:rsidRDefault="00EE67CB" w:rsidP="00E03645">
      <w:r>
        <w:t xml:space="preserve">The Director-General will consider the </w:t>
      </w:r>
      <w:r w:rsidRPr="0093253B">
        <w:t>seriousness and relevance of the offending or non-compliance, and the amount of time which has elapsed</w:t>
      </w:r>
      <w:r>
        <w:t xml:space="preserve"> since it occurred, on </w:t>
      </w:r>
      <w:r w:rsidRPr="0039462B">
        <w:t>a case</w:t>
      </w:r>
      <w:r>
        <w:t>-</w:t>
      </w:r>
      <w:r w:rsidRPr="0039462B">
        <w:t>by-case basis.</w:t>
      </w:r>
    </w:p>
    <w:p w14:paraId="08A1373D" w14:textId="77777777" w:rsidR="00E03645" w:rsidRDefault="00E03645" w:rsidP="00E03645"/>
    <w:p w14:paraId="2BD0D3C3" w14:textId="77777777" w:rsidR="00A25A47" w:rsidRDefault="00EE67CB" w:rsidP="00E03645">
      <w:r>
        <w:t>The Director-General will determine the s</w:t>
      </w:r>
      <w:r w:rsidRPr="00671635">
        <w:t>eriousness of drug offences by consider</w:t>
      </w:r>
      <w:r>
        <w:t>ing</w:t>
      </w:r>
      <w:r w:rsidRPr="00671635">
        <w:t xml:space="preserve"> the following:</w:t>
      </w:r>
    </w:p>
    <w:p w14:paraId="0558A6F3" w14:textId="77777777" w:rsidR="00EE67CB" w:rsidRPr="00671635" w:rsidRDefault="00EE67CB" w:rsidP="00E03645">
      <w:pPr>
        <w:pStyle w:val="Bullet"/>
      </w:pPr>
      <w:r w:rsidRPr="00671635">
        <w:t>the usual justice system response to an offence</w:t>
      </w:r>
    </w:p>
    <w:p w14:paraId="35097A37" w14:textId="77777777" w:rsidR="00EE67CB" w:rsidRPr="00671635" w:rsidRDefault="00EE67CB" w:rsidP="00E03645">
      <w:pPr>
        <w:pStyle w:val="Bullet"/>
      </w:pPr>
      <w:r w:rsidRPr="00671635">
        <w:t>the likely impact of the offending on other people, and the scale of the likely impact</w:t>
      </w:r>
    </w:p>
    <w:p w14:paraId="47A263D3" w14:textId="77777777" w:rsidR="00A25A47" w:rsidRDefault="00EE67CB" w:rsidP="00E03645">
      <w:pPr>
        <w:pStyle w:val="Bullet"/>
      </w:pPr>
      <w:r w:rsidRPr="00671635">
        <w:t>the extent to which the offending calls into question the character or judgement of the offender.</w:t>
      </w:r>
    </w:p>
    <w:p w14:paraId="3BDC794F" w14:textId="77777777" w:rsidR="00E03645" w:rsidRDefault="00E03645" w:rsidP="00E03645"/>
    <w:p w14:paraId="14269582" w14:textId="77777777" w:rsidR="00A25A47" w:rsidRDefault="00EE67CB" w:rsidP="00E03645">
      <w:r>
        <w:t>The Director-General will determine the s</w:t>
      </w:r>
      <w:r w:rsidRPr="00671635">
        <w:t>eriousness of regulatory non-compliance by consider</w:t>
      </w:r>
      <w:r>
        <w:t>ing</w:t>
      </w:r>
      <w:r w:rsidRPr="00671635">
        <w:t xml:space="preserve"> the following:</w:t>
      </w:r>
    </w:p>
    <w:p w14:paraId="27424C7B" w14:textId="77777777" w:rsidR="00EE67CB" w:rsidRPr="006D6664" w:rsidRDefault="00EE67CB" w:rsidP="00E03645">
      <w:pPr>
        <w:pStyle w:val="Bullet"/>
      </w:pPr>
      <w:r w:rsidRPr="006D6664">
        <w:t>the actual and potential impact of the non-compliance</w:t>
      </w:r>
    </w:p>
    <w:p w14:paraId="357CE3A0" w14:textId="77777777" w:rsidR="00EE67CB" w:rsidRPr="006D6664" w:rsidRDefault="00EE67CB" w:rsidP="00E03645">
      <w:pPr>
        <w:pStyle w:val="Bullet"/>
      </w:pPr>
      <w:r w:rsidRPr="006D6664">
        <w:t xml:space="preserve">whether or not </w:t>
      </w:r>
      <w:r>
        <w:t xml:space="preserve">the non-compliance </w:t>
      </w:r>
      <w:r w:rsidRPr="006D6664">
        <w:t>was technical (</w:t>
      </w:r>
      <w:proofErr w:type="spellStart"/>
      <w:r w:rsidRPr="006D6664">
        <w:t>eg</w:t>
      </w:r>
      <w:proofErr w:type="spellEnd"/>
      <w:r w:rsidRPr="006D6664">
        <w:t>, providing information late or in the wrong format)</w:t>
      </w:r>
    </w:p>
    <w:p w14:paraId="13353BE8" w14:textId="77777777" w:rsidR="00A25A47" w:rsidRDefault="00EE67CB" w:rsidP="00E03645">
      <w:pPr>
        <w:pStyle w:val="Bullet"/>
      </w:pPr>
      <w:r w:rsidRPr="006D6664">
        <w:t xml:space="preserve">whether the relevant regulatory </w:t>
      </w:r>
      <w:r>
        <w:t>Ministry officials regard the non-compliance as serious</w:t>
      </w:r>
      <w:r w:rsidRPr="006D6664">
        <w:t>.</w:t>
      </w:r>
    </w:p>
    <w:p w14:paraId="7C47F165" w14:textId="77777777" w:rsidR="00E03645" w:rsidRDefault="00E03645" w:rsidP="00E03645"/>
    <w:p w14:paraId="6F049FC8" w14:textId="77777777" w:rsidR="00EE67CB" w:rsidRDefault="00EE67CB" w:rsidP="00E03645">
      <w:r>
        <w:t xml:space="preserve">See </w:t>
      </w:r>
      <w:r w:rsidR="00A25A47">
        <w:t>‘</w:t>
      </w:r>
      <w:r>
        <w:t>D</w:t>
      </w:r>
      <w:r w:rsidRPr="008F71AC">
        <w:t>efinition</w:t>
      </w:r>
      <w:r>
        <w:t>s</w:t>
      </w:r>
      <w:r w:rsidR="00A25A47">
        <w:t>’</w:t>
      </w:r>
      <w:r>
        <w:t xml:space="preserve"> </w:t>
      </w:r>
      <w:r w:rsidRPr="008F71AC">
        <w:t xml:space="preserve">for </w:t>
      </w:r>
      <w:r>
        <w:t>further information</w:t>
      </w:r>
      <w:r w:rsidRPr="008F71AC">
        <w:t>.</w:t>
      </w:r>
    </w:p>
    <w:p w14:paraId="1F72B1AC" w14:textId="77777777" w:rsidR="00E03645" w:rsidRPr="008F71AC" w:rsidRDefault="00E03645" w:rsidP="00E03645"/>
    <w:p w14:paraId="0E16CA43" w14:textId="77777777" w:rsidR="00A25A47" w:rsidRDefault="00EE67CB" w:rsidP="009B3E0F">
      <w:pPr>
        <w:pStyle w:val="Heading2"/>
      </w:pPr>
      <w:bookmarkStart w:id="28" w:name="_Toc98861455"/>
      <w:bookmarkStart w:id="29" w:name="_Toc99377702"/>
      <w:r w:rsidRPr="009502A5">
        <w:lastRenderedPageBreak/>
        <w:t>Criminal record checking</w:t>
      </w:r>
      <w:bookmarkEnd w:id="28"/>
      <w:bookmarkEnd w:id="29"/>
    </w:p>
    <w:p w14:paraId="1B5A175A" w14:textId="77777777" w:rsidR="00EE67CB" w:rsidRDefault="00EE67CB" w:rsidP="00E03645">
      <w:pPr>
        <w:keepNext/>
      </w:pPr>
      <w:r>
        <w:t xml:space="preserve">Each responsible person must provide a criminal record check, </w:t>
      </w:r>
      <w:r w:rsidRPr="007660F4">
        <w:t xml:space="preserve">dated no earlier than </w:t>
      </w:r>
      <w:r>
        <w:t xml:space="preserve">three </w:t>
      </w:r>
      <w:r w:rsidRPr="007660F4">
        <w:t xml:space="preserve">months before the </w:t>
      </w:r>
      <w:r>
        <w:t>application submission</w:t>
      </w:r>
      <w:r w:rsidRPr="007660F4">
        <w:t xml:space="preserve"> </w:t>
      </w:r>
      <w:r>
        <w:t>date</w:t>
      </w:r>
      <w:r w:rsidRPr="007660F4">
        <w:t>.</w:t>
      </w:r>
    </w:p>
    <w:p w14:paraId="6A3E9536" w14:textId="77777777" w:rsidR="00E03645" w:rsidRPr="009B334D" w:rsidRDefault="00E03645" w:rsidP="00E03645">
      <w:pPr>
        <w:keepNext/>
      </w:pPr>
    </w:p>
    <w:p w14:paraId="7DEF1753" w14:textId="77777777" w:rsidR="00A25A47" w:rsidRDefault="00EE67CB" w:rsidP="00E03645">
      <w:r>
        <w:t xml:space="preserve">You can </w:t>
      </w:r>
      <w:r w:rsidRPr="00D1042C">
        <w:t>apply</w:t>
      </w:r>
      <w:r>
        <w:t xml:space="preserve"> free of charge for</w:t>
      </w:r>
      <w:r w:rsidRPr="00D1042C">
        <w:t xml:space="preserve"> </w:t>
      </w:r>
      <w:r>
        <w:t xml:space="preserve">a </w:t>
      </w:r>
      <w:r w:rsidRPr="00D1042C">
        <w:t>criminal record check:</w:t>
      </w:r>
      <w:r>
        <w:t xml:space="preserve"> see</w:t>
      </w:r>
      <w:r w:rsidRPr="00D1042C">
        <w:t xml:space="preserve"> </w:t>
      </w:r>
      <w:hyperlink r:id="rId22" w:anchor="tips" w:history="1">
        <w:r w:rsidRPr="00D1042C">
          <w:rPr>
            <w:rStyle w:val="Hyperlink"/>
            <w:rFonts w:eastAsia="MS Gothic" w:cs="Segoe UI"/>
          </w:rPr>
          <w:t>https://www.justice.govt.nz/criminal-records/get-your-own/#tips</w:t>
        </w:r>
      </w:hyperlink>
      <w:r w:rsidR="00E03645" w:rsidRPr="00E03645">
        <w:rPr>
          <w:rFonts w:eastAsia="MS Gothic"/>
        </w:rPr>
        <w:t>.</w:t>
      </w:r>
    </w:p>
    <w:p w14:paraId="585EBBC5" w14:textId="77777777" w:rsidR="00E03645" w:rsidRDefault="00E03645" w:rsidP="00E03645"/>
    <w:p w14:paraId="45564EB5" w14:textId="77777777" w:rsidR="00A25A47" w:rsidRDefault="00EE67CB" w:rsidP="00E03645">
      <w:r>
        <w:t>Note that a</w:t>
      </w:r>
      <w:r w:rsidRPr="00D1042C">
        <w:t xml:space="preserve"> </w:t>
      </w:r>
      <w:r>
        <w:t>c</w:t>
      </w:r>
      <w:r w:rsidRPr="00D1042C">
        <w:t xml:space="preserve">riminal </w:t>
      </w:r>
      <w:r>
        <w:t>r</w:t>
      </w:r>
      <w:r w:rsidRPr="00D1042C">
        <w:t xml:space="preserve">ecord </w:t>
      </w:r>
      <w:r>
        <w:t>c</w:t>
      </w:r>
      <w:r w:rsidRPr="00D1042C">
        <w:t xml:space="preserve">heck is different from a </w:t>
      </w:r>
      <w:proofErr w:type="gramStart"/>
      <w:r>
        <w:t>p</w:t>
      </w:r>
      <w:r w:rsidRPr="00D1042C">
        <w:t>olice</w:t>
      </w:r>
      <w:proofErr w:type="gramEnd"/>
      <w:r w:rsidRPr="00D1042C">
        <w:t xml:space="preserve"> vetting check. </w:t>
      </w:r>
      <w:r>
        <w:t xml:space="preserve">See </w:t>
      </w:r>
      <w:hyperlink r:id="rId23" w:history="1">
        <w:r w:rsidRPr="00D1042C">
          <w:rPr>
            <w:rStyle w:val="Hyperlink"/>
            <w:rFonts w:eastAsia="MS Gothic" w:cs="Segoe UI"/>
          </w:rPr>
          <w:t>https://www.justice.govt.nz/criminal-records/police-clearance/</w:t>
        </w:r>
      </w:hyperlink>
      <w:r w:rsidRPr="00D1042C">
        <w:t xml:space="preserve"> for terminology.</w:t>
      </w:r>
      <w:r>
        <w:t xml:space="preserve"> The Ministry may request additional information at any time, if required.</w:t>
      </w:r>
    </w:p>
    <w:p w14:paraId="1B163CF0" w14:textId="77777777" w:rsidR="00E03645" w:rsidRDefault="00E03645" w:rsidP="00E03645"/>
    <w:p w14:paraId="3F2C8C18" w14:textId="77777777" w:rsidR="00EE67CB" w:rsidRDefault="00EE67CB" w:rsidP="00E03645">
      <w:pPr>
        <w:pStyle w:val="Italics"/>
      </w:pPr>
      <w:r>
        <w:t xml:space="preserve">Provide </w:t>
      </w:r>
      <w:r w:rsidRPr="0045356D">
        <w:t>a full copy of the results of a criminal record for each responsible person</w:t>
      </w:r>
      <w:r>
        <w:t>.</w:t>
      </w:r>
    </w:p>
    <w:p w14:paraId="2B074472" w14:textId="77777777" w:rsidR="00E03645" w:rsidRDefault="00E03645" w:rsidP="00E03645">
      <w:pPr>
        <w:pStyle w:val="Italics"/>
      </w:pPr>
    </w:p>
    <w:p w14:paraId="50D98714" w14:textId="77777777" w:rsidR="00A25A47" w:rsidRDefault="00EE67CB" w:rsidP="00E03645">
      <w:pPr>
        <w:pStyle w:val="Italics"/>
      </w:pPr>
      <w:r w:rsidRPr="009461C7">
        <w:t xml:space="preserve">Where an applicant is an entity, include a criminal record check for every director, </w:t>
      </w:r>
      <w:proofErr w:type="gramStart"/>
      <w:r w:rsidRPr="009461C7">
        <w:t>trustee</w:t>
      </w:r>
      <w:proofErr w:type="gramEnd"/>
      <w:r w:rsidRPr="009461C7">
        <w:t xml:space="preserve"> or partner.</w:t>
      </w:r>
    </w:p>
    <w:p w14:paraId="441FF6E9" w14:textId="77777777" w:rsidR="00E03645" w:rsidRDefault="00E03645" w:rsidP="00E03645">
      <w:pPr>
        <w:pStyle w:val="Italics"/>
      </w:pPr>
    </w:p>
    <w:p w14:paraId="19503106" w14:textId="77777777" w:rsidR="00A25A47" w:rsidRDefault="00EE67CB" w:rsidP="00E03645">
      <w:pPr>
        <w:pStyle w:val="Italics"/>
      </w:pPr>
      <w:r w:rsidRPr="009461C7">
        <w:t xml:space="preserve">Where an applicant does not have directors, </w:t>
      </w:r>
      <w:proofErr w:type="gramStart"/>
      <w:r w:rsidRPr="009461C7">
        <w:t>trustees</w:t>
      </w:r>
      <w:proofErr w:type="gramEnd"/>
      <w:r w:rsidRPr="009461C7">
        <w:t xml:space="preserve"> or partners, include a criminal record check for everyone acting in a similar role.</w:t>
      </w:r>
    </w:p>
    <w:p w14:paraId="347567A1" w14:textId="77777777" w:rsidR="00E03645" w:rsidRDefault="00E03645" w:rsidP="00E03645">
      <w:pPr>
        <w:pStyle w:val="Italics"/>
      </w:pPr>
    </w:p>
    <w:p w14:paraId="17156B06" w14:textId="77777777" w:rsidR="00EE67CB" w:rsidRDefault="00EE67CB" w:rsidP="00E03645">
      <w:pPr>
        <w:pStyle w:val="Italics"/>
      </w:pPr>
      <w:r w:rsidRPr="00311053">
        <w:t>Where an applicant</w:t>
      </w:r>
      <w:r w:rsidRPr="009461C7">
        <w:t xml:space="preserve"> is one person, </w:t>
      </w:r>
      <w:r>
        <w:t xml:space="preserve">include a </w:t>
      </w:r>
      <w:r w:rsidRPr="009461C7">
        <w:t xml:space="preserve">criminal record check </w:t>
      </w:r>
      <w:r>
        <w:t xml:space="preserve">for </w:t>
      </w:r>
      <w:r w:rsidRPr="009461C7">
        <w:t>that person.</w:t>
      </w:r>
    </w:p>
    <w:p w14:paraId="2BB78F5C" w14:textId="77777777" w:rsidR="00E03645" w:rsidRPr="009461C7" w:rsidRDefault="00E03645" w:rsidP="00E03645"/>
    <w:p w14:paraId="3C038F85" w14:textId="77777777" w:rsidR="00A25A47" w:rsidRDefault="00EE67CB" w:rsidP="009B3E0F">
      <w:pPr>
        <w:pStyle w:val="Heading2"/>
      </w:pPr>
      <w:bookmarkStart w:id="30" w:name="_Toc98861456"/>
      <w:bookmarkStart w:id="31" w:name="_Toc99377703"/>
      <w:r>
        <w:lastRenderedPageBreak/>
        <w:t>Information required where there has been offending</w:t>
      </w:r>
      <w:r w:rsidRPr="009502A5">
        <w:t xml:space="preserve"> or non</w:t>
      </w:r>
      <w:r w:rsidR="00E03645">
        <w:noBreakHyphen/>
      </w:r>
      <w:r w:rsidRPr="009502A5">
        <w:t>compliance</w:t>
      </w:r>
      <w:bookmarkEnd w:id="30"/>
      <w:bookmarkEnd w:id="31"/>
    </w:p>
    <w:p w14:paraId="6FA5A5A6" w14:textId="77777777" w:rsidR="00A25A47" w:rsidRDefault="00EE67CB" w:rsidP="00687509">
      <w:pPr>
        <w:keepNext/>
      </w:pPr>
      <w:r w:rsidRPr="00D1042C">
        <w:t>Additional information is required to be submitted where a</w:t>
      </w:r>
      <w:r>
        <w:t xml:space="preserve">n applicant, </w:t>
      </w:r>
      <w:r w:rsidRPr="0093253B">
        <w:t>or any responsible person of the applicant</w:t>
      </w:r>
      <w:r>
        <w:t xml:space="preserve">, </w:t>
      </w:r>
      <w:r w:rsidRPr="00D1042C">
        <w:t>has a relevant conviction or history of non</w:t>
      </w:r>
      <w:r w:rsidR="00E03645">
        <w:noBreakHyphen/>
      </w:r>
      <w:r w:rsidRPr="00D1042C">
        <w:t>compliance (</w:t>
      </w:r>
      <w:r>
        <w:t>as stated above)</w:t>
      </w:r>
      <w:r w:rsidRPr="00D1042C">
        <w:t>.</w:t>
      </w:r>
    </w:p>
    <w:p w14:paraId="40D0C452" w14:textId="77777777" w:rsidR="00E03645" w:rsidRDefault="00E03645" w:rsidP="00687509">
      <w:pPr>
        <w:keepNext/>
      </w:pPr>
    </w:p>
    <w:p w14:paraId="240850BD" w14:textId="77777777" w:rsidR="00A25A47" w:rsidRDefault="00EE67CB" w:rsidP="00687509">
      <w:pPr>
        <w:keepNext/>
      </w:pPr>
      <w:r>
        <w:t>We require the applicant to declare all offending both with and without conviction to provide an equitable application process for anyone applying. Any non-compliance needs to be noted regardless of conviction. Any instance of non-compliance will be assessed on a case-by-case basis.</w:t>
      </w:r>
    </w:p>
    <w:p w14:paraId="6E0E190E" w14:textId="77777777" w:rsidR="00E03645" w:rsidRDefault="00E03645" w:rsidP="00687509">
      <w:pPr>
        <w:keepNext/>
      </w:pPr>
    </w:p>
    <w:p w14:paraId="2DE42958" w14:textId="77777777" w:rsidR="00A25A47" w:rsidRDefault="00EE67CB" w:rsidP="00687509">
      <w:pPr>
        <w:pStyle w:val="Italics"/>
        <w:keepNext/>
      </w:pPr>
      <w:r w:rsidRPr="00D27A70">
        <w:t>The following information is required to be declared where there has been responsible persons offending or non-complianc</w:t>
      </w:r>
      <w:r>
        <w:t>e:</w:t>
      </w:r>
    </w:p>
    <w:p w14:paraId="2512E72B" w14:textId="77777777" w:rsidR="00EE67CB" w:rsidRPr="009461C7" w:rsidRDefault="00EE67CB" w:rsidP="00687509">
      <w:pPr>
        <w:pStyle w:val="ItalicsBullet"/>
        <w:keepNext/>
      </w:pPr>
      <w:r w:rsidRPr="009461C7">
        <w:t>any conviction of an offence against:</w:t>
      </w:r>
    </w:p>
    <w:p w14:paraId="613B1A10" w14:textId="77777777" w:rsidR="00EE67CB" w:rsidRPr="009461C7" w:rsidRDefault="00EE67CB" w:rsidP="00687509">
      <w:pPr>
        <w:pStyle w:val="ItalicsDash"/>
        <w:keepNext/>
      </w:pPr>
      <w:r w:rsidRPr="009461C7">
        <w:t xml:space="preserve">the </w:t>
      </w:r>
      <w:proofErr w:type="spellStart"/>
      <w:r w:rsidRPr="009461C7">
        <w:t>MoDA</w:t>
      </w:r>
      <w:proofErr w:type="spellEnd"/>
    </w:p>
    <w:p w14:paraId="3363AF8E" w14:textId="77777777" w:rsidR="00A25A47" w:rsidRDefault="00EE67CB" w:rsidP="00687509">
      <w:pPr>
        <w:pStyle w:val="ItalicsDash"/>
        <w:keepNext/>
      </w:pPr>
      <w:r w:rsidRPr="009461C7">
        <w:t>the Psychoactive Substances Act 2013</w:t>
      </w:r>
    </w:p>
    <w:p w14:paraId="1252A8F7" w14:textId="77777777" w:rsidR="00A25A47" w:rsidRDefault="00EE67CB" w:rsidP="00687509">
      <w:pPr>
        <w:pStyle w:val="ItalicsDash"/>
        <w:keepNext/>
      </w:pPr>
      <w:r w:rsidRPr="009461C7">
        <w:t>the Medicines Act 1981</w:t>
      </w:r>
    </w:p>
    <w:p w14:paraId="0828BF0F" w14:textId="77777777" w:rsidR="00A25A47" w:rsidRDefault="00EE67CB" w:rsidP="00687509">
      <w:pPr>
        <w:pStyle w:val="ItalicsDash"/>
        <w:keepNext/>
      </w:pPr>
      <w:r w:rsidRPr="009461C7">
        <w:t>any regulations made under any of those Acts</w:t>
      </w:r>
    </w:p>
    <w:p w14:paraId="1E366630" w14:textId="77777777" w:rsidR="00EE67CB" w:rsidRPr="009461C7" w:rsidRDefault="00EE67CB" w:rsidP="00E03645">
      <w:pPr>
        <w:pStyle w:val="ItalicsBullet"/>
        <w:keepNext/>
      </w:pPr>
      <w:r w:rsidRPr="009461C7">
        <w:t>any crime involving dishonesty (as defined in section 2(1) of the Crimes Act 1961</w:t>
      </w:r>
      <w:r>
        <w:t>)</w:t>
      </w:r>
    </w:p>
    <w:p w14:paraId="27FAFAB5" w14:textId="77777777" w:rsidR="00EE67CB" w:rsidRPr="009461C7" w:rsidRDefault="00EE67CB" w:rsidP="00E03645">
      <w:pPr>
        <w:pStyle w:val="ItalicsBullet"/>
      </w:pPr>
      <w:r w:rsidRPr="009461C7">
        <w:t>any pending court hearings/trial/sentencing</w:t>
      </w:r>
    </w:p>
    <w:p w14:paraId="6270BF3A" w14:textId="77777777" w:rsidR="00EE67CB" w:rsidRPr="009461C7" w:rsidRDefault="00EE67CB" w:rsidP="00E03645">
      <w:pPr>
        <w:pStyle w:val="ItalicsBullet"/>
      </w:pPr>
      <w:r w:rsidRPr="009461C7">
        <w:t xml:space="preserve">whether the </w:t>
      </w:r>
      <w:r>
        <w:t xml:space="preserve">person </w:t>
      </w:r>
      <w:r w:rsidRPr="009461C7">
        <w:t xml:space="preserve">has </w:t>
      </w:r>
      <w:r>
        <w:t xml:space="preserve">ever </w:t>
      </w:r>
      <w:r w:rsidRPr="009461C7">
        <w:t>serious</w:t>
      </w:r>
      <w:r>
        <w:t>ly</w:t>
      </w:r>
      <w:r w:rsidRPr="009461C7">
        <w:t xml:space="preserve"> or repeated</w:t>
      </w:r>
      <w:r>
        <w:t>ly</w:t>
      </w:r>
      <w:r w:rsidRPr="009461C7">
        <w:t xml:space="preserve"> fail</w:t>
      </w:r>
      <w:r>
        <w:t>ed</w:t>
      </w:r>
      <w:r w:rsidRPr="009461C7">
        <w:t xml:space="preserve"> to comply with any requirement of </w:t>
      </w:r>
      <w:r>
        <w:t xml:space="preserve">the </w:t>
      </w:r>
      <w:proofErr w:type="spellStart"/>
      <w:r w:rsidRPr="009461C7">
        <w:t>MoDA</w:t>
      </w:r>
      <w:proofErr w:type="spellEnd"/>
      <w:r w:rsidRPr="009461C7">
        <w:t xml:space="preserve"> or its regulations (</w:t>
      </w:r>
      <w:r>
        <w:t xml:space="preserve">whether or not a </w:t>
      </w:r>
      <w:r w:rsidRPr="009461C7">
        <w:t>conviction</w:t>
      </w:r>
      <w:r>
        <w:t xml:space="preserve"> resulted</w:t>
      </w:r>
      <w:r w:rsidRPr="009461C7">
        <w:t>)</w:t>
      </w:r>
    </w:p>
    <w:p w14:paraId="1A650D3B" w14:textId="77777777" w:rsidR="00EE67CB" w:rsidRPr="009461C7" w:rsidRDefault="00EE67CB" w:rsidP="00E03645">
      <w:pPr>
        <w:pStyle w:val="ItalicsBullet"/>
      </w:pPr>
      <w:r w:rsidRPr="009461C7">
        <w:t>whether any responsible person of the applicant, whil</w:t>
      </w:r>
      <w:r>
        <w:t>e</w:t>
      </w:r>
      <w:r w:rsidRPr="009461C7">
        <w:t xml:space="preserve"> a responsible person for a different entity, </w:t>
      </w:r>
      <w:r>
        <w:t xml:space="preserve">was ever </w:t>
      </w:r>
      <w:r w:rsidRPr="009461C7">
        <w:t>serious</w:t>
      </w:r>
      <w:r>
        <w:t>ly</w:t>
      </w:r>
      <w:r w:rsidRPr="009461C7">
        <w:t xml:space="preserve"> or repeated</w:t>
      </w:r>
      <w:r>
        <w:t>ly</w:t>
      </w:r>
      <w:r w:rsidRPr="009461C7">
        <w:t xml:space="preserve"> non-complian</w:t>
      </w:r>
      <w:r>
        <w:t>t</w:t>
      </w:r>
      <w:r w:rsidRPr="009461C7">
        <w:t xml:space="preserve"> with the </w:t>
      </w:r>
      <w:proofErr w:type="spellStart"/>
      <w:r w:rsidRPr="009461C7">
        <w:t>MoDA</w:t>
      </w:r>
      <w:proofErr w:type="spellEnd"/>
      <w:r w:rsidRPr="009461C7">
        <w:t xml:space="preserve"> (</w:t>
      </w:r>
      <w:r>
        <w:t xml:space="preserve">whether </w:t>
      </w:r>
      <w:r w:rsidRPr="009461C7">
        <w:t xml:space="preserve">or </w:t>
      </w:r>
      <w:r>
        <w:t xml:space="preserve">not a </w:t>
      </w:r>
      <w:r w:rsidRPr="009461C7">
        <w:t>conviction</w:t>
      </w:r>
      <w:r>
        <w:t xml:space="preserve"> resulted</w:t>
      </w:r>
      <w:r w:rsidRPr="009461C7">
        <w:t>)</w:t>
      </w:r>
    </w:p>
    <w:p w14:paraId="31B95F42" w14:textId="77777777" w:rsidR="00EE67CB" w:rsidRPr="009461C7" w:rsidRDefault="00EE67CB" w:rsidP="00E03645">
      <w:pPr>
        <w:pStyle w:val="ItalicsBullet"/>
      </w:pPr>
      <w:r w:rsidRPr="009461C7">
        <w:t>any overseas convictions equivalent to the relevant convictions listed above.</w:t>
      </w:r>
    </w:p>
    <w:p w14:paraId="2F88441D" w14:textId="77777777" w:rsidR="00E03645" w:rsidRDefault="00E03645" w:rsidP="00E03645">
      <w:pPr>
        <w:pStyle w:val="Italics"/>
      </w:pPr>
    </w:p>
    <w:p w14:paraId="19A9DDE9" w14:textId="77777777" w:rsidR="00EE67CB" w:rsidRPr="00E420AA" w:rsidRDefault="00EE67CB" w:rsidP="00E03645">
      <w:pPr>
        <w:pStyle w:val="Italics"/>
      </w:pPr>
      <w:r w:rsidRPr="00E420AA">
        <w:t>For each offence or non-compliance (with or without conviction), state the length of time since the conviction or non-compliance.</w:t>
      </w:r>
    </w:p>
    <w:p w14:paraId="24B2F12A" w14:textId="77777777" w:rsidR="00E03645" w:rsidRDefault="00E03645" w:rsidP="00E03645"/>
    <w:p w14:paraId="7FDA909A" w14:textId="77777777" w:rsidR="00A25A47" w:rsidRDefault="00EE67CB" w:rsidP="00E03645">
      <w:r>
        <w:t xml:space="preserve">Non-compliance of the </w:t>
      </w:r>
      <w:proofErr w:type="spellStart"/>
      <w:r>
        <w:t>MoDA</w:t>
      </w:r>
      <w:proofErr w:type="spellEnd"/>
      <w:r>
        <w:t xml:space="preserve"> also includes instances in which licences or permits held under the </w:t>
      </w:r>
      <w:proofErr w:type="spellStart"/>
      <w:r>
        <w:t>MoDA</w:t>
      </w:r>
      <w:proofErr w:type="spellEnd"/>
      <w:r>
        <w:t xml:space="preserve"> were revoked or cancelled, including when </w:t>
      </w:r>
      <w:r w:rsidRPr="00FD3932">
        <w:t>a responsible person</w:t>
      </w:r>
      <w:r>
        <w:t xml:space="preserve"> worked for</w:t>
      </w:r>
      <w:r w:rsidRPr="00FD3932">
        <w:t xml:space="preserve"> another entity</w:t>
      </w:r>
      <w:r>
        <w:t>.</w:t>
      </w:r>
    </w:p>
    <w:p w14:paraId="7EEA548F" w14:textId="77777777" w:rsidR="00E03645" w:rsidRDefault="00E03645" w:rsidP="00E03645"/>
    <w:p w14:paraId="7EBAF273" w14:textId="77777777" w:rsidR="00EE67CB" w:rsidRPr="009461C7" w:rsidRDefault="00EE67CB" w:rsidP="00E03645">
      <w:pPr>
        <w:pStyle w:val="Italics"/>
      </w:pPr>
      <w:r>
        <w:t xml:space="preserve">For each </w:t>
      </w:r>
      <w:r w:rsidRPr="009461C7">
        <w:t>responsible person</w:t>
      </w:r>
      <w:r>
        <w:t>, state</w:t>
      </w:r>
      <w:r w:rsidRPr="009461C7">
        <w:t>:</w:t>
      </w:r>
    </w:p>
    <w:p w14:paraId="64F41365" w14:textId="77777777" w:rsidR="00A25A47" w:rsidRDefault="00EE67CB" w:rsidP="00E03645">
      <w:pPr>
        <w:pStyle w:val="ItalicsBullet"/>
      </w:pPr>
      <w:r>
        <w:t xml:space="preserve">whether they have </w:t>
      </w:r>
      <w:r w:rsidRPr="009461C7">
        <w:t>held (or currently hold) any other licen</w:t>
      </w:r>
      <w:r>
        <w:t>c</w:t>
      </w:r>
      <w:r w:rsidRPr="009461C7">
        <w:t xml:space="preserve">es or permits under </w:t>
      </w:r>
      <w:r>
        <w:t xml:space="preserve">the </w:t>
      </w:r>
      <w:proofErr w:type="spellStart"/>
      <w:r w:rsidRPr="009461C7">
        <w:t>MoDA</w:t>
      </w:r>
      <w:proofErr w:type="spellEnd"/>
      <w:r w:rsidRPr="009461C7">
        <w:t xml:space="preserve"> </w:t>
      </w:r>
      <w:r>
        <w:t>(</w:t>
      </w:r>
      <w:r w:rsidRPr="009461C7">
        <w:t>name these</w:t>
      </w:r>
      <w:r>
        <w:t>)</w:t>
      </w:r>
    </w:p>
    <w:p w14:paraId="02990002" w14:textId="77777777" w:rsidR="00EE67CB" w:rsidRDefault="00EE67CB" w:rsidP="00E03645">
      <w:pPr>
        <w:pStyle w:val="ItalicsBullet"/>
      </w:pPr>
      <w:r w:rsidRPr="009461C7">
        <w:t xml:space="preserve">whether any licences or permits </w:t>
      </w:r>
      <w:r>
        <w:t xml:space="preserve">they have held under the </w:t>
      </w:r>
      <w:proofErr w:type="spellStart"/>
      <w:r>
        <w:t>MoDA</w:t>
      </w:r>
      <w:proofErr w:type="spellEnd"/>
      <w:r>
        <w:t xml:space="preserve">, for this or any other entity, </w:t>
      </w:r>
      <w:r w:rsidRPr="009461C7">
        <w:t xml:space="preserve">have </w:t>
      </w:r>
      <w:r>
        <w:t xml:space="preserve">ever </w:t>
      </w:r>
      <w:r w:rsidRPr="009461C7">
        <w:t>been revoked or cancelled</w:t>
      </w:r>
      <w:r>
        <w:t>,</w:t>
      </w:r>
      <w:r w:rsidRPr="009461C7">
        <w:t xml:space="preserve"> and the reasons for this</w:t>
      </w:r>
      <w:r>
        <w:t xml:space="preserve"> and whether they were a responsible person of the entity at the time.</w:t>
      </w:r>
    </w:p>
    <w:p w14:paraId="42A1F8EF" w14:textId="77777777" w:rsidR="00687509" w:rsidRPr="009461C7" w:rsidRDefault="00687509" w:rsidP="00E03645"/>
    <w:p w14:paraId="5AD7C91C" w14:textId="77777777" w:rsidR="00EE67CB" w:rsidRPr="009502A5" w:rsidRDefault="00EE67CB" w:rsidP="009B3E0F">
      <w:pPr>
        <w:pStyle w:val="Heading1"/>
      </w:pPr>
      <w:bookmarkStart w:id="32" w:name="_Toc98861457"/>
      <w:bookmarkStart w:id="33" w:name="_Toc99377704"/>
      <w:r w:rsidRPr="009502A5">
        <w:lastRenderedPageBreak/>
        <w:t xml:space="preserve">Applicant </w:t>
      </w:r>
      <w:r>
        <w:t>s</w:t>
      </w:r>
      <w:r w:rsidRPr="009502A5">
        <w:t xml:space="preserve">uitability </w:t>
      </w:r>
      <w:r>
        <w:t>s</w:t>
      </w:r>
      <w:r w:rsidRPr="009502A5">
        <w:t>tatement</w:t>
      </w:r>
      <w:bookmarkEnd w:id="32"/>
      <w:bookmarkEnd w:id="33"/>
    </w:p>
    <w:p w14:paraId="234B1150" w14:textId="77777777" w:rsidR="00A25A47" w:rsidRDefault="00EE67CB" w:rsidP="00E03645">
      <w:r>
        <w:t xml:space="preserve">Where a responsible person has a relevant </w:t>
      </w:r>
      <w:proofErr w:type="spellStart"/>
      <w:r>
        <w:t>MoDA</w:t>
      </w:r>
      <w:proofErr w:type="spellEnd"/>
      <w:r>
        <w:t xml:space="preserve"> conviction</w:t>
      </w:r>
      <w:r w:rsidRPr="00D1042C">
        <w:t xml:space="preserve"> or non-compliance</w:t>
      </w:r>
      <w:r>
        <w:t xml:space="preserve">, the applicant must </w:t>
      </w:r>
      <w:r w:rsidRPr="007057DC">
        <w:t xml:space="preserve">submit a statement explaining why </w:t>
      </w:r>
      <w:r>
        <w:t xml:space="preserve">they are </w:t>
      </w:r>
      <w:r w:rsidRPr="006628F9">
        <w:t>suitable</w:t>
      </w:r>
      <w:r>
        <w:t xml:space="preserve"> </w:t>
      </w:r>
      <w:r w:rsidRPr="006628F9">
        <w:t>to hold a licence</w:t>
      </w:r>
      <w:r w:rsidRPr="007057DC">
        <w:t xml:space="preserve">. </w:t>
      </w:r>
      <w:r>
        <w:t>The Director-General will assess this statement on a case-by-case basis to determine suitability.</w:t>
      </w:r>
    </w:p>
    <w:p w14:paraId="11E3F13F" w14:textId="77777777" w:rsidR="00E03645" w:rsidRDefault="00E03645" w:rsidP="00E03645"/>
    <w:p w14:paraId="70AAC6CA" w14:textId="77777777" w:rsidR="00EE67CB" w:rsidRPr="007057DC" w:rsidRDefault="00EE67CB" w:rsidP="00E03645">
      <w:r>
        <w:t>Suitability statements may include information on the following factors</w:t>
      </w:r>
      <w:r w:rsidRPr="007057DC">
        <w:t>:</w:t>
      </w:r>
    </w:p>
    <w:p w14:paraId="62992978" w14:textId="77777777" w:rsidR="00EE67CB" w:rsidRPr="007057DC" w:rsidRDefault="00EE67CB" w:rsidP="00E03645">
      <w:pPr>
        <w:pStyle w:val="Bullet"/>
      </w:pPr>
      <w:r w:rsidRPr="007057DC">
        <w:t>the nature of the offending</w:t>
      </w:r>
      <w:r>
        <w:t xml:space="preserve"> or non-compliance</w:t>
      </w:r>
      <w:r w:rsidRPr="007057DC">
        <w:t xml:space="preserve">, including </w:t>
      </w:r>
      <w:r>
        <w:t xml:space="preserve">its </w:t>
      </w:r>
      <w:r w:rsidRPr="007057DC">
        <w:t>seriousness and relevance to drug checking</w:t>
      </w:r>
    </w:p>
    <w:p w14:paraId="28D8C4A0" w14:textId="77777777" w:rsidR="00A25A47" w:rsidRDefault="00EE67CB" w:rsidP="00E03645">
      <w:pPr>
        <w:pStyle w:val="Bullet"/>
      </w:pPr>
      <w:r w:rsidRPr="007057DC">
        <w:t>the length of time since the offending or non-compliance</w:t>
      </w:r>
    </w:p>
    <w:p w14:paraId="1EFBF469" w14:textId="77777777" w:rsidR="00EE67CB" w:rsidRDefault="00EE67CB" w:rsidP="00E03645">
      <w:pPr>
        <w:pStyle w:val="Bullet"/>
      </w:pPr>
      <w:r w:rsidRPr="007057DC">
        <w:t>the name of any licences or permits revoked or cancelled, or compliance issues, the reasons for the revocations or cancellations and the time since any revocation or cancellation has occurred</w:t>
      </w:r>
    </w:p>
    <w:p w14:paraId="42DC2228" w14:textId="77777777" w:rsidR="00EE67CB" w:rsidRPr="00771FAC" w:rsidRDefault="00EE67CB" w:rsidP="00E03645">
      <w:pPr>
        <w:pStyle w:val="Bullet"/>
      </w:pPr>
      <w:r w:rsidRPr="00771FAC">
        <w:t>the extent of the person</w:t>
      </w:r>
      <w:r w:rsidR="00A25A47">
        <w:t>’</w:t>
      </w:r>
      <w:r w:rsidRPr="00771FAC">
        <w:t>s awareness of and involvement in the offending or non-compliance, and what they did do prevent or stop it</w:t>
      </w:r>
    </w:p>
    <w:p w14:paraId="12173359" w14:textId="77777777" w:rsidR="00EE67CB" w:rsidRPr="007057DC" w:rsidRDefault="00EE67CB" w:rsidP="00E03645">
      <w:pPr>
        <w:pStyle w:val="Bullet"/>
      </w:pPr>
      <w:r w:rsidRPr="007057DC">
        <w:t>the role the responsible person will play in the drug checking service</w:t>
      </w:r>
      <w:r>
        <w:t xml:space="preserve"> (</w:t>
      </w:r>
      <w:proofErr w:type="spellStart"/>
      <w:r>
        <w:t>eg</w:t>
      </w:r>
      <w:proofErr w:type="spellEnd"/>
      <w:r>
        <w:t>, the person may be a director of the entity, but not involved in the drug checking service provision itself)</w:t>
      </w:r>
    </w:p>
    <w:p w14:paraId="1F199681" w14:textId="77777777" w:rsidR="00A25A47" w:rsidRDefault="00EE67CB" w:rsidP="00E03645">
      <w:pPr>
        <w:pStyle w:val="Bullet"/>
      </w:pPr>
      <w:r w:rsidRPr="007057DC">
        <w:t xml:space="preserve">the reason </w:t>
      </w:r>
      <w:r>
        <w:t xml:space="preserve">the person has </w:t>
      </w:r>
      <w:r w:rsidRPr="007057DC">
        <w:t>for becoming involved in drug checking services and the provision of drug harm reduction advice</w:t>
      </w:r>
    </w:p>
    <w:p w14:paraId="33AF9D0B" w14:textId="77777777" w:rsidR="00EE67CB" w:rsidRDefault="00EE67CB" w:rsidP="00E03645">
      <w:pPr>
        <w:pStyle w:val="Bullet"/>
      </w:pPr>
      <w:r>
        <w:t xml:space="preserve">an </w:t>
      </w:r>
      <w:r w:rsidRPr="007057DC">
        <w:t xml:space="preserve">assurance that the </w:t>
      </w:r>
      <w:r>
        <w:t xml:space="preserve">person </w:t>
      </w:r>
      <w:r w:rsidRPr="007057DC">
        <w:t xml:space="preserve">will comply with the legislation, </w:t>
      </w:r>
      <w:proofErr w:type="gramStart"/>
      <w:r w:rsidRPr="007057DC">
        <w:t>regulations</w:t>
      </w:r>
      <w:proofErr w:type="gramEnd"/>
      <w:r w:rsidRPr="007057DC">
        <w:t xml:space="preserve"> and licensing conditions.</w:t>
      </w:r>
    </w:p>
    <w:p w14:paraId="73288217" w14:textId="77777777" w:rsidR="00E03645" w:rsidRPr="007057DC" w:rsidRDefault="00E03645" w:rsidP="00E03645"/>
    <w:bookmarkEnd w:id="22"/>
    <w:p w14:paraId="7413970D" w14:textId="77777777" w:rsidR="00EE67CB" w:rsidRDefault="00EE67CB" w:rsidP="00E03645">
      <w:pPr>
        <w:pStyle w:val="Italics"/>
      </w:pPr>
      <w:r w:rsidRPr="00E84EFD">
        <w:t xml:space="preserve">Where a responsible person has a relevant </w:t>
      </w:r>
      <w:proofErr w:type="spellStart"/>
      <w:r w:rsidRPr="00E84EFD">
        <w:t>MoDA</w:t>
      </w:r>
      <w:proofErr w:type="spellEnd"/>
      <w:r w:rsidRPr="00E84EFD">
        <w:t xml:space="preserve"> conviction or non-compliance, the applicant must submit a statement explaining why they are suitable to hold a licence. The Director-General will assess this statement on a case-by-case basis to determine suitability</w:t>
      </w:r>
      <w:r>
        <w:t>.</w:t>
      </w:r>
    </w:p>
    <w:p w14:paraId="2E96C0BD" w14:textId="77777777" w:rsidR="00E03645" w:rsidRPr="00E84EFD" w:rsidRDefault="00E03645" w:rsidP="00E03645">
      <w:pPr>
        <w:pStyle w:val="Italics"/>
      </w:pPr>
    </w:p>
    <w:p w14:paraId="686CE59B" w14:textId="77777777" w:rsidR="00EE67CB" w:rsidRDefault="00EE67CB" w:rsidP="00E03645">
      <w:pPr>
        <w:pStyle w:val="Italics"/>
      </w:pPr>
      <w:r w:rsidRPr="006D0C1E">
        <w:t>Th</w:t>
      </w:r>
      <w:r>
        <w:t>is</w:t>
      </w:r>
      <w:r w:rsidRPr="006D0C1E">
        <w:t xml:space="preserve"> statement </w:t>
      </w:r>
      <w:r>
        <w:t xml:space="preserve">should be a </w:t>
      </w:r>
      <w:r w:rsidRPr="006D0C1E">
        <w:t xml:space="preserve">maximum </w:t>
      </w:r>
      <w:r>
        <w:t xml:space="preserve">of </w:t>
      </w:r>
      <w:r w:rsidRPr="006D0C1E">
        <w:t>500 words.</w:t>
      </w:r>
    </w:p>
    <w:p w14:paraId="34B14812" w14:textId="77777777" w:rsidR="00E03645" w:rsidRPr="006D0C1E" w:rsidRDefault="00E03645" w:rsidP="00E03645"/>
    <w:p w14:paraId="1026AF70" w14:textId="77777777" w:rsidR="00EE67CB" w:rsidRDefault="00EE67CB" w:rsidP="009B3E0F">
      <w:pPr>
        <w:pStyle w:val="Heading1"/>
      </w:pPr>
      <w:bookmarkStart w:id="34" w:name="_Toc98861458"/>
      <w:bookmarkStart w:id="35" w:name="_Toc99377705"/>
      <w:r w:rsidRPr="00106C46">
        <w:lastRenderedPageBreak/>
        <w:t xml:space="preserve">Service </w:t>
      </w:r>
      <w:r>
        <w:t>delivery m</w:t>
      </w:r>
      <w:r w:rsidRPr="00106C46">
        <w:t>odel</w:t>
      </w:r>
      <w:r>
        <w:t>s</w:t>
      </w:r>
      <w:bookmarkEnd w:id="34"/>
      <w:bookmarkEnd w:id="35"/>
    </w:p>
    <w:p w14:paraId="37250772" w14:textId="77777777" w:rsidR="00A25A47" w:rsidRDefault="00EE67CB" w:rsidP="00E03645">
      <w:r>
        <w:t xml:space="preserve">Applicants need to prove to the Director-General that their </w:t>
      </w:r>
      <w:r w:rsidRPr="007B201A">
        <w:t>service model</w:t>
      </w:r>
      <w:r w:rsidRPr="00EE42F4">
        <w:t xml:space="preserve"> </w:t>
      </w:r>
      <w:r w:rsidRPr="00517584">
        <w:t xml:space="preserve">will enable </w:t>
      </w:r>
      <w:r>
        <w:t xml:space="preserve">them </w:t>
      </w:r>
      <w:r w:rsidRPr="00517584">
        <w:t>to carry out their functions to an appropriate standard</w:t>
      </w:r>
      <w:r>
        <w:t>, complying with the legislation and any conditions of licensing.</w:t>
      </w:r>
    </w:p>
    <w:p w14:paraId="229B7D41" w14:textId="77777777" w:rsidR="00E03645" w:rsidRDefault="00E03645" w:rsidP="00E03645"/>
    <w:p w14:paraId="4220DC1D" w14:textId="77777777" w:rsidR="00A25A47" w:rsidRDefault="00EE67CB" w:rsidP="00E03645">
      <w:r>
        <w:t>Applicants must be able to demonstrate that their service complies with current best practice principles. These principles pertain to identification of the composition of drugs, use of up-to-date drug libraries and provision of the best possible drug harm reduction advice.</w:t>
      </w:r>
    </w:p>
    <w:p w14:paraId="01A9128A" w14:textId="77777777" w:rsidR="00E03645" w:rsidRDefault="00E03645" w:rsidP="00E03645"/>
    <w:p w14:paraId="4E38EEFB" w14:textId="77777777" w:rsidR="00EE67CB" w:rsidRPr="00536D7B" w:rsidRDefault="00EE67CB" w:rsidP="00E03645">
      <w:r>
        <w:t>The service model must comply with the legislation, regulations, licensing requirements and conditions of licensing. For example, drug checking s</w:t>
      </w:r>
      <w:r w:rsidRPr="00536D7B">
        <w:t>ervice provider</w:t>
      </w:r>
      <w:r>
        <w:t>s</w:t>
      </w:r>
      <w:r w:rsidRPr="00536D7B">
        <w:t xml:space="preserve"> must </w:t>
      </w:r>
      <w:r w:rsidRPr="00B57663">
        <w:t>not</w:t>
      </w:r>
      <w:r w:rsidRPr="00536D7B">
        <w:t xml:space="preserve"> perform </w:t>
      </w:r>
      <w:r>
        <w:t xml:space="preserve">any of their </w:t>
      </w:r>
      <w:r w:rsidRPr="00536D7B">
        <w:t xml:space="preserve">functions </w:t>
      </w:r>
      <w:r>
        <w:t xml:space="preserve">from </w:t>
      </w:r>
      <w:r w:rsidRPr="00536D7B">
        <w:t>residential premises</w:t>
      </w:r>
      <w:r w:rsidRPr="00DB70D4">
        <w:t xml:space="preserve"> </w:t>
      </w:r>
      <w:r>
        <w:t xml:space="preserve">(see section 35DB of the </w:t>
      </w:r>
      <w:proofErr w:type="spellStart"/>
      <w:r>
        <w:t>MoDA</w:t>
      </w:r>
      <w:proofErr w:type="spellEnd"/>
      <w:r>
        <w:t>).</w:t>
      </w:r>
    </w:p>
    <w:p w14:paraId="7934EB86" w14:textId="77777777" w:rsidR="00E03645" w:rsidRDefault="00E03645" w:rsidP="00E03645">
      <w:pPr>
        <w:rPr>
          <w:rFonts w:eastAsiaTheme="minorHAnsi"/>
        </w:rPr>
      </w:pPr>
      <w:bookmarkStart w:id="36" w:name="_Toc98861459"/>
    </w:p>
    <w:p w14:paraId="7E3C5EE6" w14:textId="77777777" w:rsidR="00EE67CB" w:rsidRPr="000A3179" w:rsidRDefault="00EE67CB" w:rsidP="00E03645">
      <w:pPr>
        <w:rPr>
          <w:rFonts w:eastAsiaTheme="minorHAnsi"/>
        </w:rPr>
      </w:pPr>
      <w:r>
        <w:rPr>
          <w:rFonts w:eastAsiaTheme="minorHAnsi"/>
        </w:rPr>
        <w:t>In identifying their service delivery models, applicants must specify the following:</w:t>
      </w:r>
      <w:bookmarkEnd w:id="36"/>
    </w:p>
    <w:p w14:paraId="6D119B0F" w14:textId="77777777" w:rsidR="00A25A47" w:rsidRDefault="00EE67CB" w:rsidP="00E03645">
      <w:pPr>
        <w:pStyle w:val="Bullet"/>
      </w:pPr>
      <w:r w:rsidRPr="000A3179">
        <w:t xml:space="preserve">service </w:t>
      </w:r>
      <w:r>
        <w:t xml:space="preserve">delivery </w:t>
      </w:r>
      <w:r w:rsidRPr="000A3179">
        <w:t>type (</w:t>
      </w:r>
      <w:proofErr w:type="spellStart"/>
      <w:r w:rsidRPr="000A3179">
        <w:t>eg</w:t>
      </w:r>
      <w:proofErr w:type="spellEnd"/>
      <w:r w:rsidRPr="000A3179">
        <w:t xml:space="preserve">, </w:t>
      </w:r>
      <w:r>
        <w:t xml:space="preserve">field </w:t>
      </w:r>
      <w:r w:rsidRPr="000A3179">
        <w:t>events,</w:t>
      </w:r>
      <w:r>
        <w:t xml:space="preserve"> static</w:t>
      </w:r>
      <w:r w:rsidRPr="000A3179">
        <w:t xml:space="preserve"> clinics)</w:t>
      </w:r>
    </w:p>
    <w:p w14:paraId="577671E1" w14:textId="77777777" w:rsidR="00EE67CB" w:rsidRPr="000A3179" w:rsidRDefault="00EE67CB" w:rsidP="00E03645">
      <w:pPr>
        <w:pStyle w:val="Bullet"/>
      </w:pPr>
      <w:r w:rsidRPr="000A3179">
        <w:t>location (</w:t>
      </w:r>
      <w:proofErr w:type="spellStart"/>
      <w:r w:rsidRPr="000A3179">
        <w:t>eg</w:t>
      </w:r>
      <w:proofErr w:type="spellEnd"/>
      <w:r w:rsidRPr="000A3179">
        <w:t>, national, regional)</w:t>
      </w:r>
    </w:p>
    <w:p w14:paraId="75FBA013" w14:textId="77777777" w:rsidR="00EE67CB" w:rsidRPr="000A3179" w:rsidRDefault="00EE67CB" w:rsidP="00E03645">
      <w:pPr>
        <w:pStyle w:val="Bullet"/>
      </w:pPr>
      <w:r w:rsidRPr="000A3179">
        <w:t xml:space="preserve">target audiences, </w:t>
      </w:r>
      <w:r>
        <w:t xml:space="preserve">taking </w:t>
      </w:r>
      <w:r w:rsidRPr="000A3179">
        <w:t>health inequities considerations</w:t>
      </w:r>
      <w:r>
        <w:t xml:space="preserve"> into account</w:t>
      </w:r>
      <w:r w:rsidRPr="000A3179">
        <w:t xml:space="preserve"> (</w:t>
      </w:r>
      <w:proofErr w:type="spellStart"/>
      <w:r w:rsidRPr="000A3179">
        <w:t>eg</w:t>
      </w:r>
      <w:proofErr w:type="spellEnd"/>
      <w:r w:rsidRPr="000A3179">
        <w:t xml:space="preserve">, Māori, rainbow communities, youth, </w:t>
      </w:r>
      <w:r>
        <w:t xml:space="preserve">people experiencing </w:t>
      </w:r>
      <w:r w:rsidRPr="000A3179">
        <w:t>homeless</w:t>
      </w:r>
      <w:r>
        <w:t>ness</w:t>
      </w:r>
      <w:r w:rsidRPr="000A3179">
        <w:t>, rural</w:t>
      </w:r>
      <w:r>
        <w:t xml:space="preserve"> populations</w:t>
      </w:r>
      <w:r w:rsidRPr="000A3179">
        <w:t>, urban</w:t>
      </w:r>
      <w:r>
        <w:t xml:space="preserve"> populations</w:t>
      </w:r>
      <w:r w:rsidRPr="000A3179">
        <w:t>)</w:t>
      </w:r>
    </w:p>
    <w:p w14:paraId="5138E2DA" w14:textId="77777777" w:rsidR="00EE67CB" w:rsidRPr="000A3179" w:rsidRDefault="00EE67CB" w:rsidP="00E03645">
      <w:pPr>
        <w:pStyle w:val="Bullet"/>
      </w:pPr>
      <w:r w:rsidRPr="000A3179">
        <w:t>frequency (</w:t>
      </w:r>
      <w:proofErr w:type="spellStart"/>
      <w:r w:rsidRPr="000A3179">
        <w:t>eg</w:t>
      </w:r>
      <w:proofErr w:type="spellEnd"/>
      <w:r w:rsidRPr="000A3179">
        <w:t>, regular clinics, seasonal events)</w:t>
      </w:r>
    </w:p>
    <w:p w14:paraId="0E63990B" w14:textId="77777777" w:rsidR="00EE67CB" w:rsidRPr="000A3179" w:rsidRDefault="00EE67CB" w:rsidP="00E03645">
      <w:pPr>
        <w:pStyle w:val="Bullet"/>
      </w:pPr>
      <w:r w:rsidRPr="000A3179">
        <w:t xml:space="preserve">any other relevant </w:t>
      </w:r>
      <w:r>
        <w:t xml:space="preserve">aspects, </w:t>
      </w:r>
      <w:r w:rsidRPr="000A3179">
        <w:t>such as accessibility (</w:t>
      </w:r>
      <w:proofErr w:type="spellStart"/>
      <w:r w:rsidRPr="000A3179">
        <w:t>eg</w:t>
      </w:r>
      <w:proofErr w:type="spellEnd"/>
      <w:r w:rsidRPr="000A3179">
        <w:t>, wheelchair access).</w:t>
      </w:r>
    </w:p>
    <w:p w14:paraId="1DF2F84A" w14:textId="77777777" w:rsidR="00E03645" w:rsidRDefault="00E03645" w:rsidP="00E03645"/>
    <w:p w14:paraId="0D2BF8B1" w14:textId="77777777" w:rsidR="00EE67CB" w:rsidRDefault="00EE67CB" w:rsidP="00E03645">
      <w:r>
        <w:t>Current service delivery models include:</w:t>
      </w:r>
    </w:p>
    <w:p w14:paraId="6AF04E8D" w14:textId="77777777" w:rsidR="00A25A47" w:rsidRDefault="00EE67CB" w:rsidP="00E03645">
      <w:pPr>
        <w:pStyle w:val="Bullet"/>
      </w:pPr>
      <w:r>
        <w:t xml:space="preserve">field </w:t>
      </w:r>
      <w:r w:rsidRPr="002B4320">
        <w:t>events, such as summer festivals</w:t>
      </w:r>
    </w:p>
    <w:p w14:paraId="20027687" w14:textId="77777777" w:rsidR="00EE67CB" w:rsidRDefault="00EE67CB" w:rsidP="00E03645">
      <w:pPr>
        <w:pStyle w:val="Bullet"/>
      </w:pPr>
      <w:r w:rsidRPr="002B4320">
        <w:t xml:space="preserve">static </w:t>
      </w:r>
      <w:r>
        <w:t>clinics/commercial premises</w:t>
      </w:r>
    </w:p>
    <w:p w14:paraId="1989E3E6" w14:textId="77777777" w:rsidR="00EE67CB" w:rsidRDefault="00EE67CB" w:rsidP="00E03645">
      <w:pPr>
        <w:pStyle w:val="Bullet"/>
      </w:pPr>
      <w:r>
        <w:t>satellite/</w:t>
      </w:r>
      <w:r w:rsidRPr="002B4320">
        <w:t>pop-up clinics</w:t>
      </w:r>
      <w:r>
        <w:t>.</w:t>
      </w:r>
    </w:p>
    <w:p w14:paraId="59F8B3A3" w14:textId="77777777" w:rsidR="00E03645" w:rsidRDefault="00E03645" w:rsidP="00E03645"/>
    <w:p w14:paraId="35106030" w14:textId="77777777" w:rsidR="00A25A47" w:rsidRDefault="00EE67CB" w:rsidP="00E03645">
      <w:r w:rsidRPr="002B4320">
        <w:t xml:space="preserve">These </w:t>
      </w:r>
      <w:r>
        <w:t xml:space="preserve">service models primarily </w:t>
      </w:r>
      <w:r w:rsidRPr="002B4320">
        <w:t>target youth and the young adult demographic.</w:t>
      </w:r>
      <w:r>
        <w:t xml:space="preserve"> The Ministry </w:t>
      </w:r>
      <w:r w:rsidRPr="00132315">
        <w:t>anticipate</w:t>
      </w:r>
      <w:r>
        <w:t>s</w:t>
      </w:r>
      <w:r w:rsidRPr="00132315">
        <w:t xml:space="preserve"> that </w:t>
      </w:r>
      <w:r>
        <w:t>drug checking services</w:t>
      </w:r>
      <w:r w:rsidRPr="00132315">
        <w:t xml:space="preserve"> will </w:t>
      </w:r>
      <w:r>
        <w:t xml:space="preserve">increase to become </w:t>
      </w:r>
      <w:r w:rsidRPr="00132315">
        <w:t>more equitabl</w:t>
      </w:r>
      <w:r>
        <w:t xml:space="preserve">y accessible </w:t>
      </w:r>
      <w:r w:rsidRPr="00132315">
        <w:t xml:space="preserve">across the country, </w:t>
      </w:r>
      <w:r>
        <w:t xml:space="preserve">including </w:t>
      </w:r>
      <w:r w:rsidRPr="00132315">
        <w:t xml:space="preserve">through other service models such as </w:t>
      </w:r>
      <w:r>
        <w:t xml:space="preserve">fully </w:t>
      </w:r>
      <w:r w:rsidRPr="00132315">
        <w:t>contactless and mail-in services</w:t>
      </w:r>
      <w:r>
        <w:t>. Currently, such models require further Ministry and stakeholder exploration</w:t>
      </w:r>
      <w:r w:rsidRPr="00132315">
        <w:t>.</w:t>
      </w:r>
    </w:p>
    <w:p w14:paraId="5046E176" w14:textId="77777777" w:rsidR="00E03645" w:rsidRDefault="00E03645" w:rsidP="00E03645"/>
    <w:p w14:paraId="4A444568" w14:textId="77777777" w:rsidR="00EE67CB" w:rsidRDefault="00EE67CB" w:rsidP="00E03645">
      <w:r w:rsidRPr="00313101">
        <w:t xml:space="preserve">The </w:t>
      </w:r>
      <w:r>
        <w:t xml:space="preserve">Ministry may restrict an </w:t>
      </w:r>
      <w:r w:rsidRPr="00313101">
        <w:t>applicant</w:t>
      </w:r>
      <w:r w:rsidR="00A25A47">
        <w:t>’</w:t>
      </w:r>
      <w:r w:rsidRPr="00313101">
        <w:t xml:space="preserve">s licensing conditions to the </w:t>
      </w:r>
      <w:r>
        <w:t xml:space="preserve">specific </w:t>
      </w:r>
      <w:r w:rsidRPr="00313101">
        <w:t>service type</w:t>
      </w:r>
      <w:r>
        <w:t>(s)</w:t>
      </w:r>
      <w:r w:rsidRPr="00313101">
        <w:t xml:space="preserve"> </w:t>
      </w:r>
      <w:r>
        <w:t xml:space="preserve">they </w:t>
      </w:r>
      <w:r w:rsidRPr="00313101">
        <w:t xml:space="preserve">select in </w:t>
      </w:r>
      <w:r>
        <w:t>their application</w:t>
      </w:r>
      <w:r w:rsidRPr="00313101">
        <w:t>.</w:t>
      </w:r>
    </w:p>
    <w:p w14:paraId="382782F2" w14:textId="77777777" w:rsidR="00E03645" w:rsidRDefault="00E03645" w:rsidP="00E03645"/>
    <w:p w14:paraId="5ED7416C" w14:textId="77777777" w:rsidR="00EE67CB" w:rsidRDefault="00EE67CB" w:rsidP="00E03645">
      <w:r>
        <w:t xml:space="preserve">Currently, drug checking services may only use certain Ministry-approved </w:t>
      </w:r>
      <w:r w:rsidRPr="00D3626E">
        <w:t>t</w:t>
      </w:r>
      <w:r w:rsidRPr="00796769">
        <w:t>echnology and testing methods</w:t>
      </w:r>
      <w:r>
        <w:t xml:space="preserve">. Information on approved technology and testing methods can be found at </w:t>
      </w:r>
      <w:hyperlink r:id="rId24" w:history="1">
        <w:r w:rsidRPr="00163A38">
          <w:rPr>
            <w:rStyle w:val="Hyperlink"/>
            <w:rFonts w:eastAsia="MS Gothic" w:cs="Segoe UI"/>
          </w:rPr>
          <w:t>https://www.health.govt.nz/our-work/regulation-health-and-disability-system/drug-checking</w:t>
        </w:r>
      </w:hyperlink>
      <w:r>
        <w:t>.</w:t>
      </w:r>
    </w:p>
    <w:p w14:paraId="02F5BF54" w14:textId="77777777" w:rsidR="00E03645" w:rsidRDefault="00E03645" w:rsidP="00E03645"/>
    <w:p w14:paraId="28B9ACFE" w14:textId="77777777" w:rsidR="00A25A47" w:rsidRDefault="00EE67CB" w:rsidP="00E03645">
      <w:r>
        <w:lastRenderedPageBreak/>
        <w:t>Where an applicant wants to use a testing method that is not on the approved list, they should follow the instructions on the drug checking webpage to submit a new method for approval.</w:t>
      </w:r>
    </w:p>
    <w:p w14:paraId="762E5DF2" w14:textId="77777777" w:rsidR="00E03645" w:rsidRDefault="00E03645" w:rsidP="00E03645"/>
    <w:p w14:paraId="6BD6FD4E" w14:textId="77777777" w:rsidR="00A25A47" w:rsidRDefault="00EE67CB" w:rsidP="00E03645">
      <w:r>
        <w:t>Applicants must outline the service delivery models they propose in their submission, and licences will only apply to the specified models.</w:t>
      </w:r>
    </w:p>
    <w:p w14:paraId="31C084DC" w14:textId="77777777" w:rsidR="00E03645" w:rsidRDefault="00E03645" w:rsidP="00E03645"/>
    <w:p w14:paraId="41B5B893" w14:textId="77777777" w:rsidR="00A25A47" w:rsidRDefault="00EE67CB" w:rsidP="00E03645">
      <w:r>
        <w:t xml:space="preserve">Once licensed, providers must notify the Ministry in writing if they wish to change or extend their model(s). The Ministry will assess such requests </w:t>
      </w:r>
      <w:r w:rsidRPr="006E3DC4">
        <w:t>on a case-by-</w:t>
      </w:r>
      <w:r>
        <w:t>ca</w:t>
      </w:r>
      <w:r w:rsidRPr="006E3DC4">
        <w:t>se basis</w:t>
      </w:r>
      <w:r>
        <w:t xml:space="preserve">. If it approves a request, it may, where necessary, officially amend </w:t>
      </w:r>
      <w:r w:rsidRPr="006E3DC4">
        <w:t xml:space="preserve">the </w:t>
      </w:r>
      <w:r>
        <w:t>service provider</w:t>
      </w:r>
      <w:r w:rsidR="00A25A47">
        <w:t>’</w:t>
      </w:r>
      <w:r>
        <w:t xml:space="preserve">s </w:t>
      </w:r>
      <w:r w:rsidRPr="006E3DC4">
        <w:t>conditions of licen</w:t>
      </w:r>
      <w:r>
        <w:t>s</w:t>
      </w:r>
      <w:r w:rsidRPr="006E3DC4">
        <w:t>e.</w:t>
      </w:r>
    </w:p>
    <w:p w14:paraId="7376B245" w14:textId="77777777" w:rsidR="00E03645" w:rsidRDefault="00E03645" w:rsidP="00E03645"/>
    <w:p w14:paraId="2BA1FD39" w14:textId="77777777" w:rsidR="00A25A47" w:rsidRDefault="00EE67CB" w:rsidP="00E03645">
      <w:pPr>
        <w:pStyle w:val="Italics"/>
      </w:pPr>
      <w:r w:rsidRPr="004B2195">
        <w:t>Please identify all service delivery models you wish to deliver.</w:t>
      </w:r>
    </w:p>
    <w:p w14:paraId="007C4CCD" w14:textId="77777777" w:rsidR="00E03645" w:rsidRDefault="00E03645" w:rsidP="00E03645">
      <w:pPr>
        <w:pStyle w:val="Italics"/>
      </w:pPr>
    </w:p>
    <w:p w14:paraId="3B9B06D3" w14:textId="77777777" w:rsidR="00A25A47" w:rsidRDefault="00EE67CB" w:rsidP="00E03645">
      <w:pPr>
        <w:pStyle w:val="Italics"/>
      </w:pPr>
      <w:r w:rsidRPr="00F13C29">
        <w:t>State the applicant</w:t>
      </w:r>
      <w:r w:rsidR="00A25A47">
        <w:t>’</w:t>
      </w:r>
      <w:r w:rsidRPr="00F13C29">
        <w:t>s experience with each selected service delivery model as specified.</w:t>
      </w:r>
    </w:p>
    <w:p w14:paraId="4561A8E4" w14:textId="77777777" w:rsidR="00E03645" w:rsidRDefault="00E03645" w:rsidP="00E03645">
      <w:pPr>
        <w:pStyle w:val="Italics"/>
      </w:pPr>
    </w:p>
    <w:p w14:paraId="4E9908C5" w14:textId="77777777" w:rsidR="00A25A47" w:rsidRDefault="00EE67CB" w:rsidP="00E03645">
      <w:pPr>
        <w:pStyle w:val="Italics"/>
      </w:pPr>
      <w:r w:rsidRPr="00F13C29">
        <w:t xml:space="preserve">For each service delivery model specified, include evidence of your competence or plan to achieve competence, to deliver that model. </w:t>
      </w:r>
      <w:r w:rsidRPr="008F73F3">
        <w:t>This may include building experience under the supervision of an</w:t>
      </w:r>
      <w:r>
        <w:t xml:space="preserve">other experienced approved or licensed </w:t>
      </w:r>
      <w:r w:rsidRPr="008F73F3">
        <w:t>drug checking organisation.</w:t>
      </w:r>
    </w:p>
    <w:p w14:paraId="5FF25484" w14:textId="77777777" w:rsidR="00E03645" w:rsidRDefault="00E03645" w:rsidP="00E03645"/>
    <w:p w14:paraId="6EA13BD2" w14:textId="77777777" w:rsidR="00A25A47" w:rsidRDefault="00EE67CB" w:rsidP="009B3E0F">
      <w:pPr>
        <w:pStyle w:val="Heading2"/>
      </w:pPr>
      <w:bookmarkStart w:id="37" w:name="_Toc98861460"/>
      <w:bookmarkStart w:id="38" w:name="_Toc99377706"/>
      <w:r w:rsidRPr="009502A5">
        <w:lastRenderedPageBreak/>
        <w:t>Target audiences</w:t>
      </w:r>
      <w:r>
        <w:t>,</w:t>
      </w:r>
      <w:r w:rsidRPr="009502A5">
        <w:t xml:space="preserve"> including equity and accessibility considerations</w:t>
      </w:r>
      <w:bookmarkEnd w:id="37"/>
      <w:bookmarkEnd w:id="38"/>
    </w:p>
    <w:p w14:paraId="3A80C866" w14:textId="77777777" w:rsidR="00A25A47" w:rsidRDefault="00EE67CB" w:rsidP="00687509">
      <w:pPr>
        <w:keepNext/>
      </w:pPr>
      <w:r>
        <w:t xml:space="preserve">Equity and accessibility are key considerations for the Ministry of Health. To this end, the </w:t>
      </w:r>
      <w:proofErr w:type="spellStart"/>
      <w:r>
        <w:t>MoDA</w:t>
      </w:r>
      <w:proofErr w:type="spellEnd"/>
      <w:r>
        <w:t xml:space="preserve"> regulations require all drug checking licence holders to have demonstrated they have taken </w:t>
      </w:r>
      <w:r w:rsidRPr="003E7791">
        <w:t xml:space="preserve">reasonable steps to </w:t>
      </w:r>
      <w:r>
        <w:t xml:space="preserve">provide equitable services and maximise </w:t>
      </w:r>
      <w:r w:rsidRPr="003E7791">
        <w:t>accessibility</w:t>
      </w:r>
      <w:r>
        <w:t xml:space="preserve">. </w:t>
      </w:r>
      <w:r w:rsidRPr="0088254D">
        <w:t>A key principle of the licensing system is that the system should enable a wide variety of approaches at a range of locations.</w:t>
      </w:r>
    </w:p>
    <w:p w14:paraId="7994B41D" w14:textId="77777777" w:rsidR="00E03645" w:rsidRDefault="00E03645" w:rsidP="00687509">
      <w:pPr>
        <w:keepNext/>
      </w:pPr>
    </w:p>
    <w:p w14:paraId="58CEAC2D" w14:textId="77777777" w:rsidR="00A25A47" w:rsidRPr="00687509" w:rsidRDefault="00EE67CB" w:rsidP="00687509">
      <w:pPr>
        <w:keepNext/>
        <w:ind w:right="-567"/>
        <w:rPr>
          <w:spacing w:val="-2"/>
        </w:rPr>
      </w:pPr>
      <w:r w:rsidRPr="00687509">
        <w:rPr>
          <w:spacing w:val="-2"/>
        </w:rPr>
        <w:t>Over time, the Ministry plans to extend drug checking services to increase access among particular groups experiencing health inequities, such as Māori, people with disabilities, rainbow communities, homeless populations and people experiencing substance dependence.</w:t>
      </w:r>
    </w:p>
    <w:p w14:paraId="0BB02D11" w14:textId="77777777" w:rsidR="00E03645" w:rsidRDefault="00E03645" w:rsidP="00687509">
      <w:pPr>
        <w:keepNext/>
      </w:pPr>
    </w:p>
    <w:p w14:paraId="00BD9C2D" w14:textId="77777777" w:rsidR="00A25A47" w:rsidRDefault="00EE67CB" w:rsidP="00687509">
      <w:pPr>
        <w:keepNext/>
      </w:pPr>
      <w:r>
        <w:t>Applicants must outline the ways in which their service will take equity and accessibility into account.</w:t>
      </w:r>
    </w:p>
    <w:p w14:paraId="051D2A44" w14:textId="77777777" w:rsidR="00E03645" w:rsidRDefault="00E03645" w:rsidP="00687509">
      <w:pPr>
        <w:keepNext/>
      </w:pPr>
    </w:p>
    <w:p w14:paraId="4AEB23DB" w14:textId="77777777" w:rsidR="00EE67CB" w:rsidRDefault="00EE67CB" w:rsidP="00687509">
      <w:pPr>
        <w:keepNext/>
      </w:pPr>
      <w:r>
        <w:t>As examples, methods of</w:t>
      </w:r>
      <w:r w:rsidRPr="0049652B">
        <w:t xml:space="preserve"> increas</w:t>
      </w:r>
      <w:r>
        <w:t>ing</w:t>
      </w:r>
      <w:r w:rsidRPr="0049652B">
        <w:t xml:space="preserve"> equitable access include providing resources in other languages and </w:t>
      </w:r>
      <w:r>
        <w:t xml:space="preserve">providing targeted </w:t>
      </w:r>
      <w:r w:rsidRPr="0049652B">
        <w:t>resources for people with disabilities. We</w:t>
      </w:r>
      <w:r>
        <w:t xml:space="preserve"> acknowledge that resource limitations may affect services</w:t>
      </w:r>
      <w:r w:rsidR="00A25A47">
        <w:t>’</w:t>
      </w:r>
      <w:r>
        <w:t xml:space="preserve"> ability to implement such measures, but note that, where possible, services should aim to improve equity and accessibility considerations over time.</w:t>
      </w:r>
    </w:p>
    <w:p w14:paraId="39CB73E4" w14:textId="77777777" w:rsidR="00E03645" w:rsidRDefault="00E03645" w:rsidP="00687509">
      <w:pPr>
        <w:keepNext/>
      </w:pPr>
    </w:p>
    <w:p w14:paraId="4D29B88F" w14:textId="77777777" w:rsidR="00A25A47" w:rsidRDefault="00EE67CB" w:rsidP="00687509">
      <w:pPr>
        <w:keepNext/>
      </w:pPr>
      <w:r w:rsidRPr="003E7791">
        <w:t xml:space="preserve">The Ministry </w:t>
      </w:r>
      <w:r>
        <w:t>takes into consideration</w:t>
      </w:r>
      <w:r w:rsidRPr="003E7791">
        <w:t xml:space="preserve"> cost, licence holder capability and the accessibility </w:t>
      </w:r>
      <w:r>
        <w:t xml:space="preserve">limitations </w:t>
      </w:r>
      <w:r w:rsidRPr="003E7791">
        <w:t xml:space="preserve">of the </w:t>
      </w:r>
      <w:r>
        <w:t xml:space="preserve">particular </w:t>
      </w:r>
      <w:r w:rsidRPr="003E7791">
        <w:t>location where drug checking will be provided.</w:t>
      </w:r>
    </w:p>
    <w:p w14:paraId="549A31C5" w14:textId="77777777" w:rsidR="00E03645" w:rsidRDefault="00E03645" w:rsidP="00687509">
      <w:pPr>
        <w:keepNext/>
      </w:pPr>
    </w:p>
    <w:p w14:paraId="3A743B04" w14:textId="77777777" w:rsidR="00EE67CB" w:rsidRDefault="00EE67CB" w:rsidP="00E03645">
      <w:r w:rsidRPr="00B769F7">
        <w:t xml:space="preserve">The </w:t>
      </w:r>
      <w:r>
        <w:t xml:space="preserve">Ministry will not restrict licences according </w:t>
      </w:r>
      <w:r w:rsidRPr="00B769F7">
        <w:t>to the target audiences</w:t>
      </w:r>
      <w:r>
        <w:t xml:space="preserve"> and equity and accessibility considerations specified in the application</w:t>
      </w:r>
      <w:r w:rsidRPr="00B769F7">
        <w:t xml:space="preserve">. </w:t>
      </w:r>
      <w:r>
        <w:t>Rather, the Director-General will use t</w:t>
      </w:r>
      <w:r w:rsidRPr="00B769F7">
        <w:t>his i</w:t>
      </w:r>
      <w:r>
        <w:t xml:space="preserve">nformation </w:t>
      </w:r>
      <w:r w:rsidRPr="00B769F7">
        <w:t>to gauge the intention</w:t>
      </w:r>
      <w:r>
        <w:t>s</w:t>
      </w:r>
      <w:r w:rsidRPr="00B769F7">
        <w:t xml:space="preserve"> of the applicant.</w:t>
      </w:r>
    </w:p>
    <w:p w14:paraId="1808EA3D" w14:textId="77777777" w:rsidR="00E03645" w:rsidRPr="00B769F7" w:rsidRDefault="00E03645" w:rsidP="00E03645"/>
    <w:p w14:paraId="290EDB36" w14:textId="77777777" w:rsidR="00EE67CB" w:rsidRPr="006D0C1E" w:rsidRDefault="00EE67CB" w:rsidP="00E03645">
      <w:pPr>
        <w:pStyle w:val="Italics"/>
      </w:pPr>
      <w:r>
        <w:t>D</w:t>
      </w:r>
      <w:r w:rsidRPr="006D0C1E">
        <w:t>escribe the steps</w:t>
      </w:r>
      <w:r>
        <w:t xml:space="preserve"> you have </w:t>
      </w:r>
      <w:r w:rsidRPr="006D0C1E">
        <w:t>taken to improve inequity or improve or maintain accessibility (where practical)</w:t>
      </w:r>
      <w:r>
        <w:t>, in terms of</w:t>
      </w:r>
      <w:r w:rsidRPr="006D0C1E">
        <w:t>:</w:t>
      </w:r>
    </w:p>
    <w:p w14:paraId="39FC712C" w14:textId="77777777" w:rsidR="00EE67CB" w:rsidRPr="006D0C1E" w:rsidRDefault="00EE67CB" w:rsidP="00E03645">
      <w:pPr>
        <w:pStyle w:val="ItalicsBullet"/>
      </w:pPr>
      <w:r w:rsidRPr="006D0C1E">
        <w:t>location (</w:t>
      </w:r>
      <w:proofErr w:type="spellStart"/>
      <w:r w:rsidRPr="006D0C1E">
        <w:t>eg</w:t>
      </w:r>
      <w:proofErr w:type="spellEnd"/>
      <w:r w:rsidRPr="006D0C1E">
        <w:t>, national, regional)</w:t>
      </w:r>
    </w:p>
    <w:p w14:paraId="248E748F" w14:textId="77777777" w:rsidR="00EE67CB" w:rsidRPr="006D0C1E" w:rsidRDefault="00EE67CB" w:rsidP="00E03645">
      <w:pPr>
        <w:pStyle w:val="ItalicsBullet"/>
      </w:pPr>
      <w:r w:rsidRPr="006D0C1E">
        <w:t xml:space="preserve">primary target audiences, </w:t>
      </w:r>
      <w:r>
        <w:t xml:space="preserve">taking </w:t>
      </w:r>
      <w:r w:rsidRPr="006D0C1E">
        <w:t xml:space="preserve">health inequities </w:t>
      </w:r>
      <w:r>
        <w:t xml:space="preserve">into account </w:t>
      </w:r>
      <w:r w:rsidRPr="006D0C1E">
        <w:t>(</w:t>
      </w:r>
      <w:proofErr w:type="spellStart"/>
      <w:r w:rsidRPr="006D0C1E">
        <w:t>eg</w:t>
      </w:r>
      <w:proofErr w:type="spellEnd"/>
      <w:r w:rsidRPr="006D0C1E">
        <w:t>, Māori, rainbow communities, youth,</w:t>
      </w:r>
      <w:r>
        <w:t xml:space="preserve"> people experiencing</w:t>
      </w:r>
      <w:r w:rsidRPr="006D0C1E">
        <w:t xml:space="preserve"> homeless</w:t>
      </w:r>
      <w:r>
        <w:t>ness</w:t>
      </w:r>
      <w:r w:rsidRPr="006D0C1E">
        <w:t>, rural</w:t>
      </w:r>
      <w:r>
        <w:t xml:space="preserve"> populations</w:t>
      </w:r>
      <w:r w:rsidRPr="006D0C1E">
        <w:t>, urban</w:t>
      </w:r>
      <w:r>
        <w:t xml:space="preserve"> populations</w:t>
      </w:r>
      <w:r w:rsidRPr="006D0C1E">
        <w:t>)</w:t>
      </w:r>
    </w:p>
    <w:p w14:paraId="081A680C" w14:textId="77777777" w:rsidR="00EE67CB" w:rsidRPr="006D0C1E" w:rsidRDefault="00EE67CB" w:rsidP="00E03645">
      <w:pPr>
        <w:pStyle w:val="ItalicsBullet"/>
      </w:pPr>
      <w:r w:rsidRPr="006D0C1E">
        <w:t>frequency (</w:t>
      </w:r>
      <w:proofErr w:type="spellStart"/>
      <w:r w:rsidRPr="006D0C1E">
        <w:t>eg</w:t>
      </w:r>
      <w:proofErr w:type="spellEnd"/>
      <w:r w:rsidRPr="006D0C1E">
        <w:t>, regular clinics, seasonal events)</w:t>
      </w:r>
    </w:p>
    <w:p w14:paraId="78163C85" w14:textId="77777777" w:rsidR="00EE67CB" w:rsidRDefault="00EE67CB" w:rsidP="00E03645">
      <w:pPr>
        <w:pStyle w:val="ItalicsBullet"/>
      </w:pPr>
      <w:r w:rsidRPr="006D0C1E">
        <w:t>technology and testing methods (</w:t>
      </w:r>
      <w:r>
        <w:t xml:space="preserve">see </w:t>
      </w:r>
      <w:r w:rsidRPr="006D0C1E">
        <w:t>testing section below).</w:t>
      </w:r>
    </w:p>
    <w:p w14:paraId="081CA1F2" w14:textId="77777777" w:rsidR="00E03645" w:rsidRDefault="00E03645" w:rsidP="00E03645">
      <w:pPr>
        <w:pStyle w:val="Italics"/>
      </w:pPr>
    </w:p>
    <w:p w14:paraId="4D7D7C7B" w14:textId="77777777" w:rsidR="00EE67CB" w:rsidRPr="007F6E54" w:rsidRDefault="00EE67CB" w:rsidP="00687509">
      <w:pPr>
        <w:pStyle w:val="Italics"/>
        <w:ind w:right="-567"/>
      </w:pPr>
      <w:r w:rsidRPr="007F6E54">
        <w:t>Note any accessibility and/or equity considerations which are being considered, for example:</w:t>
      </w:r>
    </w:p>
    <w:p w14:paraId="621D6408" w14:textId="77777777" w:rsidR="00EE67CB" w:rsidRPr="007F6E54" w:rsidRDefault="00EE67CB" w:rsidP="00E03645">
      <w:pPr>
        <w:pStyle w:val="ItalicsBullet"/>
      </w:pPr>
      <w:r w:rsidRPr="007F6E54">
        <w:t>wheelchair access</w:t>
      </w:r>
    </w:p>
    <w:p w14:paraId="1C936F95" w14:textId="77777777" w:rsidR="00EE67CB" w:rsidRPr="007F6E54" w:rsidRDefault="00EE67CB" w:rsidP="00E03645">
      <w:pPr>
        <w:pStyle w:val="ItalicsBullet"/>
      </w:pPr>
      <w:r w:rsidRPr="007F6E54">
        <w:t xml:space="preserve">information provided in visual form (for deaf </w:t>
      </w:r>
      <w:r w:rsidR="00687509">
        <w:t>and</w:t>
      </w:r>
      <w:r w:rsidRPr="007F6E54">
        <w:t xml:space="preserve"> hard of hearing clients)</w:t>
      </w:r>
    </w:p>
    <w:p w14:paraId="5F2C7773" w14:textId="77777777" w:rsidR="00A25A47" w:rsidRDefault="00EE67CB" w:rsidP="00E03645">
      <w:pPr>
        <w:pStyle w:val="ItalicsBullet"/>
      </w:pPr>
      <w:r w:rsidRPr="007F6E54">
        <w:t xml:space="preserve">information provided in audio form (for blind </w:t>
      </w:r>
      <w:r w:rsidR="00687509">
        <w:t>and</w:t>
      </w:r>
      <w:r w:rsidRPr="007F6E54">
        <w:t xml:space="preserve"> low vision clients)</w:t>
      </w:r>
    </w:p>
    <w:p w14:paraId="47EF6C31" w14:textId="77777777" w:rsidR="00EE67CB" w:rsidRPr="007F6E54" w:rsidRDefault="00EE67CB" w:rsidP="00E03645">
      <w:pPr>
        <w:pStyle w:val="ItalicsBullet"/>
      </w:pPr>
      <w:r w:rsidRPr="007F6E54">
        <w:t>information provided in additional languages (</w:t>
      </w:r>
      <w:proofErr w:type="spellStart"/>
      <w:r w:rsidRPr="007F6E54">
        <w:t>eg</w:t>
      </w:r>
      <w:proofErr w:type="spellEnd"/>
      <w:r w:rsidRPr="007F6E54">
        <w:t xml:space="preserve">, </w:t>
      </w:r>
      <w:proofErr w:type="spellStart"/>
      <w:r w:rsidRPr="007F6E54">
        <w:t>te</w:t>
      </w:r>
      <w:proofErr w:type="spellEnd"/>
      <w:r w:rsidRPr="007F6E54">
        <w:t xml:space="preserve"> </w:t>
      </w:r>
      <w:proofErr w:type="spellStart"/>
      <w:r w:rsidRPr="007F6E54">
        <w:t>reo</w:t>
      </w:r>
      <w:proofErr w:type="spellEnd"/>
      <w:r w:rsidRPr="007F6E54">
        <w:t>)</w:t>
      </w:r>
    </w:p>
    <w:p w14:paraId="47165F7A" w14:textId="77777777" w:rsidR="00EE67CB" w:rsidRDefault="00EE67CB" w:rsidP="00E03645">
      <w:pPr>
        <w:pStyle w:val="ItalicsBullet"/>
      </w:pPr>
      <w:r w:rsidRPr="007F6E54">
        <w:t>any other relevant considerations such as improving or maintaining accessibility and equity</w:t>
      </w:r>
      <w:r>
        <w:t>.</w:t>
      </w:r>
    </w:p>
    <w:p w14:paraId="4059B6B1" w14:textId="77777777" w:rsidR="00A25A47" w:rsidRDefault="00EE67CB" w:rsidP="00687509">
      <w:pPr>
        <w:pStyle w:val="Heading2"/>
        <w:spacing w:before="720"/>
      </w:pPr>
      <w:bookmarkStart w:id="39" w:name="_Toc98861461"/>
      <w:bookmarkStart w:id="40" w:name="_Toc99377707"/>
      <w:r w:rsidRPr="009502A5">
        <w:lastRenderedPageBreak/>
        <w:t>Workforce structure</w:t>
      </w:r>
      <w:bookmarkEnd w:id="39"/>
      <w:bookmarkEnd w:id="40"/>
    </w:p>
    <w:p w14:paraId="4CC2894E" w14:textId="77777777" w:rsidR="00EE67CB" w:rsidRDefault="00EE67CB" w:rsidP="00687509">
      <w:r>
        <w:t>To determine whether an applicant</w:t>
      </w:r>
      <w:r w:rsidR="00A25A47">
        <w:t>’</w:t>
      </w:r>
      <w:r>
        <w:t xml:space="preserve">s </w:t>
      </w:r>
      <w:r w:rsidRPr="007B201A">
        <w:t>service model</w:t>
      </w:r>
      <w:r w:rsidRPr="00EE42F4">
        <w:t xml:space="preserve"> </w:t>
      </w:r>
      <w:r>
        <w:t xml:space="preserve">is </w:t>
      </w:r>
      <w:r w:rsidRPr="007B201A">
        <w:t>appropriate</w:t>
      </w:r>
      <w:r>
        <w:t xml:space="preserve"> and </w:t>
      </w:r>
      <w:r w:rsidRPr="00276EE1">
        <w:t>fit for purpose</w:t>
      </w:r>
      <w:r>
        <w:t>, we ask applicants to demonstrate how they will deliver services for each service model, including in terms of workforce structure.</w:t>
      </w:r>
    </w:p>
    <w:p w14:paraId="5E1A497B" w14:textId="77777777" w:rsidR="00E03645" w:rsidRDefault="00E03645" w:rsidP="00687509"/>
    <w:p w14:paraId="3181CCD9" w14:textId="77777777" w:rsidR="00EE67CB" w:rsidRPr="008C20E0" w:rsidRDefault="00EE67CB" w:rsidP="00687509">
      <w:r>
        <w:t>When possible (taking into account resourcing limitations), applicants should take equity and accessibility considerations into account when planning workforce structure. A more diverse workforce allows greater ability to provide effective services to a more diverse client base (in terms of ethnicity, gender, disability and so on).</w:t>
      </w:r>
    </w:p>
    <w:p w14:paraId="5B9C8084" w14:textId="77777777" w:rsidR="00E03645" w:rsidRDefault="00E03645" w:rsidP="00687509"/>
    <w:p w14:paraId="1DFB2012" w14:textId="77777777" w:rsidR="00A25A47" w:rsidRDefault="00EE67CB" w:rsidP="00687509">
      <w:r>
        <w:t>Applicants should clearly articulate t</w:t>
      </w:r>
      <w:r w:rsidRPr="005C78D3">
        <w:t xml:space="preserve">he process </w:t>
      </w:r>
      <w:r>
        <w:t xml:space="preserve">they will follow when </w:t>
      </w:r>
      <w:r w:rsidRPr="005C78D3">
        <w:t>escalatin</w:t>
      </w:r>
      <w:r>
        <w:t>g</w:t>
      </w:r>
      <w:r w:rsidRPr="005C78D3">
        <w:t xml:space="preserve"> </w:t>
      </w:r>
      <w:r>
        <w:t xml:space="preserve">potential issues </w:t>
      </w:r>
      <w:r w:rsidRPr="005C78D3">
        <w:t xml:space="preserve">to organisational leadership or other </w:t>
      </w:r>
      <w:r>
        <w:t xml:space="preserve">agencies </w:t>
      </w:r>
      <w:r w:rsidRPr="005C78D3">
        <w:t>(</w:t>
      </w:r>
      <w:proofErr w:type="spellStart"/>
      <w:r w:rsidRPr="005C78D3">
        <w:t>eg</w:t>
      </w:r>
      <w:proofErr w:type="spellEnd"/>
      <w:r w:rsidRPr="005C78D3">
        <w:t xml:space="preserve">, </w:t>
      </w:r>
      <w:r>
        <w:t>the p</w:t>
      </w:r>
      <w:r w:rsidRPr="005C78D3">
        <w:t>olice</w:t>
      </w:r>
      <w:r>
        <w:t xml:space="preserve"> or </w:t>
      </w:r>
      <w:r w:rsidRPr="00444BAA">
        <w:t>Drug Information and Alerts Aotearoa New Zealand (DIANZ</w:t>
      </w:r>
      <w:r>
        <w:t>),</w:t>
      </w:r>
      <w:r w:rsidRPr="00E03645">
        <w:rPr>
          <w:rStyle w:val="FootnoteReference"/>
        </w:rPr>
        <w:footnoteReference w:id="2"/>
      </w:r>
      <w:r>
        <w:t xml:space="preserve"> including </w:t>
      </w:r>
      <w:r w:rsidRPr="005C78D3">
        <w:t>what factors would trigger escalation to whom and when.</w:t>
      </w:r>
    </w:p>
    <w:p w14:paraId="460A1D64" w14:textId="77777777" w:rsidR="00E03645" w:rsidRDefault="00E03645" w:rsidP="00687509"/>
    <w:p w14:paraId="0D1670C7" w14:textId="77777777" w:rsidR="00EE67CB" w:rsidRPr="000037F9" w:rsidRDefault="00EE67CB" w:rsidP="00687509">
      <w:pPr>
        <w:pStyle w:val="Italics"/>
      </w:pPr>
      <w:r w:rsidRPr="000037F9">
        <w:t xml:space="preserve">Please </w:t>
      </w:r>
      <w:r>
        <w:t xml:space="preserve">provide </w:t>
      </w:r>
      <w:r w:rsidRPr="000037F9">
        <w:t>the following information for each service delivery model you use</w:t>
      </w:r>
      <w:r>
        <w:t>, or intend to use</w:t>
      </w:r>
      <w:r w:rsidRPr="000037F9">
        <w:t>:</w:t>
      </w:r>
    </w:p>
    <w:p w14:paraId="30F147E7" w14:textId="77777777" w:rsidR="00A25A47" w:rsidRDefault="00EE67CB" w:rsidP="00687509">
      <w:pPr>
        <w:pStyle w:val="ItalicsBullet"/>
      </w:pPr>
      <w:r w:rsidRPr="000037F9">
        <w:t>workforce structure (volunteer, employed or both)</w:t>
      </w:r>
    </w:p>
    <w:p w14:paraId="336038F1" w14:textId="77777777" w:rsidR="00EE67CB" w:rsidRPr="000037F9" w:rsidRDefault="00EE67CB" w:rsidP="00687509">
      <w:pPr>
        <w:pStyle w:val="ItalicsBullet"/>
      </w:pPr>
      <w:r w:rsidRPr="000037F9">
        <w:t>worker numbers during drug checking, including minimum number of workers for each service delivery model</w:t>
      </w:r>
    </w:p>
    <w:p w14:paraId="0D754F18" w14:textId="77777777" w:rsidR="00EE67CB" w:rsidRPr="000037F9" w:rsidRDefault="00EE67CB" w:rsidP="00E03645">
      <w:pPr>
        <w:pStyle w:val="ItalicsBullet"/>
      </w:pPr>
      <w:r w:rsidRPr="000037F9">
        <w:t xml:space="preserve">roles workers </w:t>
      </w:r>
      <w:r>
        <w:t xml:space="preserve">hold </w:t>
      </w:r>
      <w:r w:rsidRPr="000037F9">
        <w:t>(</w:t>
      </w:r>
      <w:proofErr w:type="spellStart"/>
      <w:r w:rsidRPr="000037F9">
        <w:t>eg</w:t>
      </w:r>
      <w:proofErr w:type="spellEnd"/>
      <w:r w:rsidRPr="000037F9">
        <w:t xml:space="preserve">, supervision, leadership, drug testers, harm reduction workers, </w:t>
      </w:r>
      <w:r w:rsidR="00A25A47">
        <w:t>‘</w:t>
      </w:r>
      <w:r w:rsidRPr="000037F9">
        <w:t>welcome</w:t>
      </w:r>
      <w:r w:rsidR="00A25A47">
        <w:t>’</w:t>
      </w:r>
      <w:r w:rsidRPr="000037F9">
        <w:t xml:space="preserve"> worker</w:t>
      </w:r>
      <w:r>
        <w:t>,</w:t>
      </w:r>
      <w:r w:rsidRPr="000037F9">
        <w:t xml:space="preserve"> etc)</w:t>
      </w:r>
    </w:p>
    <w:p w14:paraId="68680184" w14:textId="77777777" w:rsidR="00A25A47" w:rsidRDefault="00EE67CB" w:rsidP="00E03645">
      <w:pPr>
        <w:pStyle w:val="ItalicsBullet"/>
      </w:pPr>
      <w:r w:rsidRPr="000037F9">
        <w:t>supervision and leadership in place</w:t>
      </w:r>
    </w:p>
    <w:p w14:paraId="790F0ED3" w14:textId="77777777" w:rsidR="00EE67CB" w:rsidRDefault="00EE67CB" w:rsidP="00E03645">
      <w:pPr>
        <w:pStyle w:val="ItalicsBullet"/>
      </w:pPr>
      <w:r w:rsidRPr="000037F9">
        <w:t xml:space="preserve">training or qualifications </w:t>
      </w:r>
      <w:r>
        <w:t>(</w:t>
      </w:r>
      <w:proofErr w:type="spellStart"/>
      <w:r>
        <w:t>eg</w:t>
      </w:r>
      <w:proofErr w:type="spellEnd"/>
      <w:r>
        <w:t xml:space="preserve">, applicable science degree) </w:t>
      </w:r>
      <w:r w:rsidRPr="000037F9">
        <w:t xml:space="preserve">required </w:t>
      </w:r>
      <w:r>
        <w:t xml:space="preserve">for each </w:t>
      </w:r>
      <w:r w:rsidRPr="000037F9">
        <w:t>role</w:t>
      </w:r>
      <w:r>
        <w:t>.</w:t>
      </w:r>
    </w:p>
    <w:p w14:paraId="51B8A7BE" w14:textId="77777777" w:rsidR="00E03645" w:rsidRDefault="00E03645" w:rsidP="00E03645">
      <w:pPr>
        <w:pStyle w:val="Italics"/>
      </w:pPr>
    </w:p>
    <w:p w14:paraId="3407FDDD" w14:textId="77777777" w:rsidR="00EE67CB" w:rsidRDefault="00EE67CB" w:rsidP="00E03645">
      <w:pPr>
        <w:pStyle w:val="Italics"/>
      </w:pPr>
      <w:r w:rsidRPr="00462315">
        <w:t>Outline processes for escalation to organisational leadership or other (</w:t>
      </w:r>
      <w:proofErr w:type="spellStart"/>
      <w:r w:rsidRPr="00462315">
        <w:t>eg</w:t>
      </w:r>
      <w:proofErr w:type="spellEnd"/>
      <w:r w:rsidRPr="00462315">
        <w:t xml:space="preserve">, </w:t>
      </w:r>
      <w:r>
        <w:t xml:space="preserve">organisation supervisor, </w:t>
      </w:r>
      <w:r w:rsidRPr="00462315">
        <w:t>police/</w:t>
      </w:r>
      <w:r>
        <w:t>DIANZ</w:t>
      </w:r>
      <w:r w:rsidRPr="00462315">
        <w:t>), should issues arise and what factors would trigger escalation to whom and when.</w:t>
      </w:r>
    </w:p>
    <w:p w14:paraId="31A2D8F5" w14:textId="77777777" w:rsidR="00E03645" w:rsidRPr="00462315" w:rsidRDefault="00E03645" w:rsidP="00E03645"/>
    <w:p w14:paraId="4F6A0865" w14:textId="77777777" w:rsidR="00A25A47" w:rsidRDefault="00EE67CB" w:rsidP="009B3E0F">
      <w:pPr>
        <w:pStyle w:val="Heading1"/>
      </w:pPr>
      <w:bookmarkStart w:id="41" w:name="_Toc98861462"/>
      <w:bookmarkStart w:id="42" w:name="_Toc99377708"/>
      <w:r w:rsidRPr="00AE33E7">
        <w:lastRenderedPageBreak/>
        <w:t>Drug checking service provider functions</w:t>
      </w:r>
      <w:bookmarkEnd w:id="41"/>
      <w:bookmarkEnd w:id="42"/>
    </w:p>
    <w:p w14:paraId="31D0D8EB" w14:textId="77777777" w:rsidR="00EE67CB" w:rsidRDefault="00EE67CB" w:rsidP="00152E9B">
      <w:r>
        <w:t>Drug checking</w:t>
      </w:r>
      <w:r w:rsidRPr="002B4BF7">
        <w:t xml:space="preserve"> </w:t>
      </w:r>
      <w:r>
        <w:t xml:space="preserve">service provider </w:t>
      </w:r>
      <w:r w:rsidRPr="002B4BF7">
        <w:t xml:space="preserve">functions </w:t>
      </w:r>
      <w:r>
        <w:t>include the</w:t>
      </w:r>
      <w:r w:rsidRPr="002B4BF7">
        <w:t xml:space="preserve"> following:</w:t>
      </w:r>
    </w:p>
    <w:p w14:paraId="341E7B20" w14:textId="77777777" w:rsidR="00EE67CB" w:rsidRPr="00152E9B" w:rsidRDefault="00EE67CB" w:rsidP="00152E9B">
      <w:pPr>
        <w:pStyle w:val="Bullet"/>
      </w:pPr>
      <w:r w:rsidRPr="00152E9B">
        <w:t>Harm reduction advice: Provide accurate and appropriate harm reduction advice about particular substances, to help individuals make informed decisions. Partnering with another organisation to provide this function may be appropriate.</w:t>
      </w:r>
    </w:p>
    <w:p w14:paraId="1066469B" w14:textId="77777777" w:rsidR="00EE67CB" w:rsidRPr="00152E9B" w:rsidRDefault="00EE67CB" w:rsidP="00152E9B">
      <w:pPr>
        <w:pStyle w:val="Bullet"/>
      </w:pPr>
      <w:r w:rsidRPr="00152E9B">
        <w:t>Drug checking testing: Test any drug that an individual presents for checking, within the capabilities of testing technology available.</w:t>
      </w:r>
    </w:p>
    <w:p w14:paraId="3EAF62D4" w14:textId="77777777" w:rsidR="00EE67CB" w:rsidRPr="00152E9B" w:rsidRDefault="00EE67CB" w:rsidP="00152E9B">
      <w:pPr>
        <w:pStyle w:val="Bullet"/>
      </w:pPr>
      <w:r w:rsidRPr="00152E9B">
        <w:t>Results of testing: Advise individuals about the outcome of the testing.</w:t>
      </w:r>
    </w:p>
    <w:p w14:paraId="696F3388" w14:textId="77777777" w:rsidR="00EE67CB" w:rsidRPr="00152E9B" w:rsidRDefault="00EE67CB" w:rsidP="00152E9B">
      <w:pPr>
        <w:pStyle w:val="Bullet"/>
      </w:pPr>
      <w:r w:rsidRPr="00152E9B">
        <w:t>Sample return: Return the drug to the individual, as appropriate.</w:t>
      </w:r>
    </w:p>
    <w:p w14:paraId="6A18E469" w14:textId="77777777" w:rsidR="00EE67CB" w:rsidRPr="00152E9B" w:rsidRDefault="00EE67CB" w:rsidP="00152E9B">
      <w:pPr>
        <w:pStyle w:val="Bullet"/>
      </w:pPr>
      <w:r w:rsidRPr="00152E9B">
        <w:t>Sample disposal: Dispose of any sample used in testing.</w:t>
      </w:r>
    </w:p>
    <w:p w14:paraId="57FF8196" w14:textId="77777777" w:rsidR="00EE67CB" w:rsidRPr="00152E9B" w:rsidRDefault="00EE67CB" w:rsidP="00152E9B">
      <w:pPr>
        <w:pStyle w:val="Bullet"/>
      </w:pPr>
      <w:r w:rsidRPr="00152E9B">
        <w:t>Disposal (or arrangement of disposal) of surrendered drug: Dispose (or arrange for the disposal of) any drug surrendered by an individual for disposal.</w:t>
      </w:r>
    </w:p>
    <w:p w14:paraId="001B317C" w14:textId="77777777" w:rsidR="00EE67CB" w:rsidRPr="00152E9B" w:rsidRDefault="00EE67CB" w:rsidP="00152E9B">
      <w:pPr>
        <w:pStyle w:val="Bullet"/>
      </w:pPr>
      <w:r w:rsidRPr="00152E9B">
        <w:t>Further testing: Arrange for a sample of a drug to be tested by an approved laboratory where applicable.</w:t>
      </w:r>
    </w:p>
    <w:p w14:paraId="2E461B4B" w14:textId="77777777" w:rsidR="00EE67CB" w:rsidRDefault="00EE67CB" w:rsidP="00152E9B">
      <w:pPr>
        <w:pStyle w:val="Bullet"/>
      </w:pPr>
      <w:r w:rsidRPr="00152E9B">
        <w:t>Training: Train (or arrange for the training of) the service provider</w:t>
      </w:r>
      <w:r w:rsidR="00A25A47" w:rsidRPr="00152E9B">
        <w:t>’</w:t>
      </w:r>
      <w:r w:rsidRPr="00152E9B">
        <w:t xml:space="preserve">s workers to perform the functions specified </w:t>
      </w:r>
      <w:r w:rsidRPr="00843218">
        <w:t xml:space="preserve">in </w:t>
      </w:r>
      <w:r>
        <w:t xml:space="preserve">section </w:t>
      </w:r>
      <w:r w:rsidRPr="00843218">
        <w:t>35DB (a)</w:t>
      </w:r>
      <w:r>
        <w:t>–</w:t>
      </w:r>
      <w:r w:rsidRPr="00843218">
        <w:t>(g) (including by using, for training purposes, drugs that have been surrendered for disposal).</w:t>
      </w:r>
    </w:p>
    <w:p w14:paraId="5291DD65" w14:textId="77777777" w:rsidR="00152E9B" w:rsidRPr="00843218" w:rsidRDefault="00152E9B" w:rsidP="00152E9B"/>
    <w:p w14:paraId="40E7490D" w14:textId="77777777" w:rsidR="00EE67CB" w:rsidRPr="009C50C0" w:rsidRDefault="00EE67CB" w:rsidP="009B3E0F">
      <w:pPr>
        <w:pStyle w:val="Heading2"/>
      </w:pPr>
      <w:bookmarkStart w:id="43" w:name="_Toc98861463"/>
      <w:bookmarkStart w:id="44" w:name="_Toc99377709"/>
      <w:r>
        <w:lastRenderedPageBreak/>
        <w:t>Provision of d</w:t>
      </w:r>
      <w:r w:rsidRPr="009502A5">
        <w:t>rug harm reduction advice with testing results</w:t>
      </w:r>
      <w:bookmarkEnd w:id="43"/>
      <w:bookmarkEnd w:id="44"/>
    </w:p>
    <w:p w14:paraId="03EA5E01" w14:textId="77777777" w:rsidR="00A25A47" w:rsidRDefault="00EE67CB" w:rsidP="00687509">
      <w:pPr>
        <w:keepNext/>
      </w:pPr>
      <w:r>
        <w:t xml:space="preserve">The </w:t>
      </w:r>
      <w:r w:rsidRPr="007B201A">
        <w:t xml:space="preserve">Director-General </w:t>
      </w:r>
      <w:r>
        <w:t xml:space="preserve">of Health </w:t>
      </w:r>
      <w:r w:rsidRPr="007B201A">
        <w:t xml:space="preserve">may </w:t>
      </w:r>
      <w:r>
        <w:t xml:space="preserve">only </w:t>
      </w:r>
      <w:r w:rsidRPr="007B201A">
        <w:t xml:space="preserve">issue a licence if satisfied </w:t>
      </w:r>
      <w:r>
        <w:t>the</w:t>
      </w:r>
      <w:r w:rsidRPr="007B201A">
        <w:t xml:space="preserve"> applicant </w:t>
      </w:r>
      <w:r>
        <w:t>will provide accurate</w:t>
      </w:r>
      <w:r w:rsidRPr="007B201A">
        <w:t xml:space="preserve"> </w:t>
      </w:r>
      <w:r>
        <w:t xml:space="preserve">and </w:t>
      </w:r>
      <w:r w:rsidRPr="007B201A">
        <w:t>appropriate</w:t>
      </w:r>
      <w:r>
        <w:t xml:space="preserve"> </w:t>
      </w:r>
      <w:r w:rsidRPr="007B201A">
        <w:t xml:space="preserve">harm reduction advice. </w:t>
      </w:r>
      <w:r w:rsidRPr="00B97773">
        <w:t xml:space="preserve">Failure to provide </w:t>
      </w:r>
      <w:r>
        <w:t xml:space="preserve">harm reduction </w:t>
      </w:r>
      <w:r w:rsidRPr="00B97773">
        <w:t xml:space="preserve">advice is a breach of </w:t>
      </w:r>
      <w:r>
        <w:t>a drug checking service provider</w:t>
      </w:r>
      <w:r w:rsidR="00A25A47">
        <w:t>’</w:t>
      </w:r>
      <w:r>
        <w:t xml:space="preserve">s </w:t>
      </w:r>
      <w:r w:rsidRPr="00B97773">
        <w:t>licence conditions.</w:t>
      </w:r>
    </w:p>
    <w:p w14:paraId="5124FD84" w14:textId="77777777" w:rsidR="00152E9B" w:rsidRDefault="00152E9B" w:rsidP="00687509">
      <w:pPr>
        <w:keepNext/>
      </w:pPr>
    </w:p>
    <w:p w14:paraId="131E90CA" w14:textId="77777777" w:rsidR="00EE67CB" w:rsidRPr="0014791D" w:rsidRDefault="00EE67CB" w:rsidP="00687509">
      <w:pPr>
        <w:keepNext/>
      </w:pPr>
      <w:r>
        <w:t>D</w:t>
      </w:r>
      <w:r w:rsidRPr="00B97773">
        <w:t xml:space="preserve">rug checking </w:t>
      </w:r>
      <w:r>
        <w:t xml:space="preserve">service </w:t>
      </w:r>
      <w:r w:rsidRPr="00B97773">
        <w:t>providers</w:t>
      </w:r>
      <w:r>
        <w:t xml:space="preserve"> must provide </w:t>
      </w:r>
      <w:r w:rsidRPr="00B97773">
        <w:t xml:space="preserve">anyone who receives test results for a </w:t>
      </w:r>
      <w:r>
        <w:t xml:space="preserve">particular </w:t>
      </w:r>
      <w:r w:rsidRPr="00B97773">
        <w:t xml:space="preserve">drug with information and advice relating to </w:t>
      </w:r>
      <w:r>
        <w:t xml:space="preserve">harm reduction for </w:t>
      </w:r>
      <w:r w:rsidRPr="00B97773">
        <w:t>that drug</w:t>
      </w:r>
      <w:r>
        <w:t>, specific to the person, their circumstances and the drug identified</w:t>
      </w:r>
      <w:r w:rsidRPr="00B97773">
        <w:t xml:space="preserve">. </w:t>
      </w:r>
      <w:r>
        <w:t>They should also explain limitations to results provided (</w:t>
      </w:r>
      <w:proofErr w:type="spellStart"/>
      <w:r>
        <w:t>eg</w:t>
      </w:r>
      <w:proofErr w:type="spellEnd"/>
      <w:r>
        <w:t>, there may have been other drugs within the substance that have not been detected in the test result).</w:t>
      </w:r>
    </w:p>
    <w:p w14:paraId="16A55513" w14:textId="77777777" w:rsidR="00152E9B" w:rsidRDefault="00152E9B" w:rsidP="00687509">
      <w:pPr>
        <w:keepNext/>
      </w:pPr>
    </w:p>
    <w:p w14:paraId="5FBD7C83" w14:textId="77777777" w:rsidR="00A25A47" w:rsidRDefault="00EE67CB" w:rsidP="00687509">
      <w:pPr>
        <w:keepNext/>
      </w:pPr>
      <w:r>
        <w:t>If testing does not indicate the likely identity of the drug but the provider has a reasonable idea of what it may be, the provider can provide advice on the drug that they think it is alongside advice on consumption of a drug of an unknown identity.</w:t>
      </w:r>
    </w:p>
    <w:p w14:paraId="035E99CA" w14:textId="77777777" w:rsidR="00152E9B" w:rsidRDefault="00152E9B" w:rsidP="00687509">
      <w:pPr>
        <w:keepNext/>
      </w:pPr>
    </w:p>
    <w:p w14:paraId="5F3E98F2" w14:textId="77777777" w:rsidR="00A25A47" w:rsidRDefault="00EE67CB" w:rsidP="00152E9B">
      <w:pPr>
        <w:keepNext/>
      </w:pPr>
      <w:r>
        <w:t>If testing does not indicate the likely identity of the drug, and the provider does not know what it is likely to be, the provider must provide general harm reduction advice.</w:t>
      </w:r>
    </w:p>
    <w:p w14:paraId="7F7E6F73" w14:textId="77777777" w:rsidR="00152E9B" w:rsidRDefault="00152E9B" w:rsidP="00152E9B"/>
    <w:p w14:paraId="3086926D" w14:textId="77777777" w:rsidR="00EE67CB" w:rsidRPr="0014791D" w:rsidRDefault="00EE67CB" w:rsidP="00152E9B">
      <w:r>
        <w:t xml:space="preserve">A </w:t>
      </w:r>
      <w:r w:rsidRPr="0014791D">
        <w:t xml:space="preserve">service provider does not breach </w:t>
      </w:r>
      <w:r>
        <w:t xml:space="preserve">their licence conditions </w:t>
      </w:r>
      <w:r w:rsidRPr="0014791D">
        <w:t>if, despite reasonable efforts being made to give the advice, the individual refuses to receive it.</w:t>
      </w:r>
    </w:p>
    <w:p w14:paraId="35AC3EFB" w14:textId="77777777" w:rsidR="00152E9B" w:rsidRDefault="00152E9B" w:rsidP="00152E9B"/>
    <w:p w14:paraId="2BF905CA" w14:textId="77777777" w:rsidR="00A25A47" w:rsidRDefault="00EE67CB" w:rsidP="00152E9B">
      <w:r w:rsidRPr="00121369">
        <w:t>Providers</w:t>
      </w:r>
      <w:r w:rsidRPr="0014791D">
        <w:t xml:space="preserve"> must present test results in a way </w:t>
      </w:r>
      <w:r>
        <w:t xml:space="preserve">that </w:t>
      </w:r>
      <w:r w:rsidRPr="0014791D">
        <w:t xml:space="preserve">makes it difficult for drug manufacturers (or dealers) to promote their products. </w:t>
      </w:r>
      <w:r>
        <w:t>They must present information in a way that the person receiving the results can understand. For example, a</w:t>
      </w:r>
      <w:r w:rsidRPr="0014791D">
        <w:t xml:space="preserve"> generic pamphlet on MDMA </w:t>
      </w:r>
      <w:r>
        <w:t xml:space="preserve">would </w:t>
      </w:r>
      <w:r w:rsidRPr="0014791D">
        <w:t xml:space="preserve">meet this requirement, as would a handwritten note </w:t>
      </w:r>
      <w:r>
        <w:t xml:space="preserve">specifying </w:t>
      </w:r>
      <w:r w:rsidRPr="0014791D">
        <w:t xml:space="preserve">the drug name, </w:t>
      </w:r>
      <w:r>
        <w:t xml:space="preserve">but </w:t>
      </w:r>
      <w:r w:rsidRPr="0014791D">
        <w:t xml:space="preserve">a printout of </w:t>
      </w:r>
      <w:r>
        <w:t xml:space="preserve">a </w:t>
      </w:r>
      <w:r w:rsidRPr="0014791D">
        <w:t xml:space="preserve">spectrometer result </w:t>
      </w:r>
      <w:r>
        <w:t>would not</w:t>
      </w:r>
      <w:r w:rsidRPr="0014791D">
        <w:t xml:space="preserve">, as </w:t>
      </w:r>
      <w:proofErr w:type="gramStart"/>
      <w:r>
        <w:t>interpreting</w:t>
      </w:r>
      <w:proofErr w:type="gramEnd"/>
      <w:r>
        <w:t xml:space="preserve"> such a printout </w:t>
      </w:r>
      <w:r w:rsidRPr="0014791D">
        <w:t>requires substantial knowledge and training.</w:t>
      </w:r>
    </w:p>
    <w:p w14:paraId="0B5FF1B9" w14:textId="77777777" w:rsidR="00152E9B" w:rsidRDefault="00152E9B" w:rsidP="00152E9B"/>
    <w:p w14:paraId="7AC909CA" w14:textId="77777777" w:rsidR="00EE67CB" w:rsidRPr="004954EB" w:rsidRDefault="00EE67CB" w:rsidP="00152E9B">
      <w:r>
        <w:t xml:space="preserve">Drug checking service providers must ensure that, to the extent their </w:t>
      </w:r>
      <w:r w:rsidRPr="006920DD">
        <w:t>resourcing allows, they consider equity when providing harm reduction advice (</w:t>
      </w:r>
      <w:proofErr w:type="spellStart"/>
      <w:r w:rsidRPr="006920DD">
        <w:t>eg</w:t>
      </w:r>
      <w:proofErr w:type="spellEnd"/>
      <w:r w:rsidRPr="006920DD">
        <w:t xml:space="preserve">, by offering information in different languages, such as </w:t>
      </w:r>
      <w:proofErr w:type="spellStart"/>
      <w:r w:rsidRPr="006920DD">
        <w:t>te</w:t>
      </w:r>
      <w:proofErr w:type="spellEnd"/>
      <w:r w:rsidRPr="006920DD">
        <w:t xml:space="preserve"> </w:t>
      </w:r>
      <w:proofErr w:type="spellStart"/>
      <w:r w:rsidRPr="006920DD">
        <w:t>reo</w:t>
      </w:r>
      <w:proofErr w:type="spellEnd"/>
      <w:r w:rsidRPr="006920DD">
        <w:t>).</w:t>
      </w:r>
    </w:p>
    <w:p w14:paraId="0D898472" w14:textId="77777777" w:rsidR="00152E9B" w:rsidRDefault="00152E9B" w:rsidP="00152E9B"/>
    <w:p w14:paraId="6FAAB8D7" w14:textId="77777777" w:rsidR="00EE67CB" w:rsidRPr="00B97773" w:rsidRDefault="00EE67CB" w:rsidP="00152E9B">
      <w:r>
        <w:t>H</w:t>
      </w:r>
      <w:r w:rsidRPr="00B97773">
        <w:t>arm reduction advice must be accurate and appropriate</w:t>
      </w:r>
      <w:r>
        <w:t xml:space="preserve">. This </w:t>
      </w:r>
      <w:r w:rsidRPr="00B97773">
        <w:t>means:</w:t>
      </w:r>
    </w:p>
    <w:p w14:paraId="03820F7D" w14:textId="77777777" w:rsidR="00EE67CB" w:rsidRPr="00B55389" w:rsidRDefault="00EE67CB" w:rsidP="00152E9B">
      <w:pPr>
        <w:pStyle w:val="Bullet"/>
      </w:pPr>
      <w:r w:rsidRPr="00B55389">
        <w:t xml:space="preserve">it </w:t>
      </w:r>
      <w:r>
        <w:t>should</w:t>
      </w:r>
      <w:r w:rsidRPr="00B55389">
        <w:t xml:space="preserve"> be based on the best information available to the provider</w:t>
      </w:r>
    </w:p>
    <w:p w14:paraId="2F98D9CC" w14:textId="77777777" w:rsidR="00EE67CB" w:rsidRPr="00B55389" w:rsidRDefault="00EE67CB" w:rsidP="00152E9B">
      <w:pPr>
        <w:pStyle w:val="Bullet"/>
      </w:pPr>
      <w:r w:rsidRPr="00B55389">
        <w:t xml:space="preserve">it </w:t>
      </w:r>
      <w:r>
        <w:t>should</w:t>
      </w:r>
      <w:r w:rsidRPr="00B55389">
        <w:t xml:space="preserve"> be tailored to the persons, their circumstances and the drug tested</w:t>
      </w:r>
      <w:r>
        <w:t>, as far as is reasonably practical</w:t>
      </w:r>
    </w:p>
    <w:p w14:paraId="15E8211B" w14:textId="77777777" w:rsidR="00A25A47" w:rsidRDefault="00EE67CB" w:rsidP="00152E9B">
      <w:pPr>
        <w:pStyle w:val="Bullet"/>
      </w:pPr>
      <w:r w:rsidRPr="00B55389">
        <w:t>it</w:t>
      </w:r>
      <w:r>
        <w:t xml:space="preserve"> should</w:t>
      </w:r>
      <w:r w:rsidRPr="00B55389">
        <w:t xml:space="preserve"> </w:t>
      </w:r>
      <w:r>
        <w:t xml:space="preserve">not </w:t>
      </w:r>
      <w:r w:rsidRPr="00B55389">
        <w:t>stigmatis</w:t>
      </w:r>
      <w:r>
        <w:t>e</w:t>
      </w:r>
      <w:r w:rsidRPr="00B55389">
        <w:t xml:space="preserve"> </w:t>
      </w:r>
      <w:bookmarkStart w:id="45" w:name="_Hlk89686320"/>
      <w:r>
        <w:t xml:space="preserve">a person or their actions, </w:t>
      </w:r>
      <w:r w:rsidRPr="00E92ACE">
        <w:t>or express a moral judgement</w:t>
      </w:r>
    </w:p>
    <w:bookmarkEnd w:id="45"/>
    <w:p w14:paraId="054AD2EB" w14:textId="77777777" w:rsidR="00EE67CB" w:rsidRDefault="00EE67CB" w:rsidP="00152E9B">
      <w:pPr>
        <w:pStyle w:val="Bullet"/>
      </w:pPr>
      <w:r w:rsidRPr="00B55389">
        <w:t xml:space="preserve">it </w:t>
      </w:r>
      <w:r>
        <w:t>should</w:t>
      </w:r>
      <w:r w:rsidRPr="00B55389">
        <w:t xml:space="preserve"> not consist of advice </w:t>
      </w:r>
      <w:r>
        <w:t xml:space="preserve">merely </w:t>
      </w:r>
      <w:r w:rsidRPr="00B55389">
        <w:t>not to consume a drug</w:t>
      </w:r>
      <w:r>
        <w:t xml:space="preserve"> (such advice may be included as a recommendation, alongside harm reduction advice).</w:t>
      </w:r>
    </w:p>
    <w:p w14:paraId="228A2723" w14:textId="77777777" w:rsidR="00152E9B" w:rsidRDefault="00152E9B" w:rsidP="00152E9B"/>
    <w:p w14:paraId="290C322C" w14:textId="77777777" w:rsidR="00EE67CB" w:rsidRPr="007D36D4" w:rsidRDefault="00EE67CB" w:rsidP="008F13D3">
      <w:pPr>
        <w:keepNext/>
      </w:pPr>
      <w:r>
        <w:lastRenderedPageBreak/>
        <w:t>Advice must specify:</w:t>
      </w:r>
    </w:p>
    <w:p w14:paraId="53ED8E43" w14:textId="77777777" w:rsidR="00EE67CB" w:rsidRPr="00E92ACE" w:rsidRDefault="00EE67CB" w:rsidP="00687509">
      <w:pPr>
        <w:pStyle w:val="Bullet"/>
        <w:keepNext/>
      </w:pPr>
      <w:r w:rsidRPr="00E92ACE">
        <w:t>if the test indicates the likely identity of the drug, the harms associated with that drug</w:t>
      </w:r>
    </w:p>
    <w:p w14:paraId="5B7776BB" w14:textId="77777777" w:rsidR="00EE67CB" w:rsidRPr="007D36D4" w:rsidRDefault="00EE67CB" w:rsidP="00152E9B">
      <w:pPr>
        <w:pStyle w:val="Bullet"/>
      </w:pPr>
      <w:r w:rsidRPr="007D36D4">
        <w:t xml:space="preserve">if the test does </w:t>
      </w:r>
      <w:r w:rsidRPr="00BC1447">
        <w:rPr>
          <w:u w:val="single"/>
        </w:rPr>
        <w:t>not</w:t>
      </w:r>
      <w:r w:rsidRPr="007D36D4">
        <w:t xml:space="preserve"> indicate the likely identity of the drug, but the service provider considers that they are able </w:t>
      </w:r>
      <w:r w:rsidRPr="005C78D3">
        <w:t>to form a view on its likely identity:</w:t>
      </w:r>
    </w:p>
    <w:p w14:paraId="1112CE56" w14:textId="77777777" w:rsidR="00A25A47" w:rsidRDefault="00EE67CB" w:rsidP="00152E9B">
      <w:pPr>
        <w:pStyle w:val="Dash"/>
      </w:pPr>
      <w:r w:rsidRPr="00E92ACE">
        <w:t>the harms associated with that drug</w:t>
      </w:r>
    </w:p>
    <w:p w14:paraId="19826A06" w14:textId="77777777" w:rsidR="00EE67CB" w:rsidRPr="00E92ACE" w:rsidRDefault="00EE67CB" w:rsidP="00152E9B">
      <w:pPr>
        <w:pStyle w:val="Dash"/>
      </w:pPr>
      <w:r w:rsidRPr="00E92ACE">
        <w:t>the harms associated with taking a drug of an unknown identity</w:t>
      </w:r>
    </w:p>
    <w:p w14:paraId="3B2A252C" w14:textId="77777777" w:rsidR="00EE67CB" w:rsidRPr="00E92ACE" w:rsidRDefault="00EE67CB" w:rsidP="00152E9B">
      <w:pPr>
        <w:pStyle w:val="Bullet"/>
      </w:pPr>
      <w:r w:rsidRPr="00E92ACE">
        <w:t xml:space="preserve">where the test does </w:t>
      </w:r>
      <w:r>
        <w:rPr>
          <w:u w:val="single"/>
        </w:rPr>
        <w:t>not</w:t>
      </w:r>
      <w:r w:rsidRPr="00E92ACE">
        <w:t xml:space="preserve"> indicate the likely </w:t>
      </w:r>
      <w:r w:rsidRPr="005C78D3">
        <w:t>identity of the drug, the harms associated with taking a drug of an unknown identity</w:t>
      </w:r>
    </w:p>
    <w:p w14:paraId="5AE0DD47" w14:textId="77777777" w:rsidR="00A25A47" w:rsidRDefault="00EE67CB" w:rsidP="00152E9B">
      <w:pPr>
        <w:pStyle w:val="Bullet"/>
      </w:pPr>
      <w:r w:rsidRPr="00B55389">
        <w:t xml:space="preserve">how </w:t>
      </w:r>
      <w:r>
        <w:t>drug</w:t>
      </w:r>
      <w:r w:rsidRPr="00B55389">
        <w:t xml:space="preserve"> harms could be reduced or avoided.</w:t>
      </w:r>
    </w:p>
    <w:p w14:paraId="7F95D3E4" w14:textId="77777777" w:rsidR="00152E9B" w:rsidRDefault="00152E9B" w:rsidP="00152E9B"/>
    <w:p w14:paraId="31EECFA2" w14:textId="77777777" w:rsidR="00EE67CB" w:rsidRPr="00B97773" w:rsidRDefault="00EE67CB" w:rsidP="00152E9B">
      <w:r>
        <w:t>The provision of i</w:t>
      </w:r>
      <w:r w:rsidRPr="00B97773">
        <w:t>naccurate or inappropriate advice create</w:t>
      </w:r>
      <w:r>
        <w:t>s</w:t>
      </w:r>
      <w:r w:rsidRPr="00B97773">
        <w:t xml:space="preserve"> a significant risk</w:t>
      </w:r>
      <w:r>
        <w:t>, in that it may</w:t>
      </w:r>
      <w:r w:rsidRPr="00B97773">
        <w:t>:</w:t>
      </w:r>
    </w:p>
    <w:p w14:paraId="31A052CB" w14:textId="77777777" w:rsidR="00EE67CB" w:rsidRPr="00B55389" w:rsidRDefault="00EE67CB" w:rsidP="00152E9B">
      <w:pPr>
        <w:pStyle w:val="Bullet"/>
      </w:pPr>
      <w:r>
        <w:t xml:space="preserve">give users of the drug checking service </w:t>
      </w:r>
      <w:r w:rsidRPr="00B55389">
        <w:t>a false sense of security or</w:t>
      </w:r>
    </w:p>
    <w:p w14:paraId="6E950086" w14:textId="77777777" w:rsidR="00EE67CB" w:rsidRPr="00B55389" w:rsidRDefault="00EE67CB" w:rsidP="00152E9B">
      <w:pPr>
        <w:pStyle w:val="Bullet"/>
      </w:pPr>
      <w:r w:rsidRPr="00B55389">
        <w:t>undermin</w:t>
      </w:r>
      <w:r>
        <w:t>e</w:t>
      </w:r>
      <w:r w:rsidRPr="00B55389">
        <w:t xml:space="preserve"> the credibility of drug checking services</w:t>
      </w:r>
      <w:r>
        <w:t xml:space="preserve"> in general</w:t>
      </w:r>
      <w:r w:rsidRPr="00B55389">
        <w:t>.</w:t>
      </w:r>
    </w:p>
    <w:p w14:paraId="6541F928" w14:textId="77777777" w:rsidR="00152E9B" w:rsidRDefault="00152E9B" w:rsidP="00152E9B"/>
    <w:p w14:paraId="2F0063B3" w14:textId="77777777" w:rsidR="00EE67CB" w:rsidRDefault="00EE67CB" w:rsidP="00152E9B">
      <w:r>
        <w:t>Drug checking services must cover the provision of harm reduction advice in training of workers, both at induction and on an ongoing basis.</w:t>
      </w:r>
    </w:p>
    <w:p w14:paraId="3CFDA0A5" w14:textId="77777777" w:rsidR="00152E9B" w:rsidRDefault="00152E9B" w:rsidP="00152E9B"/>
    <w:p w14:paraId="6908B2E1" w14:textId="77777777" w:rsidR="00EE67CB" w:rsidRPr="00186AED" w:rsidRDefault="00EE67CB" w:rsidP="00152E9B">
      <w:pPr>
        <w:pStyle w:val="Italics"/>
        <w:keepNext/>
      </w:pPr>
      <w:r w:rsidRPr="00186AED">
        <w:t xml:space="preserve">Describe the process </w:t>
      </w:r>
      <w:r>
        <w:t xml:space="preserve">you use </w:t>
      </w:r>
      <w:r w:rsidRPr="00186AED">
        <w:t xml:space="preserve">to advise an individual </w:t>
      </w:r>
      <w:r>
        <w:t xml:space="preserve">of </w:t>
      </w:r>
      <w:r w:rsidRPr="00186AED">
        <w:t>the outcome of the testing of a drug or substance for each different service model.</w:t>
      </w:r>
    </w:p>
    <w:p w14:paraId="0DC352E2" w14:textId="77777777" w:rsidR="00152E9B" w:rsidRDefault="00152E9B" w:rsidP="00152E9B">
      <w:pPr>
        <w:pStyle w:val="Italics"/>
        <w:keepNext/>
      </w:pPr>
    </w:p>
    <w:p w14:paraId="194F6638" w14:textId="77777777" w:rsidR="00A25A47" w:rsidRDefault="00EE67CB" w:rsidP="00152E9B">
      <w:pPr>
        <w:pStyle w:val="Italics"/>
      </w:pPr>
      <w:r w:rsidRPr="00186AED">
        <w:t xml:space="preserve">Describe </w:t>
      </w:r>
      <w:r>
        <w:t xml:space="preserve">your </w:t>
      </w:r>
      <w:r w:rsidRPr="00186AED">
        <w:t xml:space="preserve">delivery of accurate and appropriate harm reduction advice, and how </w:t>
      </w:r>
      <w:r>
        <w:t xml:space="preserve">you will update this </w:t>
      </w:r>
      <w:r w:rsidRPr="00186AED">
        <w:t>advice to ensure it is current.</w:t>
      </w:r>
    </w:p>
    <w:p w14:paraId="16113C13" w14:textId="77777777" w:rsidR="00152E9B" w:rsidRDefault="00152E9B" w:rsidP="00152E9B">
      <w:pPr>
        <w:pStyle w:val="Italics"/>
      </w:pPr>
    </w:p>
    <w:p w14:paraId="2E3A748D" w14:textId="77777777" w:rsidR="00EE67CB" w:rsidRPr="00186AED" w:rsidRDefault="00EE67CB" w:rsidP="00152E9B">
      <w:pPr>
        <w:pStyle w:val="Italics"/>
      </w:pPr>
      <w:r>
        <w:t xml:space="preserve">Describe your past </w:t>
      </w:r>
      <w:r w:rsidRPr="00186AED">
        <w:t>experience in providing drug harm reduction advice.</w:t>
      </w:r>
    </w:p>
    <w:p w14:paraId="13962249" w14:textId="77777777" w:rsidR="00152E9B" w:rsidRDefault="00152E9B" w:rsidP="00152E9B">
      <w:pPr>
        <w:pStyle w:val="Italics"/>
      </w:pPr>
    </w:p>
    <w:p w14:paraId="01AE14ED" w14:textId="77777777" w:rsidR="00EE67CB" w:rsidRPr="00186AED" w:rsidRDefault="00EE67CB" w:rsidP="00152E9B">
      <w:pPr>
        <w:pStyle w:val="Italics"/>
      </w:pPr>
      <w:r>
        <w:t xml:space="preserve">Describe the </w:t>
      </w:r>
      <w:r w:rsidRPr="00186AED">
        <w:t xml:space="preserve">procedures workers </w:t>
      </w:r>
      <w:r>
        <w:t xml:space="preserve">in your service </w:t>
      </w:r>
      <w:r w:rsidRPr="00186AED">
        <w:t>follow for the provision of drug harm reduction advice</w:t>
      </w:r>
      <w:r>
        <w:t>.</w:t>
      </w:r>
    </w:p>
    <w:p w14:paraId="0E6589BD" w14:textId="77777777" w:rsidR="00152E9B" w:rsidRDefault="00152E9B" w:rsidP="00152E9B">
      <w:pPr>
        <w:pStyle w:val="Italics"/>
      </w:pPr>
    </w:p>
    <w:p w14:paraId="6861CFA2" w14:textId="77777777" w:rsidR="00EE67CB" w:rsidRPr="00186AED" w:rsidRDefault="00EE67CB" w:rsidP="00152E9B">
      <w:pPr>
        <w:pStyle w:val="Italics"/>
      </w:pPr>
      <w:r w:rsidRPr="00186AED">
        <w:t xml:space="preserve">Provide examples of harm reduction resources available </w:t>
      </w:r>
      <w:r>
        <w:t xml:space="preserve">through your service, </w:t>
      </w:r>
      <w:r w:rsidRPr="00186AED">
        <w:t>including:</w:t>
      </w:r>
    </w:p>
    <w:p w14:paraId="0B675EA2" w14:textId="77777777" w:rsidR="00A25A47" w:rsidRDefault="00EE67CB" w:rsidP="00152E9B">
      <w:pPr>
        <w:pStyle w:val="ItalicsBullet"/>
      </w:pPr>
      <w:r w:rsidRPr="00186AED">
        <w:t>specific drug/substance harm reduction resources</w:t>
      </w:r>
    </w:p>
    <w:p w14:paraId="17A62C18" w14:textId="77777777" w:rsidR="00A25A47" w:rsidRDefault="00EE67CB" w:rsidP="00152E9B">
      <w:pPr>
        <w:pStyle w:val="ItalicsBullet"/>
      </w:pPr>
      <w:r w:rsidRPr="00186AED">
        <w:t xml:space="preserve">harm </w:t>
      </w:r>
      <w:r>
        <w:t xml:space="preserve">reduction </w:t>
      </w:r>
      <w:r w:rsidRPr="00186AED">
        <w:t xml:space="preserve">advice associated with </w:t>
      </w:r>
      <w:r>
        <w:t xml:space="preserve">particular </w:t>
      </w:r>
      <w:r w:rsidRPr="00186AED">
        <w:t>drug</w:t>
      </w:r>
      <w:r>
        <w:t>s</w:t>
      </w:r>
      <w:r w:rsidRPr="00186AED">
        <w:t>/substance</w:t>
      </w:r>
      <w:r>
        <w:t>s</w:t>
      </w:r>
      <w:r w:rsidRPr="00186AED">
        <w:t xml:space="preserve"> identified</w:t>
      </w:r>
    </w:p>
    <w:p w14:paraId="5CF653E2" w14:textId="77777777" w:rsidR="00EE67CB" w:rsidRPr="00186AED" w:rsidRDefault="00EE67CB" w:rsidP="00152E9B">
      <w:pPr>
        <w:pStyle w:val="ItalicsBullet"/>
      </w:pPr>
      <w:r w:rsidRPr="00186AED">
        <w:t xml:space="preserve">harm </w:t>
      </w:r>
      <w:r>
        <w:t xml:space="preserve">reduction </w:t>
      </w:r>
      <w:r w:rsidRPr="00186AED">
        <w:t>advice associated with taking unknown substances</w:t>
      </w:r>
    </w:p>
    <w:p w14:paraId="70FCE3A9" w14:textId="77777777" w:rsidR="00EE67CB" w:rsidRDefault="00EE67CB" w:rsidP="00152E9B">
      <w:pPr>
        <w:pStyle w:val="ItalicsBullet"/>
      </w:pPr>
      <w:r w:rsidRPr="00186AED">
        <w:t>other information sources</w:t>
      </w:r>
      <w:r>
        <w:t xml:space="preserve">, noting </w:t>
      </w:r>
      <w:r w:rsidRPr="00186AED">
        <w:t>how they would be utilised.</w:t>
      </w:r>
    </w:p>
    <w:p w14:paraId="30B6AD14" w14:textId="77777777" w:rsidR="00152E9B" w:rsidRPr="00186AED" w:rsidRDefault="00152E9B" w:rsidP="00152E9B"/>
    <w:p w14:paraId="6B1A9448" w14:textId="77777777" w:rsidR="00A25A47" w:rsidRDefault="00EE67CB" w:rsidP="009B3E0F">
      <w:pPr>
        <w:pStyle w:val="Heading2"/>
      </w:pPr>
      <w:bookmarkStart w:id="46" w:name="_Toc98861464"/>
      <w:bookmarkStart w:id="47" w:name="_Toc99377710"/>
      <w:r w:rsidRPr="009502A5">
        <w:lastRenderedPageBreak/>
        <w:t>Testing</w:t>
      </w:r>
      <w:bookmarkEnd w:id="46"/>
      <w:bookmarkEnd w:id="47"/>
    </w:p>
    <w:p w14:paraId="75B77AF3" w14:textId="77777777" w:rsidR="00A25A47" w:rsidRDefault="00EE67CB" w:rsidP="00687509">
      <w:pPr>
        <w:keepNext/>
      </w:pPr>
      <w:r>
        <w:t>A</w:t>
      </w:r>
      <w:r w:rsidRPr="00A843B0">
        <w:t xml:space="preserve">pplicants </w:t>
      </w:r>
      <w:r>
        <w:t xml:space="preserve">should use </w:t>
      </w:r>
      <w:r w:rsidRPr="00A843B0">
        <w:t xml:space="preserve">a range of </w:t>
      </w:r>
      <w:r>
        <w:t xml:space="preserve">testing </w:t>
      </w:r>
      <w:r w:rsidRPr="00A843B0">
        <w:t xml:space="preserve">methodologies and equipment to </w:t>
      </w:r>
      <w:r>
        <w:t xml:space="preserve">carry out comprehensive, high-quality </w:t>
      </w:r>
      <w:r w:rsidRPr="00A843B0">
        <w:t xml:space="preserve">drug checking activities in line with best practice. </w:t>
      </w:r>
      <w:r>
        <w:t xml:space="preserve">When drug checking is provided, it is </w:t>
      </w:r>
      <w:r w:rsidRPr="00A843B0">
        <w:t xml:space="preserve">expected that </w:t>
      </w:r>
      <w:r>
        <w:t>services have access to equipment and testing methodologies from the approved methods list to ensure a comprehensive, quality service is delivered for people presenting drugs for testing. This includes access to current drug libraries associated with each specific spectrometer.</w:t>
      </w:r>
    </w:p>
    <w:p w14:paraId="1AF4B297" w14:textId="77777777" w:rsidR="00152E9B" w:rsidRDefault="00152E9B" w:rsidP="00687509">
      <w:pPr>
        <w:keepNext/>
      </w:pPr>
    </w:p>
    <w:p w14:paraId="38741D81" w14:textId="77777777" w:rsidR="00EE67CB" w:rsidRDefault="00EE67CB" w:rsidP="00152E9B">
      <w:r w:rsidRPr="00650408">
        <w:t xml:space="preserve">Reagent testing as a stand-alone service does not meet the intent of the legislation with regard to providing a high-quality drug checking service (with the exception of fentanyl </w:t>
      </w:r>
      <w:r>
        <w:t xml:space="preserve">test strips </w:t>
      </w:r>
      <w:r w:rsidRPr="00650408">
        <w:t>or Ehrlich</w:t>
      </w:r>
      <w:r w:rsidR="00A25A47">
        <w:t>’</w:t>
      </w:r>
      <w:r w:rsidRPr="00650408">
        <w:t>s test for LSD</w:t>
      </w:r>
      <w:r w:rsidRPr="00416291">
        <w:t xml:space="preserve"> </w:t>
      </w:r>
      <w:r w:rsidRPr="006F4BB3">
        <w:t>reagent testing</w:t>
      </w:r>
      <w:r>
        <w:t>, for example</w:t>
      </w:r>
      <w:r w:rsidRPr="006F4BB3">
        <w:t>)</w:t>
      </w:r>
      <w:r>
        <w:t xml:space="preserve">. The use of reagent testing alone may </w:t>
      </w:r>
      <w:r w:rsidRPr="00D248A4">
        <w:t xml:space="preserve">increase </w:t>
      </w:r>
      <w:r>
        <w:t>a person</w:t>
      </w:r>
      <w:r w:rsidR="00A25A47">
        <w:t>’</w:t>
      </w:r>
      <w:r>
        <w:t xml:space="preserve">s </w:t>
      </w:r>
      <w:r w:rsidRPr="00D248A4">
        <w:t>risk of serious harm</w:t>
      </w:r>
      <w:r>
        <w:t>.</w:t>
      </w:r>
      <w:r w:rsidRPr="00D248A4">
        <w:t xml:space="preserve"> </w:t>
      </w:r>
      <w:r>
        <w:t>A</w:t>
      </w:r>
      <w:r w:rsidRPr="00D248A4">
        <w:t xml:space="preserve"> reagent test</w:t>
      </w:r>
      <w:r>
        <w:t xml:space="preserve"> may identify a single </w:t>
      </w:r>
      <w:r w:rsidRPr="00D248A4">
        <w:t xml:space="preserve">drug </w:t>
      </w:r>
      <w:r>
        <w:t>(</w:t>
      </w:r>
      <w:proofErr w:type="spellStart"/>
      <w:r>
        <w:t>eg</w:t>
      </w:r>
      <w:proofErr w:type="spellEnd"/>
      <w:r>
        <w:t xml:space="preserve">, MDMA) </w:t>
      </w:r>
      <w:r w:rsidRPr="00D248A4">
        <w:t xml:space="preserve">when </w:t>
      </w:r>
      <w:r>
        <w:t>a substance also contains a drug of greater risk (</w:t>
      </w:r>
      <w:proofErr w:type="spellStart"/>
      <w:r>
        <w:t>eg</w:t>
      </w:r>
      <w:proofErr w:type="spellEnd"/>
      <w:r>
        <w:t xml:space="preserve">, </w:t>
      </w:r>
      <w:proofErr w:type="spellStart"/>
      <w:r w:rsidRPr="00D248A4">
        <w:t>eutylone</w:t>
      </w:r>
      <w:proofErr w:type="spellEnd"/>
      <w:r>
        <w:t>).</w:t>
      </w:r>
    </w:p>
    <w:p w14:paraId="599C9EC0" w14:textId="77777777" w:rsidR="00152E9B" w:rsidRDefault="00152E9B" w:rsidP="00152E9B"/>
    <w:p w14:paraId="68831120" w14:textId="77777777" w:rsidR="00EE67CB" w:rsidRPr="00C978D1" w:rsidRDefault="00EE67CB" w:rsidP="00152E9B">
      <w:r>
        <w:t>The Ministry of Health</w:t>
      </w:r>
      <w:r w:rsidR="00A25A47">
        <w:t>’</w:t>
      </w:r>
      <w:r>
        <w:t>s drug checking webpage lists current a</w:t>
      </w:r>
      <w:r w:rsidRPr="00C978D1">
        <w:t>pproved technolog</w:t>
      </w:r>
      <w:r>
        <w:t xml:space="preserve">ies and </w:t>
      </w:r>
      <w:r w:rsidRPr="00C978D1">
        <w:t>testing methods</w:t>
      </w:r>
      <w:r>
        <w:t xml:space="preserve">: see </w:t>
      </w:r>
      <w:hyperlink r:id="rId25" w:history="1">
        <w:r w:rsidRPr="00583A51">
          <w:rPr>
            <w:rStyle w:val="Hyperlink"/>
            <w:rFonts w:eastAsia="MS Gothic" w:cs="Segoe UI"/>
          </w:rPr>
          <w:t>https://www.health.govt.nz/our-work/regulation-health-and-disability-system/drug-checking</w:t>
        </w:r>
      </w:hyperlink>
      <w:r>
        <w:t>.</w:t>
      </w:r>
    </w:p>
    <w:p w14:paraId="0734EF9D" w14:textId="77777777" w:rsidR="00152E9B" w:rsidRDefault="00152E9B" w:rsidP="00152E9B"/>
    <w:p w14:paraId="14D91E99" w14:textId="77777777" w:rsidR="00EE67CB" w:rsidRDefault="00EE67CB" w:rsidP="00152E9B">
      <w:r w:rsidRPr="00C978D1">
        <w:t>If a</w:t>
      </w:r>
      <w:r>
        <w:t xml:space="preserve">n applicant or licensed provider </w:t>
      </w:r>
      <w:r w:rsidRPr="00C978D1">
        <w:t xml:space="preserve">wishes to use a method not on the </w:t>
      </w:r>
      <w:r>
        <w:t xml:space="preserve">approved </w:t>
      </w:r>
      <w:r w:rsidRPr="00C978D1">
        <w:t xml:space="preserve">list, they will need to </w:t>
      </w:r>
      <w:r>
        <w:t xml:space="preserve">satisfy the </w:t>
      </w:r>
      <w:r w:rsidRPr="00C978D1">
        <w:t>Director-General that the method is fit for its intended purpose</w:t>
      </w:r>
      <w:r>
        <w:t>. (Follow the instructions on the Ministry</w:t>
      </w:r>
      <w:r w:rsidR="00A25A47">
        <w:t>’</w:t>
      </w:r>
      <w:r>
        <w:t>s drug checking webpage to submit a new method for approval.)</w:t>
      </w:r>
    </w:p>
    <w:p w14:paraId="68778EC6" w14:textId="77777777" w:rsidR="00152E9B" w:rsidRDefault="00152E9B" w:rsidP="00152E9B"/>
    <w:p w14:paraId="4DAD2ECD" w14:textId="77777777" w:rsidR="00EE67CB" w:rsidRDefault="00EE67CB" w:rsidP="00152E9B">
      <w:r w:rsidRPr="00663AF8">
        <w:t xml:space="preserve">The </w:t>
      </w:r>
      <w:r>
        <w:t xml:space="preserve">Director-General may restrict an </w:t>
      </w:r>
      <w:r w:rsidRPr="00663AF8">
        <w:t>applicant</w:t>
      </w:r>
      <w:r w:rsidR="00A25A47">
        <w:t>’</w:t>
      </w:r>
      <w:r w:rsidRPr="00663AF8">
        <w:t xml:space="preserve">s licensing conditions </w:t>
      </w:r>
      <w:r>
        <w:t xml:space="preserve">according </w:t>
      </w:r>
      <w:r w:rsidRPr="00663AF8">
        <w:t xml:space="preserve">to the technology and testing methods </w:t>
      </w:r>
      <w:r>
        <w:t>specified</w:t>
      </w:r>
      <w:r w:rsidRPr="00663AF8">
        <w:t>.</w:t>
      </w:r>
    </w:p>
    <w:p w14:paraId="07E94565" w14:textId="77777777" w:rsidR="00152E9B" w:rsidRPr="00663AF8" w:rsidRDefault="00152E9B" w:rsidP="00152E9B"/>
    <w:p w14:paraId="1B17DBC8" w14:textId="77777777" w:rsidR="00A25A47" w:rsidRDefault="00EE67CB" w:rsidP="00152E9B">
      <w:pPr>
        <w:pStyle w:val="Italics"/>
        <w:keepNext/>
      </w:pPr>
      <w:r w:rsidRPr="00186AED">
        <w:t>Please provide the following information:</w:t>
      </w:r>
    </w:p>
    <w:p w14:paraId="7D5741F2" w14:textId="77777777" w:rsidR="00A25A47" w:rsidRDefault="00EE67CB" w:rsidP="00152E9B">
      <w:pPr>
        <w:pStyle w:val="ItalicsBullet"/>
        <w:keepNext/>
      </w:pPr>
      <w:r w:rsidRPr="00186AED">
        <w:t xml:space="preserve">all testing methods </w:t>
      </w:r>
      <w:r>
        <w:t xml:space="preserve">that your service </w:t>
      </w:r>
      <w:r w:rsidRPr="00186AED">
        <w:t>will use</w:t>
      </w:r>
    </w:p>
    <w:p w14:paraId="1789ED42" w14:textId="77777777" w:rsidR="00EE67CB" w:rsidRPr="00186AED" w:rsidRDefault="00EE67CB" w:rsidP="00152E9B">
      <w:pPr>
        <w:pStyle w:val="ItalicsBullet"/>
      </w:pPr>
      <w:r w:rsidRPr="00186AED">
        <w:t xml:space="preserve">if spectrometers are loaned, where </w:t>
      </w:r>
      <w:r>
        <w:t xml:space="preserve">they are </w:t>
      </w:r>
      <w:r w:rsidRPr="00186AED">
        <w:t>loaned from (</w:t>
      </w:r>
      <w:proofErr w:type="spellStart"/>
      <w:r w:rsidRPr="00186AED">
        <w:t>eg</w:t>
      </w:r>
      <w:proofErr w:type="spellEnd"/>
      <w:r w:rsidRPr="00186AED">
        <w:t xml:space="preserve">, ESR </w:t>
      </w:r>
      <w:r>
        <w:t xml:space="preserve">or </w:t>
      </w:r>
      <w:r w:rsidRPr="00186AED">
        <w:t>other agencies)</w:t>
      </w:r>
    </w:p>
    <w:p w14:paraId="215FB8B2" w14:textId="77777777" w:rsidR="00EE67CB" w:rsidRPr="00186AED" w:rsidRDefault="00EE67CB" w:rsidP="00152E9B">
      <w:pPr>
        <w:pStyle w:val="ItalicsBullet"/>
      </w:pPr>
      <w:r w:rsidRPr="00186AED">
        <w:t xml:space="preserve">which drug libraries </w:t>
      </w:r>
      <w:r>
        <w:t xml:space="preserve">you </w:t>
      </w:r>
      <w:r w:rsidRPr="00186AED">
        <w:t>will use, and how they will be kept up to date</w:t>
      </w:r>
    </w:p>
    <w:p w14:paraId="703D5596" w14:textId="77777777" w:rsidR="00EE67CB" w:rsidRPr="00186AED" w:rsidRDefault="00EE67CB" w:rsidP="00152E9B">
      <w:pPr>
        <w:pStyle w:val="ItalicsBullet"/>
      </w:pPr>
      <w:r>
        <w:t>whether</w:t>
      </w:r>
      <w:r w:rsidRPr="00186AED">
        <w:t>/how reagent testing will be used</w:t>
      </w:r>
    </w:p>
    <w:p w14:paraId="7C093BEC" w14:textId="77777777" w:rsidR="00EE67CB" w:rsidRPr="00186AED" w:rsidRDefault="00EE67CB" w:rsidP="00152E9B">
      <w:pPr>
        <w:pStyle w:val="ItalicsBullet"/>
      </w:pPr>
      <w:r w:rsidRPr="00186AED">
        <w:t>testing limitations for all methodologies to be used</w:t>
      </w:r>
    </w:p>
    <w:p w14:paraId="094CC440" w14:textId="77777777" w:rsidR="00EE67CB" w:rsidRPr="00186AED" w:rsidRDefault="00EE67CB" w:rsidP="00152E9B">
      <w:pPr>
        <w:pStyle w:val="ItalicsBullet"/>
      </w:pPr>
      <w:r w:rsidRPr="00186AED">
        <w:t>risks and mitigation strategies associated with limitations of the technology (</w:t>
      </w:r>
      <w:proofErr w:type="spellStart"/>
      <w:r w:rsidRPr="00186AED">
        <w:t>eg</w:t>
      </w:r>
      <w:proofErr w:type="spellEnd"/>
      <w:r w:rsidRPr="00186AED">
        <w:t>, machinery malfunction, stand-alone reagent testing)</w:t>
      </w:r>
    </w:p>
    <w:p w14:paraId="611173EF" w14:textId="77777777" w:rsidR="00EE67CB" w:rsidRPr="00186AED" w:rsidRDefault="00EE67CB" w:rsidP="00152E9B">
      <w:pPr>
        <w:pStyle w:val="ItalicsBullet"/>
      </w:pPr>
      <w:r w:rsidRPr="00186AED">
        <w:t>experience with all technologies to be used</w:t>
      </w:r>
    </w:p>
    <w:p w14:paraId="759989DD" w14:textId="77777777" w:rsidR="00A25A47" w:rsidRDefault="00EE67CB" w:rsidP="00152E9B">
      <w:pPr>
        <w:pStyle w:val="ItalicsBullet"/>
      </w:pPr>
      <w:r>
        <w:t xml:space="preserve">examples of the </w:t>
      </w:r>
      <w:r w:rsidRPr="00186AED">
        <w:t xml:space="preserve">procedures workers </w:t>
      </w:r>
      <w:r>
        <w:t xml:space="preserve">will </w:t>
      </w:r>
      <w:r w:rsidRPr="00186AED">
        <w:t>follow for the testing of a drug for each testing methodology.</w:t>
      </w:r>
    </w:p>
    <w:p w14:paraId="1E4ACEA9" w14:textId="77777777" w:rsidR="00152E9B" w:rsidRDefault="00152E9B" w:rsidP="00152E9B"/>
    <w:p w14:paraId="36E6E81C" w14:textId="77777777" w:rsidR="00EE67CB" w:rsidRPr="009502A5" w:rsidRDefault="00EE67CB" w:rsidP="009B3E0F">
      <w:pPr>
        <w:pStyle w:val="Heading2"/>
      </w:pPr>
      <w:bookmarkStart w:id="48" w:name="_Toc98861465"/>
      <w:bookmarkStart w:id="49" w:name="_Toc99377711"/>
      <w:r w:rsidRPr="009502A5">
        <w:lastRenderedPageBreak/>
        <w:t>Calibration of equipment</w:t>
      </w:r>
      <w:bookmarkEnd w:id="48"/>
      <w:bookmarkEnd w:id="49"/>
    </w:p>
    <w:p w14:paraId="53635549" w14:textId="77777777" w:rsidR="00EE67CB" w:rsidRDefault="00EE67CB" w:rsidP="00687509">
      <w:pPr>
        <w:keepNext/>
        <w:keepLines/>
      </w:pPr>
      <w:r>
        <w:t xml:space="preserve">Providers may need to use illicit drugs to </w:t>
      </w:r>
      <w:r w:rsidRPr="00E2797A">
        <w:t xml:space="preserve">calibrate </w:t>
      </w:r>
      <w:r>
        <w:t>their testing equipment. T</w:t>
      </w:r>
      <w:r w:rsidRPr="00E2797A">
        <w:t xml:space="preserve">his is </w:t>
      </w:r>
      <w:r>
        <w:t>considered a function of testing, and possession of these drugs for this purpose is permitted</w:t>
      </w:r>
      <w:r w:rsidRPr="00E2797A">
        <w:t xml:space="preserve">. </w:t>
      </w:r>
      <w:r>
        <w:t xml:space="preserve">Providers must keep records of any drugs used for </w:t>
      </w:r>
      <w:proofErr w:type="gramStart"/>
      <w:r>
        <w:t>calibration, and</w:t>
      </w:r>
      <w:proofErr w:type="gramEnd"/>
      <w:r>
        <w:t xml:space="preserve"> make appropriate </w:t>
      </w:r>
      <w:r w:rsidRPr="00E2797A">
        <w:t>storage arrangements</w:t>
      </w:r>
      <w:r>
        <w:t xml:space="preserve"> (see </w:t>
      </w:r>
      <w:r w:rsidR="00A25A47">
        <w:t>‘</w:t>
      </w:r>
      <w:r>
        <w:t>Safe storage of samples</w:t>
      </w:r>
      <w:r w:rsidR="00A25A47">
        <w:t>’</w:t>
      </w:r>
      <w:r>
        <w:t xml:space="preserve"> below).</w:t>
      </w:r>
    </w:p>
    <w:p w14:paraId="24CBA691" w14:textId="77777777" w:rsidR="00152E9B" w:rsidRDefault="00152E9B" w:rsidP="00152E9B"/>
    <w:p w14:paraId="33C1C25F" w14:textId="77777777" w:rsidR="00A25A47" w:rsidRDefault="00EE67CB" w:rsidP="00152E9B">
      <w:r>
        <w:t xml:space="preserve">Where an applicant has held or holds an </w:t>
      </w:r>
      <w:r w:rsidRPr="004F037C">
        <w:t>import licen</w:t>
      </w:r>
      <w:r>
        <w:t>c</w:t>
      </w:r>
      <w:r w:rsidRPr="004F037C">
        <w:t xml:space="preserve">e under </w:t>
      </w:r>
      <w:r>
        <w:t xml:space="preserve">the </w:t>
      </w:r>
      <w:proofErr w:type="spellStart"/>
      <w:r w:rsidRPr="004F037C">
        <w:t>MoDA</w:t>
      </w:r>
      <w:proofErr w:type="spellEnd"/>
      <w:r>
        <w:t xml:space="preserve"> for calibration or training purposes, this must be declared in the application.</w:t>
      </w:r>
      <w:r w:rsidRPr="00E2797A">
        <w:t xml:space="preserve"> </w:t>
      </w:r>
      <w:r>
        <w:t>Applicants can apply for such a licence through Medicines Control (</w:t>
      </w:r>
      <w:proofErr w:type="spellStart"/>
      <w:r>
        <w:t>Medsafe</w:t>
      </w:r>
      <w:proofErr w:type="spellEnd"/>
      <w:r>
        <w:t>) within the Ministry of Health.</w:t>
      </w:r>
    </w:p>
    <w:p w14:paraId="2B4A8B1B" w14:textId="77777777" w:rsidR="00152E9B" w:rsidRDefault="00152E9B" w:rsidP="00152E9B"/>
    <w:p w14:paraId="65C7676B" w14:textId="77777777" w:rsidR="00A25A47" w:rsidRDefault="00EE67CB" w:rsidP="00152E9B">
      <w:pPr>
        <w:pStyle w:val="Italics"/>
      </w:pPr>
      <w:r w:rsidRPr="00186AED">
        <w:t>Please provide the following information:</w:t>
      </w:r>
    </w:p>
    <w:p w14:paraId="2DD76131" w14:textId="77777777" w:rsidR="00EE67CB" w:rsidRPr="00186AED" w:rsidRDefault="00EE67CB" w:rsidP="00152E9B">
      <w:pPr>
        <w:pStyle w:val="ItalicsBullet"/>
      </w:pPr>
      <w:r w:rsidRPr="00186AED">
        <w:t>whether drugs will be used to calibrate equipment (</w:t>
      </w:r>
      <w:r>
        <w:t>i</w:t>
      </w:r>
      <w:r w:rsidRPr="00186AED">
        <w:t>f yes, state what type of calibration samples will be used and how these are suitable for accurate calibration)</w:t>
      </w:r>
    </w:p>
    <w:p w14:paraId="3AB86F2A" w14:textId="77777777" w:rsidR="00EE67CB" w:rsidRPr="00186AED" w:rsidRDefault="00EE67CB" w:rsidP="00152E9B">
      <w:pPr>
        <w:pStyle w:val="ItalicsBullet"/>
      </w:pPr>
      <w:r w:rsidRPr="00186AED">
        <w:t>what type of calibration samples will be used (</w:t>
      </w:r>
      <w:proofErr w:type="spellStart"/>
      <w:r>
        <w:t>eg</w:t>
      </w:r>
      <w:proofErr w:type="spellEnd"/>
      <w:r>
        <w:t xml:space="preserve">, </w:t>
      </w:r>
      <w:r w:rsidRPr="00186AED">
        <w:t>legal lab</w:t>
      </w:r>
      <w:r>
        <w:t>oratory</w:t>
      </w:r>
      <w:r w:rsidRPr="00186AED">
        <w:t xml:space="preserve"> samples or surrendered illicit drugs)</w:t>
      </w:r>
    </w:p>
    <w:p w14:paraId="508D7A58" w14:textId="77777777" w:rsidR="00A25A47" w:rsidRDefault="00EE67CB" w:rsidP="00152E9B">
      <w:pPr>
        <w:pStyle w:val="ItalicsBullet"/>
      </w:pPr>
      <w:r w:rsidRPr="00186AED">
        <w:t>arrangements for the safe storage and recording of drugs held by applicants for the purpose of calibration of equipment</w:t>
      </w:r>
    </w:p>
    <w:p w14:paraId="5E9B64DF" w14:textId="77777777" w:rsidR="00EE67CB" w:rsidRDefault="00EE67CB" w:rsidP="00152E9B">
      <w:pPr>
        <w:pStyle w:val="ItalicsBullet"/>
      </w:pPr>
      <w:r w:rsidRPr="00186AED">
        <w:t>whether an import licen</w:t>
      </w:r>
      <w:r>
        <w:t>c</w:t>
      </w:r>
      <w:r w:rsidRPr="00186AED">
        <w:t xml:space="preserve">e </w:t>
      </w:r>
      <w:r>
        <w:t xml:space="preserve">under the </w:t>
      </w:r>
      <w:proofErr w:type="spellStart"/>
      <w:r>
        <w:t>MoDA</w:t>
      </w:r>
      <w:proofErr w:type="spellEnd"/>
      <w:r>
        <w:t xml:space="preserve"> </w:t>
      </w:r>
      <w:r w:rsidRPr="00186AED">
        <w:t>has been held</w:t>
      </w:r>
      <w:r>
        <w:t xml:space="preserve">, is </w:t>
      </w:r>
      <w:proofErr w:type="gramStart"/>
      <w:r>
        <w:t>held</w:t>
      </w:r>
      <w:proofErr w:type="gramEnd"/>
      <w:r>
        <w:t xml:space="preserve"> or will be sought </w:t>
      </w:r>
      <w:r w:rsidRPr="00186AED">
        <w:t>for controlled drugs.</w:t>
      </w:r>
    </w:p>
    <w:p w14:paraId="0A79B63A" w14:textId="77777777" w:rsidR="00152E9B" w:rsidRPr="00186AED" w:rsidRDefault="00152E9B" w:rsidP="00152E9B"/>
    <w:p w14:paraId="7A50822B" w14:textId="77777777" w:rsidR="00A25A47" w:rsidRDefault="00EE67CB" w:rsidP="009B3E0F">
      <w:pPr>
        <w:pStyle w:val="Heading2"/>
      </w:pPr>
      <w:bookmarkStart w:id="50" w:name="_Toc98861466"/>
      <w:bookmarkStart w:id="51" w:name="_Toc99377712"/>
      <w:r w:rsidRPr="009502A5">
        <w:t>Disposal of samples</w:t>
      </w:r>
      <w:bookmarkEnd w:id="50"/>
      <w:bookmarkEnd w:id="51"/>
    </w:p>
    <w:p w14:paraId="7D9EA72D" w14:textId="77777777" w:rsidR="00EE67CB" w:rsidRDefault="00EE67CB" w:rsidP="00152E9B">
      <w:pPr>
        <w:keepNext/>
      </w:pPr>
      <w:r>
        <w:t>D</w:t>
      </w:r>
      <w:r w:rsidRPr="00607C2B">
        <w:t xml:space="preserve">isposal </w:t>
      </w:r>
      <w:r>
        <w:t>(</w:t>
      </w:r>
      <w:r w:rsidRPr="008E1022">
        <w:t>or arrangement for the disposal</w:t>
      </w:r>
      <w:r>
        <w:t>)</w:t>
      </w:r>
      <w:r w:rsidRPr="008E1022">
        <w:t xml:space="preserve"> of</w:t>
      </w:r>
      <w:r>
        <w:t xml:space="preserve"> </w:t>
      </w:r>
      <w:r w:rsidRPr="00607C2B">
        <w:t>drug</w:t>
      </w:r>
      <w:r>
        <w:t>s</w:t>
      </w:r>
      <w:r w:rsidRPr="00607C2B">
        <w:t xml:space="preserve"> </w:t>
      </w:r>
      <w:r>
        <w:t xml:space="preserve">is a </w:t>
      </w:r>
      <w:r w:rsidRPr="00607C2B">
        <w:t>mandatory</w:t>
      </w:r>
      <w:r>
        <w:t xml:space="preserve"> function of a drug checking service provider. Providers will need to dispose </w:t>
      </w:r>
      <w:r w:rsidRPr="008E1022">
        <w:t>sample</w:t>
      </w:r>
      <w:r>
        <w:t>s:</w:t>
      </w:r>
    </w:p>
    <w:p w14:paraId="4A80576B" w14:textId="77777777" w:rsidR="00A25A47" w:rsidRDefault="00EE67CB" w:rsidP="00152E9B">
      <w:pPr>
        <w:pStyle w:val="Bullet"/>
        <w:keepNext/>
      </w:pPr>
      <w:r>
        <w:t xml:space="preserve">used </w:t>
      </w:r>
      <w:r w:rsidRPr="003302BB">
        <w:t>in testing</w:t>
      </w:r>
    </w:p>
    <w:p w14:paraId="38A67744" w14:textId="77777777" w:rsidR="00EE67CB" w:rsidRDefault="00EE67CB" w:rsidP="00152E9B">
      <w:pPr>
        <w:pStyle w:val="Bullet"/>
        <w:keepNext/>
      </w:pPr>
      <w:r w:rsidRPr="008E1022">
        <w:t xml:space="preserve">surrendered by </w:t>
      </w:r>
      <w:r>
        <w:t xml:space="preserve">an </w:t>
      </w:r>
      <w:r w:rsidRPr="008E1022">
        <w:t>individual for</w:t>
      </w:r>
      <w:r>
        <w:t xml:space="preserve"> disposal</w:t>
      </w:r>
    </w:p>
    <w:p w14:paraId="653A4BE9" w14:textId="77777777" w:rsidR="00EE67CB" w:rsidRDefault="00EE67CB" w:rsidP="00152E9B">
      <w:pPr>
        <w:pStyle w:val="Bullet"/>
        <w:keepNext/>
      </w:pPr>
      <w:r>
        <w:t>used in training</w:t>
      </w:r>
    </w:p>
    <w:p w14:paraId="087F0C2E" w14:textId="77777777" w:rsidR="00EE67CB" w:rsidRDefault="00EE67CB" w:rsidP="00152E9B">
      <w:pPr>
        <w:pStyle w:val="Bullet"/>
        <w:keepNext/>
      </w:pPr>
      <w:r>
        <w:t>drugs being transported for disposal at a later date.</w:t>
      </w:r>
    </w:p>
    <w:p w14:paraId="0D02EEB8" w14:textId="77777777" w:rsidR="00152E9B" w:rsidRDefault="00152E9B" w:rsidP="00152E9B"/>
    <w:p w14:paraId="448CD08D" w14:textId="77777777" w:rsidR="00EE67CB" w:rsidRDefault="00EE67CB" w:rsidP="00152E9B">
      <w:r w:rsidRPr="00536D7B">
        <w:t>Service provider</w:t>
      </w:r>
      <w:r>
        <w:t>s</w:t>
      </w:r>
      <w:r w:rsidRPr="00536D7B">
        <w:t xml:space="preserve"> must keep records of</w:t>
      </w:r>
      <w:r>
        <w:t xml:space="preserve"> </w:t>
      </w:r>
      <w:r w:rsidRPr="00607C2B">
        <w:t xml:space="preserve">any drug </w:t>
      </w:r>
      <w:r>
        <w:t>that is or has been in their possession for the purpose of disposal, with the exception of recording disposal of drugs on site at the time of testing (</w:t>
      </w:r>
      <w:proofErr w:type="spellStart"/>
      <w:r>
        <w:t>eg</w:t>
      </w:r>
      <w:proofErr w:type="spellEnd"/>
      <w:r>
        <w:t>, by dropping it in a jar of bleach).</w:t>
      </w:r>
    </w:p>
    <w:p w14:paraId="6929848A" w14:textId="77777777" w:rsidR="00152E9B" w:rsidRDefault="00152E9B" w:rsidP="00152E9B"/>
    <w:p w14:paraId="78CEA1BC" w14:textId="77777777" w:rsidR="00A25A47" w:rsidRDefault="00EE67CB" w:rsidP="00152E9B">
      <w:pPr>
        <w:pStyle w:val="Italics"/>
      </w:pPr>
      <w:r w:rsidRPr="00186AED">
        <w:t xml:space="preserve">Please provide </w:t>
      </w:r>
      <w:r>
        <w:t xml:space="preserve">details of the procedure you will use </w:t>
      </w:r>
      <w:r w:rsidRPr="00186AED">
        <w:t>for disposal of samples:</w:t>
      </w:r>
    </w:p>
    <w:p w14:paraId="2A1F8FF3" w14:textId="77777777" w:rsidR="00EE67CB" w:rsidRPr="00186AED" w:rsidRDefault="00EE67CB" w:rsidP="00152E9B">
      <w:pPr>
        <w:pStyle w:val="ItalicsBullet"/>
      </w:pPr>
      <w:r w:rsidRPr="00186AED">
        <w:t>used in testing</w:t>
      </w:r>
    </w:p>
    <w:p w14:paraId="17E2316D" w14:textId="77777777" w:rsidR="00EE67CB" w:rsidRPr="00186AED" w:rsidRDefault="00EE67CB" w:rsidP="00152E9B">
      <w:pPr>
        <w:pStyle w:val="ItalicsBullet"/>
      </w:pPr>
      <w:r w:rsidRPr="00186AED">
        <w:t>surrendered for disposal</w:t>
      </w:r>
    </w:p>
    <w:p w14:paraId="5B8ED566" w14:textId="77777777" w:rsidR="00EE67CB" w:rsidRDefault="00EE67CB" w:rsidP="00152E9B">
      <w:pPr>
        <w:pStyle w:val="ItalicsBullet"/>
      </w:pPr>
      <w:r w:rsidRPr="00186AED">
        <w:t>used in training</w:t>
      </w:r>
    </w:p>
    <w:p w14:paraId="119D89BE" w14:textId="77777777" w:rsidR="00EE67CB" w:rsidRDefault="00EE67CB" w:rsidP="00152E9B">
      <w:pPr>
        <w:pStyle w:val="ItalicsBullet"/>
      </w:pPr>
      <w:r w:rsidRPr="007D5FD5">
        <w:t>drugs being transported for disposal at a later date</w:t>
      </w:r>
      <w:r w:rsidRPr="00186AED">
        <w:t>.</w:t>
      </w:r>
    </w:p>
    <w:p w14:paraId="63B9EFC6" w14:textId="77777777" w:rsidR="00152E9B" w:rsidRPr="00186AED" w:rsidRDefault="00152E9B" w:rsidP="00152E9B"/>
    <w:p w14:paraId="6F307025" w14:textId="77777777" w:rsidR="00A25A47" w:rsidRDefault="00EE67CB" w:rsidP="009B3E0F">
      <w:pPr>
        <w:pStyle w:val="Heading2"/>
      </w:pPr>
      <w:bookmarkStart w:id="52" w:name="_Toc98861467"/>
      <w:bookmarkStart w:id="53" w:name="_Toc99377713"/>
      <w:r w:rsidRPr="009502A5">
        <w:lastRenderedPageBreak/>
        <w:t xml:space="preserve">Surrender of drugs to </w:t>
      </w:r>
      <w:r>
        <w:t>the p</w:t>
      </w:r>
      <w:r w:rsidRPr="009502A5">
        <w:t>olice</w:t>
      </w:r>
      <w:bookmarkEnd w:id="52"/>
      <w:bookmarkEnd w:id="53"/>
    </w:p>
    <w:p w14:paraId="304B26E4" w14:textId="77777777" w:rsidR="00EE67CB" w:rsidRDefault="00EE67CB" w:rsidP="00152E9B">
      <w:r>
        <w:t xml:space="preserve">When surrendering drugs to the police, </w:t>
      </w:r>
      <w:r w:rsidRPr="00254879">
        <w:t>service provider</w:t>
      </w:r>
      <w:r>
        <w:t>s</w:t>
      </w:r>
      <w:r w:rsidRPr="00254879">
        <w:t xml:space="preserve"> must </w:t>
      </w:r>
      <w:r>
        <w:t xml:space="preserve">adhere to </w:t>
      </w:r>
      <w:r w:rsidRPr="00254879">
        <w:t xml:space="preserve">a process that follows </w:t>
      </w:r>
      <w:r>
        <w:t>p</w:t>
      </w:r>
      <w:r w:rsidRPr="00254879">
        <w:t>olice procedures.</w:t>
      </w:r>
    </w:p>
    <w:p w14:paraId="4E1FBE96" w14:textId="77777777" w:rsidR="00152E9B" w:rsidRDefault="00152E9B" w:rsidP="00152E9B"/>
    <w:p w14:paraId="32DF5E74" w14:textId="77777777" w:rsidR="00EE67CB" w:rsidRDefault="00EE67CB" w:rsidP="00152E9B">
      <w:pPr>
        <w:pStyle w:val="Italics"/>
      </w:pPr>
      <w:r w:rsidRPr="00186AED">
        <w:t xml:space="preserve">Describe the </w:t>
      </w:r>
      <w:r>
        <w:t xml:space="preserve">procedure you </w:t>
      </w:r>
      <w:r w:rsidRPr="00186AED">
        <w:t xml:space="preserve">will </w:t>
      </w:r>
      <w:r>
        <w:t xml:space="preserve">use </w:t>
      </w:r>
      <w:r w:rsidRPr="00186AED">
        <w:t xml:space="preserve">to surrender a drug or substance to the </w:t>
      </w:r>
      <w:r>
        <w:t>p</w:t>
      </w:r>
      <w:r w:rsidRPr="00186AED">
        <w:t>olice.</w:t>
      </w:r>
    </w:p>
    <w:p w14:paraId="3E375970" w14:textId="77777777" w:rsidR="00152E9B" w:rsidRPr="00186AED" w:rsidRDefault="00152E9B" w:rsidP="00152E9B"/>
    <w:p w14:paraId="6C6EFA99" w14:textId="77777777" w:rsidR="00A25A47" w:rsidRDefault="00EE67CB" w:rsidP="009B3E0F">
      <w:pPr>
        <w:pStyle w:val="Heading2"/>
      </w:pPr>
      <w:bookmarkStart w:id="54" w:name="_Toc98861468"/>
      <w:bookmarkStart w:id="55" w:name="_Toc99377714"/>
      <w:r w:rsidRPr="009502A5">
        <w:t>Further testing</w:t>
      </w:r>
      <w:bookmarkEnd w:id="54"/>
      <w:bookmarkEnd w:id="55"/>
    </w:p>
    <w:p w14:paraId="7890A269" w14:textId="77777777" w:rsidR="00A25A47" w:rsidRDefault="00EE67CB" w:rsidP="00152E9B">
      <w:r>
        <w:t>W</w:t>
      </w:r>
      <w:r w:rsidRPr="00254879">
        <w:t xml:space="preserve">here </w:t>
      </w:r>
      <w:r>
        <w:t>a drug requires further testing to determine its composition, or if initial testing identifies that it is a drug of concern or an unknown drug, or when specifically requested by the National Drug Intelligence Bureau (NDIB), providers must arrange for further testing at an approved laboratory.</w:t>
      </w:r>
      <w:r w:rsidRPr="00152E9B">
        <w:rPr>
          <w:rStyle w:val="FootnoteReference"/>
        </w:rPr>
        <w:footnoteReference w:id="3"/>
      </w:r>
    </w:p>
    <w:p w14:paraId="5FB38676" w14:textId="77777777" w:rsidR="00152E9B" w:rsidRDefault="00152E9B" w:rsidP="00152E9B"/>
    <w:p w14:paraId="053A4180" w14:textId="77777777" w:rsidR="00EE67CB" w:rsidRPr="00C27A24" w:rsidRDefault="00EE67CB" w:rsidP="00687509">
      <w:pPr>
        <w:ind w:right="-567"/>
      </w:pPr>
      <w:r>
        <w:t>Service providers must</w:t>
      </w:r>
      <w:r w:rsidRPr="00254879">
        <w:t xml:space="preserve"> maintain records for each drug </w:t>
      </w:r>
      <w:r>
        <w:t xml:space="preserve">they have </w:t>
      </w:r>
      <w:r w:rsidRPr="00254879">
        <w:t>in their possession for the purpose of arranging testing by an approved laboratory</w:t>
      </w:r>
      <w:r>
        <w:t xml:space="preserve">. Records must specify </w:t>
      </w:r>
      <w:r w:rsidRPr="00C27A24">
        <w:t>when</w:t>
      </w:r>
      <w:r>
        <w:t xml:space="preserve"> the sample was provided to the laboratory</w:t>
      </w:r>
      <w:r w:rsidRPr="00C27A24">
        <w:t>, how and to which laboratory it was provided.</w:t>
      </w:r>
    </w:p>
    <w:p w14:paraId="26EF7CCE" w14:textId="77777777" w:rsidR="00152E9B" w:rsidRDefault="00152E9B" w:rsidP="00152E9B"/>
    <w:p w14:paraId="4C93B23E" w14:textId="77777777" w:rsidR="00EE67CB" w:rsidRDefault="00EE67CB" w:rsidP="00687509">
      <w:pPr>
        <w:ind w:right="-567"/>
      </w:pPr>
      <w:r>
        <w:t>The service provider must demonstrate knowledge and understanding of the required processes (as specified by NDIB/DIANZ and ESR) for packaging, transportation to the approved laboratory, reporting and notification, and follow those processes when necessary.</w:t>
      </w:r>
    </w:p>
    <w:p w14:paraId="5929D255" w14:textId="77777777" w:rsidR="00152E9B" w:rsidRPr="00B10153" w:rsidRDefault="00152E9B" w:rsidP="00152E9B"/>
    <w:p w14:paraId="3476F09B" w14:textId="77777777" w:rsidR="00EE67CB" w:rsidRPr="00186AED" w:rsidRDefault="00EE67CB" w:rsidP="00152E9B">
      <w:pPr>
        <w:pStyle w:val="Italics"/>
      </w:pPr>
      <w:r>
        <w:t>Provide evidence of your knowledge of NDIB/</w:t>
      </w:r>
      <w:r w:rsidRPr="00186AED">
        <w:t>DIANZ and ESR transportation/courier requirements to enable further testing of a drug or substance</w:t>
      </w:r>
      <w:r>
        <w:t>,</w:t>
      </w:r>
      <w:r w:rsidRPr="00186AED">
        <w:t xml:space="preserve"> including</w:t>
      </w:r>
      <w:r>
        <w:t xml:space="preserve"> in terms of</w:t>
      </w:r>
      <w:r w:rsidRPr="00186AED">
        <w:t>:</w:t>
      </w:r>
    </w:p>
    <w:p w14:paraId="51F92919" w14:textId="77777777" w:rsidR="00EE67CB" w:rsidRPr="00186AED" w:rsidRDefault="00EE67CB" w:rsidP="00152E9B">
      <w:pPr>
        <w:pStyle w:val="ItalicsBullet"/>
      </w:pPr>
      <w:r w:rsidRPr="00186AED">
        <w:t>packaging</w:t>
      </w:r>
    </w:p>
    <w:p w14:paraId="5EAA8629" w14:textId="77777777" w:rsidR="00A25A47" w:rsidRDefault="00EE67CB" w:rsidP="00152E9B">
      <w:pPr>
        <w:pStyle w:val="ItalicsBullet"/>
      </w:pPr>
      <w:r w:rsidRPr="00186AED">
        <w:t>reporting</w:t>
      </w:r>
    </w:p>
    <w:p w14:paraId="4EE9CA2E" w14:textId="77777777" w:rsidR="00EE67CB" w:rsidRDefault="00EE67CB" w:rsidP="00152E9B">
      <w:pPr>
        <w:pStyle w:val="ItalicsBullet"/>
      </w:pPr>
      <w:r w:rsidRPr="00186AED">
        <w:t>notification.</w:t>
      </w:r>
    </w:p>
    <w:p w14:paraId="79FE2724" w14:textId="77777777" w:rsidR="00152E9B" w:rsidRPr="00186AED" w:rsidRDefault="00152E9B" w:rsidP="00152E9B"/>
    <w:p w14:paraId="26308784" w14:textId="77777777" w:rsidR="00EE67CB" w:rsidRPr="009502A5" w:rsidRDefault="00EE67CB" w:rsidP="009B3E0F">
      <w:pPr>
        <w:pStyle w:val="Heading2"/>
      </w:pPr>
      <w:bookmarkStart w:id="56" w:name="_Toc98861469"/>
      <w:bookmarkStart w:id="57" w:name="_Toc99377715"/>
      <w:r w:rsidRPr="009502A5">
        <w:t>Loss or removal of drugs</w:t>
      </w:r>
      <w:bookmarkEnd w:id="56"/>
      <w:bookmarkEnd w:id="57"/>
    </w:p>
    <w:p w14:paraId="2ECB9B1C" w14:textId="77777777" w:rsidR="00EE67CB" w:rsidRPr="00687509" w:rsidRDefault="00EE67CB" w:rsidP="00687509">
      <w:pPr>
        <w:ind w:right="-567"/>
        <w:rPr>
          <w:spacing w:val="-4"/>
        </w:rPr>
      </w:pPr>
      <w:r w:rsidRPr="00687509">
        <w:rPr>
          <w:spacing w:val="-4"/>
        </w:rPr>
        <w:t xml:space="preserve">Section 35DDH of the </w:t>
      </w:r>
      <w:proofErr w:type="spellStart"/>
      <w:r w:rsidRPr="00687509">
        <w:rPr>
          <w:spacing w:val="-4"/>
        </w:rPr>
        <w:t>MoDA</w:t>
      </w:r>
      <w:proofErr w:type="spellEnd"/>
      <w:r w:rsidRPr="00687509">
        <w:rPr>
          <w:spacing w:val="-4"/>
        </w:rPr>
        <w:t xml:space="preserve"> requires providers to report lost or unauthorised removal of drugs.</w:t>
      </w:r>
    </w:p>
    <w:p w14:paraId="540A57F0" w14:textId="77777777" w:rsidR="00152E9B" w:rsidRDefault="00152E9B" w:rsidP="00152E9B"/>
    <w:p w14:paraId="2BDC7911" w14:textId="77777777" w:rsidR="00EE67CB" w:rsidRDefault="00EE67CB" w:rsidP="00152E9B">
      <w:r>
        <w:t xml:space="preserve">When a </w:t>
      </w:r>
      <w:r w:rsidRPr="00930C05">
        <w:t xml:space="preserve">provider becomes aware of </w:t>
      </w:r>
      <w:r>
        <w:t xml:space="preserve">a </w:t>
      </w:r>
      <w:r w:rsidRPr="00930C05">
        <w:t xml:space="preserve">loss or </w:t>
      </w:r>
      <w:r>
        <w:t xml:space="preserve">unauthorised </w:t>
      </w:r>
      <w:r w:rsidRPr="00930C05">
        <w:t xml:space="preserve">removal, they must report </w:t>
      </w:r>
      <w:r>
        <w:t>it:</w:t>
      </w:r>
    </w:p>
    <w:p w14:paraId="441D43B6" w14:textId="77777777" w:rsidR="00A25A47" w:rsidRDefault="00EE67CB" w:rsidP="00152E9B">
      <w:pPr>
        <w:pStyle w:val="Bullet"/>
      </w:pPr>
      <w:r w:rsidRPr="00930C05">
        <w:t xml:space="preserve">immediately to the </w:t>
      </w:r>
      <w:r>
        <w:t>p</w:t>
      </w:r>
      <w:r w:rsidRPr="00930C05">
        <w:t>olice</w:t>
      </w:r>
      <w:r w:rsidRPr="00152E9B">
        <w:rPr>
          <w:rStyle w:val="FootnoteReference"/>
        </w:rPr>
        <w:footnoteReference w:id="4"/>
      </w:r>
      <w:r>
        <w:t xml:space="preserve"> </w:t>
      </w:r>
      <w:r w:rsidRPr="00930C05">
        <w:t>and</w:t>
      </w:r>
    </w:p>
    <w:p w14:paraId="31BB8259" w14:textId="77777777" w:rsidR="00EE67CB" w:rsidRDefault="00EE67CB" w:rsidP="00152E9B">
      <w:pPr>
        <w:pStyle w:val="Bullet"/>
      </w:pPr>
      <w:r w:rsidRPr="00930C05">
        <w:t>as soon as is reasonably practicable (before the end of the following month)</w:t>
      </w:r>
      <w:r>
        <w:t xml:space="preserve"> </w:t>
      </w:r>
      <w:r w:rsidRPr="00930C05">
        <w:t xml:space="preserve">to the Director-General </w:t>
      </w:r>
      <w:r>
        <w:t>via the drug checking email inbox</w:t>
      </w:r>
      <w:r w:rsidRPr="00930C05">
        <w:t>.</w:t>
      </w:r>
    </w:p>
    <w:p w14:paraId="01845306" w14:textId="77777777" w:rsidR="00152E9B" w:rsidRPr="00152E9B" w:rsidRDefault="00152E9B" w:rsidP="00152E9B"/>
    <w:p w14:paraId="4C71B39E" w14:textId="77777777" w:rsidR="00EE67CB" w:rsidRDefault="00EE67CB" w:rsidP="00152E9B">
      <w:pPr>
        <w:pStyle w:val="Italics"/>
      </w:pPr>
      <w:r w:rsidRPr="00660187">
        <w:t xml:space="preserve">Describe the </w:t>
      </w:r>
      <w:r>
        <w:t xml:space="preserve">procedure you will </w:t>
      </w:r>
      <w:r w:rsidRPr="00660187">
        <w:t xml:space="preserve">follow after </w:t>
      </w:r>
      <w:r>
        <w:t xml:space="preserve">the </w:t>
      </w:r>
      <w:r w:rsidRPr="00660187">
        <w:t xml:space="preserve">loss or </w:t>
      </w:r>
      <w:r>
        <w:t xml:space="preserve">unauthorised </w:t>
      </w:r>
      <w:r w:rsidRPr="00660187">
        <w:t>removal of a drug.</w:t>
      </w:r>
    </w:p>
    <w:p w14:paraId="41049535" w14:textId="77777777" w:rsidR="00A25A47" w:rsidRDefault="00EE67CB" w:rsidP="008F13D3">
      <w:pPr>
        <w:pStyle w:val="Heading2"/>
        <w:spacing w:before="720"/>
      </w:pPr>
      <w:bookmarkStart w:id="58" w:name="_Toc98861470"/>
      <w:bookmarkStart w:id="59" w:name="_Toc99377716"/>
      <w:r w:rsidRPr="00236EFD">
        <w:lastRenderedPageBreak/>
        <w:t>Training</w:t>
      </w:r>
      <w:bookmarkEnd w:id="58"/>
      <w:bookmarkEnd w:id="59"/>
    </w:p>
    <w:p w14:paraId="67DCEB44" w14:textId="77777777" w:rsidR="00A25A47" w:rsidRDefault="00EE67CB" w:rsidP="00152E9B">
      <w:r>
        <w:t xml:space="preserve">The </w:t>
      </w:r>
      <w:r w:rsidRPr="007B201A">
        <w:t xml:space="preserve">Director-General may </w:t>
      </w:r>
      <w:r>
        <w:t xml:space="preserve">only </w:t>
      </w:r>
      <w:r w:rsidRPr="007B201A">
        <w:t xml:space="preserve">issue a licence if satisfied </w:t>
      </w:r>
      <w:r>
        <w:t>that the</w:t>
      </w:r>
      <w:r w:rsidRPr="007B201A">
        <w:t xml:space="preserve"> training </w:t>
      </w:r>
      <w:r>
        <w:t>of drug checking workers is appropriate.</w:t>
      </w:r>
    </w:p>
    <w:p w14:paraId="213A87D1" w14:textId="77777777" w:rsidR="00152E9B" w:rsidRDefault="00152E9B" w:rsidP="00152E9B"/>
    <w:p w14:paraId="5D7916EB" w14:textId="77777777" w:rsidR="00A25A47" w:rsidRDefault="00EE67CB" w:rsidP="00152E9B">
      <w:r>
        <w:t xml:space="preserve">Service providers must </w:t>
      </w:r>
      <w:r w:rsidRPr="00C92A79">
        <w:t xml:space="preserve">ensure that </w:t>
      </w:r>
      <w:r>
        <w:t xml:space="preserve">everyone </w:t>
      </w:r>
      <w:r w:rsidRPr="00C92A79">
        <w:t xml:space="preserve">carrying out drug checking functions </w:t>
      </w:r>
      <w:r>
        <w:t xml:space="preserve">is </w:t>
      </w:r>
      <w:r w:rsidRPr="00C92A79">
        <w:t>appropriately trained</w:t>
      </w:r>
      <w:r>
        <w:t xml:space="preserve"> for the tasks they undertake. Training workers across different roles will allow for greater workforce </w:t>
      </w:r>
      <w:proofErr w:type="gramStart"/>
      <w:r>
        <w:t>flexibility, but</w:t>
      </w:r>
      <w:proofErr w:type="gramEnd"/>
      <w:r>
        <w:t xml:space="preserve"> is not a requirement. In the context of workforce training, the Ministry recommends collaboration with other drug checking service providers. Training should take into consideration how services will be delivered to clients of different backgrounds (in terms of culture, gender and so on).</w:t>
      </w:r>
    </w:p>
    <w:p w14:paraId="097125D8" w14:textId="77777777" w:rsidR="00152E9B" w:rsidRDefault="00152E9B" w:rsidP="00152E9B"/>
    <w:p w14:paraId="54C5753B" w14:textId="77777777" w:rsidR="00EE67CB" w:rsidRDefault="00EE67CB" w:rsidP="00152E9B">
      <w:r>
        <w:t xml:space="preserve">Providers must specifically train their </w:t>
      </w:r>
      <w:r w:rsidRPr="00111570">
        <w:t xml:space="preserve">workers to perform the functions specified in </w:t>
      </w:r>
      <w:r>
        <w:t xml:space="preserve">section </w:t>
      </w:r>
      <w:r w:rsidRPr="00111570">
        <w:t xml:space="preserve">35DB </w:t>
      </w:r>
      <w:r>
        <w:t xml:space="preserve">of the </w:t>
      </w:r>
      <w:proofErr w:type="spellStart"/>
      <w:r>
        <w:t>MoDA</w:t>
      </w:r>
      <w:proofErr w:type="spellEnd"/>
      <w:r>
        <w:t>, relevant to the workers role in drug checking.</w:t>
      </w:r>
    </w:p>
    <w:p w14:paraId="362F4741" w14:textId="77777777" w:rsidR="00152E9B" w:rsidRDefault="00152E9B" w:rsidP="00152E9B"/>
    <w:p w14:paraId="4ECD54E4" w14:textId="77777777" w:rsidR="00A25A47" w:rsidRDefault="00EE67CB" w:rsidP="008F13D3">
      <w:r>
        <w:t>In making licensing decisions, the Director-General will consider the extent of training provided, including what resources are available and whether competencies are measured before workers undertake certain functions, and what mechanisms are in place for mentoring and supervision to support workers.</w:t>
      </w:r>
    </w:p>
    <w:p w14:paraId="363E8539" w14:textId="77777777" w:rsidR="00152E9B" w:rsidRDefault="00152E9B" w:rsidP="00152E9B"/>
    <w:p w14:paraId="17899FBF" w14:textId="77777777" w:rsidR="00EE67CB" w:rsidRDefault="00EE67CB" w:rsidP="00152E9B">
      <w:pPr>
        <w:pStyle w:val="Italics"/>
      </w:pPr>
      <w:r w:rsidRPr="00657C50">
        <w:t xml:space="preserve">Please provide </w:t>
      </w:r>
      <w:r>
        <w:t>details on the training you offer or arrange for including:</w:t>
      </w:r>
    </w:p>
    <w:p w14:paraId="15C2132B" w14:textId="77777777" w:rsidR="00EE67CB" w:rsidRPr="00660187" w:rsidRDefault="00EE67CB" w:rsidP="00152E9B">
      <w:pPr>
        <w:pStyle w:val="ItalicsBullet"/>
      </w:pPr>
      <w:r w:rsidRPr="00660187">
        <w:t>the delivery of harm reduction advice</w:t>
      </w:r>
    </w:p>
    <w:p w14:paraId="5166159D" w14:textId="77777777" w:rsidR="00EE67CB" w:rsidRPr="00660187" w:rsidRDefault="00EE67CB" w:rsidP="00152E9B">
      <w:pPr>
        <w:pStyle w:val="ItalicsBullet"/>
      </w:pPr>
      <w:r w:rsidRPr="00660187">
        <w:t xml:space="preserve">use of technology and testing methodologies, including calibration, interpretation </w:t>
      </w:r>
      <w:r>
        <w:t xml:space="preserve">and </w:t>
      </w:r>
      <w:r w:rsidRPr="00660187">
        <w:t>use of drug libraries</w:t>
      </w:r>
    </w:p>
    <w:p w14:paraId="5457FC54" w14:textId="77777777" w:rsidR="00EE67CB" w:rsidRPr="00660187" w:rsidRDefault="00EE67CB" w:rsidP="00152E9B">
      <w:pPr>
        <w:pStyle w:val="ItalicsBullet"/>
      </w:pPr>
      <w:r w:rsidRPr="00660187">
        <w:t>providing test results to individuals</w:t>
      </w:r>
    </w:p>
    <w:p w14:paraId="4E78099E" w14:textId="77777777" w:rsidR="00EE67CB" w:rsidRPr="00660187" w:rsidRDefault="00EE67CB" w:rsidP="00152E9B">
      <w:pPr>
        <w:pStyle w:val="ItalicsBullet"/>
      </w:pPr>
      <w:r w:rsidRPr="00660187">
        <w:t>returning drug</w:t>
      </w:r>
      <w:r>
        <w:t>s</w:t>
      </w:r>
      <w:r w:rsidRPr="00660187">
        <w:t xml:space="preserve"> to individual</w:t>
      </w:r>
      <w:r>
        <w:t>s</w:t>
      </w:r>
    </w:p>
    <w:p w14:paraId="6E15C9D6" w14:textId="77777777" w:rsidR="00A25A47" w:rsidRDefault="00EE67CB" w:rsidP="00152E9B">
      <w:pPr>
        <w:pStyle w:val="ItalicsBullet"/>
      </w:pPr>
      <w:r>
        <w:t xml:space="preserve">safely </w:t>
      </w:r>
      <w:r w:rsidRPr="00660187">
        <w:t>send</w:t>
      </w:r>
      <w:r>
        <w:t>ing</w:t>
      </w:r>
      <w:r w:rsidRPr="00660187">
        <w:t xml:space="preserve"> drugs for further testing</w:t>
      </w:r>
    </w:p>
    <w:p w14:paraId="54ED15F8" w14:textId="77777777" w:rsidR="00A25A47" w:rsidRDefault="00EE67CB" w:rsidP="00152E9B">
      <w:pPr>
        <w:pStyle w:val="ItalicsBullet"/>
      </w:pPr>
      <w:r>
        <w:t xml:space="preserve">safely </w:t>
      </w:r>
      <w:r w:rsidRPr="00660187">
        <w:t>dispos</w:t>
      </w:r>
      <w:r>
        <w:t>ing</w:t>
      </w:r>
      <w:r w:rsidRPr="00660187">
        <w:t xml:space="preserve"> of </w:t>
      </w:r>
      <w:r>
        <w:t xml:space="preserve">drugs </w:t>
      </w:r>
      <w:r w:rsidRPr="00660187">
        <w:t>or arrang</w:t>
      </w:r>
      <w:r>
        <w:t>ing</w:t>
      </w:r>
      <w:r w:rsidRPr="00660187">
        <w:t xml:space="preserve"> for the</w:t>
      </w:r>
      <w:r>
        <w:t>ir</w:t>
      </w:r>
      <w:r w:rsidRPr="00660187">
        <w:t xml:space="preserve"> disposal</w:t>
      </w:r>
    </w:p>
    <w:p w14:paraId="2670B56B" w14:textId="77777777" w:rsidR="00EE67CB" w:rsidRPr="00660187" w:rsidRDefault="00EE67CB" w:rsidP="00152E9B">
      <w:pPr>
        <w:pStyle w:val="ItalicsBullet"/>
      </w:pPr>
      <w:r w:rsidRPr="00660187">
        <w:t>surrender</w:t>
      </w:r>
      <w:r>
        <w:t>ing</w:t>
      </w:r>
      <w:r w:rsidRPr="00660187">
        <w:t xml:space="preserve"> drugs to </w:t>
      </w:r>
      <w:r>
        <w:t xml:space="preserve">the </w:t>
      </w:r>
      <w:r w:rsidRPr="00660187">
        <w:t>police</w:t>
      </w:r>
    </w:p>
    <w:p w14:paraId="4CEC9A0B" w14:textId="77777777" w:rsidR="00A25A47" w:rsidRDefault="00EE67CB" w:rsidP="00152E9B">
      <w:pPr>
        <w:pStyle w:val="ItalicsBullet"/>
      </w:pPr>
      <w:r w:rsidRPr="00660187">
        <w:t>use of drugs for training purposes</w:t>
      </w:r>
    </w:p>
    <w:p w14:paraId="2BDE7F79" w14:textId="77777777" w:rsidR="00A25A47" w:rsidRDefault="00EE67CB" w:rsidP="00152E9B">
      <w:pPr>
        <w:pStyle w:val="ItalicsBullet"/>
      </w:pPr>
      <w:r w:rsidRPr="00660187">
        <w:t>safe storage and transportation of drugs</w:t>
      </w:r>
    </w:p>
    <w:p w14:paraId="11CD18E1" w14:textId="77777777" w:rsidR="00EE67CB" w:rsidRDefault="00EE67CB" w:rsidP="00152E9B">
      <w:pPr>
        <w:pStyle w:val="ItalicsBullet"/>
      </w:pPr>
      <w:r w:rsidRPr="00660187">
        <w:t>data collection, recording and reporting requirements.</w:t>
      </w:r>
    </w:p>
    <w:p w14:paraId="04403400" w14:textId="77777777" w:rsidR="00152E9B" w:rsidRDefault="00152E9B" w:rsidP="00152E9B">
      <w:pPr>
        <w:pStyle w:val="Italics"/>
      </w:pPr>
    </w:p>
    <w:p w14:paraId="2E17A9AF" w14:textId="77777777" w:rsidR="00EE67CB" w:rsidRDefault="00EE67CB" w:rsidP="008F13D3">
      <w:pPr>
        <w:pStyle w:val="Italics"/>
        <w:ind w:right="-567"/>
      </w:pPr>
      <w:r>
        <w:t xml:space="preserve">Include information on how worker </w:t>
      </w:r>
      <w:proofErr w:type="gramStart"/>
      <w:r>
        <w:t>understanding</w:t>
      </w:r>
      <w:proofErr w:type="gramEnd"/>
      <w:r>
        <w:t xml:space="preserve"> and competencies are assessed following training and any mentoring or supervision is in place (including collaboration with other experienced drug checking providers), whilst a worker is maintaining competence.</w:t>
      </w:r>
    </w:p>
    <w:p w14:paraId="5CD57591" w14:textId="77777777" w:rsidR="00152E9B" w:rsidRDefault="00152E9B" w:rsidP="00152E9B">
      <w:pPr>
        <w:pStyle w:val="Italics"/>
      </w:pPr>
    </w:p>
    <w:p w14:paraId="040C1119" w14:textId="77777777" w:rsidR="00EE67CB" w:rsidRPr="008B39C2" w:rsidRDefault="00EE67CB" w:rsidP="00152E9B">
      <w:pPr>
        <w:pStyle w:val="Italics"/>
      </w:pPr>
      <w:r w:rsidRPr="008B39C2">
        <w:t>Provide examples of the training programme and resources.</w:t>
      </w:r>
    </w:p>
    <w:p w14:paraId="5DF8A241" w14:textId="77777777" w:rsidR="00152E9B" w:rsidRDefault="00152E9B" w:rsidP="00152E9B">
      <w:pPr>
        <w:pStyle w:val="Italics"/>
      </w:pPr>
    </w:p>
    <w:p w14:paraId="26757DF8" w14:textId="77777777" w:rsidR="00EE67CB" w:rsidRPr="008B39C2" w:rsidRDefault="00EE67CB" w:rsidP="00152E9B">
      <w:pPr>
        <w:pStyle w:val="Italics"/>
      </w:pPr>
      <w:r w:rsidRPr="008B39C2">
        <w:t>Describe processes to maintain safe use and storage of drugs or substances if used for training purposes.</w:t>
      </w:r>
    </w:p>
    <w:p w14:paraId="046E4B38" w14:textId="77777777" w:rsidR="00152E9B" w:rsidRDefault="00152E9B" w:rsidP="00152E9B">
      <w:pPr>
        <w:pStyle w:val="Italics"/>
      </w:pPr>
    </w:p>
    <w:p w14:paraId="164858B2" w14:textId="77777777" w:rsidR="00EE67CB" w:rsidRPr="008B39C2" w:rsidRDefault="00EE67CB" w:rsidP="008F13D3">
      <w:pPr>
        <w:pStyle w:val="Italics"/>
        <w:ind w:right="-567"/>
      </w:pPr>
      <w:r w:rsidRPr="008B39C2">
        <w:t>Specify examples of the names of drugs and/or substances to be used for training purposes.</w:t>
      </w:r>
    </w:p>
    <w:p w14:paraId="707F64BA" w14:textId="77777777" w:rsidR="00152E9B" w:rsidRDefault="00152E9B" w:rsidP="00152E9B">
      <w:pPr>
        <w:pStyle w:val="Italics"/>
      </w:pPr>
    </w:p>
    <w:p w14:paraId="62481905" w14:textId="77777777" w:rsidR="00EE67CB" w:rsidRDefault="00EE67CB" w:rsidP="00152E9B">
      <w:pPr>
        <w:pStyle w:val="Italics"/>
      </w:pPr>
      <w:r w:rsidRPr="008B39C2">
        <w:t>Specify examples of how training will take into consideration providing services to individuals from different backgrounds (cultures, genders, disabilities</w:t>
      </w:r>
      <w:r w:rsidR="00152E9B">
        <w:t>,</w:t>
      </w:r>
      <w:r w:rsidRPr="008B39C2">
        <w:t xml:space="preserve"> etc).</w:t>
      </w:r>
    </w:p>
    <w:p w14:paraId="02F4D2ED" w14:textId="77777777" w:rsidR="008F13D3" w:rsidRDefault="008F13D3" w:rsidP="008F13D3"/>
    <w:p w14:paraId="054C761D" w14:textId="77777777" w:rsidR="00EE67CB" w:rsidRPr="00153319" w:rsidRDefault="00EE67CB" w:rsidP="009B3E0F">
      <w:pPr>
        <w:pStyle w:val="Heading1"/>
      </w:pPr>
      <w:bookmarkStart w:id="60" w:name="_Toc98861471"/>
      <w:bookmarkStart w:id="61" w:name="_Toc99377717"/>
      <w:r w:rsidRPr="00153319">
        <w:lastRenderedPageBreak/>
        <w:t>Additional information</w:t>
      </w:r>
      <w:bookmarkEnd w:id="60"/>
      <w:bookmarkEnd w:id="61"/>
    </w:p>
    <w:p w14:paraId="615BE9DD" w14:textId="77777777" w:rsidR="00A25A47" w:rsidRDefault="00EE67CB" w:rsidP="009B3E0F">
      <w:pPr>
        <w:pStyle w:val="Heading2"/>
      </w:pPr>
      <w:bookmarkStart w:id="62" w:name="_Toc98861472"/>
      <w:bookmarkStart w:id="63" w:name="_Toc99377718"/>
      <w:r w:rsidRPr="009502A5">
        <w:t>Safe storage of samples</w:t>
      </w:r>
      <w:bookmarkEnd w:id="62"/>
      <w:bookmarkEnd w:id="63"/>
    </w:p>
    <w:p w14:paraId="1E279E04" w14:textId="77777777" w:rsidR="00EE67CB" w:rsidRPr="00125E6E" w:rsidRDefault="00EE67CB" w:rsidP="00152E9B">
      <w:r w:rsidRPr="00125E6E">
        <w:t xml:space="preserve">The following guidance </w:t>
      </w:r>
      <w:r>
        <w:t xml:space="preserve">reflects best practice for </w:t>
      </w:r>
      <w:r w:rsidRPr="00125E6E">
        <w:t>safe storage</w:t>
      </w:r>
      <w:r>
        <w:t xml:space="preserve"> acknowledged in New Zealand and overseas. It is designed</w:t>
      </w:r>
      <w:r w:rsidRPr="00125E6E">
        <w:t xml:space="preserve"> to meet N</w:t>
      </w:r>
      <w:r>
        <w:t xml:space="preserve">ew </w:t>
      </w:r>
      <w:r w:rsidRPr="00125E6E">
        <w:t>Z</w:t>
      </w:r>
      <w:r>
        <w:t>ealand</w:t>
      </w:r>
      <w:r w:rsidRPr="00125E6E">
        <w:t xml:space="preserve"> </w:t>
      </w:r>
      <w:r>
        <w:t>regulatory</w:t>
      </w:r>
      <w:r w:rsidRPr="00125E6E">
        <w:t xml:space="preserve"> requirements and </w:t>
      </w:r>
      <w:r>
        <w:t xml:space="preserve">apply in a range of contexts </w:t>
      </w:r>
      <w:r w:rsidRPr="00125E6E">
        <w:t>includ</w:t>
      </w:r>
      <w:r>
        <w:t>ing</w:t>
      </w:r>
      <w:r w:rsidRPr="00125E6E">
        <w:t xml:space="preserve"> regular static clinics</w:t>
      </w:r>
      <w:r>
        <w:t xml:space="preserve"> (</w:t>
      </w:r>
      <w:proofErr w:type="spellStart"/>
      <w:r>
        <w:t>eg</w:t>
      </w:r>
      <w:proofErr w:type="spellEnd"/>
      <w:r>
        <w:t>, provider</w:t>
      </w:r>
      <w:r w:rsidR="00A25A47">
        <w:t>’</w:t>
      </w:r>
      <w:r>
        <w:t>s permanent office),</w:t>
      </w:r>
      <w:r w:rsidRPr="00125E6E">
        <w:t xml:space="preserve"> events held in the field</w:t>
      </w:r>
      <w:r>
        <w:t xml:space="preserve"> (</w:t>
      </w:r>
      <w:proofErr w:type="spellStart"/>
      <w:r>
        <w:t>eg</w:t>
      </w:r>
      <w:proofErr w:type="spellEnd"/>
      <w:r>
        <w:t>, festivals)</w:t>
      </w:r>
      <w:r w:rsidRPr="00125E6E">
        <w:t xml:space="preserve"> </w:t>
      </w:r>
      <w:r>
        <w:t xml:space="preserve">and </w:t>
      </w:r>
      <w:r w:rsidRPr="00125E6E">
        <w:t>pop-up clinics</w:t>
      </w:r>
      <w:r>
        <w:t xml:space="preserve"> (</w:t>
      </w:r>
      <w:proofErr w:type="spellStart"/>
      <w:r>
        <w:t>eg</w:t>
      </w:r>
      <w:proofErr w:type="spellEnd"/>
      <w:r>
        <w:t>, temporary location to deliver a clinic)</w:t>
      </w:r>
      <w:r w:rsidRPr="00125E6E">
        <w:t>.</w:t>
      </w:r>
    </w:p>
    <w:p w14:paraId="70E5C8BB" w14:textId="77777777" w:rsidR="00152E9B" w:rsidRDefault="00152E9B" w:rsidP="00152E9B"/>
    <w:p w14:paraId="3A52A080" w14:textId="77777777" w:rsidR="00EE67CB" w:rsidRPr="00125E6E" w:rsidRDefault="00EE67CB" w:rsidP="00152E9B">
      <w:r>
        <w:t>The s</w:t>
      </w:r>
      <w:r w:rsidRPr="00125E6E">
        <w:t xml:space="preserve">afe storage of drugs </w:t>
      </w:r>
      <w:r>
        <w:t xml:space="preserve">entails </w:t>
      </w:r>
      <w:r w:rsidRPr="00125E6E">
        <w:t xml:space="preserve">rigorous measures to prevent drugs from being stolen or lost, while recognising the practical issues </w:t>
      </w:r>
      <w:r>
        <w:t xml:space="preserve">providers </w:t>
      </w:r>
      <w:r w:rsidRPr="00125E6E">
        <w:t>face, particular</w:t>
      </w:r>
      <w:r>
        <w:t xml:space="preserve">ly </w:t>
      </w:r>
      <w:r w:rsidRPr="00125E6E">
        <w:t>in the field.</w:t>
      </w:r>
    </w:p>
    <w:p w14:paraId="0EE41E01" w14:textId="77777777" w:rsidR="00152E9B" w:rsidRDefault="00152E9B" w:rsidP="00152E9B"/>
    <w:p w14:paraId="605FB51F" w14:textId="77777777" w:rsidR="00EE67CB" w:rsidRPr="00125E6E" w:rsidRDefault="00EE67CB" w:rsidP="00152E9B">
      <w:r w:rsidRPr="00125E6E">
        <w:t xml:space="preserve">Amendment to the Misuse of Drugs Regulations exempts drug checking </w:t>
      </w:r>
      <w:r>
        <w:t xml:space="preserve">service </w:t>
      </w:r>
      <w:r w:rsidRPr="00125E6E">
        <w:t xml:space="preserve">providers from </w:t>
      </w:r>
      <w:r>
        <w:t xml:space="preserve">certain </w:t>
      </w:r>
      <w:r w:rsidRPr="00D455F3">
        <w:t xml:space="preserve">storage requirements </w:t>
      </w:r>
      <w:r>
        <w:t>(</w:t>
      </w:r>
      <w:r w:rsidRPr="00D455F3">
        <w:t>such as the re</w:t>
      </w:r>
      <w:r w:rsidRPr="00125E6E">
        <w:t>quirement to store drugs in a metal or concrete safe that is securely fixed to a building</w:t>
      </w:r>
      <w:r>
        <w:t xml:space="preserve">), since these </w:t>
      </w:r>
      <w:r w:rsidRPr="00125E6E">
        <w:t>are impractical for most drug checking providers</w:t>
      </w:r>
      <w:r>
        <w:t xml:space="preserve"> delivering services in a temporary or field setting</w:t>
      </w:r>
      <w:r w:rsidRPr="00125E6E">
        <w:t xml:space="preserve">. However, secure safe storage remains a requirement under </w:t>
      </w:r>
      <w:r>
        <w:t xml:space="preserve">section </w:t>
      </w:r>
      <w:r w:rsidRPr="00125E6E">
        <w:t xml:space="preserve">35DDG of the </w:t>
      </w:r>
      <w:proofErr w:type="spellStart"/>
      <w:r w:rsidRPr="00125E6E">
        <w:t>MoDA</w:t>
      </w:r>
      <w:proofErr w:type="spellEnd"/>
      <w:r w:rsidRPr="00125E6E">
        <w:t>.</w:t>
      </w:r>
    </w:p>
    <w:p w14:paraId="52B45F45" w14:textId="77777777" w:rsidR="00152E9B" w:rsidRDefault="00152E9B" w:rsidP="00152E9B"/>
    <w:p w14:paraId="6CB7C151" w14:textId="77777777" w:rsidR="00EE67CB" w:rsidRPr="00125E6E" w:rsidRDefault="00EE67CB" w:rsidP="00152E9B">
      <w:r w:rsidRPr="00125E6E">
        <w:t>A service provider must securely store all controlled drugs or substances</w:t>
      </w:r>
      <w:r>
        <w:t xml:space="preserve"> when</w:t>
      </w:r>
      <w:r w:rsidRPr="00125E6E">
        <w:t>:</w:t>
      </w:r>
    </w:p>
    <w:p w14:paraId="608025CD" w14:textId="77777777" w:rsidR="00EE67CB" w:rsidRPr="00125E6E" w:rsidRDefault="00EE67CB" w:rsidP="00152E9B">
      <w:pPr>
        <w:pStyle w:val="Bullet"/>
      </w:pPr>
      <w:r w:rsidRPr="00125E6E">
        <w:t xml:space="preserve">holding and transporting </w:t>
      </w:r>
      <w:r>
        <w:t xml:space="preserve">them prior to </w:t>
      </w:r>
      <w:r w:rsidRPr="00125E6E">
        <w:t>further testing at an approved laboratory</w:t>
      </w:r>
    </w:p>
    <w:p w14:paraId="2F372089" w14:textId="77777777" w:rsidR="00EE67CB" w:rsidRPr="00125E6E" w:rsidRDefault="00EE67CB" w:rsidP="00152E9B">
      <w:pPr>
        <w:pStyle w:val="Bullet"/>
      </w:pPr>
      <w:r w:rsidRPr="00125E6E">
        <w:t xml:space="preserve">holding and transporting </w:t>
      </w:r>
      <w:r>
        <w:t xml:space="preserve">them prior to </w:t>
      </w:r>
      <w:r w:rsidRPr="00125E6E">
        <w:t>disposal (other than for those disposed of at the time of drug checking)</w:t>
      </w:r>
    </w:p>
    <w:p w14:paraId="70E7F34B" w14:textId="77777777" w:rsidR="00EE67CB" w:rsidRPr="00125E6E" w:rsidRDefault="00EE67CB" w:rsidP="00152E9B">
      <w:pPr>
        <w:pStyle w:val="Bullet"/>
      </w:pPr>
      <w:r w:rsidRPr="00125E6E">
        <w:t>surrender</w:t>
      </w:r>
      <w:r>
        <w:t>ing them</w:t>
      </w:r>
      <w:r w:rsidRPr="00125E6E">
        <w:t xml:space="preserve"> to the </w:t>
      </w:r>
      <w:r>
        <w:t>p</w:t>
      </w:r>
      <w:r w:rsidRPr="00125E6E">
        <w:t>olice</w:t>
      </w:r>
    </w:p>
    <w:p w14:paraId="0D6D880C" w14:textId="77777777" w:rsidR="00EE67CB" w:rsidRPr="00125E6E" w:rsidRDefault="00EE67CB" w:rsidP="00152E9B">
      <w:pPr>
        <w:pStyle w:val="Bullet"/>
      </w:pPr>
      <w:r>
        <w:t xml:space="preserve">using them </w:t>
      </w:r>
      <w:r w:rsidRPr="00125E6E">
        <w:t>for training purposes</w:t>
      </w:r>
    </w:p>
    <w:p w14:paraId="3E08FB51" w14:textId="77777777" w:rsidR="00EE67CB" w:rsidRPr="00125E6E" w:rsidRDefault="00EE67CB" w:rsidP="00152E9B">
      <w:pPr>
        <w:pStyle w:val="Bullet"/>
      </w:pPr>
      <w:r>
        <w:t xml:space="preserve">using them </w:t>
      </w:r>
      <w:r w:rsidRPr="00125E6E">
        <w:t>in the calibration of equipment</w:t>
      </w:r>
      <w:r>
        <w:t>.</w:t>
      </w:r>
    </w:p>
    <w:p w14:paraId="799E2CC9" w14:textId="77777777" w:rsidR="00152E9B" w:rsidRDefault="00152E9B" w:rsidP="00152E9B"/>
    <w:p w14:paraId="44291D78" w14:textId="77777777" w:rsidR="00EE67CB" w:rsidRPr="00125E6E" w:rsidRDefault="00EE67CB" w:rsidP="00152E9B">
      <w:r>
        <w:t>T</w:t>
      </w:r>
      <w:r w:rsidRPr="00125E6E">
        <w:t>he following principles</w:t>
      </w:r>
      <w:r>
        <w:t xml:space="preserve"> apply to the safe storage of drugs and substances:</w:t>
      </w:r>
    </w:p>
    <w:p w14:paraId="785C6792" w14:textId="77777777" w:rsidR="00EE67CB" w:rsidRPr="00125E6E" w:rsidRDefault="00EE67CB" w:rsidP="00152E9B">
      <w:pPr>
        <w:pStyle w:val="Bullet"/>
      </w:pPr>
      <w:r w:rsidRPr="00152E9B">
        <w:t>Packaging and labelling:</w:t>
      </w:r>
      <w:r w:rsidRPr="00152E9B">
        <w:rPr>
          <w:lang w:val="mi-NZ"/>
        </w:rPr>
        <w:t xml:space="preserve"> </w:t>
      </w:r>
      <w:proofErr w:type="spellStart"/>
      <w:r w:rsidRPr="00152E9B">
        <w:rPr>
          <w:lang w:val="mi-NZ"/>
        </w:rPr>
        <w:t>Samples</w:t>
      </w:r>
      <w:proofErr w:type="spellEnd"/>
      <w:r w:rsidRPr="00152E9B">
        <w:rPr>
          <w:lang w:val="mi-NZ"/>
        </w:rPr>
        <w:t xml:space="preserve"> </w:t>
      </w:r>
      <w:r w:rsidRPr="00125E6E">
        <w:rPr>
          <w:lang w:val="mi-NZ"/>
        </w:rPr>
        <w:t xml:space="preserve">are </w:t>
      </w:r>
      <w:proofErr w:type="spellStart"/>
      <w:r w:rsidRPr="00125E6E">
        <w:rPr>
          <w:lang w:val="mi-NZ"/>
        </w:rPr>
        <w:t>placed</w:t>
      </w:r>
      <w:proofErr w:type="spellEnd"/>
      <w:r w:rsidRPr="00125E6E">
        <w:rPr>
          <w:lang w:val="mi-NZ"/>
        </w:rPr>
        <w:t xml:space="preserve"> </w:t>
      </w:r>
      <w:proofErr w:type="spellStart"/>
      <w:r w:rsidRPr="00125E6E">
        <w:rPr>
          <w:lang w:val="mi-NZ"/>
        </w:rPr>
        <w:t>in</w:t>
      </w:r>
      <w:proofErr w:type="spellEnd"/>
      <w:r w:rsidRPr="00125E6E">
        <w:rPr>
          <w:lang w:val="mi-NZ"/>
        </w:rPr>
        <w:t xml:space="preserve"> a </w:t>
      </w:r>
      <w:proofErr w:type="spellStart"/>
      <w:r w:rsidRPr="00125E6E">
        <w:rPr>
          <w:lang w:val="mi-NZ"/>
        </w:rPr>
        <w:t>suitable</w:t>
      </w:r>
      <w:proofErr w:type="spellEnd"/>
      <w:r w:rsidRPr="00125E6E">
        <w:rPr>
          <w:lang w:val="mi-NZ"/>
        </w:rPr>
        <w:t xml:space="preserve"> </w:t>
      </w:r>
      <w:proofErr w:type="spellStart"/>
      <w:r w:rsidRPr="00125E6E">
        <w:rPr>
          <w:lang w:val="mi-NZ"/>
        </w:rPr>
        <w:t>specimen</w:t>
      </w:r>
      <w:proofErr w:type="spellEnd"/>
      <w:r w:rsidRPr="00125E6E">
        <w:rPr>
          <w:lang w:val="mi-NZ"/>
        </w:rPr>
        <w:t xml:space="preserve"> </w:t>
      </w:r>
      <w:proofErr w:type="spellStart"/>
      <w:r w:rsidRPr="00125E6E">
        <w:rPr>
          <w:lang w:val="mi-NZ"/>
        </w:rPr>
        <w:t>bag</w:t>
      </w:r>
      <w:proofErr w:type="spellEnd"/>
      <w:r w:rsidRPr="00125E6E">
        <w:rPr>
          <w:lang w:val="mi-NZ"/>
        </w:rPr>
        <w:t xml:space="preserve"> for </w:t>
      </w:r>
      <w:proofErr w:type="spellStart"/>
      <w:r w:rsidRPr="00125E6E">
        <w:rPr>
          <w:lang w:val="mi-NZ"/>
        </w:rPr>
        <w:t>storage</w:t>
      </w:r>
      <w:proofErr w:type="spellEnd"/>
      <w:r w:rsidRPr="00125E6E">
        <w:rPr>
          <w:lang w:val="mi-NZ"/>
        </w:rPr>
        <w:t xml:space="preserve">, </w:t>
      </w:r>
      <w:proofErr w:type="spellStart"/>
      <w:r w:rsidRPr="00125E6E">
        <w:rPr>
          <w:lang w:val="mi-NZ"/>
        </w:rPr>
        <w:t>labelled</w:t>
      </w:r>
      <w:proofErr w:type="spellEnd"/>
      <w:r w:rsidRPr="00125E6E">
        <w:rPr>
          <w:lang w:val="mi-NZ"/>
        </w:rPr>
        <w:t xml:space="preserve"> </w:t>
      </w:r>
      <w:proofErr w:type="spellStart"/>
      <w:r w:rsidRPr="00125E6E">
        <w:rPr>
          <w:lang w:val="mi-NZ"/>
        </w:rPr>
        <w:t>with</w:t>
      </w:r>
      <w:proofErr w:type="spellEnd"/>
      <w:r w:rsidRPr="00125E6E">
        <w:rPr>
          <w:lang w:val="mi-NZ"/>
        </w:rPr>
        <w:t>:</w:t>
      </w:r>
    </w:p>
    <w:p w14:paraId="0BFE4A39" w14:textId="77777777" w:rsidR="00EE67CB" w:rsidRPr="00125E6E" w:rsidRDefault="00EE67CB" w:rsidP="00152E9B">
      <w:pPr>
        <w:pStyle w:val="Dash"/>
      </w:pPr>
      <w:proofErr w:type="spellStart"/>
      <w:r w:rsidRPr="00125E6E">
        <w:rPr>
          <w:lang w:val="mi-NZ"/>
        </w:rPr>
        <w:t>the</w:t>
      </w:r>
      <w:proofErr w:type="spellEnd"/>
      <w:r w:rsidRPr="00125E6E">
        <w:rPr>
          <w:lang w:val="mi-NZ"/>
        </w:rPr>
        <w:t xml:space="preserve"> </w:t>
      </w:r>
      <w:proofErr w:type="spellStart"/>
      <w:r w:rsidRPr="00125E6E">
        <w:rPr>
          <w:lang w:val="mi-NZ"/>
        </w:rPr>
        <w:t>sample</w:t>
      </w:r>
      <w:proofErr w:type="spellEnd"/>
      <w:r w:rsidRPr="00125E6E">
        <w:rPr>
          <w:lang w:val="mi-NZ"/>
        </w:rPr>
        <w:t xml:space="preserve"> ID/</w:t>
      </w:r>
      <w:proofErr w:type="spellStart"/>
      <w:r w:rsidRPr="00125E6E">
        <w:rPr>
          <w:lang w:val="mi-NZ"/>
        </w:rPr>
        <w:t>number</w:t>
      </w:r>
      <w:proofErr w:type="spellEnd"/>
      <w:r w:rsidRPr="00125E6E">
        <w:rPr>
          <w:lang w:val="mi-NZ"/>
        </w:rPr>
        <w:t xml:space="preserve"> </w:t>
      </w:r>
      <w:proofErr w:type="spellStart"/>
      <w:r w:rsidRPr="00125E6E">
        <w:rPr>
          <w:lang w:val="mi-NZ"/>
        </w:rPr>
        <w:t>that</w:t>
      </w:r>
      <w:proofErr w:type="spellEnd"/>
      <w:r w:rsidRPr="00125E6E">
        <w:rPr>
          <w:lang w:val="mi-NZ"/>
        </w:rPr>
        <w:t xml:space="preserve"> </w:t>
      </w:r>
      <w:proofErr w:type="spellStart"/>
      <w:r w:rsidRPr="00125E6E">
        <w:rPr>
          <w:lang w:val="mi-NZ"/>
        </w:rPr>
        <w:t>aligns</w:t>
      </w:r>
      <w:proofErr w:type="spellEnd"/>
      <w:r w:rsidRPr="00125E6E">
        <w:rPr>
          <w:lang w:val="mi-NZ"/>
        </w:rPr>
        <w:t xml:space="preserve"> </w:t>
      </w:r>
      <w:proofErr w:type="spellStart"/>
      <w:r w:rsidRPr="00125E6E">
        <w:rPr>
          <w:lang w:val="mi-NZ"/>
        </w:rPr>
        <w:t>with</w:t>
      </w:r>
      <w:proofErr w:type="spellEnd"/>
      <w:r w:rsidRPr="00125E6E">
        <w:rPr>
          <w:lang w:val="mi-NZ"/>
        </w:rPr>
        <w:t xml:space="preserve"> more </w:t>
      </w:r>
      <w:proofErr w:type="spellStart"/>
      <w:r w:rsidRPr="00125E6E">
        <w:rPr>
          <w:lang w:val="mi-NZ"/>
        </w:rPr>
        <w:t>detailed</w:t>
      </w:r>
      <w:proofErr w:type="spellEnd"/>
      <w:r w:rsidRPr="00125E6E">
        <w:rPr>
          <w:lang w:val="mi-NZ"/>
        </w:rPr>
        <w:t xml:space="preserve"> </w:t>
      </w:r>
      <w:proofErr w:type="spellStart"/>
      <w:r w:rsidRPr="00125E6E">
        <w:rPr>
          <w:lang w:val="mi-NZ"/>
        </w:rPr>
        <w:t>information</w:t>
      </w:r>
      <w:proofErr w:type="spellEnd"/>
      <w:r w:rsidRPr="00125E6E">
        <w:rPr>
          <w:lang w:val="mi-NZ"/>
        </w:rPr>
        <w:t xml:space="preserve"> </w:t>
      </w:r>
      <w:proofErr w:type="spellStart"/>
      <w:r w:rsidRPr="00125E6E">
        <w:rPr>
          <w:lang w:val="mi-NZ"/>
        </w:rPr>
        <w:t>recorded</w:t>
      </w:r>
      <w:proofErr w:type="spellEnd"/>
      <w:r w:rsidRPr="00125E6E">
        <w:rPr>
          <w:lang w:val="mi-NZ"/>
        </w:rPr>
        <w:t xml:space="preserve"> </w:t>
      </w:r>
      <w:proofErr w:type="spellStart"/>
      <w:r w:rsidRPr="00125E6E">
        <w:rPr>
          <w:lang w:val="mi-NZ"/>
        </w:rPr>
        <w:t>in</w:t>
      </w:r>
      <w:proofErr w:type="spellEnd"/>
      <w:r w:rsidRPr="00125E6E">
        <w:rPr>
          <w:lang w:val="mi-NZ"/>
        </w:rPr>
        <w:t xml:space="preserve"> </w:t>
      </w:r>
      <w:proofErr w:type="spellStart"/>
      <w:r w:rsidRPr="00125E6E">
        <w:rPr>
          <w:lang w:val="mi-NZ"/>
        </w:rPr>
        <w:t>the</w:t>
      </w:r>
      <w:proofErr w:type="spellEnd"/>
      <w:r w:rsidRPr="00125E6E">
        <w:rPr>
          <w:lang w:val="mi-NZ"/>
        </w:rPr>
        <w:t xml:space="preserve"> </w:t>
      </w:r>
      <w:proofErr w:type="spellStart"/>
      <w:r>
        <w:rPr>
          <w:lang w:val="mi-NZ"/>
        </w:rPr>
        <w:t>hard</w:t>
      </w:r>
      <w:proofErr w:type="spellEnd"/>
      <w:r>
        <w:rPr>
          <w:lang w:val="mi-NZ"/>
        </w:rPr>
        <w:t xml:space="preserve"> </w:t>
      </w:r>
      <w:proofErr w:type="spellStart"/>
      <w:r>
        <w:rPr>
          <w:lang w:val="mi-NZ"/>
        </w:rPr>
        <w:t>copy</w:t>
      </w:r>
      <w:proofErr w:type="spellEnd"/>
      <w:r>
        <w:rPr>
          <w:lang w:val="mi-NZ"/>
        </w:rPr>
        <w:t xml:space="preserve"> or </w:t>
      </w:r>
      <w:proofErr w:type="spellStart"/>
      <w:r>
        <w:rPr>
          <w:lang w:val="mi-NZ"/>
        </w:rPr>
        <w:t>electronic</w:t>
      </w:r>
      <w:proofErr w:type="spellEnd"/>
      <w:r w:rsidRPr="00125E6E">
        <w:rPr>
          <w:lang w:val="mi-NZ"/>
        </w:rPr>
        <w:t xml:space="preserve"> </w:t>
      </w:r>
      <w:proofErr w:type="spellStart"/>
      <w:r w:rsidRPr="00125E6E">
        <w:rPr>
          <w:lang w:val="mi-NZ"/>
        </w:rPr>
        <w:t>register</w:t>
      </w:r>
      <w:proofErr w:type="spellEnd"/>
    </w:p>
    <w:p w14:paraId="35721BB0" w14:textId="77777777" w:rsidR="00EE67CB" w:rsidRPr="00125E6E" w:rsidRDefault="00EE67CB" w:rsidP="00152E9B">
      <w:pPr>
        <w:pStyle w:val="Dash"/>
      </w:pPr>
      <w:proofErr w:type="spellStart"/>
      <w:r w:rsidRPr="00125E6E">
        <w:rPr>
          <w:lang w:val="mi-NZ"/>
        </w:rPr>
        <w:t>the</w:t>
      </w:r>
      <w:proofErr w:type="spellEnd"/>
      <w:r w:rsidRPr="00125E6E">
        <w:rPr>
          <w:lang w:val="mi-NZ"/>
        </w:rPr>
        <w:t xml:space="preserve"> </w:t>
      </w:r>
      <w:proofErr w:type="spellStart"/>
      <w:r w:rsidRPr="00125E6E">
        <w:rPr>
          <w:lang w:val="mi-NZ"/>
        </w:rPr>
        <w:t>date</w:t>
      </w:r>
      <w:proofErr w:type="spellEnd"/>
      <w:r w:rsidRPr="00125E6E">
        <w:rPr>
          <w:lang w:val="mi-NZ"/>
        </w:rPr>
        <w:t xml:space="preserve"> </w:t>
      </w:r>
      <w:proofErr w:type="spellStart"/>
      <w:r w:rsidRPr="00125E6E">
        <w:rPr>
          <w:lang w:val="mi-NZ"/>
        </w:rPr>
        <w:t>the</w:t>
      </w:r>
      <w:proofErr w:type="spellEnd"/>
      <w:r w:rsidRPr="00125E6E">
        <w:rPr>
          <w:lang w:val="mi-NZ"/>
        </w:rPr>
        <w:t xml:space="preserve"> </w:t>
      </w:r>
      <w:proofErr w:type="spellStart"/>
      <w:r w:rsidRPr="00125E6E">
        <w:rPr>
          <w:lang w:val="mi-NZ"/>
        </w:rPr>
        <w:t>sample</w:t>
      </w:r>
      <w:proofErr w:type="spellEnd"/>
      <w:r w:rsidRPr="00125E6E">
        <w:rPr>
          <w:lang w:val="mi-NZ"/>
        </w:rPr>
        <w:t xml:space="preserve"> </w:t>
      </w:r>
      <w:proofErr w:type="spellStart"/>
      <w:r w:rsidRPr="00125E6E">
        <w:rPr>
          <w:lang w:val="mi-NZ"/>
        </w:rPr>
        <w:t>was</w:t>
      </w:r>
      <w:proofErr w:type="spellEnd"/>
      <w:r w:rsidRPr="00125E6E">
        <w:rPr>
          <w:lang w:val="mi-NZ"/>
        </w:rPr>
        <w:t xml:space="preserve"> </w:t>
      </w:r>
      <w:proofErr w:type="spellStart"/>
      <w:r w:rsidRPr="00125E6E">
        <w:rPr>
          <w:lang w:val="mi-NZ"/>
        </w:rPr>
        <w:t>retained</w:t>
      </w:r>
      <w:proofErr w:type="spellEnd"/>
    </w:p>
    <w:p w14:paraId="759D0481" w14:textId="77777777" w:rsidR="00EE67CB" w:rsidRPr="00125E6E" w:rsidRDefault="00EE67CB" w:rsidP="00152E9B">
      <w:pPr>
        <w:pStyle w:val="Dash"/>
      </w:pPr>
      <w:proofErr w:type="spellStart"/>
      <w:r w:rsidRPr="00125E6E">
        <w:rPr>
          <w:lang w:val="mi-NZ"/>
        </w:rPr>
        <w:t>the</w:t>
      </w:r>
      <w:proofErr w:type="spellEnd"/>
      <w:r w:rsidRPr="00125E6E">
        <w:rPr>
          <w:lang w:val="mi-NZ"/>
        </w:rPr>
        <w:t xml:space="preserve"> </w:t>
      </w:r>
      <w:proofErr w:type="spellStart"/>
      <w:r w:rsidRPr="00125E6E">
        <w:rPr>
          <w:lang w:val="mi-NZ"/>
        </w:rPr>
        <w:t>location</w:t>
      </w:r>
      <w:proofErr w:type="spellEnd"/>
      <w:r w:rsidRPr="00125E6E">
        <w:rPr>
          <w:lang w:val="mi-NZ"/>
        </w:rPr>
        <w:t xml:space="preserve"> </w:t>
      </w:r>
      <w:proofErr w:type="spellStart"/>
      <w:r>
        <w:rPr>
          <w:lang w:val="mi-NZ"/>
        </w:rPr>
        <w:t>at</w:t>
      </w:r>
      <w:proofErr w:type="spellEnd"/>
      <w:r>
        <w:rPr>
          <w:lang w:val="mi-NZ"/>
        </w:rPr>
        <w:t xml:space="preserve"> </w:t>
      </w:r>
      <w:proofErr w:type="spellStart"/>
      <w:r>
        <w:rPr>
          <w:lang w:val="mi-NZ"/>
        </w:rPr>
        <w:t>which</w:t>
      </w:r>
      <w:proofErr w:type="spellEnd"/>
      <w:r>
        <w:rPr>
          <w:lang w:val="mi-NZ"/>
        </w:rPr>
        <w:t xml:space="preserve"> </w:t>
      </w:r>
      <w:proofErr w:type="spellStart"/>
      <w:r w:rsidRPr="00125E6E">
        <w:rPr>
          <w:lang w:val="mi-NZ"/>
        </w:rPr>
        <w:t>the</w:t>
      </w:r>
      <w:proofErr w:type="spellEnd"/>
      <w:r w:rsidRPr="00125E6E">
        <w:rPr>
          <w:lang w:val="mi-NZ"/>
        </w:rPr>
        <w:t xml:space="preserve"> </w:t>
      </w:r>
      <w:proofErr w:type="spellStart"/>
      <w:r w:rsidRPr="00125E6E">
        <w:rPr>
          <w:lang w:val="mi-NZ"/>
        </w:rPr>
        <w:t>sample</w:t>
      </w:r>
      <w:proofErr w:type="spellEnd"/>
      <w:r w:rsidRPr="00125E6E">
        <w:rPr>
          <w:lang w:val="mi-NZ"/>
        </w:rPr>
        <w:t xml:space="preserve"> </w:t>
      </w:r>
      <w:proofErr w:type="spellStart"/>
      <w:r w:rsidRPr="00125E6E">
        <w:rPr>
          <w:lang w:val="mi-NZ"/>
        </w:rPr>
        <w:t>was</w:t>
      </w:r>
      <w:proofErr w:type="spellEnd"/>
      <w:r w:rsidRPr="00125E6E">
        <w:rPr>
          <w:lang w:val="mi-NZ"/>
        </w:rPr>
        <w:t xml:space="preserve"> </w:t>
      </w:r>
      <w:proofErr w:type="spellStart"/>
      <w:r w:rsidRPr="00125E6E">
        <w:rPr>
          <w:lang w:val="mi-NZ"/>
        </w:rPr>
        <w:t>retained</w:t>
      </w:r>
      <w:proofErr w:type="spellEnd"/>
    </w:p>
    <w:p w14:paraId="23C2B357" w14:textId="77777777" w:rsidR="00A25A47" w:rsidRDefault="00EE67CB" w:rsidP="00152E9B">
      <w:pPr>
        <w:pStyle w:val="Dash"/>
        <w:rPr>
          <w:lang w:val="mi-NZ"/>
        </w:rPr>
      </w:pPr>
      <w:proofErr w:type="spellStart"/>
      <w:r w:rsidRPr="00125E6E">
        <w:rPr>
          <w:lang w:val="mi-NZ"/>
        </w:rPr>
        <w:t>the</w:t>
      </w:r>
      <w:proofErr w:type="spellEnd"/>
      <w:r w:rsidRPr="00125E6E">
        <w:rPr>
          <w:lang w:val="mi-NZ"/>
        </w:rPr>
        <w:t xml:space="preserve"> </w:t>
      </w:r>
      <w:proofErr w:type="spellStart"/>
      <w:r w:rsidRPr="00125E6E">
        <w:rPr>
          <w:lang w:val="mi-NZ"/>
        </w:rPr>
        <w:t>name</w:t>
      </w:r>
      <w:proofErr w:type="spellEnd"/>
      <w:r w:rsidRPr="00125E6E">
        <w:rPr>
          <w:lang w:val="mi-NZ"/>
        </w:rPr>
        <w:t xml:space="preserve"> of </w:t>
      </w:r>
      <w:proofErr w:type="spellStart"/>
      <w:r w:rsidRPr="00125E6E">
        <w:rPr>
          <w:lang w:val="mi-NZ"/>
        </w:rPr>
        <w:t>the</w:t>
      </w:r>
      <w:proofErr w:type="spellEnd"/>
      <w:r w:rsidRPr="00125E6E">
        <w:rPr>
          <w:lang w:val="mi-NZ"/>
        </w:rPr>
        <w:t xml:space="preserve"> </w:t>
      </w:r>
      <w:proofErr w:type="spellStart"/>
      <w:r w:rsidRPr="00125E6E">
        <w:rPr>
          <w:lang w:val="mi-NZ"/>
        </w:rPr>
        <w:t>person</w:t>
      </w:r>
      <w:proofErr w:type="spellEnd"/>
      <w:r w:rsidRPr="00125E6E">
        <w:rPr>
          <w:lang w:val="mi-NZ"/>
        </w:rPr>
        <w:t xml:space="preserve"> </w:t>
      </w:r>
      <w:proofErr w:type="spellStart"/>
      <w:r w:rsidRPr="00125E6E">
        <w:rPr>
          <w:lang w:val="mi-NZ"/>
        </w:rPr>
        <w:t>who</w:t>
      </w:r>
      <w:proofErr w:type="spellEnd"/>
      <w:r w:rsidRPr="00125E6E">
        <w:rPr>
          <w:lang w:val="mi-NZ"/>
        </w:rPr>
        <w:t xml:space="preserve"> </w:t>
      </w:r>
      <w:proofErr w:type="spellStart"/>
      <w:r w:rsidRPr="00125E6E">
        <w:rPr>
          <w:lang w:val="mi-NZ"/>
        </w:rPr>
        <w:t>accepted</w:t>
      </w:r>
      <w:proofErr w:type="spellEnd"/>
      <w:r w:rsidRPr="00125E6E">
        <w:rPr>
          <w:lang w:val="mi-NZ"/>
        </w:rPr>
        <w:t xml:space="preserve"> </w:t>
      </w:r>
      <w:proofErr w:type="spellStart"/>
      <w:r w:rsidRPr="00125E6E">
        <w:rPr>
          <w:lang w:val="mi-NZ"/>
        </w:rPr>
        <w:t>the</w:t>
      </w:r>
      <w:proofErr w:type="spellEnd"/>
      <w:r w:rsidRPr="00125E6E">
        <w:rPr>
          <w:lang w:val="mi-NZ"/>
        </w:rPr>
        <w:t xml:space="preserve"> </w:t>
      </w:r>
      <w:proofErr w:type="spellStart"/>
      <w:r w:rsidRPr="00125E6E">
        <w:rPr>
          <w:lang w:val="mi-NZ"/>
        </w:rPr>
        <w:t>sample</w:t>
      </w:r>
      <w:proofErr w:type="spellEnd"/>
    </w:p>
    <w:p w14:paraId="7F66C86C" w14:textId="77777777" w:rsidR="00EE67CB" w:rsidRPr="00125E6E" w:rsidRDefault="00EE67CB" w:rsidP="00152E9B">
      <w:pPr>
        <w:pStyle w:val="Dash"/>
      </w:pPr>
      <w:proofErr w:type="spellStart"/>
      <w:r w:rsidRPr="00125E6E">
        <w:rPr>
          <w:lang w:val="mi-NZ"/>
        </w:rPr>
        <w:t>the</w:t>
      </w:r>
      <w:proofErr w:type="spellEnd"/>
      <w:r w:rsidRPr="00125E6E">
        <w:rPr>
          <w:lang w:val="mi-NZ"/>
        </w:rPr>
        <w:t xml:space="preserve"> </w:t>
      </w:r>
      <w:proofErr w:type="spellStart"/>
      <w:r w:rsidRPr="00125E6E">
        <w:rPr>
          <w:lang w:val="mi-NZ"/>
        </w:rPr>
        <w:t>reason</w:t>
      </w:r>
      <w:proofErr w:type="spellEnd"/>
      <w:r w:rsidRPr="00125E6E">
        <w:rPr>
          <w:lang w:val="mi-NZ"/>
        </w:rPr>
        <w:t xml:space="preserve"> for </w:t>
      </w:r>
      <w:proofErr w:type="spellStart"/>
      <w:r w:rsidRPr="00125E6E">
        <w:rPr>
          <w:lang w:val="mi-NZ"/>
        </w:rPr>
        <w:t>possession</w:t>
      </w:r>
      <w:proofErr w:type="spellEnd"/>
      <w:r w:rsidRPr="00125E6E">
        <w:rPr>
          <w:lang w:val="mi-NZ"/>
        </w:rPr>
        <w:t xml:space="preserve"> and </w:t>
      </w:r>
      <w:proofErr w:type="spellStart"/>
      <w:r w:rsidRPr="00125E6E">
        <w:rPr>
          <w:lang w:val="mi-NZ"/>
        </w:rPr>
        <w:t>storage</w:t>
      </w:r>
      <w:proofErr w:type="spellEnd"/>
      <w:r w:rsidRPr="00125E6E">
        <w:rPr>
          <w:lang w:val="mi-NZ"/>
        </w:rPr>
        <w:t>.</w:t>
      </w:r>
    </w:p>
    <w:p w14:paraId="2523E3CD" w14:textId="77777777" w:rsidR="00EE67CB" w:rsidRPr="00826FFF" w:rsidRDefault="00EE67CB" w:rsidP="00152E9B">
      <w:pPr>
        <w:pStyle w:val="Bullet"/>
      </w:pPr>
      <w:r w:rsidRPr="00152E9B">
        <w:t xml:space="preserve">Lockable storage: </w:t>
      </w:r>
      <w:r w:rsidRPr="00826FFF">
        <w:t xml:space="preserve">Samples </w:t>
      </w:r>
      <w:r w:rsidRPr="00100500">
        <w:t xml:space="preserve">are secured </w:t>
      </w:r>
      <w:r w:rsidRPr="00C40A1B">
        <w:t>in a lockbox (</w:t>
      </w:r>
      <w:proofErr w:type="spellStart"/>
      <w:r w:rsidRPr="00C40A1B">
        <w:t>eg</w:t>
      </w:r>
      <w:proofErr w:type="spellEnd"/>
      <w:r w:rsidRPr="00C40A1B">
        <w:t xml:space="preserve">, a </w:t>
      </w:r>
      <w:r w:rsidRPr="00BF65DB">
        <w:t>locked cupboard</w:t>
      </w:r>
      <w:r w:rsidRPr="001C4236">
        <w:t xml:space="preserve">, </w:t>
      </w:r>
      <w:r w:rsidRPr="00DF70DE">
        <w:t>cabinet or safe), specific to the service</w:t>
      </w:r>
      <w:r w:rsidRPr="00826FFF">
        <w:t xml:space="preserve"> delivery model (</w:t>
      </w:r>
      <w:proofErr w:type="spellStart"/>
      <w:r w:rsidRPr="00826FFF">
        <w:t>eg</w:t>
      </w:r>
      <w:proofErr w:type="spellEnd"/>
      <w:r w:rsidRPr="00826FFF">
        <w:t>, a transportable lockbox in the field and a non-movable safe in an office or static clinic).</w:t>
      </w:r>
    </w:p>
    <w:p w14:paraId="6CE70005" w14:textId="77777777" w:rsidR="00EE67CB" w:rsidRPr="00152E9B" w:rsidRDefault="00EE67CB" w:rsidP="00152E9B">
      <w:pPr>
        <w:pStyle w:val="Bullet"/>
      </w:pPr>
      <w:r w:rsidRPr="00152E9B">
        <w:lastRenderedPageBreak/>
        <w:t>Restriction from unauthorised access: The lockbox is not accessible to unauthorised persons, and it is secure when unattended. The mechanism to unlock the lockbox is held by authorised personnel only.</w:t>
      </w:r>
    </w:p>
    <w:p w14:paraId="74F8A3C5" w14:textId="77777777" w:rsidR="00A25A47" w:rsidRPr="00152E9B" w:rsidRDefault="00EE67CB" w:rsidP="00152E9B">
      <w:pPr>
        <w:pStyle w:val="Bullet"/>
      </w:pPr>
      <w:r w:rsidRPr="00152E9B">
        <w:t>Discretion</w:t>
      </w:r>
      <w:r w:rsidRPr="00152E9B">
        <w:rPr>
          <w:b/>
          <w:bCs/>
        </w:rPr>
        <w:t>:</w:t>
      </w:r>
      <w:r w:rsidRPr="00152E9B">
        <w:t xml:space="preserve"> The lockbox is not visible to unauthorised people. If it is visible, its purpose is not identifiable.</w:t>
      </w:r>
    </w:p>
    <w:p w14:paraId="01AFA266" w14:textId="77777777" w:rsidR="00A25A47" w:rsidRDefault="00EE67CB" w:rsidP="00152E9B">
      <w:pPr>
        <w:pStyle w:val="Bullet"/>
        <w:rPr>
          <w:lang w:val="mi-NZ"/>
        </w:rPr>
      </w:pPr>
      <w:r w:rsidRPr="00152E9B">
        <w:t>Maintenance of drug and/or substance register: T</w:t>
      </w:r>
      <w:r w:rsidRPr="00152E9B">
        <w:rPr>
          <w:lang w:val="mi-NZ"/>
        </w:rPr>
        <w:t xml:space="preserve">he </w:t>
      </w:r>
      <w:proofErr w:type="spellStart"/>
      <w:r w:rsidRPr="00152E9B">
        <w:rPr>
          <w:lang w:val="mi-NZ"/>
        </w:rPr>
        <w:t>names</w:t>
      </w:r>
      <w:proofErr w:type="spellEnd"/>
      <w:r w:rsidRPr="00152E9B">
        <w:rPr>
          <w:lang w:val="mi-NZ"/>
        </w:rPr>
        <w:t xml:space="preserve"> </w:t>
      </w:r>
      <w:r w:rsidRPr="00125E6E">
        <w:rPr>
          <w:lang w:val="mi-NZ"/>
        </w:rPr>
        <w:t xml:space="preserve">of </w:t>
      </w:r>
      <w:proofErr w:type="spellStart"/>
      <w:r>
        <w:rPr>
          <w:lang w:val="mi-NZ"/>
        </w:rPr>
        <w:t>those</w:t>
      </w:r>
      <w:proofErr w:type="spellEnd"/>
      <w:r>
        <w:rPr>
          <w:lang w:val="mi-NZ"/>
        </w:rPr>
        <w:t xml:space="preserve"> </w:t>
      </w:r>
      <w:proofErr w:type="spellStart"/>
      <w:r w:rsidRPr="00125E6E">
        <w:rPr>
          <w:lang w:val="mi-NZ"/>
        </w:rPr>
        <w:t>authorised</w:t>
      </w:r>
      <w:proofErr w:type="spellEnd"/>
      <w:r w:rsidRPr="00125E6E">
        <w:rPr>
          <w:lang w:val="mi-NZ"/>
        </w:rPr>
        <w:t xml:space="preserve"> to </w:t>
      </w:r>
      <w:proofErr w:type="spellStart"/>
      <w:r w:rsidRPr="00125E6E">
        <w:rPr>
          <w:lang w:val="mi-NZ"/>
        </w:rPr>
        <w:t>access</w:t>
      </w:r>
      <w:proofErr w:type="spellEnd"/>
      <w:r w:rsidRPr="00125E6E">
        <w:rPr>
          <w:lang w:val="mi-NZ"/>
        </w:rPr>
        <w:t xml:space="preserve"> </w:t>
      </w:r>
      <w:proofErr w:type="spellStart"/>
      <w:r w:rsidRPr="00125E6E">
        <w:rPr>
          <w:lang w:val="mi-NZ"/>
        </w:rPr>
        <w:t>the</w:t>
      </w:r>
      <w:proofErr w:type="spellEnd"/>
      <w:r w:rsidRPr="00125E6E">
        <w:rPr>
          <w:lang w:val="mi-NZ"/>
        </w:rPr>
        <w:t xml:space="preserve"> </w:t>
      </w:r>
      <w:r w:rsidRPr="00125E6E">
        <w:t xml:space="preserve">lockbox </w:t>
      </w:r>
      <w:r w:rsidRPr="00125E6E">
        <w:rPr>
          <w:lang w:val="mi-NZ"/>
        </w:rPr>
        <w:t xml:space="preserve">are </w:t>
      </w:r>
      <w:proofErr w:type="spellStart"/>
      <w:r>
        <w:rPr>
          <w:lang w:val="mi-NZ"/>
        </w:rPr>
        <w:t>documented</w:t>
      </w:r>
      <w:proofErr w:type="spellEnd"/>
      <w:r>
        <w:rPr>
          <w:lang w:val="mi-NZ"/>
        </w:rPr>
        <w:t>,</w:t>
      </w:r>
      <w:r w:rsidRPr="00125E6E">
        <w:rPr>
          <w:lang w:val="mi-NZ"/>
        </w:rPr>
        <w:t xml:space="preserve"> and a </w:t>
      </w:r>
      <w:proofErr w:type="spellStart"/>
      <w:r>
        <w:rPr>
          <w:lang w:val="mi-NZ"/>
        </w:rPr>
        <w:t>register</w:t>
      </w:r>
      <w:proofErr w:type="spellEnd"/>
      <w:r>
        <w:rPr>
          <w:lang w:val="mi-NZ"/>
        </w:rPr>
        <w:t xml:space="preserve"> (</w:t>
      </w:r>
      <w:proofErr w:type="spellStart"/>
      <w:r>
        <w:rPr>
          <w:lang w:val="mi-NZ"/>
        </w:rPr>
        <w:t>hard</w:t>
      </w:r>
      <w:proofErr w:type="spellEnd"/>
      <w:r>
        <w:rPr>
          <w:lang w:val="mi-NZ"/>
        </w:rPr>
        <w:t xml:space="preserve"> </w:t>
      </w:r>
      <w:proofErr w:type="spellStart"/>
      <w:r>
        <w:rPr>
          <w:lang w:val="mi-NZ"/>
        </w:rPr>
        <w:t>copy</w:t>
      </w:r>
      <w:proofErr w:type="spellEnd"/>
      <w:r>
        <w:rPr>
          <w:lang w:val="mi-NZ"/>
        </w:rPr>
        <w:t xml:space="preserve"> or </w:t>
      </w:r>
      <w:proofErr w:type="spellStart"/>
      <w:r>
        <w:rPr>
          <w:lang w:val="mi-NZ"/>
        </w:rPr>
        <w:t>electronic</w:t>
      </w:r>
      <w:proofErr w:type="spellEnd"/>
      <w:r>
        <w:rPr>
          <w:lang w:val="mi-NZ"/>
        </w:rPr>
        <w:t>)</w:t>
      </w:r>
      <w:r w:rsidRPr="00125E6E">
        <w:rPr>
          <w:lang w:val="mi-NZ"/>
        </w:rPr>
        <w:t xml:space="preserve"> of </w:t>
      </w:r>
      <w:proofErr w:type="spellStart"/>
      <w:r w:rsidRPr="00125E6E">
        <w:rPr>
          <w:lang w:val="mi-NZ"/>
        </w:rPr>
        <w:t>all</w:t>
      </w:r>
      <w:proofErr w:type="spellEnd"/>
      <w:r w:rsidRPr="00125E6E">
        <w:rPr>
          <w:lang w:val="mi-NZ"/>
        </w:rPr>
        <w:t xml:space="preserve"> </w:t>
      </w:r>
      <w:proofErr w:type="spellStart"/>
      <w:r>
        <w:rPr>
          <w:lang w:val="mi-NZ"/>
        </w:rPr>
        <w:t>drug</w:t>
      </w:r>
      <w:proofErr w:type="spellEnd"/>
      <w:r>
        <w:rPr>
          <w:lang w:val="mi-NZ"/>
        </w:rPr>
        <w:t xml:space="preserve"> and/or </w:t>
      </w:r>
      <w:proofErr w:type="spellStart"/>
      <w:r>
        <w:rPr>
          <w:lang w:val="mi-NZ"/>
        </w:rPr>
        <w:t>substance</w:t>
      </w:r>
      <w:proofErr w:type="spellEnd"/>
      <w:r>
        <w:rPr>
          <w:lang w:val="mi-NZ"/>
        </w:rPr>
        <w:t xml:space="preserve"> </w:t>
      </w:r>
      <w:proofErr w:type="spellStart"/>
      <w:r>
        <w:rPr>
          <w:lang w:val="mi-NZ"/>
        </w:rPr>
        <w:t>possession</w:t>
      </w:r>
      <w:proofErr w:type="spellEnd"/>
      <w:r w:rsidRPr="00125E6E">
        <w:rPr>
          <w:lang w:val="mi-NZ"/>
        </w:rPr>
        <w:t xml:space="preserve"> </w:t>
      </w:r>
      <w:proofErr w:type="spellStart"/>
      <w:r w:rsidRPr="00125E6E">
        <w:rPr>
          <w:lang w:val="mi-NZ"/>
        </w:rPr>
        <w:t>activity</w:t>
      </w:r>
      <w:proofErr w:type="spellEnd"/>
      <w:r w:rsidRPr="00125E6E">
        <w:rPr>
          <w:lang w:val="mi-NZ"/>
        </w:rPr>
        <w:t xml:space="preserve"> </w:t>
      </w:r>
      <w:r>
        <w:rPr>
          <w:lang w:val="mi-NZ"/>
        </w:rPr>
        <w:t>(</w:t>
      </w:r>
      <w:proofErr w:type="spellStart"/>
      <w:r>
        <w:rPr>
          <w:lang w:val="mi-NZ"/>
        </w:rPr>
        <w:t>including</w:t>
      </w:r>
      <w:proofErr w:type="spellEnd"/>
      <w:r>
        <w:rPr>
          <w:lang w:val="mi-NZ"/>
        </w:rPr>
        <w:t xml:space="preserve"> for </w:t>
      </w:r>
      <w:proofErr w:type="spellStart"/>
      <w:r>
        <w:rPr>
          <w:lang w:val="mi-NZ"/>
        </w:rPr>
        <w:t>training</w:t>
      </w:r>
      <w:proofErr w:type="spellEnd"/>
      <w:r>
        <w:rPr>
          <w:lang w:val="mi-NZ"/>
        </w:rPr>
        <w:t xml:space="preserve"> </w:t>
      </w:r>
      <w:proofErr w:type="spellStart"/>
      <w:r>
        <w:rPr>
          <w:lang w:val="mi-NZ"/>
        </w:rPr>
        <w:t>purposes</w:t>
      </w:r>
      <w:proofErr w:type="spellEnd"/>
      <w:r>
        <w:rPr>
          <w:lang w:val="mi-NZ"/>
        </w:rPr>
        <w:t xml:space="preserve">) </w:t>
      </w:r>
      <w:proofErr w:type="spellStart"/>
      <w:r w:rsidRPr="00125E6E">
        <w:rPr>
          <w:lang w:val="mi-NZ"/>
        </w:rPr>
        <w:t>is</w:t>
      </w:r>
      <w:proofErr w:type="spellEnd"/>
      <w:r w:rsidRPr="00125E6E">
        <w:rPr>
          <w:lang w:val="mi-NZ"/>
        </w:rPr>
        <w:t xml:space="preserve"> </w:t>
      </w:r>
      <w:proofErr w:type="spellStart"/>
      <w:r>
        <w:rPr>
          <w:lang w:val="mi-NZ"/>
        </w:rPr>
        <w:t>kept</w:t>
      </w:r>
      <w:proofErr w:type="spellEnd"/>
      <w:r>
        <w:rPr>
          <w:lang w:val="mi-NZ"/>
        </w:rPr>
        <w:t xml:space="preserve">, </w:t>
      </w:r>
      <w:proofErr w:type="spellStart"/>
      <w:r>
        <w:rPr>
          <w:lang w:val="mi-NZ"/>
        </w:rPr>
        <w:t>adhering</w:t>
      </w:r>
      <w:proofErr w:type="spellEnd"/>
      <w:r>
        <w:rPr>
          <w:lang w:val="mi-NZ"/>
        </w:rPr>
        <w:t xml:space="preserve"> to </w:t>
      </w:r>
      <w:proofErr w:type="spellStart"/>
      <w:r>
        <w:rPr>
          <w:lang w:val="mi-NZ"/>
        </w:rPr>
        <w:t>the</w:t>
      </w:r>
      <w:proofErr w:type="spellEnd"/>
      <w:r>
        <w:rPr>
          <w:lang w:val="mi-NZ"/>
        </w:rPr>
        <w:t xml:space="preserve"> </w:t>
      </w:r>
      <w:proofErr w:type="spellStart"/>
      <w:r>
        <w:rPr>
          <w:lang w:val="mi-NZ"/>
        </w:rPr>
        <w:t>following</w:t>
      </w:r>
      <w:proofErr w:type="spellEnd"/>
      <w:r>
        <w:rPr>
          <w:lang w:val="mi-NZ"/>
        </w:rPr>
        <w:t xml:space="preserve"> </w:t>
      </w:r>
      <w:proofErr w:type="spellStart"/>
      <w:r>
        <w:rPr>
          <w:lang w:val="mi-NZ"/>
        </w:rPr>
        <w:t>principles</w:t>
      </w:r>
      <w:proofErr w:type="spellEnd"/>
      <w:r>
        <w:rPr>
          <w:lang w:val="mi-NZ"/>
        </w:rPr>
        <w:t>.</w:t>
      </w:r>
    </w:p>
    <w:p w14:paraId="49F5D0D6" w14:textId="77777777" w:rsidR="00A25A47" w:rsidRDefault="00EE67CB" w:rsidP="00152E9B">
      <w:pPr>
        <w:pStyle w:val="Dash"/>
        <w:rPr>
          <w:lang w:val="mi-NZ"/>
        </w:rPr>
      </w:pPr>
      <w:proofErr w:type="spellStart"/>
      <w:r>
        <w:rPr>
          <w:lang w:val="mi-NZ"/>
        </w:rPr>
        <w:t>The</w:t>
      </w:r>
      <w:proofErr w:type="spellEnd"/>
      <w:r>
        <w:rPr>
          <w:lang w:val="mi-NZ"/>
        </w:rPr>
        <w:t xml:space="preserve"> </w:t>
      </w:r>
      <w:proofErr w:type="spellStart"/>
      <w:r w:rsidRPr="00125E6E">
        <w:rPr>
          <w:lang w:val="mi-NZ"/>
        </w:rPr>
        <w:t>register</w:t>
      </w:r>
      <w:proofErr w:type="spellEnd"/>
      <w:r w:rsidRPr="00125E6E">
        <w:rPr>
          <w:lang w:val="mi-NZ"/>
        </w:rPr>
        <w:t xml:space="preserve"> </w:t>
      </w:r>
      <w:proofErr w:type="spellStart"/>
      <w:r>
        <w:rPr>
          <w:lang w:val="mi-NZ"/>
        </w:rPr>
        <w:t>is</w:t>
      </w:r>
      <w:proofErr w:type="spellEnd"/>
      <w:r>
        <w:rPr>
          <w:lang w:val="mi-NZ"/>
        </w:rPr>
        <w:t xml:space="preserve"> </w:t>
      </w:r>
      <w:proofErr w:type="spellStart"/>
      <w:r w:rsidRPr="00125E6E">
        <w:rPr>
          <w:lang w:val="mi-NZ"/>
        </w:rPr>
        <w:t>held</w:t>
      </w:r>
      <w:proofErr w:type="spellEnd"/>
      <w:r w:rsidRPr="00125E6E">
        <w:rPr>
          <w:lang w:val="mi-NZ"/>
        </w:rPr>
        <w:t xml:space="preserve"> </w:t>
      </w:r>
      <w:proofErr w:type="spellStart"/>
      <w:r>
        <w:rPr>
          <w:lang w:val="mi-NZ"/>
        </w:rPr>
        <w:t>securely</w:t>
      </w:r>
      <w:proofErr w:type="spellEnd"/>
      <w:r>
        <w:rPr>
          <w:lang w:val="mi-NZ"/>
        </w:rPr>
        <w:t xml:space="preserve">, </w:t>
      </w:r>
      <w:proofErr w:type="spellStart"/>
      <w:r>
        <w:rPr>
          <w:lang w:val="mi-NZ"/>
        </w:rPr>
        <w:t>either</w:t>
      </w:r>
      <w:proofErr w:type="spellEnd"/>
      <w:r>
        <w:rPr>
          <w:lang w:val="mi-NZ"/>
        </w:rPr>
        <w:t xml:space="preserve"> </w:t>
      </w:r>
      <w:proofErr w:type="spellStart"/>
      <w:r w:rsidRPr="00125E6E">
        <w:rPr>
          <w:lang w:val="mi-NZ"/>
        </w:rPr>
        <w:t>electronically</w:t>
      </w:r>
      <w:proofErr w:type="spellEnd"/>
      <w:r w:rsidRPr="00125E6E">
        <w:rPr>
          <w:lang w:val="mi-NZ"/>
        </w:rPr>
        <w:t xml:space="preserve"> o</w:t>
      </w:r>
      <w:r>
        <w:rPr>
          <w:lang w:val="mi-NZ"/>
        </w:rPr>
        <w:t xml:space="preserve">r </w:t>
      </w:r>
      <w:proofErr w:type="spellStart"/>
      <w:r>
        <w:rPr>
          <w:lang w:val="mi-NZ"/>
        </w:rPr>
        <w:t>in</w:t>
      </w:r>
      <w:proofErr w:type="spellEnd"/>
      <w:r>
        <w:rPr>
          <w:lang w:val="mi-NZ"/>
        </w:rPr>
        <w:t xml:space="preserve"> </w:t>
      </w:r>
      <w:proofErr w:type="spellStart"/>
      <w:r>
        <w:rPr>
          <w:lang w:val="mi-NZ"/>
        </w:rPr>
        <w:t>hard</w:t>
      </w:r>
      <w:proofErr w:type="spellEnd"/>
      <w:r>
        <w:rPr>
          <w:lang w:val="mi-NZ"/>
        </w:rPr>
        <w:t xml:space="preserve"> </w:t>
      </w:r>
      <w:proofErr w:type="spellStart"/>
      <w:r>
        <w:rPr>
          <w:lang w:val="mi-NZ"/>
        </w:rPr>
        <w:t>copy</w:t>
      </w:r>
      <w:proofErr w:type="spellEnd"/>
      <w:r>
        <w:rPr>
          <w:lang w:val="mi-NZ"/>
        </w:rPr>
        <w:t xml:space="preserve"> (</w:t>
      </w:r>
      <w:proofErr w:type="spellStart"/>
      <w:r>
        <w:rPr>
          <w:lang w:val="mi-NZ"/>
        </w:rPr>
        <w:t>if</w:t>
      </w:r>
      <w:proofErr w:type="spellEnd"/>
      <w:r>
        <w:rPr>
          <w:lang w:val="mi-NZ"/>
        </w:rPr>
        <w:t xml:space="preserve"> </w:t>
      </w:r>
      <w:proofErr w:type="spellStart"/>
      <w:r>
        <w:rPr>
          <w:lang w:val="mi-NZ"/>
        </w:rPr>
        <w:t>in</w:t>
      </w:r>
      <w:proofErr w:type="spellEnd"/>
      <w:r>
        <w:rPr>
          <w:lang w:val="mi-NZ"/>
        </w:rPr>
        <w:t xml:space="preserve"> </w:t>
      </w:r>
      <w:proofErr w:type="spellStart"/>
      <w:r>
        <w:rPr>
          <w:lang w:val="mi-NZ"/>
        </w:rPr>
        <w:t>hard</w:t>
      </w:r>
      <w:proofErr w:type="spellEnd"/>
      <w:r>
        <w:rPr>
          <w:lang w:val="mi-NZ"/>
        </w:rPr>
        <w:t xml:space="preserve"> </w:t>
      </w:r>
      <w:proofErr w:type="spellStart"/>
      <w:r>
        <w:rPr>
          <w:lang w:val="mi-NZ"/>
        </w:rPr>
        <w:t>copy</w:t>
      </w:r>
      <w:proofErr w:type="spellEnd"/>
      <w:r>
        <w:rPr>
          <w:lang w:val="mi-NZ"/>
        </w:rPr>
        <w:t xml:space="preserve">, </w:t>
      </w:r>
      <w:proofErr w:type="spellStart"/>
      <w:r>
        <w:rPr>
          <w:lang w:val="mi-NZ"/>
        </w:rPr>
        <w:t>the</w:t>
      </w:r>
      <w:proofErr w:type="spellEnd"/>
      <w:r>
        <w:rPr>
          <w:lang w:val="mi-NZ"/>
        </w:rPr>
        <w:t xml:space="preserve"> </w:t>
      </w:r>
      <w:proofErr w:type="spellStart"/>
      <w:r>
        <w:rPr>
          <w:lang w:val="mi-NZ"/>
        </w:rPr>
        <w:t>register</w:t>
      </w:r>
      <w:proofErr w:type="spellEnd"/>
      <w:r>
        <w:rPr>
          <w:lang w:val="mi-NZ"/>
        </w:rPr>
        <w:t xml:space="preserve"> </w:t>
      </w:r>
      <w:proofErr w:type="spellStart"/>
      <w:r>
        <w:rPr>
          <w:lang w:val="mi-NZ"/>
        </w:rPr>
        <w:t>is</w:t>
      </w:r>
      <w:proofErr w:type="spellEnd"/>
      <w:r>
        <w:rPr>
          <w:lang w:val="mi-NZ"/>
        </w:rPr>
        <w:t xml:space="preserve"> </w:t>
      </w:r>
      <w:proofErr w:type="spellStart"/>
      <w:r w:rsidRPr="00125E6E">
        <w:rPr>
          <w:lang w:val="mi-NZ"/>
        </w:rPr>
        <w:t>held</w:t>
      </w:r>
      <w:proofErr w:type="spellEnd"/>
      <w:r w:rsidRPr="00125E6E">
        <w:rPr>
          <w:lang w:val="mi-NZ"/>
        </w:rPr>
        <w:t xml:space="preserve"> </w:t>
      </w:r>
      <w:proofErr w:type="spellStart"/>
      <w:r w:rsidRPr="00125E6E">
        <w:rPr>
          <w:lang w:val="mi-NZ"/>
        </w:rPr>
        <w:t>in</w:t>
      </w:r>
      <w:proofErr w:type="spellEnd"/>
      <w:r w:rsidRPr="00125E6E">
        <w:rPr>
          <w:lang w:val="mi-NZ"/>
        </w:rPr>
        <w:t xml:space="preserve"> a </w:t>
      </w:r>
      <w:proofErr w:type="spellStart"/>
      <w:r>
        <w:rPr>
          <w:lang w:val="mi-NZ"/>
        </w:rPr>
        <w:t>lockbox</w:t>
      </w:r>
      <w:proofErr w:type="spellEnd"/>
      <w:r>
        <w:rPr>
          <w:lang w:val="mi-NZ"/>
        </w:rPr>
        <w:t xml:space="preserve"> </w:t>
      </w:r>
      <w:proofErr w:type="spellStart"/>
      <w:r>
        <w:rPr>
          <w:lang w:val="mi-NZ"/>
        </w:rPr>
        <w:t>that</w:t>
      </w:r>
      <w:proofErr w:type="spellEnd"/>
      <w:r>
        <w:rPr>
          <w:lang w:val="mi-NZ"/>
        </w:rPr>
        <w:t xml:space="preserve"> </w:t>
      </w:r>
      <w:proofErr w:type="spellStart"/>
      <w:r>
        <w:rPr>
          <w:lang w:val="mi-NZ"/>
        </w:rPr>
        <w:t>is</w:t>
      </w:r>
      <w:proofErr w:type="spellEnd"/>
      <w:r>
        <w:rPr>
          <w:lang w:val="mi-NZ"/>
        </w:rPr>
        <w:t xml:space="preserve"> </w:t>
      </w:r>
      <w:proofErr w:type="spellStart"/>
      <w:r>
        <w:rPr>
          <w:lang w:val="mi-NZ"/>
        </w:rPr>
        <w:t>separate</w:t>
      </w:r>
      <w:proofErr w:type="spellEnd"/>
      <w:r>
        <w:rPr>
          <w:lang w:val="mi-NZ"/>
        </w:rPr>
        <w:t xml:space="preserve"> </w:t>
      </w:r>
      <w:proofErr w:type="spellStart"/>
      <w:r>
        <w:rPr>
          <w:lang w:val="mi-NZ"/>
        </w:rPr>
        <w:t>from</w:t>
      </w:r>
      <w:proofErr w:type="spellEnd"/>
      <w:r>
        <w:rPr>
          <w:lang w:val="mi-NZ"/>
        </w:rPr>
        <w:t xml:space="preserve"> </w:t>
      </w:r>
      <w:proofErr w:type="spellStart"/>
      <w:r>
        <w:rPr>
          <w:lang w:val="mi-NZ"/>
        </w:rPr>
        <w:t>the</w:t>
      </w:r>
      <w:proofErr w:type="spellEnd"/>
      <w:r>
        <w:rPr>
          <w:lang w:val="mi-NZ"/>
        </w:rPr>
        <w:t xml:space="preserve"> </w:t>
      </w:r>
      <w:proofErr w:type="spellStart"/>
      <w:r>
        <w:rPr>
          <w:lang w:val="mi-NZ"/>
        </w:rPr>
        <w:t>lockbox</w:t>
      </w:r>
      <w:proofErr w:type="spellEnd"/>
      <w:r>
        <w:rPr>
          <w:lang w:val="mi-NZ"/>
        </w:rPr>
        <w:t xml:space="preserve"> </w:t>
      </w:r>
      <w:proofErr w:type="spellStart"/>
      <w:r>
        <w:rPr>
          <w:lang w:val="mi-NZ"/>
        </w:rPr>
        <w:t>used</w:t>
      </w:r>
      <w:proofErr w:type="spellEnd"/>
      <w:r>
        <w:rPr>
          <w:lang w:val="mi-NZ"/>
        </w:rPr>
        <w:t xml:space="preserve"> to </w:t>
      </w:r>
      <w:proofErr w:type="spellStart"/>
      <w:r>
        <w:rPr>
          <w:lang w:val="mi-NZ"/>
        </w:rPr>
        <w:t>store</w:t>
      </w:r>
      <w:proofErr w:type="spellEnd"/>
      <w:r>
        <w:rPr>
          <w:lang w:val="mi-NZ"/>
        </w:rPr>
        <w:t xml:space="preserve"> </w:t>
      </w:r>
      <w:proofErr w:type="spellStart"/>
      <w:r>
        <w:rPr>
          <w:lang w:val="mi-NZ"/>
        </w:rPr>
        <w:t>drugs</w:t>
      </w:r>
      <w:proofErr w:type="spellEnd"/>
      <w:r>
        <w:rPr>
          <w:lang w:val="mi-NZ"/>
        </w:rPr>
        <w:t>).</w:t>
      </w:r>
    </w:p>
    <w:p w14:paraId="76597AE8" w14:textId="77777777" w:rsidR="00EE67CB" w:rsidRPr="00125E6E" w:rsidRDefault="00EE67CB" w:rsidP="00152E9B">
      <w:pPr>
        <w:pStyle w:val="Dash"/>
        <w:rPr>
          <w:lang w:val="mi-NZ"/>
        </w:rPr>
      </w:pPr>
      <w:proofErr w:type="spellStart"/>
      <w:r>
        <w:rPr>
          <w:lang w:val="mi-NZ"/>
        </w:rPr>
        <w:t>E</w:t>
      </w:r>
      <w:r w:rsidRPr="00125E6E">
        <w:rPr>
          <w:lang w:val="mi-NZ"/>
        </w:rPr>
        <w:t>ach</w:t>
      </w:r>
      <w:proofErr w:type="spellEnd"/>
      <w:r w:rsidRPr="00125E6E">
        <w:rPr>
          <w:lang w:val="mi-NZ"/>
        </w:rPr>
        <w:t xml:space="preserve"> </w:t>
      </w:r>
      <w:proofErr w:type="spellStart"/>
      <w:r w:rsidRPr="00125E6E">
        <w:rPr>
          <w:lang w:val="mi-NZ"/>
        </w:rPr>
        <w:t>sample</w:t>
      </w:r>
      <w:proofErr w:type="spellEnd"/>
      <w:r w:rsidRPr="00125E6E">
        <w:rPr>
          <w:lang w:val="mi-NZ"/>
        </w:rPr>
        <w:t xml:space="preserve"> </w:t>
      </w:r>
      <w:proofErr w:type="spellStart"/>
      <w:r w:rsidRPr="00125E6E">
        <w:rPr>
          <w:lang w:val="mi-NZ"/>
        </w:rPr>
        <w:t>is</w:t>
      </w:r>
      <w:proofErr w:type="spellEnd"/>
      <w:r w:rsidRPr="00125E6E">
        <w:rPr>
          <w:lang w:val="mi-NZ"/>
        </w:rPr>
        <w:t xml:space="preserve"> </w:t>
      </w:r>
      <w:proofErr w:type="spellStart"/>
      <w:r w:rsidRPr="00125E6E">
        <w:rPr>
          <w:lang w:val="mi-NZ"/>
        </w:rPr>
        <w:t>logged</w:t>
      </w:r>
      <w:proofErr w:type="spellEnd"/>
      <w:r w:rsidRPr="00125E6E">
        <w:rPr>
          <w:lang w:val="mi-NZ"/>
        </w:rPr>
        <w:t xml:space="preserve"> </w:t>
      </w:r>
      <w:proofErr w:type="spellStart"/>
      <w:r w:rsidRPr="00125E6E">
        <w:rPr>
          <w:lang w:val="mi-NZ"/>
        </w:rPr>
        <w:t>separately</w:t>
      </w:r>
      <w:proofErr w:type="spellEnd"/>
      <w:r w:rsidRPr="00125E6E">
        <w:rPr>
          <w:lang w:val="mi-NZ"/>
        </w:rPr>
        <w:t xml:space="preserve"> </w:t>
      </w:r>
      <w:r>
        <w:rPr>
          <w:lang w:val="mi-NZ"/>
        </w:rPr>
        <w:t xml:space="preserve">(to </w:t>
      </w:r>
      <w:proofErr w:type="spellStart"/>
      <w:r>
        <w:rPr>
          <w:lang w:val="mi-NZ"/>
        </w:rPr>
        <w:t>ensure</w:t>
      </w:r>
      <w:proofErr w:type="spellEnd"/>
      <w:r>
        <w:rPr>
          <w:lang w:val="mi-NZ"/>
        </w:rPr>
        <w:t xml:space="preserve"> </w:t>
      </w:r>
      <w:proofErr w:type="spellStart"/>
      <w:r>
        <w:rPr>
          <w:lang w:val="mi-NZ"/>
        </w:rPr>
        <w:t>it</w:t>
      </w:r>
      <w:proofErr w:type="spellEnd"/>
      <w:r>
        <w:rPr>
          <w:lang w:val="mi-NZ"/>
        </w:rPr>
        <w:t xml:space="preserve"> </w:t>
      </w:r>
      <w:proofErr w:type="spellStart"/>
      <w:r>
        <w:rPr>
          <w:lang w:val="mi-NZ"/>
        </w:rPr>
        <w:t>can</w:t>
      </w:r>
      <w:proofErr w:type="spellEnd"/>
      <w:r>
        <w:rPr>
          <w:lang w:val="mi-NZ"/>
        </w:rPr>
        <w:t xml:space="preserve"> </w:t>
      </w:r>
      <w:proofErr w:type="spellStart"/>
      <w:r>
        <w:rPr>
          <w:lang w:val="mi-NZ"/>
        </w:rPr>
        <w:t>be</w:t>
      </w:r>
      <w:proofErr w:type="spellEnd"/>
      <w:r>
        <w:rPr>
          <w:lang w:val="mi-NZ"/>
        </w:rPr>
        <w:t xml:space="preserve"> </w:t>
      </w:r>
      <w:proofErr w:type="spellStart"/>
      <w:r>
        <w:rPr>
          <w:lang w:val="mi-NZ"/>
        </w:rPr>
        <w:t>tracked</w:t>
      </w:r>
      <w:proofErr w:type="spellEnd"/>
      <w:r>
        <w:rPr>
          <w:lang w:val="mi-NZ"/>
        </w:rPr>
        <w:t xml:space="preserve"> </w:t>
      </w:r>
      <w:proofErr w:type="spellStart"/>
      <w:r>
        <w:rPr>
          <w:lang w:val="mi-NZ"/>
        </w:rPr>
        <w:t>independently</w:t>
      </w:r>
      <w:proofErr w:type="spellEnd"/>
      <w:r>
        <w:rPr>
          <w:lang w:val="mi-NZ"/>
        </w:rPr>
        <w:t xml:space="preserve">) </w:t>
      </w:r>
      <w:proofErr w:type="spellStart"/>
      <w:r w:rsidRPr="00125E6E">
        <w:rPr>
          <w:lang w:val="mi-NZ"/>
        </w:rPr>
        <w:t>in</w:t>
      </w:r>
      <w:proofErr w:type="spellEnd"/>
      <w:r w:rsidRPr="00125E6E">
        <w:rPr>
          <w:lang w:val="mi-NZ"/>
        </w:rPr>
        <w:t xml:space="preserve"> </w:t>
      </w:r>
      <w:proofErr w:type="spellStart"/>
      <w:r w:rsidRPr="00125E6E">
        <w:rPr>
          <w:lang w:val="mi-NZ"/>
        </w:rPr>
        <w:t>the</w:t>
      </w:r>
      <w:proofErr w:type="spellEnd"/>
      <w:r w:rsidRPr="00125E6E">
        <w:rPr>
          <w:lang w:val="mi-NZ"/>
        </w:rPr>
        <w:t xml:space="preserve"> </w:t>
      </w:r>
      <w:proofErr w:type="spellStart"/>
      <w:r w:rsidRPr="00125E6E">
        <w:rPr>
          <w:lang w:val="mi-NZ"/>
        </w:rPr>
        <w:t>register</w:t>
      </w:r>
      <w:proofErr w:type="spellEnd"/>
      <w:r w:rsidRPr="00125E6E">
        <w:rPr>
          <w:lang w:val="mi-NZ"/>
        </w:rPr>
        <w:t xml:space="preserve"> </w:t>
      </w:r>
      <w:proofErr w:type="spellStart"/>
      <w:r w:rsidRPr="00125E6E">
        <w:rPr>
          <w:lang w:val="mi-NZ"/>
        </w:rPr>
        <w:t>with</w:t>
      </w:r>
      <w:proofErr w:type="spellEnd"/>
      <w:r w:rsidRPr="00125E6E">
        <w:rPr>
          <w:lang w:val="mi-NZ"/>
        </w:rPr>
        <w:t xml:space="preserve"> </w:t>
      </w:r>
      <w:proofErr w:type="spellStart"/>
      <w:r w:rsidRPr="00125E6E">
        <w:rPr>
          <w:lang w:val="mi-NZ"/>
        </w:rPr>
        <w:t>the</w:t>
      </w:r>
      <w:proofErr w:type="spellEnd"/>
      <w:r w:rsidRPr="00125E6E">
        <w:rPr>
          <w:lang w:val="mi-NZ"/>
        </w:rPr>
        <w:t xml:space="preserve"> </w:t>
      </w:r>
      <w:proofErr w:type="spellStart"/>
      <w:r w:rsidRPr="00125E6E">
        <w:rPr>
          <w:lang w:val="mi-NZ"/>
        </w:rPr>
        <w:t>following</w:t>
      </w:r>
      <w:proofErr w:type="spellEnd"/>
      <w:r w:rsidRPr="00125E6E">
        <w:rPr>
          <w:lang w:val="mi-NZ"/>
        </w:rPr>
        <w:t xml:space="preserve"> </w:t>
      </w:r>
      <w:proofErr w:type="spellStart"/>
      <w:r w:rsidRPr="00125E6E">
        <w:rPr>
          <w:lang w:val="mi-NZ"/>
        </w:rPr>
        <w:t>details</w:t>
      </w:r>
      <w:proofErr w:type="spellEnd"/>
      <w:r>
        <w:rPr>
          <w:lang w:val="mi-NZ"/>
        </w:rPr>
        <w:t>:</w:t>
      </w:r>
    </w:p>
    <w:p w14:paraId="61CD0CF7" w14:textId="77777777" w:rsidR="00EE67CB" w:rsidRPr="00152E9B" w:rsidRDefault="00EE67CB" w:rsidP="00152E9B">
      <w:pPr>
        <w:pStyle w:val="Circle"/>
      </w:pPr>
      <w:proofErr w:type="spellStart"/>
      <w:r w:rsidRPr="00152E9B">
        <w:t>sample</w:t>
      </w:r>
      <w:proofErr w:type="spellEnd"/>
      <w:r w:rsidRPr="00152E9B">
        <w:t xml:space="preserve"> ID/</w:t>
      </w:r>
      <w:proofErr w:type="spellStart"/>
      <w:r w:rsidRPr="00152E9B">
        <w:t>number</w:t>
      </w:r>
      <w:proofErr w:type="spellEnd"/>
      <w:r w:rsidRPr="00152E9B">
        <w:t xml:space="preserve"> of </w:t>
      </w:r>
      <w:proofErr w:type="spellStart"/>
      <w:r w:rsidRPr="00152E9B">
        <w:t>any</w:t>
      </w:r>
      <w:proofErr w:type="spellEnd"/>
      <w:r w:rsidRPr="00152E9B">
        <w:t xml:space="preserve"> </w:t>
      </w:r>
      <w:proofErr w:type="spellStart"/>
      <w:r w:rsidRPr="00152E9B">
        <w:t>drug</w:t>
      </w:r>
      <w:proofErr w:type="spellEnd"/>
      <w:r w:rsidRPr="00152E9B">
        <w:t xml:space="preserve"> or </w:t>
      </w:r>
      <w:proofErr w:type="spellStart"/>
      <w:r w:rsidRPr="00152E9B">
        <w:t>substance</w:t>
      </w:r>
      <w:proofErr w:type="spellEnd"/>
      <w:r w:rsidRPr="00152E9B">
        <w:t xml:space="preserve"> </w:t>
      </w:r>
      <w:proofErr w:type="spellStart"/>
      <w:r w:rsidRPr="00152E9B">
        <w:t>added</w:t>
      </w:r>
      <w:proofErr w:type="spellEnd"/>
      <w:r w:rsidRPr="00152E9B">
        <w:t xml:space="preserve"> to or </w:t>
      </w:r>
      <w:proofErr w:type="spellStart"/>
      <w:r w:rsidRPr="00152E9B">
        <w:t>removed</w:t>
      </w:r>
      <w:proofErr w:type="spellEnd"/>
      <w:r w:rsidRPr="00152E9B">
        <w:t xml:space="preserve"> </w:t>
      </w:r>
      <w:proofErr w:type="spellStart"/>
      <w:r w:rsidRPr="00152E9B">
        <w:t>from</w:t>
      </w:r>
      <w:proofErr w:type="spellEnd"/>
      <w:r w:rsidRPr="00152E9B">
        <w:t xml:space="preserve"> </w:t>
      </w:r>
      <w:proofErr w:type="spellStart"/>
      <w:r w:rsidRPr="00152E9B">
        <w:t>the</w:t>
      </w:r>
      <w:proofErr w:type="spellEnd"/>
      <w:r w:rsidRPr="00152E9B">
        <w:t xml:space="preserve"> </w:t>
      </w:r>
      <w:proofErr w:type="spellStart"/>
      <w:r w:rsidRPr="00152E9B">
        <w:t>lockbox</w:t>
      </w:r>
      <w:proofErr w:type="spellEnd"/>
    </w:p>
    <w:p w14:paraId="12775525" w14:textId="77777777" w:rsidR="00A25A47" w:rsidRPr="00152E9B" w:rsidRDefault="00EE67CB" w:rsidP="00152E9B">
      <w:pPr>
        <w:numPr>
          <w:ilvl w:val="0"/>
          <w:numId w:val="40"/>
        </w:numPr>
        <w:spacing w:before="30"/>
        <w:ind w:left="851" w:hanging="284"/>
        <w:rPr>
          <w:lang w:val="mi-NZ"/>
        </w:rPr>
      </w:pPr>
      <w:proofErr w:type="spellStart"/>
      <w:r w:rsidRPr="00152E9B">
        <w:rPr>
          <w:lang w:val="mi-NZ"/>
        </w:rPr>
        <w:t>name</w:t>
      </w:r>
      <w:proofErr w:type="spellEnd"/>
      <w:r w:rsidRPr="00152E9B">
        <w:rPr>
          <w:lang w:val="mi-NZ"/>
        </w:rPr>
        <w:t xml:space="preserve"> (</w:t>
      </w:r>
      <w:proofErr w:type="spellStart"/>
      <w:r w:rsidRPr="00152E9B">
        <w:rPr>
          <w:lang w:val="mi-NZ"/>
        </w:rPr>
        <w:t>if</w:t>
      </w:r>
      <w:proofErr w:type="spellEnd"/>
      <w:r w:rsidRPr="00152E9B">
        <w:rPr>
          <w:lang w:val="mi-NZ"/>
        </w:rPr>
        <w:t xml:space="preserve"> </w:t>
      </w:r>
      <w:proofErr w:type="spellStart"/>
      <w:r w:rsidRPr="00152E9B">
        <w:rPr>
          <w:lang w:val="mi-NZ"/>
        </w:rPr>
        <w:t>known</w:t>
      </w:r>
      <w:proofErr w:type="spellEnd"/>
      <w:r w:rsidRPr="00152E9B">
        <w:rPr>
          <w:lang w:val="mi-NZ"/>
        </w:rPr>
        <w:t xml:space="preserve">) of </w:t>
      </w:r>
      <w:proofErr w:type="spellStart"/>
      <w:r w:rsidRPr="00152E9B">
        <w:rPr>
          <w:lang w:val="mi-NZ"/>
        </w:rPr>
        <w:t>any</w:t>
      </w:r>
      <w:proofErr w:type="spellEnd"/>
      <w:r w:rsidRPr="00152E9B">
        <w:rPr>
          <w:lang w:val="mi-NZ"/>
        </w:rPr>
        <w:t xml:space="preserve"> </w:t>
      </w:r>
      <w:proofErr w:type="spellStart"/>
      <w:r w:rsidRPr="00152E9B">
        <w:rPr>
          <w:lang w:val="mi-NZ"/>
        </w:rPr>
        <w:t>drug</w:t>
      </w:r>
      <w:proofErr w:type="spellEnd"/>
      <w:r w:rsidRPr="00152E9B">
        <w:rPr>
          <w:lang w:val="mi-NZ"/>
        </w:rPr>
        <w:t xml:space="preserve"> or </w:t>
      </w:r>
      <w:proofErr w:type="spellStart"/>
      <w:r w:rsidRPr="00152E9B">
        <w:rPr>
          <w:lang w:val="mi-NZ"/>
        </w:rPr>
        <w:t>substance</w:t>
      </w:r>
      <w:proofErr w:type="spellEnd"/>
      <w:r w:rsidRPr="00152E9B">
        <w:rPr>
          <w:lang w:val="mi-NZ"/>
        </w:rPr>
        <w:t xml:space="preserve"> </w:t>
      </w:r>
      <w:proofErr w:type="spellStart"/>
      <w:r w:rsidRPr="00152E9B">
        <w:rPr>
          <w:lang w:val="mi-NZ"/>
        </w:rPr>
        <w:t>added</w:t>
      </w:r>
      <w:proofErr w:type="spellEnd"/>
      <w:r w:rsidRPr="00152E9B">
        <w:rPr>
          <w:lang w:val="mi-NZ"/>
        </w:rPr>
        <w:t xml:space="preserve"> to or </w:t>
      </w:r>
      <w:proofErr w:type="spellStart"/>
      <w:r w:rsidRPr="00152E9B">
        <w:rPr>
          <w:lang w:val="mi-NZ"/>
        </w:rPr>
        <w:t>removed</w:t>
      </w:r>
      <w:proofErr w:type="spellEnd"/>
      <w:r w:rsidRPr="00152E9B">
        <w:rPr>
          <w:lang w:val="mi-NZ"/>
        </w:rPr>
        <w:t xml:space="preserve"> </w:t>
      </w:r>
      <w:proofErr w:type="spellStart"/>
      <w:r w:rsidRPr="00152E9B">
        <w:rPr>
          <w:lang w:val="mi-NZ"/>
        </w:rPr>
        <w:t>from</w:t>
      </w:r>
      <w:proofErr w:type="spellEnd"/>
      <w:r w:rsidRPr="00152E9B">
        <w:rPr>
          <w:lang w:val="mi-NZ"/>
        </w:rPr>
        <w:t xml:space="preserve"> </w:t>
      </w:r>
      <w:proofErr w:type="spellStart"/>
      <w:r w:rsidRPr="00152E9B">
        <w:rPr>
          <w:lang w:val="mi-NZ"/>
        </w:rPr>
        <w:t>the</w:t>
      </w:r>
      <w:proofErr w:type="spellEnd"/>
      <w:r w:rsidRPr="00152E9B">
        <w:rPr>
          <w:lang w:val="mi-NZ"/>
        </w:rPr>
        <w:t xml:space="preserve"> </w:t>
      </w:r>
      <w:proofErr w:type="spellStart"/>
      <w:r w:rsidRPr="00152E9B">
        <w:rPr>
          <w:lang w:val="mi-NZ"/>
        </w:rPr>
        <w:t>lockbox</w:t>
      </w:r>
      <w:proofErr w:type="spellEnd"/>
    </w:p>
    <w:p w14:paraId="070A381F" w14:textId="77777777" w:rsidR="00EE67CB" w:rsidRPr="00152E9B" w:rsidRDefault="00EE67CB" w:rsidP="00152E9B">
      <w:pPr>
        <w:numPr>
          <w:ilvl w:val="0"/>
          <w:numId w:val="40"/>
        </w:numPr>
        <w:spacing w:before="30"/>
        <w:ind w:left="851" w:hanging="284"/>
        <w:rPr>
          <w:lang w:val="mi-NZ"/>
        </w:rPr>
      </w:pPr>
      <w:proofErr w:type="spellStart"/>
      <w:r w:rsidRPr="00152E9B">
        <w:rPr>
          <w:lang w:val="mi-NZ"/>
        </w:rPr>
        <w:t>date</w:t>
      </w:r>
      <w:proofErr w:type="spellEnd"/>
      <w:r w:rsidRPr="00152E9B">
        <w:rPr>
          <w:lang w:val="mi-NZ"/>
        </w:rPr>
        <w:t xml:space="preserve"> and </w:t>
      </w:r>
      <w:proofErr w:type="spellStart"/>
      <w:r w:rsidRPr="00152E9B">
        <w:rPr>
          <w:lang w:val="mi-NZ"/>
        </w:rPr>
        <w:t>time</w:t>
      </w:r>
      <w:proofErr w:type="spellEnd"/>
      <w:r w:rsidRPr="00152E9B">
        <w:rPr>
          <w:lang w:val="mi-NZ"/>
        </w:rPr>
        <w:t xml:space="preserve"> of </w:t>
      </w:r>
      <w:proofErr w:type="spellStart"/>
      <w:r w:rsidRPr="00152E9B">
        <w:rPr>
          <w:lang w:val="mi-NZ"/>
        </w:rPr>
        <w:t>any</w:t>
      </w:r>
      <w:proofErr w:type="spellEnd"/>
      <w:r w:rsidRPr="00152E9B">
        <w:rPr>
          <w:lang w:val="mi-NZ"/>
        </w:rPr>
        <w:t xml:space="preserve"> </w:t>
      </w:r>
      <w:proofErr w:type="spellStart"/>
      <w:r w:rsidRPr="00152E9B">
        <w:rPr>
          <w:lang w:val="mi-NZ"/>
        </w:rPr>
        <w:t>addition</w:t>
      </w:r>
      <w:proofErr w:type="spellEnd"/>
      <w:r w:rsidRPr="00152E9B">
        <w:rPr>
          <w:lang w:val="mi-NZ"/>
        </w:rPr>
        <w:t xml:space="preserve"> or </w:t>
      </w:r>
      <w:proofErr w:type="spellStart"/>
      <w:r w:rsidRPr="00152E9B">
        <w:rPr>
          <w:lang w:val="mi-NZ"/>
        </w:rPr>
        <w:t>removal</w:t>
      </w:r>
      <w:proofErr w:type="spellEnd"/>
      <w:r w:rsidRPr="00152E9B">
        <w:rPr>
          <w:lang w:val="mi-NZ"/>
        </w:rPr>
        <w:t xml:space="preserve"> </w:t>
      </w:r>
      <w:proofErr w:type="spellStart"/>
      <w:r w:rsidRPr="00152E9B">
        <w:rPr>
          <w:lang w:val="mi-NZ"/>
        </w:rPr>
        <w:t>from</w:t>
      </w:r>
      <w:proofErr w:type="spellEnd"/>
      <w:r w:rsidRPr="00152E9B">
        <w:rPr>
          <w:lang w:val="mi-NZ"/>
        </w:rPr>
        <w:t xml:space="preserve"> </w:t>
      </w:r>
      <w:proofErr w:type="spellStart"/>
      <w:r w:rsidRPr="00152E9B">
        <w:rPr>
          <w:lang w:val="mi-NZ"/>
        </w:rPr>
        <w:t>the</w:t>
      </w:r>
      <w:proofErr w:type="spellEnd"/>
      <w:r w:rsidRPr="00152E9B">
        <w:rPr>
          <w:lang w:val="mi-NZ"/>
        </w:rPr>
        <w:t xml:space="preserve"> </w:t>
      </w:r>
      <w:proofErr w:type="spellStart"/>
      <w:r w:rsidRPr="00152E9B">
        <w:rPr>
          <w:lang w:val="mi-NZ"/>
        </w:rPr>
        <w:t>lockbox</w:t>
      </w:r>
      <w:proofErr w:type="spellEnd"/>
    </w:p>
    <w:p w14:paraId="2E17C246" w14:textId="77777777" w:rsidR="00EE67CB" w:rsidRPr="00152E9B" w:rsidRDefault="00EE67CB" w:rsidP="00152E9B">
      <w:pPr>
        <w:numPr>
          <w:ilvl w:val="0"/>
          <w:numId w:val="40"/>
        </w:numPr>
        <w:spacing w:before="30"/>
        <w:ind w:left="851" w:hanging="284"/>
        <w:rPr>
          <w:lang w:val="mi-NZ"/>
        </w:rPr>
      </w:pPr>
      <w:proofErr w:type="spellStart"/>
      <w:r w:rsidRPr="00152E9B">
        <w:rPr>
          <w:lang w:val="mi-NZ"/>
        </w:rPr>
        <w:t>name</w:t>
      </w:r>
      <w:proofErr w:type="spellEnd"/>
      <w:r w:rsidRPr="00152E9B">
        <w:rPr>
          <w:lang w:val="mi-NZ"/>
        </w:rPr>
        <w:t xml:space="preserve"> and </w:t>
      </w:r>
      <w:proofErr w:type="spellStart"/>
      <w:r w:rsidRPr="00152E9B">
        <w:rPr>
          <w:lang w:val="mi-NZ"/>
        </w:rPr>
        <w:t>signature</w:t>
      </w:r>
      <w:proofErr w:type="spellEnd"/>
      <w:r w:rsidRPr="00152E9B">
        <w:rPr>
          <w:lang w:val="mi-NZ"/>
        </w:rPr>
        <w:t xml:space="preserve"> of </w:t>
      </w:r>
      <w:proofErr w:type="spellStart"/>
      <w:r w:rsidRPr="00152E9B">
        <w:rPr>
          <w:lang w:val="mi-NZ"/>
        </w:rPr>
        <w:t>the</w:t>
      </w:r>
      <w:proofErr w:type="spellEnd"/>
      <w:r w:rsidRPr="00152E9B">
        <w:rPr>
          <w:lang w:val="mi-NZ"/>
        </w:rPr>
        <w:t xml:space="preserve"> </w:t>
      </w:r>
      <w:proofErr w:type="spellStart"/>
      <w:r w:rsidRPr="00152E9B">
        <w:rPr>
          <w:lang w:val="mi-NZ"/>
        </w:rPr>
        <w:t>worker</w:t>
      </w:r>
      <w:proofErr w:type="spellEnd"/>
      <w:r w:rsidRPr="00152E9B">
        <w:rPr>
          <w:lang w:val="mi-NZ"/>
        </w:rPr>
        <w:t xml:space="preserve"> </w:t>
      </w:r>
      <w:proofErr w:type="spellStart"/>
      <w:r w:rsidRPr="00152E9B">
        <w:rPr>
          <w:lang w:val="mi-NZ"/>
        </w:rPr>
        <w:t>adding</w:t>
      </w:r>
      <w:proofErr w:type="spellEnd"/>
      <w:r w:rsidRPr="00152E9B">
        <w:rPr>
          <w:lang w:val="mi-NZ"/>
        </w:rPr>
        <w:t xml:space="preserve"> or </w:t>
      </w:r>
      <w:proofErr w:type="spellStart"/>
      <w:r w:rsidRPr="00152E9B">
        <w:rPr>
          <w:lang w:val="mi-NZ"/>
        </w:rPr>
        <w:t>removing</w:t>
      </w:r>
      <w:proofErr w:type="spellEnd"/>
      <w:r w:rsidRPr="00152E9B">
        <w:rPr>
          <w:lang w:val="mi-NZ"/>
        </w:rPr>
        <w:t xml:space="preserve"> </w:t>
      </w:r>
      <w:proofErr w:type="spellStart"/>
      <w:r w:rsidRPr="00152E9B">
        <w:rPr>
          <w:lang w:val="mi-NZ"/>
        </w:rPr>
        <w:t>the</w:t>
      </w:r>
      <w:proofErr w:type="spellEnd"/>
      <w:r w:rsidRPr="00152E9B">
        <w:rPr>
          <w:lang w:val="mi-NZ"/>
        </w:rPr>
        <w:t xml:space="preserve"> </w:t>
      </w:r>
      <w:proofErr w:type="spellStart"/>
      <w:r w:rsidRPr="00152E9B">
        <w:rPr>
          <w:lang w:val="mi-NZ"/>
        </w:rPr>
        <w:t>drug</w:t>
      </w:r>
      <w:proofErr w:type="spellEnd"/>
      <w:r w:rsidRPr="00152E9B">
        <w:rPr>
          <w:lang w:val="mi-NZ"/>
        </w:rPr>
        <w:t xml:space="preserve"> or </w:t>
      </w:r>
      <w:proofErr w:type="spellStart"/>
      <w:r w:rsidRPr="00152E9B">
        <w:rPr>
          <w:lang w:val="mi-NZ"/>
        </w:rPr>
        <w:t>substance</w:t>
      </w:r>
      <w:proofErr w:type="spellEnd"/>
      <w:r w:rsidRPr="00152E9B">
        <w:rPr>
          <w:lang w:val="mi-NZ"/>
        </w:rPr>
        <w:t xml:space="preserve"> </w:t>
      </w:r>
      <w:proofErr w:type="spellStart"/>
      <w:r w:rsidRPr="00152E9B">
        <w:rPr>
          <w:lang w:val="mi-NZ"/>
        </w:rPr>
        <w:t>from</w:t>
      </w:r>
      <w:proofErr w:type="spellEnd"/>
      <w:r w:rsidRPr="00152E9B">
        <w:rPr>
          <w:lang w:val="mi-NZ"/>
        </w:rPr>
        <w:t xml:space="preserve"> </w:t>
      </w:r>
      <w:proofErr w:type="spellStart"/>
      <w:r w:rsidRPr="00152E9B">
        <w:rPr>
          <w:lang w:val="mi-NZ"/>
        </w:rPr>
        <w:t>the</w:t>
      </w:r>
      <w:proofErr w:type="spellEnd"/>
      <w:r w:rsidRPr="00152E9B">
        <w:rPr>
          <w:lang w:val="mi-NZ"/>
        </w:rPr>
        <w:t xml:space="preserve"> </w:t>
      </w:r>
      <w:proofErr w:type="spellStart"/>
      <w:r w:rsidRPr="00152E9B">
        <w:rPr>
          <w:lang w:val="mi-NZ"/>
        </w:rPr>
        <w:t>lockbox</w:t>
      </w:r>
      <w:proofErr w:type="spellEnd"/>
    </w:p>
    <w:p w14:paraId="6084B611" w14:textId="77777777" w:rsidR="00EE67CB" w:rsidRPr="00152E9B" w:rsidRDefault="00EE67CB" w:rsidP="00152E9B">
      <w:pPr>
        <w:numPr>
          <w:ilvl w:val="0"/>
          <w:numId w:val="40"/>
        </w:numPr>
        <w:spacing w:before="30"/>
        <w:ind w:left="851" w:hanging="284"/>
        <w:rPr>
          <w:lang w:val="mi-NZ"/>
        </w:rPr>
      </w:pPr>
      <w:proofErr w:type="spellStart"/>
      <w:r w:rsidRPr="00152E9B">
        <w:rPr>
          <w:lang w:val="mi-NZ"/>
        </w:rPr>
        <w:t>reason</w:t>
      </w:r>
      <w:proofErr w:type="spellEnd"/>
      <w:r w:rsidRPr="00152E9B">
        <w:rPr>
          <w:lang w:val="mi-NZ"/>
        </w:rPr>
        <w:t xml:space="preserve"> for </w:t>
      </w:r>
      <w:proofErr w:type="spellStart"/>
      <w:r w:rsidRPr="00152E9B">
        <w:rPr>
          <w:lang w:val="mi-NZ"/>
        </w:rPr>
        <w:t>holding</w:t>
      </w:r>
      <w:proofErr w:type="spellEnd"/>
      <w:r w:rsidRPr="00152E9B">
        <w:rPr>
          <w:lang w:val="mi-NZ"/>
        </w:rPr>
        <w:t xml:space="preserve"> </w:t>
      </w:r>
      <w:proofErr w:type="spellStart"/>
      <w:r w:rsidRPr="00152E9B">
        <w:rPr>
          <w:lang w:val="mi-NZ"/>
        </w:rPr>
        <w:t>the</w:t>
      </w:r>
      <w:proofErr w:type="spellEnd"/>
      <w:r w:rsidRPr="00152E9B">
        <w:rPr>
          <w:lang w:val="mi-NZ"/>
        </w:rPr>
        <w:t xml:space="preserve"> </w:t>
      </w:r>
      <w:proofErr w:type="spellStart"/>
      <w:r w:rsidRPr="00152E9B">
        <w:rPr>
          <w:lang w:val="mi-NZ"/>
        </w:rPr>
        <w:t>drug</w:t>
      </w:r>
      <w:proofErr w:type="spellEnd"/>
      <w:r w:rsidRPr="00152E9B">
        <w:rPr>
          <w:lang w:val="mi-NZ"/>
        </w:rPr>
        <w:t xml:space="preserve"> or </w:t>
      </w:r>
      <w:proofErr w:type="spellStart"/>
      <w:r w:rsidRPr="00152E9B">
        <w:rPr>
          <w:lang w:val="mi-NZ"/>
        </w:rPr>
        <w:t>substance</w:t>
      </w:r>
      <w:proofErr w:type="spellEnd"/>
      <w:r w:rsidRPr="00152E9B">
        <w:rPr>
          <w:lang w:val="mi-NZ"/>
        </w:rPr>
        <w:t>.</w:t>
      </w:r>
    </w:p>
    <w:p w14:paraId="5E49A4AF" w14:textId="77777777" w:rsidR="00152E9B" w:rsidRDefault="00152E9B" w:rsidP="00152E9B">
      <w:pPr>
        <w:rPr>
          <w:lang w:val="mi-NZ"/>
        </w:rPr>
      </w:pPr>
    </w:p>
    <w:p w14:paraId="4A3FA6BD" w14:textId="77777777" w:rsidR="00A25A47" w:rsidRDefault="00EE67CB" w:rsidP="00152E9B">
      <w:pPr>
        <w:rPr>
          <w:lang w:val="mi-NZ"/>
        </w:rPr>
      </w:pPr>
      <w:proofErr w:type="spellStart"/>
      <w:r w:rsidRPr="00125E6E">
        <w:rPr>
          <w:lang w:val="mi-NZ"/>
        </w:rPr>
        <w:t>This</w:t>
      </w:r>
      <w:proofErr w:type="spellEnd"/>
      <w:r w:rsidRPr="00125E6E">
        <w:rPr>
          <w:lang w:val="mi-NZ"/>
        </w:rPr>
        <w:t xml:space="preserve"> </w:t>
      </w:r>
      <w:proofErr w:type="spellStart"/>
      <w:r w:rsidRPr="00125E6E">
        <w:rPr>
          <w:lang w:val="mi-NZ"/>
        </w:rPr>
        <w:t>registers</w:t>
      </w:r>
      <w:proofErr w:type="spellEnd"/>
      <w:r w:rsidRPr="00125E6E">
        <w:rPr>
          <w:lang w:val="mi-NZ"/>
        </w:rPr>
        <w:t xml:space="preserve"> </w:t>
      </w:r>
      <w:proofErr w:type="spellStart"/>
      <w:r w:rsidRPr="00125E6E">
        <w:rPr>
          <w:lang w:val="mi-NZ"/>
        </w:rPr>
        <w:t>will</w:t>
      </w:r>
      <w:proofErr w:type="spellEnd"/>
      <w:r w:rsidRPr="00125E6E">
        <w:rPr>
          <w:lang w:val="mi-NZ"/>
        </w:rPr>
        <w:t xml:space="preserve"> </w:t>
      </w:r>
      <w:proofErr w:type="spellStart"/>
      <w:r w:rsidRPr="00125E6E">
        <w:rPr>
          <w:lang w:val="mi-NZ"/>
        </w:rPr>
        <w:t>hold</w:t>
      </w:r>
      <w:proofErr w:type="spellEnd"/>
      <w:r w:rsidRPr="00125E6E">
        <w:rPr>
          <w:lang w:val="mi-NZ"/>
        </w:rPr>
        <w:t xml:space="preserve"> a </w:t>
      </w:r>
      <w:proofErr w:type="spellStart"/>
      <w:r w:rsidRPr="00125E6E">
        <w:rPr>
          <w:lang w:val="mi-NZ"/>
        </w:rPr>
        <w:t>current</w:t>
      </w:r>
      <w:proofErr w:type="spellEnd"/>
      <w:r w:rsidRPr="00125E6E">
        <w:rPr>
          <w:lang w:val="mi-NZ"/>
        </w:rPr>
        <w:t xml:space="preserve"> </w:t>
      </w:r>
      <w:proofErr w:type="spellStart"/>
      <w:r w:rsidRPr="00125E6E">
        <w:rPr>
          <w:lang w:val="mi-NZ"/>
        </w:rPr>
        <w:t>record</w:t>
      </w:r>
      <w:proofErr w:type="spellEnd"/>
      <w:r w:rsidRPr="00125E6E">
        <w:rPr>
          <w:lang w:val="mi-NZ"/>
        </w:rPr>
        <w:t xml:space="preserve"> of </w:t>
      </w:r>
      <w:proofErr w:type="spellStart"/>
      <w:r w:rsidRPr="00125E6E">
        <w:rPr>
          <w:lang w:val="mi-NZ"/>
        </w:rPr>
        <w:t>all</w:t>
      </w:r>
      <w:proofErr w:type="spellEnd"/>
      <w:r w:rsidRPr="00125E6E">
        <w:rPr>
          <w:lang w:val="mi-NZ"/>
        </w:rPr>
        <w:t xml:space="preserve"> </w:t>
      </w:r>
      <w:proofErr w:type="spellStart"/>
      <w:r w:rsidRPr="00125E6E">
        <w:rPr>
          <w:lang w:val="mi-NZ"/>
        </w:rPr>
        <w:t>drugs</w:t>
      </w:r>
      <w:proofErr w:type="spellEnd"/>
      <w:r w:rsidRPr="00125E6E">
        <w:rPr>
          <w:lang w:val="mi-NZ"/>
        </w:rPr>
        <w:t xml:space="preserve"> and </w:t>
      </w:r>
      <w:proofErr w:type="spellStart"/>
      <w:r w:rsidRPr="00125E6E">
        <w:rPr>
          <w:lang w:val="mi-NZ"/>
        </w:rPr>
        <w:t>substances</w:t>
      </w:r>
      <w:proofErr w:type="spellEnd"/>
      <w:r w:rsidRPr="00125E6E">
        <w:rPr>
          <w:lang w:val="mi-NZ"/>
        </w:rPr>
        <w:t xml:space="preserve"> </w:t>
      </w:r>
      <w:proofErr w:type="spellStart"/>
      <w:r w:rsidRPr="00125E6E">
        <w:rPr>
          <w:lang w:val="mi-NZ"/>
        </w:rPr>
        <w:t>held</w:t>
      </w:r>
      <w:proofErr w:type="spellEnd"/>
      <w:r w:rsidRPr="00125E6E">
        <w:rPr>
          <w:lang w:val="mi-NZ"/>
        </w:rPr>
        <w:t xml:space="preserve"> </w:t>
      </w:r>
      <w:proofErr w:type="spellStart"/>
      <w:r w:rsidRPr="00125E6E">
        <w:rPr>
          <w:lang w:val="mi-NZ"/>
        </w:rPr>
        <w:t>by</w:t>
      </w:r>
      <w:proofErr w:type="spellEnd"/>
      <w:r w:rsidRPr="00125E6E">
        <w:rPr>
          <w:lang w:val="mi-NZ"/>
        </w:rPr>
        <w:t xml:space="preserve"> a </w:t>
      </w:r>
      <w:proofErr w:type="spellStart"/>
      <w:r>
        <w:rPr>
          <w:lang w:val="mi-NZ"/>
        </w:rPr>
        <w:t>d</w:t>
      </w:r>
      <w:r w:rsidRPr="00125E6E">
        <w:rPr>
          <w:lang w:val="mi-NZ"/>
        </w:rPr>
        <w:t>rug</w:t>
      </w:r>
      <w:proofErr w:type="spellEnd"/>
      <w:r w:rsidRPr="00125E6E">
        <w:rPr>
          <w:lang w:val="mi-NZ"/>
        </w:rPr>
        <w:t xml:space="preserve"> </w:t>
      </w:r>
      <w:proofErr w:type="spellStart"/>
      <w:r>
        <w:rPr>
          <w:lang w:val="mi-NZ"/>
        </w:rPr>
        <w:t>c</w:t>
      </w:r>
      <w:r w:rsidRPr="00125E6E">
        <w:rPr>
          <w:lang w:val="mi-NZ"/>
        </w:rPr>
        <w:t>hecking</w:t>
      </w:r>
      <w:proofErr w:type="spellEnd"/>
      <w:r w:rsidRPr="00125E6E">
        <w:rPr>
          <w:lang w:val="mi-NZ"/>
        </w:rPr>
        <w:t xml:space="preserve"> </w:t>
      </w:r>
      <w:proofErr w:type="spellStart"/>
      <w:r>
        <w:rPr>
          <w:lang w:val="mi-NZ"/>
        </w:rPr>
        <w:t>service</w:t>
      </w:r>
      <w:proofErr w:type="spellEnd"/>
      <w:r>
        <w:rPr>
          <w:lang w:val="mi-NZ"/>
        </w:rPr>
        <w:t xml:space="preserve"> </w:t>
      </w:r>
      <w:proofErr w:type="spellStart"/>
      <w:r w:rsidRPr="00125E6E">
        <w:rPr>
          <w:lang w:val="mi-NZ"/>
        </w:rPr>
        <w:t>provider</w:t>
      </w:r>
      <w:proofErr w:type="spellEnd"/>
      <w:r w:rsidRPr="00125E6E">
        <w:rPr>
          <w:lang w:val="mi-NZ"/>
        </w:rPr>
        <w:t xml:space="preserve"> </w:t>
      </w:r>
      <w:proofErr w:type="spellStart"/>
      <w:r w:rsidRPr="00125E6E">
        <w:rPr>
          <w:lang w:val="mi-NZ"/>
        </w:rPr>
        <w:t>at</w:t>
      </w:r>
      <w:proofErr w:type="spellEnd"/>
      <w:r w:rsidRPr="00125E6E">
        <w:rPr>
          <w:lang w:val="mi-NZ"/>
        </w:rPr>
        <w:t xml:space="preserve"> </w:t>
      </w:r>
      <w:proofErr w:type="spellStart"/>
      <w:r w:rsidRPr="00125E6E">
        <w:rPr>
          <w:lang w:val="mi-NZ"/>
        </w:rPr>
        <w:t>any</w:t>
      </w:r>
      <w:proofErr w:type="spellEnd"/>
      <w:r w:rsidRPr="00125E6E">
        <w:rPr>
          <w:lang w:val="mi-NZ"/>
        </w:rPr>
        <w:t xml:space="preserve"> </w:t>
      </w:r>
      <w:proofErr w:type="spellStart"/>
      <w:r w:rsidRPr="00125E6E">
        <w:rPr>
          <w:lang w:val="mi-NZ"/>
        </w:rPr>
        <w:t>given</w:t>
      </w:r>
      <w:proofErr w:type="spellEnd"/>
      <w:r w:rsidRPr="00125E6E">
        <w:rPr>
          <w:lang w:val="mi-NZ"/>
        </w:rPr>
        <w:t xml:space="preserve"> </w:t>
      </w:r>
      <w:proofErr w:type="spellStart"/>
      <w:r w:rsidRPr="00125E6E">
        <w:rPr>
          <w:lang w:val="mi-NZ"/>
        </w:rPr>
        <w:t>time</w:t>
      </w:r>
      <w:proofErr w:type="spellEnd"/>
      <w:r w:rsidRPr="00125E6E">
        <w:rPr>
          <w:lang w:val="mi-NZ"/>
        </w:rPr>
        <w:t xml:space="preserve">. </w:t>
      </w:r>
      <w:proofErr w:type="spellStart"/>
      <w:r>
        <w:rPr>
          <w:lang w:val="mi-NZ"/>
        </w:rPr>
        <w:t>In</w:t>
      </w:r>
      <w:proofErr w:type="spellEnd"/>
      <w:r>
        <w:rPr>
          <w:lang w:val="mi-NZ"/>
        </w:rPr>
        <w:t xml:space="preserve"> </w:t>
      </w:r>
      <w:proofErr w:type="spellStart"/>
      <w:r>
        <w:rPr>
          <w:lang w:val="mi-NZ"/>
        </w:rPr>
        <w:t>the</w:t>
      </w:r>
      <w:proofErr w:type="spellEnd"/>
      <w:r>
        <w:rPr>
          <w:lang w:val="mi-NZ"/>
        </w:rPr>
        <w:t xml:space="preserve"> </w:t>
      </w:r>
      <w:proofErr w:type="spellStart"/>
      <w:r>
        <w:rPr>
          <w:lang w:val="mi-NZ"/>
        </w:rPr>
        <w:t>context</w:t>
      </w:r>
      <w:proofErr w:type="spellEnd"/>
      <w:r>
        <w:rPr>
          <w:lang w:val="mi-NZ"/>
        </w:rPr>
        <w:t xml:space="preserve"> of </w:t>
      </w:r>
      <w:proofErr w:type="spellStart"/>
      <w:r>
        <w:rPr>
          <w:lang w:val="mi-NZ"/>
        </w:rPr>
        <w:t>field</w:t>
      </w:r>
      <w:proofErr w:type="spellEnd"/>
      <w:r>
        <w:rPr>
          <w:lang w:val="mi-NZ"/>
        </w:rPr>
        <w:t xml:space="preserve"> </w:t>
      </w:r>
      <w:proofErr w:type="spellStart"/>
      <w:r w:rsidRPr="00125E6E">
        <w:rPr>
          <w:lang w:val="mi-NZ"/>
        </w:rPr>
        <w:t>events</w:t>
      </w:r>
      <w:proofErr w:type="spellEnd"/>
      <w:r>
        <w:rPr>
          <w:lang w:val="mi-NZ"/>
        </w:rPr>
        <w:t xml:space="preserve"> or </w:t>
      </w:r>
      <w:proofErr w:type="spellStart"/>
      <w:r>
        <w:rPr>
          <w:lang w:val="mi-NZ"/>
        </w:rPr>
        <w:t>pop-up</w:t>
      </w:r>
      <w:proofErr w:type="spellEnd"/>
      <w:r>
        <w:rPr>
          <w:lang w:val="mi-NZ"/>
        </w:rPr>
        <w:t xml:space="preserve"> </w:t>
      </w:r>
      <w:proofErr w:type="spellStart"/>
      <w:r>
        <w:rPr>
          <w:lang w:val="mi-NZ"/>
        </w:rPr>
        <w:t>clinics</w:t>
      </w:r>
      <w:proofErr w:type="spellEnd"/>
      <w:r w:rsidRPr="00125E6E">
        <w:rPr>
          <w:lang w:val="mi-NZ"/>
        </w:rPr>
        <w:t xml:space="preserve">, </w:t>
      </w:r>
      <w:proofErr w:type="spellStart"/>
      <w:r>
        <w:rPr>
          <w:lang w:val="mi-NZ"/>
        </w:rPr>
        <w:t>providers</w:t>
      </w:r>
      <w:proofErr w:type="spellEnd"/>
      <w:r>
        <w:rPr>
          <w:lang w:val="mi-NZ"/>
        </w:rPr>
        <w:t xml:space="preserve"> </w:t>
      </w:r>
      <w:proofErr w:type="spellStart"/>
      <w:r>
        <w:rPr>
          <w:lang w:val="mi-NZ"/>
        </w:rPr>
        <w:t>must</w:t>
      </w:r>
      <w:proofErr w:type="spellEnd"/>
      <w:r>
        <w:rPr>
          <w:lang w:val="mi-NZ"/>
        </w:rPr>
        <w:t xml:space="preserve"> </w:t>
      </w:r>
      <w:proofErr w:type="spellStart"/>
      <w:r>
        <w:rPr>
          <w:lang w:val="mi-NZ"/>
        </w:rPr>
        <w:t>maintain</w:t>
      </w:r>
      <w:proofErr w:type="spellEnd"/>
      <w:r>
        <w:rPr>
          <w:lang w:val="mi-NZ"/>
        </w:rPr>
        <w:t xml:space="preserve"> </w:t>
      </w:r>
      <w:proofErr w:type="spellStart"/>
      <w:r w:rsidRPr="00125E6E">
        <w:rPr>
          <w:lang w:val="mi-NZ"/>
        </w:rPr>
        <w:t>an</w:t>
      </w:r>
      <w:proofErr w:type="spellEnd"/>
      <w:r w:rsidRPr="00125E6E">
        <w:rPr>
          <w:lang w:val="mi-NZ"/>
        </w:rPr>
        <w:t xml:space="preserve"> </w:t>
      </w:r>
      <w:proofErr w:type="spellStart"/>
      <w:r w:rsidRPr="00125E6E">
        <w:rPr>
          <w:lang w:val="mi-NZ"/>
        </w:rPr>
        <w:t>interim</w:t>
      </w:r>
      <w:proofErr w:type="spellEnd"/>
      <w:r w:rsidRPr="00125E6E">
        <w:rPr>
          <w:lang w:val="mi-NZ"/>
        </w:rPr>
        <w:t xml:space="preserve"> </w:t>
      </w:r>
      <w:proofErr w:type="spellStart"/>
      <w:r w:rsidRPr="00125E6E">
        <w:rPr>
          <w:lang w:val="mi-NZ"/>
        </w:rPr>
        <w:t>register</w:t>
      </w:r>
      <w:proofErr w:type="spellEnd"/>
      <w:r w:rsidRPr="00125E6E">
        <w:rPr>
          <w:lang w:val="mi-NZ"/>
        </w:rPr>
        <w:t xml:space="preserve"> </w:t>
      </w:r>
      <w:r>
        <w:rPr>
          <w:lang w:val="mi-NZ"/>
        </w:rPr>
        <w:t xml:space="preserve">and </w:t>
      </w:r>
      <w:proofErr w:type="spellStart"/>
      <w:r w:rsidRPr="00125E6E">
        <w:rPr>
          <w:lang w:val="mi-NZ"/>
        </w:rPr>
        <w:t>store</w:t>
      </w:r>
      <w:proofErr w:type="spellEnd"/>
      <w:r w:rsidRPr="00125E6E">
        <w:rPr>
          <w:lang w:val="mi-NZ"/>
        </w:rPr>
        <w:t xml:space="preserve"> </w:t>
      </w:r>
      <w:proofErr w:type="spellStart"/>
      <w:r>
        <w:rPr>
          <w:lang w:val="mi-NZ"/>
        </w:rPr>
        <w:t>it</w:t>
      </w:r>
      <w:proofErr w:type="spellEnd"/>
      <w:r>
        <w:rPr>
          <w:lang w:val="mi-NZ"/>
        </w:rPr>
        <w:t xml:space="preserve"> </w:t>
      </w:r>
      <w:proofErr w:type="spellStart"/>
      <w:r w:rsidRPr="00125E6E">
        <w:rPr>
          <w:lang w:val="mi-NZ"/>
        </w:rPr>
        <w:t>securely</w:t>
      </w:r>
      <w:proofErr w:type="spellEnd"/>
      <w:r>
        <w:rPr>
          <w:lang w:val="mi-NZ"/>
        </w:rPr>
        <w:t xml:space="preserve">, </w:t>
      </w:r>
      <w:proofErr w:type="spellStart"/>
      <w:r>
        <w:rPr>
          <w:lang w:val="mi-NZ"/>
        </w:rPr>
        <w:t>then</w:t>
      </w:r>
      <w:proofErr w:type="spellEnd"/>
      <w:r>
        <w:rPr>
          <w:lang w:val="mi-NZ"/>
        </w:rPr>
        <w:t xml:space="preserve"> </w:t>
      </w:r>
      <w:proofErr w:type="spellStart"/>
      <w:r>
        <w:rPr>
          <w:lang w:val="mi-NZ"/>
        </w:rPr>
        <w:t>update</w:t>
      </w:r>
      <w:proofErr w:type="spellEnd"/>
      <w:r>
        <w:rPr>
          <w:lang w:val="mi-NZ"/>
        </w:rPr>
        <w:t xml:space="preserve"> </w:t>
      </w:r>
      <w:proofErr w:type="spellStart"/>
      <w:r>
        <w:rPr>
          <w:lang w:val="mi-NZ"/>
        </w:rPr>
        <w:t>t</w:t>
      </w:r>
      <w:r w:rsidRPr="00125E6E">
        <w:rPr>
          <w:lang w:val="mi-NZ"/>
        </w:rPr>
        <w:t>he</w:t>
      </w:r>
      <w:proofErr w:type="spellEnd"/>
      <w:r w:rsidRPr="00125E6E">
        <w:rPr>
          <w:lang w:val="mi-NZ"/>
        </w:rPr>
        <w:t xml:space="preserve"> </w:t>
      </w:r>
      <w:proofErr w:type="spellStart"/>
      <w:r w:rsidRPr="00125E6E">
        <w:rPr>
          <w:lang w:val="mi-NZ"/>
        </w:rPr>
        <w:t>master</w:t>
      </w:r>
      <w:proofErr w:type="spellEnd"/>
      <w:r w:rsidRPr="00125E6E">
        <w:rPr>
          <w:lang w:val="mi-NZ"/>
        </w:rPr>
        <w:t xml:space="preserve"> </w:t>
      </w:r>
      <w:proofErr w:type="spellStart"/>
      <w:r w:rsidRPr="00125E6E">
        <w:rPr>
          <w:lang w:val="mi-NZ"/>
        </w:rPr>
        <w:t>register</w:t>
      </w:r>
      <w:proofErr w:type="spellEnd"/>
      <w:r w:rsidRPr="00125E6E">
        <w:rPr>
          <w:lang w:val="mi-NZ"/>
        </w:rPr>
        <w:t xml:space="preserve"> </w:t>
      </w:r>
      <w:proofErr w:type="spellStart"/>
      <w:r w:rsidRPr="00125E6E">
        <w:rPr>
          <w:lang w:val="mi-NZ"/>
        </w:rPr>
        <w:t>as</w:t>
      </w:r>
      <w:proofErr w:type="spellEnd"/>
      <w:r w:rsidRPr="00125E6E">
        <w:rPr>
          <w:lang w:val="mi-NZ"/>
        </w:rPr>
        <w:t xml:space="preserve"> </w:t>
      </w:r>
      <w:proofErr w:type="spellStart"/>
      <w:r w:rsidRPr="00125E6E">
        <w:rPr>
          <w:lang w:val="mi-NZ"/>
        </w:rPr>
        <w:t>soon</w:t>
      </w:r>
      <w:proofErr w:type="spellEnd"/>
      <w:r w:rsidRPr="00125E6E">
        <w:rPr>
          <w:lang w:val="mi-NZ"/>
        </w:rPr>
        <w:t xml:space="preserve"> </w:t>
      </w:r>
      <w:proofErr w:type="spellStart"/>
      <w:r w:rsidRPr="00125E6E">
        <w:rPr>
          <w:lang w:val="mi-NZ"/>
        </w:rPr>
        <w:t>as</w:t>
      </w:r>
      <w:proofErr w:type="spellEnd"/>
      <w:r w:rsidRPr="00125E6E">
        <w:rPr>
          <w:lang w:val="mi-NZ"/>
        </w:rPr>
        <w:t xml:space="preserve"> </w:t>
      </w:r>
      <w:proofErr w:type="spellStart"/>
      <w:r w:rsidRPr="00125E6E">
        <w:rPr>
          <w:lang w:val="mi-NZ"/>
        </w:rPr>
        <w:t>practical</w:t>
      </w:r>
      <w:proofErr w:type="spellEnd"/>
      <w:r w:rsidRPr="00125E6E">
        <w:rPr>
          <w:lang w:val="mi-NZ"/>
        </w:rPr>
        <w:t xml:space="preserve"> </w:t>
      </w:r>
      <w:proofErr w:type="spellStart"/>
      <w:r w:rsidRPr="00125E6E">
        <w:rPr>
          <w:lang w:val="mi-NZ"/>
        </w:rPr>
        <w:t>after</w:t>
      </w:r>
      <w:r>
        <w:rPr>
          <w:lang w:val="mi-NZ"/>
        </w:rPr>
        <w:t>wards</w:t>
      </w:r>
      <w:proofErr w:type="spellEnd"/>
      <w:r w:rsidRPr="00125E6E">
        <w:rPr>
          <w:lang w:val="mi-NZ"/>
        </w:rPr>
        <w:t xml:space="preserve">. </w:t>
      </w:r>
      <w:proofErr w:type="spellStart"/>
      <w:r>
        <w:rPr>
          <w:lang w:val="mi-NZ"/>
        </w:rPr>
        <w:t>Providers</w:t>
      </w:r>
      <w:proofErr w:type="spellEnd"/>
      <w:r>
        <w:rPr>
          <w:lang w:val="mi-NZ"/>
        </w:rPr>
        <w:t xml:space="preserve"> </w:t>
      </w:r>
      <w:proofErr w:type="spellStart"/>
      <w:r>
        <w:rPr>
          <w:lang w:val="mi-NZ"/>
        </w:rPr>
        <w:t>must</w:t>
      </w:r>
      <w:proofErr w:type="spellEnd"/>
      <w:r>
        <w:rPr>
          <w:lang w:val="mi-NZ"/>
        </w:rPr>
        <w:t xml:space="preserve"> </w:t>
      </w:r>
      <w:proofErr w:type="spellStart"/>
      <w:r>
        <w:rPr>
          <w:lang w:val="mi-NZ"/>
        </w:rPr>
        <w:t>maintain</w:t>
      </w:r>
      <w:proofErr w:type="spellEnd"/>
      <w:r>
        <w:rPr>
          <w:lang w:val="mi-NZ"/>
        </w:rPr>
        <w:t xml:space="preserve"> </w:t>
      </w:r>
      <w:proofErr w:type="spellStart"/>
      <w:r>
        <w:rPr>
          <w:lang w:val="mi-NZ"/>
        </w:rPr>
        <w:t>d</w:t>
      </w:r>
      <w:r w:rsidRPr="00125E6E">
        <w:rPr>
          <w:lang w:val="mi-NZ"/>
        </w:rPr>
        <w:t>ocument</w:t>
      </w:r>
      <w:proofErr w:type="spellEnd"/>
      <w:r w:rsidRPr="00125E6E">
        <w:rPr>
          <w:lang w:val="mi-NZ"/>
        </w:rPr>
        <w:t xml:space="preserve"> </w:t>
      </w:r>
      <w:proofErr w:type="spellStart"/>
      <w:r w:rsidRPr="00125E6E">
        <w:rPr>
          <w:lang w:val="mi-NZ"/>
        </w:rPr>
        <w:t>control</w:t>
      </w:r>
      <w:proofErr w:type="spellEnd"/>
      <w:r w:rsidRPr="00125E6E">
        <w:rPr>
          <w:lang w:val="mi-NZ"/>
        </w:rPr>
        <w:t xml:space="preserve"> for </w:t>
      </w:r>
      <w:proofErr w:type="spellStart"/>
      <w:r w:rsidRPr="00125E6E">
        <w:rPr>
          <w:lang w:val="mi-NZ"/>
        </w:rPr>
        <w:t>interim</w:t>
      </w:r>
      <w:proofErr w:type="spellEnd"/>
      <w:r w:rsidRPr="00125E6E">
        <w:rPr>
          <w:lang w:val="mi-NZ"/>
        </w:rPr>
        <w:t xml:space="preserve"> and </w:t>
      </w:r>
      <w:proofErr w:type="spellStart"/>
      <w:r w:rsidRPr="00125E6E">
        <w:rPr>
          <w:lang w:val="mi-NZ"/>
        </w:rPr>
        <w:t>master</w:t>
      </w:r>
      <w:proofErr w:type="spellEnd"/>
      <w:r w:rsidRPr="00125E6E">
        <w:rPr>
          <w:lang w:val="mi-NZ"/>
        </w:rPr>
        <w:t xml:space="preserve"> </w:t>
      </w:r>
      <w:proofErr w:type="spellStart"/>
      <w:r w:rsidRPr="00125E6E">
        <w:rPr>
          <w:lang w:val="mi-NZ"/>
        </w:rPr>
        <w:t>registers</w:t>
      </w:r>
      <w:proofErr w:type="spellEnd"/>
      <w:r>
        <w:rPr>
          <w:lang w:val="mi-NZ"/>
        </w:rPr>
        <w:t>,</w:t>
      </w:r>
      <w:r w:rsidRPr="00125E6E">
        <w:rPr>
          <w:lang w:val="mi-NZ"/>
        </w:rPr>
        <w:t xml:space="preserve"> to </w:t>
      </w:r>
      <w:proofErr w:type="spellStart"/>
      <w:r w:rsidRPr="00125E6E">
        <w:rPr>
          <w:lang w:val="mi-NZ"/>
        </w:rPr>
        <w:t>ensure</w:t>
      </w:r>
      <w:proofErr w:type="spellEnd"/>
      <w:r w:rsidRPr="00125E6E">
        <w:rPr>
          <w:lang w:val="mi-NZ"/>
        </w:rPr>
        <w:t xml:space="preserve"> </w:t>
      </w:r>
      <w:proofErr w:type="spellStart"/>
      <w:r w:rsidRPr="00125E6E">
        <w:rPr>
          <w:lang w:val="mi-NZ"/>
        </w:rPr>
        <w:t>obsolete</w:t>
      </w:r>
      <w:proofErr w:type="spellEnd"/>
      <w:r w:rsidRPr="00125E6E">
        <w:rPr>
          <w:lang w:val="mi-NZ"/>
        </w:rPr>
        <w:t xml:space="preserve"> </w:t>
      </w:r>
      <w:proofErr w:type="spellStart"/>
      <w:r w:rsidRPr="00125E6E">
        <w:rPr>
          <w:lang w:val="mi-NZ"/>
        </w:rPr>
        <w:t>register</w:t>
      </w:r>
      <w:proofErr w:type="spellEnd"/>
      <w:r w:rsidRPr="00125E6E">
        <w:rPr>
          <w:lang w:val="mi-NZ"/>
        </w:rPr>
        <w:t xml:space="preserve"> </w:t>
      </w:r>
      <w:proofErr w:type="spellStart"/>
      <w:r w:rsidRPr="00125E6E">
        <w:rPr>
          <w:lang w:val="mi-NZ"/>
        </w:rPr>
        <w:t>information</w:t>
      </w:r>
      <w:proofErr w:type="spellEnd"/>
      <w:r w:rsidRPr="00125E6E">
        <w:rPr>
          <w:lang w:val="mi-NZ"/>
        </w:rPr>
        <w:t xml:space="preserve"> </w:t>
      </w:r>
      <w:proofErr w:type="spellStart"/>
      <w:r w:rsidRPr="00125E6E">
        <w:rPr>
          <w:lang w:val="mi-NZ"/>
        </w:rPr>
        <w:t>is</w:t>
      </w:r>
      <w:proofErr w:type="spellEnd"/>
      <w:r w:rsidRPr="00125E6E">
        <w:rPr>
          <w:lang w:val="mi-NZ"/>
        </w:rPr>
        <w:t xml:space="preserve"> </w:t>
      </w:r>
      <w:proofErr w:type="spellStart"/>
      <w:r w:rsidRPr="00125E6E">
        <w:rPr>
          <w:lang w:val="mi-NZ"/>
        </w:rPr>
        <w:t>not</w:t>
      </w:r>
      <w:proofErr w:type="spellEnd"/>
      <w:r w:rsidRPr="00125E6E">
        <w:rPr>
          <w:lang w:val="mi-NZ"/>
        </w:rPr>
        <w:t xml:space="preserve"> </w:t>
      </w:r>
      <w:proofErr w:type="spellStart"/>
      <w:r w:rsidRPr="00125E6E">
        <w:rPr>
          <w:lang w:val="mi-NZ"/>
        </w:rPr>
        <w:t>used</w:t>
      </w:r>
      <w:proofErr w:type="spellEnd"/>
      <w:r w:rsidRPr="00125E6E">
        <w:rPr>
          <w:lang w:val="mi-NZ"/>
        </w:rPr>
        <w:t xml:space="preserve"> </w:t>
      </w:r>
      <w:proofErr w:type="spellStart"/>
      <w:r w:rsidRPr="00125E6E">
        <w:rPr>
          <w:lang w:val="mi-NZ"/>
        </w:rPr>
        <w:t>in</w:t>
      </w:r>
      <w:proofErr w:type="spellEnd"/>
      <w:r w:rsidRPr="00125E6E">
        <w:rPr>
          <w:lang w:val="mi-NZ"/>
        </w:rPr>
        <w:t xml:space="preserve"> </w:t>
      </w:r>
      <w:proofErr w:type="spellStart"/>
      <w:r w:rsidRPr="00125E6E">
        <w:rPr>
          <w:lang w:val="mi-NZ"/>
        </w:rPr>
        <w:t>error</w:t>
      </w:r>
      <w:proofErr w:type="spellEnd"/>
      <w:r w:rsidRPr="00125E6E">
        <w:rPr>
          <w:lang w:val="mi-NZ"/>
        </w:rPr>
        <w:t>.</w:t>
      </w:r>
    </w:p>
    <w:p w14:paraId="06EC8059" w14:textId="77777777" w:rsidR="00152E9B" w:rsidRDefault="00152E9B" w:rsidP="00152E9B"/>
    <w:p w14:paraId="3A048816" w14:textId="77777777" w:rsidR="00A25A47" w:rsidRDefault="00EE67CB" w:rsidP="00152E9B">
      <w:r>
        <w:t>The Ministry require that n</w:t>
      </w:r>
      <w:r w:rsidRPr="00125E6E">
        <w:t xml:space="preserve">o worker of a drug checking </w:t>
      </w:r>
      <w:r>
        <w:t xml:space="preserve">service </w:t>
      </w:r>
      <w:r w:rsidRPr="00125E6E">
        <w:t xml:space="preserve">provider can leave the lockbox unattended unless </w:t>
      </w:r>
      <w:r>
        <w:t xml:space="preserve">they have taken </w:t>
      </w:r>
      <w:r w:rsidRPr="00125E6E">
        <w:t>all reasonable steps against unlawful removal.</w:t>
      </w:r>
    </w:p>
    <w:p w14:paraId="5AE57ED8" w14:textId="77777777" w:rsidR="00152E9B" w:rsidRDefault="00152E9B" w:rsidP="00152E9B"/>
    <w:p w14:paraId="31400FEB" w14:textId="77777777" w:rsidR="00A25A47" w:rsidRDefault="00EE67CB" w:rsidP="00152E9B">
      <w:r w:rsidRPr="00125E6E">
        <w:t>Licen</w:t>
      </w:r>
      <w:r>
        <w:t>c</w:t>
      </w:r>
      <w:r w:rsidRPr="00125E6E">
        <w:t xml:space="preserve">e conditions may state specific storage requirements </w:t>
      </w:r>
      <w:r>
        <w:t xml:space="preserve">that </w:t>
      </w:r>
      <w:r w:rsidRPr="00125E6E">
        <w:t>vary from those outlined above.</w:t>
      </w:r>
    </w:p>
    <w:p w14:paraId="01AF6FFC" w14:textId="77777777" w:rsidR="00152E9B" w:rsidRDefault="00152E9B" w:rsidP="00152E9B"/>
    <w:p w14:paraId="4267C035" w14:textId="77777777" w:rsidR="00EE67CB" w:rsidRPr="009502A5" w:rsidRDefault="00EE67CB" w:rsidP="009B3E0F">
      <w:pPr>
        <w:pStyle w:val="Heading2"/>
      </w:pPr>
      <w:bookmarkStart w:id="64" w:name="_Toc98861473"/>
      <w:bookmarkStart w:id="65" w:name="_Toc99377719"/>
      <w:r w:rsidRPr="009502A5">
        <w:lastRenderedPageBreak/>
        <w:t>Transportation</w:t>
      </w:r>
      <w:bookmarkEnd w:id="64"/>
      <w:bookmarkEnd w:id="65"/>
    </w:p>
    <w:p w14:paraId="21458ACC" w14:textId="77777777" w:rsidR="00A25A47" w:rsidRDefault="00EE67CB" w:rsidP="00152E9B">
      <w:pPr>
        <w:keepNext/>
      </w:pPr>
      <w:r w:rsidRPr="00125E6E">
        <w:t xml:space="preserve">The principles </w:t>
      </w:r>
      <w:r>
        <w:t xml:space="preserve">specified in the previous safe storage section </w:t>
      </w:r>
      <w:r w:rsidRPr="00125E6E">
        <w:t xml:space="preserve">also apply </w:t>
      </w:r>
      <w:r>
        <w:t xml:space="preserve">to </w:t>
      </w:r>
      <w:r w:rsidRPr="00125E6E">
        <w:t>transportation of drugs or substances.</w:t>
      </w:r>
    </w:p>
    <w:p w14:paraId="03EA80EA" w14:textId="77777777" w:rsidR="00152E9B" w:rsidRDefault="00152E9B" w:rsidP="00152E9B">
      <w:pPr>
        <w:keepNext/>
      </w:pPr>
    </w:p>
    <w:p w14:paraId="56604B73" w14:textId="77777777" w:rsidR="00EE67CB" w:rsidRDefault="00EE67CB" w:rsidP="00152E9B">
      <w:pPr>
        <w:keepNext/>
      </w:pPr>
      <w:r>
        <w:t>In t</w:t>
      </w:r>
      <w:r w:rsidRPr="00125E6E">
        <w:t>ransport</w:t>
      </w:r>
      <w:r>
        <w:t xml:space="preserve">ing drugs or substances </w:t>
      </w:r>
      <w:r w:rsidRPr="00125E6E">
        <w:t>via courier to an approved laboratory for further testing, or surrender</w:t>
      </w:r>
      <w:r>
        <w:t>ing them</w:t>
      </w:r>
      <w:r w:rsidRPr="00125E6E">
        <w:t xml:space="preserve"> to </w:t>
      </w:r>
      <w:r>
        <w:t>the p</w:t>
      </w:r>
      <w:r w:rsidRPr="00125E6E">
        <w:t xml:space="preserve">olice, </w:t>
      </w:r>
      <w:r>
        <w:t xml:space="preserve">providers </w:t>
      </w:r>
      <w:r w:rsidRPr="00125E6E">
        <w:t xml:space="preserve">must follow </w:t>
      </w:r>
      <w:r>
        <w:t xml:space="preserve">relevant </w:t>
      </w:r>
      <w:r w:rsidRPr="00125E6E">
        <w:t xml:space="preserve">ESR and </w:t>
      </w:r>
      <w:r>
        <w:t>NDIB/DIANZ</w:t>
      </w:r>
      <w:r w:rsidRPr="00125E6E">
        <w:t xml:space="preserve"> protocols</w:t>
      </w:r>
      <w:r>
        <w:t xml:space="preserve">, including in terms of </w:t>
      </w:r>
      <w:r w:rsidRPr="00125E6E">
        <w:t>inform</w:t>
      </w:r>
      <w:r>
        <w:t>ing</w:t>
      </w:r>
      <w:r w:rsidRPr="00125E6E">
        <w:t xml:space="preserve"> </w:t>
      </w:r>
      <w:r>
        <w:t xml:space="preserve">those agencies </w:t>
      </w:r>
      <w:r w:rsidRPr="00125E6E">
        <w:t>that a sample is being sent.</w:t>
      </w:r>
    </w:p>
    <w:p w14:paraId="473B6EB1" w14:textId="77777777" w:rsidR="00152E9B" w:rsidRPr="00125E6E" w:rsidRDefault="00152E9B" w:rsidP="00152E9B"/>
    <w:p w14:paraId="4E125610" w14:textId="77777777" w:rsidR="00EE67CB" w:rsidRPr="00125E6E" w:rsidRDefault="00EE67CB" w:rsidP="00152E9B">
      <w:r>
        <w:t>Where providers send s</w:t>
      </w:r>
      <w:r w:rsidRPr="00125E6E">
        <w:t xml:space="preserve">amples of drugs </w:t>
      </w:r>
      <w:r>
        <w:t xml:space="preserve">and substances </w:t>
      </w:r>
      <w:r w:rsidRPr="00125E6E">
        <w:t>to ESR</w:t>
      </w:r>
      <w:r>
        <w:t xml:space="preserve"> or NDIB/DIANZ</w:t>
      </w:r>
      <w:r w:rsidRPr="00125E6E">
        <w:t xml:space="preserve">, </w:t>
      </w:r>
      <w:r>
        <w:t xml:space="preserve">they must </w:t>
      </w:r>
      <w:r w:rsidRPr="00125E6E">
        <w:t>be tracked. Further transportation safety measures are required for liquids and known dangerous substances.</w:t>
      </w:r>
    </w:p>
    <w:p w14:paraId="307C94E1" w14:textId="77777777" w:rsidR="00152E9B" w:rsidRDefault="00152E9B" w:rsidP="00152E9B"/>
    <w:p w14:paraId="36685940" w14:textId="77777777" w:rsidR="00EE67CB" w:rsidRDefault="00EE67CB" w:rsidP="00152E9B">
      <w:r>
        <w:t>Providers should ensure that l</w:t>
      </w:r>
      <w:r w:rsidRPr="00125E6E">
        <w:t xml:space="preserve">abelling and descriptors on the package </w:t>
      </w:r>
      <w:r>
        <w:t xml:space="preserve">do not reveal its </w:t>
      </w:r>
      <w:r w:rsidRPr="00125E6E">
        <w:t>contents.</w:t>
      </w:r>
    </w:p>
    <w:p w14:paraId="5C34BA19" w14:textId="77777777" w:rsidR="00152E9B" w:rsidRPr="00125E6E" w:rsidRDefault="00152E9B" w:rsidP="00152E9B"/>
    <w:p w14:paraId="6DD446B8" w14:textId="77777777" w:rsidR="00EE67CB" w:rsidRPr="00125E6E" w:rsidRDefault="00EE67CB" w:rsidP="00590EF3">
      <w:pPr>
        <w:pStyle w:val="Italics"/>
      </w:pPr>
      <w:r w:rsidRPr="00657C50">
        <w:t>Please provide the following information</w:t>
      </w:r>
      <w:r w:rsidRPr="00125E6E" w:rsidDel="00302313">
        <w:t xml:space="preserve"> </w:t>
      </w:r>
      <w:r w:rsidRPr="00B00247">
        <w:t>about</w:t>
      </w:r>
      <w:r>
        <w:t xml:space="preserve"> your procedures for</w:t>
      </w:r>
      <w:r w:rsidRPr="00B00247">
        <w:t xml:space="preserve"> safe storage:</w:t>
      </w:r>
    </w:p>
    <w:p w14:paraId="03A9E16E" w14:textId="77777777" w:rsidR="00A25A47" w:rsidRDefault="00EE67CB" w:rsidP="00590EF3">
      <w:pPr>
        <w:pStyle w:val="ItalicsBullet"/>
      </w:pPr>
      <w:r w:rsidRPr="00B00247">
        <w:t>how drugs and substances will be stored safely</w:t>
      </w:r>
      <w:r>
        <w:t>:</w:t>
      </w:r>
    </w:p>
    <w:p w14:paraId="2739F1AF" w14:textId="77777777" w:rsidR="00A25A47" w:rsidRDefault="00EE67CB" w:rsidP="00590EF3">
      <w:pPr>
        <w:pStyle w:val="ItalicsDash"/>
      </w:pPr>
      <w:r w:rsidRPr="00B00247">
        <w:t>in all service delivery settings</w:t>
      </w:r>
    </w:p>
    <w:p w14:paraId="74F98D4E" w14:textId="77777777" w:rsidR="00EE67CB" w:rsidRPr="00B00247" w:rsidRDefault="00EE67CB" w:rsidP="00590EF3">
      <w:pPr>
        <w:pStyle w:val="ItalicsDash"/>
      </w:pPr>
      <w:r w:rsidRPr="00B00247">
        <w:t>when being transported</w:t>
      </w:r>
    </w:p>
    <w:p w14:paraId="24AED529" w14:textId="77777777" w:rsidR="00EE67CB" w:rsidRDefault="00EE67CB" w:rsidP="00590EF3">
      <w:pPr>
        <w:pStyle w:val="ItalicsBullet"/>
      </w:pPr>
      <w:r w:rsidRPr="00B00247">
        <w:t xml:space="preserve">the processes </w:t>
      </w:r>
      <w:r>
        <w:t xml:space="preserve">you will </w:t>
      </w:r>
      <w:r w:rsidRPr="00B00247">
        <w:t xml:space="preserve">follow </w:t>
      </w:r>
      <w:r>
        <w:t xml:space="preserve">in the event of unauthorised </w:t>
      </w:r>
      <w:r w:rsidRPr="00B00247">
        <w:t>loss or removal of a controlled drug or psychoactive substance.</w:t>
      </w:r>
    </w:p>
    <w:p w14:paraId="6234480E" w14:textId="77777777" w:rsidR="00590EF3" w:rsidRPr="00B00247" w:rsidRDefault="00590EF3" w:rsidP="00590EF3"/>
    <w:p w14:paraId="0ABD29D7" w14:textId="77777777" w:rsidR="00A25A47" w:rsidRDefault="00EE67CB" w:rsidP="009B3E0F">
      <w:pPr>
        <w:pStyle w:val="Heading2"/>
      </w:pPr>
      <w:bookmarkStart w:id="66" w:name="_Toc98861474"/>
      <w:bookmarkStart w:id="67" w:name="_Toc99377720"/>
      <w:r w:rsidRPr="009502A5">
        <w:lastRenderedPageBreak/>
        <w:t>Privacy</w:t>
      </w:r>
      <w:bookmarkEnd w:id="66"/>
      <w:bookmarkEnd w:id="67"/>
    </w:p>
    <w:p w14:paraId="15FACE09" w14:textId="77777777" w:rsidR="00EE67CB" w:rsidRDefault="00EE67CB" w:rsidP="008F13D3">
      <w:pPr>
        <w:keepNext/>
      </w:pPr>
      <w:r>
        <w:t>Providers must be aware of the Privacy Act 2020 and know how to prevent privacy breaches. They must be able to demonstrate h</w:t>
      </w:r>
      <w:r w:rsidRPr="00536D7B">
        <w:t>ow they will comply with the information privacy principles</w:t>
      </w:r>
      <w:r>
        <w:t xml:space="preserve"> contained in the Privacy Act.</w:t>
      </w:r>
    </w:p>
    <w:p w14:paraId="51BEFA32" w14:textId="77777777" w:rsidR="00590EF3" w:rsidRDefault="00590EF3" w:rsidP="008F13D3">
      <w:pPr>
        <w:keepNext/>
      </w:pPr>
    </w:p>
    <w:p w14:paraId="26914295" w14:textId="77777777" w:rsidR="00A25A47" w:rsidRDefault="00EE67CB" w:rsidP="008F13D3">
      <w:pPr>
        <w:keepNext/>
      </w:pPr>
      <w:r>
        <w:t>Drug checking service providers will not collect or hold personal information (</w:t>
      </w:r>
      <w:proofErr w:type="spellStart"/>
      <w:r>
        <w:t>eg</w:t>
      </w:r>
      <w:proofErr w:type="spellEnd"/>
      <w:r>
        <w:t xml:space="preserve">, names or contact details) in the course of service </w:t>
      </w:r>
      <w:r w:rsidRPr="004E45EA">
        <w:t>delivery unless the service also provides other health</w:t>
      </w:r>
      <w:r>
        <w:t>-</w:t>
      </w:r>
      <w:r w:rsidRPr="004E45EA">
        <w:t>related services</w:t>
      </w:r>
      <w:r>
        <w:t xml:space="preserve"> (such as acute care services, mental </w:t>
      </w:r>
      <w:proofErr w:type="gramStart"/>
      <w:r>
        <w:t>health</w:t>
      </w:r>
      <w:proofErr w:type="gramEnd"/>
      <w:r>
        <w:t xml:space="preserve"> or drug addiction services)</w:t>
      </w:r>
      <w:r w:rsidRPr="004E45EA">
        <w:t xml:space="preserve">. </w:t>
      </w:r>
      <w:r w:rsidRPr="00C119E7">
        <w:t xml:space="preserve">If </w:t>
      </w:r>
      <w:r>
        <w:t>this is the case, the provider must collect and store that information independently</w:t>
      </w:r>
      <w:r w:rsidRPr="00C119E7">
        <w:t xml:space="preserve"> from </w:t>
      </w:r>
      <w:r>
        <w:t xml:space="preserve">the </w:t>
      </w:r>
      <w:r w:rsidRPr="00C119E7">
        <w:t>drug checking</w:t>
      </w:r>
      <w:r>
        <w:t xml:space="preserve"> service</w:t>
      </w:r>
      <w:r w:rsidRPr="00C119E7">
        <w:t>.</w:t>
      </w:r>
    </w:p>
    <w:p w14:paraId="2DB40F9E" w14:textId="77777777" w:rsidR="00590EF3" w:rsidRDefault="00590EF3" w:rsidP="008F13D3">
      <w:pPr>
        <w:keepNext/>
      </w:pPr>
    </w:p>
    <w:p w14:paraId="6FC7F0CB" w14:textId="77777777" w:rsidR="00A25A47" w:rsidRDefault="00EE67CB" w:rsidP="008F13D3">
      <w:pPr>
        <w:keepNext/>
      </w:pPr>
      <w:r>
        <w:t>P</w:t>
      </w:r>
      <w:r w:rsidRPr="00C119E7">
        <w:t xml:space="preserve">rivacy </w:t>
      </w:r>
      <w:r>
        <w:t xml:space="preserve">considerations should be included in training and worker service agreements. Providers should be aware of the need to </w:t>
      </w:r>
      <w:r w:rsidRPr="00C119E7">
        <w:t>address</w:t>
      </w:r>
      <w:r>
        <w:t xml:space="preserve"> behaviours such as casual discussion (</w:t>
      </w:r>
      <w:r w:rsidRPr="00C119E7">
        <w:t>gossiping</w:t>
      </w:r>
      <w:r>
        <w:t>)</w:t>
      </w:r>
      <w:r w:rsidRPr="00C119E7">
        <w:t xml:space="preserve">, </w:t>
      </w:r>
      <w:r>
        <w:t xml:space="preserve">should explicitly prohibit the photographing, </w:t>
      </w:r>
      <w:proofErr w:type="gramStart"/>
      <w:r>
        <w:t>recording</w:t>
      </w:r>
      <w:proofErr w:type="gramEnd"/>
      <w:r>
        <w:t xml:space="preserve"> or </w:t>
      </w:r>
      <w:r w:rsidRPr="00C119E7">
        <w:t xml:space="preserve">filming </w:t>
      </w:r>
      <w:r>
        <w:t xml:space="preserve">of </w:t>
      </w:r>
      <w:r w:rsidRPr="00C119E7">
        <w:t>service users</w:t>
      </w:r>
      <w:r>
        <w:t xml:space="preserve"> in any context</w:t>
      </w:r>
      <w:r w:rsidRPr="00C119E7">
        <w:t xml:space="preserve">, </w:t>
      </w:r>
      <w:r>
        <w:t xml:space="preserve">and should take steps to minimise the potential </w:t>
      </w:r>
      <w:r w:rsidRPr="00C119E7">
        <w:t>accidental identification of people from their demographic</w:t>
      </w:r>
      <w:r>
        <w:t xml:space="preserve"> information</w:t>
      </w:r>
      <w:r w:rsidRPr="00C119E7">
        <w:t>.</w:t>
      </w:r>
    </w:p>
    <w:p w14:paraId="646D9820" w14:textId="77777777" w:rsidR="00590EF3" w:rsidRDefault="00590EF3" w:rsidP="008F13D3">
      <w:pPr>
        <w:keepNext/>
      </w:pPr>
    </w:p>
    <w:p w14:paraId="5B71F18B" w14:textId="77777777" w:rsidR="00A25A47" w:rsidRDefault="00EE67CB" w:rsidP="00590EF3">
      <w:pPr>
        <w:pStyle w:val="Italics"/>
        <w:keepNext/>
      </w:pPr>
      <w:r>
        <w:t xml:space="preserve">Identify </w:t>
      </w:r>
      <w:r w:rsidRPr="00DE254B">
        <w:t xml:space="preserve">potential risks to the privacy of service users and </w:t>
      </w:r>
      <w:r>
        <w:t xml:space="preserve">outline </w:t>
      </w:r>
      <w:r w:rsidRPr="00DE254B">
        <w:t xml:space="preserve">how </w:t>
      </w:r>
      <w:r>
        <w:t xml:space="preserve">you will mitigate </w:t>
      </w:r>
      <w:r w:rsidRPr="00DE254B">
        <w:t>these risks.</w:t>
      </w:r>
    </w:p>
    <w:p w14:paraId="3D4C4D3E" w14:textId="77777777" w:rsidR="00590EF3" w:rsidRDefault="00590EF3" w:rsidP="00590EF3">
      <w:pPr>
        <w:pStyle w:val="Italics"/>
        <w:keepNext/>
      </w:pPr>
    </w:p>
    <w:p w14:paraId="333C2502" w14:textId="77777777" w:rsidR="00EE67CB" w:rsidRDefault="00EE67CB" w:rsidP="00590EF3">
      <w:pPr>
        <w:pStyle w:val="Italics"/>
      </w:pPr>
      <w:r>
        <w:t xml:space="preserve">State </w:t>
      </w:r>
      <w:r w:rsidRPr="00DE254B">
        <w:t xml:space="preserve">whether </w:t>
      </w:r>
      <w:r>
        <w:t xml:space="preserve">your service collects </w:t>
      </w:r>
      <w:r w:rsidRPr="00DE254B">
        <w:t xml:space="preserve">personal information for </w:t>
      </w:r>
      <w:r>
        <w:t xml:space="preserve">the purposes of </w:t>
      </w:r>
      <w:r w:rsidRPr="00DE254B">
        <w:t>other health</w:t>
      </w:r>
      <w:r>
        <w:t>-</w:t>
      </w:r>
      <w:r w:rsidRPr="00DE254B">
        <w:t xml:space="preserve">related services and </w:t>
      </w:r>
      <w:r>
        <w:t xml:space="preserve">outline the </w:t>
      </w:r>
      <w:r w:rsidRPr="00DE254B">
        <w:t xml:space="preserve">processes </w:t>
      </w:r>
      <w:r>
        <w:t xml:space="preserve">you follow </w:t>
      </w:r>
      <w:r w:rsidRPr="00DE254B">
        <w:t xml:space="preserve">to keep </w:t>
      </w:r>
      <w:r>
        <w:t xml:space="preserve">that </w:t>
      </w:r>
      <w:r w:rsidRPr="00DE254B">
        <w:t>information separate from drug checking service provision.</w:t>
      </w:r>
    </w:p>
    <w:p w14:paraId="25647D45" w14:textId="77777777" w:rsidR="00590EF3" w:rsidRPr="00DE254B" w:rsidRDefault="00590EF3" w:rsidP="00590EF3"/>
    <w:p w14:paraId="1B2674BE" w14:textId="77777777" w:rsidR="00EE67CB" w:rsidRPr="009502A5" w:rsidRDefault="00EE67CB" w:rsidP="009B3E0F">
      <w:pPr>
        <w:pStyle w:val="Heading2"/>
      </w:pPr>
      <w:bookmarkStart w:id="68" w:name="_Toc98861475"/>
      <w:bookmarkStart w:id="69" w:name="_Toc99377721"/>
      <w:r w:rsidRPr="009502A5">
        <w:t>Data collection and storage of personal information</w:t>
      </w:r>
      <w:bookmarkEnd w:id="68"/>
      <w:bookmarkEnd w:id="69"/>
    </w:p>
    <w:p w14:paraId="2D596B1A" w14:textId="77777777" w:rsidR="00A25A47" w:rsidRDefault="00EE67CB" w:rsidP="00590EF3">
      <w:r>
        <w:t xml:space="preserve">Applicants need to demonstrate how they will comply with legislative requirements relating to the collection of personal information (see </w:t>
      </w:r>
      <w:r w:rsidRPr="00D835ED">
        <w:t>35DDE</w:t>
      </w:r>
      <w:r>
        <w:t xml:space="preserve"> of the </w:t>
      </w:r>
      <w:proofErr w:type="spellStart"/>
      <w:r>
        <w:t>MoDA</w:t>
      </w:r>
      <w:proofErr w:type="spellEnd"/>
      <w:r>
        <w:t xml:space="preserve">). </w:t>
      </w:r>
      <w:r w:rsidRPr="00D835ED">
        <w:t>Service provider</w:t>
      </w:r>
      <w:r>
        <w:t>s must not:</w:t>
      </w:r>
    </w:p>
    <w:p w14:paraId="5A6E8243" w14:textId="77777777" w:rsidR="00A25A47" w:rsidRDefault="00EE67CB" w:rsidP="00590EF3">
      <w:pPr>
        <w:pStyle w:val="Bullet"/>
      </w:pPr>
      <w:r w:rsidRPr="000A2BF5">
        <w:t>require individual</w:t>
      </w:r>
      <w:r>
        <w:t>s</w:t>
      </w:r>
      <w:r w:rsidRPr="000A2BF5">
        <w:t xml:space="preserve"> to disclose demographic information (such as their age, </w:t>
      </w:r>
      <w:r>
        <w:t>gender</w:t>
      </w:r>
      <w:r w:rsidRPr="000A2BF5">
        <w:t xml:space="preserve">, </w:t>
      </w:r>
      <w:proofErr w:type="gramStart"/>
      <w:r w:rsidRPr="000A2BF5">
        <w:t>ethnicity</w:t>
      </w:r>
      <w:proofErr w:type="gramEnd"/>
      <w:r w:rsidRPr="000A2BF5">
        <w:t xml:space="preserve"> or cultural background) as a condition of providing service</w:t>
      </w:r>
    </w:p>
    <w:p w14:paraId="5C88188F" w14:textId="77777777" w:rsidR="00EE67CB" w:rsidRPr="000A2BF5" w:rsidRDefault="00EE67CB" w:rsidP="00590EF3">
      <w:pPr>
        <w:pStyle w:val="Bullet"/>
      </w:pPr>
      <w:r w:rsidRPr="000A2BF5">
        <w:t xml:space="preserve">collect, maintain, use, or disclose any </w:t>
      </w:r>
      <w:r>
        <w:t>individual</w:t>
      </w:r>
      <w:r w:rsidR="00A25A47">
        <w:t>’</w:t>
      </w:r>
      <w:r>
        <w:t xml:space="preserve">s </w:t>
      </w:r>
      <w:r w:rsidRPr="000A2BF5">
        <w:t>personal information.</w:t>
      </w:r>
    </w:p>
    <w:p w14:paraId="6C230614" w14:textId="77777777" w:rsidR="00590EF3" w:rsidRDefault="00590EF3" w:rsidP="00590EF3"/>
    <w:p w14:paraId="16AD2F32" w14:textId="77777777" w:rsidR="00EE67CB" w:rsidRDefault="00EE67CB" w:rsidP="00590EF3">
      <w:r>
        <w:t>A</w:t>
      </w:r>
      <w:r w:rsidRPr="00D835ED">
        <w:t xml:space="preserve"> </w:t>
      </w:r>
      <w:r>
        <w:t>drug checking service</w:t>
      </w:r>
      <w:r w:rsidRPr="00D835ED">
        <w:t xml:space="preserve"> </w:t>
      </w:r>
      <w:r>
        <w:t>may</w:t>
      </w:r>
      <w:r w:rsidRPr="00D835ED">
        <w:t xml:space="preserve"> collect</w:t>
      </w:r>
      <w:r>
        <w:t xml:space="preserve"> anonymous demographic information (</w:t>
      </w:r>
      <w:proofErr w:type="spellStart"/>
      <w:r>
        <w:t>eg</w:t>
      </w:r>
      <w:proofErr w:type="spellEnd"/>
      <w:r>
        <w:t>, for the purposes of general service outcome reporting and trends). However, it cannot require a person who presents for drug checking to provide this information.</w:t>
      </w:r>
    </w:p>
    <w:p w14:paraId="0CF84372" w14:textId="77777777" w:rsidR="00590EF3" w:rsidRDefault="00590EF3" w:rsidP="00590EF3"/>
    <w:p w14:paraId="2B401B52" w14:textId="77777777" w:rsidR="00A25A47" w:rsidRPr="008F13D3" w:rsidRDefault="00EE67CB" w:rsidP="008F13D3">
      <w:pPr>
        <w:ind w:right="-567"/>
        <w:rPr>
          <w:spacing w:val="-2"/>
        </w:rPr>
      </w:pPr>
      <w:r w:rsidRPr="008F13D3">
        <w:rPr>
          <w:spacing w:val="-2"/>
        </w:rPr>
        <w:t xml:space="preserve">Service providers should collect data for recording and reporting as required by the legislation and their particular licensing conditions (see </w:t>
      </w:r>
      <w:r w:rsidR="00A25A47" w:rsidRPr="008F13D3">
        <w:rPr>
          <w:spacing w:val="-2"/>
        </w:rPr>
        <w:t>‘</w:t>
      </w:r>
      <w:r w:rsidRPr="008F13D3">
        <w:rPr>
          <w:spacing w:val="-2"/>
        </w:rPr>
        <w:t>Record keeping and reporting</w:t>
      </w:r>
      <w:r w:rsidR="00A25A47" w:rsidRPr="008F13D3">
        <w:rPr>
          <w:spacing w:val="-2"/>
        </w:rPr>
        <w:t>’</w:t>
      </w:r>
      <w:r w:rsidRPr="008F13D3">
        <w:rPr>
          <w:spacing w:val="-2"/>
        </w:rPr>
        <w:t xml:space="preserve"> below).</w:t>
      </w:r>
    </w:p>
    <w:p w14:paraId="5564E763" w14:textId="77777777" w:rsidR="00590EF3" w:rsidRDefault="00590EF3" w:rsidP="00590EF3"/>
    <w:p w14:paraId="1B0DAF90" w14:textId="77777777" w:rsidR="00EE67CB" w:rsidRDefault="00EE67CB" w:rsidP="00590EF3">
      <w:pPr>
        <w:pStyle w:val="Italics"/>
      </w:pPr>
      <w:bookmarkStart w:id="70" w:name="_Hlk89871951"/>
      <w:r w:rsidRPr="00DE254B">
        <w:t xml:space="preserve">Describe what processes </w:t>
      </w:r>
      <w:r>
        <w:t xml:space="preserve">you have </w:t>
      </w:r>
      <w:r w:rsidRPr="00DE254B">
        <w:t>in place for data collection and data storage.</w:t>
      </w:r>
      <w:bookmarkEnd w:id="70"/>
    </w:p>
    <w:p w14:paraId="7714DEAE" w14:textId="77777777" w:rsidR="008F13D3" w:rsidRPr="00DE254B" w:rsidRDefault="008F13D3" w:rsidP="00590EF3"/>
    <w:p w14:paraId="76AFC254" w14:textId="77777777" w:rsidR="00EE67CB" w:rsidRPr="00222CDD" w:rsidRDefault="00EE67CB" w:rsidP="009B3E0F">
      <w:pPr>
        <w:pStyle w:val="Heading1"/>
      </w:pPr>
      <w:bookmarkStart w:id="71" w:name="_Toc98861476"/>
      <w:bookmarkStart w:id="72" w:name="_Toc93407834"/>
      <w:bookmarkStart w:id="73" w:name="_Toc99377722"/>
      <w:r w:rsidRPr="00222CDD">
        <w:lastRenderedPageBreak/>
        <w:t>Record keeping and reporting</w:t>
      </w:r>
      <w:bookmarkEnd w:id="71"/>
      <w:bookmarkEnd w:id="73"/>
    </w:p>
    <w:p w14:paraId="4FBEF9F0" w14:textId="77777777" w:rsidR="00A25A47" w:rsidRDefault="00EE67CB" w:rsidP="009B3E0F">
      <w:pPr>
        <w:pStyle w:val="Heading2"/>
        <w:rPr>
          <w:rFonts w:eastAsiaTheme="majorEastAsia"/>
        </w:rPr>
      </w:pPr>
      <w:bookmarkStart w:id="74" w:name="_Toc98861477"/>
      <w:bookmarkStart w:id="75" w:name="_Toc99377723"/>
      <w:r w:rsidRPr="009502A5">
        <w:rPr>
          <w:rFonts w:eastAsiaTheme="majorEastAsia"/>
        </w:rPr>
        <w:t>Record keeping</w:t>
      </w:r>
      <w:bookmarkEnd w:id="74"/>
      <w:bookmarkEnd w:id="75"/>
    </w:p>
    <w:p w14:paraId="6C875BE7" w14:textId="77777777" w:rsidR="00EE67CB" w:rsidRPr="00444BAA" w:rsidRDefault="00EE67CB" w:rsidP="00590EF3">
      <w:r>
        <w:t xml:space="preserve">Under section 35DDJ of the </w:t>
      </w:r>
      <w:proofErr w:type="spellStart"/>
      <w:r>
        <w:t>MoDA</w:t>
      </w:r>
      <w:proofErr w:type="spellEnd"/>
      <w:r>
        <w:t>, s</w:t>
      </w:r>
      <w:r w:rsidRPr="00444BAA">
        <w:t>ervice providers must keep a record of:</w:t>
      </w:r>
    </w:p>
    <w:p w14:paraId="1FDDA674" w14:textId="77777777" w:rsidR="00A25A47" w:rsidRDefault="00EE67CB" w:rsidP="00590EF3">
      <w:pPr>
        <w:pStyle w:val="Bullet"/>
      </w:pPr>
      <w:r w:rsidRPr="00444BAA">
        <w:t xml:space="preserve">the number of tests </w:t>
      </w:r>
      <w:r>
        <w:t xml:space="preserve">they </w:t>
      </w:r>
      <w:r w:rsidRPr="00444BAA">
        <w:t>carr</w:t>
      </w:r>
      <w:r>
        <w:t>y</w:t>
      </w:r>
      <w:r w:rsidRPr="00444BAA">
        <w:t xml:space="preserve"> out</w:t>
      </w:r>
    </w:p>
    <w:p w14:paraId="15477B99" w14:textId="77777777" w:rsidR="00A25A47" w:rsidRDefault="00EE67CB" w:rsidP="00590EF3">
      <w:pPr>
        <w:pStyle w:val="Bullet"/>
      </w:pPr>
      <w:r w:rsidRPr="00444BAA">
        <w:t xml:space="preserve">the number of individuals </w:t>
      </w:r>
      <w:r>
        <w:t xml:space="preserve">they </w:t>
      </w:r>
      <w:r w:rsidRPr="00444BAA">
        <w:t>advise of test results</w:t>
      </w:r>
    </w:p>
    <w:p w14:paraId="725D4CAF" w14:textId="77777777" w:rsidR="00EE67CB" w:rsidRPr="00444BAA" w:rsidRDefault="00EE67CB" w:rsidP="00590EF3">
      <w:pPr>
        <w:pStyle w:val="Bullet"/>
      </w:pPr>
      <w:r w:rsidRPr="00444BAA">
        <w:t>for each drug or substance that the service provider tests and returns to the individual who submitted it:</w:t>
      </w:r>
    </w:p>
    <w:p w14:paraId="0053C6F2" w14:textId="77777777" w:rsidR="00A25A47" w:rsidRDefault="00EE67CB" w:rsidP="00590EF3">
      <w:pPr>
        <w:pStyle w:val="Dash"/>
      </w:pPr>
      <w:r w:rsidRPr="00444BAA">
        <w:t>the purported identity (if known) of the drug or substance</w:t>
      </w:r>
    </w:p>
    <w:p w14:paraId="2903DEA6" w14:textId="77777777" w:rsidR="00EE67CB" w:rsidRPr="00444BAA" w:rsidRDefault="00EE67CB" w:rsidP="00590EF3">
      <w:pPr>
        <w:pStyle w:val="Dash"/>
      </w:pPr>
      <w:r w:rsidRPr="00444BAA">
        <w:t>the test result</w:t>
      </w:r>
    </w:p>
    <w:p w14:paraId="14814AA5" w14:textId="77777777" w:rsidR="00EE67CB" w:rsidRPr="00444BAA" w:rsidRDefault="00EE67CB" w:rsidP="00590EF3">
      <w:pPr>
        <w:pStyle w:val="Bullet"/>
      </w:pPr>
      <w:r w:rsidRPr="00444BAA">
        <w:t>for each drug or substance that the service provider has in their possession for the purpose of disposal or arranging testing by an approved laboratory:</w:t>
      </w:r>
    </w:p>
    <w:p w14:paraId="3F19509E" w14:textId="77777777" w:rsidR="00EE67CB" w:rsidRPr="00444BAA" w:rsidRDefault="00EE67CB" w:rsidP="00590EF3">
      <w:pPr>
        <w:pStyle w:val="Dash"/>
      </w:pPr>
      <w:r w:rsidRPr="00444BAA">
        <w:t>the purported identity (if known) of the drug or substance</w:t>
      </w:r>
    </w:p>
    <w:p w14:paraId="49368B79" w14:textId="77777777" w:rsidR="00EE67CB" w:rsidRPr="00444BAA" w:rsidRDefault="00EE67CB" w:rsidP="00590EF3">
      <w:pPr>
        <w:pStyle w:val="Dash"/>
      </w:pPr>
      <w:r w:rsidRPr="00444BAA">
        <w:t>if the drug or substance has been tested by the service provider:</w:t>
      </w:r>
    </w:p>
    <w:p w14:paraId="4C918523" w14:textId="77777777" w:rsidR="00EE67CB" w:rsidRPr="00444BAA" w:rsidRDefault="00EE67CB" w:rsidP="00590EF3">
      <w:pPr>
        <w:pStyle w:val="Circle"/>
      </w:pPr>
      <w:proofErr w:type="spellStart"/>
      <w:r w:rsidRPr="00444BAA">
        <w:t>the</w:t>
      </w:r>
      <w:proofErr w:type="spellEnd"/>
      <w:r w:rsidRPr="00444BAA">
        <w:t xml:space="preserve"> </w:t>
      </w:r>
      <w:proofErr w:type="spellStart"/>
      <w:r w:rsidRPr="00444BAA">
        <w:t>test</w:t>
      </w:r>
      <w:proofErr w:type="spellEnd"/>
      <w:r w:rsidRPr="00444BAA">
        <w:t xml:space="preserve"> </w:t>
      </w:r>
      <w:proofErr w:type="spellStart"/>
      <w:r w:rsidRPr="00444BAA">
        <w:t>result</w:t>
      </w:r>
      <w:proofErr w:type="spellEnd"/>
    </w:p>
    <w:p w14:paraId="05AD63F0" w14:textId="77777777" w:rsidR="00EE67CB" w:rsidRPr="00444BAA" w:rsidRDefault="00EE67CB" w:rsidP="00590EF3">
      <w:pPr>
        <w:pStyle w:val="Circle"/>
      </w:pPr>
      <w:proofErr w:type="spellStart"/>
      <w:r w:rsidRPr="00444BAA">
        <w:t>the</w:t>
      </w:r>
      <w:proofErr w:type="spellEnd"/>
      <w:r w:rsidRPr="00444BAA">
        <w:t xml:space="preserve"> </w:t>
      </w:r>
      <w:proofErr w:type="spellStart"/>
      <w:r w:rsidRPr="00444BAA">
        <w:t>weight</w:t>
      </w:r>
      <w:proofErr w:type="spellEnd"/>
      <w:r w:rsidRPr="00444BAA">
        <w:t xml:space="preserve"> of </w:t>
      </w:r>
      <w:proofErr w:type="spellStart"/>
      <w:r w:rsidRPr="00444BAA">
        <w:t>the</w:t>
      </w:r>
      <w:proofErr w:type="spellEnd"/>
      <w:r w:rsidRPr="00444BAA">
        <w:t xml:space="preserve"> </w:t>
      </w:r>
      <w:proofErr w:type="spellStart"/>
      <w:r w:rsidRPr="00444BAA">
        <w:t>drug</w:t>
      </w:r>
      <w:proofErr w:type="spellEnd"/>
      <w:r w:rsidRPr="00444BAA">
        <w:t xml:space="preserve"> or </w:t>
      </w:r>
      <w:proofErr w:type="spellStart"/>
      <w:r w:rsidRPr="00444BAA">
        <w:t>substance</w:t>
      </w:r>
      <w:proofErr w:type="spellEnd"/>
    </w:p>
    <w:p w14:paraId="67DFA7F5" w14:textId="77777777" w:rsidR="00EE67CB" w:rsidRPr="00444BAA" w:rsidRDefault="00EE67CB" w:rsidP="00590EF3">
      <w:pPr>
        <w:pStyle w:val="Circle"/>
      </w:pPr>
      <w:proofErr w:type="spellStart"/>
      <w:r w:rsidRPr="00444BAA">
        <w:t>whichever</w:t>
      </w:r>
      <w:proofErr w:type="spellEnd"/>
      <w:r w:rsidRPr="00444BAA">
        <w:t xml:space="preserve"> of </w:t>
      </w:r>
      <w:proofErr w:type="spellStart"/>
      <w:r w:rsidRPr="00444BAA">
        <w:t>the</w:t>
      </w:r>
      <w:proofErr w:type="spellEnd"/>
      <w:r w:rsidRPr="00444BAA">
        <w:t xml:space="preserve"> </w:t>
      </w:r>
      <w:proofErr w:type="spellStart"/>
      <w:r w:rsidRPr="00444BAA">
        <w:t>following</w:t>
      </w:r>
      <w:proofErr w:type="spellEnd"/>
      <w:r w:rsidRPr="00444BAA">
        <w:t xml:space="preserve"> </w:t>
      </w:r>
      <w:proofErr w:type="spellStart"/>
      <w:r w:rsidRPr="00444BAA">
        <w:t>applies</w:t>
      </w:r>
      <w:proofErr w:type="spellEnd"/>
      <w:r w:rsidRPr="00444BAA">
        <w:t>:</w:t>
      </w:r>
    </w:p>
    <w:p w14:paraId="0A3B3D92" w14:textId="77777777" w:rsidR="00EE67CB" w:rsidRPr="00444BAA" w:rsidRDefault="00EE67CB" w:rsidP="00590EF3">
      <w:pPr>
        <w:pStyle w:val="Bullet-4thlevelafterCircle"/>
      </w:pPr>
      <w:r w:rsidRPr="00444BAA">
        <w:t>if the drug or substance is disposed of by the service provider, how and when it was disposed of</w:t>
      </w:r>
    </w:p>
    <w:p w14:paraId="1DB5BC2B" w14:textId="77777777" w:rsidR="00EE67CB" w:rsidRPr="00444BAA" w:rsidRDefault="00EE67CB" w:rsidP="00590EF3">
      <w:pPr>
        <w:pStyle w:val="Bullet-4thlevelafterCircle"/>
      </w:pPr>
      <w:r w:rsidRPr="00444BAA">
        <w:t>if the drug or substance is provided to another person for disposal, when, how and to whom it was provided:</w:t>
      </w:r>
    </w:p>
    <w:p w14:paraId="600084F4" w14:textId="77777777" w:rsidR="00EE67CB" w:rsidRPr="00444BAA" w:rsidRDefault="00EE67CB" w:rsidP="00590EF3">
      <w:pPr>
        <w:pStyle w:val="Bullet-4thlevelafterCircle"/>
      </w:pPr>
      <w:r w:rsidRPr="00444BAA">
        <w:t>if the drug or substance is provided to an approved laboratory for testing, when, how and to which laboratory it was provided</w:t>
      </w:r>
    </w:p>
    <w:p w14:paraId="0EF95B7C" w14:textId="77777777" w:rsidR="00EE67CB" w:rsidRPr="00444BAA" w:rsidRDefault="00EE67CB" w:rsidP="00590EF3">
      <w:pPr>
        <w:pStyle w:val="Bullet"/>
      </w:pPr>
      <w:r w:rsidRPr="00444BAA">
        <w:t>for each drug or substance that the service provider has in their possession for the purpose of training:</w:t>
      </w:r>
    </w:p>
    <w:p w14:paraId="0F376B88" w14:textId="77777777" w:rsidR="00EE67CB" w:rsidRPr="00444BAA" w:rsidRDefault="00EE67CB" w:rsidP="00590EF3">
      <w:pPr>
        <w:pStyle w:val="Dash"/>
      </w:pPr>
      <w:r w:rsidRPr="00444BAA">
        <w:t>the identity of the drug or substance</w:t>
      </w:r>
      <w:r>
        <w:t>,</w:t>
      </w:r>
      <w:r w:rsidRPr="00444BAA">
        <w:t xml:space="preserve"> as indicated by testing performed by the service provider or an approved laboratory</w:t>
      </w:r>
    </w:p>
    <w:p w14:paraId="5C24FED2" w14:textId="77777777" w:rsidR="00EE67CB" w:rsidRPr="00444BAA" w:rsidRDefault="00EE67CB" w:rsidP="00590EF3">
      <w:pPr>
        <w:pStyle w:val="Dash"/>
      </w:pPr>
      <w:r w:rsidRPr="00444BAA">
        <w:t>the weight of the drug or substance</w:t>
      </w:r>
    </w:p>
    <w:p w14:paraId="1250A3E5" w14:textId="77777777" w:rsidR="00EE67CB" w:rsidRPr="00444BAA" w:rsidRDefault="00EE67CB" w:rsidP="00590EF3">
      <w:pPr>
        <w:pStyle w:val="Dash"/>
      </w:pPr>
      <w:r w:rsidRPr="00444BAA">
        <w:t>if the drug or substance is destroyed while being used for training, how and when that occurred.</w:t>
      </w:r>
    </w:p>
    <w:p w14:paraId="3AAC475B" w14:textId="77777777" w:rsidR="00590EF3" w:rsidRDefault="00590EF3" w:rsidP="00590EF3"/>
    <w:p w14:paraId="7E3A4C9D" w14:textId="77777777" w:rsidR="00EE67CB" w:rsidRPr="00444BAA" w:rsidRDefault="00EE67CB" w:rsidP="00590EF3">
      <w:r w:rsidRPr="00444BAA">
        <w:t xml:space="preserve">The service provider must retain each record for the period prescribed by regulations under </w:t>
      </w:r>
      <w:r>
        <w:t xml:space="preserve">the </w:t>
      </w:r>
      <w:proofErr w:type="spellStart"/>
      <w:r>
        <w:t>MoDA</w:t>
      </w:r>
      <w:proofErr w:type="spellEnd"/>
      <w:r w:rsidRPr="00444BAA">
        <w:t>.</w:t>
      </w:r>
    </w:p>
    <w:p w14:paraId="1D9A2C15" w14:textId="77777777" w:rsidR="00590EF3" w:rsidRDefault="00590EF3" w:rsidP="00590EF3"/>
    <w:p w14:paraId="3E99DDA6" w14:textId="77777777" w:rsidR="00EE67CB" w:rsidRPr="00444BAA" w:rsidRDefault="00EE67CB" w:rsidP="00590EF3">
      <w:pPr>
        <w:keepNext/>
      </w:pPr>
      <w:r w:rsidRPr="00444BAA">
        <w:lastRenderedPageBreak/>
        <w:t xml:space="preserve">Information </w:t>
      </w:r>
      <w:r>
        <w:t>that</w:t>
      </w:r>
      <w:r w:rsidRPr="00444BAA">
        <w:t xml:space="preserve"> must be kept for 12 months includes:</w:t>
      </w:r>
    </w:p>
    <w:p w14:paraId="2FD8EFBD" w14:textId="77777777" w:rsidR="00A25A47" w:rsidRDefault="00EE67CB" w:rsidP="00590EF3">
      <w:pPr>
        <w:pStyle w:val="Bullet"/>
        <w:keepNext/>
      </w:pPr>
      <w:r w:rsidRPr="00444BAA">
        <w:t>any data required to be reported to the Director-General</w:t>
      </w:r>
      <w:r>
        <w:t xml:space="preserve"> </w:t>
      </w:r>
      <w:r w:rsidRPr="00444BAA">
        <w:t xml:space="preserve">or </w:t>
      </w:r>
      <w:r>
        <w:t xml:space="preserve">the </w:t>
      </w:r>
      <w:r w:rsidRPr="00444BAA">
        <w:t>NDIB (12 months after the date on which the data was sent)</w:t>
      </w:r>
    </w:p>
    <w:p w14:paraId="3071F59C" w14:textId="77777777" w:rsidR="00EE67CB" w:rsidRPr="00444BAA" w:rsidRDefault="00EE67CB" w:rsidP="00590EF3">
      <w:pPr>
        <w:pStyle w:val="Bullet"/>
        <w:rPr>
          <w:rFonts w:cs="Segoe UI"/>
        </w:rPr>
      </w:pPr>
      <w:r w:rsidRPr="00444BAA">
        <w:rPr>
          <w:rFonts w:cs="Segoe UI"/>
        </w:rPr>
        <w:t>any drug or substance in the possession of the licence holder, and the purpose for possession (12 months after the licence holder ceased to have any of the drug or substance in its possession)</w:t>
      </w:r>
    </w:p>
    <w:p w14:paraId="1EE8343F" w14:textId="77777777" w:rsidR="00EE67CB" w:rsidRPr="00444BAA" w:rsidRDefault="00EE67CB" w:rsidP="00590EF3">
      <w:pPr>
        <w:pStyle w:val="Bullet"/>
        <w:rPr>
          <w:rFonts w:cs="Segoe UI"/>
        </w:rPr>
      </w:pPr>
      <w:r>
        <w:rPr>
          <w:rFonts w:cs="Segoe UI"/>
        </w:rPr>
        <w:t>where legislation does not specify a</w:t>
      </w:r>
      <w:r w:rsidRPr="00444BAA">
        <w:rPr>
          <w:rFonts w:cs="Segoe UI"/>
        </w:rPr>
        <w:t xml:space="preserve"> time period</w:t>
      </w:r>
      <w:r>
        <w:rPr>
          <w:rFonts w:cs="Segoe UI"/>
        </w:rPr>
        <w:t>.</w:t>
      </w:r>
    </w:p>
    <w:p w14:paraId="4D290ECE" w14:textId="77777777" w:rsidR="00590EF3" w:rsidRDefault="00590EF3" w:rsidP="00590EF3"/>
    <w:p w14:paraId="3B29DE56" w14:textId="77777777" w:rsidR="00EE67CB" w:rsidRDefault="00EE67CB" w:rsidP="00590EF3">
      <w:r w:rsidRPr="00444BAA">
        <w:t xml:space="preserve">Information </w:t>
      </w:r>
      <w:r>
        <w:t>that</w:t>
      </w:r>
      <w:r w:rsidRPr="00444BAA">
        <w:t xml:space="preserve"> must be sent to the Director-General within 60 days (unless a different period of time is specified in writing) includes</w:t>
      </w:r>
      <w:r>
        <w:t xml:space="preserve">, where </w:t>
      </w:r>
      <w:r w:rsidRPr="00444BAA">
        <w:t>providers have surrendered their licence</w:t>
      </w:r>
      <w:r>
        <w:t>,</w:t>
      </w:r>
      <w:r w:rsidRPr="00444BAA">
        <w:t xml:space="preserve"> any records or information they were required to collect/maintain </w:t>
      </w:r>
      <w:r>
        <w:t xml:space="preserve">that </w:t>
      </w:r>
      <w:r w:rsidRPr="00444BAA">
        <w:t xml:space="preserve">has not already been sent to the Director-General and/or </w:t>
      </w:r>
      <w:r>
        <w:t xml:space="preserve">the </w:t>
      </w:r>
      <w:r w:rsidRPr="00444BAA">
        <w:t>NDIB</w:t>
      </w:r>
      <w:r>
        <w:t>.</w:t>
      </w:r>
      <w:r w:rsidRPr="00590EF3">
        <w:rPr>
          <w:rStyle w:val="FootnoteReference"/>
        </w:rPr>
        <w:footnoteReference w:id="5"/>
      </w:r>
    </w:p>
    <w:p w14:paraId="5043597D" w14:textId="77777777" w:rsidR="00590EF3" w:rsidRDefault="00590EF3" w:rsidP="00590EF3"/>
    <w:p w14:paraId="42CCFEDB" w14:textId="77777777" w:rsidR="00EE67CB" w:rsidRDefault="00EE67CB" w:rsidP="00590EF3">
      <w:pPr>
        <w:pStyle w:val="Italics"/>
      </w:pPr>
      <w:r w:rsidRPr="007D144B">
        <w:t xml:space="preserve">Describe how </w:t>
      </w:r>
      <w:r>
        <w:t xml:space="preserve">your </w:t>
      </w:r>
      <w:r w:rsidRPr="007D144B">
        <w:t xml:space="preserve">record keeping processes will comply with the </w:t>
      </w:r>
      <w:r>
        <w:t xml:space="preserve">rules set out in the </w:t>
      </w:r>
      <w:proofErr w:type="spellStart"/>
      <w:r>
        <w:t>MoDA</w:t>
      </w:r>
      <w:proofErr w:type="spellEnd"/>
      <w:r w:rsidRPr="007D144B">
        <w:t>.</w:t>
      </w:r>
    </w:p>
    <w:p w14:paraId="4D59E75B" w14:textId="77777777" w:rsidR="00590EF3" w:rsidRPr="007D144B" w:rsidRDefault="00590EF3" w:rsidP="00590EF3"/>
    <w:p w14:paraId="0D0D790F" w14:textId="77777777" w:rsidR="00A25A47" w:rsidRDefault="00EE67CB" w:rsidP="009B3E0F">
      <w:pPr>
        <w:pStyle w:val="Heading2"/>
        <w:rPr>
          <w:rFonts w:eastAsiaTheme="majorEastAsia"/>
        </w:rPr>
      </w:pPr>
      <w:bookmarkStart w:id="76" w:name="_Toc98861478"/>
      <w:bookmarkStart w:id="77" w:name="_Toc99377724"/>
      <w:r w:rsidRPr="009502A5">
        <w:rPr>
          <w:rFonts w:eastAsiaTheme="majorEastAsia"/>
        </w:rPr>
        <w:t>Reporting</w:t>
      </w:r>
      <w:bookmarkEnd w:id="76"/>
      <w:bookmarkEnd w:id="77"/>
    </w:p>
    <w:p w14:paraId="58E9F69C" w14:textId="77777777" w:rsidR="00EE67CB" w:rsidRPr="00444BAA" w:rsidRDefault="00EE67CB" w:rsidP="00590EF3">
      <w:r>
        <w:t>Drug Information and Alerts Aotearoa New Zealand collects and analyses d</w:t>
      </w:r>
      <w:r w:rsidRPr="00444BAA">
        <w:t>ata on illicit drugs, including data from drug checking</w:t>
      </w:r>
      <w:r>
        <w:t xml:space="preserve"> service providers.</w:t>
      </w:r>
    </w:p>
    <w:p w14:paraId="22A6A76C" w14:textId="77777777" w:rsidR="00590EF3" w:rsidRDefault="00590EF3" w:rsidP="00590EF3"/>
    <w:p w14:paraId="6E71B186" w14:textId="77777777" w:rsidR="00EE67CB" w:rsidRDefault="00EE67CB" w:rsidP="00590EF3">
      <w:r>
        <w:t xml:space="preserve">Section 35DDI of </w:t>
      </w:r>
      <w:proofErr w:type="spellStart"/>
      <w:r>
        <w:t>MoDA</w:t>
      </w:r>
      <w:proofErr w:type="spellEnd"/>
      <w:r>
        <w:t xml:space="preserve"> requires a</w:t>
      </w:r>
      <w:r w:rsidRPr="00837A0D">
        <w:t xml:space="preserve">ll </w:t>
      </w:r>
      <w:r>
        <w:t xml:space="preserve">drug checking service providers to </w:t>
      </w:r>
      <w:r w:rsidRPr="00837A0D">
        <w:t xml:space="preserve">report data </w:t>
      </w:r>
      <w:r>
        <w:t xml:space="preserve">to the Director General and NDIB/DIANZ </w:t>
      </w:r>
      <w:r w:rsidRPr="00837A0D">
        <w:t>on</w:t>
      </w:r>
      <w:r>
        <w:t>:</w:t>
      </w:r>
    </w:p>
    <w:p w14:paraId="1AB452F9" w14:textId="77777777" w:rsidR="00A25A47" w:rsidRDefault="00EE67CB" w:rsidP="00590EF3">
      <w:pPr>
        <w:pStyle w:val="Bullet"/>
      </w:pPr>
      <w:r w:rsidRPr="00550A1E">
        <w:t>test results and</w:t>
      </w:r>
    </w:p>
    <w:p w14:paraId="12DFE683" w14:textId="77777777" w:rsidR="00EE67CB" w:rsidRDefault="00EE67CB" w:rsidP="00590EF3">
      <w:pPr>
        <w:pStyle w:val="Bullet"/>
      </w:pPr>
      <w:r w:rsidRPr="00550A1E">
        <w:t>the number of people provided with results to the Director-General and to DIANZ</w:t>
      </w:r>
    </w:p>
    <w:p w14:paraId="329AF114" w14:textId="77777777" w:rsidR="00590EF3" w:rsidRDefault="00590EF3" w:rsidP="00590EF3"/>
    <w:p w14:paraId="7D1F5CA9" w14:textId="77777777" w:rsidR="00A25A47" w:rsidRDefault="00EE67CB" w:rsidP="00590EF3">
      <w:r>
        <w:t xml:space="preserve">Section 35DDH of </w:t>
      </w:r>
      <w:proofErr w:type="spellStart"/>
      <w:r>
        <w:t>MoDA</w:t>
      </w:r>
      <w:proofErr w:type="spellEnd"/>
      <w:r>
        <w:t xml:space="preserve"> requires a</w:t>
      </w:r>
      <w:r w:rsidRPr="00837A0D">
        <w:t xml:space="preserve">ll </w:t>
      </w:r>
      <w:r>
        <w:t xml:space="preserve">drug checking service providers to </w:t>
      </w:r>
      <w:r w:rsidRPr="00837A0D">
        <w:t xml:space="preserve">report data </w:t>
      </w:r>
      <w:r>
        <w:t>to the Director General and the police on:</w:t>
      </w:r>
    </w:p>
    <w:p w14:paraId="3732BBC7" w14:textId="77777777" w:rsidR="00A25A47" w:rsidRDefault="00EE67CB" w:rsidP="00590EF3">
      <w:pPr>
        <w:pStyle w:val="Bullet"/>
      </w:pPr>
      <w:r>
        <w:t>loss or removal of a drug or substance</w:t>
      </w:r>
      <w:r w:rsidRPr="00550A1E">
        <w:t>.</w:t>
      </w:r>
    </w:p>
    <w:p w14:paraId="305A88DA" w14:textId="77777777" w:rsidR="00590EF3" w:rsidRDefault="00590EF3" w:rsidP="00590EF3"/>
    <w:p w14:paraId="1C40D895" w14:textId="77777777" w:rsidR="00A25A47" w:rsidRDefault="00EE67CB" w:rsidP="00590EF3">
      <w:r>
        <w:t xml:space="preserve">Providers must </w:t>
      </w:r>
      <w:r w:rsidRPr="003B6099">
        <w:t xml:space="preserve">collect </w:t>
      </w:r>
      <w:r>
        <w:t xml:space="preserve">data </w:t>
      </w:r>
      <w:r w:rsidRPr="003B6099">
        <w:t xml:space="preserve">for recording and reporting as required by the legislation, </w:t>
      </w:r>
      <w:r>
        <w:t xml:space="preserve">their specific </w:t>
      </w:r>
      <w:r w:rsidRPr="003B6099">
        <w:t xml:space="preserve">licensing </w:t>
      </w:r>
      <w:r>
        <w:t>conditions.</w:t>
      </w:r>
    </w:p>
    <w:p w14:paraId="7EC1873E" w14:textId="77777777" w:rsidR="00590EF3" w:rsidRDefault="00590EF3" w:rsidP="00590EF3"/>
    <w:p w14:paraId="616E61CA" w14:textId="77777777" w:rsidR="00A25A47" w:rsidRDefault="00EE67CB" w:rsidP="00590EF3">
      <w:pPr>
        <w:pStyle w:val="Italics"/>
      </w:pPr>
      <w:bookmarkStart w:id="78" w:name="_Toc93407844"/>
      <w:bookmarkEnd w:id="72"/>
      <w:r w:rsidRPr="007D144B">
        <w:t>Outline legislative reporting requirements</w:t>
      </w:r>
      <w:r>
        <w:t>.</w:t>
      </w:r>
    </w:p>
    <w:p w14:paraId="62AA5D6B" w14:textId="77777777" w:rsidR="00590EF3" w:rsidRDefault="00590EF3" w:rsidP="00590EF3"/>
    <w:p w14:paraId="3CCEC64F" w14:textId="77777777" w:rsidR="00EE67CB" w:rsidRPr="00781B27" w:rsidRDefault="00EE67CB" w:rsidP="009B3E0F">
      <w:pPr>
        <w:pStyle w:val="Heading1"/>
        <w:rPr>
          <w:rFonts w:eastAsia="Arial"/>
        </w:rPr>
      </w:pPr>
      <w:bookmarkStart w:id="79" w:name="_Toc93407837"/>
      <w:bookmarkStart w:id="80" w:name="_Toc98861479"/>
      <w:bookmarkStart w:id="81" w:name="_Toc99377725"/>
      <w:r w:rsidRPr="00781B27">
        <w:rPr>
          <w:rFonts w:eastAsia="Arial"/>
        </w:rPr>
        <w:lastRenderedPageBreak/>
        <w:t>Licensing decision</w:t>
      </w:r>
      <w:bookmarkEnd w:id="79"/>
      <w:bookmarkEnd w:id="80"/>
      <w:bookmarkEnd w:id="81"/>
    </w:p>
    <w:p w14:paraId="639AA8E0" w14:textId="77777777" w:rsidR="00EE67CB" w:rsidRDefault="00EE67CB" w:rsidP="00590EF3">
      <w:bookmarkStart w:id="82" w:name="_Toc93407839"/>
      <w:r>
        <w:t xml:space="preserve">The Director-General will </w:t>
      </w:r>
      <w:r w:rsidRPr="00BC6B2C">
        <w:t>assess application</w:t>
      </w:r>
      <w:r>
        <w:t>s for licences</w:t>
      </w:r>
      <w:r w:rsidRPr="00BC6B2C">
        <w:t xml:space="preserve">, </w:t>
      </w:r>
      <w:r>
        <w:t xml:space="preserve">then make a decision </w:t>
      </w:r>
      <w:r w:rsidRPr="00BC6B2C">
        <w:t>either approv</w:t>
      </w:r>
      <w:r>
        <w:t>ing</w:t>
      </w:r>
      <w:r w:rsidRPr="00BC6B2C">
        <w:t xml:space="preserve"> or declin</w:t>
      </w:r>
      <w:r>
        <w:t>ing</w:t>
      </w:r>
      <w:r w:rsidRPr="00BC6B2C">
        <w:t xml:space="preserve"> </w:t>
      </w:r>
      <w:r>
        <w:t>a licence.</w:t>
      </w:r>
    </w:p>
    <w:p w14:paraId="3F4D93F5" w14:textId="77777777" w:rsidR="00590EF3" w:rsidRPr="00BC6B2C" w:rsidRDefault="00590EF3" w:rsidP="00590EF3"/>
    <w:p w14:paraId="1E31FE24" w14:textId="77777777" w:rsidR="00EE67CB" w:rsidRPr="00BC6B2C" w:rsidRDefault="00EE67CB" w:rsidP="009B3E0F">
      <w:pPr>
        <w:pStyle w:val="Heading2"/>
        <w:rPr>
          <w:caps/>
        </w:rPr>
      </w:pPr>
      <w:bookmarkStart w:id="83" w:name="_Toc98861480"/>
      <w:bookmarkStart w:id="84" w:name="_Toc99377726"/>
      <w:r w:rsidRPr="00222CDD">
        <w:t>Decision to approve</w:t>
      </w:r>
      <w:bookmarkEnd w:id="83"/>
      <w:bookmarkEnd w:id="84"/>
    </w:p>
    <w:p w14:paraId="7EEF6046" w14:textId="77777777" w:rsidR="00EE67CB" w:rsidRDefault="00EE67CB" w:rsidP="00590EF3">
      <w:r w:rsidRPr="00BC6B2C">
        <w:t xml:space="preserve">After </w:t>
      </w:r>
      <w:r>
        <w:t>a decision to approve a licence</w:t>
      </w:r>
      <w:r w:rsidRPr="00BC6B2C">
        <w:t xml:space="preserve">, the </w:t>
      </w:r>
      <w:r>
        <w:t xml:space="preserve">Director-General will inform the </w:t>
      </w:r>
      <w:r w:rsidRPr="00BC6B2C">
        <w:t xml:space="preserve">provider and </w:t>
      </w:r>
      <w:r>
        <w:t xml:space="preserve">publish </w:t>
      </w:r>
      <w:r w:rsidRPr="00BC6B2C">
        <w:t xml:space="preserve">a </w:t>
      </w:r>
      <w:r>
        <w:t xml:space="preserve">notice in the </w:t>
      </w:r>
      <w:r w:rsidRPr="00BC6B2C">
        <w:rPr>
          <w:i/>
          <w:iCs/>
        </w:rPr>
        <w:t>Gazette</w:t>
      </w:r>
      <w:r w:rsidRPr="00BC6B2C">
        <w:t>. The notice include</w:t>
      </w:r>
      <w:r>
        <w:t>s</w:t>
      </w:r>
      <w:r w:rsidRPr="00BC6B2C">
        <w:t xml:space="preserve"> conditions of licence.</w:t>
      </w:r>
    </w:p>
    <w:p w14:paraId="404D5C49" w14:textId="77777777" w:rsidR="00590EF3" w:rsidRPr="00BC6B2C" w:rsidRDefault="00590EF3" w:rsidP="00590EF3"/>
    <w:p w14:paraId="72DA23EC" w14:textId="77777777" w:rsidR="00EE67CB" w:rsidRDefault="00EE67CB" w:rsidP="00590EF3">
      <w:r w:rsidRPr="00BC6B2C">
        <w:t xml:space="preserve">The Director-General may impose, </w:t>
      </w:r>
      <w:proofErr w:type="gramStart"/>
      <w:r w:rsidRPr="00BC6B2C">
        <w:t>amend</w:t>
      </w:r>
      <w:proofErr w:type="gramEnd"/>
      <w:r>
        <w:t xml:space="preserve"> or </w:t>
      </w:r>
      <w:r w:rsidRPr="00BC6B2C">
        <w:t xml:space="preserve">revoke </w:t>
      </w:r>
      <w:r>
        <w:t xml:space="preserve">licence </w:t>
      </w:r>
      <w:r w:rsidRPr="00BC6B2C">
        <w:t>conditions by written notice to a service provider at any time.</w:t>
      </w:r>
    </w:p>
    <w:p w14:paraId="35A118E9" w14:textId="77777777" w:rsidR="00590EF3" w:rsidRPr="00BC6B2C" w:rsidRDefault="00590EF3" w:rsidP="00590EF3"/>
    <w:bookmarkEnd w:id="82"/>
    <w:p w14:paraId="00456602" w14:textId="77777777" w:rsidR="00EE67CB" w:rsidRDefault="00EE67CB" w:rsidP="00590EF3">
      <w:r w:rsidRPr="00BC6B2C">
        <w:t xml:space="preserve">A licence issued to a </w:t>
      </w:r>
      <w:r>
        <w:t xml:space="preserve">particular </w:t>
      </w:r>
      <w:r w:rsidRPr="00BC6B2C">
        <w:t>service provider is not transferable.</w:t>
      </w:r>
    </w:p>
    <w:p w14:paraId="01671985" w14:textId="77777777" w:rsidR="00590EF3" w:rsidRPr="00BC6B2C" w:rsidRDefault="00590EF3" w:rsidP="00590EF3"/>
    <w:p w14:paraId="6B4ABF09" w14:textId="77777777" w:rsidR="00EE67CB" w:rsidRDefault="00EE67CB" w:rsidP="00590EF3">
      <w:r w:rsidRPr="00BC6B2C">
        <w:t>A licence remains in force until the close of the third anniversary of the date on which it was issued. The Director-General may specify a shorter period for the licence.</w:t>
      </w:r>
    </w:p>
    <w:p w14:paraId="2D8F9B91" w14:textId="77777777" w:rsidR="00590EF3" w:rsidRPr="00BC6B2C" w:rsidRDefault="00590EF3" w:rsidP="00590EF3"/>
    <w:p w14:paraId="794FDA12" w14:textId="77777777" w:rsidR="00EE67CB" w:rsidRPr="009502A5" w:rsidRDefault="00EE67CB" w:rsidP="009B3E0F">
      <w:pPr>
        <w:pStyle w:val="Heading2"/>
      </w:pPr>
      <w:bookmarkStart w:id="85" w:name="_Toc93407843"/>
      <w:bookmarkStart w:id="86" w:name="_Toc98861481"/>
      <w:bookmarkStart w:id="87" w:name="_Toc99377727"/>
      <w:r w:rsidRPr="009502A5">
        <w:t>Decision to decline</w:t>
      </w:r>
      <w:bookmarkEnd w:id="85"/>
      <w:bookmarkEnd w:id="86"/>
      <w:bookmarkEnd w:id="87"/>
    </w:p>
    <w:p w14:paraId="076DE0EC" w14:textId="77777777" w:rsidR="00EE67CB" w:rsidRDefault="00EE67CB" w:rsidP="00590EF3">
      <w:r w:rsidRPr="00BC6B2C">
        <w:t>If the Director-General is not satisfied of the applicant</w:t>
      </w:r>
      <w:r w:rsidR="00A25A47">
        <w:t>’</w:t>
      </w:r>
      <w:r w:rsidRPr="00BC6B2C">
        <w:t>s suitability, they must decline the application and notify the applicant of the decision and the reasons for the decision.</w:t>
      </w:r>
    </w:p>
    <w:p w14:paraId="1D5A854B" w14:textId="77777777" w:rsidR="00590EF3" w:rsidRDefault="00590EF3" w:rsidP="00590EF3"/>
    <w:p w14:paraId="34B853A1" w14:textId="77777777" w:rsidR="00A25A47" w:rsidRDefault="00EE67CB" w:rsidP="00590EF3">
      <w:r w:rsidRPr="00BC6B2C">
        <w:t xml:space="preserve">Where </w:t>
      </w:r>
      <w:r>
        <w:t xml:space="preserve">the Director-General declines </w:t>
      </w:r>
      <w:r w:rsidRPr="00BC6B2C">
        <w:t xml:space="preserve">a licence or renewal </w:t>
      </w:r>
      <w:r>
        <w:t xml:space="preserve">of a </w:t>
      </w:r>
      <w:r w:rsidRPr="00BC6B2C">
        <w:t>licence, the applicant or licence holder has the right to a review (</w:t>
      </w:r>
      <w:proofErr w:type="spellStart"/>
      <w:r w:rsidRPr="00BC6B2C">
        <w:t>ie</w:t>
      </w:r>
      <w:proofErr w:type="spellEnd"/>
      <w:r w:rsidRPr="00BC6B2C">
        <w:t>, an appeal) of the decision. A review is undertaken through the appeals process</w:t>
      </w:r>
      <w:r>
        <w:t xml:space="preserve"> (see </w:t>
      </w:r>
      <w:r w:rsidR="00A25A47">
        <w:t>‘</w:t>
      </w:r>
      <w:r>
        <w:t>Appeals</w:t>
      </w:r>
      <w:r w:rsidR="00A25A47">
        <w:t>’</w:t>
      </w:r>
      <w:r>
        <w:t xml:space="preserve"> below).</w:t>
      </w:r>
    </w:p>
    <w:p w14:paraId="1E6D28F9" w14:textId="77777777" w:rsidR="00590EF3" w:rsidRDefault="00590EF3" w:rsidP="00590EF3"/>
    <w:p w14:paraId="5CC997FF" w14:textId="77777777" w:rsidR="00EE67CB" w:rsidRPr="009502A5" w:rsidRDefault="00EE67CB" w:rsidP="009B3E0F">
      <w:pPr>
        <w:pStyle w:val="Heading2"/>
      </w:pPr>
      <w:bookmarkStart w:id="88" w:name="_Toc98861482"/>
      <w:bookmarkStart w:id="89" w:name="_Toc99377728"/>
      <w:r w:rsidRPr="009502A5">
        <w:lastRenderedPageBreak/>
        <w:t>Licence renewal</w:t>
      </w:r>
      <w:bookmarkEnd w:id="88"/>
      <w:bookmarkEnd w:id="89"/>
    </w:p>
    <w:p w14:paraId="3CD8ECAD" w14:textId="77777777" w:rsidR="00EE67CB" w:rsidRDefault="00EE67CB" w:rsidP="00832959">
      <w:pPr>
        <w:keepNext/>
      </w:pPr>
      <w:proofErr w:type="spellStart"/>
      <w:r>
        <w:t>MoDA</w:t>
      </w:r>
      <w:proofErr w:type="spellEnd"/>
      <w:r>
        <w:t xml:space="preserve"> regulations state if an application to renew a licence </w:t>
      </w:r>
      <w:r w:rsidRPr="00AF7956">
        <w:t>is made no earlier than 90 days</w:t>
      </w:r>
      <w:r>
        <w:t xml:space="preserve"> before</w:t>
      </w:r>
      <w:r w:rsidRPr="00AF7956">
        <w:t xml:space="preserve"> and no later than 30 </w:t>
      </w:r>
      <w:r>
        <w:t xml:space="preserve">before </w:t>
      </w:r>
      <w:r w:rsidRPr="00AF7956">
        <w:t>the expiry of a licence, the licence will continue in force until a decision is made on the licence renewal.</w:t>
      </w:r>
    </w:p>
    <w:p w14:paraId="68FC76EC" w14:textId="77777777" w:rsidR="00590EF3" w:rsidRDefault="00590EF3" w:rsidP="00832959">
      <w:pPr>
        <w:keepNext/>
      </w:pPr>
    </w:p>
    <w:p w14:paraId="386B1FEA" w14:textId="77777777" w:rsidR="00EE67CB" w:rsidRDefault="00EE67CB" w:rsidP="00832959">
      <w:pPr>
        <w:keepNext/>
      </w:pPr>
      <w:r>
        <w:t>The Director-General will base the decision to r</w:t>
      </w:r>
      <w:r w:rsidRPr="00AF7956">
        <w:t>enew a licence on assessment of any matters that have changed since the original licence was granted</w:t>
      </w:r>
      <w:r>
        <w:t>;</w:t>
      </w:r>
      <w:r w:rsidRPr="00AF7956">
        <w:t xml:space="preserve"> the licence holder</w:t>
      </w:r>
      <w:r w:rsidR="00A25A47">
        <w:t>’</w:t>
      </w:r>
      <w:r w:rsidRPr="00AF7956">
        <w:t>s record of compliance</w:t>
      </w:r>
      <w:r>
        <w:t>;</w:t>
      </w:r>
      <w:r w:rsidRPr="00AF7956">
        <w:t xml:space="preserve"> and any other relevant information</w:t>
      </w:r>
      <w:r>
        <w:t>, including maintenance and monitoring activities</w:t>
      </w:r>
      <w:r w:rsidRPr="00AF7956">
        <w:t>.</w:t>
      </w:r>
    </w:p>
    <w:p w14:paraId="00B4283B" w14:textId="77777777" w:rsidR="00590EF3" w:rsidRPr="00AF7956" w:rsidRDefault="00590EF3" w:rsidP="00832959">
      <w:pPr>
        <w:keepNext/>
      </w:pPr>
    </w:p>
    <w:p w14:paraId="1A781935" w14:textId="77777777" w:rsidR="00EE67CB" w:rsidRDefault="00EE67CB" w:rsidP="00590EF3">
      <w:pPr>
        <w:rPr>
          <w:rFonts w:eastAsia="MS Gothic"/>
        </w:rPr>
      </w:pPr>
      <w:r>
        <w:t>Service providers may apply for a renewal of licence by filling out a</w:t>
      </w:r>
      <w:r w:rsidRPr="00AF7956">
        <w:t xml:space="preserve"> </w:t>
      </w:r>
      <w:r w:rsidR="00A25A47">
        <w:t>‘</w:t>
      </w:r>
      <w:r w:rsidRPr="00AF7956">
        <w:t xml:space="preserve">Renewal of </w:t>
      </w:r>
      <w:r>
        <w:t>l</w:t>
      </w:r>
      <w:r w:rsidRPr="00AF7956">
        <w:t>icence</w:t>
      </w:r>
      <w:r w:rsidR="00A25A47">
        <w:t>’</w:t>
      </w:r>
      <w:r w:rsidRPr="00AF7956">
        <w:t xml:space="preserve"> application form </w:t>
      </w:r>
      <w:r>
        <w:t xml:space="preserve">(available at </w:t>
      </w:r>
      <w:hyperlink r:id="rId26" w:history="1">
        <w:r w:rsidRPr="000F7495">
          <w:rPr>
            <w:rStyle w:val="Hyperlink"/>
            <w:rFonts w:eastAsia="MS Gothic"/>
          </w:rPr>
          <w:t>https://www.health.govt.nz/our-work/regulation-health-and-disability-system/drug-checking</w:t>
        </w:r>
      </w:hyperlink>
      <w:r>
        <w:t xml:space="preserve">. They should email this form, with </w:t>
      </w:r>
      <w:r w:rsidRPr="00AF7956">
        <w:t>supporting documents</w:t>
      </w:r>
      <w:r>
        <w:t>,</w:t>
      </w:r>
      <w:r w:rsidRPr="00AF7956">
        <w:t xml:space="preserve"> to: </w:t>
      </w:r>
      <w:hyperlink r:id="rId27" w:history="1">
        <w:r w:rsidRPr="00AF7956">
          <w:rPr>
            <w:rStyle w:val="Hyperlink"/>
            <w:rFonts w:eastAsia="MS Gothic"/>
          </w:rPr>
          <w:t>drugcheckingadmin@health.govt.nz</w:t>
        </w:r>
      </w:hyperlink>
      <w:r w:rsidR="00590EF3" w:rsidRPr="00590EF3">
        <w:rPr>
          <w:rFonts w:eastAsia="MS Gothic"/>
        </w:rPr>
        <w:t>.</w:t>
      </w:r>
    </w:p>
    <w:p w14:paraId="0C6BBB75" w14:textId="77777777" w:rsidR="00590EF3" w:rsidRPr="00590EF3" w:rsidRDefault="00590EF3" w:rsidP="00590EF3"/>
    <w:p w14:paraId="1C033523" w14:textId="77777777" w:rsidR="00A25A47" w:rsidRDefault="00EE67CB" w:rsidP="009B3E0F">
      <w:pPr>
        <w:pStyle w:val="Heading1"/>
        <w:rPr>
          <w:rFonts w:eastAsia="Arial"/>
        </w:rPr>
      </w:pPr>
      <w:bookmarkStart w:id="90" w:name="_Toc93407775"/>
      <w:bookmarkStart w:id="91" w:name="_Toc98861483"/>
      <w:bookmarkStart w:id="92" w:name="_Toc93407849"/>
      <w:bookmarkStart w:id="93" w:name="_Toc99377729"/>
      <w:bookmarkEnd w:id="78"/>
      <w:r w:rsidRPr="009502A5">
        <w:rPr>
          <w:rFonts w:eastAsia="Arial"/>
        </w:rPr>
        <w:lastRenderedPageBreak/>
        <w:t>Appeals</w:t>
      </w:r>
      <w:bookmarkEnd w:id="90"/>
      <w:bookmarkEnd w:id="91"/>
      <w:bookmarkEnd w:id="93"/>
    </w:p>
    <w:p w14:paraId="421A2F55" w14:textId="77777777" w:rsidR="00A25A47" w:rsidRDefault="00EE67CB" w:rsidP="00590EF3">
      <w:r w:rsidRPr="00BC6B2C">
        <w:t xml:space="preserve">Providers may lodge an appeal on </w:t>
      </w:r>
      <w:r>
        <w:t xml:space="preserve">a </w:t>
      </w:r>
      <w:r w:rsidRPr="00BC6B2C">
        <w:t xml:space="preserve">licensing decision </w:t>
      </w:r>
      <w:r>
        <w:t>(</w:t>
      </w:r>
      <w:bookmarkStart w:id="94" w:name="_Hlk98234549"/>
      <w:r w:rsidRPr="00BC6B2C">
        <w:t>where a licence or renewal application is declined, suspended or cancelled or a condition is imposed, amended or revoked</w:t>
      </w:r>
      <w:bookmarkEnd w:id="94"/>
      <w:r>
        <w:t>)</w:t>
      </w:r>
      <w:r w:rsidRPr="00BC6B2C" w:rsidDel="005B12E6">
        <w:t xml:space="preserve"> </w:t>
      </w:r>
      <w:r>
        <w:t xml:space="preserve">by completing </w:t>
      </w:r>
      <w:r w:rsidRPr="00BC6B2C">
        <w:t xml:space="preserve">the </w:t>
      </w:r>
      <w:r w:rsidR="00A25A47">
        <w:t>‘</w:t>
      </w:r>
      <w:r w:rsidRPr="00BC6B2C">
        <w:t xml:space="preserve">Review of </w:t>
      </w:r>
      <w:r>
        <w:t>d</w:t>
      </w:r>
      <w:r w:rsidRPr="00BC6B2C">
        <w:t xml:space="preserve">ecisions </w:t>
      </w:r>
      <w:r>
        <w:t>–</w:t>
      </w:r>
      <w:r w:rsidRPr="00BC6B2C">
        <w:t xml:space="preserve"> </w:t>
      </w:r>
      <w:r>
        <w:t>a</w:t>
      </w:r>
      <w:r w:rsidRPr="00BC6B2C">
        <w:t>ppeals</w:t>
      </w:r>
      <w:r w:rsidR="00A25A47">
        <w:t>’</w:t>
      </w:r>
      <w:r w:rsidRPr="00BC6B2C">
        <w:t xml:space="preserve"> form </w:t>
      </w:r>
      <w:r>
        <w:t xml:space="preserve">(available at </w:t>
      </w:r>
      <w:hyperlink r:id="rId28" w:history="1">
        <w:r w:rsidRPr="000F7495">
          <w:rPr>
            <w:rStyle w:val="Hyperlink"/>
            <w:rFonts w:eastAsia="MS Gothic"/>
          </w:rPr>
          <w:t>https://www.health.govt.nz/our-work/regulation-health-and-disability-system/drug-checking</w:t>
        </w:r>
      </w:hyperlink>
      <w:r>
        <w:t>) within 14 days of receiving the decision</w:t>
      </w:r>
      <w:r w:rsidRPr="00BC6B2C">
        <w:t>.</w:t>
      </w:r>
    </w:p>
    <w:p w14:paraId="0196A723" w14:textId="77777777" w:rsidR="00590EF3" w:rsidRDefault="00590EF3" w:rsidP="00590EF3"/>
    <w:p w14:paraId="0B969E05" w14:textId="77777777" w:rsidR="00EE67CB" w:rsidRDefault="00EE67CB" w:rsidP="00590EF3">
      <w:bookmarkStart w:id="95" w:name="_Toc93407776"/>
      <w:r>
        <w:t xml:space="preserve">Providers can submit the completed form by emailing it to </w:t>
      </w:r>
      <w:hyperlink r:id="rId29" w:history="1">
        <w:r w:rsidRPr="00590EF3">
          <w:rPr>
            <w:rStyle w:val="Hyperlink"/>
          </w:rPr>
          <w:t>drugcheckingadmin@health.govt.nz</w:t>
        </w:r>
      </w:hyperlink>
      <w:r w:rsidR="00590EF3" w:rsidRPr="00590EF3">
        <w:t>.</w:t>
      </w:r>
    </w:p>
    <w:p w14:paraId="2C38D10E" w14:textId="77777777" w:rsidR="00590EF3" w:rsidRPr="00BC6B2C" w:rsidRDefault="00590EF3" w:rsidP="00590EF3"/>
    <w:p w14:paraId="1AB8BDA6" w14:textId="77777777" w:rsidR="00A25A47" w:rsidRDefault="00EE67CB" w:rsidP="00590EF3">
      <w:r w:rsidRPr="00BC6B2C">
        <w:t xml:space="preserve">The </w:t>
      </w:r>
      <w:r>
        <w:t xml:space="preserve">Director-General will appoint a </w:t>
      </w:r>
      <w:r w:rsidRPr="00BC6B2C">
        <w:t xml:space="preserve">Ministry </w:t>
      </w:r>
      <w:r>
        <w:t>official</w:t>
      </w:r>
      <w:r w:rsidRPr="00BC6B2C">
        <w:t xml:space="preserve"> who was not involved in the original licensing decision</w:t>
      </w:r>
      <w:r>
        <w:t xml:space="preserve"> to conduct the appeal review</w:t>
      </w:r>
      <w:r w:rsidRPr="00BC6B2C">
        <w:t xml:space="preserve">. The reviewer will make a recommendation to the Director-General, who must </w:t>
      </w:r>
      <w:r>
        <w:t xml:space="preserve">then </w:t>
      </w:r>
      <w:r w:rsidRPr="00BC6B2C">
        <w:t>confirm their original decision or make a new decision.</w:t>
      </w:r>
    </w:p>
    <w:p w14:paraId="3C5043F0" w14:textId="77777777" w:rsidR="00590EF3" w:rsidRDefault="00590EF3" w:rsidP="00590EF3"/>
    <w:p w14:paraId="6E4B19FA" w14:textId="77777777" w:rsidR="00EE67CB" w:rsidRDefault="00EE67CB" w:rsidP="00590EF3">
      <w:r w:rsidRPr="00BC6B2C">
        <w:t xml:space="preserve">While an appeal from an existing licence holder is under consideration, the licence holder may not carry out any drug checking functions without the </w:t>
      </w:r>
      <w:r>
        <w:t xml:space="preserve">express </w:t>
      </w:r>
      <w:r w:rsidRPr="00BC6B2C">
        <w:t>permission of the Director-General.</w:t>
      </w:r>
    </w:p>
    <w:p w14:paraId="52306E6D" w14:textId="77777777" w:rsidR="00590EF3" w:rsidRPr="00BC6B2C" w:rsidRDefault="00590EF3" w:rsidP="00590EF3"/>
    <w:p w14:paraId="270926F0" w14:textId="77777777" w:rsidR="00EE67CB" w:rsidRPr="00222CDD" w:rsidRDefault="00EE67CB" w:rsidP="009B3E0F">
      <w:pPr>
        <w:pStyle w:val="Heading1"/>
      </w:pPr>
      <w:bookmarkStart w:id="96" w:name="_Toc98861484"/>
      <w:bookmarkStart w:id="97" w:name="_Toc99377730"/>
      <w:bookmarkEnd w:id="92"/>
      <w:bookmarkEnd w:id="95"/>
      <w:r w:rsidRPr="00222CDD">
        <w:rPr>
          <w:rFonts w:eastAsia="Arial"/>
        </w:rPr>
        <w:lastRenderedPageBreak/>
        <w:t>Suspension, or cancellation</w:t>
      </w:r>
      <w:r w:rsidRPr="00222CDD">
        <w:t xml:space="preserve"> of licence</w:t>
      </w:r>
      <w:bookmarkEnd w:id="96"/>
      <w:bookmarkEnd w:id="97"/>
    </w:p>
    <w:p w14:paraId="252788C6" w14:textId="77777777" w:rsidR="00EE67CB" w:rsidRPr="00BC6B2C" w:rsidRDefault="00EE67CB" w:rsidP="00590EF3">
      <w:r w:rsidRPr="00BC6B2C">
        <w:t>The Director-General</w:t>
      </w:r>
      <w:r>
        <w:t xml:space="preserve"> </w:t>
      </w:r>
      <w:r w:rsidRPr="00BC6B2C">
        <w:t>may suspend</w:t>
      </w:r>
      <w:r>
        <w:t xml:space="preserve"> </w:t>
      </w:r>
      <w:r w:rsidRPr="00BC6B2C">
        <w:t xml:space="preserve">or cancel a licence if </w:t>
      </w:r>
      <w:r>
        <w:t xml:space="preserve">they believe </w:t>
      </w:r>
      <w:r w:rsidRPr="00BC6B2C">
        <w:t>that:</w:t>
      </w:r>
    </w:p>
    <w:p w14:paraId="78B6E79F" w14:textId="77777777" w:rsidR="00EE67CB" w:rsidRPr="00BC6B2C" w:rsidRDefault="00EE67CB" w:rsidP="00590EF3">
      <w:pPr>
        <w:pStyle w:val="Bullet"/>
      </w:pPr>
      <w:r w:rsidRPr="00BC6B2C">
        <w:t>the licence holder has breached the terms or conditions of their licence</w:t>
      </w:r>
    </w:p>
    <w:p w14:paraId="1BE0BAD8" w14:textId="77777777" w:rsidR="00EE67CB" w:rsidRPr="00BC6B2C" w:rsidRDefault="00EE67CB" w:rsidP="00590EF3">
      <w:pPr>
        <w:pStyle w:val="Bullet"/>
      </w:pPr>
      <w:r w:rsidRPr="00BC6B2C">
        <w:t>the licence holder provided false information in their licence application</w:t>
      </w:r>
    </w:p>
    <w:p w14:paraId="176CC285" w14:textId="77777777" w:rsidR="00EE67CB" w:rsidRDefault="00EE67CB" w:rsidP="00590EF3">
      <w:pPr>
        <w:pStyle w:val="Bullet"/>
      </w:pPr>
      <w:r w:rsidRPr="00BC6B2C">
        <w:t xml:space="preserve">a licence holder, </w:t>
      </w:r>
      <w:proofErr w:type="gramStart"/>
      <w:r w:rsidRPr="00BC6B2C">
        <w:t>partner</w:t>
      </w:r>
      <w:proofErr w:type="gramEnd"/>
      <w:r w:rsidRPr="00BC6B2C">
        <w:t xml:space="preserve"> or director</w:t>
      </w:r>
      <w:r>
        <w:t>,</w:t>
      </w:r>
      <w:r w:rsidRPr="00BC6B2C">
        <w:t xml:space="preserve"> </w:t>
      </w:r>
      <w:r>
        <w:t xml:space="preserve">after being licensed, </w:t>
      </w:r>
      <w:r w:rsidRPr="00BC6B2C">
        <w:t xml:space="preserve">has been convicted of an offence against the </w:t>
      </w:r>
      <w:proofErr w:type="spellStart"/>
      <w:r>
        <w:t>MoDA</w:t>
      </w:r>
      <w:proofErr w:type="spellEnd"/>
      <w:r>
        <w:t xml:space="preserve"> </w:t>
      </w:r>
      <w:r w:rsidRPr="00BC6B2C">
        <w:t xml:space="preserve">or any of its regulations, the Psychoactive Substances Act </w:t>
      </w:r>
      <w:r>
        <w:t xml:space="preserve">or </w:t>
      </w:r>
      <w:r w:rsidRPr="00BC6B2C">
        <w:t>the Medicines Act, or a crime involving dishonesty as defined in section 2(1) of the Crimes Act.</w:t>
      </w:r>
    </w:p>
    <w:p w14:paraId="426F17D2" w14:textId="77777777" w:rsidR="00590EF3" w:rsidRPr="00BC6B2C" w:rsidRDefault="00590EF3" w:rsidP="00590EF3"/>
    <w:p w14:paraId="3AF1B346" w14:textId="77777777" w:rsidR="00EE67CB" w:rsidRPr="00222CDD" w:rsidRDefault="00EE67CB" w:rsidP="009B3E0F">
      <w:pPr>
        <w:pStyle w:val="Heading1"/>
        <w:rPr>
          <w:rFonts w:eastAsia="Arial"/>
        </w:rPr>
      </w:pPr>
      <w:bookmarkStart w:id="98" w:name="_Toc98861485"/>
      <w:bookmarkStart w:id="99" w:name="_Toc99377731"/>
      <w:r w:rsidRPr="00222CDD">
        <w:rPr>
          <w:rFonts w:eastAsia="Arial"/>
        </w:rPr>
        <w:lastRenderedPageBreak/>
        <w:t>Surrender of licence by service provider</w:t>
      </w:r>
      <w:bookmarkEnd w:id="98"/>
      <w:bookmarkEnd w:id="99"/>
    </w:p>
    <w:p w14:paraId="6577520E" w14:textId="77777777" w:rsidR="00A25A47" w:rsidRDefault="00EE67CB" w:rsidP="00590EF3">
      <w:r>
        <w:t>Where a service provider</w:t>
      </w:r>
      <w:r w:rsidR="00A25A47">
        <w:t>’</w:t>
      </w:r>
      <w:r>
        <w:t xml:space="preserve">s </w:t>
      </w:r>
      <w:r w:rsidRPr="00BC6B2C">
        <w:t>licence is cancelled or the service provider no longer performs any of the functions of a service provider</w:t>
      </w:r>
      <w:r>
        <w:t>, the provider must surrender their licence by giving written notice to the Director-General</w:t>
      </w:r>
      <w:r w:rsidRPr="00BC6B2C">
        <w:t>.</w:t>
      </w:r>
      <w:r>
        <w:t xml:space="preserve"> A </w:t>
      </w:r>
      <w:r w:rsidRPr="005F7C7C">
        <w:rPr>
          <w:i/>
          <w:iCs/>
        </w:rPr>
        <w:t>Gazette</w:t>
      </w:r>
      <w:r>
        <w:t xml:space="preserve"> notice will then be published repealing the licence.</w:t>
      </w:r>
    </w:p>
    <w:p w14:paraId="2D93C3D2" w14:textId="77777777" w:rsidR="00590EF3" w:rsidRDefault="00590EF3" w:rsidP="00590EF3"/>
    <w:p w14:paraId="18CC15E0" w14:textId="77777777" w:rsidR="00A25A47" w:rsidRDefault="00EE67CB" w:rsidP="009B3E0F">
      <w:pPr>
        <w:pStyle w:val="Heading1"/>
        <w:rPr>
          <w:rFonts w:eastAsia="Arial"/>
        </w:rPr>
      </w:pPr>
      <w:bookmarkStart w:id="100" w:name="_Toc98861486"/>
      <w:bookmarkStart w:id="101" w:name="_Toc99377732"/>
      <w:r w:rsidRPr="00B41A7F">
        <w:rPr>
          <w:rFonts w:eastAsia="Arial"/>
        </w:rPr>
        <w:lastRenderedPageBreak/>
        <w:t>Complaints</w:t>
      </w:r>
      <w:bookmarkEnd w:id="100"/>
      <w:bookmarkEnd w:id="101"/>
    </w:p>
    <w:p w14:paraId="686FE9E5" w14:textId="77777777" w:rsidR="00EE67CB" w:rsidRPr="00BC6B2C" w:rsidRDefault="00EE67CB" w:rsidP="00590EF3">
      <w:r>
        <w:t>Where the Ministry receives c</w:t>
      </w:r>
      <w:r w:rsidRPr="00BC6B2C">
        <w:t xml:space="preserve">omplaints about </w:t>
      </w:r>
      <w:r>
        <w:t>a particular d</w:t>
      </w:r>
      <w:r w:rsidRPr="00BC6B2C">
        <w:t xml:space="preserve">rug </w:t>
      </w:r>
      <w:r>
        <w:t>c</w:t>
      </w:r>
      <w:r w:rsidRPr="00BC6B2C">
        <w:t xml:space="preserve">hecking </w:t>
      </w:r>
      <w:r>
        <w:t xml:space="preserve">service </w:t>
      </w:r>
      <w:r w:rsidRPr="00BC6B2C">
        <w:t>provider</w:t>
      </w:r>
      <w:r>
        <w:t xml:space="preserve">, it will </w:t>
      </w:r>
      <w:r w:rsidRPr="00BC6B2C">
        <w:t xml:space="preserve">include </w:t>
      </w:r>
      <w:r>
        <w:t xml:space="preserve">those complaints </w:t>
      </w:r>
      <w:r w:rsidRPr="00BC6B2C">
        <w:t xml:space="preserve">in </w:t>
      </w:r>
      <w:r>
        <w:t xml:space="preserve">its </w:t>
      </w:r>
      <w:r w:rsidRPr="00BC6B2C">
        <w:t>monitoring of the service</w:t>
      </w:r>
      <w:r w:rsidR="00A25A47">
        <w:t>’</w:t>
      </w:r>
      <w:r w:rsidRPr="00BC6B2C">
        <w:t>s performance</w:t>
      </w:r>
      <w:r>
        <w:t xml:space="preserve"> (see </w:t>
      </w:r>
      <w:r w:rsidR="00A25A47">
        <w:t>‘</w:t>
      </w:r>
      <w:r>
        <w:t>Maintenance and monitoring</w:t>
      </w:r>
      <w:r w:rsidR="00A25A47">
        <w:t>’</w:t>
      </w:r>
      <w:r>
        <w:t xml:space="preserve"> below)</w:t>
      </w:r>
      <w:r w:rsidRPr="00BC6B2C">
        <w:t xml:space="preserve">. As the licensing authority, the Ministry will receive, </w:t>
      </w:r>
      <w:proofErr w:type="gramStart"/>
      <w:r w:rsidRPr="00BC6B2C">
        <w:t>investigate</w:t>
      </w:r>
      <w:proofErr w:type="gramEnd"/>
      <w:r w:rsidRPr="00BC6B2C">
        <w:t xml:space="preserve"> and act on complaints as a core component of the Ministry</w:t>
      </w:r>
      <w:r w:rsidR="00A25A47">
        <w:t>’</w:t>
      </w:r>
      <w:r w:rsidRPr="00BC6B2C">
        <w:t>s regulatory role.</w:t>
      </w:r>
    </w:p>
    <w:p w14:paraId="286CE6E3" w14:textId="77777777" w:rsidR="00590EF3" w:rsidRDefault="00590EF3" w:rsidP="00590EF3"/>
    <w:p w14:paraId="74E24D21" w14:textId="77777777" w:rsidR="00EE67CB" w:rsidRPr="00590EF3" w:rsidRDefault="00EE67CB" w:rsidP="00590EF3">
      <w:r>
        <w:t>M</w:t>
      </w:r>
      <w:r w:rsidRPr="00BC6B2C">
        <w:t>embers of the public</w:t>
      </w:r>
      <w:r>
        <w:t xml:space="preserve"> and service users</w:t>
      </w:r>
      <w:r w:rsidRPr="00BC6B2C">
        <w:t xml:space="preserve"> </w:t>
      </w:r>
      <w:r>
        <w:t xml:space="preserve">must be able to </w:t>
      </w:r>
      <w:proofErr w:type="gramStart"/>
      <w:r>
        <w:t>easily and anonymously</w:t>
      </w:r>
      <w:r w:rsidRPr="00BC6B2C">
        <w:t xml:space="preserve"> make complaints </w:t>
      </w:r>
      <w:r>
        <w:t xml:space="preserve">and provide feedback </w:t>
      </w:r>
      <w:r w:rsidRPr="00BC6B2C">
        <w:t>about drug checking</w:t>
      </w:r>
      <w:r>
        <w:t xml:space="preserve"> service</w:t>
      </w:r>
      <w:r w:rsidRPr="00BC6B2C">
        <w:t xml:space="preserve"> providers</w:t>
      </w:r>
      <w:proofErr w:type="gramEnd"/>
      <w:r w:rsidRPr="00BC6B2C">
        <w:t xml:space="preserve">. </w:t>
      </w:r>
      <w:r>
        <w:t>To this end, a</w:t>
      </w:r>
      <w:r w:rsidRPr="00BC6B2C">
        <w:t xml:space="preserve"> complaint form is published on the </w:t>
      </w:r>
      <w:r>
        <w:t>Ministry</w:t>
      </w:r>
      <w:r w:rsidR="00A25A47">
        <w:t>’</w:t>
      </w:r>
      <w:r>
        <w:t>s d</w:t>
      </w:r>
      <w:r w:rsidRPr="00BC6B2C">
        <w:t xml:space="preserve">rug </w:t>
      </w:r>
      <w:r>
        <w:t>c</w:t>
      </w:r>
      <w:r w:rsidRPr="00BC6B2C">
        <w:t>hecking webpage</w:t>
      </w:r>
      <w:r>
        <w:t xml:space="preserve">: see </w:t>
      </w:r>
      <w:hyperlink r:id="rId30" w:history="1">
        <w:r w:rsidRPr="000F7495">
          <w:rPr>
            <w:rStyle w:val="Hyperlink"/>
            <w:rFonts w:eastAsia="MS Gothic" w:cs="Segoe UI"/>
          </w:rPr>
          <w:t>https://www.health.govt.nz/our-work/regulation-health-and-disability-system/drug-checking</w:t>
        </w:r>
      </w:hyperlink>
      <w:r w:rsidRPr="00BC6B2C">
        <w:t xml:space="preserve">. </w:t>
      </w:r>
      <w:r>
        <w:t>Alternatively, people can email c</w:t>
      </w:r>
      <w:r w:rsidRPr="00BC6B2C">
        <w:t xml:space="preserve">omplaints to </w:t>
      </w:r>
      <w:hyperlink r:id="rId31" w:history="1">
        <w:r w:rsidRPr="00590EF3">
          <w:rPr>
            <w:rStyle w:val="Hyperlink"/>
          </w:rPr>
          <w:t>drugcheckingadmin@health.govt.nz</w:t>
        </w:r>
      </w:hyperlink>
      <w:r w:rsidRPr="00590EF3">
        <w:t xml:space="preserve">, </w:t>
      </w:r>
      <w:r w:rsidRPr="00411DA1">
        <w:t xml:space="preserve">or </w:t>
      </w:r>
      <w:r>
        <w:t xml:space="preserve">make complaints </w:t>
      </w:r>
      <w:r w:rsidRPr="00411DA1">
        <w:t>anonymously via telephone to the Ministry on 0</w:t>
      </w:r>
      <w:hyperlink r:id="rId32" w:history="1">
        <w:r w:rsidRPr="00411DA1">
          <w:rPr>
            <w:rStyle w:val="Hyperlink"/>
            <w:rFonts w:eastAsia="MS Gothic" w:cs="Segoe UI"/>
            <w:color w:val="auto"/>
          </w:rPr>
          <w:t>800 855 066</w:t>
        </w:r>
      </w:hyperlink>
      <w:r w:rsidRPr="00411DA1">
        <w:t>.</w:t>
      </w:r>
    </w:p>
    <w:p w14:paraId="28B5F3CF" w14:textId="77777777" w:rsidR="00590EF3" w:rsidRDefault="00590EF3" w:rsidP="00590EF3"/>
    <w:p w14:paraId="675719BF" w14:textId="77777777" w:rsidR="00EE67CB" w:rsidRDefault="00EE67CB" w:rsidP="00590EF3">
      <w:r w:rsidRPr="00BC6B2C">
        <w:t xml:space="preserve">Service providers </w:t>
      </w:r>
      <w:r>
        <w:t xml:space="preserve">must </w:t>
      </w:r>
      <w:r w:rsidRPr="00BC6B2C">
        <w:t xml:space="preserve">cooperate fully with any inquiry </w:t>
      </w:r>
      <w:r>
        <w:t xml:space="preserve">relating to a </w:t>
      </w:r>
      <w:r w:rsidRPr="00BC6B2C">
        <w:t>complaint about their service.</w:t>
      </w:r>
    </w:p>
    <w:p w14:paraId="1383B484" w14:textId="77777777" w:rsidR="00590EF3" w:rsidRPr="00BC6B2C" w:rsidRDefault="00590EF3" w:rsidP="00590EF3"/>
    <w:p w14:paraId="3EB0F6A8" w14:textId="77777777" w:rsidR="00A25A47" w:rsidRDefault="00EE67CB" w:rsidP="009B3E0F">
      <w:pPr>
        <w:pStyle w:val="Heading2"/>
        <w:rPr>
          <w:rFonts w:eastAsia="Arial"/>
        </w:rPr>
      </w:pPr>
      <w:bookmarkStart w:id="102" w:name="_Toc99377733"/>
      <w:r w:rsidRPr="00B41A7F">
        <w:rPr>
          <w:rFonts w:eastAsia="Arial"/>
        </w:rPr>
        <w:t>Maintenance and monitoring</w:t>
      </w:r>
      <w:bookmarkEnd w:id="102"/>
    </w:p>
    <w:p w14:paraId="25F3688B" w14:textId="77777777" w:rsidR="00EE67CB" w:rsidRPr="00BC6B2C" w:rsidRDefault="00EE67CB" w:rsidP="00590EF3">
      <w:r w:rsidRPr="00BC6B2C">
        <w:t xml:space="preserve">The </w:t>
      </w:r>
      <w:r>
        <w:t>Ministry is responsible for the maintenance and monitoring of drug checking service providers</w:t>
      </w:r>
      <w:r w:rsidR="00A25A47">
        <w:t>’</w:t>
      </w:r>
      <w:r>
        <w:t xml:space="preserve"> performance</w:t>
      </w:r>
      <w:r w:rsidRPr="00BC6B2C">
        <w:t xml:space="preserve"> to ensure compliance with the </w:t>
      </w:r>
      <w:proofErr w:type="spellStart"/>
      <w:r>
        <w:t>MoDA</w:t>
      </w:r>
      <w:proofErr w:type="spellEnd"/>
      <w:r>
        <w:t xml:space="preserve"> legislation and </w:t>
      </w:r>
      <w:r w:rsidRPr="00BC6B2C">
        <w:t>licence conditions.</w:t>
      </w:r>
    </w:p>
    <w:p w14:paraId="05FE6A5A" w14:textId="77777777" w:rsidR="00590EF3" w:rsidRDefault="00590EF3" w:rsidP="00590EF3"/>
    <w:p w14:paraId="0C42A79C" w14:textId="77777777" w:rsidR="00EE67CB" w:rsidRDefault="00EE67CB" w:rsidP="00590EF3">
      <w:r>
        <w:t>Under the legislation, individual licence conditions and any other requirements specified by the Director-General, m</w:t>
      </w:r>
      <w:r w:rsidRPr="00BC6B2C">
        <w:t xml:space="preserve">aintenance and monitoring activities </w:t>
      </w:r>
      <w:r>
        <w:t xml:space="preserve">may </w:t>
      </w:r>
      <w:r w:rsidRPr="00BC6B2C">
        <w:t>include the following</w:t>
      </w:r>
      <w:r>
        <w:t>.</w:t>
      </w:r>
    </w:p>
    <w:p w14:paraId="7424C5E3" w14:textId="77777777" w:rsidR="00590EF3" w:rsidRPr="00BC6B2C" w:rsidRDefault="00590EF3" w:rsidP="00590EF3"/>
    <w:p w14:paraId="41C89AD6" w14:textId="77777777" w:rsidR="00EE67CB" w:rsidRPr="00BC6B2C" w:rsidRDefault="00EE67CB" w:rsidP="00590EF3">
      <w:pPr>
        <w:pStyle w:val="Heading3"/>
      </w:pPr>
      <w:r w:rsidRPr="00BC6B2C">
        <w:t>Maintenance</w:t>
      </w:r>
    </w:p>
    <w:p w14:paraId="47E8E9DF" w14:textId="77777777" w:rsidR="00A25A47" w:rsidRDefault="00590EF3" w:rsidP="00590EF3">
      <w:pPr>
        <w:pStyle w:val="Bullet"/>
      </w:pPr>
      <w:r>
        <w:t>R</w:t>
      </w:r>
      <w:r w:rsidR="00EE67CB" w:rsidRPr="00BC6B2C">
        <w:t>ecording requirements as legislated</w:t>
      </w:r>
    </w:p>
    <w:p w14:paraId="4D60D997" w14:textId="77777777" w:rsidR="00A25A47" w:rsidRDefault="00590EF3" w:rsidP="00590EF3">
      <w:pPr>
        <w:pStyle w:val="Bullet"/>
      </w:pPr>
      <w:r>
        <w:t>R</w:t>
      </w:r>
      <w:r w:rsidR="00EE67CB" w:rsidRPr="00BC6B2C">
        <w:t>eporting requirements as legislated</w:t>
      </w:r>
    </w:p>
    <w:p w14:paraId="17885DEF" w14:textId="77777777" w:rsidR="00EE67CB" w:rsidRDefault="00590EF3" w:rsidP="00590EF3">
      <w:pPr>
        <w:pStyle w:val="Bullet"/>
      </w:pPr>
      <w:r>
        <w:t>A</w:t>
      </w:r>
      <w:r w:rsidR="00EE67CB">
        <w:t>ny additional maintenance activities required by the Drug Checking Licensing Scheme</w:t>
      </w:r>
    </w:p>
    <w:p w14:paraId="658858C3" w14:textId="77777777" w:rsidR="00EE67CB" w:rsidRPr="00BC6B2C" w:rsidRDefault="00EE67CB" w:rsidP="00590EF3"/>
    <w:p w14:paraId="3AC220DC" w14:textId="77777777" w:rsidR="00A25A47" w:rsidRDefault="00EE67CB" w:rsidP="00590EF3">
      <w:pPr>
        <w:pStyle w:val="Heading3"/>
      </w:pPr>
      <w:r w:rsidRPr="00BC6B2C">
        <w:lastRenderedPageBreak/>
        <w:t>Monitoring</w:t>
      </w:r>
    </w:p>
    <w:p w14:paraId="4473609A" w14:textId="77777777" w:rsidR="00A25A47" w:rsidRDefault="00590EF3" w:rsidP="00590EF3">
      <w:pPr>
        <w:pStyle w:val="Bullet"/>
        <w:keepNext/>
      </w:pPr>
      <w:r>
        <w:t>A</w:t>
      </w:r>
      <w:r w:rsidR="00EE67CB" w:rsidRPr="006D73CC">
        <w:t>udit</w:t>
      </w:r>
    </w:p>
    <w:p w14:paraId="194DD521" w14:textId="77777777" w:rsidR="00A25A47" w:rsidRDefault="00590EF3" w:rsidP="00590EF3">
      <w:pPr>
        <w:pStyle w:val="Bullet"/>
        <w:keepNext/>
      </w:pPr>
      <w:r>
        <w:t>N</w:t>
      </w:r>
      <w:r w:rsidR="00EE67CB">
        <w:t>on-compliance progressing monitoring</w:t>
      </w:r>
    </w:p>
    <w:p w14:paraId="59F61D04" w14:textId="77777777" w:rsidR="00A25A47" w:rsidRDefault="00590EF3" w:rsidP="00590EF3">
      <w:pPr>
        <w:pStyle w:val="Bullet"/>
        <w:keepNext/>
      </w:pPr>
      <w:r>
        <w:t>S</w:t>
      </w:r>
      <w:r w:rsidR="00EE67CB" w:rsidRPr="006D73CC">
        <w:t>elf-declaration activitie</w:t>
      </w:r>
      <w:r w:rsidR="00EE67CB">
        <w:t>s</w:t>
      </w:r>
    </w:p>
    <w:p w14:paraId="51C40DF9" w14:textId="77777777" w:rsidR="00EE67CB" w:rsidRDefault="00590EF3" w:rsidP="00590EF3">
      <w:pPr>
        <w:pStyle w:val="Bullet"/>
      </w:pPr>
      <w:r>
        <w:t>A</w:t>
      </w:r>
      <w:r w:rsidR="00EE67CB">
        <w:t>ny additional maintenance activities required by the</w:t>
      </w:r>
      <w:r>
        <w:t xml:space="preserve"> Drug Checking Licensing Scheme</w:t>
      </w:r>
    </w:p>
    <w:p w14:paraId="6958FC65" w14:textId="77777777" w:rsidR="00EE67CB" w:rsidRPr="00BC6B2C" w:rsidRDefault="00EE67CB" w:rsidP="00590EF3"/>
    <w:p w14:paraId="15D7A0F6" w14:textId="77777777" w:rsidR="00A25A47" w:rsidRDefault="00EE67CB" w:rsidP="00590EF3">
      <w:r>
        <w:t>The purpose of monitoring</w:t>
      </w:r>
      <w:r w:rsidRPr="00BC6B2C">
        <w:t xml:space="preserve"> </w:t>
      </w:r>
      <w:r>
        <w:t xml:space="preserve">is </w:t>
      </w:r>
      <w:r w:rsidRPr="00BC6B2C">
        <w:t xml:space="preserve">to assess </w:t>
      </w:r>
      <w:r>
        <w:t>licensed providers</w:t>
      </w:r>
      <w:r w:rsidR="00A25A47">
        <w:t>’</w:t>
      </w:r>
      <w:r>
        <w:t xml:space="preserve"> </w:t>
      </w:r>
      <w:r w:rsidRPr="00BC6B2C">
        <w:t xml:space="preserve">compliance </w:t>
      </w:r>
      <w:r>
        <w:t xml:space="preserve">with </w:t>
      </w:r>
      <w:r w:rsidRPr="00BC6B2C">
        <w:t xml:space="preserve">the Act, its regulations and licensing conditions. </w:t>
      </w:r>
      <w:r>
        <w:t xml:space="preserve">Through monitoring, the Ministry can </w:t>
      </w:r>
      <w:r w:rsidRPr="00BC6B2C">
        <w:t xml:space="preserve">support </w:t>
      </w:r>
      <w:r>
        <w:t xml:space="preserve">providers to deliver </w:t>
      </w:r>
      <w:r w:rsidRPr="00BC6B2C">
        <w:t xml:space="preserve">services at an appropriate standard, enable verification of suitability and </w:t>
      </w:r>
      <w:r>
        <w:t xml:space="preserve">continue to provide </w:t>
      </w:r>
      <w:r w:rsidRPr="00BC6B2C">
        <w:t>service</w:t>
      </w:r>
      <w:r>
        <w:t>s</w:t>
      </w:r>
      <w:r w:rsidRPr="00BC6B2C">
        <w:t>.</w:t>
      </w:r>
    </w:p>
    <w:p w14:paraId="0C46B0EC" w14:textId="77777777" w:rsidR="00590EF3" w:rsidRDefault="00590EF3" w:rsidP="00590EF3"/>
    <w:p w14:paraId="0EFE0004" w14:textId="77777777" w:rsidR="00EE67CB" w:rsidRPr="00BC6B2C" w:rsidRDefault="00EE67CB" w:rsidP="00590EF3">
      <w:r w:rsidRPr="00BC6B2C">
        <w:t xml:space="preserve">The </w:t>
      </w:r>
      <w:r>
        <w:t xml:space="preserve">maintenance and monitoring </w:t>
      </w:r>
      <w:r w:rsidRPr="00BC6B2C">
        <w:t xml:space="preserve">framework includes core requirements </w:t>
      </w:r>
      <w:r>
        <w:t xml:space="preserve">under </w:t>
      </w:r>
      <w:r w:rsidRPr="00BC6B2C">
        <w:t xml:space="preserve">the Act, </w:t>
      </w:r>
      <w:proofErr w:type="gramStart"/>
      <w:r w:rsidRPr="00BC6B2C">
        <w:t>regulations</w:t>
      </w:r>
      <w:proofErr w:type="gramEnd"/>
      <w:r w:rsidRPr="00BC6B2C">
        <w:t xml:space="preserve"> and </w:t>
      </w:r>
      <w:r>
        <w:t xml:space="preserve">specific </w:t>
      </w:r>
      <w:r w:rsidRPr="00BC6B2C">
        <w:t xml:space="preserve">conditions of </w:t>
      </w:r>
      <w:r>
        <w:t>l</w:t>
      </w:r>
      <w:r w:rsidRPr="00BC6B2C">
        <w:t>icence</w:t>
      </w:r>
      <w:r>
        <w:t xml:space="preserve">, alongside </w:t>
      </w:r>
      <w:r w:rsidRPr="00BC6B2C">
        <w:t xml:space="preserve">any additional risk-based </w:t>
      </w:r>
      <w:r>
        <w:t>issues identified</w:t>
      </w:r>
      <w:r w:rsidRPr="00BC6B2C">
        <w:t>.</w:t>
      </w:r>
    </w:p>
    <w:p w14:paraId="4153485C" w14:textId="77777777" w:rsidR="00590EF3" w:rsidRDefault="00590EF3" w:rsidP="00590EF3"/>
    <w:p w14:paraId="330BC006" w14:textId="77777777" w:rsidR="00EE67CB" w:rsidRPr="00BC6B2C" w:rsidRDefault="00EE67CB" w:rsidP="00590EF3">
      <w:r w:rsidRPr="00BC6B2C">
        <w:t>Whil</w:t>
      </w:r>
      <w:r>
        <w:t>e</w:t>
      </w:r>
      <w:r w:rsidRPr="00BC6B2C">
        <w:t xml:space="preserve"> there is a structured </w:t>
      </w:r>
      <w:r>
        <w:t>monitoring</w:t>
      </w:r>
      <w:r w:rsidRPr="00BC6B2C">
        <w:t xml:space="preserve"> schedule (</w:t>
      </w:r>
      <w:r>
        <w:t xml:space="preserve">see </w:t>
      </w:r>
      <w:r w:rsidRPr="00BC6B2C">
        <w:t xml:space="preserve">below), the Ministry may at any time </w:t>
      </w:r>
      <w:r>
        <w:t xml:space="preserve">request that </w:t>
      </w:r>
      <w:r w:rsidRPr="00BC6B2C">
        <w:t xml:space="preserve">a licensed drug checking </w:t>
      </w:r>
      <w:r>
        <w:t xml:space="preserve">service </w:t>
      </w:r>
      <w:r w:rsidRPr="00BC6B2C">
        <w:t>provider demonstrat</w:t>
      </w:r>
      <w:r>
        <w:t>e</w:t>
      </w:r>
      <w:r w:rsidRPr="00BC6B2C">
        <w:t xml:space="preserve"> compliance with the Act, its regulations, licensing conditions and any </w:t>
      </w:r>
      <w:r>
        <w:t>other relevant conditions</w:t>
      </w:r>
      <w:r w:rsidRPr="00BC6B2C">
        <w:t xml:space="preserve">. An authorised person </w:t>
      </w:r>
      <w:r>
        <w:t xml:space="preserve">from the Ministry </w:t>
      </w:r>
      <w:r w:rsidRPr="00BC6B2C">
        <w:t>can access sites where service providers perform any of the functions specified in section 35DB</w:t>
      </w:r>
      <w:r>
        <w:t xml:space="preserve"> of the </w:t>
      </w:r>
      <w:proofErr w:type="spellStart"/>
      <w:r>
        <w:t>MoDA</w:t>
      </w:r>
      <w:proofErr w:type="spellEnd"/>
      <w:r w:rsidRPr="00BC6B2C">
        <w:t>.</w:t>
      </w:r>
    </w:p>
    <w:p w14:paraId="64D26E69" w14:textId="77777777" w:rsidR="00590EF3" w:rsidRDefault="00590EF3" w:rsidP="00590EF3"/>
    <w:p w14:paraId="77E28FE0" w14:textId="77777777" w:rsidR="00A25A47" w:rsidRDefault="00EE67CB" w:rsidP="00590EF3">
      <w:r w:rsidRPr="00BC6B2C">
        <w:t xml:space="preserve">An authorised person who accesses a </w:t>
      </w:r>
      <w:r>
        <w:t>service provider</w:t>
      </w:r>
      <w:r w:rsidR="00A25A47">
        <w:t>’</w:t>
      </w:r>
      <w:r>
        <w:t xml:space="preserve">s </w:t>
      </w:r>
      <w:r w:rsidRPr="00BC6B2C">
        <w:t xml:space="preserve">site </w:t>
      </w:r>
      <w:r>
        <w:t xml:space="preserve">for the purposes of assessment must </w:t>
      </w:r>
      <w:r w:rsidRPr="00BC6B2C">
        <w:t xml:space="preserve">make all reasonable efforts to avoid disrupting the service provider in </w:t>
      </w:r>
      <w:r>
        <w:t xml:space="preserve">its </w:t>
      </w:r>
      <w:r w:rsidRPr="00BC6B2C">
        <w:t>performance of any of the functions specified in section 35D</w:t>
      </w:r>
      <w:r>
        <w:t xml:space="preserve"> of the </w:t>
      </w:r>
      <w:proofErr w:type="spellStart"/>
      <w:r>
        <w:t>MoDA</w:t>
      </w:r>
      <w:proofErr w:type="spellEnd"/>
      <w:r w:rsidRPr="00BC6B2C">
        <w:t xml:space="preserve">. They </w:t>
      </w:r>
      <w:r>
        <w:t xml:space="preserve">must not enter </w:t>
      </w:r>
      <w:r w:rsidRPr="00BC6B2C">
        <w:t xml:space="preserve">a part of the site where an individual is presenting a drug for checking or being advised of the results of testing (unless the individual gives their express permission for </w:t>
      </w:r>
      <w:r>
        <w:t>them to do so</w:t>
      </w:r>
      <w:r w:rsidRPr="00BC6B2C">
        <w:t>).</w:t>
      </w:r>
    </w:p>
    <w:p w14:paraId="49B68D7E" w14:textId="77777777" w:rsidR="00590EF3" w:rsidRDefault="00590EF3" w:rsidP="00590EF3"/>
    <w:p w14:paraId="7B5F0432" w14:textId="77777777" w:rsidR="00A25A47" w:rsidRDefault="00EE67CB" w:rsidP="00590EF3">
      <w:r w:rsidRPr="00BC6B2C">
        <w:t>Unannounced or short-notice inspections</w:t>
      </w:r>
      <w:r>
        <w:t xml:space="preserve"> or </w:t>
      </w:r>
      <w:r w:rsidRPr="00BC6B2C">
        <w:t xml:space="preserve">audits may occur where </w:t>
      </w:r>
      <w:r>
        <w:t xml:space="preserve">the Ministry has a </w:t>
      </w:r>
      <w:r w:rsidRPr="00BC6B2C">
        <w:t xml:space="preserve">concern related to performance (including complaints or information received regarding potential breaches of the Act, its regulations </w:t>
      </w:r>
      <w:r>
        <w:t xml:space="preserve">or </w:t>
      </w:r>
      <w:r w:rsidRPr="00BC6B2C">
        <w:t xml:space="preserve">licensing conditions, or concerns with </w:t>
      </w:r>
      <w:r>
        <w:t>the provider</w:t>
      </w:r>
      <w:r w:rsidR="00A25A47">
        <w:t>’</w:t>
      </w:r>
      <w:r>
        <w:t xml:space="preserve">s </w:t>
      </w:r>
      <w:r w:rsidRPr="00BC6B2C">
        <w:t>continu</w:t>
      </w:r>
      <w:r>
        <w:t>ed</w:t>
      </w:r>
      <w:r w:rsidRPr="00BC6B2C">
        <w:t xml:space="preserve"> suitability).</w:t>
      </w:r>
    </w:p>
    <w:p w14:paraId="0730E1D0" w14:textId="77777777" w:rsidR="00590EF3" w:rsidRDefault="00590EF3" w:rsidP="00590EF3"/>
    <w:p w14:paraId="79538E8C" w14:textId="77777777" w:rsidR="00EE67CB" w:rsidRDefault="00EE67CB" w:rsidP="00590EF3">
      <w:r w:rsidRPr="00BC6B2C">
        <w:t xml:space="preserve">Where </w:t>
      </w:r>
      <w:r>
        <w:t xml:space="preserve">the Ministry </w:t>
      </w:r>
      <w:r w:rsidRPr="00BC6B2C">
        <w:t>identifie</w:t>
      </w:r>
      <w:r>
        <w:t>s</w:t>
      </w:r>
      <w:r w:rsidRPr="00BC6B2C">
        <w:t xml:space="preserve"> </w:t>
      </w:r>
      <w:r>
        <w:t xml:space="preserve">a </w:t>
      </w:r>
      <w:r w:rsidRPr="00BC6B2C">
        <w:t xml:space="preserve">breach of the Act, its regulations, licensing conditions or any other </w:t>
      </w:r>
      <w:r>
        <w:t>relevant condition</w:t>
      </w:r>
      <w:r w:rsidRPr="00BC6B2C">
        <w:t xml:space="preserve">, the Director-General will decide whether to suspend, </w:t>
      </w:r>
      <w:r>
        <w:t xml:space="preserve">or </w:t>
      </w:r>
      <w:r w:rsidRPr="00BC6B2C">
        <w:t>cancel a licen</w:t>
      </w:r>
      <w:r>
        <w:t>c</w:t>
      </w:r>
      <w:r w:rsidRPr="00BC6B2C">
        <w:t>e</w:t>
      </w:r>
      <w:r>
        <w:t>,</w:t>
      </w:r>
      <w:r w:rsidRPr="00BC6B2C">
        <w:t xml:space="preserve"> </w:t>
      </w:r>
      <w:r>
        <w:t>and may</w:t>
      </w:r>
      <w:r w:rsidRPr="00BC6B2C">
        <w:t xml:space="preserve"> </w:t>
      </w:r>
      <w:r>
        <w:t xml:space="preserve">impose, </w:t>
      </w:r>
      <w:proofErr w:type="gramStart"/>
      <w:r>
        <w:t>revoke</w:t>
      </w:r>
      <w:proofErr w:type="gramEnd"/>
      <w:r>
        <w:t xml:space="preserve"> or </w:t>
      </w:r>
      <w:r w:rsidRPr="00BC6B2C">
        <w:t>amend licence conditions.</w:t>
      </w:r>
    </w:p>
    <w:p w14:paraId="15909496" w14:textId="77777777" w:rsidR="00590EF3" w:rsidRPr="00BC6B2C" w:rsidRDefault="00590EF3" w:rsidP="00590EF3"/>
    <w:p w14:paraId="66A0FE8E" w14:textId="77777777" w:rsidR="00EE67CB" w:rsidRPr="00222CDD" w:rsidRDefault="00EE67CB" w:rsidP="009B3E0F">
      <w:pPr>
        <w:pStyle w:val="Heading1"/>
        <w:rPr>
          <w:bCs/>
        </w:rPr>
      </w:pPr>
      <w:bookmarkStart w:id="103" w:name="_Toc98861487"/>
      <w:bookmarkStart w:id="104" w:name="_Toc99377734"/>
      <w:r w:rsidRPr="00222CDD">
        <w:lastRenderedPageBreak/>
        <w:t>Monitoring schedule</w:t>
      </w:r>
      <w:bookmarkEnd w:id="103"/>
      <w:bookmarkEnd w:id="104"/>
    </w:p>
    <w:p w14:paraId="4952730A" w14:textId="77777777" w:rsidR="00EE67CB" w:rsidRPr="00222CDD" w:rsidRDefault="00EE67CB" w:rsidP="00590EF3">
      <w:r w:rsidRPr="00222CDD">
        <w:t xml:space="preserve">In the initial licence period (three-year duration or less), the Ministry </w:t>
      </w:r>
      <w:r>
        <w:t>may</w:t>
      </w:r>
      <w:r w:rsidRPr="00222CDD">
        <w:t xml:space="preserve"> undertake:</w:t>
      </w:r>
    </w:p>
    <w:p w14:paraId="7B141E39" w14:textId="77777777" w:rsidR="00EE67CB" w:rsidRDefault="00EE67CB" w:rsidP="00590EF3">
      <w:pPr>
        <w:pStyle w:val="Bullet"/>
      </w:pPr>
      <w:r w:rsidRPr="00BC6B2C">
        <w:t>a minimum of an annual audit throughout the first audit licence cycle</w:t>
      </w:r>
    </w:p>
    <w:p w14:paraId="4DD85782" w14:textId="77777777" w:rsidR="00EE67CB" w:rsidRPr="00BC6B2C" w:rsidRDefault="00EE67CB" w:rsidP="00590EF3">
      <w:pPr>
        <w:pStyle w:val="Bullet"/>
      </w:pPr>
      <w:r>
        <w:t>non-compliance progress monitoring</w:t>
      </w:r>
      <w:r w:rsidRPr="00BC6B2C">
        <w:t>.</w:t>
      </w:r>
    </w:p>
    <w:p w14:paraId="7FA1F827" w14:textId="77777777" w:rsidR="00590EF3" w:rsidRDefault="00590EF3" w:rsidP="00590EF3"/>
    <w:p w14:paraId="03B9FFE2" w14:textId="77777777" w:rsidR="00EE67CB" w:rsidRPr="00222CDD" w:rsidRDefault="00EE67CB" w:rsidP="00590EF3">
      <w:r>
        <w:t>In s</w:t>
      </w:r>
      <w:r w:rsidRPr="00222CDD">
        <w:t>ubsequent licence period</w:t>
      </w:r>
      <w:r>
        <w:t>s</w:t>
      </w:r>
      <w:r w:rsidRPr="00222CDD">
        <w:t xml:space="preserve"> (after first renewal of licence)</w:t>
      </w:r>
      <w:r>
        <w:t>, the Ministry may undertake</w:t>
      </w:r>
      <w:r w:rsidRPr="00222CDD">
        <w:t>:</w:t>
      </w:r>
    </w:p>
    <w:p w14:paraId="119A4391" w14:textId="77777777" w:rsidR="00EE67CB" w:rsidRPr="00BC6B2C" w:rsidRDefault="00EE67CB" w:rsidP="00590EF3">
      <w:pPr>
        <w:pStyle w:val="Bullet"/>
      </w:pPr>
      <w:r>
        <w:t xml:space="preserve">a </w:t>
      </w:r>
      <w:r w:rsidRPr="00BC6B2C">
        <w:t>performance and risk-based approach</w:t>
      </w:r>
    </w:p>
    <w:p w14:paraId="661EC992" w14:textId="77777777" w:rsidR="00EE67CB" w:rsidRPr="00BC6B2C" w:rsidRDefault="00EE67CB" w:rsidP="00590EF3">
      <w:pPr>
        <w:pStyle w:val="Bullet"/>
      </w:pPr>
      <w:r>
        <w:t xml:space="preserve">reception of an </w:t>
      </w:r>
      <w:r w:rsidRPr="00BC6B2C">
        <w:t xml:space="preserve">annual self-declaration </w:t>
      </w:r>
      <w:r>
        <w:t xml:space="preserve">from the provider </w:t>
      </w:r>
      <w:r w:rsidRPr="00BC6B2C">
        <w:t xml:space="preserve">of </w:t>
      </w:r>
      <w:r>
        <w:t xml:space="preserve">its </w:t>
      </w:r>
      <w:r w:rsidRPr="00BC6B2C">
        <w:t>continued compliance with the Act, its regulations and licensing conditions</w:t>
      </w:r>
    </w:p>
    <w:p w14:paraId="4627D336" w14:textId="77777777" w:rsidR="00EE67CB" w:rsidRDefault="00EE67CB" w:rsidP="00590EF3">
      <w:pPr>
        <w:pStyle w:val="Bullet"/>
      </w:pPr>
      <w:r w:rsidRPr="00BC6B2C">
        <w:t>mid-point audit and/or surveillance activity in the second year of licen</w:t>
      </w:r>
      <w:r w:rsidR="00590EF3">
        <w:t>s</w:t>
      </w:r>
      <w:r w:rsidRPr="00BC6B2C">
        <w:t>ing</w:t>
      </w:r>
      <w:r w:rsidR="00590EF3">
        <w:br/>
      </w:r>
      <w:r w:rsidRPr="00BC6B2C">
        <w:t>(</w:t>
      </w:r>
      <w:proofErr w:type="spellStart"/>
      <w:r w:rsidRPr="00BC6B2C">
        <w:t>ie</w:t>
      </w:r>
      <w:proofErr w:type="spellEnd"/>
      <w:r w:rsidRPr="00BC6B2C">
        <w:t>, 12</w:t>
      </w:r>
      <w:r>
        <w:t>–</w:t>
      </w:r>
      <w:r w:rsidRPr="00BC6B2C">
        <w:t>24 months after renewal of licen</w:t>
      </w:r>
      <w:r>
        <w:t>ce</w:t>
      </w:r>
      <w:r w:rsidRPr="00BC6B2C">
        <w:t>)</w:t>
      </w:r>
    </w:p>
    <w:p w14:paraId="00DE8B0C" w14:textId="77777777" w:rsidR="00EE67CB" w:rsidRDefault="00EE67CB" w:rsidP="00590EF3">
      <w:pPr>
        <w:pStyle w:val="Bullet"/>
      </w:pPr>
      <w:r w:rsidRPr="000C4EC6">
        <w:t>non-compliance progress monitoring.</w:t>
      </w:r>
    </w:p>
    <w:p w14:paraId="74890952" w14:textId="77777777" w:rsidR="00466303" w:rsidRPr="00466303" w:rsidRDefault="00466303" w:rsidP="00590EF3"/>
    <w:sectPr w:rsidR="00466303" w:rsidRPr="00466303" w:rsidSect="00466303">
      <w:footerReference w:type="even" r:id="rId33"/>
      <w:footerReference w:type="default" r:id="rId34"/>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1EC48" w14:textId="77777777" w:rsidR="004D3BD3" w:rsidRDefault="004D3BD3">
      <w:r>
        <w:separator/>
      </w:r>
    </w:p>
    <w:p w14:paraId="25A24F10" w14:textId="77777777" w:rsidR="004D3BD3" w:rsidRDefault="004D3BD3"/>
  </w:endnote>
  <w:endnote w:type="continuationSeparator" w:id="0">
    <w:p w14:paraId="0348B3CE" w14:textId="77777777" w:rsidR="004D3BD3" w:rsidRDefault="004D3BD3">
      <w:r>
        <w:continuationSeparator/>
      </w:r>
    </w:p>
    <w:p w14:paraId="172685C2" w14:textId="77777777" w:rsidR="004D3BD3" w:rsidRDefault="004D3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16050" w14:textId="77777777" w:rsidR="00152E9B" w:rsidRPr="00581136" w:rsidRDefault="00152E9B" w:rsidP="005A79E5">
    <w:pPr>
      <w:pStyle w:val="Footer"/>
      <w:pBdr>
        <w:bottom w:val="single" w:sz="4" w:space="1" w:color="auto"/>
      </w:pBdr>
      <w:tabs>
        <w:tab w:val="right" w:pos="9639"/>
      </w:tabs>
      <w:rPr>
        <w:b/>
      </w:rPr>
    </w:pPr>
    <w:r w:rsidRPr="00581136">
      <w:rPr>
        <w:b/>
      </w:rPr>
      <w:t>Released 20</w:t>
    </w:r>
    <w:r>
      <w:rPr>
        <w:b/>
      </w:rPr>
      <w:t>22</w:t>
    </w:r>
    <w:r w:rsidRPr="00581136">
      <w:rPr>
        <w:b/>
      </w:rPr>
      <w:tab/>
      <w:t>health.govt.nz</w:t>
    </w:r>
  </w:p>
  <w:p w14:paraId="4EA8D5EC" w14:textId="77777777" w:rsidR="00152E9B" w:rsidRPr="005A79E5" w:rsidRDefault="00152E9B">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D1D9" w14:textId="77777777" w:rsidR="00152E9B" w:rsidRDefault="00152E9B"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12D54" w14:textId="77777777" w:rsidR="00152E9B" w:rsidRDefault="00152E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52E9B" w14:paraId="6EF497CC" w14:textId="77777777" w:rsidTr="00D662F8">
      <w:trPr>
        <w:cantSplit/>
      </w:trPr>
      <w:tc>
        <w:tcPr>
          <w:tcW w:w="709" w:type="dxa"/>
          <w:vAlign w:val="center"/>
        </w:tcPr>
        <w:p w14:paraId="10D7C07F" w14:textId="77777777" w:rsidR="00152E9B" w:rsidRPr="00931466" w:rsidRDefault="00152E9B"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6628D">
            <w:rPr>
              <w:rStyle w:val="PageNumber"/>
              <w:noProof/>
            </w:rPr>
            <w:t>iv</w:t>
          </w:r>
          <w:r w:rsidRPr="00931466">
            <w:rPr>
              <w:rStyle w:val="PageNumber"/>
            </w:rPr>
            <w:fldChar w:fldCharType="end"/>
          </w:r>
        </w:p>
      </w:tc>
      <w:tc>
        <w:tcPr>
          <w:tcW w:w="8080" w:type="dxa"/>
          <w:vAlign w:val="center"/>
        </w:tcPr>
        <w:p w14:paraId="400084D4" w14:textId="77777777" w:rsidR="00152E9B" w:rsidRDefault="00152E9B" w:rsidP="009B3E0F">
          <w:pPr>
            <w:pStyle w:val="RectoFooter"/>
            <w:jc w:val="left"/>
          </w:pPr>
          <w:r w:rsidRPr="00EE67CB">
            <w:t>Drug Checking Service Provider Licensing Handbook:</w:t>
          </w:r>
          <w:r>
            <w:br/>
          </w:r>
          <w:r w:rsidRPr="00EE67CB">
            <w:t>Guidance for potential and current drug and substance checking service providers</w:t>
          </w:r>
        </w:p>
      </w:tc>
    </w:tr>
  </w:tbl>
  <w:p w14:paraId="387064B2" w14:textId="77777777" w:rsidR="00152E9B" w:rsidRPr="00571223" w:rsidRDefault="00152E9B"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52E9B" w14:paraId="47D7FD93" w14:textId="77777777" w:rsidTr="006E2886">
      <w:trPr>
        <w:cantSplit/>
      </w:trPr>
      <w:tc>
        <w:tcPr>
          <w:tcW w:w="8080" w:type="dxa"/>
          <w:vAlign w:val="center"/>
        </w:tcPr>
        <w:p w14:paraId="3BDCDF43" w14:textId="77777777" w:rsidR="00152E9B" w:rsidRDefault="00152E9B" w:rsidP="00EE67CB">
          <w:pPr>
            <w:pStyle w:val="RectoFooter"/>
          </w:pPr>
          <w:r w:rsidRPr="00EE67CB">
            <w:t>Drug Checking Service Provider Licensing Handbook:</w:t>
          </w:r>
          <w:r>
            <w:br/>
          </w:r>
          <w:r w:rsidRPr="00EE67CB">
            <w:t>Guidance for potential and current drug and substance checking service providers</w:t>
          </w:r>
        </w:p>
      </w:tc>
      <w:tc>
        <w:tcPr>
          <w:tcW w:w="709" w:type="dxa"/>
          <w:vAlign w:val="center"/>
        </w:tcPr>
        <w:p w14:paraId="236DD6D9" w14:textId="77777777" w:rsidR="00152E9B" w:rsidRPr="00931466" w:rsidRDefault="00152E9B"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6628D">
            <w:rPr>
              <w:rStyle w:val="PageNumber"/>
              <w:noProof/>
            </w:rPr>
            <w:t>iii</w:t>
          </w:r>
          <w:r w:rsidRPr="00931466">
            <w:rPr>
              <w:rStyle w:val="PageNumber"/>
            </w:rPr>
            <w:fldChar w:fldCharType="end"/>
          </w:r>
        </w:p>
      </w:tc>
    </w:tr>
  </w:tbl>
  <w:p w14:paraId="4427D9D4" w14:textId="77777777" w:rsidR="00152E9B" w:rsidRPr="00581EB8" w:rsidRDefault="00152E9B"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152E9B" w14:paraId="609E5A10" w14:textId="77777777" w:rsidTr="005739EE">
      <w:trPr>
        <w:cantSplit/>
      </w:trPr>
      <w:tc>
        <w:tcPr>
          <w:tcW w:w="675" w:type="dxa"/>
          <w:vAlign w:val="center"/>
        </w:tcPr>
        <w:p w14:paraId="6CDA26CF" w14:textId="77777777" w:rsidR="00152E9B" w:rsidRPr="00931466" w:rsidRDefault="00152E9B" w:rsidP="005739E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32959">
            <w:rPr>
              <w:rStyle w:val="PageNumber"/>
              <w:noProof/>
            </w:rPr>
            <w:t>32</w:t>
          </w:r>
          <w:r w:rsidRPr="00931466">
            <w:rPr>
              <w:rStyle w:val="PageNumber"/>
            </w:rPr>
            <w:fldChar w:fldCharType="end"/>
          </w:r>
        </w:p>
      </w:tc>
      <w:tc>
        <w:tcPr>
          <w:tcW w:w="9072" w:type="dxa"/>
          <w:vAlign w:val="center"/>
        </w:tcPr>
        <w:p w14:paraId="080FC8FD" w14:textId="77777777" w:rsidR="00152E9B" w:rsidRDefault="00152E9B" w:rsidP="00EE67CB">
          <w:pPr>
            <w:pStyle w:val="RectoFooter"/>
            <w:ind w:left="-108"/>
            <w:jc w:val="left"/>
          </w:pPr>
          <w:r w:rsidRPr="00EE67CB">
            <w:t>Drug Checking Service Provider Licensing Handbook:</w:t>
          </w:r>
          <w:r>
            <w:br/>
          </w:r>
          <w:r w:rsidRPr="00EE67CB">
            <w:t>Guidance for potential and current drug and substance checking service providers</w:t>
          </w:r>
        </w:p>
      </w:tc>
    </w:tr>
  </w:tbl>
  <w:p w14:paraId="35F214F2" w14:textId="77777777" w:rsidR="00152E9B" w:rsidRPr="00466303" w:rsidRDefault="00152E9B" w:rsidP="00466303">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52E9B" w14:paraId="656107D5" w14:textId="77777777" w:rsidTr="006E2886">
      <w:trPr>
        <w:cantSplit/>
      </w:trPr>
      <w:tc>
        <w:tcPr>
          <w:tcW w:w="8080" w:type="dxa"/>
          <w:vAlign w:val="center"/>
        </w:tcPr>
        <w:p w14:paraId="4259667F" w14:textId="77777777" w:rsidR="00152E9B" w:rsidRDefault="00152E9B" w:rsidP="00EE67CB">
          <w:pPr>
            <w:pStyle w:val="RectoFooter"/>
          </w:pPr>
          <w:r w:rsidRPr="00EE67CB">
            <w:t>Drug Checking Service Provider Licensing Handbook:</w:t>
          </w:r>
          <w:r>
            <w:br/>
          </w:r>
          <w:r w:rsidRPr="00EE67CB">
            <w:t>Guidance for potential and current drug and substance checking service providers</w:t>
          </w:r>
        </w:p>
      </w:tc>
      <w:tc>
        <w:tcPr>
          <w:tcW w:w="709" w:type="dxa"/>
          <w:vAlign w:val="center"/>
        </w:tcPr>
        <w:p w14:paraId="7ABDFB5D" w14:textId="77777777" w:rsidR="00152E9B" w:rsidRPr="00931466" w:rsidRDefault="00152E9B"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32959">
            <w:rPr>
              <w:rStyle w:val="PageNumber"/>
              <w:noProof/>
            </w:rPr>
            <w:t>33</w:t>
          </w:r>
          <w:r w:rsidRPr="00931466">
            <w:rPr>
              <w:rStyle w:val="PageNumber"/>
            </w:rPr>
            <w:fldChar w:fldCharType="end"/>
          </w:r>
        </w:p>
      </w:tc>
    </w:tr>
  </w:tbl>
  <w:p w14:paraId="567669B1" w14:textId="77777777" w:rsidR="00152E9B" w:rsidRPr="00581EB8" w:rsidRDefault="00152E9B"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DDF3F" w14:textId="77777777" w:rsidR="004D3BD3" w:rsidRPr="00A26E6B" w:rsidRDefault="004D3BD3" w:rsidP="00A26E6B"/>
  </w:footnote>
  <w:footnote w:type="continuationSeparator" w:id="0">
    <w:p w14:paraId="7AE7EFDC" w14:textId="77777777" w:rsidR="004D3BD3" w:rsidRDefault="004D3BD3">
      <w:r>
        <w:continuationSeparator/>
      </w:r>
    </w:p>
    <w:p w14:paraId="2EE9BC5D" w14:textId="77777777" w:rsidR="004D3BD3" w:rsidRDefault="004D3BD3"/>
  </w:footnote>
  <w:footnote w:id="1">
    <w:p w14:paraId="3937CADC" w14:textId="77777777" w:rsidR="00152E9B" w:rsidRPr="009377C5" w:rsidRDefault="00152E9B" w:rsidP="005739EE">
      <w:pPr>
        <w:pStyle w:val="FootnoteText"/>
        <w:rPr>
          <w:lang w:val="mi-NZ"/>
        </w:rPr>
      </w:pPr>
      <w:r w:rsidRPr="005739EE">
        <w:rPr>
          <w:rStyle w:val="FootnoteReference"/>
        </w:rPr>
        <w:footnoteRef/>
      </w:r>
      <w:r>
        <w:tab/>
        <w:t>Where there is reference to the Director General of Health being satisfied of suitability related to convictions and non-compliance under Schedule 6 of the MoDA, the term Director-General also includes reference to the</w:t>
      </w:r>
      <w:r>
        <w:rPr>
          <w:lang w:val="mi-NZ"/>
        </w:rPr>
        <w:t xml:space="preserve"> Minister of Health when applicable.</w:t>
      </w:r>
    </w:p>
  </w:footnote>
  <w:footnote w:id="2">
    <w:p w14:paraId="2C6E2335" w14:textId="77777777" w:rsidR="00152E9B" w:rsidRPr="006920DD" w:rsidRDefault="00152E9B" w:rsidP="00E03645">
      <w:pPr>
        <w:pStyle w:val="FootnoteText"/>
      </w:pPr>
      <w:r w:rsidRPr="00E03645">
        <w:rPr>
          <w:rStyle w:val="FootnoteReference"/>
        </w:rPr>
        <w:footnoteRef/>
      </w:r>
      <w:r>
        <w:tab/>
        <w:t xml:space="preserve">A function of the National Drug Intelligence Bureau, which is </w:t>
      </w:r>
      <w:r w:rsidRPr="00444BAA">
        <w:t>a joint agency made up of representatives of the Ministry of Health, New Zealand Police and New Zealand Customs Service</w:t>
      </w:r>
      <w:r>
        <w:t>.</w:t>
      </w:r>
    </w:p>
  </w:footnote>
  <w:footnote w:id="3">
    <w:p w14:paraId="18496519" w14:textId="77777777" w:rsidR="00152E9B" w:rsidRPr="00236EFD" w:rsidRDefault="00152E9B" w:rsidP="00152E9B">
      <w:pPr>
        <w:pStyle w:val="FootnoteText"/>
        <w:rPr>
          <w:lang w:val="mi-NZ"/>
        </w:rPr>
      </w:pPr>
      <w:r w:rsidRPr="00152E9B">
        <w:rPr>
          <w:rStyle w:val="FootnoteReference"/>
        </w:rPr>
        <w:footnoteRef/>
      </w:r>
      <w:r>
        <w:rPr>
          <w:lang w:val="mi-NZ"/>
        </w:rPr>
        <w:tab/>
        <w:t>New Zealand’s approved laboratory is the Institute of Environmental Science and Research (ESR).</w:t>
      </w:r>
    </w:p>
  </w:footnote>
  <w:footnote w:id="4">
    <w:p w14:paraId="52B83670" w14:textId="77777777" w:rsidR="00152E9B" w:rsidRPr="00236EFD" w:rsidRDefault="00152E9B" w:rsidP="00152E9B">
      <w:pPr>
        <w:pStyle w:val="FootnoteText"/>
        <w:rPr>
          <w:lang w:val="mi-NZ"/>
        </w:rPr>
      </w:pPr>
      <w:r w:rsidRPr="00152E9B">
        <w:rPr>
          <w:rStyle w:val="FootnoteReference"/>
        </w:rPr>
        <w:footnoteRef/>
      </w:r>
      <w:r>
        <w:tab/>
        <w:t>O</w:t>
      </w:r>
      <w:r w:rsidRPr="004B208C">
        <w:t>nline report to the Police non-emergency 105 website</w:t>
      </w:r>
      <w:r>
        <w:t xml:space="preserve">: </w:t>
      </w:r>
      <w:hyperlink r:id="rId1" w:history="1">
        <w:r w:rsidRPr="00884DA8">
          <w:rPr>
            <w:rStyle w:val="Hyperlink"/>
            <w:rFonts w:eastAsia="MS Gothic" w:cs="Segoe UI"/>
          </w:rPr>
          <w:t>https://www.police.govt.nz/use-105</w:t>
        </w:r>
      </w:hyperlink>
      <w:r>
        <w:t xml:space="preserve"> or call ten five (105) available 24 hours a day, 7 days a week.</w:t>
      </w:r>
    </w:p>
  </w:footnote>
  <w:footnote w:id="5">
    <w:p w14:paraId="000D5609" w14:textId="77777777" w:rsidR="00152E9B" w:rsidRPr="00222CDD" w:rsidRDefault="00152E9B" w:rsidP="00590EF3">
      <w:pPr>
        <w:pStyle w:val="FootnoteText"/>
        <w:rPr>
          <w:lang w:val="mi-NZ"/>
        </w:rPr>
      </w:pPr>
      <w:r w:rsidRPr="00590EF3">
        <w:rPr>
          <w:rStyle w:val="FootnoteReference"/>
        </w:rPr>
        <w:footnoteRef/>
      </w:r>
      <w:r w:rsidR="00590EF3">
        <w:tab/>
      </w:r>
      <w:r>
        <w:t>T</w:t>
      </w:r>
      <w:r w:rsidRPr="00444BAA">
        <w:t>he former provider should not be required to keep any records or information which has been sent to the Director-General</w:t>
      </w:r>
      <w:r>
        <w:t xml:space="preserve"> </w:t>
      </w:r>
      <w:r w:rsidRPr="00444BAA">
        <w:t xml:space="preserve">and/or </w:t>
      </w:r>
      <w:r>
        <w:t xml:space="preserve">the </w:t>
      </w:r>
      <w:r w:rsidRPr="00444BAA">
        <w:t>NDIB.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152E9B" w14:paraId="5CFC1222" w14:textId="77777777" w:rsidTr="005A79E5">
      <w:trPr>
        <w:cantSplit/>
      </w:trPr>
      <w:tc>
        <w:tcPr>
          <w:tcW w:w="5210" w:type="dxa"/>
        </w:tcPr>
        <w:p w14:paraId="07391E3B" w14:textId="77777777" w:rsidR="00152E9B" w:rsidRDefault="00152E9B" w:rsidP="008814E8">
          <w:pPr>
            <w:pStyle w:val="Header"/>
          </w:pPr>
          <w:r>
            <w:rPr>
              <w:noProof/>
              <w:lang w:eastAsia="en-NZ"/>
            </w:rPr>
            <w:drawing>
              <wp:inline distT="0" distB="0" distL="0" distR="0" wp14:anchorId="14AB11A3" wp14:editId="21D6D095">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35496D8A" w14:textId="77777777" w:rsidR="00152E9B" w:rsidRDefault="00152E9B" w:rsidP="008814E8">
          <w:pPr>
            <w:pStyle w:val="Header"/>
            <w:jc w:val="right"/>
          </w:pPr>
          <w:r>
            <w:rPr>
              <w:noProof/>
              <w:lang w:eastAsia="en-NZ"/>
            </w:rPr>
            <w:drawing>
              <wp:inline distT="0" distB="0" distL="0" distR="0" wp14:anchorId="31AE350A" wp14:editId="1219DF34">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4D509BBC" w14:textId="77777777" w:rsidR="00152E9B" w:rsidRDefault="00152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701B2" w14:textId="77777777" w:rsidR="00152E9B" w:rsidRDefault="00152E9B"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0AC13" w14:textId="77777777" w:rsidR="00152E9B" w:rsidRDefault="00152E9B"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42D0A97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BE7D8F"/>
    <w:multiLevelType w:val="hybridMultilevel"/>
    <w:tmpl w:val="49D02362"/>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8E3183F"/>
    <w:multiLevelType w:val="hybridMultilevel"/>
    <w:tmpl w:val="C5DAF1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4A3B69"/>
    <w:multiLevelType w:val="hybridMultilevel"/>
    <w:tmpl w:val="D20816E0"/>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0BBE1BF9"/>
    <w:multiLevelType w:val="hybridMultilevel"/>
    <w:tmpl w:val="C7664B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826C27"/>
    <w:multiLevelType w:val="hybridMultilevel"/>
    <w:tmpl w:val="DBA00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2B97945"/>
    <w:multiLevelType w:val="hybridMultilevel"/>
    <w:tmpl w:val="3D10E0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917C20"/>
    <w:multiLevelType w:val="hybridMultilevel"/>
    <w:tmpl w:val="4184F704"/>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1DA860B1"/>
    <w:multiLevelType w:val="hybridMultilevel"/>
    <w:tmpl w:val="2BFCCA76"/>
    <w:lvl w:ilvl="0" w:tplc="B95A4548">
      <w:start w:val="1"/>
      <w:numFmt w:val="bullet"/>
      <w:pStyle w:val="Circle"/>
      <w:lvlText w:val=""/>
      <w:lvlJc w:val="left"/>
      <w:pPr>
        <w:ind w:left="720" w:hanging="360"/>
      </w:pPr>
      <w:rPr>
        <w:rFonts w:ascii="Wingdings 2" w:hAnsi="Wingdings 2"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7C0566"/>
    <w:multiLevelType w:val="hybridMultilevel"/>
    <w:tmpl w:val="804C58A4"/>
    <w:lvl w:ilvl="0" w:tplc="14090005">
      <w:start w:val="1"/>
      <w:numFmt w:val="bullet"/>
      <w:lvlText w:val=""/>
      <w:lvlJc w:val="left"/>
      <w:pPr>
        <w:ind w:left="2160" w:hanging="360"/>
      </w:pPr>
      <w:rPr>
        <w:rFonts w:ascii="Wingdings" w:hAnsi="Wingdings"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1" w15:restartNumberingAfterBreak="0">
    <w:nsid w:val="26182433"/>
    <w:multiLevelType w:val="hybridMultilevel"/>
    <w:tmpl w:val="F7C6E9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E13531"/>
    <w:multiLevelType w:val="hybridMultilevel"/>
    <w:tmpl w:val="A34066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73B3DAC"/>
    <w:multiLevelType w:val="hybridMultilevel"/>
    <w:tmpl w:val="5D700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4A387B"/>
    <w:multiLevelType w:val="hybridMultilevel"/>
    <w:tmpl w:val="13DAF7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3E35E5"/>
    <w:multiLevelType w:val="hybridMultilevel"/>
    <w:tmpl w:val="A1F8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A11DA1"/>
    <w:multiLevelType w:val="hybridMultilevel"/>
    <w:tmpl w:val="E13AEC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09F0687"/>
    <w:multiLevelType w:val="hybridMultilevel"/>
    <w:tmpl w:val="B484D7EE"/>
    <w:lvl w:ilvl="0" w:tplc="5B9E3FF6">
      <w:start w:val="1"/>
      <w:numFmt w:val="bullet"/>
      <w:pStyle w:val="Bullet-4thlevelafterCircle"/>
      <w:lvlText w:val="z"/>
      <w:lvlJc w:val="left"/>
      <w:pPr>
        <w:ind w:left="720" w:hanging="360"/>
      </w:pPr>
      <w:rPr>
        <w:rFonts w:ascii="Wingdings" w:hAnsi="Wingdings" w:hint="default"/>
        <w:color w:val="auto"/>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AFC1EAF"/>
    <w:multiLevelType w:val="hybridMultilevel"/>
    <w:tmpl w:val="E24E679A"/>
    <w:lvl w:ilvl="0" w:tplc="14090003">
      <w:start w:val="1"/>
      <w:numFmt w:val="bullet"/>
      <w:lvlText w:val="o"/>
      <w:lvlJc w:val="left"/>
      <w:pPr>
        <w:ind w:left="1440" w:hanging="360"/>
      </w:pPr>
      <w:rPr>
        <w:rFonts w:ascii="Courier New" w:hAnsi="Courier New" w:cs="Courier New" w:hint="default"/>
      </w:rPr>
    </w:lvl>
    <w:lvl w:ilvl="1" w:tplc="14090005">
      <w:start w:val="1"/>
      <w:numFmt w:val="bullet"/>
      <w:lvlText w:val=""/>
      <w:lvlJc w:val="left"/>
      <w:pPr>
        <w:ind w:left="2160" w:hanging="360"/>
      </w:pPr>
      <w:rPr>
        <w:rFonts w:ascii="Wingdings" w:hAnsi="Wingdings"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3BF566DC"/>
    <w:multiLevelType w:val="hybridMultilevel"/>
    <w:tmpl w:val="A5FE9B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CA71F78"/>
    <w:multiLevelType w:val="hybridMultilevel"/>
    <w:tmpl w:val="824893E2"/>
    <w:lvl w:ilvl="0" w:tplc="B958EF32">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C87B04"/>
    <w:multiLevelType w:val="hybridMultilevel"/>
    <w:tmpl w:val="52FE3914"/>
    <w:lvl w:ilvl="0" w:tplc="14090003">
      <w:start w:val="1"/>
      <w:numFmt w:val="bullet"/>
      <w:lvlText w:val="o"/>
      <w:lvlJc w:val="left"/>
      <w:pPr>
        <w:ind w:left="1434" w:hanging="360"/>
      </w:pPr>
      <w:rPr>
        <w:rFonts w:ascii="Courier New" w:hAnsi="Courier New" w:cs="Courier New" w:hint="default"/>
      </w:rPr>
    </w:lvl>
    <w:lvl w:ilvl="1" w:tplc="14090003" w:tentative="1">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abstractNum w:abstractNumId="2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503C19"/>
    <w:multiLevelType w:val="hybridMultilevel"/>
    <w:tmpl w:val="849AAF08"/>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46393D77"/>
    <w:multiLevelType w:val="hybridMultilevel"/>
    <w:tmpl w:val="9E0CD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B4F676E"/>
    <w:multiLevelType w:val="hybridMultilevel"/>
    <w:tmpl w:val="6E2CFD0A"/>
    <w:lvl w:ilvl="0" w:tplc="86D04F46">
      <w:numFmt w:val="bullet"/>
      <w:lvlText w:val="-"/>
      <w:lvlJc w:val="left"/>
      <w:pPr>
        <w:ind w:left="2520" w:hanging="360"/>
      </w:pPr>
      <w:rPr>
        <w:rFonts w:ascii="Segoe UI" w:eastAsiaTheme="minorHAnsi" w:hAnsi="Segoe UI" w:cs="Segoe UI"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26" w15:restartNumberingAfterBreak="0">
    <w:nsid w:val="4E6C3EBE"/>
    <w:multiLevelType w:val="hybridMultilevel"/>
    <w:tmpl w:val="984AF9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D1F4AA1"/>
    <w:multiLevelType w:val="hybridMultilevel"/>
    <w:tmpl w:val="82C089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FEB7BE4"/>
    <w:multiLevelType w:val="hybridMultilevel"/>
    <w:tmpl w:val="70DC3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41010D4"/>
    <w:multiLevelType w:val="hybridMultilevel"/>
    <w:tmpl w:val="9C20F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B5140AE"/>
    <w:multiLevelType w:val="hybridMultilevel"/>
    <w:tmpl w:val="9BEE85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E4D4B35"/>
    <w:multiLevelType w:val="hybridMultilevel"/>
    <w:tmpl w:val="FA74BD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E7F5C6B"/>
    <w:multiLevelType w:val="hybridMultilevel"/>
    <w:tmpl w:val="865AC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2810AAD"/>
    <w:multiLevelType w:val="hybridMultilevel"/>
    <w:tmpl w:val="9510F9EE"/>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4" w15:restartNumberingAfterBreak="0">
    <w:nsid w:val="77C04BC7"/>
    <w:multiLevelType w:val="hybridMultilevel"/>
    <w:tmpl w:val="0038B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C1218D3"/>
    <w:multiLevelType w:val="singleLevel"/>
    <w:tmpl w:val="F368A2EC"/>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35"/>
  </w:num>
  <w:num w:numId="2">
    <w:abstractNumId w:val="20"/>
  </w:num>
  <w:num w:numId="3">
    <w:abstractNumId w:val="22"/>
  </w:num>
  <w:num w:numId="4">
    <w:abstractNumId w:val="2"/>
  </w:num>
  <w:num w:numId="5">
    <w:abstractNumId w:val="0"/>
  </w:num>
  <w:num w:numId="6">
    <w:abstractNumId w:val="21"/>
  </w:num>
  <w:num w:numId="7">
    <w:abstractNumId w:val="5"/>
  </w:num>
  <w:num w:numId="8">
    <w:abstractNumId w:val="28"/>
  </w:num>
  <w:num w:numId="9">
    <w:abstractNumId w:val="31"/>
  </w:num>
  <w:num w:numId="10">
    <w:abstractNumId w:val="16"/>
  </w:num>
  <w:num w:numId="11">
    <w:abstractNumId w:val="23"/>
  </w:num>
  <w:num w:numId="12">
    <w:abstractNumId w:val="34"/>
  </w:num>
  <w:num w:numId="13">
    <w:abstractNumId w:val="1"/>
  </w:num>
  <w:num w:numId="14">
    <w:abstractNumId w:val="10"/>
  </w:num>
  <w:num w:numId="15">
    <w:abstractNumId w:val="25"/>
  </w:num>
  <w:num w:numId="16">
    <w:abstractNumId w:val="33"/>
  </w:num>
  <w:num w:numId="17">
    <w:abstractNumId w:val="6"/>
  </w:num>
  <w:num w:numId="18">
    <w:abstractNumId w:val="19"/>
  </w:num>
  <w:num w:numId="19">
    <w:abstractNumId w:val="27"/>
  </w:num>
  <w:num w:numId="20">
    <w:abstractNumId w:val="11"/>
  </w:num>
  <w:num w:numId="21">
    <w:abstractNumId w:val="12"/>
  </w:num>
  <w:num w:numId="22">
    <w:abstractNumId w:val="15"/>
  </w:num>
  <w:num w:numId="23">
    <w:abstractNumId w:val="26"/>
  </w:num>
  <w:num w:numId="24">
    <w:abstractNumId w:val="30"/>
  </w:num>
  <w:num w:numId="25">
    <w:abstractNumId w:val="13"/>
  </w:num>
  <w:num w:numId="26">
    <w:abstractNumId w:val="24"/>
  </w:num>
  <w:num w:numId="27">
    <w:abstractNumId w:val="29"/>
  </w:num>
  <w:num w:numId="28">
    <w:abstractNumId w:val="18"/>
  </w:num>
  <w:num w:numId="29">
    <w:abstractNumId w:val="4"/>
  </w:num>
  <w:num w:numId="30">
    <w:abstractNumId w:val="8"/>
  </w:num>
  <w:num w:numId="31">
    <w:abstractNumId w:val="32"/>
  </w:num>
  <w:num w:numId="32">
    <w:abstractNumId w:val="3"/>
  </w:num>
  <w:num w:numId="33">
    <w:abstractNumId w:val="14"/>
  </w:num>
  <w:num w:numId="34">
    <w:abstractNumId w:val="7"/>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419A9"/>
    <w:rsid w:val="00045613"/>
    <w:rsid w:val="00047899"/>
    <w:rsid w:val="00053921"/>
    <w:rsid w:val="00054B44"/>
    <w:rsid w:val="0005577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3836"/>
    <w:rsid w:val="001460E0"/>
    <w:rsid w:val="001472F0"/>
    <w:rsid w:val="00147F71"/>
    <w:rsid w:val="00150A6E"/>
    <w:rsid w:val="001528DC"/>
    <w:rsid w:val="00152E9B"/>
    <w:rsid w:val="0016304B"/>
    <w:rsid w:val="0016318F"/>
    <w:rsid w:val="0016468A"/>
    <w:rsid w:val="001646F9"/>
    <w:rsid w:val="0017070E"/>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2068D"/>
    <w:rsid w:val="00232E9F"/>
    <w:rsid w:val="00245748"/>
    <w:rsid w:val="00246DB1"/>
    <w:rsid w:val="002476B5"/>
    <w:rsid w:val="002520CC"/>
    <w:rsid w:val="00253ECF"/>
    <w:rsid w:val="00254044"/>
    <w:rsid w:val="002546A1"/>
    <w:rsid w:val="002575E8"/>
    <w:rsid w:val="00257EF1"/>
    <w:rsid w:val="002628F4"/>
    <w:rsid w:val="00275D08"/>
    <w:rsid w:val="002839AF"/>
    <w:rsid w:val="00284B3D"/>
    <w:rsid w:val="002858E3"/>
    <w:rsid w:val="0029190A"/>
    <w:rsid w:val="00292C5A"/>
    <w:rsid w:val="00295241"/>
    <w:rsid w:val="002978BC"/>
    <w:rsid w:val="002A4DFC"/>
    <w:rsid w:val="002B047D"/>
    <w:rsid w:val="002B2D33"/>
    <w:rsid w:val="002B732B"/>
    <w:rsid w:val="002B76A7"/>
    <w:rsid w:val="002B7BEC"/>
    <w:rsid w:val="002C2219"/>
    <w:rsid w:val="002C2552"/>
    <w:rsid w:val="002C380A"/>
    <w:rsid w:val="002C781D"/>
    <w:rsid w:val="002D0DF2"/>
    <w:rsid w:val="002D23BD"/>
    <w:rsid w:val="002E0B47"/>
    <w:rsid w:val="002F3A0D"/>
    <w:rsid w:val="002F4685"/>
    <w:rsid w:val="002F4A4A"/>
    <w:rsid w:val="002F7213"/>
    <w:rsid w:val="0030382F"/>
    <w:rsid w:val="0030408D"/>
    <w:rsid w:val="003060E4"/>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5E38"/>
    <w:rsid w:val="003A26A5"/>
    <w:rsid w:val="003A3761"/>
    <w:rsid w:val="003A512D"/>
    <w:rsid w:val="003A5FEA"/>
    <w:rsid w:val="003A710B"/>
    <w:rsid w:val="003B1D10"/>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025AC"/>
    <w:rsid w:val="00413021"/>
    <w:rsid w:val="00414C35"/>
    <w:rsid w:val="004171B7"/>
    <w:rsid w:val="004301C6"/>
    <w:rsid w:val="0043478F"/>
    <w:rsid w:val="0043602B"/>
    <w:rsid w:val="004367D2"/>
    <w:rsid w:val="00440BE0"/>
    <w:rsid w:val="00442A06"/>
    <w:rsid w:val="00442C1C"/>
    <w:rsid w:val="0044584B"/>
    <w:rsid w:val="00447CB7"/>
    <w:rsid w:val="00453AAD"/>
    <w:rsid w:val="00455CC9"/>
    <w:rsid w:val="00460826"/>
    <w:rsid w:val="00460B1E"/>
    <w:rsid w:val="00460EA7"/>
    <w:rsid w:val="0046195B"/>
    <w:rsid w:val="0046362D"/>
    <w:rsid w:val="0046596D"/>
    <w:rsid w:val="00466303"/>
    <w:rsid w:val="00476B21"/>
    <w:rsid w:val="00477202"/>
    <w:rsid w:val="004852AB"/>
    <w:rsid w:val="00487C04"/>
    <w:rsid w:val="004907E1"/>
    <w:rsid w:val="00494C8E"/>
    <w:rsid w:val="004A035B"/>
    <w:rsid w:val="004A2108"/>
    <w:rsid w:val="004A38D7"/>
    <w:rsid w:val="004A778C"/>
    <w:rsid w:val="004B14DD"/>
    <w:rsid w:val="004B48C7"/>
    <w:rsid w:val="004C2E6A"/>
    <w:rsid w:val="004C64B8"/>
    <w:rsid w:val="004D2A2D"/>
    <w:rsid w:val="004D3BD3"/>
    <w:rsid w:val="004D479F"/>
    <w:rsid w:val="004D6689"/>
    <w:rsid w:val="004E1D1D"/>
    <w:rsid w:val="004E7AC8"/>
    <w:rsid w:val="004F05F4"/>
    <w:rsid w:val="004F0C94"/>
    <w:rsid w:val="004F4E9A"/>
    <w:rsid w:val="005019AE"/>
    <w:rsid w:val="00503749"/>
    <w:rsid w:val="00503D59"/>
    <w:rsid w:val="00504CF4"/>
    <w:rsid w:val="0050635B"/>
    <w:rsid w:val="005075B3"/>
    <w:rsid w:val="005151C2"/>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39EE"/>
    <w:rsid w:val="005763E0"/>
    <w:rsid w:val="00581136"/>
    <w:rsid w:val="00581EB8"/>
    <w:rsid w:val="005839E7"/>
    <w:rsid w:val="0058437F"/>
    <w:rsid w:val="00590EF3"/>
    <w:rsid w:val="005A27CA"/>
    <w:rsid w:val="005A43BD"/>
    <w:rsid w:val="005A79E5"/>
    <w:rsid w:val="005D034C"/>
    <w:rsid w:val="005D377F"/>
    <w:rsid w:val="005D712B"/>
    <w:rsid w:val="005E226E"/>
    <w:rsid w:val="005E2636"/>
    <w:rsid w:val="006015D7"/>
    <w:rsid w:val="00601B21"/>
    <w:rsid w:val="006041F0"/>
    <w:rsid w:val="00605C6D"/>
    <w:rsid w:val="00611C1E"/>
    <w:rsid w:val="006120CA"/>
    <w:rsid w:val="0061443A"/>
    <w:rsid w:val="00624174"/>
    <w:rsid w:val="00626CF8"/>
    <w:rsid w:val="006314AF"/>
    <w:rsid w:val="00634003"/>
    <w:rsid w:val="00634ED8"/>
    <w:rsid w:val="00636D7D"/>
    <w:rsid w:val="00637408"/>
    <w:rsid w:val="00642868"/>
    <w:rsid w:val="00644019"/>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87509"/>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4D43"/>
    <w:rsid w:val="006E69F4"/>
    <w:rsid w:val="006F1555"/>
    <w:rsid w:val="006F1B67"/>
    <w:rsid w:val="006F4D9C"/>
    <w:rsid w:val="0070091D"/>
    <w:rsid w:val="00702854"/>
    <w:rsid w:val="0071741C"/>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098E"/>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17B4"/>
    <w:rsid w:val="008052E1"/>
    <w:rsid w:val="00811EEB"/>
    <w:rsid w:val="0082081A"/>
    <w:rsid w:val="00822F2C"/>
    <w:rsid w:val="00823BD3"/>
    <w:rsid w:val="00823DEE"/>
    <w:rsid w:val="008305E8"/>
    <w:rsid w:val="00832959"/>
    <w:rsid w:val="00836165"/>
    <w:rsid w:val="008365B2"/>
    <w:rsid w:val="008413CB"/>
    <w:rsid w:val="0084640C"/>
    <w:rsid w:val="00856088"/>
    <w:rsid w:val="00860826"/>
    <w:rsid w:val="00860E21"/>
    <w:rsid w:val="00863117"/>
    <w:rsid w:val="0086388B"/>
    <w:rsid w:val="008642E5"/>
    <w:rsid w:val="00864488"/>
    <w:rsid w:val="0086628D"/>
    <w:rsid w:val="00870A36"/>
    <w:rsid w:val="00872D93"/>
    <w:rsid w:val="00874CC4"/>
    <w:rsid w:val="008764AA"/>
    <w:rsid w:val="00880470"/>
    <w:rsid w:val="00880D94"/>
    <w:rsid w:val="008814E8"/>
    <w:rsid w:val="00886F64"/>
    <w:rsid w:val="008924C7"/>
    <w:rsid w:val="008924DE"/>
    <w:rsid w:val="008A3755"/>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F13D3"/>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50A0"/>
    <w:rsid w:val="00966F9A"/>
    <w:rsid w:val="00977B8A"/>
    <w:rsid w:val="00982971"/>
    <w:rsid w:val="009845AD"/>
    <w:rsid w:val="00984835"/>
    <w:rsid w:val="009933EF"/>
    <w:rsid w:val="00995BA0"/>
    <w:rsid w:val="009A418B"/>
    <w:rsid w:val="009A426F"/>
    <w:rsid w:val="009A42D5"/>
    <w:rsid w:val="009A4473"/>
    <w:rsid w:val="009B05C9"/>
    <w:rsid w:val="009B1687"/>
    <w:rsid w:val="009B286C"/>
    <w:rsid w:val="009B3E0F"/>
    <w:rsid w:val="009C151C"/>
    <w:rsid w:val="009C440A"/>
    <w:rsid w:val="009D5125"/>
    <w:rsid w:val="009D60B8"/>
    <w:rsid w:val="009D7D4B"/>
    <w:rsid w:val="009E36ED"/>
    <w:rsid w:val="009E3B47"/>
    <w:rsid w:val="009E3C8C"/>
    <w:rsid w:val="009E4992"/>
    <w:rsid w:val="009E6B77"/>
    <w:rsid w:val="009F4372"/>
    <w:rsid w:val="009F460A"/>
    <w:rsid w:val="00A043FB"/>
    <w:rsid w:val="00A05307"/>
    <w:rsid w:val="00A05704"/>
    <w:rsid w:val="00A06BE4"/>
    <w:rsid w:val="00A0729C"/>
    <w:rsid w:val="00A073CF"/>
    <w:rsid w:val="00A07779"/>
    <w:rsid w:val="00A1166A"/>
    <w:rsid w:val="00A20B2E"/>
    <w:rsid w:val="00A23285"/>
    <w:rsid w:val="00A24F33"/>
    <w:rsid w:val="00A25069"/>
    <w:rsid w:val="00A25A47"/>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0839"/>
    <w:rsid w:val="00A7415D"/>
    <w:rsid w:val="00A80363"/>
    <w:rsid w:val="00A80939"/>
    <w:rsid w:val="00A83E9D"/>
    <w:rsid w:val="00A85A38"/>
    <w:rsid w:val="00A87C05"/>
    <w:rsid w:val="00A9169D"/>
    <w:rsid w:val="00A93598"/>
    <w:rsid w:val="00A97A3A"/>
    <w:rsid w:val="00AA240C"/>
    <w:rsid w:val="00AB0332"/>
    <w:rsid w:val="00AC101C"/>
    <w:rsid w:val="00AD4CF1"/>
    <w:rsid w:val="00AD5988"/>
    <w:rsid w:val="00AD6293"/>
    <w:rsid w:val="00AE1643"/>
    <w:rsid w:val="00AE16AF"/>
    <w:rsid w:val="00AF372E"/>
    <w:rsid w:val="00AF7800"/>
    <w:rsid w:val="00B00CF5"/>
    <w:rsid w:val="00B072E0"/>
    <w:rsid w:val="00B1007E"/>
    <w:rsid w:val="00B13D41"/>
    <w:rsid w:val="00B22503"/>
    <w:rsid w:val="00B253F6"/>
    <w:rsid w:val="00B26675"/>
    <w:rsid w:val="00B305DB"/>
    <w:rsid w:val="00B332F8"/>
    <w:rsid w:val="00B3492B"/>
    <w:rsid w:val="00B4646F"/>
    <w:rsid w:val="00B55C7D"/>
    <w:rsid w:val="00B63038"/>
    <w:rsid w:val="00B6357A"/>
    <w:rsid w:val="00B64BD8"/>
    <w:rsid w:val="00B701D1"/>
    <w:rsid w:val="00B73AF2"/>
    <w:rsid w:val="00B73D79"/>
    <w:rsid w:val="00B7551A"/>
    <w:rsid w:val="00B773F1"/>
    <w:rsid w:val="00B86AB1"/>
    <w:rsid w:val="00B87726"/>
    <w:rsid w:val="00B903EE"/>
    <w:rsid w:val="00B91B22"/>
    <w:rsid w:val="00BA7EBA"/>
    <w:rsid w:val="00BB2A06"/>
    <w:rsid w:val="00BB2CBB"/>
    <w:rsid w:val="00BB4198"/>
    <w:rsid w:val="00BC03EE"/>
    <w:rsid w:val="00BC59F1"/>
    <w:rsid w:val="00BD488E"/>
    <w:rsid w:val="00BF3DE1"/>
    <w:rsid w:val="00BF4843"/>
    <w:rsid w:val="00BF5205"/>
    <w:rsid w:val="00C05132"/>
    <w:rsid w:val="00C12508"/>
    <w:rsid w:val="00C23728"/>
    <w:rsid w:val="00C3026C"/>
    <w:rsid w:val="00C313A9"/>
    <w:rsid w:val="00C347C8"/>
    <w:rsid w:val="00C358E4"/>
    <w:rsid w:val="00C418EE"/>
    <w:rsid w:val="00C441CF"/>
    <w:rsid w:val="00C45AA2"/>
    <w:rsid w:val="00C4792C"/>
    <w:rsid w:val="00C55BEF"/>
    <w:rsid w:val="00C57C00"/>
    <w:rsid w:val="00C601AF"/>
    <w:rsid w:val="00C61A63"/>
    <w:rsid w:val="00C66296"/>
    <w:rsid w:val="00C7394D"/>
    <w:rsid w:val="00C756B7"/>
    <w:rsid w:val="00C77282"/>
    <w:rsid w:val="00C84DE5"/>
    <w:rsid w:val="00C86248"/>
    <w:rsid w:val="00C90B31"/>
    <w:rsid w:val="00CA0D6F"/>
    <w:rsid w:val="00CA4C33"/>
    <w:rsid w:val="00CA6F4A"/>
    <w:rsid w:val="00CB3483"/>
    <w:rsid w:val="00CB6427"/>
    <w:rsid w:val="00CC0FBE"/>
    <w:rsid w:val="00CD077C"/>
    <w:rsid w:val="00CD2119"/>
    <w:rsid w:val="00CD237A"/>
    <w:rsid w:val="00CD36AC"/>
    <w:rsid w:val="00CE13A3"/>
    <w:rsid w:val="00CE36BC"/>
    <w:rsid w:val="00CF1747"/>
    <w:rsid w:val="00CF60ED"/>
    <w:rsid w:val="00D05D74"/>
    <w:rsid w:val="00D114D8"/>
    <w:rsid w:val="00D20C59"/>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378B"/>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E3B20"/>
    <w:rsid w:val="00DE6C94"/>
    <w:rsid w:val="00DE6FD7"/>
    <w:rsid w:val="00DF0C7C"/>
    <w:rsid w:val="00E03645"/>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964E2"/>
    <w:rsid w:val="00EA796A"/>
    <w:rsid w:val="00EB1856"/>
    <w:rsid w:val="00EC50CE"/>
    <w:rsid w:val="00EC5B34"/>
    <w:rsid w:val="00ED021E"/>
    <w:rsid w:val="00ED323C"/>
    <w:rsid w:val="00EE2D5C"/>
    <w:rsid w:val="00EE4ADE"/>
    <w:rsid w:val="00EE4DE8"/>
    <w:rsid w:val="00EE5CB7"/>
    <w:rsid w:val="00EE67CB"/>
    <w:rsid w:val="00F000BF"/>
    <w:rsid w:val="00F01EE1"/>
    <w:rsid w:val="00F024FE"/>
    <w:rsid w:val="00F05AD4"/>
    <w:rsid w:val="00F0746B"/>
    <w:rsid w:val="00F103BE"/>
    <w:rsid w:val="00F10EB6"/>
    <w:rsid w:val="00F13F07"/>
    <w:rsid w:val="00F140B2"/>
    <w:rsid w:val="00F16595"/>
    <w:rsid w:val="00F25970"/>
    <w:rsid w:val="00F311A9"/>
    <w:rsid w:val="00F31343"/>
    <w:rsid w:val="00F37381"/>
    <w:rsid w:val="00F5180D"/>
    <w:rsid w:val="00F54E74"/>
    <w:rsid w:val="00F63781"/>
    <w:rsid w:val="00F67496"/>
    <w:rsid w:val="00F7421E"/>
    <w:rsid w:val="00F801BA"/>
    <w:rsid w:val="00F807AD"/>
    <w:rsid w:val="00F9366A"/>
    <w:rsid w:val="00F946C9"/>
    <w:rsid w:val="00F969BD"/>
    <w:rsid w:val="00FA092E"/>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ABEE16"/>
  <w15:docId w15:val="{1FE68049-A3C6-4E65-B92E-00DBFCFE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466303"/>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66303"/>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2C781D"/>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Italics">
    <w:name w:val="Italics"/>
    <w:basedOn w:val="Normal"/>
    <w:qFormat/>
    <w:rsid w:val="009B1687"/>
    <w:rPr>
      <w:i/>
      <w:color w:val="595959" w:themeColor="text1" w:themeTint="A6"/>
    </w:rPr>
  </w:style>
  <w:style w:type="table" w:styleId="TableGrid">
    <w:name w:val="Table Grid"/>
    <w:basedOn w:val="TableNormal"/>
    <w:uiPriority w:val="39"/>
    <w:rsid w:val="00EE67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csBullet">
    <w:name w:val="Italics Bullet"/>
    <w:basedOn w:val="Bullet"/>
    <w:qFormat/>
    <w:rsid w:val="00B903EE"/>
    <w:pPr>
      <w:spacing w:before="60"/>
    </w:pPr>
    <w:rPr>
      <w:i/>
      <w:color w:val="595959" w:themeColor="text1" w:themeTint="A6"/>
    </w:rPr>
  </w:style>
  <w:style w:type="paragraph" w:customStyle="1" w:styleId="ItalicsDash">
    <w:name w:val="Italics Dash"/>
    <w:basedOn w:val="Dash"/>
    <w:qFormat/>
    <w:rsid w:val="00590EF3"/>
    <w:pPr>
      <w:spacing w:before="30"/>
      <w:ind w:left="568" w:hanging="284"/>
    </w:pPr>
    <w:rPr>
      <w:i/>
      <w:color w:val="595959" w:themeColor="text1" w:themeTint="A6"/>
    </w:rPr>
  </w:style>
  <w:style w:type="paragraph" w:customStyle="1" w:styleId="Circle">
    <w:name w:val="Circle"/>
    <w:basedOn w:val="Normal"/>
    <w:qFormat/>
    <w:rsid w:val="00152E9B"/>
    <w:pPr>
      <w:numPr>
        <w:numId w:val="40"/>
      </w:numPr>
      <w:spacing w:before="30"/>
      <w:ind w:left="851" w:hanging="284"/>
    </w:pPr>
    <w:rPr>
      <w:lang w:val="mi-NZ"/>
    </w:rPr>
  </w:style>
  <w:style w:type="paragraph" w:customStyle="1" w:styleId="Bullet-4thlevelafterCircle">
    <w:name w:val="Bullet - 4th level after Circle"/>
    <w:basedOn w:val="Normal"/>
    <w:qFormat/>
    <w:rsid w:val="00590EF3"/>
    <w:pPr>
      <w:numPr>
        <w:numId w:val="41"/>
      </w:numPr>
      <w:spacing w:before="30"/>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www.health.govt.nz/our-work/regulation-health-and-disability-system/drug-checking" TargetMode="External"/><Relationship Id="rId3" Type="http://schemas.openxmlformats.org/officeDocument/2006/relationships/styles" Target="styles.xml"/><Relationship Id="rId21" Type="http://schemas.openxmlformats.org/officeDocument/2006/relationships/hyperlink" Target="mailto:drugcheckingadmin@health.govt.nz"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hyperlink" Target="https://www.health.govt.nz/our-work/regulation-health-and-disability-system/drug-checking"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drugcheckingadmin@health.govt.nz" TargetMode="External"/><Relationship Id="rId29" Type="http://schemas.openxmlformats.org/officeDocument/2006/relationships/hyperlink" Target="mailto:drugcheckingadmin@health.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t.nz" TargetMode="External"/><Relationship Id="rId24" Type="http://schemas.openxmlformats.org/officeDocument/2006/relationships/hyperlink" Target="https://www.health.govt.nz/our-work/regulation-health-and-disability-system/drug-checking" TargetMode="External"/><Relationship Id="rId32" Type="http://schemas.openxmlformats.org/officeDocument/2006/relationships/hyperlink" Target="tel:0800855066"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justice.govt.nz/criminal-records/police-clearance/" TargetMode="External"/><Relationship Id="rId28" Type="http://schemas.openxmlformats.org/officeDocument/2006/relationships/hyperlink" Target="https://www.health.govt.nz/our-work/regulation-health-and-disability-system/drug-checking"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legislation.govt.nz/act/public/1975/0116/latest/DLM436101.html%20" TargetMode="External"/><Relationship Id="rId31" Type="http://schemas.openxmlformats.org/officeDocument/2006/relationships/hyperlink" Target="mailto:drugcheckingadmin@health.govt.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justice.govt.nz/criminal-records/get-your-own/" TargetMode="External"/><Relationship Id="rId27" Type="http://schemas.openxmlformats.org/officeDocument/2006/relationships/hyperlink" Target="mailto:drugcheckingadmin@health.govt.nz" TargetMode="External"/><Relationship Id="rId30" Type="http://schemas.openxmlformats.org/officeDocument/2006/relationships/hyperlink" Target="https://www.health.govt.nz/our-work/regulation-health-and-disability-system/drug-checking"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olice.govt.nz/use-10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78480-DBAD-4DC2-9D52-B794279D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26</TotalTime>
  <Pages>43</Pages>
  <Words>9946</Words>
  <Characters>56694</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Checking Service Provider Licensing Handbook: Guidance for potential and current drug and substance checking service providers</dc:title>
  <dc:creator>Ministry of Health</dc:creator>
  <cp:lastModifiedBy>Ministry of Health</cp:lastModifiedBy>
  <cp:revision>9</cp:revision>
  <cp:lastPrinted>2022-03-28T03:56:00Z</cp:lastPrinted>
  <dcterms:created xsi:type="dcterms:W3CDTF">2022-03-28T02:32:00Z</dcterms:created>
  <dcterms:modified xsi:type="dcterms:W3CDTF">2022-03-28T03:57:00Z</dcterms:modified>
</cp:coreProperties>
</file>