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38744" w14:textId="108B2AB6" w:rsidR="00F140F5" w:rsidRPr="00F140F5" w:rsidRDefault="00CA3695" w:rsidP="00476EE5">
      <w:pPr>
        <w:pStyle w:val="CoverPicturePlaceholder"/>
        <w:ind w:left="-1417"/>
      </w:pPr>
      <w:r>
        <w:rPr>
          <w:noProof/>
        </w:rPr>
        <w:drawing>
          <wp:inline distT="0" distB="0" distL="0" distR="0" wp14:anchorId="6C6C1C9C" wp14:editId="0B67134F">
            <wp:extent cx="7591425" cy="4166036"/>
            <wp:effectExtent l="0" t="0" r="0" b="635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1"/>
                    <a:stretch>
                      <a:fillRect/>
                    </a:stretch>
                  </pic:blipFill>
                  <pic:spPr>
                    <a:xfrm>
                      <a:off x="0" y="0"/>
                      <a:ext cx="7600564" cy="4171052"/>
                    </a:xfrm>
                    <a:prstGeom prst="rect">
                      <a:avLst/>
                    </a:prstGeom>
                  </pic:spPr>
                </pic:pic>
              </a:graphicData>
            </a:graphic>
          </wp:inline>
        </w:drawing>
      </w:r>
    </w:p>
    <w:p w14:paraId="5398F89E" w14:textId="68EFD1A1" w:rsidR="00F44449" w:rsidRDefault="00CE75DD" w:rsidP="00747839">
      <w:pPr>
        <w:pStyle w:val="CoverTitle"/>
        <w:spacing w:before="840"/>
      </w:pPr>
      <w:r>
        <w:t>The cost of long</w:t>
      </w:r>
      <w:r w:rsidR="003526E9">
        <w:t>-</w:t>
      </w:r>
      <w:r>
        <w:t xml:space="preserve">term conditions </w:t>
      </w:r>
      <w:r w:rsidR="003526E9">
        <w:t>in New Zealand</w:t>
      </w:r>
    </w:p>
    <w:p w14:paraId="2E86B917" w14:textId="3694CD9E" w:rsidR="006D0BF3" w:rsidRDefault="00531FF8" w:rsidP="006D0BF3">
      <w:pPr>
        <w:pStyle w:val="CoverSubTitle"/>
      </w:pPr>
      <w:r>
        <w:t>Review</w:t>
      </w:r>
      <w:r w:rsidR="003526E9">
        <w:t xml:space="preserve"> of </w:t>
      </w:r>
      <w:r>
        <w:t xml:space="preserve">the </w:t>
      </w:r>
      <w:r w:rsidR="003526E9">
        <w:t>evidence</w:t>
      </w:r>
      <w:r w:rsidR="5DD00D49">
        <w:t xml:space="preserve"> – 2021 update</w:t>
      </w:r>
    </w:p>
    <w:p w14:paraId="01778339" w14:textId="4F5F614B" w:rsidR="006D0BF3" w:rsidRDefault="008A030A" w:rsidP="004D53BA">
      <w:pPr>
        <w:pStyle w:val="CoverSubheading"/>
      </w:pPr>
      <w:r>
        <w:t>NZIER report to</w:t>
      </w:r>
      <w:r w:rsidR="005C7B8B">
        <w:t xml:space="preserve"> </w:t>
      </w:r>
      <w:r w:rsidR="003526E9">
        <w:t>the Ministry of Health</w:t>
      </w:r>
    </w:p>
    <w:p w14:paraId="3AA2C264" w14:textId="294101F6" w:rsidR="2612E4DC" w:rsidRDefault="009C7CA4" w:rsidP="09252924">
      <w:pPr>
        <w:pStyle w:val="CoverSubsubheading"/>
        <w:rPr>
          <w:rFonts w:eastAsia="Arial"/>
          <w:color w:val="30353F" w:themeColor="text1"/>
          <w:szCs w:val="20"/>
        </w:rPr>
      </w:pPr>
      <w:r>
        <w:t>Februa</w:t>
      </w:r>
      <w:r w:rsidR="2612E4DC">
        <w:t>ry 2022</w:t>
      </w:r>
    </w:p>
    <w:p w14:paraId="30A7055F" w14:textId="77777777" w:rsidR="00183CB7" w:rsidRDefault="00183CB7" w:rsidP="00451DC4">
      <w:pPr>
        <w:pStyle w:val="USBodyText"/>
      </w:pPr>
    </w:p>
    <w:p w14:paraId="0BCE69B3" w14:textId="67B1F23D" w:rsidR="002F35ED" w:rsidRDefault="002F35ED" w:rsidP="00451DC4">
      <w:pPr>
        <w:pStyle w:val="USBodyText"/>
        <w:sectPr w:rsidR="002F35ED" w:rsidSect="005925F4">
          <w:headerReference w:type="default" r:id="rId12"/>
          <w:footerReference w:type="even" r:id="rId13"/>
          <w:footerReference w:type="default" r:id="rId14"/>
          <w:headerReference w:type="first" r:id="rId15"/>
          <w:pgSz w:w="11907" w:h="16839" w:code="9"/>
          <w:pgMar w:top="3402" w:right="1418" w:bottom="1418" w:left="1418" w:header="851" w:footer="851" w:gutter="0"/>
          <w:pgNumType w:fmt="lowerRoman"/>
          <w:cols w:space="708"/>
          <w:titlePg/>
          <w:docGrid w:linePitch="360"/>
        </w:sectPr>
      </w:pPr>
    </w:p>
    <w:p w14:paraId="08B9A00B" w14:textId="7BCBF01C" w:rsidR="003B713F" w:rsidRDefault="003B713F" w:rsidP="003B713F">
      <w:pPr>
        <w:pStyle w:val="ESHeading1"/>
      </w:pPr>
      <w:r>
        <w:lastRenderedPageBreak/>
        <w:t>About NZIER</w:t>
      </w:r>
    </w:p>
    <w:p w14:paraId="5CACBBCF" w14:textId="77777777" w:rsidR="003115E7" w:rsidRDefault="003115E7" w:rsidP="003115E7">
      <w:pPr>
        <w:pStyle w:val="USBodyText"/>
      </w:pPr>
      <w:r>
        <w:t xml:space="preserve">NZIER is a specialist consulting firm that uses applied economic research and analysis to provide a wide range of strategic advice. </w:t>
      </w:r>
    </w:p>
    <w:p w14:paraId="69ADDDD9" w14:textId="77777777" w:rsidR="003115E7" w:rsidRDefault="003115E7" w:rsidP="008B544F">
      <w:pPr>
        <w:pStyle w:val="USBodyText"/>
      </w:pPr>
      <w:r>
        <w:t>We undertake and make freely available economic research aimed at promoting a better understanding of New Zealand’s important economic challenges.</w:t>
      </w:r>
    </w:p>
    <w:p w14:paraId="4E24AC04" w14:textId="42D53B29" w:rsidR="003115E7" w:rsidRDefault="003115E7" w:rsidP="003115E7">
      <w:pPr>
        <w:pStyle w:val="USBodyText"/>
      </w:pPr>
      <w:r>
        <w:t>Our long-established Quarterly Survey of Business Opinion and Quarterly Predictions are available to members of NZIER.</w:t>
      </w:r>
    </w:p>
    <w:p w14:paraId="6FE7FBA7" w14:textId="11BE3E36" w:rsidR="003115E7" w:rsidRDefault="003115E7" w:rsidP="003115E7">
      <w:pPr>
        <w:pStyle w:val="USBodyText"/>
      </w:pPr>
      <w:r>
        <w:t>We pride ourselves on our reputation for independence and delivering quality analysis in the right form and at the right time. We ensure quality through teamwork on individual projects, critical review at internal seminars, and peer review.</w:t>
      </w:r>
    </w:p>
    <w:p w14:paraId="59C753E9" w14:textId="11E8BE7D" w:rsidR="003115E7" w:rsidRPr="003115E7" w:rsidRDefault="003115E7" w:rsidP="003115E7">
      <w:pPr>
        <w:pStyle w:val="USBodyText"/>
      </w:pPr>
      <w:r>
        <w:t>NZIER was established in 1958.</w:t>
      </w:r>
      <w:r w:rsidR="00EF74BD">
        <w:t xml:space="preserve"> </w:t>
      </w:r>
    </w:p>
    <w:p w14:paraId="58C27AE5" w14:textId="77777777" w:rsidR="003B713F" w:rsidRDefault="003B713F" w:rsidP="003B713F">
      <w:pPr>
        <w:pStyle w:val="ESHeading1"/>
      </w:pPr>
      <w:r>
        <w:t>Authorship</w:t>
      </w:r>
    </w:p>
    <w:p w14:paraId="46C68889" w14:textId="6E5324CC" w:rsidR="003B713F" w:rsidRDefault="003B713F" w:rsidP="003B713F">
      <w:pPr>
        <w:pStyle w:val="USBodyText"/>
      </w:pPr>
      <w:r>
        <w:t xml:space="preserve">This paper was prepared </w:t>
      </w:r>
      <w:r w:rsidR="008A030A">
        <w:t xml:space="preserve">at NZIER by </w:t>
      </w:r>
      <w:r w:rsidR="003526E9">
        <w:t>Sarah Hogan</w:t>
      </w:r>
      <w:r w:rsidR="00034D03">
        <w:t xml:space="preserve"> and Zhongchen Song</w:t>
      </w:r>
      <w:r>
        <w:t>.</w:t>
      </w:r>
    </w:p>
    <w:p w14:paraId="0DA0A826" w14:textId="08FCC523" w:rsidR="00DE7FA6" w:rsidRDefault="00DE7FA6" w:rsidP="003B713F">
      <w:pPr>
        <w:pStyle w:val="USBodyText"/>
      </w:pPr>
      <w:r>
        <w:t xml:space="preserve">It was quality approved by </w:t>
      </w:r>
      <w:r w:rsidR="003526E9">
        <w:t>Todd Krieble</w:t>
      </w:r>
      <w:r w:rsidR="0049571D">
        <w:t>.</w:t>
      </w:r>
    </w:p>
    <w:p w14:paraId="4970C1E4" w14:textId="4950ECAA" w:rsidR="006C7213" w:rsidRDefault="003B713F" w:rsidP="003B713F">
      <w:pPr>
        <w:pStyle w:val="USBodyText"/>
      </w:pPr>
      <w:r>
        <w:t xml:space="preserve">The assistance of </w:t>
      </w:r>
      <w:r w:rsidR="003526E9">
        <w:t>Sarah Spring</w:t>
      </w:r>
      <w:r w:rsidR="003F1668">
        <w:t xml:space="preserve"> </w:t>
      </w:r>
      <w:r w:rsidR="008A030A">
        <w:t>is gratefully acknowledged</w:t>
      </w:r>
      <w:r>
        <w:t xml:space="preserve">. </w:t>
      </w:r>
    </w:p>
    <w:p w14:paraId="27E2C206" w14:textId="1E8F262E" w:rsidR="004D53BA" w:rsidRDefault="004D53BA" w:rsidP="00F44449">
      <w:pPr>
        <w:pStyle w:val="USBodyText"/>
      </w:pPr>
    </w:p>
    <w:p w14:paraId="2549679B" w14:textId="77777777" w:rsidR="00E268A9" w:rsidRDefault="00E268A9" w:rsidP="00F44449">
      <w:pPr>
        <w:pStyle w:val="USBodyText"/>
      </w:pPr>
    </w:p>
    <w:p w14:paraId="5D4A699E" w14:textId="77777777" w:rsidR="00F44449" w:rsidRPr="00F44449" w:rsidRDefault="00F44449" w:rsidP="00F44449">
      <w:pPr>
        <w:pStyle w:val="USBodyText"/>
        <w:sectPr w:rsidR="00F44449" w:rsidRPr="00F44449" w:rsidSect="005925F4">
          <w:headerReference w:type="even" r:id="rId16"/>
          <w:headerReference w:type="default" r:id="rId17"/>
          <w:footerReference w:type="default" r:id="rId18"/>
          <w:headerReference w:type="first" r:id="rId19"/>
          <w:type w:val="oddPage"/>
          <w:pgSz w:w="11907" w:h="16839" w:code="9"/>
          <w:pgMar w:top="1701" w:right="1418" w:bottom="1418" w:left="1418" w:header="851" w:footer="851" w:gutter="0"/>
          <w:pgNumType w:fmt="lowerRoman"/>
          <w:cols w:space="708"/>
          <w:docGrid w:linePitch="360"/>
        </w:sectPr>
      </w:pPr>
    </w:p>
    <w:p w14:paraId="0AC2C6C4" w14:textId="34C5557E" w:rsidR="00BE14CF" w:rsidRDefault="00BE14CF" w:rsidP="00BE14CF">
      <w:pPr>
        <w:pStyle w:val="ESHeading1"/>
      </w:pPr>
      <w:r>
        <w:lastRenderedPageBreak/>
        <w:t>Key points</w:t>
      </w:r>
    </w:p>
    <w:p w14:paraId="60ECA1A8" w14:textId="2266882B" w:rsidR="002C3311" w:rsidRDefault="002C3311" w:rsidP="000469A4">
      <w:pPr>
        <w:pStyle w:val="Heading4"/>
      </w:pPr>
      <w:r>
        <w:t>Long</w:t>
      </w:r>
      <w:r w:rsidR="00AF5F5B">
        <w:t>-</w:t>
      </w:r>
      <w:r>
        <w:t>term conditions are a major focus area for New Zealand</w:t>
      </w:r>
    </w:p>
    <w:p w14:paraId="2AB2CA6F" w14:textId="599269AB" w:rsidR="003F4636" w:rsidRDefault="008A0C27" w:rsidP="003F4636">
      <w:pPr>
        <w:pStyle w:val="USBodyText"/>
      </w:pPr>
      <w:r>
        <w:t>Long-term conditions continue to pose a major challenge for the New Zealand health system. The prevalence of long</w:t>
      </w:r>
      <w:r w:rsidR="00435C85">
        <w:t>-</w:t>
      </w:r>
      <w:r>
        <w:t xml:space="preserve">term conditions is high and rising, particularly for </w:t>
      </w:r>
      <w:r w:rsidR="00F82B2C">
        <w:t>Māori</w:t>
      </w:r>
      <w:r>
        <w:t xml:space="preserve"> and Pacific </w:t>
      </w:r>
      <w:r w:rsidR="00F82B2C">
        <w:t>people</w:t>
      </w:r>
      <w:r w:rsidR="00010B57">
        <w:t xml:space="preserve"> who experience the onset of disease at a younger age</w:t>
      </w:r>
      <w:r>
        <w:t xml:space="preserve"> </w:t>
      </w:r>
      <w:r w:rsidR="00010B57">
        <w:t xml:space="preserve">and </w:t>
      </w:r>
      <w:r w:rsidR="00010B57" w:rsidRPr="00010B57">
        <w:t>face a higher risk</w:t>
      </w:r>
      <w:r w:rsidR="00010B57">
        <w:t xml:space="preserve"> of complications and early death. </w:t>
      </w:r>
    </w:p>
    <w:p w14:paraId="662206A6" w14:textId="28F5188F" w:rsidR="003F4636" w:rsidRDefault="008A0C27" w:rsidP="003F4636">
      <w:pPr>
        <w:pStyle w:val="USBodyText"/>
      </w:pPr>
      <w:r>
        <w:t xml:space="preserve">The modifiable risk factors </w:t>
      </w:r>
      <w:r w:rsidR="00376480">
        <w:t>for many long-term conditions – ph</w:t>
      </w:r>
      <w:r>
        <w:t>ysical inactivity, obesity</w:t>
      </w:r>
      <w:r w:rsidR="003F4636">
        <w:t xml:space="preserve"> and poor diet, </w:t>
      </w:r>
      <w:r w:rsidR="00595D0E">
        <w:t>alcohol,</w:t>
      </w:r>
      <w:r>
        <w:t xml:space="preserve"> and tobacco consumption </w:t>
      </w:r>
      <w:r w:rsidR="00376480">
        <w:t xml:space="preserve">– have </w:t>
      </w:r>
      <w:r w:rsidR="003F4636">
        <w:t>been major preventable drivers of the</w:t>
      </w:r>
      <w:r>
        <w:t xml:space="preserve"> rise of long-term conditions</w:t>
      </w:r>
      <w:r w:rsidR="00376480">
        <w:t xml:space="preserve"> in general</w:t>
      </w:r>
      <w:r>
        <w:t xml:space="preserve">. </w:t>
      </w:r>
    </w:p>
    <w:p w14:paraId="5B9B32D7" w14:textId="760422E6" w:rsidR="002C3311" w:rsidRDefault="000469A4" w:rsidP="000469A4">
      <w:pPr>
        <w:pStyle w:val="Heading4"/>
      </w:pPr>
      <w:r>
        <w:t>New</w:t>
      </w:r>
      <w:r w:rsidR="00AF5F5B">
        <w:t>-</w:t>
      </w:r>
      <w:r>
        <w:t>Zealand based studies are a small proportion of the international literature</w:t>
      </w:r>
    </w:p>
    <w:p w14:paraId="4D25FAA8" w14:textId="13699A20" w:rsidR="008047C0" w:rsidRDefault="00A67810" w:rsidP="003F4636">
      <w:pPr>
        <w:pStyle w:val="USBodyText"/>
      </w:pPr>
      <w:r>
        <w:t>Our search identified</w:t>
      </w:r>
      <w:r w:rsidR="008A0C27">
        <w:t xml:space="preserve"> </w:t>
      </w:r>
      <w:r w:rsidR="00651D7A">
        <w:t>a total of</w:t>
      </w:r>
      <w:r w:rsidR="008047C0">
        <w:t xml:space="preserve"> </w:t>
      </w:r>
      <w:r w:rsidR="003D4164">
        <w:t>453</w:t>
      </w:r>
      <w:r w:rsidR="00651D7A">
        <w:t xml:space="preserve"> </w:t>
      </w:r>
      <w:r w:rsidR="00D325BA">
        <w:t xml:space="preserve">studies </w:t>
      </w:r>
      <w:r w:rsidR="008047C0">
        <w:t xml:space="preserve">dating back to 2008 </w:t>
      </w:r>
      <w:r w:rsidR="00D325BA">
        <w:t xml:space="preserve">that were </w:t>
      </w:r>
      <w:r w:rsidR="003D4164">
        <w:t>assessed</w:t>
      </w:r>
      <w:r w:rsidR="00D325BA">
        <w:t xml:space="preserve"> for cost-of-illness information</w:t>
      </w:r>
      <w:r w:rsidR="00B705F6">
        <w:t xml:space="preserve"> for in-scope conditions</w:t>
      </w:r>
      <w:r w:rsidR="00D325BA">
        <w:t xml:space="preserve"> based on the New Zealand context. </w:t>
      </w:r>
      <w:r w:rsidR="00595D0E">
        <w:t>Twenty-</w:t>
      </w:r>
      <w:r w:rsidR="00EA17B9">
        <w:t>two</w:t>
      </w:r>
      <w:r w:rsidR="00E05591">
        <w:t xml:space="preserve"> </w:t>
      </w:r>
      <w:r w:rsidR="008047C0">
        <w:t>studies provided</w:t>
      </w:r>
      <w:r w:rsidR="008A0C27">
        <w:t xml:space="preserve"> New Zealand-specific </w:t>
      </w:r>
      <w:r w:rsidR="00BB6C3D">
        <w:t xml:space="preserve">cost-of-illness </w:t>
      </w:r>
      <w:r w:rsidR="008047C0">
        <w:t>estimates.</w:t>
      </w:r>
      <w:r w:rsidR="00243FC5">
        <w:t xml:space="preserve"> Additional information was extracted from </w:t>
      </w:r>
      <w:r w:rsidR="0021644F">
        <w:t>18</w:t>
      </w:r>
      <w:r w:rsidR="00243FC5">
        <w:t xml:space="preserve"> overseas studies where </w:t>
      </w:r>
      <w:r w:rsidR="00D232E8">
        <w:t xml:space="preserve">little or </w:t>
      </w:r>
      <w:r w:rsidR="00243FC5">
        <w:t xml:space="preserve">no </w:t>
      </w:r>
      <w:r w:rsidR="00956958">
        <w:t xml:space="preserve">cost </w:t>
      </w:r>
      <w:r w:rsidR="0088631F">
        <w:t xml:space="preserve">evidence for </w:t>
      </w:r>
      <w:r w:rsidR="00243FC5">
        <w:t>New Zealand</w:t>
      </w:r>
      <w:r w:rsidR="0088631F">
        <w:t xml:space="preserve"> was identifi</w:t>
      </w:r>
      <w:r w:rsidR="00D232E8">
        <w:t>ed</w:t>
      </w:r>
      <w:r w:rsidR="0088631F">
        <w:t>.</w:t>
      </w:r>
    </w:p>
    <w:p w14:paraId="4939DF87" w14:textId="17973509" w:rsidR="00B05718" w:rsidRDefault="00B05718" w:rsidP="00B05718">
      <w:pPr>
        <w:pStyle w:val="Heading4"/>
      </w:pPr>
      <w:r>
        <w:t>No estimate of the overall cost of long-term conditions is available</w:t>
      </w:r>
    </w:p>
    <w:p w14:paraId="3A2DBBA6" w14:textId="5C5AD2CC" w:rsidR="00376480" w:rsidRDefault="00376480" w:rsidP="003F4636">
      <w:pPr>
        <w:pStyle w:val="USBodyText"/>
      </w:pPr>
      <w:r w:rsidRPr="00376480">
        <w:t xml:space="preserve">Despite the high private and public, </w:t>
      </w:r>
      <w:r w:rsidR="00595D0E" w:rsidRPr="00376480">
        <w:t>individual,</w:t>
      </w:r>
      <w:r w:rsidRPr="00376480">
        <w:t xml:space="preserve"> and societal burden of long-term conditions in New Zealand, no report was identified that summarised or described the social and economic impact of long-term conditions in general in New Zealand.</w:t>
      </w:r>
    </w:p>
    <w:p w14:paraId="36912665" w14:textId="1513E067" w:rsidR="00294A2B" w:rsidRDefault="00294A2B" w:rsidP="00294A2B">
      <w:pPr>
        <w:pStyle w:val="Heading4"/>
      </w:pPr>
      <w:r>
        <w:t>And methodological variations make comparability challenging</w:t>
      </w:r>
    </w:p>
    <w:p w14:paraId="2D277D0C" w14:textId="7A3280B3" w:rsidR="00507AEA" w:rsidRDefault="00761EA0" w:rsidP="003F4636">
      <w:pPr>
        <w:pStyle w:val="USBodyText"/>
      </w:pPr>
      <w:r>
        <w:t xml:space="preserve">Direct health sector costs were the most commonly reported cost category, with </w:t>
      </w:r>
      <w:r w:rsidR="00134699">
        <w:t>productivity-related costs being a common indirect cost</w:t>
      </w:r>
      <w:r w:rsidR="008A0C27">
        <w:t>.</w:t>
      </w:r>
      <w:r w:rsidR="00134699">
        <w:t xml:space="preserve"> Few studies included other costs, such as out-of-pocket costs and caregiver costs</w:t>
      </w:r>
      <w:r w:rsidR="0011346A">
        <w:t>. Quality of life costs are becoming a more common feature of economic studies of illness</w:t>
      </w:r>
      <w:r w:rsidR="00507AEA">
        <w:t>, with disability-adjusted life years being the primary measure</w:t>
      </w:r>
      <w:r w:rsidR="004F639E">
        <w:t>, but inclusion of such costs presents a risk of double-counting</w:t>
      </w:r>
      <w:r w:rsidR="00507AEA">
        <w:t xml:space="preserve">. </w:t>
      </w:r>
    </w:p>
    <w:p w14:paraId="124E789D" w14:textId="77777777" w:rsidR="00F67562" w:rsidRDefault="00F67562" w:rsidP="00F67562">
      <w:pPr>
        <w:pStyle w:val="USBodyText"/>
      </w:pPr>
      <w:r>
        <w:t xml:space="preserve">Variations in methodologies make comparability challenging. These include variations in the methodology used to calculate health system costs (some of which account more fully for comorbidities), the methodology used to calculate productivity costs and quality of life costs, and the occasional inclusion of additional costs. It would not be possible on the basis of the evidence to identify with confidence how long-term conditions rank in terms of cost for New Zealand. </w:t>
      </w:r>
    </w:p>
    <w:p w14:paraId="52C284EC" w14:textId="536A4655" w:rsidR="00294A2B" w:rsidRDefault="00E05591" w:rsidP="00E05591">
      <w:pPr>
        <w:pStyle w:val="Heading4"/>
      </w:pPr>
      <w:r>
        <w:t>There are significant gaps but also important contributions in the literature</w:t>
      </w:r>
    </w:p>
    <w:p w14:paraId="670AE3DC" w14:textId="77777777" w:rsidR="00421C4E" w:rsidRDefault="00421C4E" w:rsidP="00421C4E">
      <w:pPr>
        <w:pStyle w:val="USBodyText"/>
      </w:pPr>
      <w:r>
        <w:t xml:space="preserve">Significant gaps in the cost-of-illness literature were identified. Cost-of-illness studies in the New Zealand context investigated only eight long-term conditions and three risk factors that were in-scope. One study provided estimates for six conditions, two of which were in-scope and not covered by any other identified study, as well as a range of comorbidity pairings, bringing the total number to 10. However, that study only estimated health system costs. Nevertheless, the broader approach of a study that includes several conditions that often occur comorbidly represents a major contribution due to the </w:t>
      </w:r>
      <w:r>
        <w:lastRenderedPageBreak/>
        <w:t>overestimation of costs that frequently occurs when single conditions are analysed using common cost-of-illness methodologies.</w:t>
      </w:r>
    </w:p>
    <w:p w14:paraId="56A20C8F" w14:textId="1A6F1507" w:rsidR="00731CA6" w:rsidRDefault="00CA640A" w:rsidP="00731CA6">
      <w:pPr>
        <w:pStyle w:val="USBodyText"/>
      </w:pPr>
      <w:r>
        <w:t xml:space="preserve">In scope </w:t>
      </w:r>
      <w:r w:rsidR="008A0C27">
        <w:t xml:space="preserve">long-term conditions where no </w:t>
      </w:r>
      <w:r w:rsidR="00CE65DE">
        <w:t xml:space="preserve">New </w:t>
      </w:r>
      <w:r w:rsidR="00127CB3">
        <w:t>Zealand</w:t>
      </w:r>
      <w:r w:rsidR="00CE65DE">
        <w:t xml:space="preserve"> cost-of-illness </w:t>
      </w:r>
      <w:r w:rsidR="008A0C27">
        <w:t>research was identified include</w:t>
      </w:r>
      <w:r>
        <w:t>d</w:t>
      </w:r>
      <w:r w:rsidR="00FF521D">
        <w:t xml:space="preserve"> </w:t>
      </w:r>
      <w:r w:rsidR="00CE65DE">
        <w:t>COPD,</w:t>
      </w:r>
      <w:r w:rsidR="00FF521D">
        <w:t xml:space="preserve"> </w:t>
      </w:r>
      <w:r w:rsidR="00CE65DE" w:rsidRPr="00CE65DE">
        <w:t xml:space="preserve">obstructive sleep apnoea, osteoporosis, </w:t>
      </w:r>
      <w:r w:rsidR="00722675">
        <w:t>t</w:t>
      </w:r>
      <w:r w:rsidR="00CE65DE" w:rsidRPr="00CE65DE">
        <w:t>ype 1 diabetes, gout</w:t>
      </w:r>
      <w:r w:rsidR="00FF521D">
        <w:t xml:space="preserve"> (except as a</w:t>
      </w:r>
      <w:r w:rsidR="001E3FCA">
        <w:t xml:space="preserve"> non-separable</w:t>
      </w:r>
      <w:r w:rsidR="00FF521D">
        <w:t xml:space="preserve"> inclusion in </w:t>
      </w:r>
      <w:r w:rsidR="00CB0E58">
        <w:t xml:space="preserve">an </w:t>
      </w:r>
      <w:r w:rsidR="009659C7">
        <w:t>arthritis stud</w:t>
      </w:r>
      <w:r w:rsidR="00CB0E58">
        <w:t>y</w:t>
      </w:r>
      <w:r w:rsidR="009659C7">
        <w:t>)</w:t>
      </w:r>
      <w:r w:rsidR="00CE65DE" w:rsidRPr="00CE65DE">
        <w:t xml:space="preserve">, </w:t>
      </w:r>
      <w:r w:rsidR="00680F49">
        <w:t>and c</w:t>
      </w:r>
      <w:r w:rsidR="00CE65DE" w:rsidRPr="00CE65DE">
        <w:t>ardiovascular disease</w:t>
      </w:r>
      <w:r w:rsidR="00CB0E58">
        <w:t>s</w:t>
      </w:r>
      <w:r w:rsidR="009659C7">
        <w:t xml:space="preserve">. </w:t>
      </w:r>
      <w:r w:rsidR="00CE65DE">
        <w:t>In some cases</w:t>
      </w:r>
      <w:r w:rsidR="002E3AC4">
        <w:t>,</w:t>
      </w:r>
      <w:r w:rsidR="00CE65DE">
        <w:t xml:space="preserve"> overseas studies or intervention studies are used to provide some insight</w:t>
      </w:r>
      <w:r w:rsidR="002E3AC4">
        <w:t>;</w:t>
      </w:r>
      <w:r w:rsidR="00CE65DE">
        <w:t xml:space="preserve"> </w:t>
      </w:r>
      <w:r w:rsidR="00F56F3A">
        <w:t>however</w:t>
      </w:r>
      <w:r w:rsidR="002E3AC4">
        <w:t>,</w:t>
      </w:r>
      <w:r w:rsidR="00F56F3A">
        <w:t xml:space="preserve"> these research gaps represent important deficiencies in the evidence on </w:t>
      </w:r>
      <w:r w:rsidR="00680F49">
        <w:t xml:space="preserve">the </w:t>
      </w:r>
      <w:r w:rsidR="00F56F3A">
        <w:t>cost</w:t>
      </w:r>
      <w:r w:rsidR="00680F49">
        <w:t xml:space="preserve"> </w:t>
      </w:r>
      <w:r w:rsidR="00F56F3A">
        <w:t>of</w:t>
      </w:r>
      <w:r w:rsidR="00680F49">
        <w:t xml:space="preserve"> </w:t>
      </w:r>
      <w:r w:rsidR="00F56F3A">
        <w:t xml:space="preserve">illness </w:t>
      </w:r>
      <w:r w:rsidR="00680F49">
        <w:t>in long</w:t>
      </w:r>
      <w:r w:rsidR="00AF5F5B">
        <w:t>-</w:t>
      </w:r>
      <w:r w:rsidR="00680F49">
        <w:t xml:space="preserve">term conditions </w:t>
      </w:r>
      <w:r w:rsidR="00F56F3A">
        <w:t>in New Zealand.</w:t>
      </w:r>
    </w:p>
    <w:p w14:paraId="4560E06F" w14:textId="277A89E4" w:rsidR="00E10D19" w:rsidRDefault="00E10D19" w:rsidP="00731CA6">
      <w:pPr>
        <w:pStyle w:val="USBodyText"/>
      </w:pPr>
      <w:r w:rsidRPr="00E10D19">
        <w:t xml:space="preserve">The Ministry of Health has commissioned </w:t>
      </w:r>
      <w:r w:rsidR="009C7CA4">
        <w:t xml:space="preserve">further </w:t>
      </w:r>
      <w:r w:rsidRPr="00E10D19">
        <w:t>research to help fill strategically important gaps in cost-of-illness evidence.</w:t>
      </w:r>
      <w:r w:rsidR="009631FE">
        <w:t xml:space="preserve"> </w:t>
      </w:r>
    </w:p>
    <w:p w14:paraId="61975F93" w14:textId="77777777" w:rsidR="00731CA6" w:rsidRDefault="00731CA6" w:rsidP="00731CA6">
      <w:pPr>
        <w:pStyle w:val="USBodyText"/>
      </w:pPr>
    </w:p>
    <w:p w14:paraId="21512881" w14:textId="27FBF51B" w:rsidR="00DC354C" w:rsidRDefault="00DC354C" w:rsidP="00DC354C">
      <w:pPr>
        <w:pStyle w:val="HeadingContents"/>
      </w:pPr>
      <w:r>
        <w:lastRenderedPageBreak/>
        <w:t>Contents</w:t>
      </w:r>
    </w:p>
    <w:tbl>
      <w:tblPr>
        <w:tblStyle w:val="TableGridLight"/>
        <w:tblW w:w="9393" w:type="dxa"/>
        <w:tblInd w:w="0" w:type="dxa"/>
        <w:tblCellMar>
          <w:left w:w="0" w:type="dxa"/>
          <w:right w:w="0" w:type="dxa"/>
        </w:tblCellMar>
        <w:tblLook w:val="04A0" w:firstRow="1" w:lastRow="0" w:firstColumn="1" w:lastColumn="0" w:noHBand="0" w:noVBand="1"/>
      </w:tblPr>
      <w:tblGrid>
        <w:gridCol w:w="9393"/>
      </w:tblGrid>
      <w:tr w:rsidR="00DC354C" w14:paraId="3DB5D26C" w14:textId="77777777" w:rsidTr="001C0653">
        <w:tc>
          <w:tcPr>
            <w:tcW w:w="9393" w:type="dxa"/>
            <w:tcBorders>
              <w:top w:val="nil"/>
              <w:left w:val="nil"/>
              <w:bottom w:val="nil"/>
              <w:right w:val="nil"/>
            </w:tcBorders>
          </w:tcPr>
          <w:p w14:paraId="09782354" w14:textId="00C89613" w:rsidR="005A707A" w:rsidRDefault="00DC354C">
            <w:pPr>
              <w:pStyle w:val="TOC1"/>
              <w:rPr>
                <w:rFonts w:asciiTheme="minorHAnsi" w:eastAsiaTheme="minorEastAsia" w:hAnsiTheme="minorHAnsi"/>
                <w:noProof/>
                <w:lang w:eastAsia="en-NZ"/>
              </w:rPr>
            </w:pPr>
            <w:r>
              <w:rPr>
                <w:color w:val="0094C5"/>
                <w:sz w:val="24"/>
              </w:rPr>
              <w:fldChar w:fldCharType="begin"/>
            </w:r>
            <w:r>
              <w:instrText xml:space="preserve"> TOC </w:instrText>
            </w:r>
            <w:r w:rsidR="00F175C3" w:rsidRPr="00774754">
              <w:instrText xml:space="preserve"> </w:instrText>
            </w:r>
            <w:r w:rsidR="004761CC">
              <w:instrText>\o "1-</w:instrText>
            </w:r>
            <w:r w:rsidR="00780A71">
              <w:instrText>2</w:instrText>
            </w:r>
            <w:r w:rsidR="004761CC">
              <w:instrText xml:space="preserve">" \t </w:instrText>
            </w:r>
            <w:r w:rsidR="00780A71">
              <w:instrText>\</w:instrText>
            </w:r>
            <w:r w:rsidR="00C005FA">
              <w:instrText>h</w:instrText>
            </w:r>
            <w:r w:rsidR="004761CC">
              <w:instrText>"</w:instrText>
            </w:r>
            <w:r>
              <w:instrText xml:space="preserve"> </w:instrText>
            </w:r>
            <w:r>
              <w:rPr>
                <w:color w:val="0094C5"/>
                <w:sz w:val="24"/>
              </w:rPr>
              <w:fldChar w:fldCharType="separate"/>
            </w:r>
            <w:hyperlink w:anchor="_Toc98760494" w:history="1">
              <w:r w:rsidR="005A707A" w:rsidRPr="0058372A">
                <w:rPr>
                  <w:rStyle w:val="Hyperlink"/>
                  <w:noProof/>
                </w:rPr>
                <w:t>1</w:t>
              </w:r>
              <w:r w:rsidR="005A707A">
                <w:rPr>
                  <w:rFonts w:asciiTheme="minorHAnsi" w:eastAsiaTheme="minorEastAsia" w:hAnsiTheme="minorHAnsi"/>
                  <w:noProof/>
                  <w:lang w:eastAsia="en-NZ"/>
                </w:rPr>
                <w:tab/>
              </w:r>
              <w:r w:rsidR="005A707A" w:rsidRPr="0058372A">
                <w:rPr>
                  <w:rStyle w:val="Hyperlink"/>
                  <w:noProof/>
                </w:rPr>
                <w:t>Introduction</w:t>
              </w:r>
              <w:r w:rsidR="005A707A">
                <w:rPr>
                  <w:noProof/>
                </w:rPr>
                <w:tab/>
              </w:r>
              <w:r w:rsidR="005A707A">
                <w:rPr>
                  <w:noProof/>
                </w:rPr>
                <w:fldChar w:fldCharType="begin"/>
              </w:r>
              <w:r w:rsidR="005A707A">
                <w:rPr>
                  <w:noProof/>
                </w:rPr>
                <w:instrText xml:space="preserve"> PAGEREF _Toc98760494 \h </w:instrText>
              </w:r>
              <w:r w:rsidR="005A707A">
                <w:rPr>
                  <w:noProof/>
                </w:rPr>
              </w:r>
              <w:r w:rsidR="005A707A">
                <w:rPr>
                  <w:noProof/>
                </w:rPr>
                <w:fldChar w:fldCharType="separate"/>
              </w:r>
              <w:r w:rsidR="002C631E">
                <w:rPr>
                  <w:noProof/>
                </w:rPr>
                <w:t>1</w:t>
              </w:r>
              <w:r w:rsidR="005A707A">
                <w:rPr>
                  <w:noProof/>
                </w:rPr>
                <w:fldChar w:fldCharType="end"/>
              </w:r>
            </w:hyperlink>
          </w:p>
          <w:p w14:paraId="60F01392" w14:textId="1AF994F6" w:rsidR="005A707A" w:rsidRDefault="00443CD7">
            <w:pPr>
              <w:pStyle w:val="TOC1"/>
              <w:rPr>
                <w:rFonts w:asciiTheme="minorHAnsi" w:eastAsiaTheme="minorEastAsia" w:hAnsiTheme="minorHAnsi"/>
                <w:noProof/>
                <w:lang w:eastAsia="en-NZ"/>
              </w:rPr>
            </w:pPr>
            <w:hyperlink w:anchor="_Toc98760495" w:history="1">
              <w:r w:rsidR="005A707A" w:rsidRPr="0058372A">
                <w:rPr>
                  <w:rStyle w:val="Hyperlink"/>
                  <w:noProof/>
                </w:rPr>
                <w:t>2</w:t>
              </w:r>
              <w:r w:rsidR="005A707A">
                <w:rPr>
                  <w:rFonts w:asciiTheme="minorHAnsi" w:eastAsiaTheme="minorEastAsia" w:hAnsiTheme="minorHAnsi"/>
                  <w:noProof/>
                  <w:lang w:eastAsia="en-NZ"/>
                </w:rPr>
                <w:tab/>
              </w:r>
              <w:r w:rsidR="005A707A" w:rsidRPr="0058372A">
                <w:rPr>
                  <w:rStyle w:val="Hyperlink"/>
                  <w:noProof/>
                </w:rPr>
                <w:t>General principles underlying cost-of-illness studies</w:t>
              </w:r>
              <w:r w:rsidR="005A707A">
                <w:rPr>
                  <w:noProof/>
                </w:rPr>
                <w:tab/>
              </w:r>
              <w:r w:rsidR="005A707A">
                <w:rPr>
                  <w:noProof/>
                </w:rPr>
                <w:fldChar w:fldCharType="begin"/>
              </w:r>
              <w:r w:rsidR="005A707A">
                <w:rPr>
                  <w:noProof/>
                </w:rPr>
                <w:instrText xml:space="preserve"> PAGEREF _Toc98760495 \h </w:instrText>
              </w:r>
              <w:r w:rsidR="005A707A">
                <w:rPr>
                  <w:noProof/>
                </w:rPr>
              </w:r>
              <w:r w:rsidR="005A707A">
                <w:rPr>
                  <w:noProof/>
                </w:rPr>
                <w:fldChar w:fldCharType="separate"/>
              </w:r>
              <w:r w:rsidR="002C631E">
                <w:rPr>
                  <w:noProof/>
                </w:rPr>
                <w:t>2</w:t>
              </w:r>
              <w:r w:rsidR="005A707A">
                <w:rPr>
                  <w:noProof/>
                </w:rPr>
                <w:fldChar w:fldCharType="end"/>
              </w:r>
            </w:hyperlink>
          </w:p>
          <w:p w14:paraId="752BC1DF" w14:textId="38202218" w:rsidR="005A707A" w:rsidRDefault="00443CD7">
            <w:pPr>
              <w:pStyle w:val="TOC2"/>
              <w:rPr>
                <w:rFonts w:asciiTheme="minorHAnsi" w:eastAsiaTheme="minorEastAsia" w:hAnsiTheme="minorHAnsi"/>
                <w:noProof/>
                <w:lang w:eastAsia="en-NZ"/>
              </w:rPr>
            </w:pPr>
            <w:hyperlink w:anchor="_Toc98760496" w:history="1">
              <w:r w:rsidR="005A707A" w:rsidRPr="0058372A">
                <w:rPr>
                  <w:rStyle w:val="Hyperlink"/>
                  <w:noProof/>
                </w:rPr>
                <w:t>2.1</w:t>
              </w:r>
              <w:r w:rsidR="005A707A">
                <w:rPr>
                  <w:rFonts w:asciiTheme="minorHAnsi" w:eastAsiaTheme="minorEastAsia" w:hAnsiTheme="minorHAnsi"/>
                  <w:noProof/>
                  <w:lang w:eastAsia="en-NZ"/>
                </w:rPr>
                <w:tab/>
              </w:r>
              <w:r w:rsidR="005A707A" w:rsidRPr="0058372A">
                <w:rPr>
                  <w:rStyle w:val="Hyperlink"/>
                  <w:rFonts w:cs="Calibri"/>
                  <w:bCs/>
                  <w:noProof/>
                </w:rPr>
                <w:t>Purpose</w:t>
              </w:r>
              <w:r w:rsidR="005A707A">
                <w:rPr>
                  <w:noProof/>
                </w:rPr>
                <w:tab/>
              </w:r>
              <w:r w:rsidR="005A707A">
                <w:rPr>
                  <w:noProof/>
                </w:rPr>
                <w:fldChar w:fldCharType="begin"/>
              </w:r>
              <w:r w:rsidR="005A707A">
                <w:rPr>
                  <w:noProof/>
                </w:rPr>
                <w:instrText xml:space="preserve"> PAGEREF _Toc98760496 \h </w:instrText>
              </w:r>
              <w:r w:rsidR="005A707A">
                <w:rPr>
                  <w:noProof/>
                </w:rPr>
              </w:r>
              <w:r w:rsidR="005A707A">
                <w:rPr>
                  <w:noProof/>
                </w:rPr>
                <w:fldChar w:fldCharType="separate"/>
              </w:r>
              <w:r w:rsidR="002C631E">
                <w:rPr>
                  <w:noProof/>
                </w:rPr>
                <w:t>2</w:t>
              </w:r>
              <w:r w:rsidR="005A707A">
                <w:rPr>
                  <w:noProof/>
                </w:rPr>
                <w:fldChar w:fldCharType="end"/>
              </w:r>
            </w:hyperlink>
          </w:p>
          <w:p w14:paraId="2AB96F31" w14:textId="0603C22A" w:rsidR="005A707A" w:rsidRDefault="00443CD7">
            <w:pPr>
              <w:pStyle w:val="TOC2"/>
              <w:rPr>
                <w:rFonts w:asciiTheme="minorHAnsi" w:eastAsiaTheme="minorEastAsia" w:hAnsiTheme="minorHAnsi"/>
                <w:noProof/>
                <w:lang w:eastAsia="en-NZ"/>
              </w:rPr>
            </w:pPr>
            <w:hyperlink w:anchor="_Toc98760497" w:history="1">
              <w:r w:rsidR="005A707A" w:rsidRPr="0058372A">
                <w:rPr>
                  <w:rStyle w:val="Hyperlink"/>
                  <w:noProof/>
                </w:rPr>
                <w:t>2.2</w:t>
              </w:r>
              <w:r w:rsidR="005A707A">
                <w:rPr>
                  <w:rFonts w:asciiTheme="minorHAnsi" w:eastAsiaTheme="minorEastAsia" w:hAnsiTheme="minorHAnsi"/>
                  <w:noProof/>
                  <w:lang w:eastAsia="en-NZ"/>
                </w:rPr>
                <w:tab/>
              </w:r>
              <w:r w:rsidR="005A707A" w:rsidRPr="0058372A">
                <w:rPr>
                  <w:rStyle w:val="Hyperlink"/>
                  <w:noProof/>
                </w:rPr>
                <w:t>Scope</w:t>
              </w:r>
              <w:r w:rsidR="005A707A">
                <w:rPr>
                  <w:noProof/>
                </w:rPr>
                <w:tab/>
              </w:r>
              <w:r w:rsidR="005A707A">
                <w:rPr>
                  <w:noProof/>
                </w:rPr>
                <w:fldChar w:fldCharType="begin"/>
              </w:r>
              <w:r w:rsidR="005A707A">
                <w:rPr>
                  <w:noProof/>
                </w:rPr>
                <w:instrText xml:space="preserve"> PAGEREF _Toc98760497 \h </w:instrText>
              </w:r>
              <w:r w:rsidR="005A707A">
                <w:rPr>
                  <w:noProof/>
                </w:rPr>
              </w:r>
              <w:r w:rsidR="005A707A">
                <w:rPr>
                  <w:noProof/>
                </w:rPr>
                <w:fldChar w:fldCharType="separate"/>
              </w:r>
              <w:r w:rsidR="002C631E">
                <w:rPr>
                  <w:noProof/>
                </w:rPr>
                <w:t>3</w:t>
              </w:r>
              <w:r w:rsidR="005A707A">
                <w:rPr>
                  <w:noProof/>
                </w:rPr>
                <w:fldChar w:fldCharType="end"/>
              </w:r>
            </w:hyperlink>
          </w:p>
          <w:p w14:paraId="26EB62ED" w14:textId="7FF095F7" w:rsidR="005A707A" w:rsidRDefault="00443CD7">
            <w:pPr>
              <w:pStyle w:val="TOC2"/>
              <w:rPr>
                <w:rFonts w:asciiTheme="minorHAnsi" w:eastAsiaTheme="minorEastAsia" w:hAnsiTheme="minorHAnsi"/>
                <w:noProof/>
                <w:lang w:eastAsia="en-NZ"/>
              </w:rPr>
            </w:pPr>
            <w:hyperlink w:anchor="_Toc98760498" w:history="1">
              <w:r w:rsidR="005A707A" w:rsidRPr="0058372A">
                <w:rPr>
                  <w:rStyle w:val="Hyperlink"/>
                  <w:noProof/>
                </w:rPr>
                <w:t>2.3</w:t>
              </w:r>
              <w:r w:rsidR="005A707A">
                <w:rPr>
                  <w:rFonts w:asciiTheme="minorHAnsi" w:eastAsiaTheme="minorEastAsia" w:hAnsiTheme="minorHAnsi"/>
                  <w:noProof/>
                  <w:lang w:eastAsia="en-NZ"/>
                </w:rPr>
                <w:tab/>
              </w:r>
              <w:r w:rsidR="005A707A" w:rsidRPr="0058372A">
                <w:rPr>
                  <w:rStyle w:val="Hyperlink"/>
                  <w:rFonts w:cs="Calibri"/>
                  <w:bCs/>
                  <w:noProof/>
                </w:rPr>
                <w:t>Perspectives of cost-of-illness studies</w:t>
              </w:r>
              <w:r w:rsidR="005A707A">
                <w:rPr>
                  <w:noProof/>
                </w:rPr>
                <w:tab/>
              </w:r>
              <w:r w:rsidR="005A707A">
                <w:rPr>
                  <w:noProof/>
                </w:rPr>
                <w:fldChar w:fldCharType="begin"/>
              </w:r>
              <w:r w:rsidR="005A707A">
                <w:rPr>
                  <w:noProof/>
                </w:rPr>
                <w:instrText xml:space="preserve"> PAGEREF _Toc98760498 \h </w:instrText>
              </w:r>
              <w:r w:rsidR="005A707A">
                <w:rPr>
                  <w:noProof/>
                </w:rPr>
              </w:r>
              <w:r w:rsidR="005A707A">
                <w:rPr>
                  <w:noProof/>
                </w:rPr>
                <w:fldChar w:fldCharType="separate"/>
              </w:r>
              <w:r w:rsidR="002C631E">
                <w:rPr>
                  <w:noProof/>
                </w:rPr>
                <w:t>3</w:t>
              </w:r>
              <w:r w:rsidR="005A707A">
                <w:rPr>
                  <w:noProof/>
                </w:rPr>
                <w:fldChar w:fldCharType="end"/>
              </w:r>
            </w:hyperlink>
          </w:p>
          <w:p w14:paraId="2F3ED373" w14:textId="25A27759" w:rsidR="005A707A" w:rsidRDefault="00443CD7">
            <w:pPr>
              <w:pStyle w:val="TOC1"/>
              <w:rPr>
                <w:rFonts w:asciiTheme="minorHAnsi" w:eastAsiaTheme="minorEastAsia" w:hAnsiTheme="minorHAnsi"/>
                <w:noProof/>
                <w:lang w:eastAsia="en-NZ"/>
              </w:rPr>
            </w:pPr>
            <w:hyperlink w:anchor="_Toc98760499" w:history="1">
              <w:r w:rsidR="005A707A" w:rsidRPr="0058372A">
                <w:rPr>
                  <w:rStyle w:val="Hyperlink"/>
                  <w:noProof/>
                </w:rPr>
                <w:t>3</w:t>
              </w:r>
              <w:r w:rsidR="005A707A">
                <w:rPr>
                  <w:rFonts w:asciiTheme="minorHAnsi" w:eastAsiaTheme="minorEastAsia" w:hAnsiTheme="minorHAnsi"/>
                  <w:noProof/>
                  <w:lang w:eastAsia="en-NZ"/>
                </w:rPr>
                <w:tab/>
              </w:r>
              <w:r w:rsidR="005A707A" w:rsidRPr="0058372A">
                <w:rPr>
                  <w:rStyle w:val="Hyperlink"/>
                  <w:noProof/>
                </w:rPr>
                <w:t>Burden of disease basis</w:t>
              </w:r>
              <w:r w:rsidR="005A707A">
                <w:rPr>
                  <w:noProof/>
                </w:rPr>
                <w:tab/>
              </w:r>
              <w:r w:rsidR="005A707A">
                <w:rPr>
                  <w:noProof/>
                </w:rPr>
                <w:fldChar w:fldCharType="begin"/>
              </w:r>
              <w:r w:rsidR="005A707A">
                <w:rPr>
                  <w:noProof/>
                </w:rPr>
                <w:instrText xml:space="preserve"> PAGEREF _Toc98760499 \h </w:instrText>
              </w:r>
              <w:r w:rsidR="005A707A">
                <w:rPr>
                  <w:noProof/>
                </w:rPr>
              </w:r>
              <w:r w:rsidR="005A707A">
                <w:rPr>
                  <w:noProof/>
                </w:rPr>
                <w:fldChar w:fldCharType="separate"/>
              </w:r>
              <w:r w:rsidR="002C631E">
                <w:rPr>
                  <w:noProof/>
                </w:rPr>
                <w:t>5</w:t>
              </w:r>
              <w:r w:rsidR="005A707A">
                <w:rPr>
                  <w:noProof/>
                </w:rPr>
                <w:fldChar w:fldCharType="end"/>
              </w:r>
            </w:hyperlink>
          </w:p>
          <w:p w14:paraId="1842A2D8" w14:textId="1D1034F2" w:rsidR="005A707A" w:rsidRDefault="00443CD7">
            <w:pPr>
              <w:pStyle w:val="TOC2"/>
              <w:rPr>
                <w:rFonts w:asciiTheme="minorHAnsi" w:eastAsiaTheme="minorEastAsia" w:hAnsiTheme="minorHAnsi"/>
                <w:noProof/>
                <w:lang w:eastAsia="en-NZ"/>
              </w:rPr>
            </w:pPr>
            <w:hyperlink w:anchor="_Toc98760500" w:history="1">
              <w:r w:rsidR="005A707A" w:rsidRPr="0058372A">
                <w:rPr>
                  <w:rStyle w:val="Hyperlink"/>
                  <w:rFonts w:cs="Calibri"/>
                  <w:noProof/>
                </w:rPr>
                <w:t>3.1</w:t>
              </w:r>
              <w:r w:rsidR="005A707A">
                <w:rPr>
                  <w:rFonts w:asciiTheme="minorHAnsi" w:eastAsiaTheme="minorEastAsia" w:hAnsiTheme="minorHAnsi"/>
                  <w:noProof/>
                  <w:lang w:eastAsia="en-NZ"/>
                </w:rPr>
                <w:tab/>
              </w:r>
              <w:r w:rsidR="005A707A" w:rsidRPr="0058372A">
                <w:rPr>
                  <w:rStyle w:val="Hyperlink"/>
                  <w:rFonts w:cs="Calibri"/>
                  <w:noProof/>
                </w:rPr>
                <w:t>QALYs</w:t>
              </w:r>
              <w:r w:rsidR="005A707A">
                <w:rPr>
                  <w:noProof/>
                </w:rPr>
                <w:tab/>
              </w:r>
              <w:r w:rsidR="005A707A">
                <w:rPr>
                  <w:noProof/>
                </w:rPr>
                <w:fldChar w:fldCharType="begin"/>
              </w:r>
              <w:r w:rsidR="005A707A">
                <w:rPr>
                  <w:noProof/>
                </w:rPr>
                <w:instrText xml:space="preserve"> PAGEREF _Toc98760500 \h </w:instrText>
              </w:r>
              <w:r w:rsidR="005A707A">
                <w:rPr>
                  <w:noProof/>
                </w:rPr>
              </w:r>
              <w:r w:rsidR="005A707A">
                <w:rPr>
                  <w:noProof/>
                </w:rPr>
                <w:fldChar w:fldCharType="separate"/>
              </w:r>
              <w:r w:rsidR="002C631E">
                <w:rPr>
                  <w:noProof/>
                </w:rPr>
                <w:t>5</w:t>
              </w:r>
              <w:r w:rsidR="005A707A">
                <w:rPr>
                  <w:noProof/>
                </w:rPr>
                <w:fldChar w:fldCharType="end"/>
              </w:r>
            </w:hyperlink>
          </w:p>
          <w:p w14:paraId="4F6DF78F" w14:textId="55C8F032" w:rsidR="005A707A" w:rsidRDefault="00443CD7">
            <w:pPr>
              <w:pStyle w:val="TOC2"/>
              <w:rPr>
                <w:rFonts w:asciiTheme="minorHAnsi" w:eastAsiaTheme="minorEastAsia" w:hAnsiTheme="minorHAnsi"/>
                <w:noProof/>
                <w:lang w:eastAsia="en-NZ"/>
              </w:rPr>
            </w:pPr>
            <w:hyperlink w:anchor="_Toc98760501" w:history="1">
              <w:r w:rsidR="005A707A" w:rsidRPr="0058372A">
                <w:rPr>
                  <w:rStyle w:val="Hyperlink"/>
                  <w:noProof/>
                </w:rPr>
                <w:t>3.2</w:t>
              </w:r>
              <w:r w:rsidR="005A707A">
                <w:rPr>
                  <w:rFonts w:asciiTheme="minorHAnsi" w:eastAsiaTheme="minorEastAsia" w:hAnsiTheme="minorHAnsi"/>
                  <w:noProof/>
                  <w:lang w:eastAsia="en-NZ"/>
                </w:rPr>
                <w:tab/>
              </w:r>
              <w:r w:rsidR="005A707A" w:rsidRPr="0058372A">
                <w:rPr>
                  <w:rStyle w:val="Hyperlink"/>
                  <w:rFonts w:cs="Calibri"/>
                  <w:bCs/>
                  <w:noProof/>
                </w:rPr>
                <w:t>DALYs</w:t>
              </w:r>
              <w:r w:rsidR="005A707A">
                <w:rPr>
                  <w:noProof/>
                </w:rPr>
                <w:tab/>
              </w:r>
              <w:r w:rsidR="005A707A">
                <w:rPr>
                  <w:noProof/>
                </w:rPr>
                <w:fldChar w:fldCharType="begin"/>
              </w:r>
              <w:r w:rsidR="005A707A">
                <w:rPr>
                  <w:noProof/>
                </w:rPr>
                <w:instrText xml:space="preserve"> PAGEREF _Toc98760501 \h </w:instrText>
              </w:r>
              <w:r w:rsidR="005A707A">
                <w:rPr>
                  <w:noProof/>
                </w:rPr>
              </w:r>
              <w:r w:rsidR="005A707A">
                <w:rPr>
                  <w:noProof/>
                </w:rPr>
                <w:fldChar w:fldCharType="separate"/>
              </w:r>
              <w:r w:rsidR="002C631E">
                <w:rPr>
                  <w:noProof/>
                </w:rPr>
                <w:t>5</w:t>
              </w:r>
              <w:r w:rsidR="005A707A">
                <w:rPr>
                  <w:noProof/>
                </w:rPr>
                <w:fldChar w:fldCharType="end"/>
              </w:r>
            </w:hyperlink>
          </w:p>
          <w:p w14:paraId="48BF008A" w14:textId="3C7DA8A1" w:rsidR="005A707A" w:rsidRDefault="00443CD7">
            <w:pPr>
              <w:pStyle w:val="TOC1"/>
              <w:rPr>
                <w:rFonts w:asciiTheme="minorHAnsi" w:eastAsiaTheme="minorEastAsia" w:hAnsiTheme="minorHAnsi"/>
                <w:noProof/>
                <w:lang w:eastAsia="en-NZ"/>
              </w:rPr>
            </w:pPr>
            <w:hyperlink w:anchor="_Toc98760502" w:history="1">
              <w:r w:rsidR="005A707A" w:rsidRPr="0058372A">
                <w:rPr>
                  <w:rStyle w:val="Hyperlink"/>
                  <w:noProof/>
                </w:rPr>
                <w:t>4</w:t>
              </w:r>
              <w:r w:rsidR="005A707A">
                <w:rPr>
                  <w:rFonts w:asciiTheme="minorHAnsi" w:eastAsiaTheme="minorEastAsia" w:hAnsiTheme="minorHAnsi"/>
                  <w:noProof/>
                  <w:lang w:eastAsia="en-NZ"/>
                </w:rPr>
                <w:tab/>
              </w:r>
              <w:r w:rsidR="005A707A" w:rsidRPr="0058372A">
                <w:rPr>
                  <w:rStyle w:val="Hyperlink"/>
                  <w:noProof/>
                </w:rPr>
                <w:t>Study types</w:t>
              </w:r>
              <w:r w:rsidR="005A707A">
                <w:rPr>
                  <w:noProof/>
                </w:rPr>
                <w:tab/>
              </w:r>
              <w:r w:rsidR="005A707A">
                <w:rPr>
                  <w:noProof/>
                </w:rPr>
                <w:fldChar w:fldCharType="begin"/>
              </w:r>
              <w:r w:rsidR="005A707A">
                <w:rPr>
                  <w:noProof/>
                </w:rPr>
                <w:instrText xml:space="preserve"> PAGEREF _Toc98760502 \h </w:instrText>
              </w:r>
              <w:r w:rsidR="005A707A">
                <w:rPr>
                  <w:noProof/>
                </w:rPr>
              </w:r>
              <w:r w:rsidR="005A707A">
                <w:rPr>
                  <w:noProof/>
                </w:rPr>
                <w:fldChar w:fldCharType="separate"/>
              </w:r>
              <w:r w:rsidR="002C631E">
                <w:rPr>
                  <w:noProof/>
                </w:rPr>
                <w:t>7</w:t>
              </w:r>
              <w:r w:rsidR="005A707A">
                <w:rPr>
                  <w:noProof/>
                </w:rPr>
                <w:fldChar w:fldCharType="end"/>
              </w:r>
            </w:hyperlink>
          </w:p>
          <w:p w14:paraId="628494EF" w14:textId="0DB76053" w:rsidR="005A707A" w:rsidRDefault="00443CD7">
            <w:pPr>
              <w:pStyle w:val="TOC1"/>
              <w:rPr>
                <w:rFonts w:asciiTheme="minorHAnsi" w:eastAsiaTheme="minorEastAsia" w:hAnsiTheme="minorHAnsi"/>
                <w:noProof/>
                <w:lang w:eastAsia="en-NZ"/>
              </w:rPr>
            </w:pPr>
            <w:hyperlink w:anchor="_Toc98760503" w:history="1">
              <w:r w:rsidR="005A707A" w:rsidRPr="0058372A">
                <w:rPr>
                  <w:rStyle w:val="Hyperlink"/>
                  <w:noProof/>
                </w:rPr>
                <w:t>5</w:t>
              </w:r>
              <w:r w:rsidR="005A707A">
                <w:rPr>
                  <w:rFonts w:asciiTheme="minorHAnsi" w:eastAsiaTheme="minorEastAsia" w:hAnsiTheme="minorHAnsi"/>
                  <w:noProof/>
                  <w:lang w:eastAsia="en-NZ"/>
                </w:rPr>
                <w:tab/>
              </w:r>
              <w:r w:rsidR="005A707A" w:rsidRPr="0058372A">
                <w:rPr>
                  <w:rStyle w:val="Hyperlink"/>
                  <w:noProof/>
                </w:rPr>
                <w:t>Identifying and quantifying costs</w:t>
              </w:r>
              <w:r w:rsidR="005A707A">
                <w:rPr>
                  <w:noProof/>
                </w:rPr>
                <w:tab/>
              </w:r>
              <w:r w:rsidR="005A707A">
                <w:rPr>
                  <w:noProof/>
                </w:rPr>
                <w:fldChar w:fldCharType="begin"/>
              </w:r>
              <w:r w:rsidR="005A707A">
                <w:rPr>
                  <w:noProof/>
                </w:rPr>
                <w:instrText xml:space="preserve"> PAGEREF _Toc98760503 \h </w:instrText>
              </w:r>
              <w:r w:rsidR="005A707A">
                <w:rPr>
                  <w:noProof/>
                </w:rPr>
              </w:r>
              <w:r w:rsidR="005A707A">
                <w:rPr>
                  <w:noProof/>
                </w:rPr>
                <w:fldChar w:fldCharType="separate"/>
              </w:r>
              <w:r w:rsidR="002C631E">
                <w:rPr>
                  <w:noProof/>
                </w:rPr>
                <w:t>9</w:t>
              </w:r>
              <w:r w:rsidR="005A707A">
                <w:rPr>
                  <w:noProof/>
                </w:rPr>
                <w:fldChar w:fldCharType="end"/>
              </w:r>
            </w:hyperlink>
          </w:p>
          <w:p w14:paraId="135276C2" w14:textId="756CE7FE" w:rsidR="005A707A" w:rsidRDefault="00443CD7">
            <w:pPr>
              <w:pStyle w:val="TOC2"/>
              <w:rPr>
                <w:rFonts w:asciiTheme="minorHAnsi" w:eastAsiaTheme="minorEastAsia" w:hAnsiTheme="minorHAnsi"/>
                <w:noProof/>
                <w:lang w:eastAsia="en-NZ"/>
              </w:rPr>
            </w:pPr>
            <w:hyperlink w:anchor="_Toc98760504" w:history="1">
              <w:r w:rsidR="005A707A" w:rsidRPr="0058372A">
                <w:rPr>
                  <w:rStyle w:val="Hyperlink"/>
                  <w:noProof/>
                </w:rPr>
                <w:t>5.1</w:t>
              </w:r>
              <w:r w:rsidR="005A707A">
                <w:rPr>
                  <w:rFonts w:asciiTheme="minorHAnsi" w:eastAsiaTheme="minorEastAsia" w:hAnsiTheme="minorHAnsi"/>
                  <w:noProof/>
                  <w:lang w:eastAsia="en-NZ"/>
                </w:rPr>
                <w:tab/>
              </w:r>
              <w:r w:rsidR="005A707A" w:rsidRPr="0058372A">
                <w:rPr>
                  <w:rStyle w:val="Hyperlink"/>
                  <w:noProof/>
                </w:rPr>
                <w:t>Cost components</w:t>
              </w:r>
              <w:r w:rsidR="005A707A">
                <w:rPr>
                  <w:noProof/>
                </w:rPr>
                <w:tab/>
              </w:r>
              <w:r w:rsidR="005A707A">
                <w:rPr>
                  <w:noProof/>
                </w:rPr>
                <w:fldChar w:fldCharType="begin"/>
              </w:r>
              <w:r w:rsidR="005A707A">
                <w:rPr>
                  <w:noProof/>
                </w:rPr>
                <w:instrText xml:space="preserve"> PAGEREF _Toc98760504 \h </w:instrText>
              </w:r>
              <w:r w:rsidR="005A707A">
                <w:rPr>
                  <w:noProof/>
                </w:rPr>
              </w:r>
              <w:r w:rsidR="005A707A">
                <w:rPr>
                  <w:noProof/>
                </w:rPr>
                <w:fldChar w:fldCharType="separate"/>
              </w:r>
              <w:r w:rsidR="002C631E">
                <w:rPr>
                  <w:noProof/>
                </w:rPr>
                <w:t>9</w:t>
              </w:r>
              <w:r w:rsidR="005A707A">
                <w:rPr>
                  <w:noProof/>
                </w:rPr>
                <w:fldChar w:fldCharType="end"/>
              </w:r>
            </w:hyperlink>
          </w:p>
          <w:p w14:paraId="5DA2B376" w14:textId="0337E7B9" w:rsidR="005A707A" w:rsidRDefault="00443CD7">
            <w:pPr>
              <w:pStyle w:val="TOC2"/>
              <w:rPr>
                <w:rFonts w:asciiTheme="minorHAnsi" w:eastAsiaTheme="minorEastAsia" w:hAnsiTheme="minorHAnsi"/>
                <w:noProof/>
                <w:lang w:eastAsia="en-NZ"/>
              </w:rPr>
            </w:pPr>
            <w:hyperlink w:anchor="_Toc98760505" w:history="1">
              <w:r w:rsidR="005A707A" w:rsidRPr="0058372A">
                <w:rPr>
                  <w:rStyle w:val="Hyperlink"/>
                  <w:noProof/>
                </w:rPr>
                <w:t>5.2</w:t>
              </w:r>
              <w:r w:rsidR="005A707A">
                <w:rPr>
                  <w:rFonts w:asciiTheme="minorHAnsi" w:eastAsiaTheme="minorEastAsia" w:hAnsiTheme="minorHAnsi"/>
                  <w:noProof/>
                  <w:lang w:eastAsia="en-NZ"/>
                </w:rPr>
                <w:tab/>
              </w:r>
              <w:r w:rsidR="005A707A" w:rsidRPr="0058372A">
                <w:rPr>
                  <w:rStyle w:val="Hyperlink"/>
                  <w:rFonts w:cs="Calibri"/>
                  <w:noProof/>
                </w:rPr>
                <w:t>Estimating direct costs</w:t>
              </w:r>
              <w:r w:rsidR="005A707A">
                <w:rPr>
                  <w:noProof/>
                </w:rPr>
                <w:tab/>
              </w:r>
              <w:r w:rsidR="005A707A">
                <w:rPr>
                  <w:noProof/>
                </w:rPr>
                <w:fldChar w:fldCharType="begin"/>
              </w:r>
              <w:r w:rsidR="005A707A">
                <w:rPr>
                  <w:noProof/>
                </w:rPr>
                <w:instrText xml:space="preserve"> PAGEREF _Toc98760505 \h </w:instrText>
              </w:r>
              <w:r w:rsidR="005A707A">
                <w:rPr>
                  <w:noProof/>
                </w:rPr>
              </w:r>
              <w:r w:rsidR="005A707A">
                <w:rPr>
                  <w:noProof/>
                </w:rPr>
                <w:fldChar w:fldCharType="separate"/>
              </w:r>
              <w:r w:rsidR="002C631E">
                <w:rPr>
                  <w:noProof/>
                </w:rPr>
                <w:t>10</w:t>
              </w:r>
              <w:r w:rsidR="005A707A">
                <w:rPr>
                  <w:noProof/>
                </w:rPr>
                <w:fldChar w:fldCharType="end"/>
              </w:r>
            </w:hyperlink>
          </w:p>
          <w:p w14:paraId="45CB9E8B" w14:textId="1F4A9ADF" w:rsidR="005A707A" w:rsidRDefault="00443CD7">
            <w:pPr>
              <w:pStyle w:val="TOC2"/>
              <w:rPr>
                <w:rFonts w:asciiTheme="minorHAnsi" w:eastAsiaTheme="minorEastAsia" w:hAnsiTheme="minorHAnsi"/>
                <w:noProof/>
                <w:lang w:eastAsia="en-NZ"/>
              </w:rPr>
            </w:pPr>
            <w:hyperlink w:anchor="_Toc98760506" w:history="1">
              <w:r w:rsidR="005A707A" w:rsidRPr="0058372A">
                <w:rPr>
                  <w:rStyle w:val="Hyperlink"/>
                  <w:noProof/>
                </w:rPr>
                <w:t>5.3</w:t>
              </w:r>
              <w:r w:rsidR="005A707A">
                <w:rPr>
                  <w:rFonts w:asciiTheme="minorHAnsi" w:eastAsiaTheme="minorEastAsia" w:hAnsiTheme="minorHAnsi"/>
                  <w:noProof/>
                  <w:lang w:eastAsia="en-NZ"/>
                </w:rPr>
                <w:tab/>
              </w:r>
              <w:r w:rsidR="005A707A" w:rsidRPr="0058372A">
                <w:rPr>
                  <w:rStyle w:val="Hyperlink"/>
                  <w:rFonts w:cs="Calibri"/>
                  <w:bCs/>
                  <w:noProof/>
                </w:rPr>
                <w:t>Measuring indirect costs</w:t>
              </w:r>
              <w:r w:rsidR="005A707A">
                <w:rPr>
                  <w:noProof/>
                </w:rPr>
                <w:tab/>
              </w:r>
              <w:r w:rsidR="005A707A">
                <w:rPr>
                  <w:noProof/>
                </w:rPr>
                <w:fldChar w:fldCharType="begin"/>
              </w:r>
              <w:r w:rsidR="005A707A">
                <w:rPr>
                  <w:noProof/>
                </w:rPr>
                <w:instrText xml:space="preserve"> PAGEREF _Toc98760506 \h </w:instrText>
              </w:r>
              <w:r w:rsidR="005A707A">
                <w:rPr>
                  <w:noProof/>
                </w:rPr>
              </w:r>
              <w:r w:rsidR="005A707A">
                <w:rPr>
                  <w:noProof/>
                </w:rPr>
                <w:fldChar w:fldCharType="separate"/>
              </w:r>
              <w:r w:rsidR="002C631E">
                <w:rPr>
                  <w:noProof/>
                </w:rPr>
                <w:t>13</w:t>
              </w:r>
              <w:r w:rsidR="005A707A">
                <w:rPr>
                  <w:noProof/>
                </w:rPr>
                <w:fldChar w:fldCharType="end"/>
              </w:r>
            </w:hyperlink>
          </w:p>
          <w:p w14:paraId="2F8E0AD2" w14:textId="5F5FB428" w:rsidR="005A707A" w:rsidRDefault="00443CD7">
            <w:pPr>
              <w:pStyle w:val="TOC2"/>
              <w:rPr>
                <w:rFonts w:asciiTheme="minorHAnsi" w:eastAsiaTheme="minorEastAsia" w:hAnsiTheme="minorHAnsi"/>
                <w:noProof/>
                <w:lang w:eastAsia="en-NZ"/>
              </w:rPr>
            </w:pPr>
            <w:hyperlink w:anchor="_Toc98760507" w:history="1">
              <w:r w:rsidR="005A707A" w:rsidRPr="0058372A">
                <w:rPr>
                  <w:rStyle w:val="Hyperlink"/>
                  <w:rFonts w:cs="Calibri"/>
                  <w:bCs/>
                  <w:noProof/>
                </w:rPr>
                <w:t>5.4</w:t>
              </w:r>
              <w:r w:rsidR="005A707A">
                <w:rPr>
                  <w:rFonts w:asciiTheme="minorHAnsi" w:eastAsiaTheme="minorEastAsia" w:hAnsiTheme="minorHAnsi"/>
                  <w:noProof/>
                  <w:lang w:eastAsia="en-NZ"/>
                </w:rPr>
                <w:tab/>
              </w:r>
              <w:r w:rsidR="005A707A" w:rsidRPr="0058372A">
                <w:rPr>
                  <w:rStyle w:val="Hyperlink"/>
                  <w:rFonts w:cs="Calibri"/>
                  <w:bCs/>
                  <w:noProof/>
                </w:rPr>
                <w:t>Willingness to pay method</w:t>
              </w:r>
              <w:r w:rsidR="005A707A">
                <w:rPr>
                  <w:noProof/>
                </w:rPr>
                <w:tab/>
              </w:r>
              <w:r w:rsidR="005A707A">
                <w:rPr>
                  <w:noProof/>
                </w:rPr>
                <w:fldChar w:fldCharType="begin"/>
              </w:r>
              <w:r w:rsidR="005A707A">
                <w:rPr>
                  <w:noProof/>
                </w:rPr>
                <w:instrText xml:space="preserve"> PAGEREF _Toc98760507 \h </w:instrText>
              </w:r>
              <w:r w:rsidR="005A707A">
                <w:rPr>
                  <w:noProof/>
                </w:rPr>
              </w:r>
              <w:r w:rsidR="005A707A">
                <w:rPr>
                  <w:noProof/>
                </w:rPr>
                <w:fldChar w:fldCharType="separate"/>
              </w:r>
              <w:r w:rsidR="002C631E">
                <w:rPr>
                  <w:noProof/>
                </w:rPr>
                <w:t>15</w:t>
              </w:r>
              <w:r w:rsidR="005A707A">
                <w:rPr>
                  <w:noProof/>
                </w:rPr>
                <w:fldChar w:fldCharType="end"/>
              </w:r>
            </w:hyperlink>
          </w:p>
          <w:p w14:paraId="7741E956" w14:textId="165BD409" w:rsidR="005A707A" w:rsidRDefault="00443CD7">
            <w:pPr>
              <w:pStyle w:val="TOC2"/>
              <w:rPr>
                <w:rFonts w:asciiTheme="minorHAnsi" w:eastAsiaTheme="minorEastAsia" w:hAnsiTheme="minorHAnsi"/>
                <w:noProof/>
                <w:lang w:eastAsia="en-NZ"/>
              </w:rPr>
            </w:pPr>
            <w:hyperlink w:anchor="_Toc98760508" w:history="1">
              <w:r w:rsidR="005A707A" w:rsidRPr="0058372A">
                <w:rPr>
                  <w:rStyle w:val="Hyperlink"/>
                  <w:noProof/>
                </w:rPr>
                <w:t>5.5</w:t>
              </w:r>
              <w:r w:rsidR="005A707A">
                <w:rPr>
                  <w:rFonts w:asciiTheme="minorHAnsi" w:eastAsiaTheme="minorEastAsia" w:hAnsiTheme="minorHAnsi"/>
                  <w:noProof/>
                  <w:lang w:eastAsia="en-NZ"/>
                </w:rPr>
                <w:tab/>
              </w:r>
              <w:r w:rsidR="005A707A" w:rsidRPr="0058372A">
                <w:rPr>
                  <w:rStyle w:val="Hyperlink"/>
                  <w:noProof/>
                </w:rPr>
                <w:t>Time horizon and discounting</w:t>
              </w:r>
              <w:r w:rsidR="005A707A">
                <w:rPr>
                  <w:noProof/>
                </w:rPr>
                <w:tab/>
              </w:r>
              <w:r w:rsidR="005A707A">
                <w:rPr>
                  <w:noProof/>
                </w:rPr>
                <w:fldChar w:fldCharType="begin"/>
              </w:r>
              <w:r w:rsidR="005A707A">
                <w:rPr>
                  <w:noProof/>
                </w:rPr>
                <w:instrText xml:space="preserve"> PAGEREF _Toc98760508 \h </w:instrText>
              </w:r>
              <w:r w:rsidR="005A707A">
                <w:rPr>
                  <w:noProof/>
                </w:rPr>
              </w:r>
              <w:r w:rsidR="005A707A">
                <w:rPr>
                  <w:noProof/>
                </w:rPr>
                <w:fldChar w:fldCharType="separate"/>
              </w:r>
              <w:r w:rsidR="002C631E">
                <w:rPr>
                  <w:noProof/>
                </w:rPr>
                <w:t>16</w:t>
              </w:r>
              <w:r w:rsidR="005A707A">
                <w:rPr>
                  <w:noProof/>
                </w:rPr>
                <w:fldChar w:fldCharType="end"/>
              </w:r>
            </w:hyperlink>
          </w:p>
          <w:p w14:paraId="36A17A49" w14:textId="0C63ED25" w:rsidR="005A707A" w:rsidRDefault="00443CD7">
            <w:pPr>
              <w:pStyle w:val="TOC2"/>
              <w:rPr>
                <w:rFonts w:asciiTheme="minorHAnsi" w:eastAsiaTheme="minorEastAsia" w:hAnsiTheme="minorHAnsi"/>
                <w:noProof/>
                <w:lang w:eastAsia="en-NZ"/>
              </w:rPr>
            </w:pPr>
            <w:hyperlink w:anchor="_Toc98760509" w:history="1">
              <w:r w:rsidR="005A707A" w:rsidRPr="0058372A">
                <w:rPr>
                  <w:rStyle w:val="Hyperlink"/>
                  <w:noProof/>
                </w:rPr>
                <w:t>5.6</w:t>
              </w:r>
              <w:r w:rsidR="005A707A">
                <w:rPr>
                  <w:rFonts w:asciiTheme="minorHAnsi" w:eastAsiaTheme="minorEastAsia" w:hAnsiTheme="minorHAnsi"/>
                  <w:noProof/>
                  <w:lang w:eastAsia="en-NZ"/>
                </w:rPr>
                <w:tab/>
              </w:r>
              <w:r w:rsidR="005A707A" w:rsidRPr="0058372A">
                <w:rPr>
                  <w:rStyle w:val="Hyperlink"/>
                  <w:rFonts w:cs="Calibri"/>
                  <w:bCs/>
                  <w:noProof/>
                </w:rPr>
                <w:t>Recent developments in cost-of-illness approaches</w:t>
              </w:r>
              <w:r w:rsidR="005A707A">
                <w:rPr>
                  <w:noProof/>
                </w:rPr>
                <w:tab/>
              </w:r>
              <w:r w:rsidR="005A707A">
                <w:rPr>
                  <w:noProof/>
                </w:rPr>
                <w:fldChar w:fldCharType="begin"/>
              </w:r>
              <w:r w:rsidR="005A707A">
                <w:rPr>
                  <w:noProof/>
                </w:rPr>
                <w:instrText xml:space="preserve"> PAGEREF _Toc98760509 \h </w:instrText>
              </w:r>
              <w:r w:rsidR="005A707A">
                <w:rPr>
                  <w:noProof/>
                </w:rPr>
              </w:r>
              <w:r w:rsidR="005A707A">
                <w:rPr>
                  <w:noProof/>
                </w:rPr>
                <w:fldChar w:fldCharType="separate"/>
              </w:r>
              <w:r w:rsidR="002C631E">
                <w:rPr>
                  <w:noProof/>
                </w:rPr>
                <w:t>17</w:t>
              </w:r>
              <w:r w:rsidR="005A707A">
                <w:rPr>
                  <w:noProof/>
                </w:rPr>
                <w:fldChar w:fldCharType="end"/>
              </w:r>
            </w:hyperlink>
          </w:p>
          <w:p w14:paraId="6BDD07AD" w14:textId="7C02068E" w:rsidR="005A707A" w:rsidRDefault="00443CD7">
            <w:pPr>
              <w:pStyle w:val="TOC1"/>
              <w:rPr>
                <w:rFonts w:asciiTheme="minorHAnsi" w:eastAsiaTheme="minorEastAsia" w:hAnsiTheme="minorHAnsi"/>
                <w:noProof/>
                <w:lang w:eastAsia="en-NZ"/>
              </w:rPr>
            </w:pPr>
            <w:hyperlink w:anchor="_Toc98760510" w:history="1">
              <w:r w:rsidR="005A707A" w:rsidRPr="0058372A">
                <w:rPr>
                  <w:rStyle w:val="Hyperlink"/>
                  <w:noProof/>
                </w:rPr>
                <w:t>6</w:t>
              </w:r>
              <w:r w:rsidR="005A707A">
                <w:rPr>
                  <w:rFonts w:asciiTheme="minorHAnsi" w:eastAsiaTheme="minorEastAsia" w:hAnsiTheme="minorHAnsi"/>
                  <w:noProof/>
                  <w:lang w:eastAsia="en-NZ"/>
                </w:rPr>
                <w:tab/>
              </w:r>
              <w:r w:rsidR="005A707A" w:rsidRPr="0058372A">
                <w:rPr>
                  <w:rStyle w:val="Hyperlink"/>
                  <w:noProof/>
                </w:rPr>
                <w:t>Using cost-of-illness estimates</w:t>
              </w:r>
              <w:r w:rsidR="005A707A">
                <w:rPr>
                  <w:noProof/>
                </w:rPr>
                <w:tab/>
              </w:r>
              <w:r w:rsidR="005A707A">
                <w:rPr>
                  <w:noProof/>
                </w:rPr>
                <w:fldChar w:fldCharType="begin"/>
              </w:r>
              <w:r w:rsidR="005A707A">
                <w:rPr>
                  <w:noProof/>
                </w:rPr>
                <w:instrText xml:space="preserve"> PAGEREF _Toc98760510 \h </w:instrText>
              </w:r>
              <w:r w:rsidR="005A707A">
                <w:rPr>
                  <w:noProof/>
                </w:rPr>
              </w:r>
              <w:r w:rsidR="005A707A">
                <w:rPr>
                  <w:noProof/>
                </w:rPr>
                <w:fldChar w:fldCharType="separate"/>
              </w:r>
              <w:r w:rsidR="002C631E">
                <w:rPr>
                  <w:noProof/>
                </w:rPr>
                <w:t>18</w:t>
              </w:r>
              <w:r w:rsidR="005A707A">
                <w:rPr>
                  <w:noProof/>
                </w:rPr>
                <w:fldChar w:fldCharType="end"/>
              </w:r>
            </w:hyperlink>
          </w:p>
          <w:p w14:paraId="197C6ACA" w14:textId="604DB93C" w:rsidR="005A707A" w:rsidRDefault="00443CD7">
            <w:pPr>
              <w:pStyle w:val="TOC2"/>
              <w:rPr>
                <w:rFonts w:asciiTheme="minorHAnsi" w:eastAsiaTheme="minorEastAsia" w:hAnsiTheme="minorHAnsi"/>
                <w:noProof/>
                <w:lang w:eastAsia="en-NZ"/>
              </w:rPr>
            </w:pPr>
            <w:hyperlink w:anchor="_Toc98760511" w:history="1">
              <w:r w:rsidR="005A707A" w:rsidRPr="0058372A">
                <w:rPr>
                  <w:rStyle w:val="Hyperlink"/>
                  <w:noProof/>
                </w:rPr>
                <w:t>6.1</w:t>
              </w:r>
              <w:r w:rsidR="005A707A">
                <w:rPr>
                  <w:rFonts w:asciiTheme="minorHAnsi" w:eastAsiaTheme="minorEastAsia" w:hAnsiTheme="minorHAnsi"/>
                  <w:noProof/>
                  <w:lang w:eastAsia="en-NZ"/>
                </w:rPr>
                <w:tab/>
              </w:r>
              <w:r w:rsidR="005A707A" w:rsidRPr="0058372A">
                <w:rPr>
                  <w:rStyle w:val="Hyperlink"/>
                  <w:noProof/>
                </w:rPr>
                <w:t>Drawing conclusions about investment value</w:t>
              </w:r>
              <w:r w:rsidR="005A707A">
                <w:rPr>
                  <w:noProof/>
                </w:rPr>
                <w:tab/>
              </w:r>
              <w:r w:rsidR="005A707A">
                <w:rPr>
                  <w:noProof/>
                </w:rPr>
                <w:fldChar w:fldCharType="begin"/>
              </w:r>
              <w:r w:rsidR="005A707A">
                <w:rPr>
                  <w:noProof/>
                </w:rPr>
                <w:instrText xml:space="preserve"> PAGEREF _Toc98760511 \h </w:instrText>
              </w:r>
              <w:r w:rsidR="005A707A">
                <w:rPr>
                  <w:noProof/>
                </w:rPr>
              </w:r>
              <w:r w:rsidR="005A707A">
                <w:rPr>
                  <w:noProof/>
                </w:rPr>
                <w:fldChar w:fldCharType="separate"/>
              </w:r>
              <w:r w:rsidR="002C631E">
                <w:rPr>
                  <w:noProof/>
                </w:rPr>
                <w:t>18</w:t>
              </w:r>
              <w:r w:rsidR="005A707A">
                <w:rPr>
                  <w:noProof/>
                </w:rPr>
                <w:fldChar w:fldCharType="end"/>
              </w:r>
            </w:hyperlink>
          </w:p>
          <w:p w14:paraId="5519936F" w14:textId="39766E66" w:rsidR="005A707A" w:rsidRDefault="00443CD7">
            <w:pPr>
              <w:pStyle w:val="TOC2"/>
              <w:rPr>
                <w:rFonts w:asciiTheme="minorHAnsi" w:eastAsiaTheme="minorEastAsia" w:hAnsiTheme="minorHAnsi"/>
                <w:noProof/>
                <w:lang w:eastAsia="en-NZ"/>
              </w:rPr>
            </w:pPr>
            <w:hyperlink w:anchor="_Toc98760512" w:history="1">
              <w:r w:rsidR="005A707A" w:rsidRPr="0058372A">
                <w:rPr>
                  <w:rStyle w:val="Hyperlink"/>
                  <w:noProof/>
                </w:rPr>
                <w:t>6.2</w:t>
              </w:r>
              <w:r w:rsidR="005A707A">
                <w:rPr>
                  <w:rFonts w:asciiTheme="minorHAnsi" w:eastAsiaTheme="minorEastAsia" w:hAnsiTheme="minorHAnsi"/>
                  <w:noProof/>
                  <w:lang w:eastAsia="en-NZ"/>
                </w:rPr>
                <w:tab/>
              </w:r>
              <w:r w:rsidR="005A707A" w:rsidRPr="0058372A">
                <w:rPr>
                  <w:rStyle w:val="Hyperlink"/>
                  <w:noProof/>
                </w:rPr>
                <w:t>Comparing results across conditions</w:t>
              </w:r>
              <w:r w:rsidR="005A707A">
                <w:rPr>
                  <w:noProof/>
                </w:rPr>
                <w:tab/>
              </w:r>
              <w:r w:rsidR="005A707A">
                <w:rPr>
                  <w:noProof/>
                </w:rPr>
                <w:fldChar w:fldCharType="begin"/>
              </w:r>
              <w:r w:rsidR="005A707A">
                <w:rPr>
                  <w:noProof/>
                </w:rPr>
                <w:instrText xml:space="preserve"> PAGEREF _Toc98760512 \h </w:instrText>
              </w:r>
              <w:r w:rsidR="005A707A">
                <w:rPr>
                  <w:noProof/>
                </w:rPr>
              </w:r>
              <w:r w:rsidR="005A707A">
                <w:rPr>
                  <w:noProof/>
                </w:rPr>
                <w:fldChar w:fldCharType="separate"/>
              </w:r>
              <w:r w:rsidR="002C631E">
                <w:rPr>
                  <w:noProof/>
                </w:rPr>
                <w:t>19</w:t>
              </w:r>
              <w:r w:rsidR="005A707A">
                <w:rPr>
                  <w:noProof/>
                </w:rPr>
                <w:fldChar w:fldCharType="end"/>
              </w:r>
            </w:hyperlink>
          </w:p>
          <w:p w14:paraId="5139F12D" w14:textId="40D99889" w:rsidR="005A707A" w:rsidRDefault="00443CD7">
            <w:pPr>
              <w:pStyle w:val="TOC2"/>
              <w:rPr>
                <w:rFonts w:asciiTheme="minorHAnsi" w:eastAsiaTheme="minorEastAsia" w:hAnsiTheme="minorHAnsi"/>
                <w:noProof/>
                <w:lang w:eastAsia="en-NZ"/>
              </w:rPr>
            </w:pPr>
            <w:hyperlink w:anchor="_Toc98760513" w:history="1">
              <w:r w:rsidR="005A707A" w:rsidRPr="0058372A">
                <w:rPr>
                  <w:rStyle w:val="Hyperlink"/>
                  <w:noProof/>
                </w:rPr>
                <w:t>6.3</w:t>
              </w:r>
              <w:r w:rsidR="005A707A">
                <w:rPr>
                  <w:rFonts w:asciiTheme="minorHAnsi" w:eastAsiaTheme="minorEastAsia" w:hAnsiTheme="minorHAnsi"/>
                  <w:noProof/>
                  <w:lang w:eastAsia="en-NZ"/>
                </w:rPr>
                <w:tab/>
              </w:r>
              <w:r w:rsidR="005A707A" w:rsidRPr="0058372A">
                <w:rPr>
                  <w:rStyle w:val="Hyperlink"/>
                  <w:noProof/>
                </w:rPr>
                <w:t>Aggregating results for groups of conditions</w:t>
              </w:r>
              <w:r w:rsidR="005A707A">
                <w:rPr>
                  <w:noProof/>
                </w:rPr>
                <w:tab/>
              </w:r>
              <w:r w:rsidR="005A707A">
                <w:rPr>
                  <w:noProof/>
                </w:rPr>
                <w:fldChar w:fldCharType="begin"/>
              </w:r>
              <w:r w:rsidR="005A707A">
                <w:rPr>
                  <w:noProof/>
                </w:rPr>
                <w:instrText xml:space="preserve"> PAGEREF _Toc98760513 \h </w:instrText>
              </w:r>
              <w:r w:rsidR="005A707A">
                <w:rPr>
                  <w:noProof/>
                </w:rPr>
              </w:r>
              <w:r w:rsidR="005A707A">
                <w:rPr>
                  <w:noProof/>
                </w:rPr>
                <w:fldChar w:fldCharType="separate"/>
              </w:r>
              <w:r w:rsidR="002C631E">
                <w:rPr>
                  <w:noProof/>
                </w:rPr>
                <w:t>19</w:t>
              </w:r>
              <w:r w:rsidR="005A707A">
                <w:rPr>
                  <w:noProof/>
                </w:rPr>
                <w:fldChar w:fldCharType="end"/>
              </w:r>
            </w:hyperlink>
          </w:p>
          <w:p w14:paraId="36E61BBF" w14:textId="630B43B9" w:rsidR="005A707A" w:rsidRDefault="00443CD7">
            <w:pPr>
              <w:pStyle w:val="TOC2"/>
              <w:rPr>
                <w:rFonts w:asciiTheme="minorHAnsi" w:eastAsiaTheme="minorEastAsia" w:hAnsiTheme="minorHAnsi"/>
                <w:noProof/>
                <w:lang w:eastAsia="en-NZ"/>
              </w:rPr>
            </w:pPr>
            <w:hyperlink w:anchor="_Toc98760514" w:history="1">
              <w:r w:rsidR="005A707A" w:rsidRPr="0058372A">
                <w:rPr>
                  <w:rStyle w:val="Hyperlink"/>
                  <w:noProof/>
                </w:rPr>
                <w:t>6.4</w:t>
              </w:r>
              <w:r w:rsidR="005A707A">
                <w:rPr>
                  <w:rFonts w:asciiTheme="minorHAnsi" w:eastAsiaTheme="minorEastAsia" w:hAnsiTheme="minorHAnsi"/>
                  <w:noProof/>
                  <w:lang w:eastAsia="en-NZ"/>
                </w:rPr>
                <w:tab/>
              </w:r>
              <w:r w:rsidR="005A707A" w:rsidRPr="0058372A">
                <w:rPr>
                  <w:rStyle w:val="Hyperlink"/>
                  <w:noProof/>
                </w:rPr>
                <w:t>Transferring results from other jurisdictions</w:t>
              </w:r>
              <w:r w:rsidR="005A707A">
                <w:rPr>
                  <w:noProof/>
                </w:rPr>
                <w:tab/>
              </w:r>
              <w:r w:rsidR="005A707A">
                <w:rPr>
                  <w:noProof/>
                </w:rPr>
                <w:fldChar w:fldCharType="begin"/>
              </w:r>
              <w:r w:rsidR="005A707A">
                <w:rPr>
                  <w:noProof/>
                </w:rPr>
                <w:instrText xml:space="preserve"> PAGEREF _Toc98760514 \h </w:instrText>
              </w:r>
              <w:r w:rsidR="005A707A">
                <w:rPr>
                  <w:noProof/>
                </w:rPr>
              </w:r>
              <w:r w:rsidR="005A707A">
                <w:rPr>
                  <w:noProof/>
                </w:rPr>
                <w:fldChar w:fldCharType="separate"/>
              </w:r>
              <w:r w:rsidR="002C631E">
                <w:rPr>
                  <w:noProof/>
                </w:rPr>
                <w:t>19</w:t>
              </w:r>
              <w:r w:rsidR="005A707A">
                <w:rPr>
                  <w:noProof/>
                </w:rPr>
                <w:fldChar w:fldCharType="end"/>
              </w:r>
            </w:hyperlink>
          </w:p>
          <w:p w14:paraId="34C34468" w14:textId="0FD5A112" w:rsidR="005A707A" w:rsidRDefault="00443CD7">
            <w:pPr>
              <w:pStyle w:val="TOC1"/>
              <w:rPr>
                <w:rFonts w:asciiTheme="minorHAnsi" w:eastAsiaTheme="minorEastAsia" w:hAnsiTheme="minorHAnsi"/>
                <w:noProof/>
                <w:lang w:eastAsia="en-NZ"/>
              </w:rPr>
            </w:pPr>
            <w:hyperlink w:anchor="_Toc98760515" w:history="1">
              <w:r w:rsidR="005A707A" w:rsidRPr="0058372A">
                <w:rPr>
                  <w:rStyle w:val="Hyperlink"/>
                  <w:noProof/>
                </w:rPr>
                <w:t>7</w:t>
              </w:r>
              <w:r w:rsidR="005A707A">
                <w:rPr>
                  <w:rFonts w:asciiTheme="minorHAnsi" w:eastAsiaTheme="minorEastAsia" w:hAnsiTheme="minorHAnsi"/>
                  <w:noProof/>
                  <w:lang w:eastAsia="en-NZ"/>
                </w:rPr>
                <w:tab/>
              </w:r>
              <w:r w:rsidR="005A707A" w:rsidRPr="0058372A">
                <w:rPr>
                  <w:rStyle w:val="Hyperlink"/>
                  <w:noProof/>
                </w:rPr>
                <w:t>Determining scope for a 2021 update</w:t>
              </w:r>
              <w:r w:rsidR="005A707A">
                <w:rPr>
                  <w:noProof/>
                </w:rPr>
                <w:tab/>
              </w:r>
              <w:r w:rsidR="005A707A">
                <w:rPr>
                  <w:noProof/>
                </w:rPr>
                <w:fldChar w:fldCharType="begin"/>
              </w:r>
              <w:r w:rsidR="005A707A">
                <w:rPr>
                  <w:noProof/>
                </w:rPr>
                <w:instrText xml:space="preserve"> PAGEREF _Toc98760515 \h </w:instrText>
              </w:r>
              <w:r w:rsidR="005A707A">
                <w:rPr>
                  <w:noProof/>
                </w:rPr>
              </w:r>
              <w:r w:rsidR="005A707A">
                <w:rPr>
                  <w:noProof/>
                </w:rPr>
                <w:fldChar w:fldCharType="separate"/>
              </w:r>
              <w:r w:rsidR="002C631E">
                <w:rPr>
                  <w:noProof/>
                </w:rPr>
                <w:t>21</w:t>
              </w:r>
              <w:r w:rsidR="005A707A">
                <w:rPr>
                  <w:noProof/>
                </w:rPr>
                <w:fldChar w:fldCharType="end"/>
              </w:r>
            </w:hyperlink>
          </w:p>
          <w:p w14:paraId="42241157" w14:textId="7D81AC35" w:rsidR="005A707A" w:rsidRDefault="00443CD7">
            <w:pPr>
              <w:pStyle w:val="TOC2"/>
              <w:rPr>
                <w:rFonts w:asciiTheme="minorHAnsi" w:eastAsiaTheme="minorEastAsia" w:hAnsiTheme="minorHAnsi"/>
                <w:noProof/>
                <w:lang w:eastAsia="en-NZ"/>
              </w:rPr>
            </w:pPr>
            <w:hyperlink w:anchor="_Toc98760516" w:history="1">
              <w:r w:rsidR="005A707A" w:rsidRPr="0058372A">
                <w:rPr>
                  <w:rStyle w:val="Hyperlink"/>
                  <w:noProof/>
                </w:rPr>
                <w:t>7.1</w:t>
              </w:r>
              <w:r w:rsidR="005A707A">
                <w:rPr>
                  <w:rFonts w:asciiTheme="minorHAnsi" w:eastAsiaTheme="minorEastAsia" w:hAnsiTheme="minorHAnsi"/>
                  <w:noProof/>
                  <w:lang w:eastAsia="en-NZ"/>
                </w:rPr>
                <w:tab/>
              </w:r>
              <w:r w:rsidR="005A707A" w:rsidRPr="0058372A">
                <w:rPr>
                  <w:rStyle w:val="Hyperlink"/>
                  <w:noProof/>
                </w:rPr>
                <w:t>WHO focus on modifiable risk factors</w:t>
              </w:r>
              <w:r w:rsidR="005A707A">
                <w:rPr>
                  <w:noProof/>
                </w:rPr>
                <w:tab/>
              </w:r>
              <w:r w:rsidR="005A707A">
                <w:rPr>
                  <w:noProof/>
                </w:rPr>
                <w:fldChar w:fldCharType="begin"/>
              </w:r>
              <w:r w:rsidR="005A707A">
                <w:rPr>
                  <w:noProof/>
                </w:rPr>
                <w:instrText xml:space="preserve"> PAGEREF _Toc98760516 \h </w:instrText>
              </w:r>
              <w:r w:rsidR="005A707A">
                <w:rPr>
                  <w:noProof/>
                </w:rPr>
              </w:r>
              <w:r w:rsidR="005A707A">
                <w:rPr>
                  <w:noProof/>
                </w:rPr>
                <w:fldChar w:fldCharType="separate"/>
              </w:r>
              <w:r w:rsidR="002C631E">
                <w:rPr>
                  <w:noProof/>
                </w:rPr>
                <w:t>21</w:t>
              </w:r>
              <w:r w:rsidR="005A707A">
                <w:rPr>
                  <w:noProof/>
                </w:rPr>
                <w:fldChar w:fldCharType="end"/>
              </w:r>
            </w:hyperlink>
          </w:p>
          <w:p w14:paraId="7CB9FBFC" w14:textId="2A685AF0" w:rsidR="005A707A" w:rsidRDefault="00443CD7">
            <w:pPr>
              <w:pStyle w:val="TOC2"/>
              <w:rPr>
                <w:rFonts w:asciiTheme="minorHAnsi" w:eastAsiaTheme="minorEastAsia" w:hAnsiTheme="minorHAnsi"/>
                <w:noProof/>
                <w:lang w:eastAsia="en-NZ"/>
              </w:rPr>
            </w:pPr>
            <w:hyperlink w:anchor="_Toc98760517" w:history="1">
              <w:r w:rsidR="005A707A" w:rsidRPr="0058372A">
                <w:rPr>
                  <w:rStyle w:val="Hyperlink"/>
                  <w:noProof/>
                </w:rPr>
                <w:t>7.2</w:t>
              </w:r>
              <w:r w:rsidR="005A707A">
                <w:rPr>
                  <w:rFonts w:asciiTheme="minorHAnsi" w:eastAsiaTheme="minorEastAsia" w:hAnsiTheme="minorHAnsi"/>
                  <w:noProof/>
                  <w:lang w:eastAsia="en-NZ"/>
                </w:rPr>
                <w:tab/>
              </w:r>
              <w:r w:rsidR="005A707A" w:rsidRPr="0058372A">
                <w:rPr>
                  <w:rStyle w:val="Hyperlink"/>
                  <w:noProof/>
                </w:rPr>
                <w:t>The Global Alliance for Chronic Disease 5 types of NCDs</w:t>
              </w:r>
              <w:r w:rsidR="005A707A">
                <w:rPr>
                  <w:noProof/>
                </w:rPr>
                <w:tab/>
              </w:r>
              <w:r w:rsidR="005A707A">
                <w:rPr>
                  <w:noProof/>
                </w:rPr>
                <w:fldChar w:fldCharType="begin"/>
              </w:r>
              <w:r w:rsidR="005A707A">
                <w:rPr>
                  <w:noProof/>
                </w:rPr>
                <w:instrText xml:space="preserve"> PAGEREF _Toc98760517 \h </w:instrText>
              </w:r>
              <w:r w:rsidR="005A707A">
                <w:rPr>
                  <w:noProof/>
                </w:rPr>
              </w:r>
              <w:r w:rsidR="005A707A">
                <w:rPr>
                  <w:noProof/>
                </w:rPr>
                <w:fldChar w:fldCharType="separate"/>
              </w:r>
              <w:r w:rsidR="002C631E">
                <w:rPr>
                  <w:noProof/>
                </w:rPr>
                <w:t>22</w:t>
              </w:r>
              <w:r w:rsidR="005A707A">
                <w:rPr>
                  <w:noProof/>
                </w:rPr>
                <w:fldChar w:fldCharType="end"/>
              </w:r>
            </w:hyperlink>
          </w:p>
          <w:p w14:paraId="0604FA65" w14:textId="370DF6C5" w:rsidR="005A707A" w:rsidRDefault="00443CD7">
            <w:pPr>
              <w:pStyle w:val="TOC2"/>
              <w:rPr>
                <w:rFonts w:asciiTheme="minorHAnsi" w:eastAsiaTheme="minorEastAsia" w:hAnsiTheme="minorHAnsi"/>
                <w:noProof/>
                <w:lang w:eastAsia="en-NZ"/>
              </w:rPr>
            </w:pPr>
            <w:hyperlink w:anchor="_Toc98760518" w:history="1">
              <w:r w:rsidR="005A707A" w:rsidRPr="0058372A">
                <w:rPr>
                  <w:rStyle w:val="Hyperlink"/>
                  <w:noProof/>
                </w:rPr>
                <w:t>7.3</w:t>
              </w:r>
              <w:r w:rsidR="005A707A">
                <w:rPr>
                  <w:rFonts w:asciiTheme="minorHAnsi" w:eastAsiaTheme="minorEastAsia" w:hAnsiTheme="minorHAnsi"/>
                  <w:noProof/>
                  <w:lang w:eastAsia="en-NZ"/>
                </w:rPr>
                <w:tab/>
              </w:r>
              <w:r w:rsidR="005A707A" w:rsidRPr="0058372A">
                <w:rPr>
                  <w:rStyle w:val="Hyperlink"/>
                  <w:noProof/>
                </w:rPr>
                <w:t>Mortality burden</w:t>
              </w:r>
              <w:r w:rsidR="005A707A">
                <w:rPr>
                  <w:noProof/>
                </w:rPr>
                <w:tab/>
              </w:r>
              <w:r w:rsidR="005A707A">
                <w:rPr>
                  <w:noProof/>
                </w:rPr>
                <w:fldChar w:fldCharType="begin"/>
              </w:r>
              <w:r w:rsidR="005A707A">
                <w:rPr>
                  <w:noProof/>
                </w:rPr>
                <w:instrText xml:space="preserve"> PAGEREF _Toc98760518 \h </w:instrText>
              </w:r>
              <w:r w:rsidR="005A707A">
                <w:rPr>
                  <w:noProof/>
                </w:rPr>
              </w:r>
              <w:r w:rsidR="005A707A">
                <w:rPr>
                  <w:noProof/>
                </w:rPr>
                <w:fldChar w:fldCharType="separate"/>
              </w:r>
              <w:r w:rsidR="002C631E">
                <w:rPr>
                  <w:noProof/>
                </w:rPr>
                <w:t>22</w:t>
              </w:r>
              <w:r w:rsidR="005A707A">
                <w:rPr>
                  <w:noProof/>
                </w:rPr>
                <w:fldChar w:fldCharType="end"/>
              </w:r>
            </w:hyperlink>
          </w:p>
          <w:p w14:paraId="0806B44F" w14:textId="52078BC4" w:rsidR="005A707A" w:rsidRDefault="00443CD7">
            <w:pPr>
              <w:pStyle w:val="TOC2"/>
              <w:rPr>
                <w:rFonts w:asciiTheme="minorHAnsi" w:eastAsiaTheme="minorEastAsia" w:hAnsiTheme="minorHAnsi"/>
                <w:noProof/>
                <w:lang w:eastAsia="en-NZ"/>
              </w:rPr>
            </w:pPr>
            <w:hyperlink w:anchor="_Toc98760519" w:history="1">
              <w:r w:rsidR="005A707A" w:rsidRPr="0058372A">
                <w:rPr>
                  <w:rStyle w:val="Hyperlink"/>
                  <w:noProof/>
                </w:rPr>
                <w:t>7.4</w:t>
              </w:r>
              <w:r w:rsidR="005A707A">
                <w:rPr>
                  <w:rFonts w:asciiTheme="minorHAnsi" w:eastAsiaTheme="minorEastAsia" w:hAnsiTheme="minorHAnsi"/>
                  <w:noProof/>
                  <w:lang w:eastAsia="en-NZ"/>
                </w:rPr>
                <w:tab/>
              </w:r>
              <w:r w:rsidR="005A707A" w:rsidRPr="0058372A">
                <w:rPr>
                  <w:rStyle w:val="Hyperlink"/>
                  <w:noProof/>
                </w:rPr>
                <w:t>Disability burden</w:t>
              </w:r>
              <w:r w:rsidR="005A707A">
                <w:rPr>
                  <w:noProof/>
                </w:rPr>
                <w:tab/>
              </w:r>
              <w:r w:rsidR="005A707A">
                <w:rPr>
                  <w:noProof/>
                </w:rPr>
                <w:fldChar w:fldCharType="begin"/>
              </w:r>
              <w:r w:rsidR="005A707A">
                <w:rPr>
                  <w:noProof/>
                </w:rPr>
                <w:instrText xml:space="preserve"> PAGEREF _Toc98760519 \h </w:instrText>
              </w:r>
              <w:r w:rsidR="005A707A">
                <w:rPr>
                  <w:noProof/>
                </w:rPr>
              </w:r>
              <w:r w:rsidR="005A707A">
                <w:rPr>
                  <w:noProof/>
                </w:rPr>
                <w:fldChar w:fldCharType="separate"/>
              </w:r>
              <w:r w:rsidR="002C631E">
                <w:rPr>
                  <w:noProof/>
                </w:rPr>
                <w:t>23</w:t>
              </w:r>
              <w:r w:rsidR="005A707A">
                <w:rPr>
                  <w:noProof/>
                </w:rPr>
                <w:fldChar w:fldCharType="end"/>
              </w:r>
            </w:hyperlink>
          </w:p>
          <w:p w14:paraId="043FF659" w14:textId="6F6B8CE0" w:rsidR="005A707A" w:rsidRDefault="00443CD7">
            <w:pPr>
              <w:pStyle w:val="TOC2"/>
              <w:rPr>
                <w:rFonts w:asciiTheme="minorHAnsi" w:eastAsiaTheme="minorEastAsia" w:hAnsiTheme="minorHAnsi"/>
                <w:noProof/>
                <w:lang w:eastAsia="en-NZ"/>
              </w:rPr>
            </w:pPr>
            <w:hyperlink w:anchor="_Toc98760520" w:history="1">
              <w:r w:rsidR="005A707A" w:rsidRPr="0058372A">
                <w:rPr>
                  <w:rStyle w:val="Hyperlink"/>
                  <w:noProof/>
                </w:rPr>
                <w:t>7.5</w:t>
              </w:r>
              <w:r w:rsidR="005A707A">
                <w:rPr>
                  <w:rFonts w:asciiTheme="minorHAnsi" w:eastAsiaTheme="minorEastAsia" w:hAnsiTheme="minorHAnsi"/>
                  <w:noProof/>
                  <w:lang w:eastAsia="en-NZ"/>
                </w:rPr>
                <w:tab/>
              </w:r>
              <w:r w:rsidR="005A707A" w:rsidRPr="0058372A">
                <w:rPr>
                  <w:rStyle w:val="Hyperlink"/>
                  <w:noProof/>
                </w:rPr>
                <w:t>Equity</w:t>
              </w:r>
              <w:r w:rsidR="005A707A">
                <w:rPr>
                  <w:noProof/>
                </w:rPr>
                <w:tab/>
              </w:r>
              <w:r w:rsidR="005A707A">
                <w:rPr>
                  <w:noProof/>
                </w:rPr>
                <w:fldChar w:fldCharType="begin"/>
              </w:r>
              <w:r w:rsidR="005A707A">
                <w:rPr>
                  <w:noProof/>
                </w:rPr>
                <w:instrText xml:space="preserve"> PAGEREF _Toc98760520 \h </w:instrText>
              </w:r>
              <w:r w:rsidR="005A707A">
                <w:rPr>
                  <w:noProof/>
                </w:rPr>
              </w:r>
              <w:r w:rsidR="005A707A">
                <w:rPr>
                  <w:noProof/>
                </w:rPr>
                <w:fldChar w:fldCharType="separate"/>
              </w:r>
              <w:r w:rsidR="002C631E">
                <w:rPr>
                  <w:noProof/>
                </w:rPr>
                <w:t>27</w:t>
              </w:r>
              <w:r w:rsidR="005A707A">
                <w:rPr>
                  <w:noProof/>
                </w:rPr>
                <w:fldChar w:fldCharType="end"/>
              </w:r>
            </w:hyperlink>
          </w:p>
          <w:p w14:paraId="24DA57ED" w14:textId="3AE7B282" w:rsidR="005A707A" w:rsidRDefault="00443CD7">
            <w:pPr>
              <w:pStyle w:val="TOC2"/>
              <w:rPr>
                <w:rFonts w:asciiTheme="minorHAnsi" w:eastAsiaTheme="minorEastAsia" w:hAnsiTheme="minorHAnsi"/>
                <w:noProof/>
                <w:lang w:eastAsia="en-NZ"/>
              </w:rPr>
            </w:pPr>
            <w:hyperlink w:anchor="_Toc98760521" w:history="1">
              <w:r w:rsidR="005A707A" w:rsidRPr="0058372A">
                <w:rPr>
                  <w:rStyle w:val="Hyperlink"/>
                  <w:noProof/>
                </w:rPr>
                <w:t>7.6</w:t>
              </w:r>
              <w:r w:rsidR="005A707A">
                <w:rPr>
                  <w:rFonts w:asciiTheme="minorHAnsi" w:eastAsiaTheme="minorEastAsia" w:hAnsiTheme="minorHAnsi"/>
                  <w:noProof/>
                  <w:lang w:eastAsia="en-NZ"/>
                </w:rPr>
                <w:tab/>
              </w:r>
              <w:r w:rsidR="005A707A" w:rsidRPr="0058372A">
                <w:rPr>
                  <w:rStyle w:val="Hyperlink"/>
                  <w:noProof/>
                </w:rPr>
                <w:t>Conditions in scope</w:t>
              </w:r>
              <w:r w:rsidR="005A707A">
                <w:rPr>
                  <w:noProof/>
                </w:rPr>
                <w:tab/>
              </w:r>
              <w:r w:rsidR="005A707A">
                <w:rPr>
                  <w:noProof/>
                </w:rPr>
                <w:fldChar w:fldCharType="begin"/>
              </w:r>
              <w:r w:rsidR="005A707A">
                <w:rPr>
                  <w:noProof/>
                </w:rPr>
                <w:instrText xml:space="preserve"> PAGEREF _Toc98760521 \h </w:instrText>
              </w:r>
              <w:r w:rsidR="005A707A">
                <w:rPr>
                  <w:noProof/>
                </w:rPr>
              </w:r>
              <w:r w:rsidR="005A707A">
                <w:rPr>
                  <w:noProof/>
                </w:rPr>
                <w:fldChar w:fldCharType="separate"/>
              </w:r>
              <w:r w:rsidR="002C631E">
                <w:rPr>
                  <w:noProof/>
                </w:rPr>
                <w:t>30</w:t>
              </w:r>
              <w:r w:rsidR="005A707A">
                <w:rPr>
                  <w:noProof/>
                </w:rPr>
                <w:fldChar w:fldCharType="end"/>
              </w:r>
            </w:hyperlink>
          </w:p>
          <w:p w14:paraId="676BDD49" w14:textId="607E8CCD" w:rsidR="005A707A" w:rsidRDefault="00443CD7">
            <w:pPr>
              <w:pStyle w:val="TOC1"/>
              <w:rPr>
                <w:rFonts w:asciiTheme="minorHAnsi" w:eastAsiaTheme="minorEastAsia" w:hAnsiTheme="minorHAnsi"/>
                <w:noProof/>
                <w:lang w:eastAsia="en-NZ"/>
              </w:rPr>
            </w:pPr>
            <w:hyperlink w:anchor="_Toc98760522" w:history="1">
              <w:r w:rsidR="005A707A" w:rsidRPr="0058372A">
                <w:rPr>
                  <w:rStyle w:val="Hyperlink"/>
                  <w:noProof/>
                </w:rPr>
                <w:t>8</w:t>
              </w:r>
              <w:r w:rsidR="005A707A">
                <w:rPr>
                  <w:rFonts w:asciiTheme="minorHAnsi" w:eastAsiaTheme="minorEastAsia" w:hAnsiTheme="minorHAnsi"/>
                  <w:noProof/>
                  <w:lang w:eastAsia="en-NZ"/>
                </w:rPr>
                <w:tab/>
              </w:r>
              <w:r w:rsidR="005A707A" w:rsidRPr="0058372A">
                <w:rPr>
                  <w:rStyle w:val="Hyperlink"/>
                  <w:noProof/>
                </w:rPr>
                <w:t>Identifying the literature</w:t>
              </w:r>
              <w:r w:rsidR="005A707A">
                <w:rPr>
                  <w:noProof/>
                </w:rPr>
                <w:tab/>
              </w:r>
              <w:r w:rsidR="005A707A">
                <w:rPr>
                  <w:noProof/>
                </w:rPr>
                <w:fldChar w:fldCharType="begin"/>
              </w:r>
              <w:r w:rsidR="005A707A">
                <w:rPr>
                  <w:noProof/>
                </w:rPr>
                <w:instrText xml:space="preserve"> PAGEREF _Toc98760522 \h </w:instrText>
              </w:r>
              <w:r w:rsidR="005A707A">
                <w:rPr>
                  <w:noProof/>
                </w:rPr>
              </w:r>
              <w:r w:rsidR="005A707A">
                <w:rPr>
                  <w:noProof/>
                </w:rPr>
                <w:fldChar w:fldCharType="separate"/>
              </w:r>
              <w:r w:rsidR="002C631E">
                <w:rPr>
                  <w:noProof/>
                </w:rPr>
                <w:t>31</w:t>
              </w:r>
              <w:r w:rsidR="005A707A">
                <w:rPr>
                  <w:noProof/>
                </w:rPr>
                <w:fldChar w:fldCharType="end"/>
              </w:r>
            </w:hyperlink>
          </w:p>
          <w:p w14:paraId="30153095" w14:textId="18420E5D" w:rsidR="005A707A" w:rsidRDefault="00443CD7">
            <w:pPr>
              <w:pStyle w:val="TOC2"/>
              <w:rPr>
                <w:rFonts w:asciiTheme="minorHAnsi" w:eastAsiaTheme="minorEastAsia" w:hAnsiTheme="minorHAnsi"/>
                <w:noProof/>
                <w:lang w:eastAsia="en-NZ"/>
              </w:rPr>
            </w:pPr>
            <w:hyperlink w:anchor="_Toc98760523" w:history="1">
              <w:r w:rsidR="005A707A" w:rsidRPr="0058372A">
                <w:rPr>
                  <w:rStyle w:val="Hyperlink"/>
                  <w:noProof/>
                </w:rPr>
                <w:t>8.1</w:t>
              </w:r>
              <w:r w:rsidR="005A707A">
                <w:rPr>
                  <w:rFonts w:asciiTheme="minorHAnsi" w:eastAsiaTheme="minorEastAsia" w:hAnsiTheme="minorHAnsi"/>
                  <w:noProof/>
                  <w:lang w:eastAsia="en-NZ"/>
                </w:rPr>
                <w:tab/>
              </w:r>
              <w:r w:rsidR="005A707A" w:rsidRPr="0058372A">
                <w:rPr>
                  <w:rStyle w:val="Hyperlink"/>
                  <w:noProof/>
                </w:rPr>
                <w:t>Literature search methodology</w:t>
              </w:r>
              <w:r w:rsidR="005A707A">
                <w:rPr>
                  <w:noProof/>
                </w:rPr>
                <w:tab/>
              </w:r>
              <w:r w:rsidR="005A707A">
                <w:rPr>
                  <w:noProof/>
                </w:rPr>
                <w:fldChar w:fldCharType="begin"/>
              </w:r>
              <w:r w:rsidR="005A707A">
                <w:rPr>
                  <w:noProof/>
                </w:rPr>
                <w:instrText xml:space="preserve"> PAGEREF _Toc98760523 \h </w:instrText>
              </w:r>
              <w:r w:rsidR="005A707A">
                <w:rPr>
                  <w:noProof/>
                </w:rPr>
              </w:r>
              <w:r w:rsidR="005A707A">
                <w:rPr>
                  <w:noProof/>
                </w:rPr>
                <w:fldChar w:fldCharType="separate"/>
              </w:r>
              <w:r w:rsidR="002C631E">
                <w:rPr>
                  <w:noProof/>
                </w:rPr>
                <w:t>31</w:t>
              </w:r>
              <w:r w:rsidR="005A707A">
                <w:rPr>
                  <w:noProof/>
                </w:rPr>
                <w:fldChar w:fldCharType="end"/>
              </w:r>
            </w:hyperlink>
          </w:p>
          <w:p w14:paraId="37F58FA8" w14:textId="2C7EF61D" w:rsidR="005A707A" w:rsidRDefault="00443CD7">
            <w:pPr>
              <w:pStyle w:val="TOC2"/>
              <w:rPr>
                <w:rFonts w:asciiTheme="minorHAnsi" w:eastAsiaTheme="minorEastAsia" w:hAnsiTheme="minorHAnsi"/>
                <w:noProof/>
                <w:lang w:eastAsia="en-NZ"/>
              </w:rPr>
            </w:pPr>
            <w:hyperlink w:anchor="_Toc98760524" w:history="1">
              <w:r w:rsidR="005A707A" w:rsidRPr="0058372A">
                <w:rPr>
                  <w:rStyle w:val="Hyperlink"/>
                  <w:noProof/>
                </w:rPr>
                <w:t>8.2</w:t>
              </w:r>
              <w:r w:rsidR="005A707A">
                <w:rPr>
                  <w:rFonts w:asciiTheme="minorHAnsi" w:eastAsiaTheme="minorEastAsia" w:hAnsiTheme="minorHAnsi"/>
                  <w:noProof/>
                  <w:lang w:eastAsia="en-NZ"/>
                </w:rPr>
                <w:tab/>
              </w:r>
              <w:r w:rsidR="005A707A" w:rsidRPr="0058372A">
                <w:rPr>
                  <w:rStyle w:val="Hyperlink"/>
                  <w:noProof/>
                </w:rPr>
                <w:t>Sorting published studies</w:t>
              </w:r>
              <w:r w:rsidR="005A707A">
                <w:rPr>
                  <w:noProof/>
                </w:rPr>
                <w:tab/>
              </w:r>
              <w:r w:rsidR="005A707A">
                <w:rPr>
                  <w:noProof/>
                </w:rPr>
                <w:fldChar w:fldCharType="begin"/>
              </w:r>
              <w:r w:rsidR="005A707A">
                <w:rPr>
                  <w:noProof/>
                </w:rPr>
                <w:instrText xml:space="preserve"> PAGEREF _Toc98760524 \h </w:instrText>
              </w:r>
              <w:r w:rsidR="005A707A">
                <w:rPr>
                  <w:noProof/>
                </w:rPr>
              </w:r>
              <w:r w:rsidR="005A707A">
                <w:rPr>
                  <w:noProof/>
                </w:rPr>
                <w:fldChar w:fldCharType="separate"/>
              </w:r>
              <w:r w:rsidR="002C631E">
                <w:rPr>
                  <w:noProof/>
                </w:rPr>
                <w:t>32</w:t>
              </w:r>
              <w:r w:rsidR="005A707A">
                <w:rPr>
                  <w:noProof/>
                </w:rPr>
                <w:fldChar w:fldCharType="end"/>
              </w:r>
            </w:hyperlink>
          </w:p>
          <w:p w14:paraId="6294FD77" w14:textId="31085C16" w:rsidR="005A707A" w:rsidRDefault="00443CD7">
            <w:pPr>
              <w:pStyle w:val="TOC1"/>
              <w:rPr>
                <w:rFonts w:asciiTheme="minorHAnsi" w:eastAsiaTheme="minorEastAsia" w:hAnsiTheme="minorHAnsi"/>
                <w:noProof/>
                <w:lang w:eastAsia="en-NZ"/>
              </w:rPr>
            </w:pPr>
            <w:hyperlink w:anchor="_Toc98760525" w:history="1">
              <w:r w:rsidR="005A707A" w:rsidRPr="0058372A">
                <w:rPr>
                  <w:rStyle w:val="Hyperlink"/>
                  <w:noProof/>
                </w:rPr>
                <w:t>9</w:t>
              </w:r>
              <w:r w:rsidR="005A707A">
                <w:rPr>
                  <w:rFonts w:asciiTheme="minorHAnsi" w:eastAsiaTheme="minorEastAsia" w:hAnsiTheme="minorHAnsi"/>
                  <w:noProof/>
                  <w:lang w:eastAsia="en-NZ"/>
                </w:rPr>
                <w:tab/>
              </w:r>
              <w:r w:rsidR="005A707A" w:rsidRPr="0058372A">
                <w:rPr>
                  <w:rStyle w:val="Hyperlink"/>
                  <w:noProof/>
                </w:rPr>
                <w:t>Summary of New Zealand literature</w:t>
              </w:r>
              <w:r w:rsidR="005A707A">
                <w:rPr>
                  <w:noProof/>
                </w:rPr>
                <w:tab/>
              </w:r>
              <w:r w:rsidR="005A707A">
                <w:rPr>
                  <w:noProof/>
                </w:rPr>
                <w:fldChar w:fldCharType="begin"/>
              </w:r>
              <w:r w:rsidR="005A707A">
                <w:rPr>
                  <w:noProof/>
                </w:rPr>
                <w:instrText xml:space="preserve"> PAGEREF _Toc98760525 \h </w:instrText>
              </w:r>
              <w:r w:rsidR="005A707A">
                <w:rPr>
                  <w:noProof/>
                </w:rPr>
              </w:r>
              <w:r w:rsidR="005A707A">
                <w:rPr>
                  <w:noProof/>
                </w:rPr>
                <w:fldChar w:fldCharType="separate"/>
              </w:r>
              <w:r w:rsidR="002C631E">
                <w:rPr>
                  <w:noProof/>
                </w:rPr>
                <w:t>33</w:t>
              </w:r>
              <w:r w:rsidR="005A707A">
                <w:rPr>
                  <w:noProof/>
                </w:rPr>
                <w:fldChar w:fldCharType="end"/>
              </w:r>
            </w:hyperlink>
          </w:p>
          <w:p w14:paraId="08CCAB7B" w14:textId="225E0893" w:rsidR="005A707A" w:rsidRDefault="00443CD7">
            <w:pPr>
              <w:pStyle w:val="TOC2"/>
              <w:rPr>
                <w:rFonts w:asciiTheme="minorHAnsi" w:eastAsiaTheme="minorEastAsia" w:hAnsiTheme="minorHAnsi"/>
                <w:noProof/>
                <w:lang w:eastAsia="en-NZ"/>
              </w:rPr>
            </w:pPr>
            <w:hyperlink w:anchor="_Toc98760526" w:history="1">
              <w:r w:rsidR="005A707A" w:rsidRPr="0058372A">
                <w:rPr>
                  <w:rStyle w:val="Hyperlink"/>
                  <w:noProof/>
                </w:rPr>
                <w:t>9.1</w:t>
              </w:r>
              <w:r w:rsidR="005A707A">
                <w:rPr>
                  <w:rFonts w:asciiTheme="minorHAnsi" w:eastAsiaTheme="minorEastAsia" w:hAnsiTheme="minorHAnsi"/>
                  <w:noProof/>
                  <w:lang w:eastAsia="en-NZ"/>
                </w:rPr>
                <w:tab/>
              </w:r>
              <w:r w:rsidR="005A707A" w:rsidRPr="0058372A">
                <w:rPr>
                  <w:rStyle w:val="Hyperlink"/>
                  <w:noProof/>
                </w:rPr>
                <w:t>Burden of illness</w:t>
              </w:r>
              <w:r w:rsidR="005A707A">
                <w:rPr>
                  <w:noProof/>
                </w:rPr>
                <w:tab/>
              </w:r>
              <w:r w:rsidR="005A707A">
                <w:rPr>
                  <w:noProof/>
                </w:rPr>
                <w:fldChar w:fldCharType="begin"/>
              </w:r>
              <w:r w:rsidR="005A707A">
                <w:rPr>
                  <w:noProof/>
                </w:rPr>
                <w:instrText xml:space="preserve"> PAGEREF _Toc98760526 \h </w:instrText>
              </w:r>
              <w:r w:rsidR="005A707A">
                <w:rPr>
                  <w:noProof/>
                </w:rPr>
              </w:r>
              <w:r w:rsidR="005A707A">
                <w:rPr>
                  <w:noProof/>
                </w:rPr>
                <w:fldChar w:fldCharType="separate"/>
              </w:r>
              <w:r w:rsidR="002C631E">
                <w:rPr>
                  <w:noProof/>
                </w:rPr>
                <w:t>33</w:t>
              </w:r>
              <w:r w:rsidR="005A707A">
                <w:rPr>
                  <w:noProof/>
                </w:rPr>
                <w:fldChar w:fldCharType="end"/>
              </w:r>
            </w:hyperlink>
          </w:p>
          <w:p w14:paraId="2EDB3AB8" w14:textId="00188CE9" w:rsidR="005A707A" w:rsidRDefault="00443CD7">
            <w:pPr>
              <w:pStyle w:val="TOC2"/>
              <w:rPr>
                <w:rFonts w:asciiTheme="minorHAnsi" w:eastAsiaTheme="minorEastAsia" w:hAnsiTheme="minorHAnsi"/>
                <w:noProof/>
                <w:lang w:eastAsia="en-NZ"/>
              </w:rPr>
            </w:pPr>
            <w:hyperlink w:anchor="_Toc98760527" w:history="1">
              <w:r w:rsidR="005A707A" w:rsidRPr="0058372A">
                <w:rPr>
                  <w:rStyle w:val="Hyperlink"/>
                  <w:noProof/>
                </w:rPr>
                <w:t>9.2</w:t>
              </w:r>
              <w:r w:rsidR="005A707A">
                <w:rPr>
                  <w:rFonts w:asciiTheme="minorHAnsi" w:eastAsiaTheme="minorEastAsia" w:hAnsiTheme="minorHAnsi"/>
                  <w:noProof/>
                  <w:lang w:eastAsia="en-NZ"/>
                </w:rPr>
                <w:tab/>
              </w:r>
              <w:r w:rsidR="005A707A" w:rsidRPr="0058372A">
                <w:rPr>
                  <w:rStyle w:val="Hyperlink"/>
                  <w:noProof/>
                </w:rPr>
                <w:t>Cost-of-illness studies by risk factor</w:t>
              </w:r>
              <w:r w:rsidR="005A707A">
                <w:rPr>
                  <w:noProof/>
                </w:rPr>
                <w:tab/>
              </w:r>
              <w:r w:rsidR="005A707A">
                <w:rPr>
                  <w:noProof/>
                </w:rPr>
                <w:fldChar w:fldCharType="begin"/>
              </w:r>
              <w:r w:rsidR="005A707A">
                <w:rPr>
                  <w:noProof/>
                </w:rPr>
                <w:instrText xml:space="preserve"> PAGEREF _Toc98760527 \h </w:instrText>
              </w:r>
              <w:r w:rsidR="005A707A">
                <w:rPr>
                  <w:noProof/>
                </w:rPr>
              </w:r>
              <w:r w:rsidR="005A707A">
                <w:rPr>
                  <w:noProof/>
                </w:rPr>
                <w:fldChar w:fldCharType="separate"/>
              </w:r>
              <w:r w:rsidR="002C631E">
                <w:rPr>
                  <w:noProof/>
                </w:rPr>
                <w:t>34</w:t>
              </w:r>
              <w:r w:rsidR="005A707A">
                <w:rPr>
                  <w:noProof/>
                </w:rPr>
                <w:fldChar w:fldCharType="end"/>
              </w:r>
            </w:hyperlink>
          </w:p>
          <w:p w14:paraId="2B685EB1" w14:textId="3528B547" w:rsidR="005A707A" w:rsidRDefault="00443CD7">
            <w:pPr>
              <w:pStyle w:val="TOC2"/>
              <w:rPr>
                <w:rFonts w:asciiTheme="minorHAnsi" w:eastAsiaTheme="minorEastAsia" w:hAnsiTheme="minorHAnsi"/>
                <w:noProof/>
                <w:lang w:eastAsia="en-NZ"/>
              </w:rPr>
            </w:pPr>
            <w:hyperlink w:anchor="_Toc98760528" w:history="1">
              <w:r w:rsidR="005A707A" w:rsidRPr="0058372A">
                <w:rPr>
                  <w:rStyle w:val="Hyperlink"/>
                  <w:noProof/>
                </w:rPr>
                <w:t>9.3</w:t>
              </w:r>
              <w:r w:rsidR="005A707A">
                <w:rPr>
                  <w:rFonts w:asciiTheme="minorHAnsi" w:eastAsiaTheme="minorEastAsia" w:hAnsiTheme="minorHAnsi"/>
                  <w:noProof/>
                  <w:lang w:eastAsia="en-NZ"/>
                </w:rPr>
                <w:tab/>
              </w:r>
              <w:r w:rsidR="005A707A" w:rsidRPr="0058372A">
                <w:rPr>
                  <w:rStyle w:val="Hyperlink"/>
                  <w:noProof/>
                </w:rPr>
                <w:t>Cost-of-illness studies by disease or condition</w:t>
              </w:r>
              <w:r w:rsidR="005A707A">
                <w:rPr>
                  <w:noProof/>
                </w:rPr>
                <w:tab/>
              </w:r>
              <w:r w:rsidR="005A707A">
                <w:rPr>
                  <w:noProof/>
                </w:rPr>
                <w:fldChar w:fldCharType="begin"/>
              </w:r>
              <w:r w:rsidR="005A707A">
                <w:rPr>
                  <w:noProof/>
                </w:rPr>
                <w:instrText xml:space="preserve"> PAGEREF _Toc98760528 \h </w:instrText>
              </w:r>
              <w:r w:rsidR="005A707A">
                <w:rPr>
                  <w:noProof/>
                </w:rPr>
              </w:r>
              <w:r w:rsidR="005A707A">
                <w:rPr>
                  <w:noProof/>
                </w:rPr>
                <w:fldChar w:fldCharType="separate"/>
              </w:r>
              <w:r w:rsidR="002C631E">
                <w:rPr>
                  <w:noProof/>
                </w:rPr>
                <w:t>42</w:t>
              </w:r>
              <w:r w:rsidR="005A707A">
                <w:rPr>
                  <w:noProof/>
                </w:rPr>
                <w:fldChar w:fldCharType="end"/>
              </w:r>
            </w:hyperlink>
          </w:p>
          <w:p w14:paraId="5E056877" w14:textId="44E99D7D" w:rsidR="005A707A" w:rsidRDefault="00443CD7">
            <w:pPr>
              <w:pStyle w:val="TOC1"/>
              <w:rPr>
                <w:rFonts w:asciiTheme="minorHAnsi" w:eastAsiaTheme="minorEastAsia" w:hAnsiTheme="minorHAnsi"/>
                <w:noProof/>
                <w:lang w:eastAsia="en-NZ"/>
              </w:rPr>
            </w:pPr>
            <w:hyperlink w:anchor="_Toc98760529" w:history="1">
              <w:r w:rsidR="005A707A" w:rsidRPr="0058372A">
                <w:rPr>
                  <w:rStyle w:val="Hyperlink"/>
                  <w:noProof/>
                </w:rPr>
                <w:t>10</w:t>
              </w:r>
              <w:r w:rsidR="005A707A">
                <w:rPr>
                  <w:rFonts w:asciiTheme="minorHAnsi" w:eastAsiaTheme="minorEastAsia" w:hAnsiTheme="minorHAnsi"/>
                  <w:noProof/>
                  <w:lang w:eastAsia="en-NZ"/>
                </w:rPr>
                <w:tab/>
              </w:r>
              <w:r w:rsidR="005A707A" w:rsidRPr="0058372A">
                <w:rPr>
                  <w:rStyle w:val="Hyperlink"/>
                  <w:noProof/>
                </w:rPr>
                <w:t>International evidence</w:t>
              </w:r>
              <w:r w:rsidR="005A707A">
                <w:rPr>
                  <w:noProof/>
                </w:rPr>
                <w:tab/>
              </w:r>
              <w:r w:rsidR="005A707A">
                <w:rPr>
                  <w:noProof/>
                </w:rPr>
                <w:fldChar w:fldCharType="begin"/>
              </w:r>
              <w:r w:rsidR="005A707A">
                <w:rPr>
                  <w:noProof/>
                </w:rPr>
                <w:instrText xml:space="preserve"> PAGEREF _Toc98760529 \h </w:instrText>
              </w:r>
              <w:r w:rsidR="005A707A">
                <w:rPr>
                  <w:noProof/>
                </w:rPr>
              </w:r>
              <w:r w:rsidR="005A707A">
                <w:rPr>
                  <w:noProof/>
                </w:rPr>
                <w:fldChar w:fldCharType="separate"/>
              </w:r>
              <w:r w:rsidR="002C631E">
                <w:rPr>
                  <w:noProof/>
                </w:rPr>
                <w:t>61</w:t>
              </w:r>
              <w:r w:rsidR="005A707A">
                <w:rPr>
                  <w:noProof/>
                </w:rPr>
                <w:fldChar w:fldCharType="end"/>
              </w:r>
            </w:hyperlink>
          </w:p>
          <w:p w14:paraId="108597F7" w14:textId="5DC64620" w:rsidR="005A707A" w:rsidRDefault="00443CD7">
            <w:pPr>
              <w:pStyle w:val="TOC1"/>
              <w:rPr>
                <w:rFonts w:asciiTheme="minorHAnsi" w:eastAsiaTheme="minorEastAsia" w:hAnsiTheme="minorHAnsi"/>
                <w:noProof/>
                <w:lang w:eastAsia="en-NZ"/>
              </w:rPr>
            </w:pPr>
            <w:hyperlink w:anchor="_Toc98760530" w:history="1">
              <w:r w:rsidR="005A707A" w:rsidRPr="0058372A">
                <w:rPr>
                  <w:rStyle w:val="Hyperlink"/>
                  <w:noProof/>
                </w:rPr>
                <w:t>11</w:t>
              </w:r>
              <w:r w:rsidR="005A707A">
                <w:rPr>
                  <w:rFonts w:asciiTheme="minorHAnsi" w:eastAsiaTheme="minorEastAsia" w:hAnsiTheme="minorHAnsi"/>
                  <w:noProof/>
                  <w:lang w:eastAsia="en-NZ"/>
                </w:rPr>
                <w:tab/>
              </w:r>
              <w:r w:rsidR="005A707A" w:rsidRPr="0058372A">
                <w:rPr>
                  <w:rStyle w:val="Hyperlink"/>
                  <w:noProof/>
                </w:rPr>
                <w:t>Summary of studies</w:t>
              </w:r>
              <w:r w:rsidR="005A707A">
                <w:rPr>
                  <w:noProof/>
                </w:rPr>
                <w:tab/>
              </w:r>
              <w:r w:rsidR="005A707A">
                <w:rPr>
                  <w:noProof/>
                </w:rPr>
                <w:fldChar w:fldCharType="begin"/>
              </w:r>
              <w:r w:rsidR="005A707A">
                <w:rPr>
                  <w:noProof/>
                </w:rPr>
                <w:instrText xml:space="preserve"> PAGEREF _Toc98760530 \h </w:instrText>
              </w:r>
              <w:r w:rsidR="005A707A">
                <w:rPr>
                  <w:noProof/>
                </w:rPr>
              </w:r>
              <w:r w:rsidR="005A707A">
                <w:rPr>
                  <w:noProof/>
                </w:rPr>
                <w:fldChar w:fldCharType="separate"/>
              </w:r>
              <w:r w:rsidR="002C631E">
                <w:rPr>
                  <w:noProof/>
                </w:rPr>
                <w:t>70</w:t>
              </w:r>
              <w:r w:rsidR="005A707A">
                <w:rPr>
                  <w:noProof/>
                </w:rPr>
                <w:fldChar w:fldCharType="end"/>
              </w:r>
            </w:hyperlink>
          </w:p>
          <w:p w14:paraId="7023A66F" w14:textId="4F4EA0A3" w:rsidR="005A707A" w:rsidRDefault="00443CD7">
            <w:pPr>
              <w:pStyle w:val="TOC1"/>
              <w:rPr>
                <w:rFonts w:asciiTheme="minorHAnsi" w:eastAsiaTheme="minorEastAsia" w:hAnsiTheme="minorHAnsi"/>
                <w:noProof/>
                <w:lang w:eastAsia="en-NZ"/>
              </w:rPr>
            </w:pPr>
            <w:hyperlink w:anchor="_Toc98760531" w:history="1">
              <w:r w:rsidR="005A707A" w:rsidRPr="0058372A">
                <w:rPr>
                  <w:rStyle w:val="Hyperlink"/>
                  <w:noProof/>
                </w:rPr>
                <w:t>12</w:t>
              </w:r>
              <w:r w:rsidR="005A707A">
                <w:rPr>
                  <w:rFonts w:asciiTheme="minorHAnsi" w:eastAsiaTheme="minorEastAsia" w:hAnsiTheme="minorHAnsi"/>
                  <w:noProof/>
                  <w:lang w:eastAsia="en-NZ"/>
                </w:rPr>
                <w:tab/>
              </w:r>
              <w:r w:rsidR="005A707A" w:rsidRPr="0058372A">
                <w:rPr>
                  <w:rStyle w:val="Hyperlink"/>
                  <w:noProof/>
                </w:rPr>
                <w:t>References</w:t>
              </w:r>
              <w:r w:rsidR="005A707A">
                <w:rPr>
                  <w:noProof/>
                </w:rPr>
                <w:tab/>
              </w:r>
              <w:r w:rsidR="005A707A">
                <w:rPr>
                  <w:noProof/>
                </w:rPr>
                <w:fldChar w:fldCharType="begin"/>
              </w:r>
              <w:r w:rsidR="005A707A">
                <w:rPr>
                  <w:noProof/>
                </w:rPr>
                <w:instrText xml:space="preserve"> PAGEREF _Toc98760531 \h </w:instrText>
              </w:r>
              <w:r w:rsidR="005A707A">
                <w:rPr>
                  <w:noProof/>
                </w:rPr>
              </w:r>
              <w:r w:rsidR="005A707A">
                <w:rPr>
                  <w:noProof/>
                </w:rPr>
                <w:fldChar w:fldCharType="separate"/>
              </w:r>
              <w:r w:rsidR="002C631E">
                <w:rPr>
                  <w:noProof/>
                </w:rPr>
                <w:t>77</w:t>
              </w:r>
              <w:r w:rsidR="005A707A">
                <w:rPr>
                  <w:noProof/>
                </w:rPr>
                <w:fldChar w:fldCharType="end"/>
              </w:r>
            </w:hyperlink>
          </w:p>
          <w:p w14:paraId="6924A409" w14:textId="22B4EA03" w:rsidR="00DC354C" w:rsidRPr="007C21B3" w:rsidRDefault="00DC354C" w:rsidP="00DD5977">
            <w:pPr>
              <w:pStyle w:val="USWhiteSpace"/>
              <w:rPr>
                <w:sz w:val="2"/>
                <w:szCs w:val="2"/>
              </w:rPr>
            </w:pPr>
            <w:r>
              <w:fldChar w:fldCharType="end"/>
            </w:r>
          </w:p>
        </w:tc>
      </w:tr>
      <w:tr w:rsidR="00DD5977" w14:paraId="22FA035A" w14:textId="77777777" w:rsidTr="001C0653">
        <w:tc>
          <w:tcPr>
            <w:tcW w:w="9393" w:type="dxa"/>
            <w:tcBorders>
              <w:top w:val="nil"/>
              <w:left w:val="nil"/>
              <w:bottom w:val="nil"/>
              <w:right w:val="nil"/>
            </w:tcBorders>
          </w:tcPr>
          <w:p w14:paraId="03565B52" w14:textId="76D7FB89" w:rsidR="00DD5977" w:rsidRPr="00DD5977" w:rsidRDefault="00DD5977" w:rsidP="001A3EDE">
            <w:pPr>
              <w:pStyle w:val="HeadingContents-TablesFigures"/>
              <w:spacing w:before="240"/>
            </w:pPr>
            <w:r w:rsidRPr="00DD5977">
              <w:t>Figures</w:t>
            </w:r>
          </w:p>
        </w:tc>
      </w:tr>
      <w:tr w:rsidR="00F8197C" w14:paraId="1F7CC8EA" w14:textId="77777777" w:rsidTr="001C0653">
        <w:tc>
          <w:tcPr>
            <w:tcW w:w="9393" w:type="dxa"/>
            <w:tcBorders>
              <w:top w:val="nil"/>
              <w:left w:val="nil"/>
              <w:bottom w:val="nil"/>
              <w:right w:val="nil"/>
            </w:tcBorders>
          </w:tcPr>
          <w:p w14:paraId="1ADECBC6" w14:textId="333E3BE5" w:rsidR="005A707A" w:rsidRDefault="00F8197C">
            <w:pPr>
              <w:pStyle w:val="TableofFigures"/>
              <w:rPr>
                <w:rFonts w:asciiTheme="minorHAnsi" w:eastAsiaTheme="minorEastAsia" w:hAnsiTheme="minorHAnsi"/>
                <w:noProof/>
                <w:lang w:eastAsia="en-NZ"/>
              </w:rPr>
            </w:pPr>
            <w:r w:rsidRPr="007828EA">
              <w:fldChar w:fldCharType="begin"/>
            </w:r>
            <w:r w:rsidRPr="007828EA">
              <w:instrText xml:space="preserve"> TOC </w:instrText>
            </w:r>
            <w:r w:rsidR="007C21B3" w:rsidRPr="007828EA">
              <w:rPr>
                <w:noProof/>
                <w:lang w:val="en-US"/>
              </w:rPr>
              <w:instrText xml:space="preserve">\h \z </w:instrText>
            </w:r>
            <w:r w:rsidRPr="007828EA">
              <w:instrText xml:space="preserve">\c "Figure" </w:instrText>
            </w:r>
            <w:r w:rsidRPr="007828EA">
              <w:fldChar w:fldCharType="separate"/>
            </w:r>
            <w:hyperlink w:anchor="_Toc98760532" w:history="1">
              <w:r w:rsidR="005A707A" w:rsidRPr="00796483">
                <w:rPr>
                  <w:rStyle w:val="Hyperlink"/>
                  <w:noProof/>
                </w:rPr>
                <w:t>Figure 1 WHO’s focus on modifiable risk factors</w:t>
              </w:r>
              <w:r w:rsidR="005A707A">
                <w:rPr>
                  <w:noProof/>
                  <w:webHidden/>
                </w:rPr>
                <w:tab/>
              </w:r>
              <w:r w:rsidR="005A707A">
                <w:rPr>
                  <w:noProof/>
                  <w:webHidden/>
                </w:rPr>
                <w:fldChar w:fldCharType="begin"/>
              </w:r>
              <w:r w:rsidR="005A707A">
                <w:rPr>
                  <w:noProof/>
                  <w:webHidden/>
                </w:rPr>
                <w:instrText xml:space="preserve"> PAGEREF _Toc98760532 \h </w:instrText>
              </w:r>
              <w:r w:rsidR="005A707A">
                <w:rPr>
                  <w:noProof/>
                  <w:webHidden/>
                </w:rPr>
              </w:r>
              <w:r w:rsidR="005A707A">
                <w:rPr>
                  <w:noProof/>
                  <w:webHidden/>
                </w:rPr>
                <w:fldChar w:fldCharType="separate"/>
              </w:r>
              <w:r w:rsidR="002C631E">
                <w:rPr>
                  <w:noProof/>
                  <w:webHidden/>
                </w:rPr>
                <w:t>21</w:t>
              </w:r>
              <w:r w:rsidR="005A707A">
                <w:rPr>
                  <w:noProof/>
                  <w:webHidden/>
                </w:rPr>
                <w:fldChar w:fldCharType="end"/>
              </w:r>
            </w:hyperlink>
          </w:p>
          <w:p w14:paraId="703C3987" w14:textId="2B23D76E" w:rsidR="005A707A" w:rsidRDefault="00443CD7">
            <w:pPr>
              <w:pStyle w:val="TableofFigures"/>
              <w:rPr>
                <w:rFonts w:asciiTheme="minorHAnsi" w:eastAsiaTheme="minorEastAsia" w:hAnsiTheme="minorHAnsi"/>
                <w:noProof/>
                <w:lang w:eastAsia="en-NZ"/>
              </w:rPr>
            </w:pPr>
            <w:hyperlink w:anchor="_Toc98760533" w:history="1">
              <w:r w:rsidR="005A707A" w:rsidRPr="00796483">
                <w:rPr>
                  <w:rStyle w:val="Hyperlink"/>
                  <w:noProof/>
                </w:rPr>
                <w:t>Figure 2 Global Alliance for Chronic Disease 5 types of NCDs</w:t>
              </w:r>
              <w:r w:rsidR="005A707A">
                <w:rPr>
                  <w:noProof/>
                  <w:webHidden/>
                </w:rPr>
                <w:tab/>
              </w:r>
              <w:r w:rsidR="005A707A">
                <w:rPr>
                  <w:noProof/>
                  <w:webHidden/>
                </w:rPr>
                <w:fldChar w:fldCharType="begin"/>
              </w:r>
              <w:r w:rsidR="005A707A">
                <w:rPr>
                  <w:noProof/>
                  <w:webHidden/>
                </w:rPr>
                <w:instrText xml:space="preserve"> PAGEREF _Toc98760533 \h </w:instrText>
              </w:r>
              <w:r w:rsidR="005A707A">
                <w:rPr>
                  <w:noProof/>
                  <w:webHidden/>
                </w:rPr>
              </w:r>
              <w:r w:rsidR="005A707A">
                <w:rPr>
                  <w:noProof/>
                  <w:webHidden/>
                </w:rPr>
                <w:fldChar w:fldCharType="separate"/>
              </w:r>
              <w:r w:rsidR="002C631E">
                <w:rPr>
                  <w:noProof/>
                  <w:webHidden/>
                </w:rPr>
                <w:t>22</w:t>
              </w:r>
              <w:r w:rsidR="005A707A">
                <w:rPr>
                  <w:noProof/>
                  <w:webHidden/>
                </w:rPr>
                <w:fldChar w:fldCharType="end"/>
              </w:r>
            </w:hyperlink>
          </w:p>
          <w:p w14:paraId="5177DEA3" w14:textId="0922EA42" w:rsidR="005A707A" w:rsidRDefault="00443CD7">
            <w:pPr>
              <w:pStyle w:val="TableofFigures"/>
              <w:rPr>
                <w:rFonts w:asciiTheme="minorHAnsi" w:eastAsiaTheme="minorEastAsia" w:hAnsiTheme="minorHAnsi"/>
                <w:noProof/>
                <w:lang w:eastAsia="en-NZ"/>
              </w:rPr>
            </w:pPr>
            <w:hyperlink w:anchor="_Toc98760534" w:history="1">
              <w:r w:rsidR="005A707A" w:rsidRPr="00796483">
                <w:rPr>
                  <w:rStyle w:val="Hyperlink"/>
                  <w:noProof/>
                </w:rPr>
                <w:t>Figure 3 Leading causes of death in New Zealand, 2009–2019</w:t>
              </w:r>
              <w:r w:rsidR="005A707A">
                <w:rPr>
                  <w:noProof/>
                  <w:webHidden/>
                </w:rPr>
                <w:tab/>
              </w:r>
              <w:r w:rsidR="005A707A">
                <w:rPr>
                  <w:noProof/>
                  <w:webHidden/>
                </w:rPr>
                <w:fldChar w:fldCharType="begin"/>
              </w:r>
              <w:r w:rsidR="005A707A">
                <w:rPr>
                  <w:noProof/>
                  <w:webHidden/>
                </w:rPr>
                <w:instrText xml:space="preserve"> PAGEREF _Toc98760534 \h </w:instrText>
              </w:r>
              <w:r w:rsidR="005A707A">
                <w:rPr>
                  <w:noProof/>
                  <w:webHidden/>
                </w:rPr>
              </w:r>
              <w:r w:rsidR="005A707A">
                <w:rPr>
                  <w:noProof/>
                  <w:webHidden/>
                </w:rPr>
                <w:fldChar w:fldCharType="separate"/>
              </w:r>
              <w:r w:rsidR="002C631E">
                <w:rPr>
                  <w:noProof/>
                  <w:webHidden/>
                </w:rPr>
                <w:t>23</w:t>
              </w:r>
              <w:r w:rsidR="005A707A">
                <w:rPr>
                  <w:noProof/>
                  <w:webHidden/>
                </w:rPr>
                <w:fldChar w:fldCharType="end"/>
              </w:r>
            </w:hyperlink>
          </w:p>
          <w:p w14:paraId="7EA4F0F2" w14:textId="559E0C2D" w:rsidR="005A707A" w:rsidRDefault="00443CD7">
            <w:pPr>
              <w:pStyle w:val="TableofFigures"/>
              <w:rPr>
                <w:rFonts w:asciiTheme="minorHAnsi" w:eastAsiaTheme="minorEastAsia" w:hAnsiTheme="minorHAnsi"/>
                <w:noProof/>
                <w:lang w:eastAsia="en-NZ"/>
              </w:rPr>
            </w:pPr>
            <w:hyperlink w:anchor="_Toc98760535" w:history="1">
              <w:r w:rsidR="005A707A" w:rsidRPr="00796483">
                <w:rPr>
                  <w:rStyle w:val="Hyperlink"/>
                  <w:noProof/>
                </w:rPr>
                <w:t>Figure 4 NCD deaths attributable to the ‘big four’ NCDs</w:t>
              </w:r>
              <w:r w:rsidR="005A707A">
                <w:rPr>
                  <w:noProof/>
                  <w:webHidden/>
                </w:rPr>
                <w:tab/>
              </w:r>
              <w:r w:rsidR="005A707A">
                <w:rPr>
                  <w:noProof/>
                  <w:webHidden/>
                </w:rPr>
                <w:fldChar w:fldCharType="begin"/>
              </w:r>
              <w:r w:rsidR="005A707A">
                <w:rPr>
                  <w:noProof/>
                  <w:webHidden/>
                </w:rPr>
                <w:instrText xml:space="preserve"> PAGEREF _Toc98760535 \h </w:instrText>
              </w:r>
              <w:r w:rsidR="005A707A">
                <w:rPr>
                  <w:noProof/>
                  <w:webHidden/>
                </w:rPr>
              </w:r>
              <w:r w:rsidR="005A707A">
                <w:rPr>
                  <w:noProof/>
                  <w:webHidden/>
                </w:rPr>
                <w:fldChar w:fldCharType="separate"/>
              </w:r>
              <w:r w:rsidR="002C631E">
                <w:rPr>
                  <w:noProof/>
                  <w:webHidden/>
                </w:rPr>
                <w:t>23</w:t>
              </w:r>
              <w:r w:rsidR="005A707A">
                <w:rPr>
                  <w:noProof/>
                  <w:webHidden/>
                </w:rPr>
                <w:fldChar w:fldCharType="end"/>
              </w:r>
            </w:hyperlink>
          </w:p>
          <w:p w14:paraId="18BC7D09" w14:textId="3473B598" w:rsidR="005A707A" w:rsidRDefault="00443CD7">
            <w:pPr>
              <w:pStyle w:val="TableofFigures"/>
              <w:rPr>
                <w:rFonts w:asciiTheme="minorHAnsi" w:eastAsiaTheme="minorEastAsia" w:hAnsiTheme="minorHAnsi"/>
                <w:noProof/>
                <w:lang w:eastAsia="en-NZ"/>
              </w:rPr>
            </w:pPr>
            <w:hyperlink w:anchor="_Toc98760536" w:history="1">
              <w:r w:rsidR="005A707A" w:rsidRPr="00796483">
                <w:rPr>
                  <w:rStyle w:val="Hyperlink"/>
                  <w:noProof/>
                </w:rPr>
                <w:t>Figure 5 Global burden of NCDs in terms of DALYs</w:t>
              </w:r>
              <w:r w:rsidR="005A707A">
                <w:rPr>
                  <w:noProof/>
                  <w:webHidden/>
                </w:rPr>
                <w:tab/>
              </w:r>
              <w:r w:rsidR="005A707A">
                <w:rPr>
                  <w:noProof/>
                  <w:webHidden/>
                </w:rPr>
                <w:fldChar w:fldCharType="begin"/>
              </w:r>
              <w:r w:rsidR="005A707A">
                <w:rPr>
                  <w:noProof/>
                  <w:webHidden/>
                </w:rPr>
                <w:instrText xml:space="preserve"> PAGEREF _Toc98760536 \h </w:instrText>
              </w:r>
              <w:r w:rsidR="005A707A">
                <w:rPr>
                  <w:noProof/>
                  <w:webHidden/>
                </w:rPr>
              </w:r>
              <w:r w:rsidR="005A707A">
                <w:rPr>
                  <w:noProof/>
                  <w:webHidden/>
                </w:rPr>
                <w:fldChar w:fldCharType="separate"/>
              </w:r>
              <w:r w:rsidR="002C631E">
                <w:rPr>
                  <w:noProof/>
                  <w:webHidden/>
                </w:rPr>
                <w:t>24</w:t>
              </w:r>
              <w:r w:rsidR="005A707A">
                <w:rPr>
                  <w:noProof/>
                  <w:webHidden/>
                </w:rPr>
                <w:fldChar w:fldCharType="end"/>
              </w:r>
            </w:hyperlink>
          </w:p>
          <w:p w14:paraId="12158555" w14:textId="677D69D3" w:rsidR="005A707A" w:rsidRDefault="00443CD7">
            <w:pPr>
              <w:pStyle w:val="TableofFigures"/>
              <w:rPr>
                <w:rFonts w:asciiTheme="minorHAnsi" w:eastAsiaTheme="minorEastAsia" w:hAnsiTheme="minorHAnsi"/>
                <w:noProof/>
                <w:lang w:eastAsia="en-NZ"/>
              </w:rPr>
            </w:pPr>
            <w:hyperlink w:anchor="_Toc98760537" w:history="1">
              <w:r w:rsidR="005A707A" w:rsidRPr="00796483">
                <w:rPr>
                  <w:rStyle w:val="Hyperlink"/>
                  <w:noProof/>
                </w:rPr>
                <w:t>Figure 6 Comparison of neglected NCDs to the ‘big four’ NCDs</w:t>
              </w:r>
              <w:r w:rsidR="005A707A">
                <w:rPr>
                  <w:noProof/>
                  <w:webHidden/>
                </w:rPr>
                <w:tab/>
              </w:r>
              <w:r w:rsidR="005A707A">
                <w:rPr>
                  <w:noProof/>
                  <w:webHidden/>
                </w:rPr>
                <w:fldChar w:fldCharType="begin"/>
              </w:r>
              <w:r w:rsidR="005A707A">
                <w:rPr>
                  <w:noProof/>
                  <w:webHidden/>
                </w:rPr>
                <w:instrText xml:space="preserve"> PAGEREF _Toc98760537 \h </w:instrText>
              </w:r>
              <w:r w:rsidR="005A707A">
                <w:rPr>
                  <w:noProof/>
                  <w:webHidden/>
                </w:rPr>
              </w:r>
              <w:r w:rsidR="005A707A">
                <w:rPr>
                  <w:noProof/>
                  <w:webHidden/>
                </w:rPr>
                <w:fldChar w:fldCharType="separate"/>
              </w:r>
              <w:r w:rsidR="002C631E">
                <w:rPr>
                  <w:noProof/>
                  <w:webHidden/>
                </w:rPr>
                <w:t>25</w:t>
              </w:r>
              <w:r w:rsidR="005A707A">
                <w:rPr>
                  <w:noProof/>
                  <w:webHidden/>
                </w:rPr>
                <w:fldChar w:fldCharType="end"/>
              </w:r>
            </w:hyperlink>
          </w:p>
          <w:p w14:paraId="5EA8D728" w14:textId="4854FFEC" w:rsidR="005A707A" w:rsidRDefault="00443CD7">
            <w:pPr>
              <w:pStyle w:val="TableofFigures"/>
              <w:rPr>
                <w:rFonts w:asciiTheme="minorHAnsi" w:eastAsiaTheme="minorEastAsia" w:hAnsiTheme="minorHAnsi"/>
                <w:noProof/>
                <w:lang w:eastAsia="en-NZ"/>
              </w:rPr>
            </w:pPr>
            <w:hyperlink w:anchor="_Toc98760538" w:history="1">
              <w:r w:rsidR="005A707A" w:rsidRPr="00796483">
                <w:rPr>
                  <w:rStyle w:val="Hyperlink"/>
                  <w:noProof/>
                </w:rPr>
                <w:t>Figure 7 Percentage change in the top 10 causes of DALYs in New Zealand, 2009-2019</w:t>
              </w:r>
              <w:r w:rsidR="005A707A">
                <w:rPr>
                  <w:noProof/>
                  <w:webHidden/>
                </w:rPr>
                <w:tab/>
              </w:r>
              <w:r w:rsidR="005A707A">
                <w:rPr>
                  <w:noProof/>
                  <w:webHidden/>
                </w:rPr>
                <w:fldChar w:fldCharType="begin"/>
              </w:r>
              <w:r w:rsidR="005A707A">
                <w:rPr>
                  <w:noProof/>
                  <w:webHidden/>
                </w:rPr>
                <w:instrText xml:space="preserve"> PAGEREF _Toc98760538 \h </w:instrText>
              </w:r>
              <w:r w:rsidR="005A707A">
                <w:rPr>
                  <w:noProof/>
                  <w:webHidden/>
                </w:rPr>
              </w:r>
              <w:r w:rsidR="005A707A">
                <w:rPr>
                  <w:noProof/>
                  <w:webHidden/>
                </w:rPr>
                <w:fldChar w:fldCharType="separate"/>
              </w:r>
              <w:r w:rsidR="002C631E">
                <w:rPr>
                  <w:noProof/>
                  <w:webHidden/>
                </w:rPr>
                <w:t>25</w:t>
              </w:r>
              <w:r w:rsidR="005A707A">
                <w:rPr>
                  <w:noProof/>
                  <w:webHidden/>
                </w:rPr>
                <w:fldChar w:fldCharType="end"/>
              </w:r>
            </w:hyperlink>
          </w:p>
          <w:p w14:paraId="0E530C1A" w14:textId="6E2C5DF4" w:rsidR="005A707A" w:rsidRDefault="00443CD7">
            <w:pPr>
              <w:pStyle w:val="TableofFigures"/>
              <w:rPr>
                <w:rFonts w:asciiTheme="minorHAnsi" w:eastAsiaTheme="minorEastAsia" w:hAnsiTheme="minorHAnsi"/>
                <w:noProof/>
                <w:lang w:eastAsia="en-NZ"/>
              </w:rPr>
            </w:pPr>
            <w:hyperlink w:anchor="_Toc98760539" w:history="1">
              <w:r w:rsidR="005A707A" w:rsidRPr="00796483">
                <w:rPr>
                  <w:rStyle w:val="Hyperlink"/>
                  <w:noProof/>
                </w:rPr>
                <w:t>Figure 8 New Zealand’s DALY rate rank by condition amongst high SDI* countries</w:t>
              </w:r>
              <w:r w:rsidR="005A707A">
                <w:rPr>
                  <w:noProof/>
                  <w:webHidden/>
                </w:rPr>
                <w:tab/>
              </w:r>
              <w:r w:rsidR="005A707A">
                <w:rPr>
                  <w:noProof/>
                  <w:webHidden/>
                </w:rPr>
                <w:fldChar w:fldCharType="begin"/>
              </w:r>
              <w:r w:rsidR="005A707A">
                <w:rPr>
                  <w:noProof/>
                  <w:webHidden/>
                </w:rPr>
                <w:instrText xml:space="preserve"> PAGEREF _Toc98760539 \h </w:instrText>
              </w:r>
              <w:r w:rsidR="005A707A">
                <w:rPr>
                  <w:noProof/>
                  <w:webHidden/>
                </w:rPr>
              </w:r>
              <w:r w:rsidR="005A707A">
                <w:rPr>
                  <w:noProof/>
                  <w:webHidden/>
                </w:rPr>
                <w:fldChar w:fldCharType="separate"/>
              </w:r>
              <w:r w:rsidR="002C631E">
                <w:rPr>
                  <w:noProof/>
                  <w:webHidden/>
                </w:rPr>
                <w:t>26</w:t>
              </w:r>
              <w:r w:rsidR="005A707A">
                <w:rPr>
                  <w:noProof/>
                  <w:webHidden/>
                </w:rPr>
                <w:fldChar w:fldCharType="end"/>
              </w:r>
            </w:hyperlink>
          </w:p>
          <w:p w14:paraId="2303EA82" w14:textId="7A299AF0" w:rsidR="005A707A" w:rsidRDefault="00443CD7">
            <w:pPr>
              <w:pStyle w:val="TableofFigures"/>
              <w:rPr>
                <w:rFonts w:asciiTheme="minorHAnsi" w:eastAsiaTheme="minorEastAsia" w:hAnsiTheme="minorHAnsi"/>
                <w:noProof/>
                <w:lang w:eastAsia="en-NZ"/>
              </w:rPr>
            </w:pPr>
            <w:hyperlink w:anchor="_Toc98760540" w:history="1">
              <w:r w:rsidR="005A707A" w:rsidRPr="00796483">
                <w:rPr>
                  <w:rStyle w:val="Hyperlink"/>
                  <w:noProof/>
                </w:rPr>
                <w:t>Figure 9 Inequalities in long-term conditions in the UK</w:t>
              </w:r>
              <w:r w:rsidR="005A707A">
                <w:rPr>
                  <w:noProof/>
                  <w:webHidden/>
                </w:rPr>
                <w:tab/>
              </w:r>
              <w:r w:rsidR="005A707A">
                <w:rPr>
                  <w:noProof/>
                  <w:webHidden/>
                </w:rPr>
                <w:fldChar w:fldCharType="begin"/>
              </w:r>
              <w:r w:rsidR="005A707A">
                <w:rPr>
                  <w:noProof/>
                  <w:webHidden/>
                </w:rPr>
                <w:instrText xml:space="preserve"> PAGEREF _Toc98760540 \h </w:instrText>
              </w:r>
              <w:r w:rsidR="005A707A">
                <w:rPr>
                  <w:noProof/>
                  <w:webHidden/>
                </w:rPr>
              </w:r>
              <w:r w:rsidR="005A707A">
                <w:rPr>
                  <w:noProof/>
                  <w:webHidden/>
                </w:rPr>
                <w:fldChar w:fldCharType="separate"/>
              </w:r>
              <w:r w:rsidR="002C631E">
                <w:rPr>
                  <w:noProof/>
                  <w:webHidden/>
                </w:rPr>
                <w:t>27</w:t>
              </w:r>
              <w:r w:rsidR="005A707A">
                <w:rPr>
                  <w:noProof/>
                  <w:webHidden/>
                </w:rPr>
                <w:fldChar w:fldCharType="end"/>
              </w:r>
            </w:hyperlink>
          </w:p>
          <w:p w14:paraId="68484561" w14:textId="492A84CB" w:rsidR="005A707A" w:rsidRDefault="00443CD7">
            <w:pPr>
              <w:pStyle w:val="TableofFigures"/>
              <w:rPr>
                <w:rFonts w:asciiTheme="minorHAnsi" w:eastAsiaTheme="minorEastAsia" w:hAnsiTheme="minorHAnsi"/>
                <w:noProof/>
                <w:lang w:eastAsia="en-NZ"/>
              </w:rPr>
            </w:pPr>
            <w:hyperlink w:anchor="_Toc98760541" w:history="1">
              <w:r w:rsidR="005A707A" w:rsidRPr="00796483">
                <w:rPr>
                  <w:rStyle w:val="Hyperlink"/>
                  <w:noProof/>
                </w:rPr>
                <w:t>Figure 10 Percentage of men affected by gout in New Zealand, by ethnicity</w:t>
              </w:r>
              <w:r w:rsidR="005A707A">
                <w:rPr>
                  <w:noProof/>
                  <w:webHidden/>
                </w:rPr>
                <w:tab/>
              </w:r>
              <w:r w:rsidR="005A707A">
                <w:rPr>
                  <w:noProof/>
                  <w:webHidden/>
                </w:rPr>
                <w:fldChar w:fldCharType="begin"/>
              </w:r>
              <w:r w:rsidR="005A707A">
                <w:rPr>
                  <w:noProof/>
                  <w:webHidden/>
                </w:rPr>
                <w:instrText xml:space="preserve"> PAGEREF _Toc98760541 \h </w:instrText>
              </w:r>
              <w:r w:rsidR="005A707A">
                <w:rPr>
                  <w:noProof/>
                  <w:webHidden/>
                </w:rPr>
              </w:r>
              <w:r w:rsidR="005A707A">
                <w:rPr>
                  <w:noProof/>
                  <w:webHidden/>
                </w:rPr>
                <w:fldChar w:fldCharType="separate"/>
              </w:r>
              <w:r w:rsidR="002C631E">
                <w:rPr>
                  <w:noProof/>
                  <w:webHidden/>
                </w:rPr>
                <w:t>28</w:t>
              </w:r>
              <w:r w:rsidR="005A707A">
                <w:rPr>
                  <w:noProof/>
                  <w:webHidden/>
                </w:rPr>
                <w:fldChar w:fldCharType="end"/>
              </w:r>
            </w:hyperlink>
          </w:p>
          <w:p w14:paraId="379A975F" w14:textId="3A6484D8" w:rsidR="005A707A" w:rsidRDefault="00443CD7">
            <w:pPr>
              <w:pStyle w:val="TableofFigures"/>
              <w:rPr>
                <w:rFonts w:asciiTheme="minorHAnsi" w:eastAsiaTheme="minorEastAsia" w:hAnsiTheme="minorHAnsi"/>
                <w:noProof/>
                <w:lang w:eastAsia="en-NZ"/>
              </w:rPr>
            </w:pPr>
            <w:hyperlink w:anchor="_Toc98760542" w:history="1">
              <w:r w:rsidR="005A707A" w:rsidRPr="00796483">
                <w:rPr>
                  <w:rStyle w:val="Hyperlink"/>
                  <w:noProof/>
                </w:rPr>
                <w:t>Figure 11 Costs attributed to physical inactivity in New Zealand and selected centres</w:t>
              </w:r>
              <w:r w:rsidR="005A707A">
                <w:rPr>
                  <w:noProof/>
                  <w:webHidden/>
                </w:rPr>
                <w:tab/>
              </w:r>
              <w:r w:rsidR="005A707A">
                <w:rPr>
                  <w:noProof/>
                  <w:webHidden/>
                </w:rPr>
                <w:fldChar w:fldCharType="begin"/>
              </w:r>
              <w:r w:rsidR="005A707A">
                <w:rPr>
                  <w:noProof/>
                  <w:webHidden/>
                </w:rPr>
                <w:instrText xml:space="preserve"> PAGEREF _Toc98760542 \h </w:instrText>
              </w:r>
              <w:r w:rsidR="005A707A">
                <w:rPr>
                  <w:noProof/>
                  <w:webHidden/>
                </w:rPr>
              </w:r>
              <w:r w:rsidR="005A707A">
                <w:rPr>
                  <w:noProof/>
                  <w:webHidden/>
                </w:rPr>
                <w:fldChar w:fldCharType="separate"/>
              </w:r>
              <w:r w:rsidR="002C631E">
                <w:rPr>
                  <w:noProof/>
                  <w:webHidden/>
                </w:rPr>
                <w:t>35</w:t>
              </w:r>
              <w:r w:rsidR="005A707A">
                <w:rPr>
                  <w:noProof/>
                  <w:webHidden/>
                </w:rPr>
                <w:fldChar w:fldCharType="end"/>
              </w:r>
            </w:hyperlink>
          </w:p>
          <w:p w14:paraId="40ADD806" w14:textId="382207CF" w:rsidR="005A707A" w:rsidRDefault="00443CD7">
            <w:pPr>
              <w:pStyle w:val="TableofFigures"/>
              <w:rPr>
                <w:rFonts w:asciiTheme="minorHAnsi" w:eastAsiaTheme="minorEastAsia" w:hAnsiTheme="minorHAnsi"/>
                <w:noProof/>
                <w:lang w:eastAsia="en-NZ"/>
              </w:rPr>
            </w:pPr>
            <w:hyperlink w:anchor="_Toc98760543" w:history="1">
              <w:r w:rsidR="005A707A" w:rsidRPr="00796483">
                <w:rPr>
                  <w:rStyle w:val="Hyperlink"/>
                  <w:noProof/>
                </w:rPr>
                <w:t>Figure 12 Health system costs of physical inactivity by disease</w:t>
              </w:r>
              <w:r w:rsidR="005A707A">
                <w:rPr>
                  <w:noProof/>
                  <w:webHidden/>
                </w:rPr>
                <w:tab/>
              </w:r>
              <w:r w:rsidR="005A707A">
                <w:rPr>
                  <w:noProof/>
                  <w:webHidden/>
                </w:rPr>
                <w:fldChar w:fldCharType="begin"/>
              </w:r>
              <w:r w:rsidR="005A707A">
                <w:rPr>
                  <w:noProof/>
                  <w:webHidden/>
                </w:rPr>
                <w:instrText xml:space="preserve"> PAGEREF _Toc98760543 \h </w:instrText>
              </w:r>
              <w:r w:rsidR="005A707A">
                <w:rPr>
                  <w:noProof/>
                  <w:webHidden/>
                </w:rPr>
              </w:r>
              <w:r w:rsidR="005A707A">
                <w:rPr>
                  <w:noProof/>
                  <w:webHidden/>
                </w:rPr>
                <w:fldChar w:fldCharType="separate"/>
              </w:r>
              <w:r w:rsidR="002C631E">
                <w:rPr>
                  <w:noProof/>
                  <w:webHidden/>
                </w:rPr>
                <w:t>35</w:t>
              </w:r>
              <w:r w:rsidR="005A707A">
                <w:rPr>
                  <w:noProof/>
                  <w:webHidden/>
                </w:rPr>
                <w:fldChar w:fldCharType="end"/>
              </w:r>
            </w:hyperlink>
          </w:p>
          <w:p w14:paraId="68454714" w14:textId="64A7F995" w:rsidR="005A707A" w:rsidRDefault="00443CD7">
            <w:pPr>
              <w:pStyle w:val="TableofFigures"/>
              <w:rPr>
                <w:rFonts w:asciiTheme="minorHAnsi" w:eastAsiaTheme="minorEastAsia" w:hAnsiTheme="minorHAnsi"/>
                <w:noProof/>
                <w:lang w:eastAsia="en-NZ"/>
              </w:rPr>
            </w:pPr>
            <w:hyperlink w:anchor="_Toc98760544" w:history="1">
              <w:r w:rsidR="005A707A" w:rsidRPr="00796483">
                <w:rPr>
                  <w:rStyle w:val="Hyperlink"/>
                  <w:noProof/>
                </w:rPr>
                <w:t>Figure 13 Conceptual framework of the Mizdrak et al. (2019) physical inactivity model</w:t>
              </w:r>
              <w:r w:rsidR="005A707A">
                <w:rPr>
                  <w:noProof/>
                  <w:webHidden/>
                </w:rPr>
                <w:tab/>
              </w:r>
              <w:r w:rsidR="005A707A">
                <w:rPr>
                  <w:noProof/>
                  <w:webHidden/>
                </w:rPr>
                <w:fldChar w:fldCharType="begin"/>
              </w:r>
              <w:r w:rsidR="005A707A">
                <w:rPr>
                  <w:noProof/>
                  <w:webHidden/>
                </w:rPr>
                <w:instrText xml:space="preserve"> PAGEREF _Toc98760544 \h </w:instrText>
              </w:r>
              <w:r w:rsidR="005A707A">
                <w:rPr>
                  <w:noProof/>
                  <w:webHidden/>
                </w:rPr>
              </w:r>
              <w:r w:rsidR="005A707A">
                <w:rPr>
                  <w:noProof/>
                  <w:webHidden/>
                </w:rPr>
                <w:fldChar w:fldCharType="separate"/>
              </w:r>
              <w:r w:rsidR="002C631E">
                <w:rPr>
                  <w:noProof/>
                  <w:webHidden/>
                </w:rPr>
                <w:t>36</w:t>
              </w:r>
              <w:r w:rsidR="005A707A">
                <w:rPr>
                  <w:noProof/>
                  <w:webHidden/>
                </w:rPr>
                <w:fldChar w:fldCharType="end"/>
              </w:r>
            </w:hyperlink>
          </w:p>
          <w:p w14:paraId="44C4AF7E" w14:textId="05E261C8" w:rsidR="005A707A" w:rsidRDefault="00443CD7">
            <w:pPr>
              <w:pStyle w:val="TableofFigures"/>
              <w:rPr>
                <w:rFonts w:asciiTheme="minorHAnsi" w:eastAsiaTheme="minorEastAsia" w:hAnsiTheme="minorHAnsi"/>
                <w:noProof/>
                <w:lang w:eastAsia="en-NZ"/>
              </w:rPr>
            </w:pPr>
            <w:hyperlink w:anchor="_Toc98760545" w:history="1">
              <w:r w:rsidR="005A707A" w:rsidRPr="00796483">
                <w:rPr>
                  <w:rStyle w:val="Hyperlink"/>
                  <w:noProof/>
                </w:rPr>
                <w:t>Figure 14 Results of Midzrak et al. (2021) for Health-adjusted life years gained</w:t>
              </w:r>
              <w:r w:rsidR="005A707A">
                <w:rPr>
                  <w:noProof/>
                  <w:webHidden/>
                </w:rPr>
                <w:tab/>
              </w:r>
              <w:r w:rsidR="005A707A">
                <w:rPr>
                  <w:noProof/>
                  <w:webHidden/>
                </w:rPr>
                <w:fldChar w:fldCharType="begin"/>
              </w:r>
              <w:r w:rsidR="005A707A">
                <w:rPr>
                  <w:noProof/>
                  <w:webHidden/>
                </w:rPr>
                <w:instrText xml:space="preserve"> PAGEREF _Toc98760545 \h </w:instrText>
              </w:r>
              <w:r w:rsidR="005A707A">
                <w:rPr>
                  <w:noProof/>
                  <w:webHidden/>
                </w:rPr>
              </w:r>
              <w:r w:rsidR="005A707A">
                <w:rPr>
                  <w:noProof/>
                  <w:webHidden/>
                </w:rPr>
                <w:fldChar w:fldCharType="separate"/>
              </w:r>
              <w:r w:rsidR="002C631E">
                <w:rPr>
                  <w:noProof/>
                  <w:webHidden/>
                </w:rPr>
                <w:t>37</w:t>
              </w:r>
              <w:r w:rsidR="005A707A">
                <w:rPr>
                  <w:noProof/>
                  <w:webHidden/>
                </w:rPr>
                <w:fldChar w:fldCharType="end"/>
              </w:r>
            </w:hyperlink>
          </w:p>
          <w:p w14:paraId="488D5DD3" w14:textId="6D561BF4" w:rsidR="005A707A" w:rsidRDefault="00443CD7">
            <w:pPr>
              <w:pStyle w:val="TableofFigures"/>
              <w:rPr>
                <w:rFonts w:asciiTheme="minorHAnsi" w:eastAsiaTheme="minorEastAsia" w:hAnsiTheme="minorHAnsi"/>
                <w:noProof/>
                <w:lang w:eastAsia="en-NZ"/>
              </w:rPr>
            </w:pPr>
            <w:hyperlink w:anchor="_Toc98760546" w:history="1">
              <w:r w:rsidR="005A707A" w:rsidRPr="00796483">
                <w:rPr>
                  <w:rStyle w:val="Hyperlink"/>
                  <w:noProof/>
                </w:rPr>
                <w:t>Figure 15 Structure of the BODE3 CVD model</w:t>
              </w:r>
              <w:r w:rsidR="005A707A">
                <w:rPr>
                  <w:noProof/>
                  <w:webHidden/>
                </w:rPr>
                <w:tab/>
              </w:r>
              <w:r w:rsidR="005A707A">
                <w:rPr>
                  <w:noProof/>
                  <w:webHidden/>
                </w:rPr>
                <w:fldChar w:fldCharType="begin"/>
              </w:r>
              <w:r w:rsidR="005A707A">
                <w:rPr>
                  <w:noProof/>
                  <w:webHidden/>
                </w:rPr>
                <w:instrText xml:space="preserve"> PAGEREF _Toc98760546 \h </w:instrText>
              </w:r>
              <w:r w:rsidR="005A707A">
                <w:rPr>
                  <w:noProof/>
                  <w:webHidden/>
                </w:rPr>
              </w:r>
              <w:r w:rsidR="005A707A">
                <w:rPr>
                  <w:noProof/>
                  <w:webHidden/>
                </w:rPr>
                <w:fldChar w:fldCharType="separate"/>
              </w:r>
              <w:r w:rsidR="002C631E">
                <w:rPr>
                  <w:noProof/>
                  <w:webHidden/>
                </w:rPr>
                <w:t>37</w:t>
              </w:r>
              <w:r w:rsidR="005A707A">
                <w:rPr>
                  <w:noProof/>
                  <w:webHidden/>
                </w:rPr>
                <w:fldChar w:fldCharType="end"/>
              </w:r>
            </w:hyperlink>
          </w:p>
          <w:p w14:paraId="72553473" w14:textId="658C050F" w:rsidR="005A707A" w:rsidRDefault="00443CD7">
            <w:pPr>
              <w:pStyle w:val="TableofFigures"/>
              <w:rPr>
                <w:rFonts w:asciiTheme="minorHAnsi" w:eastAsiaTheme="minorEastAsia" w:hAnsiTheme="minorHAnsi"/>
                <w:noProof/>
                <w:lang w:eastAsia="en-NZ"/>
              </w:rPr>
            </w:pPr>
            <w:hyperlink w:anchor="_Toc98760547" w:history="1">
              <w:r w:rsidR="005A707A" w:rsidRPr="00796483">
                <w:rPr>
                  <w:rStyle w:val="Hyperlink"/>
                  <w:noProof/>
                </w:rPr>
                <w:t>Figure 16 Age profile of disease costs for males and females</w:t>
              </w:r>
              <w:r w:rsidR="005A707A">
                <w:rPr>
                  <w:noProof/>
                  <w:webHidden/>
                </w:rPr>
                <w:tab/>
              </w:r>
              <w:r w:rsidR="005A707A">
                <w:rPr>
                  <w:noProof/>
                  <w:webHidden/>
                </w:rPr>
                <w:fldChar w:fldCharType="begin"/>
              </w:r>
              <w:r w:rsidR="005A707A">
                <w:rPr>
                  <w:noProof/>
                  <w:webHidden/>
                </w:rPr>
                <w:instrText xml:space="preserve"> PAGEREF _Toc98760547 \h </w:instrText>
              </w:r>
              <w:r w:rsidR="005A707A">
                <w:rPr>
                  <w:noProof/>
                  <w:webHidden/>
                </w:rPr>
              </w:r>
              <w:r w:rsidR="005A707A">
                <w:rPr>
                  <w:noProof/>
                  <w:webHidden/>
                </w:rPr>
                <w:fldChar w:fldCharType="separate"/>
              </w:r>
              <w:r w:rsidR="002C631E">
                <w:rPr>
                  <w:noProof/>
                  <w:webHidden/>
                </w:rPr>
                <w:t>43</w:t>
              </w:r>
              <w:r w:rsidR="005A707A">
                <w:rPr>
                  <w:noProof/>
                  <w:webHidden/>
                </w:rPr>
                <w:fldChar w:fldCharType="end"/>
              </w:r>
            </w:hyperlink>
          </w:p>
          <w:p w14:paraId="49CA26F3" w14:textId="08A208BB" w:rsidR="005A707A" w:rsidRDefault="00443CD7">
            <w:pPr>
              <w:pStyle w:val="TableofFigures"/>
              <w:rPr>
                <w:rFonts w:asciiTheme="minorHAnsi" w:eastAsiaTheme="minorEastAsia" w:hAnsiTheme="minorHAnsi"/>
                <w:noProof/>
                <w:lang w:eastAsia="en-NZ"/>
              </w:rPr>
            </w:pPr>
            <w:hyperlink w:anchor="_Toc98760548" w:history="1">
              <w:r w:rsidR="005A707A" w:rsidRPr="00796483">
                <w:rPr>
                  <w:rStyle w:val="Hyperlink"/>
                  <w:noProof/>
                </w:rPr>
                <w:t>Figure 17 Health system costs of arthritis in New Zealand</w:t>
              </w:r>
              <w:r w:rsidR="005A707A">
                <w:rPr>
                  <w:noProof/>
                  <w:webHidden/>
                </w:rPr>
                <w:tab/>
              </w:r>
              <w:r w:rsidR="005A707A">
                <w:rPr>
                  <w:noProof/>
                  <w:webHidden/>
                </w:rPr>
                <w:fldChar w:fldCharType="begin"/>
              </w:r>
              <w:r w:rsidR="005A707A">
                <w:rPr>
                  <w:noProof/>
                  <w:webHidden/>
                </w:rPr>
                <w:instrText xml:space="preserve"> PAGEREF _Toc98760548 \h </w:instrText>
              </w:r>
              <w:r w:rsidR="005A707A">
                <w:rPr>
                  <w:noProof/>
                  <w:webHidden/>
                </w:rPr>
              </w:r>
              <w:r w:rsidR="005A707A">
                <w:rPr>
                  <w:noProof/>
                  <w:webHidden/>
                </w:rPr>
                <w:fldChar w:fldCharType="separate"/>
              </w:r>
              <w:r w:rsidR="002C631E">
                <w:rPr>
                  <w:noProof/>
                  <w:webHidden/>
                </w:rPr>
                <w:t>45</w:t>
              </w:r>
              <w:r w:rsidR="005A707A">
                <w:rPr>
                  <w:noProof/>
                  <w:webHidden/>
                </w:rPr>
                <w:fldChar w:fldCharType="end"/>
              </w:r>
            </w:hyperlink>
          </w:p>
          <w:p w14:paraId="6B4505D3" w14:textId="65471640" w:rsidR="005A707A" w:rsidRDefault="00443CD7">
            <w:pPr>
              <w:pStyle w:val="TableofFigures"/>
              <w:rPr>
                <w:rFonts w:asciiTheme="minorHAnsi" w:eastAsiaTheme="minorEastAsia" w:hAnsiTheme="minorHAnsi"/>
                <w:noProof/>
                <w:lang w:eastAsia="en-NZ"/>
              </w:rPr>
            </w:pPr>
            <w:hyperlink w:anchor="_Toc98760549" w:history="1">
              <w:r w:rsidR="005A707A" w:rsidRPr="00796483">
                <w:rPr>
                  <w:rStyle w:val="Hyperlink"/>
                  <w:noProof/>
                </w:rPr>
                <w:t>Figure 18 Breakdown of estimated 2018 costs of arthritis in New Zealand</w:t>
              </w:r>
              <w:r w:rsidR="005A707A">
                <w:rPr>
                  <w:noProof/>
                  <w:webHidden/>
                </w:rPr>
                <w:tab/>
              </w:r>
              <w:r w:rsidR="005A707A">
                <w:rPr>
                  <w:noProof/>
                  <w:webHidden/>
                </w:rPr>
                <w:fldChar w:fldCharType="begin"/>
              </w:r>
              <w:r w:rsidR="005A707A">
                <w:rPr>
                  <w:noProof/>
                  <w:webHidden/>
                </w:rPr>
                <w:instrText xml:space="preserve"> PAGEREF _Toc98760549 \h </w:instrText>
              </w:r>
              <w:r w:rsidR="005A707A">
                <w:rPr>
                  <w:noProof/>
                  <w:webHidden/>
                </w:rPr>
              </w:r>
              <w:r w:rsidR="005A707A">
                <w:rPr>
                  <w:noProof/>
                  <w:webHidden/>
                </w:rPr>
                <w:fldChar w:fldCharType="separate"/>
              </w:r>
              <w:r w:rsidR="002C631E">
                <w:rPr>
                  <w:noProof/>
                  <w:webHidden/>
                </w:rPr>
                <w:t>46</w:t>
              </w:r>
              <w:r w:rsidR="005A707A">
                <w:rPr>
                  <w:noProof/>
                  <w:webHidden/>
                </w:rPr>
                <w:fldChar w:fldCharType="end"/>
              </w:r>
            </w:hyperlink>
          </w:p>
          <w:p w14:paraId="51FD6FC7" w14:textId="36443AE4" w:rsidR="005A707A" w:rsidRDefault="00443CD7">
            <w:pPr>
              <w:pStyle w:val="TableofFigures"/>
              <w:rPr>
                <w:rFonts w:asciiTheme="minorHAnsi" w:eastAsiaTheme="minorEastAsia" w:hAnsiTheme="minorHAnsi"/>
                <w:noProof/>
                <w:lang w:eastAsia="en-NZ"/>
              </w:rPr>
            </w:pPr>
            <w:hyperlink w:anchor="_Toc98760550" w:history="1">
              <w:r w:rsidR="005A707A" w:rsidRPr="00796483">
                <w:rPr>
                  <w:rStyle w:val="Hyperlink"/>
                  <w:noProof/>
                </w:rPr>
                <w:t>Figure 19 Breakdown of estimated 2018 costs of arthritis in New Zealand</w:t>
              </w:r>
              <w:r w:rsidR="005A707A">
                <w:rPr>
                  <w:noProof/>
                  <w:webHidden/>
                </w:rPr>
                <w:tab/>
              </w:r>
              <w:r w:rsidR="005A707A">
                <w:rPr>
                  <w:noProof/>
                  <w:webHidden/>
                </w:rPr>
                <w:fldChar w:fldCharType="begin"/>
              </w:r>
              <w:r w:rsidR="005A707A">
                <w:rPr>
                  <w:noProof/>
                  <w:webHidden/>
                </w:rPr>
                <w:instrText xml:space="preserve"> PAGEREF _Toc98760550 \h </w:instrText>
              </w:r>
              <w:r w:rsidR="005A707A">
                <w:rPr>
                  <w:noProof/>
                  <w:webHidden/>
                </w:rPr>
              </w:r>
              <w:r w:rsidR="005A707A">
                <w:rPr>
                  <w:noProof/>
                  <w:webHidden/>
                </w:rPr>
                <w:fldChar w:fldCharType="separate"/>
              </w:r>
              <w:r w:rsidR="002C631E">
                <w:rPr>
                  <w:noProof/>
                  <w:webHidden/>
                </w:rPr>
                <w:t>46</w:t>
              </w:r>
              <w:r w:rsidR="005A707A">
                <w:rPr>
                  <w:noProof/>
                  <w:webHidden/>
                </w:rPr>
                <w:fldChar w:fldCharType="end"/>
              </w:r>
            </w:hyperlink>
          </w:p>
          <w:p w14:paraId="02B61684" w14:textId="366FED35" w:rsidR="005A707A" w:rsidRDefault="00443CD7">
            <w:pPr>
              <w:pStyle w:val="TableofFigures"/>
              <w:rPr>
                <w:rFonts w:asciiTheme="minorHAnsi" w:eastAsiaTheme="minorEastAsia" w:hAnsiTheme="minorHAnsi"/>
                <w:noProof/>
                <w:lang w:eastAsia="en-NZ"/>
              </w:rPr>
            </w:pPr>
            <w:hyperlink w:anchor="_Toc98760551" w:history="1">
              <w:r w:rsidR="005A707A" w:rsidRPr="00796483">
                <w:rPr>
                  <w:rStyle w:val="Hyperlink"/>
                  <w:noProof/>
                </w:rPr>
                <w:t>Figure 20 Proportion of each cost component in different phases of breast cancer</w:t>
              </w:r>
              <w:r w:rsidR="005A707A">
                <w:rPr>
                  <w:noProof/>
                  <w:webHidden/>
                </w:rPr>
                <w:tab/>
              </w:r>
              <w:r w:rsidR="005A707A">
                <w:rPr>
                  <w:noProof/>
                  <w:webHidden/>
                </w:rPr>
                <w:fldChar w:fldCharType="begin"/>
              </w:r>
              <w:r w:rsidR="005A707A">
                <w:rPr>
                  <w:noProof/>
                  <w:webHidden/>
                </w:rPr>
                <w:instrText xml:space="preserve"> PAGEREF _Toc98760551 \h </w:instrText>
              </w:r>
              <w:r w:rsidR="005A707A">
                <w:rPr>
                  <w:noProof/>
                  <w:webHidden/>
                </w:rPr>
              </w:r>
              <w:r w:rsidR="005A707A">
                <w:rPr>
                  <w:noProof/>
                  <w:webHidden/>
                </w:rPr>
                <w:fldChar w:fldCharType="separate"/>
              </w:r>
              <w:r w:rsidR="002C631E">
                <w:rPr>
                  <w:noProof/>
                  <w:webHidden/>
                </w:rPr>
                <w:t>50</w:t>
              </w:r>
              <w:r w:rsidR="005A707A">
                <w:rPr>
                  <w:noProof/>
                  <w:webHidden/>
                </w:rPr>
                <w:fldChar w:fldCharType="end"/>
              </w:r>
            </w:hyperlink>
          </w:p>
          <w:p w14:paraId="1E8A64AD" w14:textId="39B448BD" w:rsidR="005A707A" w:rsidRDefault="00443CD7">
            <w:pPr>
              <w:pStyle w:val="TableofFigures"/>
              <w:rPr>
                <w:rFonts w:asciiTheme="minorHAnsi" w:eastAsiaTheme="minorEastAsia" w:hAnsiTheme="minorHAnsi"/>
                <w:noProof/>
                <w:lang w:eastAsia="en-NZ"/>
              </w:rPr>
            </w:pPr>
            <w:hyperlink w:anchor="_Toc98760552" w:history="1">
              <w:r w:rsidR="005A707A" w:rsidRPr="00796483">
                <w:rPr>
                  <w:rStyle w:val="Hyperlink"/>
                  <w:noProof/>
                </w:rPr>
                <w:t>Figure 21 Association of annual excess costs per diagnosed case with 5-year relative survival ratio, by cancer site</w:t>
              </w:r>
              <w:r w:rsidR="005A707A">
                <w:rPr>
                  <w:noProof/>
                  <w:webHidden/>
                </w:rPr>
                <w:tab/>
              </w:r>
              <w:r w:rsidR="005A707A">
                <w:rPr>
                  <w:noProof/>
                  <w:webHidden/>
                </w:rPr>
                <w:fldChar w:fldCharType="begin"/>
              </w:r>
              <w:r w:rsidR="005A707A">
                <w:rPr>
                  <w:noProof/>
                  <w:webHidden/>
                </w:rPr>
                <w:instrText xml:space="preserve"> PAGEREF _Toc98760552 \h </w:instrText>
              </w:r>
              <w:r w:rsidR="005A707A">
                <w:rPr>
                  <w:noProof/>
                  <w:webHidden/>
                </w:rPr>
              </w:r>
              <w:r w:rsidR="005A707A">
                <w:rPr>
                  <w:noProof/>
                  <w:webHidden/>
                </w:rPr>
                <w:fldChar w:fldCharType="separate"/>
              </w:r>
              <w:r w:rsidR="002C631E">
                <w:rPr>
                  <w:noProof/>
                  <w:webHidden/>
                </w:rPr>
                <w:t>52</w:t>
              </w:r>
              <w:r w:rsidR="005A707A">
                <w:rPr>
                  <w:noProof/>
                  <w:webHidden/>
                </w:rPr>
                <w:fldChar w:fldCharType="end"/>
              </w:r>
            </w:hyperlink>
          </w:p>
          <w:p w14:paraId="3E450675" w14:textId="32F01F97" w:rsidR="005A707A" w:rsidRDefault="00443CD7">
            <w:pPr>
              <w:pStyle w:val="TableofFigures"/>
              <w:rPr>
                <w:rFonts w:asciiTheme="minorHAnsi" w:eastAsiaTheme="minorEastAsia" w:hAnsiTheme="minorHAnsi"/>
                <w:noProof/>
                <w:lang w:eastAsia="en-NZ"/>
              </w:rPr>
            </w:pPr>
            <w:hyperlink w:anchor="_Toc98760553" w:history="1">
              <w:r w:rsidR="005A707A" w:rsidRPr="00796483">
                <w:rPr>
                  <w:rStyle w:val="Hyperlink"/>
                  <w:noProof/>
                </w:rPr>
                <w:t>Figure 22 Expected total annual public health system costs per person over 20 years</w:t>
              </w:r>
              <w:r w:rsidR="005A707A">
                <w:rPr>
                  <w:noProof/>
                  <w:webHidden/>
                </w:rPr>
                <w:tab/>
              </w:r>
              <w:r w:rsidR="005A707A">
                <w:rPr>
                  <w:noProof/>
                  <w:webHidden/>
                </w:rPr>
                <w:fldChar w:fldCharType="begin"/>
              </w:r>
              <w:r w:rsidR="005A707A">
                <w:rPr>
                  <w:noProof/>
                  <w:webHidden/>
                </w:rPr>
                <w:instrText xml:space="preserve"> PAGEREF _Toc98760553 \h </w:instrText>
              </w:r>
              <w:r w:rsidR="005A707A">
                <w:rPr>
                  <w:noProof/>
                  <w:webHidden/>
                </w:rPr>
              </w:r>
              <w:r w:rsidR="005A707A">
                <w:rPr>
                  <w:noProof/>
                  <w:webHidden/>
                </w:rPr>
                <w:fldChar w:fldCharType="separate"/>
              </w:r>
              <w:r w:rsidR="002C631E">
                <w:rPr>
                  <w:noProof/>
                  <w:webHidden/>
                </w:rPr>
                <w:t>53</w:t>
              </w:r>
              <w:r w:rsidR="005A707A">
                <w:rPr>
                  <w:noProof/>
                  <w:webHidden/>
                </w:rPr>
                <w:fldChar w:fldCharType="end"/>
              </w:r>
            </w:hyperlink>
          </w:p>
          <w:p w14:paraId="79159D87" w14:textId="2033771E" w:rsidR="005A707A" w:rsidRDefault="00443CD7">
            <w:pPr>
              <w:pStyle w:val="TableofFigures"/>
              <w:rPr>
                <w:rFonts w:asciiTheme="minorHAnsi" w:eastAsiaTheme="minorEastAsia" w:hAnsiTheme="minorHAnsi"/>
                <w:noProof/>
                <w:lang w:eastAsia="en-NZ"/>
              </w:rPr>
            </w:pPr>
            <w:hyperlink w:anchor="_Toc98760554" w:history="1">
              <w:r w:rsidR="005A707A" w:rsidRPr="00796483">
                <w:rPr>
                  <w:rStyle w:val="Hyperlink"/>
                  <w:noProof/>
                </w:rPr>
                <w:t>Figure 23 Projected prevalence of type 2 diabetes in New Zealand to 2040</w:t>
              </w:r>
              <w:r w:rsidR="005A707A">
                <w:rPr>
                  <w:noProof/>
                  <w:webHidden/>
                </w:rPr>
                <w:tab/>
              </w:r>
              <w:r w:rsidR="005A707A">
                <w:rPr>
                  <w:noProof/>
                  <w:webHidden/>
                </w:rPr>
                <w:fldChar w:fldCharType="begin"/>
              </w:r>
              <w:r w:rsidR="005A707A">
                <w:rPr>
                  <w:noProof/>
                  <w:webHidden/>
                </w:rPr>
                <w:instrText xml:space="preserve"> PAGEREF _Toc98760554 \h </w:instrText>
              </w:r>
              <w:r w:rsidR="005A707A">
                <w:rPr>
                  <w:noProof/>
                  <w:webHidden/>
                </w:rPr>
              </w:r>
              <w:r w:rsidR="005A707A">
                <w:rPr>
                  <w:noProof/>
                  <w:webHidden/>
                </w:rPr>
                <w:fldChar w:fldCharType="separate"/>
              </w:r>
              <w:r w:rsidR="002C631E">
                <w:rPr>
                  <w:noProof/>
                  <w:webHidden/>
                </w:rPr>
                <w:t>54</w:t>
              </w:r>
              <w:r w:rsidR="005A707A">
                <w:rPr>
                  <w:noProof/>
                  <w:webHidden/>
                </w:rPr>
                <w:fldChar w:fldCharType="end"/>
              </w:r>
            </w:hyperlink>
          </w:p>
          <w:p w14:paraId="4D493AE1" w14:textId="0E93C758" w:rsidR="005A707A" w:rsidRDefault="00443CD7">
            <w:pPr>
              <w:pStyle w:val="TableofFigures"/>
              <w:rPr>
                <w:rFonts w:asciiTheme="minorHAnsi" w:eastAsiaTheme="minorEastAsia" w:hAnsiTheme="minorHAnsi"/>
                <w:noProof/>
                <w:lang w:eastAsia="en-NZ"/>
              </w:rPr>
            </w:pPr>
            <w:hyperlink w:anchor="_Toc98760555" w:history="1">
              <w:r w:rsidR="005A707A" w:rsidRPr="00796483">
                <w:rPr>
                  <w:rStyle w:val="Hyperlink"/>
                  <w:noProof/>
                </w:rPr>
                <w:t>Figure 24 Health costs per person of diabetes patient groups</w:t>
              </w:r>
              <w:r w:rsidR="005A707A">
                <w:rPr>
                  <w:noProof/>
                  <w:webHidden/>
                </w:rPr>
                <w:tab/>
              </w:r>
              <w:r w:rsidR="005A707A">
                <w:rPr>
                  <w:noProof/>
                  <w:webHidden/>
                </w:rPr>
                <w:fldChar w:fldCharType="begin"/>
              </w:r>
              <w:r w:rsidR="005A707A">
                <w:rPr>
                  <w:noProof/>
                  <w:webHidden/>
                </w:rPr>
                <w:instrText xml:space="preserve"> PAGEREF _Toc98760555 \h </w:instrText>
              </w:r>
              <w:r w:rsidR="005A707A">
                <w:rPr>
                  <w:noProof/>
                  <w:webHidden/>
                </w:rPr>
              </w:r>
              <w:r w:rsidR="005A707A">
                <w:rPr>
                  <w:noProof/>
                  <w:webHidden/>
                </w:rPr>
                <w:fldChar w:fldCharType="separate"/>
              </w:r>
              <w:r w:rsidR="002C631E">
                <w:rPr>
                  <w:noProof/>
                  <w:webHidden/>
                </w:rPr>
                <w:t>55</w:t>
              </w:r>
              <w:r w:rsidR="005A707A">
                <w:rPr>
                  <w:noProof/>
                  <w:webHidden/>
                </w:rPr>
                <w:fldChar w:fldCharType="end"/>
              </w:r>
            </w:hyperlink>
          </w:p>
          <w:p w14:paraId="0D64A6E1" w14:textId="4F3827F3" w:rsidR="005A707A" w:rsidRDefault="00443CD7">
            <w:pPr>
              <w:pStyle w:val="TableofFigures"/>
              <w:rPr>
                <w:rFonts w:asciiTheme="minorHAnsi" w:eastAsiaTheme="minorEastAsia" w:hAnsiTheme="minorHAnsi"/>
                <w:noProof/>
                <w:lang w:eastAsia="en-NZ"/>
              </w:rPr>
            </w:pPr>
            <w:hyperlink w:anchor="_Toc98760556" w:history="1">
              <w:r w:rsidR="005A707A" w:rsidRPr="00796483">
                <w:rPr>
                  <w:rStyle w:val="Hyperlink"/>
                  <w:noProof/>
                </w:rPr>
                <w:t>Figure 25 Total annual costs of type 2 diabetes in New Zealand</w:t>
              </w:r>
              <w:r w:rsidR="005A707A">
                <w:rPr>
                  <w:noProof/>
                  <w:webHidden/>
                </w:rPr>
                <w:tab/>
              </w:r>
              <w:r w:rsidR="005A707A">
                <w:rPr>
                  <w:noProof/>
                  <w:webHidden/>
                </w:rPr>
                <w:fldChar w:fldCharType="begin"/>
              </w:r>
              <w:r w:rsidR="005A707A">
                <w:rPr>
                  <w:noProof/>
                  <w:webHidden/>
                </w:rPr>
                <w:instrText xml:space="preserve"> PAGEREF _Toc98760556 \h </w:instrText>
              </w:r>
              <w:r w:rsidR="005A707A">
                <w:rPr>
                  <w:noProof/>
                  <w:webHidden/>
                </w:rPr>
              </w:r>
              <w:r w:rsidR="005A707A">
                <w:rPr>
                  <w:noProof/>
                  <w:webHidden/>
                </w:rPr>
                <w:fldChar w:fldCharType="separate"/>
              </w:r>
              <w:r w:rsidR="002C631E">
                <w:rPr>
                  <w:noProof/>
                  <w:webHidden/>
                </w:rPr>
                <w:t>55</w:t>
              </w:r>
              <w:r w:rsidR="005A707A">
                <w:rPr>
                  <w:noProof/>
                  <w:webHidden/>
                </w:rPr>
                <w:fldChar w:fldCharType="end"/>
              </w:r>
            </w:hyperlink>
          </w:p>
          <w:p w14:paraId="6962B0BF" w14:textId="0D01E2CC" w:rsidR="005A707A" w:rsidRDefault="00443CD7">
            <w:pPr>
              <w:pStyle w:val="TableofFigures"/>
              <w:rPr>
                <w:rFonts w:asciiTheme="minorHAnsi" w:eastAsiaTheme="minorEastAsia" w:hAnsiTheme="minorHAnsi"/>
                <w:noProof/>
                <w:lang w:eastAsia="en-NZ"/>
              </w:rPr>
            </w:pPr>
            <w:hyperlink w:anchor="_Toc98760557" w:history="1">
              <w:r w:rsidR="005A707A" w:rsidRPr="00796483">
                <w:rPr>
                  <w:rStyle w:val="Hyperlink"/>
                  <w:noProof/>
                </w:rPr>
                <w:t>Figure 26 Projected health system costs of knee osteoarthritis in New Zealand, 2013–2038</w:t>
              </w:r>
              <w:r w:rsidR="005A707A">
                <w:rPr>
                  <w:noProof/>
                  <w:webHidden/>
                </w:rPr>
                <w:tab/>
              </w:r>
              <w:r w:rsidR="005A707A">
                <w:rPr>
                  <w:noProof/>
                  <w:webHidden/>
                </w:rPr>
                <w:fldChar w:fldCharType="begin"/>
              </w:r>
              <w:r w:rsidR="005A707A">
                <w:rPr>
                  <w:noProof/>
                  <w:webHidden/>
                </w:rPr>
                <w:instrText xml:space="preserve"> PAGEREF _Toc98760557 \h </w:instrText>
              </w:r>
              <w:r w:rsidR="005A707A">
                <w:rPr>
                  <w:noProof/>
                  <w:webHidden/>
                </w:rPr>
              </w:r>
              <w:r w:rsidR="005A707A">
                <w:rPr>
                  <w:noProof/>
                  <w:webHidden/>
                </w:rPr>
                <w:fldChar w:fldCharType="separate"/>
              </w:r>
              <w:r w:rsidR="002C631E">
                <w:rPr>
                  <w:noProof/>
                  <w:webHidden/>
                </w:rPr>
                <w:t>56</w:t>
              </w:r>
              <w:r w:rsidR="005A707A">
                <w:rPr>
                  <w:noProof/>
                  <w:webHidden/>
                </w:rPr>
                <w:fldChar w:fldCharType="end"/>
              </w:r>
            </w:hyperlink>
          </w:p>
          <w:p w14:paraId="0A237345" w14:textId="2067B868" w:rsidR="005A707A" w:rsidRDefault="00443CD7">
            <w:pPr>
              <w:pStyle w:val="TableofFigures"/>
              <w:rPr>
                <w:rFonts w:asciiTheme="minorHAnsi" w:eastAsiaTheme="minorEastAsia" w:hAnsiTheme="minorHAnsi"/>
                <w:noProof/>
                <w:lang w:eastAsia="en-NZ"/>
              </w:rPr>
            </w:pPr>
            <w:hyperlink w:anchor="_Toc98760558" w:history="1">
              <w:r w:rsidR="005A707A" w:rsidRPr="00796483">
                <w:rPr>
                  <w:rStyle w:val="Hyperlink"/>
                  <w:noProof/>
                </w:rPr>
                <w:t>Figure 27 Incidence of initial acute rheumatic fever (ARF) hospitalisations by age group and time period, New Zealand, 2000–2018</w:t>
              </w:r>
              <w:r w:rsidR="005A707A">
                <w:rPr>
                  <w:noProof/>
                  <w:webHidden/>
                </w:rPr>
                <w:tab/>
              </w:r>
              <w:r w:rsidR="005A707A">
                <w:rPr>
                  <w:noProof/>
                  <w:webHidden/>
                </w:rPr>
                <w:fldChar w:fldCharType="begin"/>
              </w:r>
              <w:r w:rsidR="005A707A">
                <w:rPr>
                  <w:noProof/>
                  <w:webHidden/>
                </w:rPr>
                <w:instrText xml:space="preserve"> PAGEREF _Toc98760558 \h </w:instrText>
              </w:r>
              <w:r w:rsidR="005A707A">
                <w:rPr>
                  <w:noProof/>
                  <w:webHidden/>
                </w:rPr>
              </w:r>
              <w:r w:rsidR="005A707A">
                <w:rPr>
                  <w:noProof/>
                  <w:webHidden/>
                </w:rPr>
                <w:fldChar w:fldCharType="separate"/>
              </w:r>
              <w:r w:rsidR="002C631E">
                <w:rPr>
                  <w:noProof/>
                  <w:webHidden/>
                </w:rPr>
                <w:t>57</w:t>
              </w:r>
              <w:r w:rsidR="005A707A">
                <w:rPr>
                  <w:noProof/>
                  <w:webHidden/>
                </w:rPr>
                <w:fldChar w:fldCharType="end"/>
              </w:r>
            </w:hyperlink>
          </w:p>
          <w:p w14:paraId="0D09D66A" w14:textId="73F36D37" w:rsidR="005A707A" w:rsidRDefault="00443CD7">
            <w:pPr>
              <w:pStyle w:val="TableofFigures"/>
              <w:rPr>
                <w:rFonts w:asciiTheme="minorHAnsi" w:eastAsiaTheme="minorEastAsia" w:hAnsiTheme="minorHAnsi"/>
                <w:noProof/>
                <w:lang w:eastAsia="en-NZ"/>
              </w:rPr>
            </w:pPr>
            <w:hyperlink w:anchor="_Toc98760559" w:history="1">
              <w:r w:rsidR="005A707A" w:rsidRPr="00796483">
                <w:rPr>
                  <w:rStyle w:val="Hyperlink"/>
                  <w:noProof/>
                </w:rPr>
                <w:t>Figure 28 Incidence of initial acute rheumatic fever (ARF) hospitalisations by major ethnic group and time period among persons &lt;30 years of age, New Zealand, 2000–2018</w:t>
              </w:r>
              <w:r w:rsidR="005A707A">
                <w:rPr>
                  <w:noProof/>
                  <w:webHidden/>
                </w:rPr>
                <w:tab/>
              </w:r>
              <w:r w:rsidR="005A707A">
                <w:rPr>
                  <w:noProof/>
                  <w:webHidden/>
                </w:rPr>
                <w:fldChar w:fldCharType="begin"/>
              </w:r>
              <w:r w:rsidR="005A707A">
                <w:rPr>
                  <w:noProof/>
                  <w:webHidden/>
                </w:rPr>
                <w:instrText xml:space="preserve"> PAGEREF _Toc98760559 \h </w:instrText>
              </w:r>
              <w:r w:rsidR="005A707A">
                <w:rPr>
                  <w:noProof/>
                  <w:webHidden/>
                </w:rPr>
              </w:r>
              <w:r w:rsidR="005A707A">
                <w:rPr>
                  <w:noProof/>
                  <w:webHidden/>
                </w:rPr>
                <w:fldChar w:fldCharType="separate"/>
              </w:r>
              <w:r w:rsidR="002C631E">
                <w:rPr>
                  <w:noProof/>
                  <w:webHidden/>
                </w:rPr>
                <w:t>58</w:t>
              </w:r>
              <w:r w:rsidR="005A707A">
                <w:rPr>
                  <w:noProof/>
                  <w:webHidden/>
                </w:rPr>
                <w:fldChar w:fldCharType="end"/>
              </w:r>
            </w:hyperlink>
          </w:p>
          <w:p w14:paraId="4D736AC3" w14:textId="2A969A7B" w:rsidR="005A707A" w:rsidRDefault="00443CD7">
            <w:pPr>
              <w:pStyle w:val="TableofFigures"/>
              <w:rPr>
                <w:rFonts w:asciiTheme="minorHAnsi" w:eastAsiaTheme="minorEastAsia" w:hAnsiTheme="minorHAnsi"/>
                <w:noProof/>
                <w:lang w:eastAsia="en-NZ"/>
              </w:rPr>
            </w:pPr>
            <w:hyperlink w:anchor="_Toc98760560" w:history="1">
              <w:r w:rsidR="005A707A" w:rsidRPr="00796483">
                <w:rPr>
                  <w:rStyle w:val="Hyperlink"/>
                  <w:noProof/>
                </w:rPr>
                <w:t>Figure 29 New Zealand annual incidence rates of initial RHD hospitalisations, all ages, 2000–2018</w:t>
              </w:r>
              <w:r w:rsidR="005A707A">
                <w:rPr>
                  <w:noProof/>
                  <w:webHidden/>
                </w:rPr>
                <w:tab/>
              </w:r>
              <w:r w:rsidR="005A707A">
                <w:rPr>
                  <w:noProof/>
                  <w:webHidden/>
                </w:rPr>
                <w:fldChar w:fldCharType="begin"/>
              </w:r>
              <w:r w:rsidR="005A707A">
                <w:rPr>
                  <w:noProof/>
                  <w:webHidden/>
                </w:rPr>
                <w:instrText xml:space="preserve"> PAGEREF _Toc98760560 \h </w:instrText>
              </w:r>
              <w:r w:rsidR="005A707A">
                <w:rPr>
                  <w:noProof/>
                  <w:webHidden/>
                </w:rPr>
              </w:r>
              <w:r w:rsidR="005A707A">
                <w:rPr>
                  <w:noProof/>
                  <w:webHidden/>
                </w:rPr>
                <w:fldChar w:fldCharType="separate"/>
              </w:r>
              <w:r w:rsidR="002C631E">
                <w:rPr>
                  <w:noProof/>
                  <w:webHidden/>
                </w:rPr>
                <w:t>58</w:t>
              </w:r>
              <w:r w:rsidR="005A707A">
                <w:rPr>
                  <w:noProof/>
                  <w:webHidden/>
                </w:rPr>
                <w:fldChar w:fldCharType="end"/>
              </w:r>
            </w:hyperlink>
          </w:p>
          <w:p w14:paraId="5FD394E7" w14:textId="1FE29B12" w:rsidR="005A707A" w:rsidRDefault="00443CD7">
            <w:pPr>
              <w:pStyle w:val="TableofFigures"/>
              <w:rPr>
                <w:rFonts w:asciiTheme="minorHAnsi" w:eastAsiaTheme="minorEastAsia" w:hAnsiTheme="minorHAnsi"/>
                <w:noProof/>
                <w:lang w:eastAsia="en-NZ"/>
              </w:rPr>
            </w:pPr>
            <w:hyperlink w:anchor="_Toc98760561" w:history="1">
              <w:r w:rsidR="005A707A" w:rsidRPr="00796483">
                <w:rPr>
                  <w:rStyle w:val="Hyperlink"/>
                  <w:noProof/>
                </w:rPr>
                <w:t>Figure 30 Breakdown of the 5-year costs of an annual cohort of strokes in New Zealand</w:t>
              </w:r>
              <w:r w:rsidR="005A707A">
                <w:rPr>
                  <w:noProof/>
                  <w:webHidden/>
                </w:rPr>
                <w:tab/>
              </w:r>
              <w:r w:rsidR="005A707A">
                <w:rPr>
                  <w:noProof/>
                  <w:webHidden/>
                </w:rPr>
                <w:fldChar w:fldCharType="begin"/>
              </w:r>
              <w:r w:rsidR="005A707A">
                <w:rPr>
                  <w:noProof/>
                  <w:webHidden/>
                </w:rPr>
                <w:instrText xml:space="preserve"> PAGEREF _Toc98760561 \h </w:instrText>
              </w:r>
              <w:r w:rsidR="005A707A">
                <w:rPr>
                  <w:noProof/>
                  <w:webHidden/>
                </w:rPr>
              </w:r>
              <w:r w:rsidR="005A707A">
                <w:rPr>
                  <w:noProof/>
                  <w:webHidden/>
                </w:rPr>
                <w:fldChar w:fldCharType="separate"/>
              </w:r>
              <w:r w:rsidR="002C631E">
                <w:rPr>
                  <w:noProof/>
                  <w:webHidden/>
                </w:rPr>
                <w:t>60</w:t>
              </w:r>
              <w:r w:rsidR="005A707A">
                <w:rPr>
                  <w:noProof/>
                  <w:webHidden/>
                </w:rPr>
                <w:fldChar w:fldCharType="end"/>
              </w:r>
            </w:hyperlink>
          </w:p>
          <w:p w14:paraId="5304487E" w14:textId="348E5BD5" w:rsidR="005A707A" w:rsidRDefault="00443CD7">
            <w:pPr>
              <w:pStyle w:val="TableofFigures"/>
              <w:rPr>
                <w:rFonts w:asciiTheme="minorHAnsi" w:eastAsiaTheme="minorEastAsia" w:hAnsiTheme="minorHAnsi"/>
                <w:noProof/>
                <w:lang w:eastAsia="en-NZ"/>
              </w:rPr>
            </w:pPr>
            <w:hyperlink w:anchor="_Toc98760562" w:history="1">
              <w:r w:rsidR="005A707A" w:rsidRPr="00796483">
                <w:rPr>
                  <w:rStyle w:val="Hyperlink"/>
                  <w:noProof/>
                </w:rPr>
                <w:t>Figure 31 Attribution of costs of alcohol-related harm in Leeds, UK</w:t>
              </w:r>
              <w:r w:rsidR="005A707A">
                <w:rPr>
                  <w:noProof/>
                  <w:webHidden/>
                </w:rPr>
                <w:tab/>
              </w:r>
              <w:r w:rsidR="005A707A">
                <w:rPr>
                  <w:noProof/>
                  <w:webHidden/>
                </w:rPr>
                <w:fldChar w:fldCharType="begin"/>
              </w:r>
              <w:r w:rsidR="005A707A">
                <w:rPr>
                  <w:noProof/>
                  <w:webHidden/>
                </w:rPr>
                <w:instrText xml:space="preserve"> PAGEREF _Toc98760562 \h </w:instrText>
              </w:r>
              <w:r w:rsidR="005A707A">
                <w:rPr>
                  <w:noProof/>
                  <w:webHidden/>
                </w:rPr>
              </w:r>
              <w:r w:rsidR="005A707A">
                <w:rPr>
                  <w:noProof/>
                  <w:webHidden/>
                </w:rPr>
                <w:fldChar w:fldCharType="separate"/>
              </w:r>
              <w:r w:rsidR="002C631E">
                <w:rPr>
                  <w:noProof/>
                  <w:webHidden/>
                </w:rPr>
                <w:t>62</w:t>
              </w:r>
              <w:r w:rsidR="005A707A">
                <w:rPr>
                  <w:noProof/>
                  <w:webHidden/>
                </w:rPr>
                <w:fldChar w:fldCharType="end"/>
              </w:r>
            </w:hyperlink>
          </w:p>
          <w:p w14:paraId="665DFD29" w14:textId="5E665E3A" w:rsidR="005A707A" w:rsidRDefault="00443CD7">
            <w:pPr>
              <w:pStyle w:val="TableofFigures"/>
              <w:rPr>
                <w:rFonts w:asciiTheme="minorHAnsi" w:eastAsiaTheme="minorEastAsia" w:hAnsiTheme="minorHAnsi"/>
                <w:noProof/>
                <w:lang w:eastAsia="en-NZ"/>
              </w:rPr>
            </w:pPr>
            <w:hyperlink w:anchor="_Toc98760563" w:history="1">
              <w:r w:rsidR="005A707A" w:rsidRPr="00796483">
                <w:rPr>
                  <w:rStyle w:val="Hyperlink"/>
                  <w:noProof/>
                </w:rPr>
                <w:t>Figure 32 Total annual costs in Japan of 3 major diseases</w:t>
              </w:r>
              <w:r w:rsidR="005A707A">
                <w:rPr>
                  <w:noProof/>
                  <w:webHidden/>
                </w:rPr>
                <w:tab/>
              </w:r>
              <w:r w:rsidR="005A707A">
                <w:rPr>
                  <w:noProof/>
                  <w:webHidden/>
                </w:rPr>
                <w:fldChar w:fldCharType="begin"/>
              </w:r>
              <w:r w:rsidR="005A707A">
                <w:rPr>
                  <w:noProof/>
                  <w:webHidden/>
                </w:rPr>
                <w:instrText xml:space="preserve"> PAGEREF _Toc98760563 \h </w:instrText>
              </w:r>
              <w:r w:rsidR="005A707A">
                <w:rPr>
                  <w:noProof/>
                  <w:webHidden/>
                </w:rPr>
              </w:r>
              <w:r w:rsidR="005A707A">
                <w:rPr>
                  <w:noProof/>
                  <w:webHidden/>
                </w:rPr>
                <w:fldChar w:fldCharType="separate"/>
              </w:r>
              <w:r w:rsidR="002C631E">
                <w:rPr>
                  <w:noProof/>
                  <w:webHidden/>
                </w:rPr>
                <w:t>64</w:t>
              </w:r>
              <w:r w:rsidR="005A707A">
                <w:rPr>
                  <w:noProof/>
                  <w:webHidden/>
                </w:rPr>
                <w:fldChar w:fldCharType="end"/>
              </w:r>
            </w:hyperlink>
          </w:p>
          <w:p w14:paraId="3EC6039B" w14:textId="78A667EB" w:rsidR="005A707A" w:rsidRDefault="00443CD7">
            <w:pPr>
              <w:pStyle w:val="TableofFigures"/>
              <w:rPr>
                <w:rFonts w:asciiTheme="minorHAnsi" w:eastAsiaTheme="minorEastAsia" w:hAnsiTheme="minorHAnsi"/>
                <w:noProof/>
                <w:lang w:eastAsia="en-NZ"/>
              </w:rPr>
            </w:pPr>
            <w:hyperlink w:anchor="_Toc98760564" w:history="1">
              <w:r w:rsidR="005A707A" w:rsidRPr="00796483">
                <w:rPr>
                  <w:rStyle w:val="Hyperlink"/>
                  <w:noProof/>
                </w:rPr>
                <w:t>Figure 33 Annual per person health care cost implications of CKD progression</w:t>
              </w:r>
              <w:r w:rsidR="005A707A">
                <w:rPr>
                  <w:noProof/>
                  <w:webHidden/>
                </w:rPr>
                <w:tab/>
              </w:r>
              <w:r w:rsidR="005A707A">
                <w:rPr>
                  <w:noProof/>
                  <w:webHidden/>
                </w:rPr>
                <w:fldChar w:fldCharType="begin"/>
              </w:r>
              <w:r w:rsidR="005A707A">
                <w:rPr>
                  <w:noProof/>
                  <w:webHidden/>
                </w:rPr>
                <w:instrText xml:space="preserve"> PAGEREF _Toc98760564 \h </w:instrText>
              </w:r>
              <w:r w:rsidR="005A707A">
                <w:rPr>
                  <w:noProof/>
                  <w:webHidden/>
                </w:rPr>
              </w:r>
              <w:r w:rsidR="005A707A">
                <w:rPr>
                  <w:noProof/>
                  <w:webHidden/>
                </w:rPr>
                <w:fldChar w:fldCharType="separate"/>
              </w:r>
              <w:r w:rsidR="002C631E">
                <w:rPr>
                  <w:noProof/>
                  <w:webHidden/>
                </w:rPr>
                <w:t>65</w:t>
              </w:r>
              <w:r w:rsidR="005A707A">
                <w:rPr>
                  <w:noProof/>
                  <w:webHidden/>
                </w:rPr>
                <w:fldChar w:fldCharType="end"/>
              </w:r>
            </w:hyperlink>
          </w:p>
          <w:p w14:paraId="2F16F9E0" w14:textId="4D8538DC" w:rsidR="00F8197C" w:rsidRPr="007828EA" w:rsidRDefault="00F8197C" w:rsidP="00DD5977">
            <w:pPr>
              <w:pStyle w:val="USWhiteSpace"/>
              <w:rPr>
                <w:noProof/>
                <w:sz w:val="2"/>
                <w:szCs w:val="2"/>
                <w:lang w:val="en-US"/>
              </w:rPr>
            </w:pPr>
            <w:r w:rsidRPr="007828EA">
              <w:fldChar w:fldCharType="end"/>
            </w:r>
          </w:p>
        </w:tc>
      </w:tr>
      <w:tr w:rsidR="00DD5977" w14:paraId="24E78F10" w14:textId="77777777" w:rsidTr="001C0653">
        <w:tc>
          <w:tcPr>
            <w:tcW w:w="9393" w:type="dxa"/>
            <w:tcBorders>
              <w:top w:val="nil"/>
              <w:left w:val="nil"/>
              <w:bottom w:val="nil"/>
              <w:right w:val="nil"/>
            </w:tcBorders>
          </w:tcPr>
          <w:p w14:paraId="113477E0" w14:textId="13EC83AC" w:rsidR="00DD5977" w:rsidRPr="00DD5977" w:rsidRDefault="00DD5977" w:rsidP="001A3EDE">
            <w:pPr>
              <w:pStyle w:val="HeadingContents-TablesFigures"/>
              <w:spacing w:before="240"/>
            </w:pPr>
            <w:r>
              <w:lastRenderedPageBreak/>
              <w:t>Tables</w:t>
            </w:r>
          </w:p>
        </w:tc>
      </w:tr>
      <w:tr w:rsidR="00F8197C" w14:paraId="2DD2EF8D" w14:textId="77777777" w:rsidTr="001C0653">
        <w:tc>
          <w:tcPr>
            <w:tcW w:w="9393" w:type="dxa"/>
            <w:tcBorders>
              <w:top w:val="nil"/>
              <w:left w:val="nil"/>
              <w:bottom w:val="nil"/>
              <w:right w:val="nil"/>
            </w:tcBorders>
          </w:tcPr>
          <w:p w14:paraId="12B08907" w14:textId="0DB15F20" w:rsidR="005A707A" w:rsidRDefault="00F8197C">
            <w:pPr>
              <w:pStyle w:val="TableofFigures"/>
              <w:rPr>
                <w:rFonts w:asciiTheme="minorHAnsi" w:eastAsiaTheme="minorEastAsia" w:hAnsiTheme="minorHAnsi"/>
                <w:noProof/>
                <w:lang w:eastAsia="en-NZ"/>
              </w:rPr>
            </w:pPr>
            <w:r>
              <w:rPr>
                <w:b/>
                <w:bCs/>
                <w:noProof/>
                <w:lang w:val="en-US"/>
              </w:rPr>
              <w:fldChar w:fldCharType="begin"/>
            </w:r>
            <w:r>
              <w:rPr>
                <w:b/>
                <w:bCs/>
                <w:noProof/>
                <w:lang w:val="en-US"/>
              </w:rPr>
              <w:instrText xml:space="preserve"> TOC </w:instrText>
            </w:r>
            <w:r w:rsidR="007C21B3">
              <w:rPr>
                <w:b/>
                <w:bCs/>
                <w:noProof/>
                <w:lang w:val="en-US"/>
              </w:rPr>
              <w:instrText xml:space="preserve">\h \z </w:instrText>
            </w:r>
            <w:r>
              <w:rPr>
                <w:b/>
                <w:bCs/>
                <w:noProof/>
                <w:lang w:val="en-US"/>
              </w:rPr>
              <w:instrText>\c "Table</w:instrText>
            </w:r>
            <w:r w:rsidR="00C005FA">
              <w:rPr>
                <w:b/>
                <w:bCs/>
                <w:noProof/>
                <w:lang w:val="en-US"/>
              </w:rPr>
              <w:instrText>"</w:instrText>
            </w:r>
            <w:r>
              <w:rPr>
                <w:b/>
                <w:bCs/>
                <w:noProof/>
                <w:lang w:val="en-US"/>
              </w:rPr>
              <w:instrText xml:space="preserve"> </w:instrText>
            </w:r>
            <w:r>
              <w:rPr>
                <w:b/>
                <w:bCs/>
                <w:noProof/>
                <w:lang w:val="en-US"/>
              </w:rPr>
              <w:fldChar w:fldCharType="separate"/>
            </w:r>
            <w:hyperlink w:anchor="_Toc98760565" w:history="1">
              <w:r w:rsidR="005A707A" w:rsidRPr="0038400A">
                <w:rPr>
                  <w:rStyle w:val="Hyperlink"/>
                  <w:noProof/>
                </w:rPr>
                <w:t>Table 1 Illustrative health policy questions addressed by cost-of-illness studies</w:t>
              </w:r>
              <w:r w:rsidR="005A707A">
                <w:rPr>
                  <w:noProof/>
                  <w:webHidden/>
                </w:rPr>
                <w:tab/>
              </w:r>
              <w:r w:rsidR="005A707A">
                <w:rPr>
                  <w:noProof/>
                  <w:webHidden/>
                </w:rPr>
                <w:fldChar w:fldCharType="begin"/>
              </w:r>
              <w:r w:rsidR="005A707A">
                <w:rPr>
                  <w:noProof/>
                  <w:webHidden/>
                </w:rPr>
                <w:instrText xml:space="preserve"> PAGEREF _Toc98760565 \h </w:instrText>
              </w:r>
              <w:r w:rsidR="005A707A">
                <w:rPr>
                  <w:noProof/>
                  <w:webHidden/>
                </w:rPr>
              </w:r>
              <w:r w:rsidR="005A707A">
                <w:rPr>
                  <w:noProof/>
                  <w:webHidden/>
                </w:rPr>
                <w:fldChar w:fldCharType="separate"/>
              </w:r>
              <w:r w:rsidR="002C631E">
                <w:rPr>
                  <w:noProof/>
                  <w:webHidden/>
                </w:rPr>
                <w:t>2</w:t>
              </w:r>
              <w:r w:rsidR="005A707A">
                <w:rPr>
                  <w:noProof/>
                  <w:webHidden/>
                </w:rPr>
                <w:fldChar w:fldCharType="end"/>
              </w:r>
            </w:hyperlink>
          </w:p>
          <w:p w14:paraId="1985931C" w14:textId="1BE9256D" w:rsidR="005A707A" w:rsidRDefault="00443CD7">
            <w:pPr>
              <w:pStyle w:val="TableofFigures"/>
              <w:rPr>
                <w:rFonts w:asciiTheme="minorHAnsi" w:eastAsiaTheme="minorEastAsia" w:hAnsiTheme="minorHAnsi"/>
                <w:noProof/>
                <w:lang w:eastAsia="en-NZ"/>
              </w:rPr>
            </w:pPr>
            <w:hyperlink w:anchor="_Toc98760566" w:history="1">
              <w:r w:rsidR="005A707A" w:rsidRPr="0038400A">
                <w:rPr>
                  <w:rStyle w:val="Hyperlink"/>
                  <w:noProof/>
                </w:rPr>
                <w:t>Table 2 Comparison of approaches to estimating the cost of illness</w:t>
              </w:r>
              <w:r w:rsidR="005A707A">
                <w:rPr>
                  <w:noProof/>
                  <w:webHidden/>
                </w:rPr>
                <w:tab/>
              </w:r>
              <w:r w:rsidR="005A707A">
                <w:rPr>
                  <w:noProof/>
                  <w:webHidden/>
                </w:rPr>
                <w:fldChar w:fldCharType="begin"/>
              </w:r>
              <w:r w:rsidR="005A707A">
                <w:rPr>
                  <w:noProof/>
                  <w:webHidden/>
                </w:rPr>
                <w:instrText xml:space="preserve"> PAGEREF _Toc98760566 \h </w:instrText>
              </w:r>
              <w:r w:rsidR="005A707A">
                <w:rPr>
                  <w:noProof/>
                  <w:webHidden/>
                </w:rPr>
              </w:r>
              <w:r w:rsidR="005A707A">
                <w:rPr>
                  <w:noProof/>
                  <w:webHidden/>
                </w:rPr>
                <w:fldChar w:fldCharType="separate"/>
              </w:r>
              <w:r w:rsidR="002C631E">
                <w:rPr>
                  <w:noProof/>
                  <w:webHidden/>
                </w:rPr>
                <w:t>8</w:t>
              </w:r>
              <w:r w:rsidR="005A707A">
                <w:rPr>
                  <w:noProof/>
                  <w:webHidden/>
                </w:rPr>
                <w:fldChar w:fldCharType="end"/>
              </w:r>
            </w:hyperlink>
          </w:p>
          <w:p w14:paraId="34694A2D" w14:textId="68796645" w:rsidR="005A707A" w:rsidRDefault="00443CD7">
            <w:pPr>
              <w:pStyle w:val="TableofFigures"/>
              <w:rPr>
                <w:rFonts w:asciiTheme="minorHAnsi" w:eastAsiaTheme="minorEastAsia" w:hAnsiTheme="minorHAnsi"/>
                <w:noProof/>
                <w:lang w:eastAsia="en-NZ"/>
              </w:rPr>
            </w:pPr>
            <w:hyperlink w:anchor="_Toc98760567" w:history="1">
              <w:r w:rsidR="005A707A" w:rsidRPr="0038400A">
                <w:rPr>
                  <w:rStyle w:val="Hyperlink"/>
                  <w:noProof/>
                </w:rPr>
                <w:t>Table 3 Stratification of costs in cost-of-illness studies</w:t>
              </w:r>
              <w:r w:rsidR="005A707A">
                <w:rPr>
                  <w:noProof/>
                  <w:webHidden/>
                </w:rPr>
                <w:tab/>
              </w:r>
              <w:r w:rsidR="005A707A">
                <w:rPr>
                  <w:noProof/>
                  <w:webHidden/>
                </w:rPr>
                <w:fldChar w:fldCharType="begin"/>
              </w:r>
              <w:r w:rsidR="005A707A">
                <w:rPr>
                  <w:noProof/>
                  <w:webHidden/>
                </w:rPr>
                <w:instrText xml:space="preserve"> PAGEREF _Toc98760567 \h </w:instrText>
              </w:r>
              <w:r w:rsidR="005A707A">
                <w:rPr>
                  <w:noProof/>
                  <w:webHidden/>
                </w:rPr>
              </w:r>
              <w:r w:rsidR="005A707A">
                <w:rPr>
                  <w:noProof/>
                  <w:webHidden/>
                </w:rPr>
                <w:fldChar w:fldCharType="separate"/>
              </w:r>
              <w:r w:rsidR="002C631E">
                <w:rPr>
                  <w:noProof/>
                  <w:webHidden/>
                </w:rPr>
                <w:t>10</w:t>
              </w:r>
              <w:r w:rsidR="005A707A">
                <w:rPr>
                  <w:noProof/>
                  <w:webHidden/>
                </w:rPr>
                <w:fldChar w:fldCharType="end"/>
              </w:r>
            </w:hyperlink>
          </w:p>
          <w:p w14:paraId="464F723F" w14:textId="2B5CF6C4" w:rsidR="005A707A" w:rsidRDefault="00443CD7">
            <w:pPr>
              <w:pStyle w:val="TableofFigures"/>
              <w:rPr>
                <w:rFonts w:asciiTheme="minorHAnsi" w:eastAsiaTheme="minorEastAsia" w:hAnsiTheme="minorHAnsi"/>
                <w:noProof/>
                <w:lang w:eastAsia="en-NZ"/>
              </w:rPr>
            </w:pPr>
            <w:hyperlink w:anchor="_Toc98760568" w:history="1">
              <w:r w:rsidR="005A707A" w:rsidRPr="0038400A">
                <w:rPr>
                  <w:rStyle w:val="Hyperlink"/>
                  <w:noProof/>
                </w:rPr>
                <w:t>Table 4 Health services costing methods</w:t>
              </w:r>
              <w:r w:rsidR="005A707A">
                <w:rPr>
                  <w:noProof/>
                  <w:webHidden/>
                </w:rPr>
                <w:tab/>
              </w:r>
              <w:r w:rsidR="005A707A">
                <w:rPr>
                  <w:noProof/>
                  <w:webHidden/>
                </w:rPr>
                <w:fldChar w:fldCharType="begin"/>
              </w:r>
              <w:r w:rsidR="005A707A">
                <w:rPr>
                  <w:noProof/>
                  <w:webHidden/>
                </w:rPr>
                <w:instrText xml:space="preserve"> PAGEREF _Toc98760568 \h </w:instrText>
              </w:r>
              <w:r w:rsidR="005A707A">
                <w:rPr>
                  <w:noProof/>
                  <w:webHidden/>
                </w:rPr>
              </w:r>
              <w:r w:rsidR="005A707A">
                <w:rPr>
                  <w:noProof/>
                  <w:webHidden/>
                </w:rPr>
                <w:fldChar w:fldCharType="separate"/>
              </w:r>
              <w:r w:rsidR="002C631E">
                <w:rPr>
                  <w:noProof/>
                  <w:webHidden/>
                </w:rPr>
                <w:t>11</w:t>
              </w:r>
              <w:r w:rsidR="005A707A">
                <w:rPr>
                  <w:noProof/>
                  <w:webHidden/>
                </w:rPr>
                <w:fldChar w:fldCharType="end"/>
              </w:r>
            </w:hyperlink>
          </w:p>
          <w:p w14:paraId="70DEA2D1" w14:textId="72B0529C" w:rsidR="005A707A" w:rsidRDefault="00443CD7">
            <w:pPr>
              <w:pStyle w:val="TableofFigures"/>
              <w:rPr>
                <w:rFonts w:asciiTheme="minorHAnsi" w:eastAsiaTheme="minorEastAsia" w:hAnsiTheme="minorHAnsi"/>
                <w:noProof/>
                <w:lang w:eastAsia="en-NZ"/>
              </w:rPr>
            </w:pPr>
            <w:hyperlink w:anchor="_Toc98760569" w:history="1">
              <w:r w:rsidR="005A707A" w:rsidRPr="0038400A">
                <w:rPr>
                  <w:rStyle w:val="Hyperlink"/>
                  <w:noProof/>
                </w:rPr>
                <w:t xml:space="preserve">Table 5 </w:t>
              </w:r>
              <w:r w:rsidR="005A707A" w:rsidRPr="0038400A">
                <w:rPr>
                  <w:rStyle w:val="Hyperlink"/>
                  <w:rFonts w:cs="Calibri"/>
                  <w:noProof/>
                </w:rPr>
                <w:t>Terminology used in top-down and bottom-up health system costing</w:t>
              </w:r>
              <w:r w:rsidR="005A707A">
                <w:rPr>
                  <w:noProof/>
                  <w:webHidden/>
                </w:rPr>
                <w:tab/>
              </w:r>
              <w:r w:rsidR="005A707A">
                <w:rPr>
                  <w:noProof/>
                  <w:webHidden/>
                </w:rPr>
                <w:fldChar w:fldCharType="begin"/>
              </w:r>
              <w:r w:rsidR="005A707A">
                <w:rPr>
                  <w:noProof/>
                  <w:webHidden/>
                </w:rPr>
                <w:instrText xml:space="preserve"> PAGEREF _Toc98760569 \h </w:instrText>
              </w:r>
              <w:r w:rsidR="005A707A">
                <w:rPr>
                  <w:noProof/>
                  <w:webHidden/>
                </w:rPr>
              </w:r>
              <w:r w:rsidR="005A707A">
                <w:rPr>
                  <w:noProof/>
                  <w:webHidden/>
                </w:rPr>
                <w:fldChar w:fldCharType="separate"/>
              </w:r>
              <w:r w:rsidR="002C631E">
                <w:rPr>
                  <w:noProof/>
                  <w:webHidden/>
                </w:rPr>
                <w:t>11</w:t>
              </w:r>
              <w:r w:rsidR="005A707A">
                <w:rPr>
                  <w:noProof/>
                  <w:webHidden/>
                </w:rPr>
                <w:fldChar w:fldCharType="end"/>
              </w:r>
            </w:hyperlink>
          </w:p>
          <w:p w14:paraId="28191427" w14:textId="41DF64E2" w:rsidR="005A707A" w:rsidRDefault="00443CD7">
            <w:pPr>
              <w:pStyle w:val="TableofFigures"/>
              <w:rPr>
                <w:rFonts w:asciiTheme="minorHAnsi" w:eastAsiaTheme="minorEastAsia" w:hAnsiTheme="minorHAnsi"/>
                <w:noProof/>
                <w:lang w:eastAsia="en-NZ"/>
              </w:rPr>
            </w:pPr>
            <w:hyperlink w:anchor="_Toc98760570" w:history="1">
              <w:r w:rsidR="005A707A" w:rsidRPr="0038400A">
                <w:rPr>
                  <w:rStyle w:val="Hyperlink"/>
                  <w:noProof/>
                </w:rPr>
                <w:t>Table 6 Comparison of different methods used to calculate indirect cost</w:t>
              </w:r>
              <w:r w:rsidR="005A707A">
                <w:rPr>
                  <w:noProof/>
                  <w:webHidden/>
                </w:rPr>
                <w:tab/>
              </w:r>
              <w:r w:rsidR="005A707A">
                <w:rPr>
                  <w:noProof/>
                  <w:webHidden/>
                </w:rPr>
                <w:fldChar w:fldCharType="begin"/>
              </w:r>
              <w:r w:rsidR="005A707A">
                <w:rPr>
                  <w:noProof/>
                  <w:webHidden/>
                </w:rPr>
                <w:instrText xml:space="preserve"> PAGEREF _Toc98760570 \h </w:instrText>
              </w:r>
              <w:r w:rsidR="005A707A">
                <w:rPr>
                  <w:noProof/>
                  <w:webHidden/>
                </w:rPr>
              </w:r>
              <w:r w:rsidR="005A707A">
                <w:rPr>
                  <w:noProof/>
                  <w:webHidden/>
                </w:rPr>
                <w:fldChar w:fldCharType="separate"/>
              </w:r>
              <w:r w:rsidR="002C631E">
                <w:rPr>
                  <w:noProof/>
                  <w:webHidden/>
                </w:rPr>
                <w:t>15</w:t>
              </w:r>
              <w:r w:rsidR="005A707A">
                <w:rPr>
                  <w:noProof/>
                  <w:webHidden/>
                </w:rPr>
                <w:fldChar w:fldCharType="end"/>
              </w:r>
            </w:hyperlink>
          </w:p>
          <w:p w14:paraId="6526E91E" w14:textId="29AA03F3" w:rsidR="005A707A" w:rsidRDefault="00443CD7">
            <w:pPr>
              <w:pStyle w:val="TableofFigures"/>
              <w:rPr>
                <w:rFonts w:asciiTheme="minorHAnsi" w:eastAsiaTheme="minorEastAsia" w:hAnsiTheme="minorHAnsi"/>
                <w:noProof/>
                <w:lang w:eastAsia="en-NZ"/>
              </w:rPr>
            </w:pPr>
            <w:hyperlink w:anchor="_Toc98760571" w:history="1">
              <w:r w:rsidR="005A707A" w:rsidRPr="0038400A">
                <w:rPr>
                  <w:rStyle w:val="Hyperlink"/>
                  <w:noProof/>
                </w:rPr>
                <w:t>Table 7 Estimated DALYs attributable to second-hand smoke, 2006</w:t>
              </w:r>
              <w:r w:rsidR="005A707A">
                <w:rPr>
                  <w:noProof/>
                  <w:webHidden/>
                </w:rPr>
                <w:tab/>
              </w:r>
              <w:r w:rsidR="005A707A">
                <w:rPr>
                  <w:noProof/>
                  <w:webHidden/>
                </w:rPr>
                <w:fldChar w:fldCharType="begin"/>
              </w:r>
              <w:r w:rsidR="005A707A">
                <w:rPr>
                  <w:noProof/>
                  <w:webHidden/>
                </w:rPr>
                <w:instrText xml:space="preserve"> PAGEREF _Toc98760571 \h </w:instrText>
              </w:r>
              <w:r w:rsidR="005A707A">
                <w:rPr>
                  <w:noProof/>
                  <w:webHidden/>
                </w:rPr>
              </w:r>
              <w:r w:rsidR="005A707A">
                <w:rPr>
                  <w:noProof/>
                  <w:webHidden/>
                </w:rPr>
                <w:fldChar w:fldCharType="separate"/>
              </w:r>
              <w:r w:rsidR="002C631E">
                <w:rPr>
                  <w:noProof/>
                  <w:webHidden/>
                </w:rPr>
                <w:t>40</w:t>
              </w:r>
              <w:r w:rsidR="005A707A">
                <w:rPr>
                  <w:noProof/>
                  <w:webHidden/>
                </w:rPr>
                <w:fldChar w:fldCharType="end"/>
              </w:r>
            </w:hyperlink>
          </w:p>
          <w:p w14:paraId="20CA12A5" w14:textId="43F61D3E" w:rsidR="005A707A" w:rsidRDefault="00443CD7">
            <w:pPr>
              <w:pStyle w:val="TableofFigures"/>
              <w:rPr>
                <w:rFonts w:asciiTheme="minorHAnsi" w:eastAsiaTheme="minorEastAsia" w:hAnsiTheme="minorHAnsi"/>
                <w:noProof/>
                <w:lang w:eastAsia="en-NZ"/>
              </w:rPr>
            </w:pPr>
            <w:hyperlink w:anchor="_Toc98760572" w:history="1">
              <w:r w:rsidR="005A707A" w:rsidRPr="0038400A">
                <w:rPr>
                  <w:rStyle w:val="Hyperlink"/>
                  <w:noProof/>
                </w:rPr>
                <w:t>Table 8 Health sector and productivity costs of overweight and obesity in New Zealand</w:t>
              </w:r>
              <w:r w:rsidR="005A707A">
                <w:rPr>
                  <w:noProof/>
                  <w:webHidden/>
                </w:rPr>
                <w:tab/>
              </w:r>
              <w:r w:rsidR="005A707A">
                <w:rPr>
                  <w:noProof/>
                  <w:webHidden/>
                </w:rPr>
                <w:fldChar w:fldCharType="begin"/>
              </w:r>
              <w:r w:rsidR="005A707A">
                <w:rPr>
                  <w:noProof/>
                  <w:webHidden/>
                </w:rPr>
                <w:instrText xml:space="preserve"> PAGEREF _Toc98760572 \h </w:instrText>
              </w:r>
              <w:r w:rsidR="005A707A">
                <w:rPr>
                  <w:noProof/>
                  <w:webHidden/>
                </w:rPr>
              </w:r>
              <w:r w:rsidR="005A707A">
                <w:rPr>
                  <w:noProof/>
                  <w:webHidden/>
                </w:rPr>
                <w:fldChar w:fldCharType="separate"/>
              </w:r>
              <w:r w:rsidR="002C631E">
                <w:rPr>
                  <w:noProof/>
                  <w:webHidden/>
                </w:rPr>
                <w:t>41</w:t>
              </w:r>
              <w:r w:rsidR="005A707A">
                <w:rPr>
                  <w:noProof/>
                  <w:webHidden/>
                </w:rPr>
                <w:fldChar w:fldCharType="end"/>
              </w:r>
            </w:hyperlink>
          </w:p>
          <w:p w14:paraId="033A0941" w14:textId="6E7416D5" w:rsidR="005A707A" w:rsidRDefault="00443CD7">
            <w:pPr>
              <w:pStyle w:val="TableofFigures"/>
              <w:rPr>
                <w:rFonts w:asciiTheme="minorHAnsi" w:eastAsiaTheme="minorEastAsia" w:hAnsiTheme="minorHAnsi"/>
                <w:noProof/>
                <w:lang w:eastAsia="en-NZ"/>
              </w:rPr>
            </w:pPr>
            <w:hyperlink w:anchor="_Toc98760573" w:history="1">
              <w:r w:rsidR="005A707A" w:rsidRPr="0038400A">
                <w:rPr>
                  <w:rStyle w:val="Hyperlink"/>
                  <w:noProof/>
                </w:rPr>
                <w:t>Table 9 Breakdown of NCD public health system costs</w:t>
              </w:r>
              <w:r w:rsidR="005A707A">
                <w:rPr>
                  <w:noProof/>
                  <w:webHidden/>
                </w:rPr>
                <w:tab/>
              </w:r>
              <w:r w:rsidR="005A707A">
                <w:rPr>
                  <w:noProof/>
                  <w:webHidden/>
                </w:rPr>
                <w:fldChar w:fldCharType="begin"/>
              </w:r>
              <w:r w:rsidR="005A707A">
                <w:rPr>
                  <w:noProof/>
                  <w:webHidden/>
                </w:rPr>
                <w:instrText xml:space="preserve"> PAGEREF _Toc98760573 \h </w:instrText>
              </w:r>
              <w:r w:rsidR="005A707A">
                <w:rPr>
                  <w:noProof/>
                  <w:webHidden/>
                </w:rPr>
              </w:r>
              <w:r w:rsidR="005A707A">
                <w:rPr>
                  <w:noProof/>
                  <w:webHidden/>
                </w:rPr>
                <w:fldChar w:fldCharType="separate"/>
              </w:r>
              <w:r w:rsidR="002C631E">
                <w:rPr>
                  <w:noProof/>
                  <w:webHidden/>
                </w:rPr>
                <w:t>42</w:t>
              </w:r>
              <w:r w:rsidR="005A707A">
                <w:rPr>
                  <w:noProof/>
                  <w:webHidden/>
                </w:rPr>
                <w:fldChar w:fldCharType="end"/>
              </w:r>
            </w:hyperlink>
          </w:p>
          <w:p w14:paraId="6481B6C3" w14:textId="7C9D0C2A" w:rsidR="005A707A" w:rsidRDefault="00443CD7">
            <w:pPr>
              <w:pStyle w:val="TableofFigures"/>
              <w:rPr>
                <w:rFonts w:asciiTheme="minorHAnsi" w:eastAsiaTheme="minorEastAsia" w:hAnsiTheme="minorHAnsi"/>
                <w:noProof/>
                <w:lang w:eastAsia="en-NZ"/>
              </w:rPr>
            </w:pPr>
            <w:hyperlink w:anchor="_Toc98760574" w:history="1">
              <w:r w:rsidR="005A707A" w:rsidRPr="0038400A">
                <w:rPr>
                  <w:rStyle w:val="Hyperlink"/>
                  <w:noProof/>
                </w:rPr>
                <w:t>Table 10 Estimated cost of asthma in New Zealand</w:t>
              </w:r>
              <w:r w:rsidR="005A707A">
                <w:rPr>
                  <w:noProof/>
                  <w:webHidden/>
                </w:rPr>
                <w:tab/>
              </w:r>
              <w:r w:rsidR="005A707A">
                <w:rPr>
                  <w:noProof/>
                  <w:webHidden/>
                </w:rPr>
                <w:fldChar w:fldCharType="begin"/>
              </w:r>
              <w:r w:rsidR="005A707A">
                <w:rPr>
                  <w:noProof/>
                  <w:webHidden/>
                </w:rPr>
                <w:instrText xml:space="preserve"> PAGEREF _Toc98760574 \h </w:instrText>
              </w:r>
              <w:r w:rsidR="005A707A">
                <w:rPr>
                  <w:noProof/>
                  <w:webHidden/>
                </w:rPr>
              </w:r>
              <w:r w:rsidR="005A707A">
                <w:rPr>
                  <w:noProof/>
                  <w:webHidden/>
                </w:rPr>
                <w:fldChar w:fldCharType="separate"/>
              </w:r>
              <w:r w:rsidR="002C631E">
                <w:rPr>
                  <w:noProof/>
                  <w:webHidden/>
                </w:rPr>
                <w:t>47</w:t>
              </w:r>
              <w:r w:rsidR="005A707A">
                <w:rPr>
                  <w:noProof/>
                  <w:webHidden/>
                </w:rPr>
                <w:fldChar w:fldCharType="end"/>
              </w:r>
            </w:hyperlink>
          </w:p>
          <w:p w14:paraId="5F4D40DD" w14:textId="0CD75B53" w:rsidR="005A707A" w:rsidRDefault="00443CD7">
            <w:pPr>
              <w:pStyle w:val="TableofFigures"/>
              <w:rPr>
                <w:rFonts w:asciiTheme="minorHAnsi" w:eastAsiaTheme="minorEastAsia" w:hAnsiTheme="minorHAnsi"/>
                <w:noProof/>
                <w:lang w:eastAsia="en-NZ"/>
              </w:rPr>
            </w:pPr>
            <w:hyperlink w:anchor="_Toc98760575" w:history="1">
              <w:r w:rsidR="005A707A" w:rsidRPr="0038400A">
                <w:rPr>
                  <w:rStyle w:val="Hyperlink"/>
                  <w:noProof/>
                </w:rPr>
                <w:t>Table 11 Cost estimates per day of hospitalisation for childhood asthma</w:t>
              </w:r>
              <w:r w:rsidR="005A707A">
                <w:rPr>
                  <w:noProof/>
                  <w:webHidden/>
                </w:rPr>
                <w:tab/>
              </w:r>
              <w:r w:rsidR="005A707A">
                <w:rPr>
                  <w:noProof/>
                  <w:webHidden/>
                </w:rPr>
                <w:fldChar w:fldCharType="begin"/>
              </w:r>
              <w:r w:rsidR="005A707A">
                <w:rPr>
                  <w:noProof/>
                  <w:webHidden/>
                </w:rPr>
                <w:instrText xml:space="preserve"> PAGEREF _Toc98760575 \h </w:instrText>
              </w:r>
              <w:r w:rsidR="005A707A">
                <w:rPr>
                  <w:noProof/>
                  <w:webHidden/>
                </w:rPr>
              </w:r>
              <w:r w:rsidR="005A707A">
                <w:rPr>
                  <w:noProof/>
                  <w:webHidden/>
                </w:rPr>
                <w:fldChar w:fldCharType="separate"/>
              </w:r>
              <w:r w:rsidR="002C631E">
                <w:rPr>
                  <w:noProof/>
                  <w:webHidden/>
                </w:rPr>
                <w:t>48</w:t>
              </w:r>
              <w:r w:rsidR="005A707A">
                <w:rPr>
                  <w:noProof/>
                  <w:webHidden/>
                </w:rPr>
                <w:fldChar w:fldCharType="end"/>
              </w:r>
            </w:hyperlink>
          </w:p>
          <w:p w14:paraId="31BE4FF4" w14:textId="24A49459" w:rsidR="005A707A" w:rsidRDefault="00443CD7">
            <w:pPr>
              <w:pStyle w:val="TableofFigures"/>
              <w:rPr>
                <w:rFonts w:asciiTheme="minorHAnsi" w:eastAsiaTheme="minorEastAsia" w:hAnsiTheme="minorHAnsi"/>
                <w:noProof/>
                <w:lang w:eastAsia="en-NZ"/>
              </w:rPr>
            </w:pPr>
            <w:hyperlink w:anchor="_Toc98760576" w:history="1">
              <w:r w:rsidR="005A707A" w:rsidRPr="0038400A">
                <w:rPr>
                  <w:rStyle w:val="Hyperlink"/>
                  <w:noProof/>
                </w:rPr>
                <w:t>Table 12 Estimated cost of asthma in New Zealand</w:t>
              </w:r>
              <w:r w:rsidR="005A707A">
                <w:rPr>
                  <w:noProof/>
                  <w:webHidden/>
                </w:rPr>
                <w:tab/>
              </w:r>
              <w:r w:rsidR="005A707A">
                <w:rPr>
                  <w:noProof/>
                  <w:webHidden/>
                </w:rPr>
                <w:fldChar w:fldCharType="begin"/>
              </w:r>
              <w:r w:rsidR="005A707A">
                <w:rPr>
                  <w:noProof/>
                  <w:webHidden/>
                </w:rPr>
                <w:instrText xml:space="preserve"> PAGEREF _Toc98760576 \h </w:instrText>
              </w:r>
              <w:r w:rsidR="005A707A">
                <w:rPr>
                  <w:noProof/>
                  <w:webHidden/>
                </w:rPr>
              </w:r>
              <w:r w:rsidR="005A707A">
                <w:rPr>
                  <w:noProof/>
                  <w:webHidden/>
                </w:rPr>
                <w:fldChar w:fldCharType="separate"/>
              </w:r>
              <w:r w:rsidR="002C631E">
                <w:rPr>
                  <w:noProof/>
                  <w:webHidden/>
                </w:rPr>
                <w:t>49</w:t>
              </w:r>
              <w:r w:rsidR="005A707A">
                <w:rPr>
                  <w:noProof/>
                  <w:webHidden/>
                </w:rPr>
                <w:fldChar w:fldCharType="end"/>
              </w:r>
            </w:hyperlink>
          </w:p>
          <w:p w14:paraId="6D0E0C2B" w14:textId="03E36AD5" w:rsidR="005A707A" w:rsidRDefault="00443CD7">
            <w:pPr>
              <w:pStyle w:val="TableofFigures"/>
              <w:rPr>
                <w:rFonts w:asciiTheme="minorHAnsi" w:eastAsiaTheme="minorEastAsia" w:hAnsiTheme="minorHAnsi"/>
                <w:noProof/>
                <w:lang w:eastAsia="en-NZ"/>
              </w:rPr>
            </w:pPr>
            <w:hyperlink w:anchor="_Toc98760577" w:history="1">
              <w:r w:rsidR="005A707A" w:rsidRPr="0038400A">
                <w:rPr>
                  <w:rStyle w:val="Hyperlink"/>
                  <w:noProof/>
                </w:rPr>
                <w:t>Table 13 Excess costs of five highest incidence cancers, 2010-2011</w:t>
              </w:r>
              <w:r w:rsidR="005A707A">
                <w:rPr>
                  <w:noProof/>
                  <w:webHidden/>
                </w:rPr>
                <w:tab/>
              </w:r>
              <w:r w:rsidR="005A707A">
                <w:rPr>
                  <w:noProof/>
                  <w:webHidden/>
                </w:rPr>
                <w:fldChar w:fldCharType="begin"/>
              </w:r>
              <w:r w:rsidR="005A707A">
                <w:rPr>
                  <w:noProof/>
                  <w:webHidden/>
                </w:rPr>
                <w:instrText xml:space="preserve"> PAGEREF _Toc98760577 \h </w:instrText>
              </w:r>
              <w:r w:rsidR="005A707A">
                <w:rPr>
                  <w:noProof/>
                  <w:webHidden/>
                </w:rPr>
              </w:r>
              <w:r w:rsidR="005A707A">
                <w:rPr>
                  <w:noProof/>
                  <w:webHidden/>
                </w:rPr>
                <w:fldChar w:fldCharType="separate"/>
              </w:r>
              <w:r w:rsidR="002C631E">
                <w:rPr>
                  <w:noProof/>
                  <w:webHidden/>
                </w:rPr>
                <w:t>51</w:t>
              </w:r>
              <w:r w:rsidR="005A707A">
                <w:rPr>
                  <w:noProof/>
                  <w:webHidden/>
                </w:rPr>
                <w:fldChar w:fldCharType="end"/>
              </w:r>
            </w:hyperlink>
          </w:p>
          <w:p w14:paraId="4EF5C73B" w14:textId="217F308E" w:rsidR="005A707A" w:rsidRDefault="00443CD7">
            <w:pPr>
              <w:pStyle w:val="TableofFigures"/>
              <w:rPr>
                <w:rFonts w:asciiTheme="minorHAnsi" w:eastAsiaTheme="minorEastAsia" w:hAnsiTheme="minorHAnsi"/>
                <w:noProof/>
                <w:lang w:eastAsia="en-NZ"/>
              </w:rPr>
            </w:pPr>
            <w:hyperlink w:anchor="_Toc98760578" w:history="1">
              <w:r w:rsidR="005A707A" w:rsidRPr="0038400A">
                <w:rPr>
                  <w:rStyle w:val="Hyperlink"/>
                  <w:noProof/>
                </w:rPr>
                <w:t>Table 14 Summary of cost-of-illness studies</w:t>
              </w:r>
              <w:r w:rsidR="005A707A">
                <w:rPr>
                  <w:noProof/>
                  <w:webHidden/>
                </w:rPr>
                <w:tab/>
              </w:r>
              <w:r w:rsidR="005A707A">
                <w:rPr>
                  <w:noProof/>
                  <w:webHidden/>
                </w:rPr>
                <w:fldChar w:fldCharType="begin"/>
              </w:r>
              <w:r w:rsidR="005A707A">
                <w:rPr>
                  <w:noProof/>
                  <w:webHidden/>
                </w:rPr>
                <w:instrText xml:space="preserve"> PAGEREF _Toc98760578 \h </w:instrText>
              </w:r>
              <w:r w:rsidR="005A707A">
                <w:rPr>
                  <w:noProof/>
                  <w:webHidden/>
                </w:rPr>
              </w:r>
              <w:r w:rsidR="005A707A">
                <w:rPr>
                  <w:noProof/>
                  <w:webHidden/>
                </w:rPr>
                <w:fldChar w:fldCharType="separate"/>
              </w:r>
              <w:r w:rsidR="002C631E">
                <w:rPr>
                  <w:noProof/>
                  <w:webHidden/>
                </w:rPr>
                <w:t>70</w:t>
              </w:r>
              <w:r w:rsidR="005A707A">
                <w:rPr>
                  <w:noProof/>
                  <w:webHidden/>
                </w:rPr>
                <w:fldChar w:fldCharType="end"/>
              </w:r>
            </w:hyperlink>
          </w:p>
          <w:p w14:paraId="1C0603F8" w14:textId="45E8F4C8" w:rsidR="00F8197C" w:rsidRDefault="00F8197C" w:rsidP="00DD5977">
            <w:pPr>
              <w:pStyle w:val="USWhiteSpace"/>
            </w:pPr>
            <w:r>
              <w:rPr>
                <w:noProof/>
                <w:lang w:val="en-US"/>
              </w:rPr>
              <w:fldChar w:fldCharType="end"/>
            </w:r>
          </w:p>
        </w:tc>
      </w:tr>
    </w:tbl>
    <w:p w14:paraId="55BF307D" w14:textId="6445332D" w:rsidR="008B5F66" w:rsidRPr="008B5F66" w:rsidRDefault="008B5F66" w:rsidP="008B5F66">
      <w:pPr>
        <w:pStyle w:val="USWhiteSpace"/>
        <w:rPr>
          <w:sz w:val="2"/>
          <w:szCs w:val="2"/>
        </w:rPr>
      </w:pPr>
    </w:p>
    <w:p w14:paraId="0586A6D6" w14:textId="3504DBA9" w:rsidR="008B5F66" w:rsidRPr="005925F4" w:rsidRDefault="008B5F66" w:rsidP="008B5F66">
      <w:pPr>
        <w:pStyle w:val="USBodyText"/>
        <w:sectPr w:rsidR="008B5F66" w:rsidRPr="005925F4" w:rsidSect="008A5EBA">
          <w:headerReference w:type="even" r:id="rId20"/>
          <w:headerReference w:type="default" r:id="rId21"/>
          <w:footerReference w:type="default" r:id="rId22"/>
          <w:headerReference w:type="first" r:id="rId23"/>
          <w:pgSz w:w="11907" w:h="16839" w:code="9"/>
          <w:pgMar w:top="1701" w:right="1418" w:bottom="1418" w:left="1418" w:header="851" w:footer="851" w:gutter="0"/>
          <w:pgNumType w:fmt="lowerRoman"/>
          <w:cols w:space="708"/>
          <w:docGrid w:linePitch="360"/>
        </w:sectPr>
      </w:pPr>
    </w:p>
    <w:p w14:paraId="19BB14DE" w14:textId="24CFD055" w:rsidR="00BE14CF" w:rsidRPr="005313B5" w:rsidRDefault="00F073D7" w:rsidP="00E024CC">
      <w:pPr>
        <w:pStyle w:val="Heading1"/>
        <w:numPr>
          <w:ilvl w:val="0"/>
          <w:numId w:val="11"/>
        </w:numPr>
      </w:pPr>
      <w:bookmarkStart w:id="0" w:name="_Toc98760494"/>
      <w:r>
        <w:lastRenderedPageBreak/>
        <w:t>Introduction</w:t>
      </w:r>
      <w:bookmarkEnd w:id="0"/>
    </w:p>
    <w:p w14:paraId="10CE31D3" w14:textId="313E0DE4" w:rsidR="000F184E" w:rsidRDefault="00D61237" w:rsidP="00304679">
      <w:pPr>
        <w:pStyle w:val="USBodyText"/>
      </w:pPr>
      <w:r>
        <w:t>In 2009, the Ministry of Health published a report on the cost of illness in long</w:t>
      </w:r>
      <w:r w:rsidR="00435C85">
        <w:t>-</w:t>
      </w:r>
      <w:r>
        <w:t xml:space="preserve">term conditions </w:t>
      </w:r>
      <w:r w:rsidR="00840D60">
        <w:t>that</w:t>
      </w:r>
      <w:r>
        <w:t xml:space="preserve"> summarised the</w:t>
      </w:r>
      <w:r w:rsidR="00167C7B">
        <w:t xml:space="preserve"> </w:t>
      </w:r>
      <w:r w:rsidR="006748A9">
        <w:t>cost-of-illness</w:t>
      </w:r>
      <w:r w:rsidR="00167C7B">
        <w:t xml:space="preserve"> </w:t>
      </w:r>
      <w:r>
        <w:t xml:space="preserve">literature </w:t>
      </w:r>
      <w:r w:rsidR="00167C7B">
        <w:t xml:space="preserve">for selected conditions </w:t>
      </w:r>
      <w:r w:rsidR="000F184E">
        <w:t xml:space="preserve">in the </w:t>
      </w:r>
      <w:r>
        <w:t xml:space="preserve">New Zealand </w:t>
      </w:r>
      <w:r w:rsidR="000F184E">
        <w:t>context</w:t>
      </w:r>
      <w:r w:rsidR="00274AB0">
        <w:t xml:space="preserve"> </w:t>
      </w:r>
      <w:r w:rsidR="001654CA" w:rsidRPr="001654CA">
        <w:rPr>
          <w:rFonts w:cs="Calibri"/>
        </w:rPr>
        <w:t>(Ministry of Health 2009)</w:t>
      </w:r>
      <w:r>
        <w:t>.</w:t>
      </w:r>
    </w:p>
    <w:p w14:paraId="29B80F76" w14:textId="74279CC9" w:rsidR="005B4AEE" w:rsidRDefault="000F184E" w:rsidP="00304679">
      <w:pPr>
        <w:pStyle w:val="USBodyText"/>
      </w:pPr>
      <w:r>
        <w:t xml:space="preserve">In 2021, </w:t>
      </w:r>
      <w:r w:rsidR="00132860">
        <w:t>12 years after the 2009 report was published, l</w:t>
      </w:r>
      <w:r w:rsidR="00304679">
        <w:t xml:space="preserve">ong-term conditions continue to present major challenges for the health and disability system as well as equity and wellbeing in New Zealand. </w:t>
      </w:r>
      <w:r w:rsidR="005B4AEE" w:rsidRPr="005B4AEE">
        <w:t xml:space="preserve">Māori, Pacific people, and those with lower socioeconomic status experience </w:t>
      </w:r>
      <w:r w:rsidR="00173113">
        <w:t xml:space="preserve">the highest levels of chronic </w:t>
      </w:r>
      <w:r w:rsidR="00747F5D">
        <w:t>conditions in New Zealand</w:t>
      </w:r>
      <w:r w:rsidR="007E6338">
        <w:t xml:space="preserve"> </w:t>
      </w:r>
      <w:r w:rsidR="00693F93">
        <w:t>as well as</w:t>
      </w:r>
      <w:r w:rsidR="007E6338">
        <w:t xml:space="preserve"> earlier onset, </w:t>
      </w:r>
      <w:r w:rsidR="00747F5D">
        <w:t xml:space="preserve">contributing to higher </w:t>
      </w:r>
      <w:r w:rsidR="0055390E">
        <w:t>mortality and morbidity rates</w:t>
      </w:r>
      <w:r w:rsidR="005B4AEE" w:rsidRPr="005B4AEE">
        <w:t xml:space="preserve"> </w:t>
      </w:r>
      <w:r w:rsidR="00747F5D">
        <w:t xml:space="preserve">in these populations </w:t>
      </w:r>
      <w:r w:rsidR="001654CA" w:rsidRPr="001654CA">
        <w:rPr>
          <w:rFonts w:cs="Calibri"/>
        </w:rPr>
        <w:t>(Sheridan et al. 2011)</w:t>
      </w:r>
      <w:r w:rsidR="005B4AEE" w:rsidRPr="005B4AEE">
        <w:t>.</w:t>
      </w:r>
    </w:p>
    <w:p w14:paraId="2E2EBA1F" w14:textId="55B50F65" w:rsidR="00304679" w:rsidRDefault="005809AD" w:rsidP="004F69C3">
      <w:pPr>
        <w:pStyle w:val="USBodyText"/>
      </w:pPr>
      <w:r>
        <w:t>The negative impacts</w:t>
      </w:r>
      <w:r w:rsidR="00304679">
        <w:t xml:space="preserve"> of long-term conditions </w:t>
      </w:r>
      <w:r>
        <w:t xml:space="preserve">affect </w:t>
      </w:r>
      <w:r w:rsidR="00304679">
        <w:t xml:space="preserve">the </w:t>
      </w:r>
      <w:r>
        <w:t xml:space="preserve">individual, </w:t>
      </w:r>
      <w:r w:rsidR="00304679">
        <w:t>the family/</w:t>
      </w:r>
      <w:r w:rsidR="00C60E4E">
        <w:t>wh</w:t>
      </w:r>
      <w:r w:rsidR="0055390E">
        <w:rPr>
          <w:rFonts w:cs="Calibri"/>
        </w:rPr>
        <w:t>ā</w:t>
      </w:r>
      <w:r w:rsidR="00C60E4E">
        <w:t>nau</w:t>
      </w:r>
      <w:r>
        <w:t>, the community</w:t>
      </w:r>
      <w:r w:rsidR="00D05519">
        <w:t xml:space="preserve">, the </w:t>
      </w:r>
      <w:r w:rsidR="004F69C3">
        <w:t>public health system</w:t>
      </w:r>
      <w:r w:rsidR="00D05519">
        <w:t xml:space="preserve">, other </w:t>
      </w:r>
      <w:r w:rsidR="004F69C3">
        <w:t>publicly</w:t>
      </w:r>
      <w:r w:rsidR="00127CB3">
        <w:t xml:space="preserve"> </w:t>
      </w:r>
      <w:r w:rsidR="004F69C3">
        <w:t>funded services, and the wider economy</w:t>
      </w:r>
      <w:r w:rsidR="00304679">
        <w:t>.</w:t>
      </w:r>
    </w:p>
    <w:p w14:paraId="0F2ECC7F" w14:textId="084F6211" w:rsidR="00717E74" w:rsidRDefault="00CE0F81" w:rsidP="00741288">
      <w:pPr>
        <w:pStyle w:val="USBodyText"/>
      </w:pPr>
      <w:r>
        <w:t>The Final Report of the Health and Disability System Review</w:t>
      </w:r>
      <w:r w:rsidR="00E65212">
        <w:t xml:space="preserve"> </w:t>
      </w:r>
      <w:r w:rsidR="001654CA" w:rsidRPr="001654CA">
        <w:rPr>
          <w:rFonts w:cs="Calibri"/>
        </w:rPr>
        <w:t>(2020)</w:t>
      </w:r>
      <w:r>
        <w:t xml:space="preserve"> </w:t>
      </w:r>
      <w:r w:rsidR="00741288">
        <w:t>expressed concern that “</w:t>
      </w:r>
      <w:r w:rsidR="00741288" w:rsidRPr="001A4AA2">
        <w:rPr>
          <w:rStyle w:val="QuotationwithinSentence"/>
        </w:rPr>
        <w:t>the increasing proportion of our population living with chronic conditions will place increasing demands on our health system</w:t>
      </w:r>
      <w:r w:rsidR="00741288">
        <w:t>”</w:t>
      </w:r>
      <w:r w:rsidR="00272AB5">
        <w:t xml:space="preserve"> </w:t>
      </w:r>
      <w:r w:rsidR="001654CA" w:rsidRPr="001654CA">
        <w:rPr>
          <w:rFonts w:cs="Calibri"/>
        </w:rPr>
        <w:t>(2020, 81)</w:t>
      </w:r>
      <w:r w:rsidR="007433AC">
        <w:t xml:space="preserve"> and </w:t>
      </w:r>
      <w:r w:rsidR="008F3A6A">
        <w:t>called for system change to ensure that services are designed to be effective for the “</w:t>
      </w:r>
      <w:r w:rsidR="008F3A6A" w:rsidRPr="001A4AA2">
        <w:rPr>
          <w:rStyle w:val="QuotationwithinSentence"/>
        </w:rPr>
        <w:t>increasing number of people living with complex long-term conditions</w:t>
      </w:r>
      <w:r w:rsidR="008F3A6A">
        <w:t>”</w:t>
      </w:r>
      <w:r w:rsidR="00EC38DE">
        <w:t xml:space="preserve"> </w:t>
      </w:r>
      <w:r w:rsidR="001654CA" w:rsidRPr="001654CA">
        <w:rPr>
          <w:rFonts w:cs="Calibri"/>
        </w:rPr>
        <w:t>(2020, 22)</w:t>
      </w:r>
      <w:r w:rsidR="008F3A6A">
        <w:t>.</w:t>
      </w:r>
    </w:p>
    <w:p w14:paraId="472BD99A" w14:textId="11501131" w:rsidR="00EC38DE" w:rsidRDefault="00C42570" w:rsidP="00741288">
      <w:pPr>
        <w:pStyle w:val="USBodyText"/>
      </w:pPr>
      <w:r>
        <w:t>However, even with major system reforms</w:t>
      </w:r>
      <w:r w:rsidR="002908FA">
        <w:t>, resources are scarce and difficult decisions will have to be made</w:t>
      </w:r>
      <w:r w:rsidR="001C3695">
        <w:t xml:space="preserve">. </w:t>
      </w:r>
      <w:r w:rsidR="00EC38DE" w:rsidRPr="00EC38DE">
        <w:t>Cost</w:t>
      </w:r>
      <w:r w:rsidR="00234C40">
        <w:t>-</w:t>
      </w:r>
      <w:r w:rsidR="00EC38DE" w:rsidRPr="00EC38DE">
        <w:t>of</w:t>
      </w:r>
      <w:r w:rsidR="00234C40">
        <w:t>-</w:t>
      </w:r>
      <w:r w:rsidR="00EC38DE" w:rsidRPr="00EC38DE">
        <w:t xml:space="preserve">illness studies </w:t>
      </w:r>
      <w:r w:rsidR="001C3695">
        <w:t>can be an important input into decision-making processes as they</w:t>
      </w:r>
      <w:r w:rsidR="002857D6">
        <w:t xml:space="preserve"> are designed to</w:t>
      </w:r>
      <w:r w:rsidR="00EC38DE" w:rsidRPr="00EC38DE">
        <w:t xml:space="preserve"> capture </w:t>
      </w:r>
      <w:r w:rsidR="00EC38DE">
        <w:t>the extent of</w:t>
      </w:r>
      <w:r w:rsidR="00EC38DE" w:rsidRPr="00EC38DE">
        <w:t xml:space="preserve"> impacts </w:t>
      </w:r>
      <w:r w:rsidR="002908FA">
        <w:t>of diseases insofar as</w:t>
      </w:r>
      <w:r w:rsidR="00EC38DE" w:rsidRPr="00EC38DE">
        <w:t xml:space="preserve"> they can be quantified and monetised.</w:t>
      </w:r>
    </w:p>
    <w:p w14:paraId="79431C90" w14:textId="77777777" w:rsidR="00376CA8" w:rsidRDefault="00376CA8">
      <w:pPr>
        <w:spacing w:after="160" w:line="259" w:lineRule="auto"/>
        <w:rPr>
          <w:rFonts w:eastAsiaTheme="majorEastAsia" w:cstheme="majorBidi"/>
          <w:b/>
          <w:color w:val="0094C5"/>
          <w:sz w:val="32"/>
          <w:szCs w:val="32"/>
        </w:rPr>
      </w:pPr>
      <w:r>
        <w:br w:type="page"/>
      </w:r>
    </w:p>
    <w:p w14:paraId="2ADE871E" w14:textId="45481464" w:rsidR="00376CA8" w:rsidRDefault="00376CA8" w:rsidP="002E10F0">
      <w:pPr>
        <w:pStyle w:val="Heading1"/>
      </w:pPr>
      <w:bookmarkStart w:id="1" w:name="_Toc98760495"/>
      <w:r>
        <w:lastRenderedPageBreak/>
        <w:t>General principles underlying cost-of-illness studies</w:t>
      </w:r>
      <w:bookmarkEnd w:id="1"/>
    </w:p>
    <w:p w14:paraId="35F2556D" w14:textId="47B04B29" w:rsidR="00376CA8" w:rsidRDefault="00376CA8" w:rsidP="00376CA8">
      <w:pPr>
        <w:pStyle w:val="USBodyText"/>
      </w:pPr>
      <w:r>
        <w:t>Cost</w:t>
      </w:r>
      <w:r w:rsidR="00234C40">
        <w:t>-</w:t>
      </w:r>
      <w:r>
        <w:t>of</w:t>
      </w:r>
      <w:r w:rsidR="00234C40">
        <w:t>-</w:t>
      </w:r>
      <w:r>
        <w:t xml:space="preserve">illness studies can be characterised by a small number of </w:t>
      </w:r>
      <w:r w:rsidRPr="00F277E5">
        <w:t xml:space="preserve">methodological principles that </w:t>
      </w:r>
      <w:r>
        <w:t>should be understood</w:t>
      </w:r>
      <w:r w:rsidR="00C04B78">
        <w:t>,</w:t>
      </w:r>
      <w:r>
        <w:t xml:space="preserve"> in order to </w:t>
      </w:r>
      <w:r w:rsidR="00744DB0">
        <w:t>interpret and compare study results appropriately</w:t>
      </w:r>
      <w:r>
        <w:t>. These principles are described in this section.</w:t>
      </w:r>
    </w:p>
    <w:p w14:paraId="79416426" w14:textId="27CC7BA8" w:rsidR="00376CA8" w:rsidRDefault="00376CA8" w:rsidP="002E10F0">
      <w:pPr>
        <w:pStyle w:val="Heading2"/>
      </w:pPr>
      <w:bookmarkStart w:id="2" w:name="_Toc98760496"/>
      <w:r>
        <w:rPr>
          <w:rStyle w:val="normaltextrun"/>
          <w:rFonts w:cs="Calibri"/>
          <w:bCs/>
          <w:color w:val="0094C5"/>
        </w:rPr>
        <w:t>Purpose</w:t>
      </w:r>
      <w:bookmarkEnd w:id="2"/>
      <w:r>
        <w:rPr>
          <w:rStyle w:val="normaltextrun"/>
          <w:rFonts w:cs="Calibri"/>
          <w:bCs/>
          <w:color w:val="0094C5"/>
        </w:rPr>
        <w:t xml:space="preserve"> </w:t>
      </w:r>
    </w:p>
    <w:p w14:paraId="304DE7CE" w14:textId="4320DE67" w:rsidR="00EC2717" w:rsidRDefault="009C45D6" w:rsidP="006C6F0C">
      <w:pPr>
        <w:pStyle w:val="USBodyText"/>
      </w:pPr>
      <w:r>
        <w:rPr>
          <w:rStyle w:val="normaltextrun"/>
          <w:rFonts w:cs="Calibri"/>
        </w:rPr>
        <w:t>A</w:t>
      </w:r>
      <w:r w:rsidR="00376CA8" w:rsidRPr="00E979C8">
        <w:rPr>
          <w:rStyle w:val="normaltextrun"/>
          <w:rFonts w:cs="Calibri"/>
        </w:rPr>
        <w:t xml:space="preserve"> cost-of-illness stud</w:t>
      </w:r>
      <w:r w:rsidR="00376CA8">
        <w:rPr>
          <w:rStyle w:val="normaltextrun"/>
          <w:rFonts w:cs="Calibri"/>
        </w:rPr>
        <w:t>y</w:t>
      </w:r>
      <w:r w:rsidR="00376CA8" w:rsidRPr="00E979C8">
        <w:rPr>
          <w:rStyle w:val="normaltextrun"/>
          <w:rFonts w:cs="Calibri"/>
        </w:rPr>
        <w:t xml:space="preserve"> </w:t>
      </w:r>
      <w:r w:rsidR="00376CA8">
        <w:rPr>
          <w:rStyle w:val="normaltextrun"/>
          <w:rFonts w:cs="Calibri"/>
        </w:rPr>
        <w:t>is a type of economic impact study that estimates</w:t>
      </w:r>
      <w:r w:rsidR="00376CA8" w:rsidRPr="00E979C8">
        <w:rPr>
          <w:rStyle w:val="normaltextrun"/>
          <w:rFonts w:cs="Calibri"/>
        </w:rPr>
        <w:t xml:space="preserve"> the burdens associated with </w:t>
      </w:r>
      <w:r w:rsidR="00C04B78">
        <w:rPr>
          <w:rStyle w:val="normaltextrun"/>
          <w:rFonts w:cs="Calibri"/>
        </w:rPr>
        <w:t>an illness or risk factor</w:t>
      </w:r>
      <w:r w:rsidR="00376CA8">
        <w:rPr>
          <w:rStyle w:val="normaltextrun"/>
          <w:rFonts w:cs="Calibri"/>
        </w:rPr>
        <w:t xml:space="preserve"> and converts them </w:t>
      </w:r>
      <w:r w:rsidR="00376CA8" w:rsidRPr="00E979C8">
        <w:rPr>
          <w:rStyle w:val="normaltextrun"/>
          <w:rFonts w:cs="Calibri"/>
        </w:rPr>
        <w:t>into economic and monetary values to measure the socioeconomic</w:t>
      </w:r>
      <w:r w:rsidR="00376CA8">
        <w:rPr>
          <w:rStyle w:val="normaltextrun"/>
          <w:rFonts w:cs="Calibri"/>
        </w:rPr>
        <w:t xml:space="preserve"> </w:t>
      </w:r>
      <w:r w:rsidR="00376CA8" w:rsidRPr="00E979C8">
        <w:rPr>
          <w:rStyle w:val="normaltextrun"/>
          <w:rFonts w:cs="Calibri"/>
        </w:rPr>
        <w:t xml:space="preserve">costs incurred </w:t>
      </w:r>
      <w:r w:rsidR="00C04B78">
        <w:rPr>
          <w:rStyle w:val="normaltextrun"/>
          <w:rFonts w:cs="Calibri"/>
        </w:rPr>
        <w:t>with</w:t>
      </w:r>
      <w:r w:rsidR="00376CA8">
        <w:rPr>
          <w:rStyle w:val="normaltextrun"/>
          <w:rFonts w:cs="Calibri"/>
        </w:rPr>
        <w:t>in an economy</w:t>
      </w:r>
      <w:r w:rsidR="00376CA8" w:rsidRPr="00E979C8">
        <w:t xml:space="preserve">. </w:t>
      </w:r>
      <w:r w:rsidR="00EC2717" w:rsidRPr="00EC2717">
        <w:t>In theory, the estimates derived should support health system decision-makers to design and prioritise policies and interventions and achieve an efficient allocation of resources (</w:t>
      </w:r>
      <w:r w:rsidR="00481A60" w:rsidRPr="00481A60">
        <w:rPr>
          <w:rFonts w:cs="Calibri"/>
        </w:rPr>
        <w:t>Jo 2014</w:t>
      </w:r>
      <w:r w:rsidR="00EC2717" w:rsidRPr="00EC2717">
        <w:t>).</w:t>
      </w:r>
      <w:r w:rsidR="00C04B78">
        <w:t xml:space="preserve"> In practice, </w:t>
      </w:r>
      <w:r w:rsidR="00483632">
        <w:t>the estimates derived may</w:t>
      </w:r>
      <w:r w:rsidR="003C5937">
        <w:t xml:space="preserve"> be</w:t>
      </w:r>
      <w:r w:rsidR="00483632">
        <w:t xml:space="preserve"> based on widely </w:t>
      </w:r>
      <w:r w:rsidR="00713859">
        <w:t xml:space="preserve">differing methodologies, perspectives, and scope, requiring </w:t>
      </w:r>
      <w:r w:rsidR="006F1DC7">
        <w:t>careful consideration of comparability.</w:t>
      </w:r>
    </w:p>
    <w:p w14:paraId="0E63B8A6" w14:textId="0DA25B11" w:rsidR="00F1543F" w:rsidRDefault="00F1543F" w:rsidP="006C6F0C">
      <w:pPr>
        <w:pStyle w:val="USBodyText"/>
      </w:pPr>
      <w:r>
        <w:t>Studies may implicitly or explicitly as</w:t>
      </w:r>
      <w:r w:rsidR="006F1DC7">
        <w:t>k</w:t>
      </w:r>
      <w:r>
        <w:t xml:space="preserve"> a range of different questions</w:t>
      </w:r>
      <w:r w:rsidR="00B7650A">
        <w:t xml:space="preserve"> about macro costs </w:t>
      </w:r>
      <w:r w:rsidR="006F1DC7">
        <w:t xml:space="preserve">or micro costs </w:t>
      </w:r>
      <w:r w:rsidR="00B7650A">
        <w:t xml:space="preserve">of illness, as described by the World Health Organization’s </w:t>
      </w:r>
      <w:r w:rsidR="003B4A3E">
        <w:t>Guide to Identifying the Economic Consequences of Disease and Injury</w:t>
      </w:r>
      <w:r w:rsidR="00C77AEA">
        <w:t xml:space="preserve"> (World Health Organization</w:t>
      </w:r>
      <w:r w:rsidR="00DC16CC">
        <w:t xml:space="preserve"> 2009)</w:t>
      </w:r>
      <w:r w:rsidR="00B7650A">
        <w:t xml:space="preserve"> (see</w:t>
      </w:r>
      <w:r w:rsidR="00DC16CC">
        <w:t xml:space="preserve"> </w:t>
      </w:r>
      <w:r w:rsidR="00DC16CC">
        <w:fldChar w:fldCharType="begin"/>
      </w:r>
      <w:r w:rsidR="00DC16CC">
        <w:instrText xml:space="preserve"> REF _Ref93417553 \h </w:instrText>
      </w:r>
      <w:r w:rsidR="00DC16CC">
        <w:fldChar w:fldCharType="separate"/>
      </w:r>
      <w:r w:rsidR="002C631E" w:rsidRPr="00731CA6">
        <w:t xml:space="preserve">Table </w:t>
      </w:r>
      <w:r w:rsidR="002C631E">
        <w:rPr>
          <w:noProof/>
        </w:rPr>
        <w:t>1</w:t>
      </w:r>
      <w:r w:rsidR="00DC16CC">
        <w:fldChar w:fldCharType="end"/>
      </w:r>
      <w:r w:rsidR="00B7650A">
        <w:t xml:space="preserve"> below).</w:t>
      </w:r>
    </w:p>
    <w:p w14:paraId="76619E29" w14:textId="1A0BDDBA" w:rsidR="002B49A3" w:rsidRPr="00731CA6" w:rsidRDefault="002B49A3" w:rsidP="002B49A3">
      <w:pPr>
        <w:pStyle w:val="TableCaption"/>
      </w:pPr>
      <w:bookmarkStart w:id="3" w:name="_Ref93417553"/>
      <w:bookmarkStart w:id="4" w:name="_Toc17631243"/>
      <w:bookmarkStart w:id="5" w:name="_Toc98760565"/>
      <w:r w:rsidRPr="00731CA6">
        <w:t xml:space="preserve">Table </w:t>
      </w:r>
      <w:r w:rsidR="00443CD7">
        <w:fldChar w:fldCharType="begin"/>
      </w:r>
      <w:r w:rsidR="00443CD7">
        <w:instrText xml:space="preserve"> SEQ Table \* ARABIC </w:instrText>
      </w:r>
      <w:r w:rsidR="00443CD7">
        <w:fldChar w:fldCharType="separate"/>
      </w:r>
      <w:r w:rsidR="002C631E">
        <w:rPr>
          <w:noProof/>
        </w:rPr>
        <w:t>1</w:t>
      </w:r>
      <w:r w:rsidR="00443CD7">
        <w:rPr>
          <w:noProof/>
        </w:rPr>
        <w:fldChar w:fldCharType="end"/>
      </w:r>
      <w:bookmarkEnd w:id="3"/>
      <w:r w:rsidRPr="00731CA6">
        <w:t xml:space="preserve"> </w:t>
      </w:r>
      <w:bookmarkEnd w:id="4"/>
      <w:r w:rsidR="00C77AEA">
        <w:t>Illustrative health policy questions addressed by cost-of-illness studies</w:t>
      </w:r>
      <w:bookmarkEnd w:id="5"/>
    </w:p>
    <w:p w14:paraId="2B27E7DD" w14:textId="38EA4FE9" w:rsidR="00B7650A" w:rsidRDefault="00B7650A" w:rsidP="006748A9">
      <w:pPr>
        <w:pStyle w:val="USBodyText"/>
        <w:keepNext/>
      </w:pPr>
      <w:r>
        <w:rPr>
          <w:noProof/>
        </w:rPr>
        <w:drawing>
          <wp:inline distT="0" distB="0" distL="0" distR="0" wp14:anchorId="10087D2E" wp14:editId="724A7612">
            <wp:extent cx="4933315" cy="4352925"/>
            <wp:effectExtent l="0" t="0" r="63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4"/>
                    <a:stretch>
                      <a:fillRect/>
                    </a:stretch>
                  </pic:blipFill>
                  <pic:spPr>
                    <a:xfrm>
                      <a:off x="0" y="0"/>
                      <a:ext cx="4958883" cy="4375485"/>
                    </a:xfrm>
                    <a:prstGeom prst="rect">
                      <a:avLst/>
                    </a:prstGeom>
                  </pic:spPr>
                </pic:pic>
              </a:graphicData>
            </a:graphic>
          </wp:inline>
        </w:drawing>
      </w:r>
    </w:p>
    <w:p w14:paraId="7ADE90C3" w14:textId="70B13BEF" w:rsidR="00C77AEA" w:rsidRDefault="00C77AEA" w:rsidP="00DC16CC">
      <w:pPr>
        <w:pStyle w:val="USSource"/>
      </w:pPr>
      <w:r>
        <w:t xml:space="preserve">Source: </w:t>
      </w:r>
      <w:r w:rsidR="00DC16CC">
        <w:t>World Health Organization</w:t>
      </w:r>
      <w:r w:rsidR="006748A9">
        <w:t xml:space="preserve"> </w:t>
      </w:r>
      <w:r w:rsidR="00DC16CC">
        <w:t>2009</w:t>
      </w:r>
    </w:p>
    <w:p w14:paraId="5CABFF90" w14:textId="472478B0" w:rsidR="00376CA8" w:rsidRDefault="00A704CB" w:rsidP="006C6F0C">
      <w:pPr>
        <w:pStyle w:val="USBodyText"/>
        <w:rPr>
          <w:rStyle w:val="eop"/>
          <w:rFonts w:cs="Calibri"/>
        </w:rPr>
      </w:pPr>
      <w:r>
        <w:rPr>
          <w:rStyle w:val="normaltextrun"/>
          <w:rFonts w:cs="Calibri"/>
        </w:rPr>
        <w:lastRenderedPageBreak/>
        <w:t>As described above, c</w:t>
      </w:r>
      <w:r w:rsidR="00376CA8">
        <w:rPr>
          <w:rStyle w:val="normaltextrun"/>
          <w:rFonts w:cs="Calibri"/>
        </w:rPr>
        <w:t>ost</w:t>
      </w:r>
      <w:r w:rsidR="00234C40">
        <w:rPr>
          <w:rStyle w:val="normaltextrun"/>
          <w:rFonts w:cs="Calibri"/>
        </w:rPr>
        <w:t>-</w:t>
      </w:r>
      <w:r w:rsidR="00376CA8">
        <w:rPr>
          <w:rStyle w:val="normaltextrun"/>
          <w:rFonts w:cs="Calibri"/>
        </w:rPr>
        <w:t>of</w:t>
      </w:r>
      <w:r w:rsidR="00234C40">
        <w:rPr>
          <w:rStyle w:val="normaltextrun"/>
          <w:rFonts w:cs="Calibri"/>
        </w:rPr>
        <w:t>-</w:t>
      </w:r>
      <w:r w:rsidR="00376CA8">
        <w:rPr>
          <w:rStyle w:val="normaltextrun"/>
          <w:rFonts w:cs="Calibri"/>
        </w:rPr>
        <w:t>illness studies may allow comparison of the</w:t>
      </w:r>
      <w:r w:rsidR="008462EE">
        <w:rPr>
          <w:rStyle w:val="normaltextrun"/>
          <w:rFonts w:cs="Calibri"/>
        </w:rPr>
        <w:t xml:space="preserve"> </w:t>
      </w:r>
      <w:r w:rsidR="00376CA8">
        <w:rPr>
          <w:rStyle w:val="normaltextrun"/>
          <w:rFonts w:cs="Calibri"/>
        </w:rPr>
        <w:t>economic burdens of</w:t>
      </w:r>
      <w:r w:rsidR="008462EE">
        <w:rPr>
          <w:rStyle w:val="normaltextrun"/>
          <w:rFonts w:cs="Calibri"/>
        </w:rPr>
        <w:t xml:space="preserve"> </w:t>
      </w:r>
      <w:r w:rsidR="00376CA8">
        <w:rPr>
          <w:rStyle w:val="normaltextrun"/>
          <w:rFonts w:cs="Calibri"/>
        </w:rPr>
        <w:t>health conditions</w:t>
      </w:r>
      <w:r w:rsidR="008462EE">
        <w:rPr>
          <w:rStyle w:val="normaltextrun"/>
          <w:rFonts w:cs="Calibri"/>
        </w:rPr>
        <w:t xml:space="preserve"> </w:t>
      </w:r>
      <w:r w:rsidR="00376CA8">
        <w:rPr>
          <w:rStyle w:val="normaltextrun"/>
          <w:rFonts w:cs="Calibri"/>
        </w:rPr>
        <w:t>to society</w:t>
      </w:r>
      <w:r w:rsidR="002A5628">
        <w:rPr>
          <w:rStyle w:val="normaltextrun"/>
          <w:rFonts w:cs="Calibri"/>
        </w:rPr>
        <w:t xml:space="preserve">, although </w:t>
      </w:r>
      <w:r>
        <w:rPr>
          <w:rStyle w:val="normaltextrun"/>
          <w:rFonts w:cs="Calibri"/>
        </w:rPr>
        <w:t>in reality</w:t>
      </w:r>
      <w:r w:rsidR="001239D3">
        <w:rPr>
          <w:rStyle w:val="normaltextrun"/>
          <w:rFonts w:cs="Calibri"/>
        </w:rPr>
        <w:t>,</w:t>
      </w:r>
      <w:r>
        <w:rPr>
          <w:rStyle w:val="normaltextrun"/>
          <w:rFonts w:cs="Calibri"/>
        </w:rPr>
        <w:t xml:space="preserve"> </w:t>
      </w:r>
      <w:r w:rsidR="002A5628">
        <w:rPr>
          <w:rStyle w:val="normaltextrun"/>
          <w:rFonts w:cs="Calibri"/>
        </w:rPr>
        <w:t>not all provide societal values</w:t>
      </w:r>
      <w:r w:rsidR="00D50B79">
        <w:rPr>
          <w:rStyle w:val="normaltextrun"/>
          <w:rFonts w:cs="Calibri"/>
        </w:rPr>
        <w:t xml:space="preserve">, </w:t>
      </w:r>
      <w:r w:rsidR="00EC2717">
        <w:rPr>
          <w:rStyle w:val="normaltextrun"/>
          <w:rFonts w:cs="Calibri"/>
        </w:rPr>
        <w:t xml:space="preserve">frequently </w:t>
      </w:r>
      <w:r w:rsidR="00D50B79">
        <w:rPr>
          <w:rStyle w:val="normaltextrun"/>
          <w:rFonts w:cs="Calibri"/>
        </w:rPr>
        <w:t>being limited to health system costs only</w:t>
      </w:r>
      <w:r w:rsidR="008F50E2">
        <w:rPr>
          <w:rStyle w:val="normaltextrun"/>
          <w:rFonts w:cs="Calibri"/>
        </w:rPr>
        <w:t>.</w:t>
      </w:r>
    </w:p>
    <w:p w14:paraId="132E0BB9" w14:textId="14AD739C" w:rsidR="00376CA8" w:rsidRDefault="00376CA8" w:rsidP="006C6F0C">
      <w:pPr>
        <w:pStyle w:val="USBodyText"/>
        <w:rPr>
          <w:rStyle w:val="eop"/>
          <w:rFonts w:cs="Calibri"/>
        </w:rPr>
      </w:pPr>
      <w:r>
        <w:rPr>
          <w:rStyle w:val="normaltextrun"/>
          <w:rFonts w:cs="Calibri"/>
        </w:rPr>
        <w:t>The overall results of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illness studies are</w:t>
      </w:r>
      <w:r w:rsidR="001151B1">
        <w:rPr>
          <w:rStyle w:val="normaltextrun"/>
          <w:rFonts w:cs="Calibri"/>
        </w:rPr>
        <w:t xml:space="preserve"> </w:t>
      </w:r>
      <w:r>
        <w:rPr>
          <w:rStyle w:val="normaltextrun"/>
          <w:rFonts w:cs="Calibri"/>
        </w:rPr>
        <w:t xml:space="preserve">sometimes interpreted as </w:t>
      </w:r>
      <w:r w:rsidR="000F15ED">
        <w:rPr>
          <w:rStyle w:val="normaltextrun"/>
          <w:rFonts w:cs="Calibri"/>
        </w:rPr>
        <w:t xml:space="preserve">a </w:t>
      </w:r>
      <w:r>
        <w:rPr>
          <w:rStyle w:val="normaltextrun"/>
          <w:rFonts w:cs="Calibri"/>
        </w:rPr>
        <w:t>potential</w:t>
      </w:r>
      <w:r w:rsidR="008462EE">
        <w:rPr>
          <w:rStyle w:val="normaltextrun"/>
          <w:rFonts w:cs="Calibri"/>
        </w:rPr>
        <w:t xml:space="preserve"> </w:t>
      </w:r>
      <w:r>
        <w:rPr>
          <w:rStyle w:val="normaltextrun"/>
          <w:rFonts w:cs="Calibri"/>
        </w:rPr>
        <w:t>for</w:t>
      </w:r>
      <w:r w:rsidR="008462EE">
        <w:rPr>
          <w:rStyle w:val="normaltextrun"/>
          <w:rFonts w:cs="Calibri"/>
        </w:rPr>
        <w:t xml:space="preserve"> </w:t>
      </w:r>
      <w:r>
        <w:rPr>
          <w:rStyle w:val="normaltextrun"/>
          <w:rFonts w:cs="Calibri"/>
        </w:rPr>
        <w:t>savings</w:t>
      </w:r>
      <w:r w:rsidR="000F15ED">
        <w:rPr>
          <w:rStyle w:val="normaltextrun"/>
          <w:rFonts w:cs="Calibri"/>
        </w:rPr>
        <w:t>. However,</w:t>
      </w:r>
      <w:r>
        <w:rPr>
          <w:rStyle w:val="normaltextrun"/>
          <w:rFonts w:cs="Calibri"/>
        </w:rPr>
        <w:t xml:space="preserve"> this interpretation is </w:t>
      </w:r>
      <w:r w:rsidR="00D4476E">
        <w:rPr>
          <w:rStyle w:val="normaltextrun"/>
          <w:rFonts w:cs="Calibri"/>
        </w:rPr>
        <w:t xml:space="preserve">fundamentally </w:t>
      </w:r>
      <w:r>
        <w:rPr>
          <w:rStyle w:val="normaltextrun"/>
          <w:rFonts w:cs="Calibri"/>
        </w:rPr>
        <w:t>flawed because</w:t>
      </w:r>
      <w:r w:rsidR="000F15ED">
        <w:rPr>
          <w:rStyle w:val="normaltextrun"/>
          <w:rFonts w:cs="Calibri"/>
        </w:rPr>
        <w:t xml:space="preserve"> </w:t>
      </w:r>
      <w:r>
        <w:rPr>
          <w:rStyle w:val="normaltextrun"/>
          <w:rFonts w:cs="Calibri"/>
        </w:rPr>
        <w:t>unless interventions can eliminate the health condition entirely</w:t>
      </w:r>
      <w:r w:rsidR="008462EE">
        <w:rPr>
          <w:rStyle w:val="normaltextrun"/>
          <w:rFonts w:cs="Calibri"/>
        </w:rPr>
        <w:t xml:space="preserve"> </w:t>
      </w:r>
      <w:r>
        <w:rPr>
          <w:rStyle w:val="normaltextrun"/>
          <w:rFonts w:cs="Calibri"/>
        </w:rPr>
        <w:t>and at no cost,</w:t>
      </w:r>
      <w:r w:rsidR="008462EE">
        <w:rPr>
          <w:rStyle w:val="normaltextrun"/>
          <w:rFonts w:cs="Calibri"/>
        </w:rPr>
        <w:t xml:space="preserve"> </w:t>
      </w:r>
      <w:r>
        <w:rPr>
          <w:rStyle w:val="normaltextrun"/>
          <w:rFonts w:cs="Calibri"/>
        </w:rPr>
        <w:t>those savings will n</w:t>
      </w:r>
      <w:r w:rsidR="00D4476E">
        <w:rPr>
          <w:rStyle w:val="normaltextrun"/>
          <w:rFonts w:cs="Calibri"/>
        </w:rPr>
        <w:t>ever</w:t>
      </w:r>
      <w:r>
        <w:rPr>
          <w:rStyle w:val="normaltextrun"/>
          <w:rFonts w:cs="Calibri"/>
        </w:rPr>
        <w:t xml:space="preserve"> be realised. Instead,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illness studies</w:t>
      </w:r>
      <w:r w:rsidR="005C1A4F">
        <w:rPr>
          <w:rStyle w:val="normaltextrun"/>
          <w:rFonts w:cs="Calibri"/>
        </w:rPr>
        <w:t xml:space="preserve"> may</w:t>
      </w:r>
      <w:r w:rsidR="008462EE">
        <w:rPr>
          <w:rStyle w:val="normaltextrun"/>
          <w:rFonts w:cs="Calibri"/>
        </w:rPr>
        <w:t xml:space="preserve"> </w:t>
      </w:r>
      <w:r w:rsidR="0054007E">
        <w:rPr>
          <w:rStyle w:val="normaltextrun"/>
          <w:rFonts w:cs="Calibri"/>
        </w:rPr>
        <w:t>indicate</w:t>
      </w:r>
      <w:r w:rsidR="000F15ED">
        <w:rPr>
          <w:rStyle w:val="normaltextrun"/>
          <w:rFonts w:cs="Calibri"/>
        </w:rPr>
        <w:t xml:space="preserve"> </w:t>
      </w:r>
      <w:r>
        <w:rPr>
          <w:rStyle w:val="normaltextrun"/>
          <w:rFonts w:cs="Calibri"/>
        </w:rPr>
        <w:t xml:space="preserve">the </w:t>
      </w:r>
      <w:r w:rsidR="003C5937" w:rsidRPr="00D4476E">
        <w:rPr>
          <w:rStyle w:val="normaltextrun"/>
          <w:rFonts w:cs="Calibri"/>
          <w:i/>
          <w:iCs/>
        </w:rPr>
        <w:t>theoretical</w:t>
      </w:r>
      <w:r w:rsidR="00D4476E" w:rsidRPr="00D4476E">
        <w:rPr>
          <w:rStyle w:val="normaltextrun"/>
          <w:rFonts w:cs="Calibri"/>
          <w:i/>
          <w:iCs/>
        </w:rPr>
        <w:t xml:space="preserve"> </w:t>
      </w:r>
      <w:r w:rsidRPr="00D4476E">
        <w:rPr>
          <w:rStyle w:val="normaltextrun"/>
          <w:rFonts w:cs="Calibri"/>
          <w:i/>
          <w:iCs/>
        </w:rPr>
        <w:t>potential</w:t>
      </w:r>
      <w:r>
        <w:rPr>
          <w:rStyle w:val="normaltextrun"/>
          <w:rFonts w:cs="Calibri"/>
        </w:rPr>
        <w:t xml:space="preserve"> return on</w:t>
      </w:r>
      <w:r w:rsidR="000F15ED">
        <w:rPr>
          <w:rStyle w:val="normaltextrun"/>
          <w:rFonts w:cs="Calibri"/>
        </w:rPr>
        <w:t xml:space="preserve"> </w:t>
      </w:r>
      <w:r>
        <w:rPr>
          <w:rStyle w:val="normaltextrun"/>
          <w:rFonts w:cs="Calibri"/>
        </w:rPr>
        <w:t>investment</w:t>
      </w:r>
      <w:r w:rsidR="008462EE">
        <w:rPr>
          <w:rStyle w:val="normaltextrun"/>
          <w:rFonts w:cs="Calibri"/>
        </w:rPr>
        <w:t xml:space="preserve"> </w:t>
      </w:r>
      <w:r w:rsidR="00234C40">
        <w:rPr>
          <w:rStyle w:val="normaltextrun"/>
          <w:rFonts w:cs="Calibri"/>
        </w:rPr>
        <w:t>of</w:t>
      </w:r>
      <w:r>
        <w:rPr>
          <w:rStyle w:val="normaltextrun"/>
          <w:rFonts w:cs="Calibri"/>
        </w:rPr>
        <w:t xml:space="preserve"> effective interventions. To the extent that </w:t>
      </w:r>
      <w:r w:rsidR="0054007E">
        <w:rPr>
          <w:rStyle w:val="normaltextrun"/>
          <w:rFonts w:cs="Calibri"/>
        </w:rPr>
        <w:t xml:space="preserve">a </w:t>
      </w:r>
      <w:r>
        <w:rPr>
          <w:rStyle w:val="normaltextrun"/>
          <w:rFonts w:cs="Calibri"/>
        </w:rPr>
        <w:t>detailed breakdown of costs and the parties bearing those costs are provided,</w:t>
      </w:r>
      <w:r w:rsidR="00716C32">
        <w:rPr>
          <w:rStyle w:val="normaltextrun"/>
          <w:rFonts w:cs="Calibri"/>
        </w:rPr>
        <w:t xml:space="preserve"> </w:t>
      </w:r>
      <w:r>
        <w:rPr>
          <w:rStyle w:val="normaltextrun"/>
          <w:rFonts w:cs="Calibri"/>
        </w:rPr>
        <w:t>cost</w:t>
      </w:r>
      <w:r w:rsidR="00AE1F78">
        <w:rPr>
          <w:rStyle w:val="normaltextrun"/>
          <w:rFonts w:cs="Calibri"/>
        </w:rPr>
        <w:t>-</w:t>
      </w:r>
      <w:r>
        <w:rPr>
          <w:rStyle w:val="normaltextrun"/>
          <w:rFonts w:cs="Calibri"/>
        </w:rPr>
        <w:t>of</w:t>
      </w:r>
      <w:r w:rsidR="00AE1F78">
        <w:rPr>
          <w:rStyle w:val="normaltextrun"/>
          <w:rFonts w:cs="Calibri"/>
        </w:rPr>
        <w:t>-</w:t>
      </w:r>
      <w:r>
        <w:rPr>
          <w:rStyle w:val="normaltextrun"/>
          <w:rFonts w:cs="Calibri"/>
        </w:rPr>
        <w:t>illness</w:t>
      </w:r>
      <w:r w:rsidR="008462EE">
        <w:rPr>
          <w:rStyle w:val="normaltextrun"/>
          <w:rFonts w:cs="Calibri"/>
        </w:rPr>
        <w:t xml:space="preserve"> </w:t>
      </w:r>
      <w:r>
        <w:rPr>
          <w:rStyle w:val="normaltextrun"/>
          <w:rFonts w:cs="Calibri"/>
        </w:rPr>
        <w:t>studies also help to inform questions about where and for whom to target investment</w:t>
      </w:r>
      <w:r w:rsidR="00D4476E">
        <w:rPr>
          <w:rStyle w:val="normaltextrun"/>
          <w:rFonts w:cs="Calibri"/>
        </w:rPr>
        <w:t xml:space="preserve"> if cost-effective interventions exist</w:t>
      </w:r>
      <w:r>
        <w:rPr>
          <w:rStyle w:val="normaltextrun"/>
          <w:rFonts w:cs="Calibri"/>
        </w:rPr>
        <w:t>.</w:t>
      </w:r>
    </w:p>
    <w:p w14:paraId="39B3FACD" w14:textId="38610280" w:rsidR="00376CA8" w:rsidRDefault="00D4476E" w:rsidP="006C6F0C">
      <w:pPr>
        <w:pStyle w:val="USBodyText"/>
        <w:rPr>
          <w:rStyle w:val="eop"/>
          <w:rFonts w:cs="Calibri"/>
        </w:rPr>
      </w:pPr>
      <w:r>
        <w:rPr>
          <w:rStyle w:val="normaltextrun"/>
          <w:rFonts w:cs="Calibri"/>
        </w:rPr>
        <w:t>Furthermore, well-detailed c</w:t>
      </w:r>
      <w:r w:rsidR="00376CA8">
        <w:rPr>
          <w:rStyle w:val="normaltextrun"/>
          <w:rFonts w:cs="Calibri"/>
        </w:rPr>
        <w:t xml:space="preserve">ost-of-illness studies </w:t>
      </w:r>
      <w:r>
        <w:rPr>
          <w:rStyle w:val="normaltextrun"/>
          <w:rFonts w:cs="Calibri"/>
        </w:rPr>
        <w:t xml:space="preserve">can </w:t>
      </w:r>
      <w:r w:rsidR="00376CA8">
        <w:rPr>
          <w:rStyle w:val="normaltextrun"/>
          <w:rFonts w:cs="Calibri"/>
        </w:rPr>
        <w:t>often provide input values for cost-benefit or cost-effectiveness/cost-utility studies that investigate the value of</w:t>
      </w:r>
      <w:r w:rsidR="00716C32">
        <w:rPr>
          <w:rStyle w:val="normaltextrun"/>
          <w:rFonts w:cs="Calibri"/>
        </w:rPr>
        <w:t xml:space="preserve"> </w:t>
      </w:r>
      <w:r w:rsidR="00376CA8">
        <w:rPr>
          <w:rStyle w:val="normaltextrun"/>
          <w:rFonts w:cs="Calibri"/>
        </w:rPr>
        <w:t>interventions.</w:t>
      </w:r>
      <w:r w:rsidR="00376CA8">
        <w:rPr>
          <w:rStyle w:val="eop"/>
          <w:rFonts w:cs="Calibri"/>
        </w:rPr>
        <w:t> </w:t>
      </w:r>
    </w:p>
    <w:p w14:paraId="20B18D9B" w14:textId="77777777" w:rsidR="00376CA8" w:rsidRDefault="00376CA8" w:rsidP="002E10F0">
      <w:pPr>
        <w:pStyle w:val="Heading2"/>
      </w:pPr>
      <w:bookmarkStart w:id="6" w:name="_Toc98760497"/>
      <w:r>
        <w:t>Scope</w:t>
      </w:r>
      <w:bookmarkEnd w:id="6"/>
    </w:p>
    <w:p w14:paraId="56923F5C" w14:textId="75807182" w:rsidR="00376CA8" w:rsidRDefault="00376CA8" w:rsidP="00376CA8">
      <w:pPr>
        <w:pStyle w:val="USBodyText"/>
      </w:pPr>
      <w:r>
        <w:t>The scope of a study refers to what is being studied and how it is defined and measured. Cost-of-illness studies seek to identify the economic burden of a health problem</w:t>
      </w:r>
      <w:r w:rsidR="00D4476E">
        <w:t xml:space="preserve"> (disease, condition or risk factor)</w:t>
      </w:r>
      <w:r>
        <w:t xml:space="preserve"> by measuring and reporting on the costs associated with that problem in monetary terms. </w:t>
      </w:r>
    </w:p>
    <w:p w14:paraId="3D2F6626" w14:textId="749A85EC" w:rsidR="003964BB" w:rsidRDefault="003964BB" w:rsidP="00376CA8">
      <w:pPr>
        <w:pStyle w:val="USBodyText"/>
      </w:pPr>
      <w:r>
        <w:t>Most studies focus on a single condition or risk factor, although some focus on groups of conditions, usually those that are closely related</w:t>
      </w:r>
      <w:r w:rsidR="000B251C">
        <w:t xml:space="preserve"> or use similar health and disability system resources (e.g. mental illnesses).</w:t>
      </w:r>
    </w:p>
    <w:p w14:paraId="32B9A2FA" w14:textId="37C4DCAE" w:rsidR="00376CA8" w:rsidRPr="00B93311" w:rsidRDefault="00376CA8" w:rsidP="002E10F0">
      <w:pPr>
        <w:pStyle w:val="Heading2"/>
      </w:pPr>
      <w:bookmarkStart w:id="7" w:name="_Toc85638898"/>
      <w:bookmarkStart w:id="8" w:name="_Toc85638972"/>
      <w:bookmarkStart w:id="9" w:name="_Toc85641085"/>
      <w:bookmarkStart w:id="10" w:name="_Toc85638899"/>
      <w:bookmarkStart w:id="11" w:name="_Toc85638973"/>
      <w:bookmarkStart w:id="12" w:name="_Toc85641086"/>
      <w:bookmarkStart w:id="13" w:name="_Toc85638900"/>
      <w:bookmarkStart w:id="14" w:name="_Toc85638974"/>
      <w:bookmarkStart w:id="15" w:name="_Toc85641087"/>
      <w:bookmarkStart w:id="16" w:name="_Toc98760498"/>
      <w:bookmarkEnd w:id="7"/>
      <w:bookmarkEnd w:id="8"/>
      <w:bookmarkEnd w:id="9"/>
      <w:bookmarkEnd w:id="10"/>
      <w:bookmarkEnd w:id="11"/>
      <w:bookmarkEnd w:id="12"/>
      <w:bookmarkEnd w:id="13"/>
      <w:bookmarkEnd w:id="14"/>
      <w:bookmarkEnd w:id="15"/>
      <w:r>
        <w:rPr>
          <w:rStyle w:val="normaltextrun"/>
          <w:rFonts w:cs="Calibri"/>
          <w:bCs/>
          <w:color w:val="0094C5"/>
        </w:rPr>
        <w:t>Perspective</w:t>
      </w:r>
      <w:r w:rsidR="00234C40">
        <w:rPr>
          <w:rStyle w:val="normaltextrun"/>
          <w:rFonts w:cs="Calibri"/>
          <w:bCs/>
          <w:color w:val="0094C5"/>
        </w:rPr>
        <w:t>s</w:t>
      </w:r>
      <w:r>
        <w:rPr>
          <w:rStyle w:val="normaltextrun"/>
          <w:rFonts w:cs="Calibri"/>
          <w:bCs/>
          <w:color w:val="0094C5"/>
        </w:rPr>
        <w:t xml:space="preserve"> of cost</w:t>
      </w:r>
      <w:r w:rsidR="00234C40">
        <w:rPr>
          <w:rStyle w:val="normaltextrun"/>
          <w:rFonts w:cs="Calibri"/>
          <w:bCs/>
          <w:color w:val="0094C5"/>
        </w:rPr>
        <w:t>-</w:t>
      </w:r>
      <w:r>
        <w:rPr>
          <w:rStyle w:val="normaltextrun"/>
          <w:rFonts w:cs="Calibri"/>
          <w:bCs/>
          <w:color w:val="0094C5"/>
        </w:rPr>
        <w:t>of</w:t>
      </w:r>
      <w:r w:rsidR="00234C40">
        <w:rPr>
          <w:rStyle w:val="normaltextrun"/>
          <w:rFonts w:cs="Calibri"/>
          <w:bCs/>
          <w:color w:val="0094C5"/>
        </w:rPr>
        <w:t>-</w:t>
      </w:r>
      <w:r>
        <w:rPr>
          <w:rStyle w:val="normaltextrun"/>
          <w:rFonts w:cs="Calibri"/>
          <w:bCs/>
          <w:color w:val="0094C5"/>
        </w:rPr>
        <w:t>illness studies</w:t>
      </w:r>
      <w:bookmarkEnd w:id="16"/>
    </w:p>
    <w:p w14:paraId="2E96D5E2" w14:textId="2A1BDBF1" w:rsidR="00376CA8" w:rsidRPr="0047624C" w:rsidRDefault="00376CA8" w:rsidP="00376CA8">
      <w:pPr>
        <w:pStyle w:val="USBodyText"/>
        <w:rPr>
          <w:rStyle w:val="normaltextrun"/>
          <w:rFonts w:cs="Calibri"/>
        </w:rPr>
      </w:pPr>
      <w:r w:rsidRPr="0047624C">
        <w:rPr>
          <w:rStyle w:val="normaltextrun"/>
          <w:rFonts w:cs="Calibri"/>
        </w:rPr>
        <w:t>In general, cost</w:t>
      </w:r>
      <w:r w:rsidR="00234C40">
        <w:rPr>
          <w:rStyle w:val="normaltextrun"/>
          <w:rFonts w:cs="Calibri"/>
        </w:rPr>
        <w:t>-</w:t>
      </w:r>
      <w:r w:rsidRPr="0047624C">
        <w:rPr>
          <w:rStyle w:val="normaltextrun"/>
          <w:rFonts w:cs="Calibri"/>
        </w:rPr>
        <w:t>of</w:t>
      </w:r>
      <w:r w:rsidR="00234C40">
        <w:rPr>
          <w:rStyle w:val="normaltextrun"/>
          <w:rFonts w:cs="Calibri"/>
        </w:rPr>
        <w:t>-</w:t>
      </w:r>
      <w:r w:rsidRPr="0047624C">
        <w:rPr>
          <w:rStyle w:val="normaltextrun"/>
          <w:rFonts w:cs="Calibri"/>
        </w:rPr>
        <w:t xml:space="preserve">illness studies take one of three perspectives </w:t>
      </w:r>
      <w:r w:rsidR="001654CA" w:rsidRPr="001654CA">
        <w:rPr>
          <w:rFonts w:cs="Calibri"/>
        </w:rPr>
        <w:t>(H. S. Choi et al. 2019)</w:t>
      </w:r>
      <w:r w:rsidRPr="0047624C">
        <w:rPr>
          <w:rStyle w:val="normaltextrun"/>
          <w:rFonts w:cs="Calibri"/>
        </w:rPr>
        <w:t xml:space="preserve">: </w:t>
      </w:r>
    </w:p>
    <w:p w14:paraId="6B981425" w14:textId="52850EC4" w:rsidR="00376CA8" w:rsidRPr="0047624C" w:rsidRDefault="00376CA8" w:rsidP="002E04C9">
      <w:pPr>
        <w:pStyle w:val="USBullet1"/>
        <w:rPr>
          <w:rStyle w:val="normaltextrun"/>
          <w:rFonts w:cs="Calibri"/>
        </w:rPr>
      </w:pPr>
      <w:r w:rsidRPr="0047624C">
        <w:rPr>
          <w:rStyle w:val="normaltextrun"/>
          <w:rFonts w:cs="Calibri"/>
        </w:rPr>
        <w:t>the payer perspective</w:t>
      </w:r>
    </w:p>
    <w:p w14:paraId="4449AF80" w14:textId="55945650" w:rsidR="00376CA8" w:rsidRPr="0047624C" w:rsidRDefault="00376CA8" w:rsidP="002E04C9">
      <w:pPr>
        <w:pStyle w:val="USBullet1"/>
        <w:rPr>
          <w:rStyle w:val="normaltextrun"/>
          <w:rFonts w:cs="Calibri"/>
        </w:rPr>
      </w:pPr>
      <w:r w:rsidRPr="0047624C">
        <w:rPr>
          <w:rStyle w:val="normaltextrun"/>
          <w:rFonts w:cs="Calibri"/>
        </w:rPr>
        <w:t>the patient perspective</w:t>
      </w:r>
    </w:p>
    <w:p w14:paraId="59DE963E" w14:textId="36C01521" w:rsidR="00376CA8" w:rsidRDefault="00376CA8" w:rsidP="002E04C9">
      <w:pPr>
        <w:pStyle w:val="USBullet1"/>
        <w:rPr>
          <w:rStyle w:val="normaltextrun"/>
          <w:rFonts w:cs="Calibri"/>
        </w:rPr>
      </w:pPr>
      <w:r w:rsidRPr="0047624C">
        <w:rPr>
          <w:rStyle w:val="normaltextrun"/>
          <w:rFonts w:cs="Calibri"/>
        </w:rPr>
        <w:t>the societal perspective.</w:t>
      </w:r>
    </w:p>
    <w:p w14:paraId="4B36B312" w14:textId="108C0CBA" w:rsidR="00376CA8" w:rsidRPr="00410F34" w:rsidRDefault="00376CA8" w:rsidP="006C6A6C">
      <w:pPr>
        <w:pStyle w:val="USBodyText"/>
        <w:rPr>
          <w:rStyle w:val="normaltextrun"/>
          <w:rFonts w:cs="Calibri"/>
        </w:rPr>
      </w:pPr>
      <w:r w:rsidRPr="00410F34">
        <w:rPr>
          <w:rStyle w:val="normaltextrun"/>
          <w:rFonts w:cs="Calibri"/>
        </w:rPr>
        <w:t xml:space="preserve">Economic evaluation guidelines indicate that all </w:t>
      </w:r>
      <w:r w:rsidR="00E17486">
        <w:rPr>
          <w:rStyle w:val="normaltextrun"/>
          <w:rFonts w:cs="Calibri"/>
        </w:rPr>
        <w:t>‘</w:t>
      </w:r>
      <w:r w:rsidRPr="00410F34">
        <w:rPr>
          <w:rStyle w:val="normaltextrun"/>
          <w:rFonts w:cs="Calibri"/>
        </w:rPr>
        <w:t>relevant</w:t>
      </w:r>
      <w:r w:rsidR="00B12222">
        <w:rPr>
          <w:rStyle w:val="normaltextrun"/>
          <w:rFonts w:cs="Calibri"/>
        </w:rPr>
        <w:t>’</w:t>
      </w:r>
      <w:r w:rsidRPr="00410F34">
        <w:rPr>
          <w:rStyle w:val="normaltextrun"/>
          <w:rFonts w:cs="Calibri"/>
        </w:rPr>
        <w:t xml:space="preserve"> costs should be included in economic cost studies and that principles of welfare economics require that whoever bears the costs should not be relevant. However, published cost studies frequently define a perspective </w:t>
      </w:r>
      <w:r w:rsidR="000C475B">
        <w:rPr>
          <w:rStyle w:val="normaltextrun"/>
          <w:rFonts w:cs="Calibri"/>
        </w:rPr>
        <w:t>that</w:t>
      </w:r>
      <w:r w:rsidR="000C475B" w:rsidRPr="00410F34">
        <w:rPr>
          <w:rStyle w:val="normaltextrun"/>
          <w:rFonts w:cs="Calibri"/>
        </w:rPr>
        <w:t xml:space="preserve"> </w:t>
      </w:r>
      <w:r w:rsidRPr="00410F34">
        <w:rPr>
          <w:rStyle w:val="normaltextrun"/>
          <w:rFonts w:cs="Calibri"/>
        </w:rPr>
        <w:t xml:space="preserve">assumes implicitly that costs other than those borne by the decision-maker’s organisation or sector are irrelevant. </w:t>
      </w:r>
    </w:p>
    <w:p w14:paraId="0C809E9F" w14:textId="23B91586" w:rsidR="00376CA8" w:rsidRPr="00410F34" w:rsidRDefault="00376CA8" w:rsidP="006C6A6C">
      <w:pPr>
        <w:pStyle w:val="USBodyText"/>
        <w:rPr>
          <w:rStyle w:val="normaltextrun"/>
          <w:rFonts w:cs="Calibri"/>
        </w:rPr>
      </w:pPr>
      <w:r>
        <w:rPr>
          <w:rStyle w:val="normaltextrun"/>
          <w:rFonts w:cs="Calibri"/>
        </w:rPr>
        <w:t>In New Zealand</w:t>
      </w:r>
      <w:r w:rsidR="000C475B">
        <w:rPr>
          <w:rStyle w:val="normaltextrun"/>
          <w:rFonts w:cs="Calibri"/>
        </w:rPr>
        <w:t>,</w:t>
      </w:r>
      <w:r>
        <w:rPr>
          <w:rStyle w:val="normaltextrun"/>
          <w:rFonts w:cs="Calibri"/>
        </w:rPr>
        <w:t xml:space="preserve"> a</w:t>
      </w:r>
      <w:r w:rsidRPr="00410F34">
        <w:rPr>
          <w:rStyle w:val="normaltextrun"/>
          <w:rFonts w:cs="Calibri"/>
        </w:rPr>
        <w:t xml:space="preserve"> </w:t>
      </w:r>
      <w:r w:rsidR="000C475B">
        <w:rPr>
          <w:rStyle w:val="normaltextrun"/>
          <w:rFonts w:cs="Calibri"/>
        </w:rPr>
        <w:t>‘</w:t>
      </w:r>
      <w:r w:rsidRPr="00410F34">
        <w:rPr>
          <w:rStyle w:val="normaltextrun"/>
          <w:rFonts w:cs="Calibri"/>
        </w:rPr>
        <w:t>total health system</w:t>
      </w:r>
      <w:r w:rsidR="000C475B">
        <w:rPr>
          <w:rStyle w:val="normaltextrun"/>
          <w:rFonts w:cs="Calibri"/>
        </w:rPr>
        <w:t xml:space="preserve">’ </w:t>
      </w:r>
      <w:r>
        <w:rPr>
          <w:rStyle w:val="normaltextrun"/>
          <w:rFonts w:cs="Calibri"/>
        </w:rPr>
        <w:t>perspective is sometimes seen. This means including private health system costs as well as public health system costs. This is essentially a limited type of societal perspective as p</w:t>
      </w:r>
      <w:r w:rsidR="00F1781C">
        <w:rPr>
          <w:rStyle w:val="normaltextrun"/>
          <w:rFonts w:cs="Calibri"/>
        </w:rPr>
        <w:t>atients and insurers generally incur private health system cost</w:t>
      </w:r>
      <w:r>
        <w:rPr>
          <w:rStyle w:val="normaltextrun"/>
          <w:rFonts w:cs="Calibri"/>
        </w:rPr>
        <w:t>s</w:t>
      </w:r>
      <w:r w:rsidR="00F1781C">
        <w:rPr>
          <w:rStyle w:val="normaltextrun"/>
          <w:rFonts w:cs="Calibri"/>
        </w:rPr>
        <w:t>.</w:t>
      </w:r>
      <w:r w:rsidRPr="00410F34">
        <w:rPr>
          <w:rStyle w:val="normaltextrun"/>
          <w:rFonts w:cs="Calibri"/>
        </w:rPr>
        <w:t xml:space="preserve"> From a public sector perspective, this is somewhat problematic since public funds are spent to achieve societal objectives. </w:t>
      </w:r>
    </w:p>
    <w:p w14:paraId="3D51EE83" w14:textId="3E27B4C5" w:rsidR="00376CA8" w:rsidRDefault="00376CA8" w:rsidP="006C6A6C">
      <w:pPr>
        <w:pStyle w:val="USBodyText"/>
        <w:rPr>
          <w:rStyle w:val="normaltextrun"/>
          <w:rFonts w:cs="Calibri"/>
        </w:rPr>
      </w:pPr>
      <w:r w:rsidRPr="00410F34">
        <w:rPr>
          <w:rStyle w:val="normaltextrun"/>
          <w:rFonts w:cs="Calibri"/>
        </w:rPr>
        <w:t>However</w:t>
      </w:r>
      <w:r w:rsidR="00F1781C">
        <w:rPr>
          <w:rStyle w:val="normaltextrun"/>
          <w:rFonts w:cs="Calibri"/>
        </w:rPr>
        <w:t>,</w:t>
      </w:r>
      <w:r w:rsidRPr="00410F34">
        <w:rPr>
          <w:rStyle w:val="normaltextrun"/>
          <w:rFonts w:cs="Calibri"/>
        </w:rPr>
        <w:t xml:space="preserve"> a </w:t>
      </w:r>
      <w:r w:rsidR="00F1781C">
        <w:rPr>
          <w:rStyle w:val="normaltextrun"/>
          <w:rFonts w:cs="Calibri"/>
        </w:rPr>
        <w:t>‘</w:t>
      </w:r>
      <w:r w:rsidRPr="00410F34">
        <w:rPr>
          <w:rStyle w:val="normaltextrun"/>
          <w:rFonts w:cs="Calibri"/>
        </w:rPr>
        <w:t>social</w:t>
      </w:r>
      <w:r w:rsidR="00F1781C">
        <w:rPr>
          <w:rStyle w:val="normaltextrun"/>
          <w:rFonts w:cs="Calibri"/>
        </w:rPr>
        <w:t>’</w:t>
      </w:r>
      <w:r w:rsidR="00F1781C" w:rsidRPr="00410F34">
        <w:rPr>
          <w:rStyle w:val="normaltextrun"/>
          <w:rFonts w:cs="Calibri"/>
        </w:rPr>
        <w:t xml:space="preserve"> </w:t>
      </w:r>
      <w:r w:rsidRPr="00410F34">
        <w:rPr>
          <w:rStyle w:val="normaltextrun"/>
          <w:rFonts w:cs="Calibri"/>
        </w:rPr>
        <w:t xml:space="preserve">or </w:t>
      </w:r>
      <w:r w:rsidR="00F1781C">
        <w:rPr>
          <w:rStyle w:val="normaltextrun"/>
          <w:rFonts w:cs="Calibri"/>
        </w:rPr>
        <w:t>‘</w:t>
      </w:r>
      <w:r w:rsidRPr="00410F34">
        <w:rPr>
          <w:rStyle w:val="normaltextrun"/>
          <w:rFonts w:cs="Calibri"/>
        </w:rPr>
        <w:t>societal</w:t>
      </w:r>
      <w:r w:rsidR="00F1781C">
        <w:rPr>
          <w:rStyle w:val="normaltextrun"/>
          <w:rFonts w:cs="Calibri"/>
        </w:rPr>
        <w:t>’</w:t>
      </w:r>
      <w:r w:rsidRPr="00410F34">
        <w:rPr>
          <w:rStyle w:val="normaltextrun"/>
          <w:rFonts w:cs="Calibri"/>
        </w:rPr>
        <w:t xml:space="preserve"> perspective, in which all costs are considered, is often difficult to achieve due to a lack of data or evidence, resulting in </w:t>
      </w:r>
      <w:r w:rsidR="007441C8">
        <w:rPr>
          <w:rStyle w:val="normaltextrun"/>
          <w:rFonts w:cs="Calibri"/>
        </w:rPr>
        <w:t xml:space="preserve">a </w:t>
      </w:r>
      <w:r w:rsidRPr="00410F34">
        <w:rPr>
          <w:rStyle w:val="normaltextrun"/>
          <w:rFonts w:cs="Calibri"/>
        </w:rPr>
        <w:t xml:space="preserve">considerable need for assumptions around which there can be significant uncertainty. </w:t>
      </w:r>
      <w:r>
        <w:rPr>
          <w:rStyle w:val="normaltextrun"/>
          <w:rFonts w:cs="Calibri"/>
        </w:rPr>
        <w:t xml:space="preserve">This is especially true for </w:t>
      </w:r>
      <w:r w:rsidRPr="00E12302">
        <w:rPr>
          <w:rStyle w:val="normaltextrun"/>
          <w:rFonts w:cs="Calibri"/>
        </w:rPr>
        <w:t xml:space="preserve">less common diseases as data associated with these diseases are often harder to acquire. </w:t>
      </w:r>
      <w:r w:rsidRPr="0047624C">
        <w:rPr>
          <w:rStyle w:val="normaltextrun"/>
          <w:rFonts w:cs="Calibri"/>
        </w:rPr>
        <w:t xml:space="preserve">The ideal approach for calculating the cost of illness from a societal perspective would </w:t>
      </w:r>
      <w:r>
        <w:rPr>
          <w:rStyle w:val="normaltextrun"/>
          <w:rFonts w:cs="Calibri"/>
        </w:rPr>
        <w:t xml:space="preserve">also </w:t>
      </w:r>
      <w:r w:rsidRPr="0047624C">
        <w:rPr>
          <w:rStyle w:val="normaltextrun"/>
          <w:rFonts w:cs="Calibri"/>
        </w:rPr>
        <w:lastRenderedPageBreak/>
        <w:t xml:space="preserve">incorporate measures that account for potential bias while </w:t>
      </w:r>
      <w:r w:rsidR="007441C8" w:rsidRPr="0047624C">
        <w:rPr>
          <w:rStyle w:val="normaltextrun"/>
          <w:rFonts w:cs="Calibri"/>
        </w:rPr>
        <w:t>utili</w:t>
      </w:r>
      <w:r w:rsidR="007441C8">
        <w:rPr>
          <w:rStyle w:val="normaltextrun"/>
          <w:rFonts w:cs="Calibri"/>
        </w:rPr>
        <w:t>s</w:t>
      </w:r>
      <w:r w:rsidR="007441C8" w:rsidRPr="0047624C">
        <w:rPr>
          <w:rStyle w:val="normaltextrun"/>
          <w:rFonts w:cs="Calibri"/>
        </w:rPr>
        <w:t xml:space="preserve">ing </w:t>
      </w:r>
      <w:r w:rsidRPr="0047624C">
        <w:rPr>
          <w:rStyle w:val="normaltextrun"/>
          <w:rFonts w:cs="Calibri"/>
        </w:rPr>
        <w:t xml:space="preserve">data from all different sources. This may include linking data from registries, surveys, or </w:t>
      </w:r>
      <w:r w:rsidR="00F2058B">
        <w:rPr>
          <w:rStyle w:val="normaltextrun"/>
          <w:rFonts w:cs="Calibri"/>
        </w:rPr>
        <w:t>medical facilities to incorporate both direct</w:t>
      </w:r>
      <w:r w:rsidRPr="0047624C">
        <w:rPr>
          <w:rStyle w:val="normaltextrun"/>
          <w:rFonts w:cs="Calibri"/>
        </w:rPr>
        <w:t xml:space="preserve"> and indirect costs. </w:t>
      </w:r>
      <w:r w:rsidR="001654CA" w:rsidRPr="001654CA">
        <w:rPr>
          <w:rFonts w:cs="Calibri"/>
        </w:rPr>
        <w:t>(Onukwugha et al. 2016)</w:t>
      </w:r>
    </w:p>
    <w:p w14:paraId="0B37ECA3" w14:textId="5BA3CC88" w:rsidR="00376CA8" w:rsidRDefault="00376CA8" w:rsidP="006C6A6C">
      <w:pPr>
        <w:pStyle w:val="USBodyText"/>
        <w:rPr>
          <w:rStyle w:val="normaltextrun"/>
          <w:rFonts w:cs="Calibri"/>
        </w:rPr>
      </w:pPr>
      <w:r w:rsidRPr="00410F34">
        <w:rPr>
          <w:rStyle w:val="normaltextrun"/>
          <w:rFonts w:cs="Calibri"/>
        </w:rPr>
        <w:t>A compromise approach in the published literature often involves the inclusion of health outcomes</w:t>
      </w:r>
      <w:r w:rsidR="003C1BA2">
        <w:rPr>
          <w:rStyle w:val="normaltextrun"/>
          <w:rFonts w:cs="Calibri"/>
        </w:rPr>
        <w:t>, including quality-adjusted life years</w:t>
      </w:r>
      <w:r w:rsidRPr="00410F34">
        <w:rPr>
          <w:rStyle w:val="normaltextrun"/>
          <w:rFonts w:cs="Calibri"/>
        </w:rPr>
        <w:t xml:space="preserve"> (QALYs</w:t>
      </w:r>
      <w:r w:rsidR="003C1BA2">
        <w:rPr>
          <w:rStyle w:val="normaltextrun"/>
          <w:rFonts w:cs="Calibri"/>
        </w:rPr>
        <w:t>)</w:t>
      </w:r>
      <w:r w:rsidRPr="00410F34">
        <w:rPr>
          <w:rStyle w:val="normaltextrun"/>
          <w:rFonts w:cs="Calibri"/>
        </w:rPr>
        <w:t xml:space="preserve">, </w:t>
      </w:r>
      <w:r w:rsidR="003C1BA2">
        <w:rPr>
          <w:rStyle w:val="normaltextrun"/>
          <w:rFonts w:cs="Calibri"/>
        </w:rPr>
        <w:t>disability-adjusted life years (</w:t>
      </w:r>
      <w:r w:rsidRPr="00410F34">
        <w:rPr>
          <w:rStyle w:val="normaltextrun"/>
          <w:rFonts w:cs="Calibri"/>
        </w:rPr>
        <w:t>DALYs</w:t>
      </w:r>
      <w:r w:rsidR="003C1BA2">
        <w:rPr>
          <w:rStyle w:val="normaltextrun"/>
          <w:rFonts w:cs="Calibri"/>
        </w:rPr>
        <w:t>)</w:t>
      </w:r>
      <w:r w:rsidR="007177F5">
        <w:rPr>
          <w:rStyle w:val="normaltextrun"/>
          <w:rFonts w:cs="Calibri"/>
        </w:rPr>
        <w:t>, years of life saved (</w:t>
      </w:r>
      <w:r w:rsidRPr="00410F34">
        <w:rPr>
          <w:rStyle w:val="normaltextrun"/>
          <w:rFonts w:cs="Calibri"/>
        </w:rPr>
        <w:t>YLS</w:t>
      </w:r>
      <w:r w:rsidR="007177F5">
        <w:rPr>
          <w:rStyle w:val="normaltextrun"/>
          <w:rFonts w:cs="Calibri"/>
        </w:rPr>
        <w:t>)</w:t>
      </w:r>
      <w:r w:rsidRPr="00410F34">
        <w:rPr>
          <w:rStyle w:val="normaltextrun"/>
          <w:rFonts w:cs="Calibri"/>
        </w:rPr>
        <w:t>,</w:t>
      </w:r>
      <w:r w:rsidR="007177F5">
        <w:rPr>
          <w:rStyle w:val="normaltextrun"/>
          <w:rFonts w:cs="Calibri"/>
        </w:rPr>
        <w:t xml:space="preserve"> or other outcome measure</w:t>
      </w:r>
      <w:r w:rsidR="00965FB8">
        <w:rPr>
          <w:rStyle w:val="normaltextrun"/>
          <w:rFonts w:cs="Calibri"/>
        </w:rPr>
        <w:t>s</w:t>
      </w:r>
      <w:r w:rsidR="007177F5">
        <w:rPr>
          <w:rStyle w:val="normaltextrun"/>
          <w:rFonts w:cs="Calibri"/>
        </w:rPr>
        <w:t>,</w:t>
      </w:r>
      <w:r w:rsidRPr="00410F34">
        <w:rPr>
          <w:rStyle w:val="normaltextrun"/>
          <w:rFonts w:cs="Calibri"/>
        </w:rPr>
        <w:t xml:space="preserve"> and, occasionally, productivity effects. This approach is generally believed to capture the most important societal impacts and is often referred to as a </w:t>
      </w:r>
      <w:r w:rsidR="007A0502">
        <w:rPr>
          <w:rStyle w:val="normaltextrun"/>
          <w:rFonts w:cs="Calibri"/>
        </w:rPr>
        <w:t>‘</w:t>
      </w:r>
      <w:r w:rsidRPr="00410F34">
        <w:rPr>
          <w:rStyle w:val="normaltextrun"/>
          <w:rFonts w:cs="Calibri"/>
        </w:rPr>
        <w:t>societal perspective</w:t>
      </w:r>
      <w:r w:rsidR="007A0502">
        <w:rPr>
          <w:rStyle w:val="normaltextrun"/>
          <w:rFonts w:cs="Calibri"/>
        </w:rPr>
        <w:t>’</w:t>
      </w:r>
      <w:r w:rsidR="007A0502" w:rsidRPr="00410F34">
        <w:rPr>
          <w:rStyle w:val="normaltextrun"/>
          <w:rFonts w:cs="Calibri"/>
        </w:rPr>
        <w:t xml:space="preserve"> </w:t>
      </w:r>
      <w:r w:rsidRPr="00410F34">
        <w:rPr>
          <w:rStyle w:val="normaltextrun"/>
          <w:rFonts w:cs="Calibri"/>
        </w:rPr>
        <w:t>even though some important effects, such as caregiver costs, may not be included.</w:t>
      </w:r>
      <w:r>
        <w:rPr>
          <w:rStyle w:val="normaltextrun"/>
          <w:rFonts w:cs="Calibri"/>
        </w:rPr>
        <w:t xml:space="preserve"> </w:t>
      </w:r>
    </w:p>
    <w:p w14:paraId="7B7DE2E8" w14:textId="13F3A086" w:rsidR="00376CA8" w:rsidRDefault="00376CA8" w:rsidP="006C6A6C">
      <w:pPr>
        <w:pStyle w:val="USBodyText"/>
        <w:rPr>
          <w:rStyle w:val="normaltextrun"/>
          <w:rFonts w:cs="Calibri"/>
        </w:rPr>
      </w:pPr>
      <w:r>
        <w:rPr>
          <w:rStyle w:val="normaltextrun"/>
          <w:rFonts w:cs="Calibri"/>
        </w:rPr>
        <w:t>Another important reason for a</w:t>
      </w:r>
      <w:r w:rsidRPr="00D50B23">
        <w:rPr>
          <w:rStyle w:val="normaltextrun"/>
          <w:rFonts w:cs="Calibri"/>
        </w:rPr>
        <w:t>dopting a</w:t>
      </w:r>
      <w:r>
        <w:rPr>
          <w:rStyle w:val="normaltextrun"/>
          <w:rFonts w:cs="Calibri"/>
        </w:rPr>
        <w:t>s</w:t>
      </w:r>
      <w:r w:rsidRPr="00D50B23">
        <w:rPr>
          <w:rStyle w:val="normaltextrun"/>
          <w:rFonts w:cs="Calibri"/>
        </w:rPr>
        <w:t xml:space="preserve"> wide</w:t>
      </w:r>
      <w:r>
        <w:rPr>
          <w:rStyle w:val="normaltextrun"/>
          <w:rFonts w:cs="Calibri"/>
        </w:rPr>
        <w:t xml:space="preserve"> a</w:t>
      </w:r>
      <w:r w:rsidRPr="00D50B23">
        <w:rPr>
          <w:rStyle w:val="normaltextrun"/>
          <w:rFonts w:cs="Calibri"/>
        </w:rPr>
        <w:t xml:space="preserve"> perspective </w:t>
      </w:r>
      <w:r>
        <w:rPr>
          <w:rStyle w:val="normaltextrun"/>
          <w:rFonts w:cs="Calibri"/>
        </w:rPr>
        <w:t xml:space="preserve">as possible is that it </w:t>
      </w:r>
      <w:r w:rsidRPr="00D50B23">
        <w:rPr>
          <w:rStyle w:val="normaltextrun"/>
          <w:rFonts w:cs="Calibri"/>
        </w:rPr>
        <w:t xml:space="preserve">also allows researchers </w:t>
      </w:r>
      <w:r>
        <w:rPr>
          <w:rStyle w:val="normaltextrun"/>
          <w:rFonts w:cs="Calibri"/>
        </w:rPr>
        <w:t xml:space="preserve">and decision-makers </w:t>
      </w:r>
      <w:r w:rsidRPr="00D50B23">
        <w:rPr>
          <w:rStyle w:val="normaltextrun"/>
          <w:rFonts w:cs="Calibri"/>
        </w:rPr>
        <w:t xml:space="preserve">to understand how costs </w:t>
      </w:r>
      <w:r>
        <w:rPr>
          <w:rStyle w:val="normaltextrun"/>
          <w:rFonts w:cs="Calibri"/>
        </w:rPr>
        <w:t>may be</w:t>
      </w:r>
      <w:r w:rsidRPr="00D50B23">
        <w:rPr>
          <w:rStyle w:val="normaltextrun"/>
          <w:rFonts w:cs="Calibri"/>
        </w:rPr>
        <w:t xml:space="preserve"> shifted from one sector to </w:t>
      </w:r>
      <w:r>
        <w:rPr>
          <w:rStyle w:val="normaltextrun"/>
          <w:rFonts w:cs="Calibri"/>
        </w:rPr>
        <w:t>an</w:t>
      </w:r>
      <w:r w:rsidRPr="00D50B23">
        <w:rPr>
          <w:rStyle w:val="normaltextrun"/>
          <w:rFonts w:cs="Calibri"/>
        </w:rPr>
        <w:t>other</w:t>
      </w:r>
      <w:r>
        <w:rPr>
          <w:rStyle w:val="normaltextrun"/>
          <w:rFonts w:cs="Calibri"/>
        </w:rPr>
        <w:t xml:space="preserve"> or from public service funders and providers to service users and their families, communities and employers </w:t>
      </w:r>
      <w:r w:rsidR="001654CA" w:rsidRPr="001654CA">
        <w:rPr>
          <w:rFonts w:cs="Calibri"/>
        </w:rPr>
        <w:t>(Jo 2014)</w:t>
      </w:r>
      <w:r>
        <w:rPr>
          <w:rStyle w:val="normaltextrun"/>
          <w:rFonts w:cs="Calibri"/>
        </w:rPr>
        <w:t xml:space="preserve">. </w:t>
      </w:r>
    </w:p>
    <w:p w14:paraId="2EC0F2E7" w14:textId="77777777" w:rsidR="00DD0DAA" w:rsidRDefault="00DD0DAA">
      <w:pPr>
        <w:spacing w:after="160" w:line="259" w:lineRule="auto"/>
        <w:rPr>
          <w:rFonts w:eastAsiaTheme="majorEastAsia" w:cstheme="majorBidi"/>
          <w:b/>
          <w:color w:val="0094C5"/>
          <w:sz w:val="32"/>
          <w:szCs w:val="32"/>
        </w:rPr>
      </w:pPr>
      <w:r>
        <w:br w:type="page"/>
      </w:r>
    </w:p>
    <w:p w14:paraId="2B22F0FC" w14:textId="72A7E9CB" w:rsidR="007E66A1" w:rsidRPr="00CC21A5" w:rsidRDefault="007E66A1" w:rsidP="002E10F0">
      <w:pPr>
        <w:pStyle w:val="Heading1"/>
      </w:pPr>
      <w:bookmarkStart w:id="17" w:name="_Toc98760499"/>
      <w:r>
        <w:lastRenderedPageBreak/>
        <w:t>Burden of disease basis</w:t>
      </w:r>
      <w:bookmarkEnd w:id="17"/>
    </w:p>
    <w:p w14:paraId="7683B688" w14:textId="77777777" w:rsidR="007E66A1" w:rsidRDefault="007E66A1" w:rsidP="007E66A1">
      <w:pPr>
        <w:pStyle w:val="USBodyText"/>
      </w:pPr>
      <w:r w:rsidRPr="00F65F3A">
        <w:t xml:space="preserve">Burden-of-disease studies often provide a foundation for cost-of-illness studies </w:t>
      </w:r>
      <w:r>
        <w:t xml:space="preserve">by </w:t>
      </w:r>
      <w:r w:rsidRPr="00F65F3A">
        <w:t>quantifying the size of the problem in terms of some health outcome measure, such as lives lost, life years lost, or disability-adjusted life years</w:t>
      </w:r>
      <w:r>
        <w:t>.</w:t>
      </w:r>
    </w:p>
    <w:p w14:paraId="35FE6815" w14:textId="77777777" w:rsidR="007E66A1" w:rsidRDefault="007E66A1" w:rsidP="007E66A1">
      <w:pPr>
        <w:pStyle w:val="USBodyText"/>
        <w:rPr>
          <w:rStyle w:val="normaltextrun"/>
          <w:rFonts w:cs="Calibri"/>
        </w:rPr>
      </w:pPr>
      <w:r>
        <w:rPr>
          <w:rStyle w:val="normaltextrun"/>
          <w:rFonts w:cs="Calibri"/>
        </w:rPr>
        <w:t xml:space="preserve">Health-Adjusted Life Years (HALYs) are a measure of health in a population, often used in estimating the burden of disease. Two common approaches to measure HALYs are Disability-Adjusted Life Years (DALYs) and Quality-Adjusted Life Years (QALYs). DALYs and QALYs can each be used to compare the health impacts of different diseases because they provide a global measure of disease impacts by combining potential years of life lost as well as impacts on healthy years of life. </w:t>
      </w:r>
    </w:p>
    <w:p w14:paraId="7BEBBE06" w14:textId="77777777" w:rsidR="007E66A1" w:rsidRPr="00D62A9F" w:rsidRDefault="007E66A1" w:rsidP="002E10F0">
      <w:pPr>
        <w:pStyle w:val="Heading2"/>
        <w:rPr>
          <w:rStyle w:val="normaltextrun"/>
          <w:rFonts w:cs="Calibri"/>
        </w:rPr>
      </w:pPr>
      <w:bookmarkStart w:id="18" w:name="_Toc98760500"/>
      <w:r w:rsidRPr="00D62A9F">
        <w:rPr>
          <w:rStyle w:val="normaltextrun"/>
          <w:rFonts w:cs="Calibri"/>
        </w:rPr>
        <w:t>QALYs</w:t>
      </w:r>
      <w:bookmarkEnd w:id="18"/>
    </w:p>
    <w:p w14:paraId="1DE5E890" w14:textId="0AFEE6AB" w:rsidR="007E66A1" w:rsidRPr="00D62A9F" w:rsidRDefault="007E66A1" w:rsidP="007E66A1">
      <w:pPr>
        <w:pStyle w:val="USBodyText"/>
        <w:rPr>
          <w:rStyle w:val="normaltextrun"/>
          <w:rFonts w:cs="Calibri"/>
        </w:rPr>
      </w:pPr>
      <w:r w:rsidRPr="00D62A9F">
        <w:rPr>
          <w:rStyle w:val="normaltextrun"/>
          <w:rFonts w:cs="Calibri"/>
        </w:rPr>
        <w:t>QALYs measure both the quantity and the quality of life lived. This measure is typically used to analyse the cost-effectiveness of a specific intervention</w:t>
      </w:r>
      <w:r>
        <w:rPr>
          <w:rStyle w:val="normaltextrun"/>
          <w:rFonts w:cs="Calibri"/>
        </w:rPr>
        <w:t xml:space="preserve"> and is common in health technology assessment</w:t>
      </w:r>
      <w:r w:rsidRPr="00D62A9F">
        <w:rPr>
          <w:rStyle w:val="normaltextrun"/>
          <w:rFonts w:cs="Calibri"/>
        </w:rPr>
        <w:t>. QALYs are calculated by multiplying each year of life by a weight that reflects the quality of life</w:t>
      </w:r>
      <w:r>
        <w:rPr>
          <w:rStyle w:val="normaltextrun"/>
          <w:rFonts w:cs="Calibri"/>
        </w:rPr>
        <w:t xml:space="preserve"> in each year</w:t>
      </w:r>
      <w:r w:rsidRPr="00D62A9F">
        <w:rPr>
          <w:rStyle w:val="normaltextrun"/>
          <w:rFonts w:cs="Calibri"/>
        </w:rPr>
        <w:t xml:space="preserve">. This weight is estimated based on surveys that ask individuals about their opinions on </w:t>
      </w:r>
      <w:r>
        <w:rPr>
          <w:rStyle w:val="normaltextrun"/>
          <w:rFonts w:cs="Calibri"/>
        </w:rPr>
        <w:t xml:space="preserve">various </w:t>
      </w:r>
      <w:r w:rsidRPr="00D62A9F">
        <w:rPr>
          <w:rStyle w:val="normaltextrun"/>
          <w:rFonts w:cs="Calibri"/>
        </w:rPr>
        <w:t>health</w:t>
      </w:r>
      <w:r>
        <w:rPr>
          <w:rStyle w:val="normaltextrun"/>
          <w:rFonts w:cs="Calibri"/>
        </w:rPr>
        <w:t xml:space="preserve"> states, using one of a set of validated and largely reliable instruments such as the EQ-5D or the SF-36</w:t>
      </w:r>
      <w:r w:rsidR="007A74A3">
        <w:rPr>
          <w:rStyle w:val="normaltextrun"/>
          <w:rFonts w:cs="Calibri"/>
        </w:rPr>
        <w:t>,</w:t>
      </w:r>
      <w:r>
        <w:rPr>
          <w:rStyle w:val="normaltextrun"/>
          <w:rFonts w:cs="Calibri"/>
        </w:rPr>
        <w:t xml:space="preserve"> which</w:t>
      </w:r>
      <w:r w:rsidRPr="00DA4F20">
        <w:t xml:space="preserve"> </w:t>
      </w:r>
      <w:r w:rsidRPr="00DA4F20">
        <w:rPr>
          <w:rStyle w:val="normaltextrun"/>
          <w:rFonts w:cs="Calibri"/>
        </w:rPr>
        <w:t>take into account</w:t>
      </w:r>
      <w:r>
        <w:rPr>
          <w:rStyle w:val="normaltextrun"/>
          <w:rFonts w:cs="Calibri"/>
        </w:rPr>
        <w:t xml:space="preserve"> physical, </w:t>
      </w:r>
      <w:r w:rsidRPr="00DA4F20">
        <w:rPr>
          <w:rStyle w:val="normaltextrun"/>
          <w:rFonts w:cs="Calibri"/>
        </w:rPr>
        <w:t xml:space="preserve">social and </w:t>
      </w:r>
      <w:r>
        <w:rPr>
          <w:rStyle w:val="normaltextrun"/>
          <w:rFonts w:cs="Calibri"/>
        </w:rPr>
        <w:t>mental/emotional</w:t>
      </w:r>
      <w:r w:rsidRPr="00DA4F20">
        <w:rPr>
          <w:rStyle w:val="normaltextrun"/>
          <w:rFonts w:cs="Calibri"/>
        </w:rPr>
        <w:t xml:space="preserve"> </w:t>
      </w:r>
      <w:r>
        <w:rPr>
          <w:rStyle w:val="normaltextrun"/>
          <w:rFonts w:cs="Calibri"/>
        </w:rPr>
        <w:t xml:space="preserve">aspects </w:t>
      </w:r>
      <w:r w:rsidRPr="00DA4F20">
        <w:rPr>
          <w:rStyle w:val="normaltextrun"/>
          <w:rFonts w:cs="Calibri"/>
        </w:rPr>
        <w:t xml:space="preserve">of </w:t>
      </w:r>
      <w:r w:rsidR="007A74A3">
        <w:rPr>
          <w:rStyle w:val="normaltextrun"/>
          <w:rFonts w:cs="Calibri"/>
        </w:rPr>
        <w:t xml:space="preserve">the </w:t>
      </w:r>
      <w:r w:rsidRPr="00DA4F20">
        <w:rPr>
          <w:rStyle w:val="normaltextrun"/>
          <w:rFonts w:cs="Calibri"/>
        </w:rPr>
        <w:t>burden of disease.</w:t>
      </w:r>
      <w:r w:rsidRPr="00D62A9F">
        <w:rPr>
          <w:rStyle w:val="normaltextrun"/>
          <w:rFonts w:cs="Calibri"/>
        </w:rPr>
        <w:t xml:space="preserve"> </w:t>
      </w:r>
      <w:r>
        <w:rPr>
          <w:rStyle w:val="normaltextrun"/>
          <w:rFonts w:cs="Calibri"/>
        </w:rPr>
        <w:t>A</w:t>
      </w:r>
      <w:r w:rsidRPr="00D62A9F">
        <w:rPr>
          <w:rStyle w:val="normaltextrun"/>
          <w:rFonts w:cs="Calibri"/>
        </w:rPr>
        <w:t xml:space="preserve"> year of perfect health is given the value of 1</w:t>
      </w:r>
      <w:r w:rsidR="007A74A3">
        <w:rPr>
          <w:rStyle w:val="normaltextrun"/>
          <w:rFonts w:cs="Calibri"/>
        </w:rPr>
        <w:t>,</w:t>
      </w:r>
      <w:r w:rsidRPr="00D62A9F">
        <w:rPr>
          <w:rStyle w:val="normaltextrun"/>
          <w:rFonts w:cs="Calibri"/>
        </w:rPr>
        <w:t xml:space="preserve"> while death is </w:t>
      </w:r>
      <w:r>
        <w:rPr>
          <w:rStyle w:val="normaltextrun"/>
          <w:rFonts w:cs="Calibri"/>
        </w:rPr>
        <w:t xml:space="preserve">often </w:t>
      </w:r>
      <w:r w:rsidRPr="00D62A9F">
        <w:rPr>
          <w:rStyle w:val="normaltextrun"/>
          <w:rFonts w:cs="Calibri"/>
        </w:rPr>
        <w:t>given a value of 0</w:t>
      </w:r>
      <w:r>
        <w:rPr>
          <w:rStyle w:val="normaltextrun"/>
          <w:rFonts w:cs="Calibri"/>
        </w:rPr>
        <w:t xml:space="preserve">. Some value sets include </w:t>
      </w:r>
      <w:r w:rsidR="007A74A3">
        <w:rPr>
          <w:rStyle w:val="normaltextrun"/>
          <w:rFonts w:cs="Calibri"/>
        </w:rPr>
        <w:t>negative values as many people feel that health states are</w:t>
      </w:r>
      <w:r>
        <w:rPr>
          <w:rStyle w:val="normaltextrun"/>
          <w:rFonts w:cs="Calibri"/>
        </w:rPr>
        <w:t xml:space="preserve"> worse than death </w:t>
      </w:r>
      <w:r w:rsidR="001654CA" w:rsidRPr="001654CA">
        <w:rPr>
          <w:rFonts w:cs="Calibri"/>
        </w:rPr>
        <w:t>(Rosser and Kind 1978)</w:t>
      </w:r>
      <w:r>
        <w:rPr>
          <w:rStyle w:val="normaltextrun"/>
          <w:rFonts w:cs="Calibri"/>
        </w:rPr>
        <w:t xml:space="preserve">. </w:t>
      </w:r>
    </w:p>
    <w:p w14:paraId="1817A3DF" w14:textId="0D06E443" w:rsidR="007E66A1" w:rsidRDefault="007E66A1" w:rsidP="007E66A1">
      <w:pPr>
        <w:pStyle w:val="USBodyText"/>
        <w:rPr>
          <w:rStyle w:val="normaltextrun"/>
          <w:rFonts w:cs="Calibri"/>
        </w:rPr>
      </w:pPr>
      <w:r w:rsidRPr="00D62A9F">
        <w:rPr>
          <w:rStyle w:val="normaltextrun"/>
          <w:rFonts w:cs="Calibri"/>
        </w:rPr>
        <w:t>QALYs provide a way to quantify the benefits of an intervention in terms of the gains in the quality of life</w:t>
      </w:r>
      <w:r>
        <w:rPr>
          <w:rStyle w:val="normaltextrun"/>
          <w:rFonts w:cs="Calibri"/>
        </w:rPr>
        <w:t xml:space="preserve"> as well as gains in length of life</w:t>
      </w:r>
      <w:r w:rsidRPr="00D62A9F">
        <w:rPr>
          <w:rStyle w:val="normaltextrun"/>
          <w:rFonts w:cs="Calibri"/>
        </w:rPr>
        <w:t xml:space="preserve">. However, </w:t>
      </w:r>
      <w:r>
        <w:rPr>
          <w:rStyle w:val="normaltextrun"/>
          <w:rFonts w:cs="Calibri"/>
        </w:rPr>
        <w:t>like all tools, QALYs are also limited:</w:t>
      </w:r>
    </w:p>
    <w:p w14:paraId="5DF66765" w14:textId="5C6F9483" w:rsidR="007E66A1" w:rsidRDefault="007E66A1" w:rsidP="007E66A1">
      <w:pPr>
        <w:pStyle w:val="USBullet1"/>
        <w:rPr>
          <w:rStyle w:val="normaltextrun"/>
          <w:rFonts w:cs="Calibri"/>
        </w:rPr>
      </w:pPr>
      <w:r>
        <w:rPr>
          <w:rStyle w:val="normaltextrun"/>
          <w:rFonts w:cs="Calibri"/>
        </w:rPr>
        <w:t>I</w:t>
      </w:r>
      <w:r w:rsidRPr="00D62A9F">
        <w:rPr>
          <w:rStyle w:val="normaltextrun"/>
          <w:rFonts w:cs="Calibri"/>
        </w:rPr>
        <w:t xml:space="preserve">t has been argued that the </w:t>
      </w:r>
      <w:r>
        <w:rPr>
          <w:rStyle w:val="normaltextrun"/>
          <w:rFonts w:cs="Calibri"/>
        </w:rPr>
        <w:t>idea of what constitutes a state of</w:t>
      </w:r>
      <w:r w:rsidRPr="00D62A9F">
        <w:rPr>
          <w:rStyle w:val="normaltextrun"/>
          <w:rFonts w:cs="Calibri"/>
        </w:rPr>
        <w:t xml:space="preserve"> perfect health may vary </w:t>
      </w:r>
      <w:r>
        <w:rPr>
          <w:rStyle w:val="normaltextrun"/>
          <w:rFonts w:cs="Calibri"/>
        </w:rPr>
        <w:t>across contexts and cultures, casting doubt on the comparability of results or the appropriateness of benefit transfer based on results obtained in a different context or a group with a different culture.</w:t>
      </w:r>
    </w:p>
    <w:p w14:paraId="50E96F2C" w14:textId="4474243C" w:rsidR="007E66A1" w:rsidRPr="00D62A9F" w:rsidRDefault="007E66A1" w:rsidP="007E66A1">
      <w:pPr>
        <w:pStyle w:val="USBullet1"/>
        <w:rPr>
          <w:rStyle w:val="normaltextrun"/>
          <w:rFonts w:cs="Calibri"/>
        </w:rPr>
      </w:pPr>
      <w:r w:rsidRPr="00D62A9F">
        <w:rPr>
          <w:rStyle w:val="normaltextrun"/>
          <w:rFonts w:cs="Calibri"/>
        </w:rPr>
        <w:t xml:space="preserve">QALYs </w:t>
      </w:r>
      <w:r>
        <w:rPr>
          <w:rStyle w:val="normaltextrun"/>
          <w:rFonts w:cs="Calibri"/>
        </w:rPr>
        <w:t xml:space="preserve">may </w:t>
      </w:r>
      <w:r w:rsidRPr="00D62A9F">
        <w:rPr>
          <w:rStyle w:val="normaltextrun"/>
          <w:rFonts w:cs="Calibri"/>
        </w:rPr>
        <w:t xml:space="preserve">lack </w:t>
      </w:r>
      <w:r>
        <w:rPr>
          <w:rStyle w:val="normaltextrun"/>
          <w:rFonts w:cs="Calibri"/>
        </w:rPr>
        <w:t>sufficient</w:t>
      </w:r>
      <w:r w:rsidRPr="00D62A9F">
        <w:rPr>
          <w:rStyle w:val="normaltextrun"/>
          <w:rFonts w:cs="Calibri"/>
        </w:rPr>
        <w:t xml:space="preserve"> sensitivity to </w:t>
      </w:r>
      <w:r>
        <w:rPr>
          <w:rStyle w:val="normaltextrun"/>
          <w:rFonts w:cs="Calibri"/>
        </w:rPr>
        <w:t>measure the impacts of</w:t>
      </w:r>
      <w:r w:rsidRPr="00D62A9F">
        <w:rPr>
          <w:rStyle w:val="normaltextrun"/>
          <w:rFonts w:cs="Calibri"/>
        </w:rPr>
        <w:t xml:space="preserve"> mild health problems. </w:t>
      </w:r>
      <w:r>
        <w:rPr>
          <w:rStyle w:val="normaltextrun"/>
          <w:rFonts w:cs="Calibri"/>
        </w:rPr>
        <w:t xml:space="preserve">The implication for </w:t>
      </w:r>
      <w:r w:rsidRPr="00D62A9F">
        <w:rPr>
          <w:rStyle w:val="normaltextrun"/>
          <w:rFonts w:cs="Calibri"/>
        </w:rPr>
        <w:t xml:space="preserve">long-term conditions </w:t>
      </w:r>
      <w:r>
        <w:rPr>
          <w:rStyle w:val="normaltextrun"/>
          <w:rFonts w:cs="Calibri"/>
        </w:rPr>
        <w:t xml:space="preserve">is that quality-of-life measures of conditions with less significant impacts may be unreliable and </w:t>
      </w:r>
      <w:r w:rsidRPr="00D62A9F">
        <w:rPr>
          <w:rStyle w:val="normaltextrun"/>
          <w:rFonts w:cs="Calibri"/>
        </w:rPr>
        <w:t>usually affect people's quality of life while doesn't pose a significant threat to people's survival</w:t>
      </w:r>
      <w:r w:rsidR="00425ECA">
        <w:rPr>
          <w:rStyle w:val="normaltextrun"/>
          <w:rFonts w:cs="Calibri"/>
        </w:rPr>
        <w:t>;</w:t>
      </w:r>
      <w:r w:rsidR="00425ECA" w:rsidRPr="00D62A9F">
        <w:rPr>
          <w:rStyle w:val="normaltextrun"/>
          <w:rFonts w:cs="Calibri"/>
        </w:rPr>
        <w:t xml:space="preserve"> </w:t>
      </w:r>
      <w:r w:rsidRPr="00D62A9F">
        <w:rPr>
          <w:rStyle w:val="normaltextrun"/>
          <w:rFonts w:cs="Calibri"/>
        </w:rPr>
        <w:t xml:space="preserve">this is difficult to be addressed by QALYs </w:t>
      </w:r>
      <w:r w:rsidR="001654CA" w:rsidRPr="001654CA">
        <w:rPr>
          <w:rFonts w:cs="Calibri"/>
        </w:rPr>
        <w:t>(Lajoie 2015)</w:t>
      </w:r>
      <w:r w:rsidR="00BE0D0F">
        <w:rPr>
          <w:rStyle w:val="normaltextrun"/>
          <w:rFonts w:cs="Calibri"/>
        </w:rPr>
        <w:t>.</w:t>
      </w:r>
    </w:p>
    <w:p w14:paraId="265AD0E4" w14:textId="77777777" w:rsidR="007E66A1" w:rsidRDefault="007E66A1" w:rsidP="002E10F0">
      <w:pPr>
        <w:pStyle w:val="Heading2"/>
      </w:pPr>
      <w:bookmarkStart w:id="19" w:name="_Toc98760501"/>
      <w:r>
        <w:rPr>
          <w:rStyle w:val="normaltextrun"/>
          <w:rFonts w:cs="Calibri"/>
          <w:bCs/>
          <w:color w:val="0094C5"/>
        </w:rPr>
        <w:t>DALYs</w:t>
      </w:r>
      <w:bookmarkEnd w:id="19"/>
    </w:p>
    <w:p w14:paraId="050C6F82" w14:textId="144394C5" w:rsidR="007E66A1" w:rsidRDefault="007E66A1" w:rsidP="007E66A1">
      <w:pPr>
        <w:pStyle w:val="USBodyText"/>
        <w:rPr>
          <w:rStyle w:val="normaltextrun"/>
          <w:rFonts w:cs="Calibri"/>
        </w:rPr>
      </w:pPr>
      <w:r>
        <w:rPr>
          <w:rStyle w:val="normaltextrun"/>
          <w:rFonts w:cs="Calibri"/>
        </w:rPr>
        <w:t xml:space="preserve">DALYs are a more recent construct but are currently the most common measure of </w:t>
      </w:r>
      <w:r w:rsidR="00CD0101">
        <w:rPr>
          <w:rStyle w:val="normaltextrun"/>
          <w:rFonts w:cs="Calibri"/>
        </w:rPr>
        <w:t xml:space="preserve">the </w:t>
      </w:r>
      <w:r>
        <w:rPr>
          <w:rStyle w:val="normaltextrun"/>
          <w:rFonts w:cs="Calibri"/>
        </w:rPr>
        <w:t>burden of disease in published studies. DALYs in burden</w:t>
      </w:r>
      <w:r w:rsidR="006B38E6">
        <w:rPr>
          <w:rStyle w:val="normaltextrun"/>
          <w:rFonts w:cs="Calibri"/>
        </w:rPr>
        <w:t>-</w:t>
      </w:r>
      <w:r>
        <w:rPr>
          <w:rStyle w:val="normaltextrun"/>
          <w:rFonts w:cs="Calibri"/>
        </w:rPr>
        <w:t>of</w:t>
      </w:r>
      <w:r w:rsidR="006B38E6">
        <w:rPr>
          <w:rStyle w:val="normaltextrun"/>
          <w:rFonts w:cs="Calibri"/>
        </w:rPr>
        <w:t>-</w:t>
      </w:r>
      <w:r>
        <w:rPr>
          <w:rStyle w:val="normaltextrun"/>
          <w:rFonts w:cs="Calibri"/>
        </w:rPr>
        <w:t xml:space="preserve">disease studies measure the difference between the health state of the population and an ideal health state. The ideal health state represents each individual living to the age of standard life expectancy with perfect health. </w:t>
      </w:r>
    </w:p>
    <w:p w14:paraId="491E75F0" w14:textId="1F3E6373" w:rsidR="007E66A1" w:rsidRDefault="007E66A1" w:rsidP="007E66A1">
      <w:pPr>
        <w:pStyle w:val="USBodyText"/>
        <w:rPr>
          <w:rStyle w:val="normaltextrun"/>
          <w:rFonts w:cs="Calibri"/>
        </w:rPr>
      </w:pPr>
      <w:r>
        <w:rPr>
          <w:rStyle w:val="normaltextrun"/>
          <w:rFonts w:cs="Calibri"/>
        </w:rPr>
        <w:t xml:space="preserve">On an individual level, DALYs measure the total amount of time a </w:t>
      </w:r>
      <w:r w:rsidR="00994D07">
        <w:rPr>
          <w:rStyle w:val="normaltextrun"/>
          <w:rFonts w:cs="Calibri"/>
        </w:rPr>
        <w:t>certain disease disables an individual</w:t>
      </w:r>
      <w:r>
        <w:rPr>
          <w:rStyle w:val="normaltextrun"/>
          <w:rFonts w:cs="Calibri"/>
        </w:rPr>
        <w:t xml:space="preserve"> in </w:t>
      </w:r>
      <w:r w:rsidR="00E567D3">
        <w:rPr>
          <w:rStyle w:val="normaltextrun"/>
          <w:rFonts w:cs="Calibri"/>
        </w:rPr>
        <w:t>thei</w:t>
      </w:r>
      <w:r>
        <w:rPr>
          <w:rStyle w:val="normaltextrun"/>
          <w:rFonts w:cs="Calibri"/>
        </w:rPr>
        <w:t xml:space="preserve">r life. On a population level, DALYs measure the total disability that a disease causes to a population. </w:t>
      </w:r>
      <w:bookmarkStart w:id="20" w:name="_Hlk85528109"/>
      <w:r w:rsidRPr="00B00912">
        <w:rPr>
          <w:rStyle w:val="normaltextrun"/>
          <w:rFonts w:cs="Calibri"/>
        </w:rPr>
        <w:t xml:space="preserve">DALYs are calculated as the present discounted value of </w:t>
      </w:r>
      <w:r>
        <w:rPr>
          <w:rStyle w:val="normaltextrun"/>
          <w:rFonts w:cs="Calibri"/>
        </w:rPr>
        <w:t xml:space="preserve">all </w:t>
      </w:r>
      <w:r w:rsidRPr="00B00912">
        <w:rPr>
          <w:rStyle w:val="normaltextrun"/>
          <w:rFonts w:cs="Calibri"/>
        </w:rPr>
        <w:lastRenderedPageBreak/>
        <w:t>future years of healthy life lost to morbidity/disability and future years of life lost to premature mortality</w:t>
      </w:r>
      <w:r>
        <w:rPr>
          <w:rStyle w:val="normaltextrun"/>
          <w:rFonts w:cs="Calibri"/>
        </w:rPr>
        <w:t xml:space="preserve">. DALYs are calculated based on the assumption that 'time' is the most appropriate measure for burden </w:t>
      </w:r>
      <w:r w:rsidR="00A37D89">
        <w:rPr>
          <w:rStyle w:val="normaltextrun"/>
          <w:rFonts w:cs="Calibri"/>
        </w:rPr>
        <w:t>of</w:t>
      </w:r>
      <w:r w:rsidR="00BE0D0F">
        <w:rPr>
          <w:rStyle w:val="normaltextrun"/>
          <w:rFonts w:cs="Calibri"/>
        </w:rPr>
        <w:t xml:space="preserve"> </w:t>
      </w:r>
      <w:r>
        <w:rPr>
          <w:rStyle w:val="normaltextrun"/>
          <w:rFonts w:cs="Calibri"/>
        </w:rPr>
        <w:t xml:space="preserve">disease. The greater the time a person or a population lives with a disability, the greater the burden of disease </w:t>
      </w:r>
      <w:r w:rsidR="001654CA" w:rsidRPr="001654CA">
        <w:rPr>
          <w:rFonts w:cs="Calibri"/>
        </w:rPr>
        <w:t>(Lajoie 2015)</w:t>
      </w:r>
      <w:r>
        <w:rPr>
          <w:rStyle w:val="normaltextrun"/>
          <w:rFonts w:cs="Calibri"/>
        </w:rPr>
        <w:t xml:space="preserve">. </w:t>
      </w:r>
    </w:p>
    <w:p w14:paraId="309F5C5E" w14:textId="77777777" w:rsidR="007E66A1" w:rsidRDefault="007E66A1" w:rsidP="007E66A1">
      <w:pPr>
        <w:pStyle w:val="USBodyText"/>
        <w:rPr>
          <w:rStyle w:val="eop"/>
          <w:rFonts w:cs="Calibri"/>
        </w:rPr>
      </w:pPr>
      <w:r>
        <w:rPr>
          <w:rStyle w:val="normaltextrun"/>
          <w:rFonts w:cs="Calibri"/>
        </w:rPr>
        <w:t>A critical difference between QALYs and DALYs is that QALYs represent a measure of the health that a population has, while DALYS represent a measure of the health that a population has lost.</w:t>
      </w:r>
    </w:p>
    <w:bookmarkEnd w:id="20"/>
    <w:p w14:paraId="25C834AA" w14:textId="77777777" w:rsidR="0032213B" w:rsidRDefault="0032213B">
      <w:pPr>
        <w:spacing w:after="160" w:line="259" w:lineRule="auto"/>
        <w:rPr>
          <w:rFonts w:eastAsiaTheme="majorEastAsia" w:cstheme="majorBidi"/>
          <w:b/>
          <w:color w:val="0094C5"/>
          <w:sz w:val="32"/>
          <w:szCs w:val="32"/>
        </w:rPr>
      </w:pPr>
      <w:r>
        <w:br w:type="page"/>
      </w:r>
    </w:p>
    <w:p w14:paraId="1D14CA9D" w14:textId="7FE24043" w:rsidR="0032213B" w:rsidRDefault="0032213B" w:rsidP="002E10F0">
      <w:pPr>
        <w:pStyle w:val="Heading1"/>
      </w:pPr>
      <w:bookmarkStart w:id="21" w:name="_Toc98760502"/>
      <w:r>
        <w:lastRenderedPageBreak/>
        <w:t>Study types</w:t>
      </w:r>
      <w:bookmarkEnd w:id="21"/>
    </w:p>
    <w:p w14:paraId="41AD9F22" w14:textId="006D8061" w:rsidR="0032213B" w:rsidRDefault="0032213B" w:rsidP="0032213B">
      <w:pPr>
        <w:pStyle w:val="USBodyText"/>
      </w:pPr>
      <w:r>
        <w:t>There are two broad categories of cost</w:t>
      </w:r>
      <w:r w:rsidR="00234C40">
        <w:t>-</w:t>
      </w:r>
      <w:r>
        <w:t>of</w:t>
      </w:r>
      <w:r w:rsidR="00234C40">
        <w:t>-</w:t>
      </w:r>
      <w:r>
        <w:t>illness studies: Prevalence-based studies and incidence-based studies.</w:t>
      </w:r>
    </w:p>
    <w:p w14:paraId="3CBEBABC" w14:textId="77777777" w:rsidR="0032213B" w:rsidRDefault="0032213B" w:rsidP="0005646B">
      <w:pPr>
        <w:pStyle w:val="Heading3"/>
      </w:pPr>
      <w:r>
        <w:t>Incidence-based approaches</w:t>
      </w:r>
    </w:p>
    <w:p w14:paraId="7C0EA0E6" w14:textId="7AC5E73F" w:rsidR="0032213B" w:rsidRPr="008E202B" w:rsidRDefault="0032213B" w:rsidP="0032213B">
      <w:pPr>
        <w:pStyle w:val="USBodyText"/>
        <w:rPr>
          <w:rStyle w:val="normaltextrun"/>
          <w:rFonts w:cs="Calibri"/>
        </w:rPr>
      </w:pPr>
      <w:r w:rsidRPr="008E202B">
        <w:rPr>
          <w:rStyle w:val="normaltextrun"/>
        </w:rPr>
        <w:t xml:space="preserve">The incidence-based approach involves estimating the socioeconomic cost of a </w:t>
      </w:r>
      <w:r w:rsidRPr="00AC781E">
        <w:rPr>
          <w:rStyle w:val="normaltextrun"/>
        </w:rPr>
        <w:t xml:space="preserve">given illness throughout the entire lifespan of </w:t>
      </w:r>
      <w:r w:rsidRPr="008E202B">
        <w:rPr>
          <w:rStyle w:val="normaltextrun"/>
        </w:rPr>
        <w:t>a patient</w:t>
      </w:r>
      <w:r w:rsidRPr="008E202B">
        <w:rPr>
          <w:rStyle w:val="normaltextrun"/>
          <w:rFonts w:cs="Calibri"/>
        </w:rPr>
        <w:t xml:space="preserve">. </w:t>
      </w:r>
      <w:r w:rsidRPr="00AC781E">
        <w:rPr>
          <w:rStyle w:val="normaltextrun"/>
        </w:rPr>
        <w:t xml:space="preserve">This involves estimating </w:t>
      </w:r>
      <w:r w:rsidR="008C1901">
        <w:rPr>
          <w:rStyle w:val="normaltextrun"/>
        </w:rPr>
        <w:t>the economic burden currently imposed by the illness and</w:t>
      </w:r>
      <w:r w:rsidRPr="00AC781E">
        <w:rPr>
          <w:rStyle w:val="normaltextrun"/>
        </w:rPr>
        <w:t xml:space="preserve"> the cost of future health</w:t>
      </w:r>
      <w:r>
        <w:rPr>
          <w:rStyle w:val="normaltextrun"/>
        </w:rPr>
        <w:t>-</w:t>
      </w:r>
      <w:r w:rsidRPr="00AC781E">
        <w:rPr>
          <w:rStyle w:val="normaltextrun"/>
        </w:rPr>
        <w:t>related</w:t>
      </w:r>
      <w:r w:rsidRPr="008E202B">
        <w:rPr>
          <w:rStyle w:val="normaltextrun"/>
        </w:rPr>
        <w:t xml:space="preserve"> </w:t>
      </w:r>
      <w:r w:rsidRPr="00AC781E">
        <w:rPr>
          <w:rStyle w:val="normaltextrun"/>
        </w:rPr>
        <w:t>losses, including those caused by sequela.</w:t>
      </w:r>
      <w:r w:rsidRPr="008E202B">
        <w:rPr>
          <w:rStyle w:val="normaltextrun"/>
          <w:rFonts w:cs="Calibri"/>
        </w:rPr>
        <w:t xml:space="preserve"> Incidence-based studies estimate the number of new cases for a disease in a specific year, then apply a lifetime cost estimate to these cases to calculate the overall cost </w:t>
      </w:r>
      <w:r w:rsidR="001654CA" w:rsidRPr="001654CA">
        <w:rPr>
          <w:rFonts w:cs="Calibri"/>
        </w:rPr>
        <w:t>(Jo 2014)</w:t>
      </w:r>
      <w:r>
        <w:rPr>
          <w:rStyle w:val="normaltextrun"/>
          <w:rFonts w:cs="Calibri"/>
        </w:rPr>
        <w:t>.</w:t>
      </w:r>
      <w:r w:rsidRPr="008E202B">
        <w:rPr>
          <w:rStyle w:val="normaltextrun"/>
          <w:rFonts w:cs="Calibri"/>
        </w:rPr>
        <w:t xml:space="preserve"> </w:t>
      </w:r>
    </w:p>
    <w:p w14:paraId="583F9941" w14:textId="55798825" w:rsidR="0032213B" w:rsidRPr="008E202B" w:rsidRDefault="0032213B" w:rsidP="0032213B">
      <w:pPr>
        <w:pStyle w:val="USBodyText"/>
        <w:rPr>
          <w:rStyle w:val="normaltextrun"/>
        </w:rPr>
      </w:pPr>
      <w:r w:rsidRPr="008E202B">
        <w:rPr>
          <w:rStyle w:val="normaltextrun"/>
        </w:rPr>
        <w:t>Estimation of lifetime cost associated with a certain disease</w:t>
      </w:r>
      <w:r w:rsidRPr="00AC781E">
        <w:rPr>
          <w:rStyle w:val="normaltextrun"/>
        </w:rPr>
        <w:t xml:space="preserve"> involves </w:t>
      </w:r>
      <w:r w:rsidRPr="008E202B">
        <w:rPr>
          <w:rStyle w:val="normaltextrun"/>
        </w:rPr>
        <w:t>calculating</w:t>
      </w:r>
      <w:r w:rsidRPr="00AC781E">
        <w:rPr>
          <w:rStyle w:val="normaltextrun"/>
        </w:rPr>
        <w:t xml:space="preserve"> not only </w:t>
      </w:r>
      <w:r>
        <w:rPr>
          <w:rStyle w:val="normaltextrun"/>
        </w:rPr>
        <w:t xml:space="preserve">the </w:t>
      </w:r>
      <w:r w:rsidRPr="008E202B">
        <w:rPr>
          <w:rStyle w:val="normaltextrun"/>
        </w:rPr>
        <w:t>soci</w:t>
      </w:r>
      <w:r>
        <w:rPr>
          <w:rStyle w:val="normaltextrun"/>
        </w:rPr>
        <w:t>o</w:t>
      </w:r>
      <w:r w:rsidRPr="008E202B">
        <w:rPr>
          <w:rStyle w:val="normaltextrun"/>
        </w:rPr>
        <w:t xml:space="preserve">economic cost </w:t>
      </w:r>
      <w:r w:rsidRPr="00AC781E">
        <w:rPr>
          <w:rStyle w:val="normaltextrun"/>
        </w:rPr>
        <w:t xml:space="preserve">currently imposed by the illness but also the </w:t>
      </w:r>
      <w:r w:rsidRPr="008E202B">
        <w:rPr>
          <w:rStyle w:val="normaltextrun"/>
        </w:rPr>
        <w:t>potential health expenditure</w:t>
      </w:r>
      <w:r w:rsidRPr="00AC781E">
        <w:rPr>
          <w:rStyle w:val="normaltextrun"/>
        </w:rPr>
        <w:t xml:space="preserve"> </w:t>
      </w:r>
      <w:r w:rsidRPr="008E202B">
        <w:rPr>
          <w:rStyle w:val="normaltextrun"/>
        </w:rPr>
        <w:t xml:space="preserve">that may </w:t>
      </w:r>
      <w:r w:rsidR="00901093">
        <w:rPr>
          <w:rStyle w:val="normaltextrun"/>
        </w:rPr>
        <w:t xml:space="preserve">be </w:t>
      </w:r>
      <w:r w:rsidRPr="008E202B">
        <w:rPr>
          <w:rStyle w:val="normaltextrun"/>
        </w:rPr>
        <w:t>incur</w:t>
      </w:r>
      <w:r w:rsidR="00901093">
        <w:rPr>
          <w:rStyle w:val="normaltextrun"/>
        </w:rPr>
        <w:t>red</w:t>
      </w:r>
      <w:r w:rsidRPr="008E202B">
        <w:rPr>
          <w:rStyle w:val="normaltextrun"/>
        </w:rPr>
        <w:t xml:space="preserve"> in the future</w:t>
      </w:r>
      <w:r w:rsidRPr="00AC781E">
        <w:rPr>
          <w:rStyle w:val="normaltextrun"/>
        </w:rPr>
        <w:t xml:space="preserve">, </w:t>
      </w:r>
      <w:r w:rsidRPr="008E202B">
        <w:rPr>
          <w:rStyle w:val="normaltextrun"/>
        </w:rPr>
        <w:t>that are caused by complications of such illness</w:t>
      </w:r>
      <w:r w:rsidRPr="00AC781E">
        <w:rPr>
          <w:rStyle w:val="normaltextrun"/>
        </w:rPr>
        <w:t xml:space="preserve">. </w:t>
      </w:r>
      <w:r w:rsidRPr="008E202B">
        <w:rPr>
          <w:rStyle w:val="normaltextrun"/>
        </w:rPr>
        <w:t>Because this approach is dependent on the identification of new cases that emerge each year, it doesn</w:t>
      </w:r>
      <w:r>
        <w:rPr>
          <w:rStyle w:val="normaltextrun"/>
        </w:rPr>
        <w:t>'</w:t>
      </w:r>
      <w:r w:rsidRPr="008E202B">
        <w:rPr>
          <w:rStyle w:val="normaltextrun"/>
        </w:rPr>
        <w:t>t take into account a</w:t>
      </w:r>
      <w:r>
        <w:rPr>
          <w:rStyle w:val="normaltextrun"/>
        </w:rPr>
        <w:t>ll current cases</w:t>
      </w:r>
      <w:r w:rsidRPr="008E202B">
        <w:rPr>
          <w:rStyle w:val="normaltextrun"/>
        </w:rPr>
        <w:t xml:space="preserve">. </w:t>
      </w:r>
      <w:r>
        <w:rPr>
          <w:rStyle w:val="normaltextrun"/>
        </w:rPr>
        <w:t>This</w:t>
      </w:r>
      <w:r w:rsidRPr="008E202B">
        <w:rPr>
          <w:rStyle w:val="normaltextrun"/>
        </w:rPr>
        <w:t xml:space="preserve"> means that </w:t>
      </w:r>
      <w:r>
        <w:rPr>
          <w:rStyle w:val="normaltextrun"/>
        </w:rPr>
        <w:t>the i</w:t>
      </w:r>
      <w:r w:rsidRPr="008E202B">
        <w:rPr>
          <w:rStyle w:val="normaltextrun"/>
        </w:rPr>
        <w:t xml:space="preserve">ncidence-based approach tends to under calculate the costs associated with </w:t>
      </w:r>
      <w:r>
        <w:rPr>
          <w:rStyle w:val="normaltextrun"/>
        </w:rPr>
        <w:t xml:space="preserve">a </w:t>
      </w:r>
      <w:r w:rsidRPr="008E202B">
        <w:rPr>
          <w:rStyle w:val="normaltextrun"/>
        </w:rPr>
        <w:t>disease that has a low incidence rate but high prevalence rate</w:t>
      </w:r>
      <w:r>
        <w:rPr>
          <w:rStyle w:val="normaltextrun"/>
        </w:rPr>
        <w:t xml:space="preserve"> </w:t>
      </w:r>
      <w:r w:rsidR="00716746" w:rsidRPr="00716746">
        <w:rPr>
          <w:rFonts w:cs="Calibri"/>
        </w:rPr>
        <w:t>(H.-J. Choi and Lee 2019)</w:t>
      </w:r>
      <w:r>
        <w:rPr>
          <w:rStyle w:val="normaltextrun"/>
        </w:rPr>
        <w:t>.</w:t>
      </w:r>
    </w:p>
    <w:p w14:paraId="1AE73CA4" w14:textId="77B29BB0" w:rsidR="0032213B" w:rsidRPr="008E202B" w:rsidRDefault="0032213B" w:rsidP="0032213B">
      <w:pPr>
        <w:pStyle w:val="USBodyText"/>
        <w:rPr>
          <w:rStyle w:val="normaltextrun"/>
          <w:rFonts w:cs="Calibri"/>
        </w:rPr>
      </w:pPr>
      <w:r w:rsidRPr="008E202B">
        <w:rPr>
          <w:rStyle w:val="normaltextrun"/>
          <w:rFonts w:cs="Calibri"/>
        </w:rPr>
        <w:t xml:space="preserve">Incidence-based analyses are essential for calculating the value of prevention. To assess lifetime costs without longitudinal data taken over a lifetime, we may need to model a synthetic cohort of people with the illness over time. Although incidence-based cost-of-illness analyses are better tools for knowing what could be saved through prevention efforts, these analyses require more assumptions and perhaps even more </w:t>
      </w:r>
      <w:r>
        <w:rPr>
          <w:rStyle w:val="normaltextrun"/>
          <w:rFonts w:cs="Calibri"/>
        </w:rPr>
        <w:t xml:space="preserve">sophisticated </w:t>
      </w:r>
      <w:r w:rsidRPr="008E202B">
        <w:rPr>
          <w:rStyle w:val="normaltextrun"/>
          <w:rFonts w:cs="Calibri"/>
        </w:rPr>
        <w:t>mode</w:t>
      </w:r>
      <w:r w:rsidR="00BF0ADD">
        <w:rPr>
          <w:rStyle w:val="normaltextrun"/>
          <w:rFonts w:cs="Calibri"/>
        </w:rPr>
        <w:t>l</w:t>
      </w:r>
      <w:r w:rsidRPr="008E202B">
        <w:rPr>
          <w:rStyle w:val="normaltextrun"/>
          <w:rFonts w:cs="Calibri"/>
        </w:rPr>
        <w:t>ling</w:t>
      </w:r>
      <w:r w:rsidR="00633079">
        <w:rPr>
          <w:rStyle w:val="normaltextrun"/>
          <w:rFonts w:cs="Calibri"/>
        </w:rPr>
        <w:t xml:space="preserve"> </w:t>
      </w:r>
      <w:r w:rsidRPr="008E202B">
        <w:rPr>
          <w:rStyle w:val="normaltextrun"/>
          <w:rFonts w:cs="Calibri"/>
        </w:rPr>
        <w:t>techniques than other methods.</w:t>
      </w:r>
    </w:p>
    <w:p w14:paraId="340E13E1" w14:textId="77777777" w:rsidR="0032213B" w:rsidRDefault="0032213B" w:rsidP="0005646B">
      <w:pPr>
        <w:pStyle w:val="Heading3"/>
      </w:pPr>
      <w:r>
        <w:t>Prevalence-based approaches</w:t>
      </w:r>
    </w:p>
    <w:p w14:paraId="1B1D7056" w14:textId="59BC0BB2" w:rsidR="0032213B" w:rsidRPr="008E202B" w:rsidRDefault="0032213B" w:rsidP="0032213B">
      <w:pPr>
        <w:pStyle w:val="USBodyText"/>
        <w:rPr>
          <w:rStyle w:val="normaltextrun"/>
          <w:rFonts w:cs="Calibri"/>
        </w:rPr>
      </w:pPr>
      <w:r>
        <w:rPr>
          <w:rStyle w:val="normaltextrun"/>
          <w:rFonts w:cs="Calibri"/>
        </w:rPr>
        <w:t>P</w:t>
      </w:r>
      <w:r w:rsidRPr="008E202B">
        <w:rPr>
          <w:rStyle w:val="normaltextrun"/>
          <w:rFonts w:cs="Calibri"/>
        </w:rPr>
        <w:t>revalence-based cost-of-illness analysis includes the total costs of an illness or disease within a specified</w:t>
      </w:r>
      <w:r w:rsidR="00BF0ADD">
        <w:rPr>
          <w:rStyle w:val="normaltextrun"/>
          <w:rFonts w:cs="Calibri"/>
        </w:rPr>
        <w:t xml:space="preserve"> </w:t>
      </w:r>
      <w:r w:rsidRPr="008E202B">
        <w:rPr>
          <w:rStyle w:val="normaltextrun"/>
          <w:rFonts w:cs="Calibri"/>
        </w:rPr>
        <w:t xml:space="preserve">time period, typically </w:t>
      </w:r>
      <w:r>
        <w:rPr>
          <w:rStyle w:val="normaltextrun"/>
          <w:rFonts w:cs="Calibri"/>
        </w:rPr>
        <w:t>one</w:t>
      </w:r>
      <w:r w:rsidRPr="008E202B">
        <w:rPr>
          <w:rStyle w:val="normaltextrun"/>
          <w:rFonts w:cs="Calibri"/>
        </w:rPr>
        <w:t xml:space="preserve"> year, regardless of when the disease first occurred. The question underlying prevalence-based cost-of-illness analysis is: How much do we spend each year </w:t>
      </w:r>
      <w:r w:rsidR="00540780">
        <w:rPr>
          <w:rStyle w:val="normaltextrun"/>
          <w:rFonts w:cs="Calibri"/>
        </w:rPr>
        <w:t>caring for</w:t>
      </w:r>
      <w:r w:rsidRPr="008E202B">
        <w:rPr>
          <w:rStyle w:val="normaltextrun"/>
          <w:rFonts w:cs="Calibri"/>
        </w:rPr>
        <w:t xml:space="preserve"> individuals with a certain condition? </w:t>
      </w:r>
      <w:r w:rsidRPr="008E202B">
        <w:t>Prevalence-based stu</w:t>
      </w:r>
      <w:r w:rsidR="00540780">
        <w:t>d</w:t>
      </w:r>
      <w:r w:rsidRPr="008E202B">
        <w:t>ies estimate the number of cases of death and hospitali</w:t>
      </w:r>
      <w:r>
        <w:t>s</w:t>
      </w:r>
      <w:r w:rsidRPr="008E202B">
        <w:t>ations attributable to diseases in a given year and then estimate the costs that flow from those deaths or hospitali</w:t>
      </w:r>
      <w:r>
        <w:t>s</w:t>
      </w:r>
      <w:r w:rsidRPr="008E202B">
        <w:t xml:space="preserve">ations </w:t>
      </w:r>
      <w:r w:rsidR="001654CA" w:rsidRPr="001654CA">
        <w:rPr>
          <w:rFonts w:cs="Calibri"/>
        </w:rPr>
        <w:t>(Jo 2014)</w:t>
      </w:r>
      <w:r>
        <w:t>.</w:t>
      </w:r>
    </w:p>
    <w:p w14:paraId="536B65AA" w14:textId="16A3D639" w:rsidR="0032213B" w:rsidRPr="008E202B" w:rsidRDefault="0032213B" w:rsidP="0032213B">
      <w:pPr>
        <w:pStyle w:val="USBodyText"/>
        <w:rPr>
          <w:rStyle w:val="normaltextrun"/>
          <w:rFonts w:cs="Calibri"/>
        </w:rPr>
      </w:pPr>
      <w:r w:rsidRPr="008E202B">
        <w:rPr>
          <w:rStyle w:val="normaltextrun"/>
          <w:rFonts w:cs="Calibri"/>
        </w:rPr>
        <w:t>Contrary to the incidence-based approach, the prevalence-based approach considers</w:t>
      </w:r>
      <w:r>
        <w:rPr>
          <w:rStyle w:val="normaltextrun"/>
          <w:rFonts w:cs="Calibri"/>
        </w:rPr>
        <w:t xml:space="preserve"> </w:t>
      </w:r>
      <w:r w:rsidRPr="008E202B">
        <w:rPr>
          <w:rStyle w:val="normaltextrun"/>
          <w:rFonts w:cs="Calibri"/>
        </w:rPr>
        <w:t>a</w:t>
      </w:r>
      <w:r w:rsidR="00E061D8">
        <w:rPr>
          <w:rStyle w:val="normaltextrun"/>
          <w:rFonts w:cs="Calibri"/>
        </w:rPr>
        <w:t xml:space="preserve"> </w:t>
      </w:r>
      <w:r w:rsidRPr="008E202B">
        <w:rPr>
          <w:rStyle w:val="normaltextrun"/>
          <w:rFonts w:cs="Calibri"/>
        </w:rPr>
        <w:t>cross</w:t>
      </w:r>
      <w:r>
        <w:rPr>
          <w:rStyle w:val="normaltextrun"/>
          <w:rFonts w:cs="Calibri"/>
        </w:rPr>
        <w:t>-</w:t>
      </w:r>
      <w:r w:rsidRPr="008E202B">
        <w:rPr>
          <w:rStyle w:val="normaltextrun"/>
          <w:rFonts w:cs="Calibri"/>
        </w:rPr>
        <w:t>sectional</w:t>
      </w:r>
      <w:r w:rsidR="00E061D8">
        <w:rPr>
          <w:rStyle w:val="normaltextrun"/>
          <w:rFonts w:cs="Calibri"/>
        </w:rPr>
        <w:t xml:space="preserve"> </w:t>
      </w:r>
      <w:r w:rsidRPr="008E202B">
        <w:rPr>
          <w:rStyle w:val="normaltextrun"/>
          <w:rFonts w:cs="Calibri"/>
        </w:rPr>
        <w:t xml:space="preserve">view of costs associated with the illness, which </w:t>
      </w:r>
      <w:r w:rsidR="00E061D8">
        <w:rPr>
          <w:rStyle w:val="normaltextrun"/>
          <w:rFonts w:cs="Calibri"/>
        </w:rPr>
        <w:t>considers</w:t>
      </w:r>
      <w:r w:rsidRPr="008E202B">
        <w:rPr>
          <w:rStyle w:val="normaltextrun"/>
          <w:rFonts w:cs="Calibri"/>
        </w:rPr>
        <w:t xml:space="preserve"> both existing and new patients at a given time. </w:t>
      </w:r>
      <w:r>
        <w:rPr>
          <w:rStyle w:val="normaltextrun"/>
          <w:rFonts w:cs="Calibri"/>
        </w:rPr>
        <w:t>The p</w:t>
      </w:r>
      <w:r w:rsidRPr="008E202B">
        <w:rPr>
          <w:rStyle w:val="normaltextrun"/>
          <w:rFonts w:cs="Calibri"/>
        </w:rPr>
        <w:t>revalence-based approach is very good at calculating the cost of an illness at a specific time, but it doesn</w:t>
      </w:r>
      <w:r>
        <w:rPr>
          <w:rStyle w:val="normaltextrun"/>
          <w:rFonts w:cs="Calibri"/>
        </w:rPr>
        <w:t>'</w:t>
      </w:r>
      <w:r w:rsidRPr="008E202B">
        <w:rPr>
          <w:rStyle w:val="normaltextrun"/>
          <w:rFonts w:cs="Calibri"/>
        </w:rPr>
        <w:t>t allow researche</w:t>
      </w:r>
      <w:r>
        <w:rPr>
          <w:rStyle w:val="normaltextrun"/>
          <w:rFonts w:cs="Calibri"/>
        </w:rPr>
        <w:t>r</w:t>
      </w:r>
      <w:r w:rsidRPr="008E202B">
        <w:rPr>
          <w:rStyle w:val="normaltextrun"/>
          <w:rFonts w:cs="Calibri"/>
        </w:rPr>
        <w:t>s to consider the costs accrued throughout the lifespan of the illness. This method</w:t>
      </w:r>
      <w:r>
        <w:rPr>
          <w:rStyle w:val="normaltextrun"/>
          <w:rFonts w:cs="Calibri"/>
        </w:rPr>
        <w:t>’s</w:t>
      </w:r>
      <w:r w:rsidRPr="008E202B">
        <w:rPr>
          <w:rStyle w:val="normaltextrun"/>
          <w:rFonts w:cs="Calibri"/>
        </w:rPr>
        <w:t xml:space="preserve"> estimates don</w:t>
      </w:r>
      <w:r>
        <w:rPr>
          <w:rStyle w:val="normaltextrun"/>
          <w:rFonts w:cs="Calibri"/>
        </w:rPr>
        <w:t>'</w:t>
      </w:r>
      <w:r w:rsidRPr="008E202B">
        <w:rPr>
          <w:rStyle w:val="normaltextrun"/>
          <w:rFonts w:cs="Calibri"/>
        </w:rPr>
        <w:t xml:space="preserve">t tell us how much can be saved </w:t>
      </w:r>
      <w:r>
        <w:rPr>
          <w:rStyle w:val="normaltextrun"/>
          <w:rFonts w:cs="Calibri"/>
        </w:rPr>
        <w:t>through</w:t>
      </w:r>
      <w:r w:rsidRPr="008E202B">
        <w:rPr>
          <w:rStyle w:val="normaltextrun"/>
          <w:rFonts w:cs="Calibri"/>
        </w:rPr>
        <w:t xml:space="preserve"> prevention</w:t>
      </w:r>
      <w:r w:rsidR="00F10B0B">
        <w:rPr>
          <w:rStyle w:val="normaltextrun"/>
          <w:rFonts w:cs="Calibri"/>
        </w:rPr>
        <w:t>,</w:t>
      </w:r>
      <w:r>
        <w:rPr>
          <w:rStyle w:val="normaltextrun"/>
          <w:rFonts w:cs="Calibri"/>
        </w:rPr>
        <w:t xml:space="preserve"> as results indicate</w:t>
      </w:r>
      <w:r w:rsidRPr="008E202B">
        <w:rPr>
          <w:rStyle w:val="normaltextrun"/>
          <w:rFonts w:cs="Calibri"/>
        </w:rPr>
        <w:t xml:space="preserve"> </w:t>
      </w:r>
      <w:r w:rsidR="00D04FE4">
        <w:rPr>
          <w:rStyle w:val="normaltextrun"/>
          <w:rFonts w:cs="Calibri"/>
        </w:rPr>
        <w:t xml:space="preserve">the </w:t>
      </w:r>
      <w:r w:rsidRPr="008E202B">
        <w:rPr>
          <w:rStyle w:val="normaltextrun"/>
          <w:rFonts w:cs="Calibri"/>
        </w:rPr>
        <w:t xml:space="preserve">annual costs of a disease rather than </w:t>
      </w:r>
      <w:r>
        <w:rPr>
          <w:rStyle w:val="normaltextrun"/>
          <w:rFonts w:cs="Calibri"/>
        </w:rPr>
        <w:t xml:space="preserve">the </w:t>
      </w:r>
      <w:r w:rsidRPr="008E202B">
        <w:rPr>
          <w:rStyle w:val="normaltextrun"/>
          <w:rFonts w:cs="Calibri"/>
        </w:rPr>
        <w:t>costs of a disease over the course of a</w:t>
      </w:r>
      <w:r w:rsidR="00F10B0B">
        <w:rPr>
          <w:rStyle w:val="normaltextrun"/>
          <w:rFonts w:cs="Calibri"/>
        </w:rPr>
        <w:t xml:space="preserve"> </w:t>
      </w:r>
      <w:r w:rsidRPr="008E202B">
        <w:rPr>
          <w:rStyle w:val="normaltextrun"/>
          <w:rFonts w:cs="Calibri"/>
        </w:rPr>
        <w:t>life.</w:t>
      </w:r>
      <w:r>
        <w:rPr>
          <w:rStyle w:val="normaltextrun"/>
          <w:rFonts w:cs="Calibri"/>
        </w:rPr>
        <w:t xml:space="preserve"> However, prevalence-based studies can nevertheless be strong motivators to invest in prevention to generate a reduction in estimated costs.</w:t>
      </w:r>
    </w:p>
    <w:p w14:paraId="5A27FD1A" w14:textId="7B35F1CE" w:rsidR="0032213B" w:rsidRPr="003224A0" w:rsidRDefault="0032213B" w:rsidP="0032213B">
      <w:pPr>
        <w:pStyle w:val="USBodyText"/>
        <w:rPr>
          <w:rStyle w:val="normaltextrun"/>
        </w:rPr>
      </w:pPr>
      <w:r w:rsidRPr="003224A0">
        <w:rPr>
          <w:rStyle w:val="normaltextrun"/>
        </w:rPr>
        <w:t>The prevalence-based approach is the most popular method used in cost</w:t>
      </w:r>
      <w:r w:rsidR="00BE0D0F">
        <w:rPr>
          <w:rStyle w:val="normaltextrun"/>
        </w:rPr>
        <w:t>-</w:t>
      </w:r>
      <w:r w:rsidRPr="003224A0">
        <w:rPr>
          <w:rStyle w:val="normaltextrun"/>
        </w:rPr>
        <w:t>of</w:t>
      </w:r>
      <w:r w:rsidR="00BE0D0F">
        <w:rPr>
          <w:rStyle w:val="normaltextrun"/>
        </w:rPr>
        <w:t>-</w:t>
      </w:r>
      <w:r w:rsidRPr="003224A0">
        <w:rPr>
          <w:rStyle w:val="normaltextrun"/>
        </w:rPr>
        <w:t xml:space="preserve">illness </w:t>
      </w:r>
      <w:r w:rsidR="00FD386E">
        <w:rPr>
          <w:rStyle w:val="normaltextrun"/>
        </w:rPr>
        <w:t>studies on</w:t>
      </w:r>
      <w:r w:rsidRPr="003224A0">
        <w:rPr>
          <w:rStyle w:val="normaltextrun"/>
        </w:rPr>
        <w:t xml:space="preserve"> long</w:t>
      </w:r>
      <w:r w:rsidR="00435C85">
        <w:rPr>
          <w:rStyle w:val="normaltextrun"/>
        </w:rPr>
        <w:t>-</w:t>
      </w:r>
      <w:r w:rsidRPr="003224A0">
        <w:rPr>
          <w:rStyle w:val="normaltextrun"/>
        </w:rPr>
        <w:t xml:space="preserve">term conditions. The major reason for this </w:t>
      </w:r>
      <w:r w:rsidR="005853E3">
        <w:rPr>
          <w:rStyle w:val="normaltextrun"/>
        </w:rPr>
        <w:t>is</w:t>
      </w:r>
      <w:r w:rsidR="005853E3" w:rsidRPr="003224A0">
        <w:rPr>
          <w:rStyle w:val="normaltextrun"/>
        </w:rPr>
        <w:t xml:space="preserve"> </w:t>
      </w:r>
      <w:r w:rsidRPr="003224A0">
        <w:rPr>
          <w:rStyle w:val="normaltextrun"/>
        </w:rPr>
        <w:t>that m</w:t>
      </w:r>
      <w:r w:rsidRPr="003224A0">
        <w:t xml:space="preserve">onitoring the development of </w:t>
      </w:r>
      <w:r w:rsidRPr="003224A0">
        <w:lastRenderedPageBreak/>
        <w:t xml:space="preserve">long-term conditions requires a very long follow-up period, which means that the prevalence-based approach is the only </w:t>
      </w:r>
      <w:r w:rsidR="00285165">
        <w:t>feasi</w:t>
      </w:r>
      <w:r w:rsidR="00285165" w:rsidRPr="003224A0">
        <w:t xml:space="preserve">ble </w:t>
      </w:r>
      <w:r w:rsidRPr="003224A0">
        <w:t xml:space="preserve">way to measure the real-life impacts of long-term conditions </w:t>
      </w:r>
      <w:r w:rsidR="001654CA" w:rsidRPr="001654CA">
        <w:rPr>
          <w:rFonts w:cs="Calibri"/>
        </w:rPr>
        <w:t>(Jo 2014)</w:t>
      </w:r>
      <w:r w:rsidR="006E6186">
        <w:t>.</w:t>
      </w:r>
    </w:p>
    <w:p w14:paraId="4B25C030" w14:textId="2B42DD92" w:rsidR="0032213B" w:rsidRPr="00B772DA" w:rsidRDefault="0032213B" w:rsidP="0032213B">
      <w:pPr>
        <w:pStyle w:val="TableCaption"/>
      </w:pPr>
      <w:bookmarkStart w:id="22" w:name="_Toc98760566"/>
      <w:r w:rsidRPr="00D1180A">
        <w:t xml:space="preserve">Table </w:t>
      </w:r>
      <w:r w:rsidR="00443CD7">
        <w:fldChar w:fldCharType="begin"/>
      </w:r>
      <w:r w:rsidR="00443CD7">
        <w:instrText xml:space="preserve"> SEQ Table \* ARABIC </w:instrText>
      </w:r>
      <w:r w:rsidR="00443CD7">
        <w:fldChar w:fldCharType="separate"/>
      </w:r>
      <w:r w:rsidR="002C631E">
        <w:rPr>
          <w:noProof/>
        </w:rPr>
        <w:t>2</w:t>
      </w:r>
      <w:r w:rsidR="00443CD7">
        <w:rPr>
          <w:noProof/>
        </w:rPr>
        <w:fldChar w:fldCharType="end"/>
      </w:r>
      <w:r>
        <w:t xml:space="preserve"> </w:t>
      </w:r>
      <w:r w:rsidRPr="00D1180A">
        <w:t xml:space="preserve">Comparison of approaches to estimating the </w:t>
      </w:r>
      <w:r>
        <w:t>cost</w:t>
      </w:r>
      <w:r w:rsidR="002A6788">
        <w:t xml:space="preserve"> </w:t>
      </w:r>
      <w:r>
        <w:t>of</w:t>
      </w:r>
      <w:r w:rsidR="002A6788">
        <w:t xml:space="preserve"> </w:t>
      </w:r>
      <w:r>
        <w:t>illness</w:t>
      </w:r>
      <w:bookmarkEnd w:id="22"/>
    </w:p>
    <w:tbl>
      <w:tblPr>
        <w:tblW w:w="8045" w:type="dxa"/>
        <w:tblInd w:w="8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3073"/>
        <w:gridCol w:w="2977"/>
      </w:tblGrid>
      <w:tr w:rsidR="0032213B" w:rsidRPr="0070033F" w14:paraId="68D486FF" w14:textId="77777777" w:rsidTr="00675E19">
        <w:trPr>
          <w:trHeight w:val="409"/>
        </w:trPr>
        <w:tc>
          <w:tcPr>
            <w:tcW w:w="1995" w:type="dxa"/>
            <w:tcBorders>
              <w:top w:val="single" w:sz="6" w:space="0" w:color="0094C5" w:themeColor="accent1"/>
              <w:left w:val="nil"/>
              <w:bottom w:val="single" w:sz="6" w:space="0" w:color="0094C5" w:themeColor="accent1"/>
              <w:right w:val="nil"/>
            </w:tcBorders>
            <w:shd w:val="clear" w:color="auto" w:fill="0094C5" w:themeFill="accent1"/>
            <w:vAlign w:val="center"/>
            <w:hideMark/>
          </w:tcPr>
          <w:p w14:paraId="024AC0F1" w14:textId="77777777" w:rsidR="0032213B" w:rsidRPr="003224A0" w:rsidRDefault="0032213B" w:rsidP="006E35E9">
            <w:pPr>
              <w:pStyle w:val="TSTableHeadingWhite-TopRow"/>
              <w:rPr>
                <w:lang w:eastAsia="en-NZ"/>
              </w:rPr>
            </w:pPr>
          </w:p>
        </w:tc>
        <w:tc>
          <w:tcPr>
            <w:tcW w:w="3073" w:type="dxa"/>
            <w:tcBorders>
              <w:top w:val="single" w:sz="6" w:space="0" w:color="0094C5" w:themeColor="accent1"/>
              <w:left w:val="nil"/>
              <w:bottom w:val="single" w:sz="6" w:space="0" w:color="0094C5" w:themeColor="accent1"/>
              <w:right w:val="nil"/>
            </w:tcBorders>
            <w:shd w:val="clear" w:color="auto" w:fill="0094C5" w:themeFill="accent1"/>
            <w:vAlign w:val="center"/>
            <w:hideMark/>
          </w:tcPr>
          <w:p w14:paraId="08D88651" w14:textId="77777777" w:rsidR="0032213B" w:rsidRPr="003224A0" w:rsidRDefault="0032213B" w:rsidP="006E35E9">
            <w:pPr>
              <w:pStyle w:val="TSTableHeadingWhite-TopRow"/>
              <w:rPr>
                <w:lang w:eastAsia="en-NZ"/>
              </w:rPr>
            </w:pPr>
            <w:r w:rsidRPr="003224A0">
              <w:rPr>
                <w:lang w:eastAsia="en-NZ"/>
              </w:rPr>
              <w:t>Incidence-based approach</w:t>
            </w:r>
          </w:p>
        </w:tc>
        <w:tc>
          <w:tcPr>
            <w:tcW w:w="2977" w:type="dxa"/>
            <w:tcBorders>
              <w:top w:val="single" w:sz="6" w:space="0" w:color="0094C5" w:themeColor="accent1"/>
              <w:left w:val="nil"/>
              <w:bottom w:val="single" w:sz="6" w:space="0" w:color="0094C5" w:themeColor="accent1"/>
              <w:right w:val="nil"/>
            </w:tcBorders>
            <w:shd w:val="clear" w:color="auto" w:fill="0094C5" w:themeFill="accent1"/>
            <w:vAlign w:val="center"/>
            <w:hideMark/>
          </w:tcPr>
          <w:p w14:paraId="75A57DB5" w14:textId="77777777" w:rsidR="0032213B" w:rsidRPr="003224A0" w:rsidRDefault="0032213B" w:rsidP="006E35E9">
            <w:pPr>
              <w:pStyle w:val="TSTableHeadingWhite-TopRow"/>
              <w:rPr>
                <w:lang w:eastAsia="en-NZ"/>
              </w:rPr>
            </w:pPr>
            <w:r w:rsidRPr="003224A0">
              <w:rPr>
                <w:lang w:eastAsia="en-NZ"/>
              </w:rPr>
              <w:t>Prevalence-based approach</w:t>
            </w:r>
          </w:p>
        </w:tc>
      </w:tr>
      <w:tr w:rsidR="0032213B" w:rsidRPr="0070033F" w14:paraId="2AED9E7F" w14:textId="77777777" w:rsidTr="00675E19">
        <w:tc>
          <w:tcPr>
            <w:tcW w:w="1995" w:type="dxa"/>
            <w:tcBorders>
              <w:top w:val="single" w:sz="6" w:space="0" w:color="0094C5" w:themeColor="accent1"/>
              <w:left w:val="nil"/>
              <w:bottom w:val="single" w:sz="6" w:space="0" w:color="0094C5" w:themeColor="accent1"/>
              <w:right w:val="nil"/>
            </w:tcBorders>
            <w:shd w:val="clear" w:color="auto" w:fill="auto"/>
            <w:hideMark/>
          </w:tcPr>
          <w:p w14:paraId="44AE33C3" w14:textId="6D34584D" w:rsidR="0032213B" w:rsidRPr="003224A0" w:rsidRDefault="0032213B" w:rsidP="00675E19">
            <w:pPr>
              <w:spacing w:after="0" w:line="240" w:lineRule="auto"/>
              <w:textAlignment w:val="baseline"/>
              <w:rPr>
                <w:rFonts w:eastAsia="Times New Roman" w:cs="Calibri"/>
                <w:sz w:val="20"/>
                <w:szCs w:val="20"/>
                <w:lang w:eastAsia="en-NZ"/>
              </w:rPr>
            </w:pPr>
            <w:r w:rsidRPr="003224A0">
              <w:rPr>
                <w:rFonts w:eastAsia="Times New Roman" w:cs="Calibri"/>
                <w:sz w:val="20"/>
                <w:szCs w:val="20"/>
                <w:lang w:eastAsia="en-NZ"/>
              </w:rPr>
              <w:t>Description</w:t>
            </w:r>
          </w:p>
        </w:tc>
        <w:tc>
          <w:tcPr>
            <w:tcW w:w="3073" w:type="dxa"/>
            <w:tcBorders>
              <w:top w:val="single" w:sz="6" w:space="0" w:color="0094C5" w:themeColor="accent1"/>
              <w:left w:val="nil"/>
              <w:bottom w:val="single" w:sz="6" w:space="0" w:color="0094C5" w:themeColor="accent1"/>
              <w:right w:val="nil"/>
            </w:tcBorders>
            <w:shd w:val="clear" w:color="auto" w:fill="auto"/>
            <w:hideMark/>
          </w:tcPr>
          <w:p w14:paraId="6A04A344" w14:textId="0C2C76CA" w:rsidR="0032213B" w:rsidRPr="003224A0" w:rsidRDefault="0032213B" w:rsidP="006E35E9">
            <w:pPr>
              <w:pStyle w:val="TSBullet1"/>
              <w:rPr>
                <w:lang w:eastAsia="en-NZ"/>
              </w:rPr>
            </w:pPr>
            <w:r w:rsidRPr="003224A0">
              <w:rPr>
                <w:lang w:eastAsia="en-NZ"/>
              </w:rPr>
              <w:t>Estimates the economic cost of an illness throughout its lifespan, ranging from the initial stage to the patient's complete recovery (or death)</w:t>
            </w:r>
            <w:r w:rsidR="00B434EE">
              <w:rPr>
                <w:lang w:eastAsia="en-NZ"/>
              </w:rPr>
              <w:t>.</w:t>
            </w:r>
          </w:p>
        </w:tc>
        <w:tc>
          <w:tcPr>
            <w:tcW w:w="2977" w:type="dxa"/>
            <w:tcBorders>
              <w:top w:val="single" w:sz="6" w:space="0" w:color="0094C5" w:themeColor="accent1"/>
              <w:left w:val="nil"/>
              <w:bottom w:val="single" w:sz="6" w:space="0" w:color="0094C5" w:themeColor="accent1"/>
              <w:right w:val="nil"/>
            </w:tcBorders>
            <w:shd w:val="clear" w:color="auto" w:fill="auto"/>
            <w:hideMark/>
          </w:tcPr>
          <w:p w14:paraId="4EF86954" w14:textId="47A8FBB2" w:rsidR="0032213B" w:rsidRPr="003224A0" w:rsidRDefault="0032213B" w:rsidP="006E35E9">
            <w:pPr>
              <w:pStyle w:val="TSBullet1"/>
            </w:pPr>
            <w:r w:rsidRPr="003224A0">
              <w:t>Estimates the economic cost of an illness during a certain period of time by taking into account the costs generated by both new and existing patients</w:t>
            </w:r>
            <w:r w:rsidR="00B434EE">
              <w:t>.</w:t>
            </w:r>
          </w:p>
        </w:tc>
      </w:tr>
      <w:tr w:rsidR="0032213B" w:rsidRPr="0070033F" w14:paraId="22DA5ABB" w14:textId="77777777" w:rsidTr="00675E19">
        <w:tc>
          <w:tcPr>
            <w:tcW w:w="1995"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78E645F3" w14:textId="77777777" w:rsidR="0032213B" w:rsidRPr="003224A0" w:rsidRDefault="0032213B" w:rsidP="00675E19">
            <w:pPr>
              <w:spacing w:after="0" w:line="240" w:lineRule="auto"/>
              <w:textAlignment w:val="baseline"/>
              <w:rPr>
                <w:rFonts w:eastAsia="Times New Roman" w:cs="Calibri"/>
                <w:sz w:val="20"/>
                <w:szCs w:val="20"/>
                <w:lang w:eastAsia="en-NZ"/>
              </w:rPr>
            </w:pPr>
            <w:r w:rsidRPr="003224A0">
              <w:rPr>
                <w:rFonts w:eastAsia="Times New Roman" w:cs="Calibri"/>
                <w:sz w:val="20"/>
                <w:szCs w:val="20"/>
                <w:lang w:eastAsia="en-NZ"/>
              </w:rPr>
              <w:t>Pros</w:t>
            </w:r>
          </w:p>
        </w:tc>
        <w:tc>
          <w:tcPr>
            <w:tcW w:w="3073"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351676FC" w14:textId="20F7208E" w:rsidR="0032213B" w:rsidRPr="003224A0" w:rsidRDefault="0032213B" w:rsidP="006E35E9">
            <w:pPr>
              <w:pStyle w:val="TSBullet1"/>
            </w:pPr>
            <w:r w:rsidRPr="003224A0">
              <w:t xml:space="preserve">Allows the researcher to consider </w:t>
            </w:r>
            <w:r w:rsidR="005E61B4">
              <w:t>the current cost and</w:t>
            </w:r>
            <w:r w:rsidRPr="003224A0">
              <w:t xml:space="preserve"> the future cost of an illness and the sequela it causes and thereby estimate the economic losses incurred both in the present and the future</w:t>
            </w:r>
            <w:r w:rsidR="00B434EE">
              <w:t>.</w:t>
            </w:r>
          </w:p>
        </w:tc>
        <w:tc>
          <w:tcPr>
            <w:tcW w:w="2977"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39DF7731" w14:textId="43A8A241" w:rsidR="0032213B" w:rsidRPr="003224A0" w:rsidRDefault="0032213B" w:rsidP="006E35E9">
            <w:pPr>
              <w:pStyle w:val="TSBullet1"/>
            </w:pPr>
            <w:r w:rsidRPr="003224A0">
              <w:t>Better suited to estimating the current cost of an illness</w:t>
            </w:r>
            <w:r w:rsidR="00AC60F7">
              <w:t>.</w:t>
            </w:r>
          </w:p>
          <w:p w14:paraId="4CEC5DE1" w14:textId="37657A12" w:rsidR="0032213B" w:rsidRPr="003224A0" w:rsidRDefault="0032213B" w:rsidP="006E35E9">
            <w:pPr>
              <w:pStyle w:val="TSBullet1"/>
            </w:pPr>
            <w:r w:rsidRPr="003224A0">
              <w:t>Allows the researcher to consider both new and existing patients at given point(s) in time</w:t>
            </w:r>
            <w:r w:rsidR="00AC60F7">
              <w:t>.</w:t>
            </w:r>
          </w:p>
        </w:tc>
      </w:tr>
      <w:tr w:rsidR="0032213B" w:rsidRPr="0070033F" w14:paraId="71CBA101" w14:textId="77777777" w:rsidTr="00675E19">
        <w:tc>
          <w:tcPr>
            <w:tcW w:w="1995" w:type="dxa"/>
            <w:tcBorders>
              <w:top w:val="single" w:sz="6" w:space="0" w:color="0094C5" w:themeColor="accent1"/>
              <w:left w:val="nil"/>
              <w:bottom w:val="single" w:sz="6" w:space="0" w:color="0094C5" w:themeColor="accent1"/>
              <w:right w:val="nil"/>
            </w:tcBorders>
            <w:shd w:val="clear" w:color="auto" w:fill="auto"/>
          </w:tcPr>
          <w:p w14:paraId="2DD7712E" w14:textId="77777777" w:rsidR="0032213B" w:rsidRPr="003224A0" w:rsidRDefault="0032213B" w:rsidP="00675E19">
            <w:pPr>
              <w:spacing w:after="0" w:line="240" w:lineRule="auto"/>
              <w:textAlignment w:val="baseline"/>
              <w:rPr>
                <w:rFonts w:eastAsia="Times New Roman" w:cs="Calibri"/>
                <w:sz w:val="20"/>
                <w:szCs w:val="20"/>
                <w:lang w:eastAsia="en-NZ"/>
              </w:rPr>
            </w:pPr>
            <w:r w:rsidRPr="003224A0">
              <w:rPr>
                <w:rFonts w:eastAsia="Times New Roman" w:cs="Calibri"/>
                <w:sz w:val="20"/>
                <w:szCs w:val="20"/>
                <w:lang w:eastAsia="en-NZ"/>
              </w:rPr>
              <w:t>Cons</w:t>
            </w:r>
          </w:p>
        </w:tc>
        <w:tc>
          <w:tcPr>
            <w:tcW w:w="3073" w:type="dxa"/>
            <w:tcBorders>
              <w:top w:val="single" w:sz="6" w:space="0" w:color="0094C5" w:themeColor="accent1"/>
              <w:left w:val="nil"/>
              <w:bottom w:val="single" w:sz="6" w:space="0" w:color="0094C5" w:themeColor="accent1"/>
              <w:right w:val="nil"/>
            </w:tcBorders>
            <w:shd w:val="clear" w:color="auto" w:fill="auto"/>
          </w:tcPr>
          <w:p w14:paraId="3D1DC2DC" w14:textId="19AF1A30" w:rsidR="0032213B" w:rsidRPr="003224A0" w:rsidRDefault="0032213B" w:rsidP="006E35E9">
            <w:pPr>
              <w:pStyle w:val="TSBullet1"/>
            </w:pPr>
            <w:r w:rsidRPr="003224A0">
              <w:t xml:space="preserve">Makes it difficult for the researcher to consider existing patients that </w:t>
            </w:r>
            <w:r w:rsidR="005E61B4">
              <w:t>are</w:t>
            </w:r>
            <w:r w:rsidR="005E61B4" w:rsidRPr="003224A0">
              <w:t xml:space="preserve"> </w:t>
            </w:r>
            <w:r w:rsidRPr="003224A0">
              <w:t>already afflicted with the given illness</w:t>
            </w:r>
            <w:r w:rsidR="005E61B4">
              <w:t>.</w:t>
            </w:r>
          </w:p>
          <w:p w14:paraId="39C940E6" w14:textId="6D8C59D5" w:rsidR="0032213B" w:rsidRPr="003224A0" w:rsidRDefault="0032213B" w:rsidP="006E35E9">
            <w:pPr>
              <w:pStyle w:val="TSBullet1"/>
            </w:pPr>
            <w:r w:rsidRPr="003224A0">
              <w:t>Not applicable to illnesses that, at present, have high prevalence and low incidence rates</w:t>
            </w:r>
            <w:r w:rsidR="005E61B4">
              <w:t>.</w:t>
            </w:r>
          </w:p>
        </w:tc>
        <w:tc>
          <w:tcPr>
            <w:tcW w:w="2977" w:type="dxa"/>
            <w:tcBorders>
              <w:top w:val="single" w:sz="6" w:space="0" w:color="0094C5" w:themeColor="accent1"/>
              <w:left w:val="nil"/>
              <w:bottom w:val="single" w:sz="6" w:space="0" w:color="0094C5" w:themeColor="accent1"/>
              <w:right w:val="nil"/>
            </w:tcBorders>
            <w:shd w:val="clear" w:color="auto" w:fill="auto"/>
          </w:tcPr>
          <w:p w14:paraId="78CB7C43" w14:textId="3C5F3BA3" w:rsidR="0032213B" w:rsidRPr="003224A0" w:rsidRDefault="0032213B" w:rsidP="006E35E9">
            <w:pPr>
              <w:pStyle w:val="TSBullet1"/>
            </w:pPr>
            <w:r w:rsidRPr="003224A0">
              <w:t>Makes it difficult for the researcher to estimate the total economic cost of an illness throughout its entire lifespan</w:t>
            </w:r>
            <w:r w:rsidR="00AC60F7">
              <w:t>.</w:t>
            </w:r>
          </w:p>
          <w:p w14:paraId="316B05D6" w14:textId="2C7FAE6A" w:rsidR="0032213B" w:rsidRPr="003224A0" w:rsidRDefault="0032213B" w:rsidP="006E35E9">
            <w:pPr>
              <w:pStyle w:val="TSBullet1"/>
            </w:pPr>
            <w:r w:rsidRPr="003224A0">
              <w:t>The researcher may not find patients suffering from the given illness if the illness lasts for relatively short spans of time, despite its high incidence rate</w:t>
            </w:r>
            <w:r w:rsidR="00AC60F7">
              <w:t>.</w:t>
            </w:r>
          </w:p>
        </w:tc>
      </w:tr>
    </w:tbl>
    <w:p w14:paraId="2BECA165" w14:textId="5E3ED403" w:rsidR="0032213B" w:rsidRPr="00E5094B" w:rsidRDefault="0032213B" w:rsidP="0032213B">
      <w:pPr>
        <w:pStyle w:val="USSource"/>
      </w:pPr>
      <w:r w:rsidRPr="00E5094B">
        <w:t xml:space="preserve">Source: </w:t>
      </w:r>
      <w:r w:rsidR="000A5230" w:rsidRPr="000A5230">
        <w:rPr>
          <w:rFonts w:cs="Calibri"/>
        </w:rPr>
        <w:t xml:space="preserve">H.-J. Choi and Lee </w:t>
      </w:r>
      <w:r w:rsidR="000A5230">
        <w:rPr>
          <w:rFonts w:cs="Calibri"/>
        </w:rPr>
        <w:t>(</w:t>
      </w:r>
      <w:r w:rsidR="000A5230" w:rsidRPr="000A5230">
        <w:rPr>
          <w:rFonts w:cs="Calibri"/>
        </w:rPr>
        <w:t>2019)</w:t>
      </w:r>
      <w:r w:rsidR="00EF7C60">
        <w:t xml:space="preserve"> and NZIER</w:t>
      </w:r>
    </w:p>
    <w:p w14:paraId="6B86CACE" w14:textId="77777777" w:rsidR="0032213B" w:rsidRPr="00EF7C60" w:rsidRDefault="0032213B" w:rsidP="00EF7C60">
      <w:pPr>
        <w:pStyle w:val="USBodyText"/>
        <w:rPr>
          <w:rStyle w:val="normaltextrun"/>
        </w:rPr>
      </w:pPr>
      <w:r>
        <w:rPr>
          <w:rStyle w:val="normaltextrun"/>
        </w:rPr>
        <w:br w:type="page"/>
      </w:r>
    </w:p>
    <w:p w14:paraId="2776D93E" w14:textId="608B01F5" w:rsidR="00376CA8" w:rsidRDefault="0009228A" w:rsidP="002E10F0">
      <w:pPr>
        <w:pStyle w:val="Heading1"/>
        <w:rPr>
          <w:rStyle w:val="normaltextrun"/>
        </w:rPr>
      </w:pPr>
      <w:bookmarkStart w:id="23" w:name="_Toc98760503"/>
      <w:r>
        <w:rPr>
          <w:rStyle w:val="normaltextrun"/>
        </w:rPr>
        <w:lastRenderedPageBreak/>
        <w:t>Identifying and quantifying c</w:t>
      </w:r>
      <w:r w:rsidR="00376CA8">
        <w:rPr>
          <w:rStyle w:val="normaltextrun"/>
        </w:rPr>
        <w:t>osts</w:t>
      </w:r>
      <w:bookmarkEnd w:id="23"/>
    </w:p>
    <w:p w14:paraId="1578D5D9" w14:textId="4EE7E523" w:rsidR="00376CA8" w:rsidRDefault="008E3D0E" w:rsidP="00376CA8">
      <w:pPr>
        <w:pStyle w:val="USBodyText"/>
      </w:pPr>
      <w:r>
        <w:t>T</w:t>
      </w:r>
      <w:r w:rsidR="00376CA8">
        <w:t>o be useful to decision-making, cost</w:t>
      </w:r>
      <w:r w:rsidR="00234C40">
        <w:t>-</w:t>
      </w:r>
      <w:r w:rsidR="00376CA8">
        <w:t>of</w:t>
      </w:r>
      <w:r w:rsidR="00234C40">
        <w:t>-</w:t>
      </w:r>
      <w:r w:rsidR="00376CA8">
        <w:t>illness studies should describe completely and clearly the data and methods used to estimate costs so that readers can assess how appropriate, accurate and precise these methods are likely to be. This should include identifying what costs are included, what costs are excluded but potentially important, the data and methods used to estimate costs and any discounting applied. However, for various reasons, the reporting of costs and costing methods in cost</w:t>
      </w:r>
      <w:r w:rsidR="00234C40">
        <w:t>-</w:t>
      </w:r>
      <w:r w:rsidR="00376CA8">
        <w:t>of</w:t>
      </w:r>
      <w:r w:rsidR="00234C40">
        <w:t>-</w:t>
      </w:r>
      <w:r w:rsidR="00376CA8">
        <w:t xml:space="preserve">illness studies often fall short of these general principles. </w:t>
      </w:r>
    </w:p>
    <w:p w14:paraId="57B0B3C2" w14:textId="77777777" w:rsidR="00376CA8" w:rsidRDefault="00376CA8" w:rsidP="00376CA8">
      <w:pPr>
        <w:pStyle w:val="USBodyText"/>
      </w:pPr>
      <w:r>
        <w:t>One reason is that cost accounting terminology is often used inconsistently between researchers. What one calls a direct private cost may be referred to as an indirect cost by another. Bottom-up costing and micro-costing are often conflated in the use of language as well.</w:t>
      </w:r>
    </w:p>
    <w:p w14:paraId="30ECEFB8" w14:textId="77777777" w:rsidR="00376CA8" w:rsidRDefault="00376CA8" w:rsidP="00376CA8">
      <w:pPr>
        <w:pStyle w:val="USBodyText"/>
      </w:pPr>
      <w:r>
        <w:t>A major concern about the descriptions of included and excluded costs and the data and methods used to calculate them is that researchers may fail to identify the assumptions and trade-offs inherent in their choices.</w:t>
      </w:r>
    </w:p>
    <w:p w14:paraId="20BD89B9" w14:textId="314E4A14" w:rsidR="00376CA8" w:rsidRPr="00CB2B25" w:rsidRDefault="00376CA8" w:rsidP="00841622">
      <w:pPr>
        <w:pStyle w:val="USBodyText"/>
      </w:pPr>
      <w:r>
        <w:t>Another major concern is that cost accounting within</w:t>
      </w:r>
      <w:r w:rsidR="007E66A1">
        <w:t xml:space="preserve"> </w:t>
      </w:r>
      <w:r>
        <w:t xml:space="preserve">the health sector does not reflect the opportunity cost of the resources used. In other words, the cost of an illness is not just the amount of resources spent on it or lost to it but also the benefits that could have been gained if those resources were spent elsewhere. </w:t>
      </w:r>
      <w:r w:rsidR="007E66A1">
        <w:t>In this sense, cost-of-illness studies are not a true representation of ‘economic’ costs.</w:t>
      </w:r>
    </w:p>
    <w:p w14:paraId="22593A74" w14:textId="77777777" w:rsidR="00376CA8" w:rsidRPr="004B5C9E" w:rsidRDefault="00376CA8" w:rsidP="002E10F0">
      <w:pPr>
        <w:pStyle w:val="Heading2"/>
      </w:pPr>
      <w:bookmarkStart w:id="24" w:name="_Toc98760504"/>
      <w:r w:rsidRPr="00CB2B25">
        <w:rPr>
          <w:rStyle w:val="normaltextrun"/>
          <w:sz w:val="24"/>
          <w:szCs w:val="24"/>
        </w:rPr>
        <w:t>Cost components</w:t>
      </w:r>
      <w:bookmarkEnd w:id="24"/>
    </w:p>
    <w:p w14:paraId="030DA5EB" w14:textId="385E79C0" w:rsidR="00E30CF0" w:rsidRDefault="00E30CF0" w:rsidP="00FE291D">
      <w:pPr>
        <w:pStyle w:val="USBodyText"/>
      </w:pPr>
      <w:r>
        <w:t>Cost</w:t>
      </w:r>
      <w:r w:rsidR="00234C40">
        <w:t>-</w:t>
      </w:r>
      <w:r>
        <w:t>of</w:t>
      </w:r>
      <w:r w:rsidR="00234C40">
        <w:t>-</w:t>
      </w:r>
      <w:r>
        <w:t>illness</w:t>
      </w:r>
      <w:r w:rsidRPr="00FC218F">
        <w:t xml:space="preserve"> studies traditionally stratify costs into three categories</w:t>
      </w:r>
      <w:r>
        <w:t xml:space="preserve"> – direct</w:t>
      </w:r>
      <w:r w:rsidRPr="00FC218F">
        <w:t>, indirect, and intangible costs</w:t>
      </w:r>
      <w:r>
        <w:t>, although there is some inconsistency across studies in the categorisation of all but direct health care costs.</w:t>
      </w:r>
    </w:p>
    <w:p w14:paraId="59D993BE" w14:textId="77777777" w:rsidR="00376CA8" w:rsidRPr="005358AE" w:rsidRDefault="00376CA8" w:rsidP="0005646B">
      <w:pPr>
        <w:pStyle w:val="Heading3"/>
      </w:pPr>
      <w:r w:rsidRPr="005358AE">
        <w:t>Direct costs</w:t>
      </w:r>
    </w:p>
    <w:p w14:paraId="0B05B5BF" w14:textId="57FC6136" w:rsidR="00376CA8" w:rsidRDefault="00376CA8" w:rsidP="00CB2B25">
      <w:pPr>
        <w:pStyle w:val="USBodyText"/>
        <w:rPr>
          <w:rStyle w:val="normaltextrun"/>
          <w:rFonts w:cs="Calibri"/>
        </w:rPr>
      </w:pPr>
      <w:r w:rsidRPr="00EF7C60">
        <w:t>Direct costs are the costs attribute</w:t>
      </w:r>
      <w:r w:rsidR="009068AB" w:rsidRPr="00EF7C60">
        <w:t>d</w:t>
      </w:r>
      <w:r w:rsidRPr="00EF7C60">
        <w:t xml:space="preserve"> directly to patient care</w:t>
      </w:r>
      <w:r w:rsidR="009068AB" w:rsidRPr="00EF7C60">
        <w:t>: T</w:t>
      </w:r>
      <w:r w:rsidRPr="00EF7C60">
        <w:t xml:space="preserve">he </w:t>
      </w:r>
      <w:r w:rsidR="009068AB" w:rsidRPr="00EF7C60">
        <w:t>cost that is incurred</w:t>
      </w:r>
      <w:r w:rsidRPr="00EF7C60">
        <w:t xml:space="preserve"> due to</w:t>
      </w:r>
      <w:r>
        <w:rPr>
          <w:rStyle w:val="normaltextrun"/>
          <w:rFonts w:cs="Calibri"/>
        </w:rPr>
        <w:t xml:space="preserve"> medical management of a disease. This can include </w:t>
      </w:r>
      <w:r w:rsidR="009068AB">
        <w:rPr>
          <w:rStyle w:val="normaltextrun"/>
          <w:rFonts w:cs="Calibri"/>
        </w:rPr>
        <w:t xml:space="preserve">direct health care costs such as </w:t>
      </w:r>
      <w:r>
        <w:rPr>
          <w:rStyle w:val="normaltextrun"/>
          <w:rFonts w:cs="Calibri"/>
        </w:rPr>
        <w:t xml:space="preserve">money spent directly on treating </w:t>
      </w:r>
      <w:r w:rsidR="009068AB">
        <w:rPr>
          <w:rStyle w:val="normaltextrun"/>
          <w:rFonts w:cs="Calibri"/>
        </w:rPr>
        <w:t xml:space="preserve">the </w:t>
      </w:r>
      <w:r>
        <w:rPr>
          <w:rStyle w:val="normaltextrun"/>
          <w:rFonts w:cs="Calibri"/>
        </w:rPr>
        <w:t>disease at a medical facility, as well as</w:t>
      </w:r>
      <w:r w:rsidR="009068AB">
        <w:rPr>
          <w:rStyle w:val="normaltextrun"/>
          <w:rFonts w:cs="Calibri"/>
        </w:rPr>
        <w:t xml:space="preserve"> </w:t>
      </w:r>
      <w:r w:rsidR="00841622">
        <w:rPr>
          <w:rStyle w:val="normaltextrun"/>
          <w:rFonts w:cs="Calibri"/>
        </w:rPr>
        <w:t>direct non-healthcare costs, such as</w:t>
      </w:r>
      <w:r>
        <w:rPr>
          <w:rStyle w:val="normaltextrun"/>
          <w:rFonts w:cs="Calibri"/>
        </w:rPr>
        <w:t xml:space="preserve"> transportation services or caregiving services</w:t>
      </w:r>
      <w:r w:rsidR="00841622">
        <w:rPr>
          <w:rStyle w:val="normaltextrun"/>
          <w:rFonts w:cs="Calibri"/>
        </w:rPr>
        <w:t xml:space="preserve"> required so that the patient can obtain medical care</w:t>
      </w:r>
      <w:r>
        <w:rPr>
          <w:rStyle w:val="normaltextrun"/>
          <w:rFonts w:cs="Calibri"/>
        </w:rPr>
        <w:t>.</w:t>
      </w:r>
    </w:p>
    <w:p w14:paraId="63607192" w14:textId="77777777" w:rsidR="00376CA8" w:rsidRPr="005358AE" w:rsidRDefault="00376CA8" w:rsidP="0005646B">
      <w:pPr>
        <w:pStyle w:val="Heading3"/>
      </w:pPr>
      <w:r w:rsidRPr="005358AE">
        <w:t>Indirect costs</w:t>
      </w:r>
    </w:p>
    <w:p w14:paraId="05F1DD89" w14:textId="65F64330" w:rsidR="00376CA8" w:rsidRDefault="00376CA8" w:rsidP="00FE291D">
      <w:pPr>
        <w:pStyle w:val="USBodyText"/>
        <w:rPr>
          <w:rStyle w:val="eop"/>
          <w:rFonts w:cs="Calibri"/>
        </w:rPr>
      </w:pPr>
      <w:r>
        <w:rPr>
          <w:rStyle w:val="normaltextrun"/>
          <w:rFonts w:cs="Calibri"/>
        </w:rPr>
        <w:t>Indirect costs in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 xml:space="preserve">illness studies refer to the productivity or labour loss due to an illness. This includes both the productivity loss for an individual with </w:t>
      </w:r>
      <w:r w:rsidR="007E7BCE">
        <w:rPr>
          <w:rStyle w:val="normaltextrun"/>
          <w:rFonts w:cs="Calibri"/>
        </w:rPr>
        <w:t xml:space="preserve">the </w:t>
      </w:r>
      <w:r>
        <w:rPr>
          <w:rStyle w:val="normaltextrun"/>
          <w:rFonts w:cs="Calibri"/>
        </w:rPr>
        <w:t xml:space="preserve">illness, as well as the loss of productivity from family and friends </w:t>
      </w:r>
      <w:r w:rsidR="003E042D">
        <w:rPr>
          <w:rStyle w:val="normaltextrun"/>
          <w:rFonts w:cs="Calibri"/>
        </w:rPr>
        <w:t>because</w:t>
      </w:r>
      <w:r>
        <w:rPr>
          <w:rStyle w:val="normaltextrun"/>
          <w:rFonts w:cs="Calibri"/>
        </w:rPr>
        <w:t xml:space="preserve"> of caregiving. An example of this includes taking sick leave to go to the hospital. </w:t>
      </w:r>
    </w:p>
    <w:p w14:paraId="049823F1" w14:textId="77777777" w:rsidR="00376CA8" w:rsidRPr="00005FEA" w:rsidRDefault="00376CA8" w:rsidP="0005646B">
      <w:pPr>
        <w:pStyle w:val="Heading3"/>
        <w:rPr>
          <w:rStyle w:val="normaltextrun"/>
          <w:rFonts w:cs="Calibri"/>
          <w:bCs/>
          <w:color w:val="0094C5"/>
        </w:rPr>
      </w:pPr>
      <w:r w:rsidRPr="005358AE">
        <w:t>Intangible</w:t>
      </w:r>
      <w:r>
        <w:rPr>
          <w:rStyle w:val="normaltextrun"/>
          <w:rFonts w:cs="Calibri"/>
          <w:bCs/>
          <w:color w:val="0094C5"/>
        </w:rPr>
        <w:t xml:space="preserve"> costs</w:t>
      </w:r>
    </w:p>
    <w:p w14:paraId="5BA77598" w14:textId="2600024A" w:rsidR="00376CA8" w:rsidRDefault="00376CA8" w:rsidP="00FE291D">
      <w:pPr>
        <w:pStyle w:val="USBodyText"/>
        <w:rPr>
          <w:rStyle w:val="eop"/>
          <w:rFonts w:cs="Calibri"/>
        </w:rPr>
      </w:pPr>
      <w:r>
        <w:rPr>
          <w:rStyle w:val="normaltextrun"/>
          <w:rFonts w:cs="Calibri"/>
        </w:rPr>
        <w:t>Intangible costs refer to the changes in the quality of life of patients and their family. It is very difficult to define. Therefore, most cost</w:t>
      </w:r>
      <w:r w:rsidR="00B53F8A">
        <w:rPr>
          <w:rStyle w:val="normaltextrun"/>
          <w:rFonts w:cs="Calibri"/>
        </w:rPr>
        <w:t>-</w:t>
      </w:r>
      <w:r w:rsidR="007E7BCE">
        <w:rPr>
          <w:rStyle w:val="normaltextrun"/>
          <w:rFonts w:cs="Calibri"/>
        </w:rPr>
        <w:t>of</w:t>
      </w:r>
      <w:r w:rsidR="00B53F8A">
        <w:rPr>
          <w:rStyle w:val="normaltextrun"/>
          <w:rFonts w:cs="Calibri"/>
        </w:rPr>
        <w:t>-</w:t>
      </w:r>
      <w:r>
        <w:rPr>
          <w:rStyle w:val="normaltextrun"/>
          <w:rFonts w:cs="Calibri"/>
        </w:rPr>
        <w:t xml:space="preserve">illness studies forgo estimating this cost. </w:t>
      </w:r>
      <w:r>
        <w:rPr>
          <w:rStyle w:val="normaltextrun"/>
          <w:rFonts w:cs="Calibri"/>
        </w:rPr>
        <w:lastRenderedPageBreak/>
        <w:t>Examples include the pain and suffer</w:t>
      </w:r>
      <w:r w:rsidR="007E7BCE">
        <w:rPr>
          <w:rStyle w:val="normaltextrun"/>
          <w:rFonts w:cs="Calibri"/>
        </w:rPr>
        <w:t>ing</w:t>
      </w:r>
      <w:r>
        <w:rPr>
          <w:rStyle w:val="normaltextrun"/>
          <w:rFonts w:cs="Calibri"/>
        </w:rPr>
        <w:t xml:space="preserve"> </w:t>
      </w:r>
      <w:r w:rsidR="00FB70E9">
        <w:rPr>
          <w:rStyle w:val="normaltextrun"/>
          <w:rFonts w:cs="Calibri"/>
        </w:rPr>
        <w:t>people,</w:t>
      </w:r>
      <w:r>
        <w:rPr>
          <w:rStyle w:val="normaltextrun"/>
          <w:rFonts w:cs="Calibri"/>
        </w:rPr>
        <w:t xml:space="preserve"> and their carers have to go through due to certain illnesses. </w:t>
      </w:r>
    </w:p>
    <w:p w14:paraId="6203A007" w14:textId="0CC05A44" w:rsidR="00CB2B25" w:rsidRDefault="007E7BCE" w:rsidP="00CB2B25">
      <w:pPr>
        <w:pStyle w:val="TableCaption"/>
      </w:pPr>
      <w:bookmarkStart w:id="25" w:name="_Toc98760567"/>
      <w:r w:rsidRPr="00D1180A">
        <w:t xml:space="preserve">Table </w:t>
      </w:r>
      <w:r w:rsidR="00443CD7">
        <w:fldChar w:fldCharType="begin"/>
      </w:r>
      <w:r w:rsidR="00443CD7">
        <w:instrText xml:space="preserve"> SEQ Table \* ARABIC </w:instrText>
      </w:r>
      <w:r w:rsidR="00443CD7">
        <w:fldChar w:fldCharType="separate"/>
      </w:r>
      <w:r w:rsidR="002C631E">
        <w:rPr>
          <w:noProof/>
        </w:rPr>
        <w:t>3</w:t>
      </w:r>
      <w:r w:rsidR="00443CD7">
        <w:rPr>
          <w:noProof/>
        </w:rPr>
        <w:fldChar w:fldCharType="end"/>
      </w:r>
      <w:r>
        <w:t xml:space="preserve"> </w:t>
      </w:r>
      <w:r w:rsidR="00CB2B25">
        <w:t>Stratification of costs in cost</w:t>
      </w:r>
      <w:r w:rsidR="00234C40">
        <w:t>-</w:t>
      </w:r>
      <w:r w:rsidR="00CB2B25">
        <w:t>of</w:t>
      </w:r>
      <w:r w:rsidR="00234C40">
        <w:t>-</w:t>
      </w:r>
      <w:r w:rsidR="00CB2B25">
        <w:t>illness studies</w:t>
      </w:r>
      <w:bookmarkEnd w:id="25"/>
    </w:p>
    <w:tbl>
      <w:tblPr>
        <w:tblStyle w:val="TableDefault"/>
        <w:tblW w:w="0" w:type="auto"/>
        <w:tblLook w:val="04A0" w:firstRow="1" w:lastRow="0" w:firstColumn="1" w:lastColumn="0" w:noHBand="0" w:noVBand="1"/>
      </w:tblPr>
      <w:tblGrid>
        <w:gridCol w:w="1999"/>
        <w:gridCol w:w="1840"/>
        <w:gridCol w:w="2232"/>
        <w:gridCol w:w="2149"/>
      </w:tblGrid>
      <w:tr w:rsidR="00CB2B25" w:rsidRPr="00CB2B25" w14:paraId="7694EA03" w14:textId="77777777" w:rsidTr="00AD7736">
        <w:trPr>
          <w:cnfStyle w:val="100000000000" w:firstRow="1" w:lastRow="0" w:firstColumn="0" w:lastColumn="0" w:oddVBand="0" w:evenVBand="0" w:oddHBand="0" w:evenHBand="0" w:firstRowFirstColumn="0" w:firstRowLastColumn="0" w:lastRowFirstColumn="0" w:lastRowLastColumn="0"/>
        </w:trPr>
        <w:tc>
          <w:tcPr>
            <w:tcW w:w="1999" w:type="dxa"/>
          </w:tcPr>
          <w:p w14:paraId="401F08C8" w14:textId="77777777" w:rsidR="00CB2B25" w:rsidRPr="00CB2B25" w:rsidRDefault="00CB2B25" w:rsidP="006E35E9">
            <w:pPr>
              <w:pStyle w:val="TSTableHeadingWhite-TopRow"/>
            </w:pPr>
            <w:r w:rsidRPr="00CB2B25">
              <w:t>Direct health care costs</w:t>
            </w:r>
          </w:p>
        </w:tc>
        <w:tc>
          <w:tcPr>
            <w:tcW w:w="1840" w:type="dxa"/>
          </w:tcPr>
          <w:p w14:paraId="01A0AB24" w14:textId="5492D831" w:rsidR="00CB2B25" w:rsidRPr="00CB2B25" w:rsidRDefault="00CB2B25" w:rsidP="006E35E9">
            <w:pPr>
              <w:pStyle w:val="TSTableHeadingWhite-TopRow"/>
            </w:pPr>
            <w:r w:rsidRPr="00CB2B25">
              <w:t>Direct non-healthcare costs</w:t>
            </w:r>
          </w:p>
        </w:tc>
        <w:tc>
          <w:tcPr>
            <w:tcW w:w="2232" w:type="dxa"/>
          </w:tcPr>
          <w:p w14:paraId="0BD22653" w14:textId="77777777" w:rsidR="00CB2B25" w:rsidRPr="00CB2B25" w:rsidRDefault="00CB2B25" w:rsidP="006E35E9">
            <w:pPr>
              <w:pStyle w:val="TSTableHeadingWhite-TopRow"/>
            </w:pPr>
            <w:r w:rsidRPr="00CB2B25">
              <w:t>Indirect costs</w:t>
            </w:r>
          </w:p>
        </w:tc>
        <w:tc>
          <w:tcPr>
            <w:tcW w:w="2149" w:type="dxa"/>
          </w:tcPr>
          <w:p w14:paraId="1814F202" w14:textId="77777777" w:rsidR="00CB2B25" w:rsidRPr="00CB2B25" w:rsidRDefault="00CB2B25" w:rsidP="006E35E9">
            <w:pPr>
              <w:pStyle w:val="TSTableHeadingWhite-TopRow"/>
            </w:pPr>
            <w:r w:rsidRPr="00CB2B25">
              <w:t>Intangible costs</w:t>
            </w:r>
          </w:p>
        </w:tc>
      </w:tr>
      <w:tr w:rsidR="00CB2B25" w:rsidRPr="00CB2B25" w14:paraId="6020FBAA" w14:textId="77777777" w:rsidTr="00AD7736">
        <w:tc>
          <w:tcPr>
            <w:tcW w:w="1999" w:type="dxa"/>
          </w:tcPr>
          <w:p w14:paraId="49E26EE3" w14:textId="77777777" w:rsidR="00CB2B25" w:rsidRPr="00CB2B25" w:rsidRDefault="00CB2B25" w:rsidP="006E35E9">
            <w:pPr>
              <w:pStyle w:val="TSBodyText"/>
            </w:pPr>
            <w:r w:rsidRPr="00CB2B25">
              <w:t xml:space="preserve">Inpatient care costs </w:t>
            </w:r>
          </w:p>
          <w:p w14:paraId="0EC4CB04" w14:textId="77777777" w:rsidR="00CB2B25" w:rsidRPr="00CB2B25" w:rsidRDefault="00CB2B25" w:rsidP="006E35E9">
            <w:pPr>
              <w:pStyle w:val="TSBodyText"/>
            </w:pPr>
            <w:r w:rsidRPr="00CB2B25">
              <w:t>Outpatient services costs</w:t>
            </w:r>
          </w:p>
          <w:p w14:paraId="2EAD160C" w14:textId="77777777" w:rsidR="00CB2B25" w:rsidRPr="00CB2B25" w:rsidRDefault="00CB2B25" w:rsidP="006E35E9">
            <w:pPr>
              <w:pStyle w:val="TSBodyText"/>
            </w:pPr>
            <w:r w:rsidRPr="00CB2B25">
              <w:t>GP costs</w:t>
            </w:r>
          </w:p>
          <w:p w14:paraId="413389AD" w14:textId="77777777" w:rsidR="00CB2B25" w:rsidRPr="00CB2B25" w:rsidRDefault="00CB2B25" w:rsidP="006E35E9">
            <w:pPr>
              <w:pStyle w:val="TSBodyText"/>
            </w:pPr>
            <w:r w:rsidRPr="00CB2B25">
              <w:t>Patient co-payments</w:t>
            </w:r>
          </w:p>
          <w:p w14:paraId="713577FA" w14:textId="77777777" w:rsidR="00CB2B25" w:rsidRPr="00CB2B25" w:rsidRDefault="00CB2B25" w:rsidP="006E35E9">
            <w:pPr>
              <w:pStyle w:val="TSBodyText"/>
            </w:pPr>
            <w:r w:rsidRPr="00CB2B25">
              <w:t>Drug costs</w:t>
            </w:r>
          </w:p>
          <w:p w14:paraId="2B48B2A0" w14:textId="77777777" w:rsidR="00CB2B25" w:rsidRPr="00CB2B25" w:rsidRDefault="00CB2B25" w:rsidP="006E35E9">
            <w:pPr>
              <w:pStyle w:val="TSBodyText"/>
            </w:pPr>
            <w:r w:rsidRPr="00CB2B25">
              <w:t>Ambulance costs</w:t>
            </w:r>
          </w:p>
          <w:p w14:paraId="1EF960E5" w14:textId="77777777" w:rsidR="00CB2B25" w:rsidRPr="00CB2B25" w:rsidRDefault="00CB2B25" w:rsidP="006E35E9">
            <w:pPr>
              <w:pStyle w:val="TSBodyText"/>
            </w:pPr>
            <w:r w:rsidRPr="00CB2B25">
              <w:t>Community nursing costs</w:t>
            </w:r>
          </w:p>
          <w:p w14:paraId="6006F094" w14:textId="77777777" w:rsidR="00CB2B25" w:rsidRPr="00CB2B25" w:rsidRDefault="00CB2B25" w:rsidP="006E35E9">
            <w:pPr>
              <w:pStyle w:val="TSBodyText"/>
            </w:pPr>
            <w:r w:rsidRPr="00CB2B25">
              <w:t>Laboratory test costs</w:t>
            </w:r>
          </w:p>
          <w:p w14:paraId="0548513C" w14:textId="77777777" w:rsidR="00CB2B25" w:rsidRPr="00CB2B25" w:rsidRDefault="00CB2B25" w:rsidP="006E35E9">
            <w:pPr>
              <w:pStyle w:val="TSBodyText"/>
            </w:pPr>
            <w:r w:rsidRPr="00CB2B25">
              <w:t>Residential care costs</w:t>
            </w:r>
          </w:p>
          <w:p w14:paraId="42611AC0" w14:textId="77777777" w:rsidR="00CB2B25" w:rsidRPr="00CB2B25" w:rsidRDefault="00CB2B25" w:rsidP="006E35E9">
            <w:pPr>
              <w:pStyle w:val="TSBodyText"/>
            </w:pPr>
            <w:r w:rsidRPr="00CB2B25">
              <w:t>Medical imaging and diagnostic costs</w:t>
            </w:r>
          </w:p>
        </w:tc>
        <w:tc>
          <w:tcPr>
            <w:tcW w:w="1840" w:type="dxa"/>
          </w:tcPr>
          <w:p w14:paraId="224C1B2F" w14:textId="77777777" w:rsidR="00CB2B25" w:rsidRPr="00CB2B25" w:rsidRDefault="00CB2B25" w:rsidP="006E35E9">
            <w:pPr>
              <w:pStyle w:val="TSBodyText"/>
            </w:pPr>
            <w:r w:rsidRPr="00CB2B25">
              <w:t>Disability benefits</w:t>
            </w:r>
          </w:p>
          <w:p w14:paraId="5CBB8EF9" w14:textId="77777777" w:rsidR="00CB2B25" w:rsidRPr="00CB2B25" w:rsidRDefault="00CB2B25" w:rsidP="006E35E9">
            <w:pPr>
              <w:pStyle w:val="TSBodyText"/>
            </w:pPr>
            <w:r w:rsidRPr="00CB2B25">
              <w:t>Time costs</w:t>
            </w:r>
          </w:p>
          <w:p w14:paraId="2268C970" w14:textId="77777777" w:rsidR="00CB2B25" w:rsidRPr="00CB2B25" w:rsidRDefault="00CB2B25" w:rsidP="006E35E9">
            <w:pPr>
              <w:pStyle w:val="TSBodyText"/>
            </w:pPr>
            <w:r w:rsidRPr="00CB2B25">
              <w:t>Transport costs</w:t>
            </w:r>
          </w:p>
          <w:p w14:paraId="2904A581" w14:textId="77777777" w:rsidR="00CB2B25" w:rsidRPr="00CB2B25" w:rsidRDefault="00CB2B25" w:rsidP="006E35E9">
            <w:pPr>
              <w:pStyle w:val="TSBodyText"/>
            </w:pPr>
            <w:r w:rsidRPr="00CB2B25">
              <w:t>Cost of childcare</w:t>
            </w:r>
          </w:p>
        </w:tc>
        <w:tc>
          <w:tcPr>
            <w:tcW w:w="2232" w:type="dxa"/>
          </w:tcPr>
          <w:p w14:paraId="324E1B35" w14:textId="77777777" w:rsidR="00CB2B25" w:rsidRPr="00CB2B25" w:rsidRDefault="00CB2B25" w:rsidP="006E35E9">
            <w:pPr>
              <w:pStyle w:val="TSBodyText"/>
            </w:pPr>
            <w:r w:rsidRPr="00CB2B25">
              <w:t>Productivity losses</w:t>
            </w:r>
          </w:p>
          <w:p w14:paraId="797695D2" w14:textId="77777777" w:rsidR="00CB2B25" w:rsidRPr="00CB2B25" w:rsidRDefault="00CB2B25" w:rsidP="006E35E9">
            <w:pPr>
              <w:pStyle w:val="TSBodyText"/>
            </w:pPr>
            <w:r w:rsidRPr="00CB2B25">
              <w:t>Foregone leisure time</w:t>
            </w:r>
          </w:p>
          <w:p w14:paraId="555E83C3" w14:textId="77777777" w:rsidR="00CB2B25" w:rsidRPr="00CB2B25" w:rsidRDefault="00CB2B25" w:rsidP="006E35E9">
            <w:pPr>
              <w:pStyle w:val="TSBodyText"/>
            </w:pPr>
          </w:p>
        </w:tc>
        <w:tc>
          <w:tcPr>
            <w:tcW w:w="2149" w:type="dxa"/>
          </w:tcPr>
          <w:p w14:paraId="25F1AE07" w14:textId="77777777" w:rsidR="00CB2B25" w:rsidRPr="00CB2B25" w:rsidRDefault="00CB2B25" w:rsidP="006E35E9">
            <w:pPr>
              <w:pStyle w:val="TSBodyText"/>
            </w:pPr>
            <w:r w:rsidRPr="00CB2B25">
              <w:t>Impacts on relationships</w:t>
            </w:r>
          </w:p>
          <w:p w14:paraId="43AE0262" w14:textId="77777777" w:rsidR="00CB2B25" w:rsidRPr="00CB2B25" w:rsidRDefault="00CB2B25" w:rsidP="006E35E9">
            <w:pPr>
              <w:pStyle w:val="TSBodyText"/>
            </w:pPr>
            <w:r w:rsidRPr="00CB2B25">
              <w:t>Pain and suffering</w:t>
            </w:r>
          </w:p>
          <w:p w14:paraId="059E3A27" w14:textId="77777777" w:rsidR="00CB2B25" w:rsidRPr="00CB2B25" w:rsidRDefault="00CB2B25" w:rsidP="006E35E9">
            <w:pPr>
              <w:pStyle w:val="TSBodyText"/>
            </w:pPr>
            <w:r w:rsidRPr="00CB2B25">
              <w:t>Subjective wellbeing impacts</w:t>
            </w:r>
          </w:p>
          <w:p w14:paraId="2229A7C3" w14:textId="77777777" w:rsidR="00CB2B25" w:rsidRPr="00CB2B25" w:rsidRDefault="00CB2B25" w:rsidP="006E35E9">
            <w:pPr>
              <w:pStyle w:val="TSBodyText"/>
            </w:pPr>
            <w:r w:rsidRPr="00CB2B25">
              <w:t>Quality of life impacts</w:t>
            </w:r>
          </w:p>
          <w:p w14:paraId="3315A328" w14:textId="77777777" w:rsidR="00CB2B25" w:rsidRPr="00CB2B25" w:rsidRDefault="00CB2B25" w:rsidP="006E35E9">
            <w:pPr>
              <w:pStyle w:val="TSBodyText"/>
            </w:pPr>
          </w:p>
        </w:tc>
      </w:tr>
    </w:tbl>
    <w:p w14:paraId="6C638332" w14:textId="77777777" w:rsidR="00CB2B25" w:rsidRDefault="00CB2B25" w:rsidP="00CB2B25">
      <w:pPr>
        <w:pStyle w:val="USSource"/>
      </w:pPr>
      <w:r>
        <w:t>Source: NZIER</w:t>
      </w:r>
    </w:p>
    <w:p w14:paraId="11EA72C9" w14:textId="3B4F58CE" w:rsidR="00376CA8" w:rsidRPr="00B93311" w:rsidRDefault="00376CA8" w:rsidP="002E10F0">
      <w:pPr>
        <w:pStyle w:val="Heading2"/>
      </w:pPr>
      <w:bookmarkStart w:id="26" w:name="_Toc98760505"/>
      <w:r w:rsidRPr="022E10EB">
        <w:rPr>
          <w:rStyle w:val="normaltextrun"/>
          <w:rFonts w:cs="Calibri"/>
        </w:rPr>
        <w:t>Estimating direct costs</w:t>
      </w:r>
      <w:bookmarkEnd w:id="26"/>
    </w:p>
    <w:p w14:paraId="6A424E53" w14:textId="33D7B426" w:rsidR="00376CA8" w:rsidRDefault="00376CA8" w:rsidP="00D10CBC">
      <w:pPr>
        <w:pStyle w:val="USBodyText"/>
        <w:rPr>
          <w:rStyle w:val="normaltextrun"/>
          <w:rFonts w:cs="Calibri"/>
        </w:rPr>
      </w:pPr>
      <w:r>
        <w:rPr>
          <w:rStyle w:val="normaltextrun"/>
          <w:rFonts w:cs="Calibri"/>
        </w:rPr>
        <w:t>In terms of calculating the direct cost</w:t>
      </w:r>
      <w:r w:rsidR="00D10CBC">
        <w:rPr>
          <w:rStyle w:val="normaltextrun"/>
          <w:rFonts w:cs="Calibri"/>
        </w:rPr>
        <w:t>s</w:t>
      </w:r>
      <w:r>
        <w:rPr>
          <w:rStyle w:val="normaltextrun"/>
          <w:rFonts w:cs="Calibri"/>
        </w:rPr>
        <w:t xml:space="preserve"> associated with illnesses,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illness studies</w:t>
      </w:r>
      <w:r w:rsidR="00D10CBC">
        <w:rPr>
          <w:rStyle w:val="normaltextrun"/>
          <w:rFonts w:cs="Calibri"/>
        </w:rPr>
        <w:t xml:space="preserve"> are</w:t>
      </w:r>
      <w:r>
        <w:rPr>
          <w:rStyle w:val="normaltextrun"/>
          <w:rFonts w:cs="Calibri"/>
        </w:rPr>
        <w:t xml:space="preserve"> typically divided into top-down and bottom-up studies. </w:t>
      </w:r>
    </w:p>
    <w:p w14:paraId="34429C54" w14:textId="5C4F5F53" w:rsidR="00376CA8" w:rsidRDefault="00376CA8" w:rsidP="0005646B">
      <w:pPr>
        <w:pStyle w:val="Heading3"/>
      </w:pPr>
      <w:r>
        <w:t xml:space="preserve">Top-down, bottom-up, gross and </w:t>
      </w:r>
      <w:r w:rsidR="002E5B0F">
        <w:t>micro</w:t>
      </w:r>
      <w:r w:rsidR="00910999">
        <w:t>-</w:t>
      </w:r>
      <w:r>
        <w:t>costing methods</w:t>
      </w:r>
    </w:p>
    <w:p w14:paraId="7A741F93" w14:textId="041CF57F" w:rsidR="00376CA8" w:rsidRDefault="00376CA8" w:rsidP="00376CA8">
      <w:pPr>
        <w:pStyle w:val="USBodyText"/>
      </w:pPr>
      <w:r>
        <w:t>The</w:t>
      </w:r>
      <w:r w:rsidR="006E35E9">
        <w:t xml:space="preserve">re </w:t>
      </w:r>
      <w:r w:rsidR="00B53F8A">
        <w:t>is</w:t>
      </w:r>
      <w:r w:rsidR="006E35E9">
        <w:t xml:space="preserve"> a range of</w:t>
      </w:r>
      <w:r>
        <w:t xml:space="preserve"> method</w:t>
      </w:r>
      <w:r w:rsidR="006E35E9">
        <w:t>s</w:t>
      </w:r>
      <w:r>
        <w:t xml:space="preserve"> </w:t>
      </w:r>
      <w:r w:rsidR="006E35E9">
        <w:t xml:space="preserve">that can be </w:t>
      </w:r>
      <w:r>
        <w:t xml:space="preserve">used to sum up </w:t>
      </w:r>
      <w:r w:rsidR="006E35E9">
        <w:t xml:space="preserve">direct </w:t>
      </w:r>
      <w:r>
        <w:t xml:space="preserve">costs over a population. Depending on the availability of data and the degree of granularity and detail needed in cost estimates, researchers may choose to use expenditure data collected at an organisational or </w:t>
      </w:r>
      <w:r w:rsidR="00D81808">
        <w:t>system-</w:t>
      </w:r>
      <w:r>
        <w:t>level (</w:t>
      </w:r>
      <w:r w:rsidR="00D81808">
        <w:t>top-</w:t>
      </w:r>
      <w:r>
        <w:t>down) or resource use data collected at the individual level (bottom-up). Within each of these categories, there is the additional option of micro-costing – compiling costs in detail for specific resources (</w:t>
      </w:r>
      <w:r w:rsidR="003C5937">
        <w:t>e.g.</w:t>
      </w:r>
      <w:r>
        <w:t xml:space="preserve"> hours of physiotherapy) or compiling costs at an aggregate level based on an episode of care (</w:t>
      </w:r>
      <w:r w:rsidR="003C5937">
        <w:t>e.g.</w:t>
      </w:r>
      <w:r>
        <w:t xml:space="preserve"> average discharge costs for a specific diagnosis-related group). </w:t>
      </w:r>
    </w:p>
    <w:p w14:paraId="53CF8E4F" w14:textId="5C934E1B" w:rsidR="00156C1B" w:rsidRDefault="00156C1B">
      <w:pPr>
        <w:spacing w:after="160" w:line="259" w:lineRule="auto"/>
      </w:pPr>
      <w:r>
        <w:br w:type="page"/>
      </w:r>
    </w:p>
    <w:p w14:paraId="53EC3B2B" w14:textId="76A9B61E" w:rsidR="00376CA8" w:rsidRDefault="00042444" w:rsidP="00376CA8">
      <w:pPr>
        <w:pStyle w:val="TableCaption"/>
      </w:pPr>
      <w:bookmarkStart w:id="27" w:name="_Toc98760568"/>
      <w:r w:rsidRPr="00D1180A">
        <w:lastRenderedPageBreak/>
        <w:t xml:space="preserve">Table </w:t>
      </w:r>
      <w:r w:rsidR="00443CD7">
        <w:fldChar w:fldCharType="begin"/>
      </w:r>
      <w:r w:rsidR="00443CD7">
        <w:instrText xml:space="preserve"> SEQ Table \* ARABIC </w:instrText>
      </w:r>
      <w:r w:rsidR="00443CD7">
        <w:fldChar w:fldCharType="separate"/>
      </w:r>
      <w:r w:rsidR="002C631E">
        <w:rPr>
          <w:noProof/>
        </w:rPr>
        <w:t>4</w:t>
      </w:r>
      <w:r w:rsidR="00443CD7">
        <w:rPr>
          <w:noProof/>
        </w:rPr>
        <w:fldChar w:fldCharType="end"/>
      </w:r>
      <w:r w:rsidR="00376CA8">
        <w:t xml:space="preserve"> Health services costing methods</w:t>
      </w:r>
      <w:bookmarkEnd w:id="27"/>
    </w:p>
    <w:tbl>
      <w:tblPr>
        <w:tblStyle w:val="TableDefault"/>
        <w:tblW w:w="0" w:type="auto"/>
        <w:tblLook w:val="04A0" w:firstRow="1" w:lastRow="0" w:firstColumn="1" w:lastColumn="0" w:noHBand="0" w:noVBand="1"/>
      </w:tblPr>
      <w:tblGrid>
        <w:gridCol w:w="1327"/>
        <w:gridCol w:w="1508"/>
        <w:gridCol w:w="2410"/>
        <w:gridCol w:w="2693"/>
      </w:tblGrid>
      <w:tr w:rsidR="00376CA8" w14:paraId="0D00966F" w14:textId="77777777" w:rsidTr="0039778C">
        <w:trPr>
          <w:cnfStyle w:val="100000000000" w:firstRow="1" w:lastRow="0" w:firstColumn="0" w:lastColumn="0" w:oddVBand="0" w:evenVBand="0" w:oddHBand="0" w:evenHBand="0" w:firstRowFirstColumn="0" w:firstRowLastColumn="0" w:lastRowFirstColumn="0" w:lastRowLastColumn="0"/>
        </w:trPr>
        <w:tc>
          <w:tcPr>
            <w:tcW w:w="1327" w:type="dxa"/>
            <w:vMerge w:val="restart"/>
            <w:shd w:val="clear" w:color="auto" w:fill="F2F2F2" w:themeFill="background1" w:themeFillShade="F2"/>
          </w:tcPr>
          <w:p w14:paraId="28A6C8B3" w14:textId="77777777" w:rsidR="00376CA8" w:rsidRDefault="00376CA8" w:rsidP="0039778C">
            <w:pPr>
              <w:pStyle w:val="TSTableHeadingWhite-TopRow"/>
            </w:pPr>
          </w:p>
        </w:tc>
        <w:tc>
          <w:tcPr>
            <w:tcW w:w="1508" w:type="dxa"/>
          </w:tcPr>
          <w:p w14:paraId="216E39F8" w14:textId="77777777" w:rsidR="00376CA8" w:rsidRDefault="00376CA8" w:rsidP="0039778C">
            <w:pPr>
              <w:pStyle w:val="TSTableHeadingWhite-TopRow"/>
            </w:pPr>
          </w:p>
        </w:tc>
        <w:tc>
          <w:tcPr>
            <w:tcW w:w="5103" w:type="dxa"/>
            <w:gridSpan w:val="2"/>
          </w:tcPr>
          <w:p w14:paraId="1CB2A8C0" w14:textId="77777777" w:rsidR="00376CA8" w:rsidRPr="00013B48" w:rsidRDefault="00376CA8" w:rsidP="0039778C">
            <w:pPr>
              <w:pStyle w:val="TSTableHeadingWhite-TopRow"/>
              <w:rPr>
                <w:bCs/>
              </w:rPr>
            </w:pPr>
            <w:r w:rsidRPr="006E35E9">
              <w:t>Level and type of data collected</w:t>
            </w:r>
          </w:p>
        </w:tc>
      </w:tr>
      <w:tr w:rsidR="00376CA8" w14:paraId="5E322639" w14:textId="77777777" w:rsidTr="0039778C">
        <w:tc>
          <w:tcPr>
            <w:tcW w:w="1327" w:type="dxa"/>
            <w:vMerge/>
            <w:shd w:val="clear" w:color="auto" w:fill="F2F2F2" w:themeFill="background1" w:themeFillShade="F2"/>
          </w:tcPr>
          <w:p w14:paraId="6A97DB24" w14:textId="77777777" w:rsidR="00376CA8" w:rsidRPr="00013B48" w:rsidRDefault="00376CA8" w:rsidP="0039778C">
            <w:pPr>
              <w:pStyle w:val="TSBodyText"/>
            </w:pPr>
          </w:p>
        </w:tc>
        <w:tc>
          <w:tcPr>
            <w:tcW w:w="1508" w:type="dxa"/>
            <w:shd w:val="clear" w:color="auto" w:fill="C0EFFF" w:themeFill="accent1" w:themeFillTint="33"/>
          </w:tcPr>
          <w:p w14:paraId="5EBEE478" w14:textId="77777777" w:rsidR="00376CA8" w:rsidRPr="00013B48" w:rsidRDefault="00376CA8" w:rsidP="0039778C">
            <w:pPr>
              <w:pStyle w:val="TSBodyText"/>
            </w:pPr>
          </w:p>
        </w:tc>
        <w:tc>
          <w:tcPr>
            <w:tcW w:w="2410" w:type="dxa"/>
            <w:shd w:val="clear" w:color="auto" w:fill="C0EFFF" w:themeFill="accent1" w:themeFillTint="33"/>
          </w:tcPr>
          <w:p w14:paraId="5C4FBB1D" w14:textId="1D0310C7" w:rsidR="00376CA8" w:rsidRPr="00013B48" w:rsidRDefault="00376CA8" w:rsidP="0039778C">
            <w:pPr>
              <w:pStyle w:val="TSBodyText"/>
            </w:pPr>
            <w:r w:rsidRPr="00013B48">
              <w:t xml:space="preserve">Expenditure data collected at </w:t>
            </w:r>
            <w:r w:rsidR="00156C1B">
              <w:t xml:space="preserve">the </w:t>
            </w:r>
            <w:r w:rsidRPr="00013B48">
              <w:t>organisational level</w:t>
            </w:r>
          </w:p>
        </w:tc>
        <w:tc>
          <w:tcPr>
            <w:tcW w:w="2693" w:type="dxa"/>
            <w:shd w:val="clear" w:color="auto" w:fill="C0EFFF" w:themeFill="accent1" w:themeFillTint="33"/>
          </w:tcPr>
          <w:p w14:paraId="79CA3A79" w14:textId="77777777" w:rsidR="00376CA8" w:rsidRPr="00013B48" w:rsidRDefault="00376CA8" w:rsidP="0039778C">
            <w:pPr>
              <w:pStyle w:val="TSBodyText"/>
            </w:pPr>
            <w:r w:rsidRPr="00013B48">
              <w:t>Resource use data collected for each individual patient</w:t>
            </w:r>
          </w:p>
        </w:tc>
      </w:tr>
      <w:tr w:rsidR="00376CA8" w14:paraId="3959759B" w14:textId="77777777" w:rsidTr="0039778C">
        <w:trPr>
          <w:cnfStyle w:val="000000010000" w:firstRow="0" w:lastRow="0" w:firstColumn="0" w:lastColumn="0" w:oddVBand="0" w:evenVBand="0" w:oddHBand="0" w:evenHBand="1" w:firstRowFirstColumn="0" w:firstRowLastColumn="0" w:lastRowFirstColumn="0" w:lastRowLastColumn="0"/>
        </w:trPr>
        <w:tc>
          <w:tcPr>
            <w:tcW w:w="1327" w:type="dxa"/>
            <w:vMerge w:val="restart"/>
            <w:shd w:val="clear" w:color="auto" w:fill="0094C5" w:themeFill="accent1"/>
          </w:tcPr>
          <w:p w14:paraId="44F132B2" w14:textId="77777777" w:rsidR="00376CA8" w:rsidRPr="001B26FC" w:rsidRDefault="00376CA8" w:rsidP="0039778C">
            <w:pPr>
              <w:pStyle w:val="TSBodyText"/>
              <w:rPr>
                <w:b/>
                <w:bCs/>
                <w:color w:val="FFFFFF" w:themeColor="background1"/>
              </w:rPr>
            </w:pPr>
            <w:r w:rsidRPr="001B26FC">
              <w:rPr>
                <w:b/>
                <w:bCs/>
                <w:color w:val="FFFFFF" w:themeColor="background1"/>
              </w:rPr>
              <w:t>Level of identification of resource use</w:t>
            </w:r>
          </w:p>
        </w:tc>
        <w:tc>
          <w:tcPr>
            <w:tcW w:w="1508" w:type="dxa"/>
            <w:shd w:val="clear" w:color="auto" w:fill="C0EFFF" w:themeFill="accent1" w:themeFillTint="33"/>
          </w:tcPr>
          <w:p w14:paraId="7432B645" w14:textId="77777777" w:rsidR="00376CA8" w:rsidRPr="00013B48" w:rsidRDefault="00376CA8" w:rsidP="0039778C">
            <w:pPr>
              <w:pStyle w:val="TSBodyText"/>
            </w:pPr>
            <w:r w:rsidRPr="00013B48">
              <w:t>Highly detailed resource use</w:t>
            </w:r>
          </w:p>
        </w:tc>
        <w:tc>
          <w:tcPr>
            <w:tcW w:w="2410" w:type="dxa"/>
            <w:shd w:val="clear" w:color="auto" w:fill="auto"/>
          </w:tcPr>
          <w:p w14:paraId="58876C93" w14:textId="77777777" w:rsidR="00376CA8" w:rsidRPr="00013B48" w:rsidRDefault="00376CA8" w:rsidP="0039778C">
            <w:pPr>
              <w:pStyle w:val="TSBodyText"/>
            </w:pPr>
            <w:r>
              <w:t>Top-down micro-costing</w:t>
            </w:r>
          </w:p>
        </w:tc>
        <w:tc>
          <w:tcPr>
            <w:tcW w:w="2693" w:type="dxa"/>
            <w:shd w:val="clear" w:color="auto" w:fill="auto"/>
          </w:tcPr>
          <w:p w14:paraId="5E5D38D0" w14:textId="77777777" w:rsidR="00376CA8" w:rsidRPr="00013B48" w:rsidRDefault="00376CA8" w:rsidP="0039778C">
            <w:pPr>
              <w:pStyle w:val="TSBodyText"/>
            </w:pPr>
            <w:r>
              <w:t>Bottom-up micro-costing</w:t>
            </w:r>
          </w:p>
        </w:tc>
      </w:tr>
      <w:tr w:rsidR="00376CA8" w14:paraId="11B77C25" w14:textId="77777777" w:rsidTr="0039778C">
        <w:tc>
          <w:tcPr>
            <w:tcW w:w="1327" w:type="dxa"/>
            <w:vMerge/>
            <w:shd w:val="clear" w:color="auto" w:fill="0094C5" w:themeFill="accent1"/>
          </w:tcPr>
          <w:p w14:paraId="38018052" w14:textId="77777777" w:rsidR="00376CA8" w:rsidRPr="001B26FC" w:rsidRDefault="00376CA8" w:rsidP="0039778C">
            <w:pPr>
              <w:pStyle w:val="TSBodyText"/>
              <w:rPr>
                <w:b/>
                <w:bCs/>
                <w:color w:val="FFFFFF" w:themeColor="background1"/>
              </w:rPr>
            </w:pPr>
          </w:p>
        </w:tc>
        <w:tc>
          <w:tcPr>
            <w:tcW w:w="1508" w:type="dxa"/>
            <w:shd w:val="clear" w:color="auto" w:fill="C0EFFF" w:themeFill="accent1" w:themeFillTint="33"/>
          </w:tcPr>
          <w:p w14:paraId="2CA4886E" w14:textId="77777777" w:rsidR="00376CA8" w:rsidRPr="00013B48" w:rsidRDefault="00376CA8" w:rsidP="0039778C">
            <w:pPr>
              <w:pStyle w:val="TSBodyText"/>
            </w:pPr>
            <w:r w:rsidRPr="00013B48">
              <w:t>Aggregate resource use</w:t>
            </w:r>
          </w:p>
        </w:tc>
        <w:tc>
          <w:tcPr>
            <w:tcW w:w="2410" w:type="dxa"/>
            <w:shd w:val="clear" w:color="auto" w:fill="auto"/>
          </w:tcPr>
          <w:p w14:paraId="3F12B81B" w14:textId="77777777" w:rsidR="00376CA8" w:rsidRPr="00013B48" w:rsidRDefault="00376CA8" w:rsidP="0039778C">
            <w:pPr>
              <w:pStyle w:val="TSBodyText"/>
            </w:pPr>
            <w:r>
              <w:t>Top-down gross costing</w:t>
            </w:r>
          </w:p>
        </w:tc>
        <w:tc>
          <w:tcPr>
            <w:tcW w:w="2693" w:type="dxa"/>
            <w:shd w:val="clear" w:color="auto" w:fill="auto"/>
          </w:tcPr>
          <w:p w14:paraId="4C2DBCF9" w14:textId="77777777" w:rsidR="00376CA8" w:rsidRPr="00013B48" w:rsidRDefault="00376CA8" w:rsidP="0039778C">
            <w:pPr>
              <w:pStyle w:val="TSBodyText"/>
            </w:pPr>
            <w:r>
              <w:t>Bottom-up gross costing</w:t>
            </w:r>
          </w:p>
        </w:tc>
      </w:tr>
    </w:tbl>
    <w:p w14:paraId="47224932" w14:textId="7ADCD07E" w:rsidR="00376CA8" w:rsidRDefault="00376CA8" w:rsidP="00376CA8">
      <w:pPr>
        <w:pStyle w:val="USSource"/>
      </w:pPr>
      <w:r>
        <w:t>Source</w:t>
      </w:r>
      <w:r w:rsidR="006F1600">
        <w:rPr>
          <w:rFonts w:cs="Calibri"/>
          <w:szCs w:val="24"/>
        </w:rPr>
        <w:t xml:space="preserve">: </w:t>
      </w:r>
      <w:r w:rsidR="006F1600" w:rsidRPr="006F1600">
        <w:rPr>
          <w:rFonts w:cs="Calibri"/>
          <w:szCs w:val="24"/>
        </w:rPr>
        <w:t>Špacírová</w:t>
      </w:r>
      <w:r w:rsidR="006F1600">
        <w:rPr>
          <w:rFonts w:cs="Calibri"/>
          <w:szCs w:val="24"/>
        </w:rPr>
        <w:t xml:space="preserve"> </w:t>
      </w:r>
      <w:r w:rsidR="006F1600" w:rsidRPr="006F1600">
        <w:rPr>
          <w:rFonts w:cs="Calibri"/>
          <w:szCs w:val="24"/>
        </w:rPr>
        <w:t xml:space="preserve">et al. </w:t>
      </w:r>
      <w:r w:rsidR="006F1600">
        <w:rPr>
          <w:rFonts w:cs="Calibri"/>
          <w:szCs w:val="24"/>
        </w:rPr>
        <w:t>(</w:t>
      </w:r>
      <w:r w:rsidR="006F1600" w:rsidRPr="006F1600">
        <w:rPr>
          <w:rFonts w:cs="Calibri"/>
          <w:szCs w:val="24"/>
        </w:rPr>
        <w:t>2020)</w:t>
      </w:r>
    </w:p>
    <w:p w14:paraId="39964E3C" w14:textId="297128FD" w:rsidR="00917423" w:rsidRDefault="00047154" w:rsidP="008B43A1">
      <w:pPr>
        <w:pStyle w:val="USBodyText"/>
      </w:pPr>
      <w:r>
        <w:t>A wide range of terminology is used in top-down and bottom-up costing</w:t>
      </w:r>
      <w:r w:rsidR="006F1600">
        <w:t>,</w:t>
      </w:r>
      <w:r>
        <w:t xml:space="preserve"> </w:t>
      </w:r>
      <w:r w:rsidR="00B526A0">
        <w:t>which often creates confusion due to</w:t>
      </w:r>
      <w:r>
        <w:t xml:space="preserve"> similar terms being used with different meanings in other contexts. </w:t>
      </w:r>
      <w:r w:rsidR="006E3D1C">
        <w:t>Cost</w:t>
      </w:r>
      <w:r w:rsidR="00234C40">
        <w:t>-</w:t>
      </w:r>
      <w:r w:rsidR="006E3D1C">
        <w:t>of</w:t>
      </w:r>
      <w:r w:rsidR="00234C40">
        <w:t>-</w:t>
      </w:r>
      <w:r w:rsidR="006E3D1C">
        <w:t>illness studies are sometimes light on methodology</w:t>
      </w:r>
      <w:r w:rsidR="009A4DD6">
        <w:t xml:space="preserve">, but where methods are fully described, terms such as those described in </w:t>
      </w:r>
      <w:r w:rsidR="00B526A0">
        <w:fldChar w:fldCharType="begin"/>
      </w:r>
      <w:r w:rsidR="00B526A0">
        <w:instrText xml:space="preserve"> REF _Ref85622142 \h </w:instrText>
      </w:r>
      <w:r w:rsidR="00B526A0">
        <w:fldChar w:fldCharType="separate"/>
      </w:r>
      <w:r w:rsidR="002C631E" w:rsidRPr="00D1180A">
        <w:t xml:space="preserve">Table </w:t>
      </w:r>
      <w:r w:rsidR="002C631E">
        <w:rPr>
          <w:noProof/>
        </w:rPr>
        <w:t>5</w:t>
      </w:r>
      <w:r w:rsidR="00B526A0">
        <w:fldChar w:fldCharType="end"/>
      </w:r>
      <w:r w:rsidR="00B526A0">
        <w:t xml:space="preserve"> </w:t>
      </w:r>
      <w:r w:rsidR="009A4DD6">
        <w:t>below</w:t>
      </w:r>
      <w:r w:rsidR="008B43A1">
        <w:t xml:space="preserve"> are likely to be used.</w:t>
      </w:r>
    </w:p>
    <w:p w14:paraId="132A0338" w14:textId="08BE5009" w:rsidR="00917423" w:rsidRDefault="00B526A0" w:rsidP="00917423">
      <w:pPr>
        <w:pStyle w:val="TableCaption"/>
        <w:rPr>
          <w:rStyle w:val="eop"/>
          <w:rFonts w:cs="Calibri"/>
          <w:b w:val="0"/>
          <w:color w:val="auto"/>
          <w:sz w:val="22"/>
          <w:szCs w:val="22"/>
        </w:rPr>
      </w:pPr>
      <w:bookmarkStart w:id="28" w:name="_Ref85622142"/>
      <w:bookmarkStart w:id="29" w:name="_Toc98760569"/>
      <w:r w:rsidRPr="00D1180A">
        <w:t xml:space="preserve">Table </w:t>
      </w:r>
      <w:r w:rsidR="00443CD7">
        <w:fldChar w:fldCharType="begin"/>
      </w:r>
      <w:r w:rsidR="00443CD7">
        <w:instrText xml:space="preserve"> SEQ Table \* ARABIC </w:instrText>
      </w:r>
      <w:r w:rsidR="00443CD7">
        <w:fldChar w:fldCharType="separate"/>
      </w:r>
      <w:r w:rsidR="002C631E">
        <w:rPr>
          <w:noProof/>
        </w:rPr>
        <w:t>5</w:t>
      </w:r>
      <w:r w:rsidR="00443CD7">
        <w:rPr>
          <w:noProof/>
        </w:rPr>
        <w:fldChar w:fldCharType="end"/>
      </w:r>
      <w:bookmarkEnd w:id="28"/>
      <w:r>
        <w:t xml:space="preserve"> </w:t>
      </w:r>
      <w:r w:rsidR="00917423">
        <w:rPr>
          <w:rStyle w:val="eop"/>
          <w:rFonts w:cs="Calibri"/>
          <w:sz w:val="22"/>
          <w:szCs w:val="22"/>
        </w:rPr>
        <w:t>Terminology used in top-down and bottom-up health system costing</w:t>
      </w:r>
      <w:bookmarkEnd w:id="29"/>
    </w:p>
    <w:tbl>
      <w:tblPr>
        <w:tblStyle w:val="TableDefault"/>
        <w:tblW w:w="8232" w:type="dxa"/>
        <w:tblInd w:w="840" w:type="dxa"/>
        <w:tblLook w:val="04A0" w:firstRow="1" w:lastRow="0" w:firstColumn="1" w:lastColumn="0" w:noHBand="0" w:noVBand="1"/>
      </w:tblPr>
      <w:tblGrid>
        <w:gridCol w:w="1570"/>
        <w:gridCol w:w="6662"/>
      </w:tblGrid>
      <w:tr w:rsidR="00917423" w14:paraId="62717006" w14:textId="77777777" w:rsidTr="008B43A1">
        <w:trPr>
          <w:cnfStyle w:val="100000000000" w:firstRow="1" w:lastRow="0" w:firstColumn="0" w:lastColumn="0" w:oddVBand="0" w:evenVBand="0" w:oddHBand="0" w:evenHBand="0" w:firstRowFirstColumn="0" w:firstRowLastColumn="0" w:lastRowFirstColumn="0" w:lastRowLastColumn="0"/>
        </w:trPr>
        <w:tc>
          <w:tcPr>
            <w:tcW w:w="1570" w:type="dxa"/>
          </w:tcPr>
          <w:p w14:paraId="60228395" w14:textId="77777777" w:rsidR="00917423" w:rsidRPr="006E35E9" w:rsidRDefault="00917423" w:rsidP="006E35E9">
            <w:pPr>
              <w:pStyle w:val="TSTableHeadingWhite-TopRow"/>
              <w:rPr>
                <w:rStyle w:val="eop"/>
                <w:b w:val="0"/>
              </w:rPr>
            </w:pPr>
            <w:r w:rsidRPr="006E35E9">
              <w:rPr>
                <w:rStyle w:val="eop"/>
              </w:rPr>
              <w:t>Term</w:t>
            </w:r>
          </w:p>
        </w:tc>
        <w:tc>
          <w:tcPr>
            <w:tcW w:w="6662" w:type="dxa"/>
          </w:tcPr>
          <w:p w14:paraId="271EC4D2" w14:textId="77777777" w:rsidR="00917423" w:rsidRPr="006E35E9" w:rsidRDefault="00917423" w:rsidP="006E35E9">
            <w:pPr>
              <w:pStyle w:val="TSTableHeadingWhite-TopRow"/>
              <w:rPr>
                <w:rStyle w:val="eop"/>
                <w:b w:val="0"/>
              </w:rPr>
            </w:pPr>
            <w:r w:rsidRPr="006E35E9">
              <w:rPr>
                <w:rStyle w:val="eop"/>
              </w:rPr>
              <w:t>Definition, explanation, example</w:t>
            </w:r>
          </w:p>
        </w:tc>
      </w:tr>
      <w:tr w:rsidR="00917423" w14:paraId="1578340B" w14:textId="77777777" w:rsidTr="00AD7736">
        <w:tc>
          <w:tcPr>
            <w:tcW w:w="8232" w:type="dxa"/>
            <w:gridSpan w:val="2"/>
            <w:shd w:val="clear" w:color="auto" w:fill="C0EFFF" w:themeFill="accent1" w:themeFillTint="33"/>
          </w:tcPr>
          <w:p w14:paraId="34E377D0" w14:textId="77777777" w:rsidR="00917423" w:rsidRPr="008B43A1" w:rsidRDefault="00917423" w:rsidP="006E35E9">
            <w:pPr>
              <w:pStyle w:val="TSBodyText"/>
              <w:rPr>
                <w:rStyle w:val="eop"/>
                <w:rFonts w:cs="Calibri"/>
                <w:b/>
                <w:sz w:val="20"/>
                <w:szCs w:val="20"/>
              </w:rPr>
            </w:pPr>
            <w:r w:rsidRPr="008B43A1">
              <w:rPr>
                <w:rStyle w:val="eop"/>
                <w:rFonts w:cs="Calibri"/>
                <w:b/>
                <w:sz w:val="20"/>
                <w:szCs w:val="20"/>
              </w:rPr>
              <w:t>General terms</w:t>
            </w:r>
          </w:p>
        </w:tc>
      </w:tr>
      <w:tr w:rsidR="00917423" w14:paraId="2C1F83FB"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3F71366E"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Direct cost</w:t>
            </w:r>
          </w:p>
        </w:tc>
        <w:tc>
          <w:tcPr>
            <w:tcW w:w="6662" w:type="dxa"/>
          </w:tcPr>
          <w:p w14:paraId="7541E8C8"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A cost of a resource or activity that is acquired for or used by a single cost object.</w:t>
            </w:r>
          </w:p>
          <w:p w14:paraId="7C8C4427" w14:textId="6602B471" w:rsidR="00917423" w:rsidRPr="008B43A1" w:rsidRDefault="00917423" w:rsidP="006E35E9">
            <w:pPr>
              <w:pStyle w:val="TSBodyText"/>
              <w:rPr>
                <w:rStyle w:val="eop"/>
                <w:rFonts w:cs="Calibri"/>
                <w:sz w:val="20"/>
                <w:szCs w:val="20"/>
              </w:rPr>
            </w:pPr>
            <w:r w:rsidRPr="008B43A1">
              <w:rPr>
                <w:rStyle w:val="eop"/>
                <w:rFonts w:cs="Calibri"/>
                <w:sz w:val="20"/>
                <w:szCs w:val="20"/>
              </w:rPr>
              <w:t xml:space="preserve">An expenditure that can be directly traced in the organisation’s management accounting system to a particular cost object, </w:t>
            </w:r>
            <w:r w:rsidR="003C5937" w:rsidRPr="008B43A1">
              <w:rPr>
                <w:rStyle w:val="eop"/>
                <w:rFonts w:cs="Calibri"/>
                <w:sz w:val="20"/>
                <w:szCs w:val="20"/>
              </w:rPr>
              <w:t>e.g.</w:t>
            </w:r>
            <w:r w:rsidRPr="008B43A1">
              <w:rPr>
                <w:rStyle w:val="eop"/>
                <w:rFonts w:cs="Calibri"/>
                <w:sz w:val="20"/>
                <w:szCs w:val="20"/>
              </w:rPr>
              <w:t xml:space="preserve"> a pharmaceutical that is used exclusively for treating a particular diagnosis-related group (DRG) and no other.</w:t>
            </w:r>
          </w:p>
        </w:tc>
      </w:tr>
      <w:tr w:rsidR="00917423" w14:paraId="17DE3822" w14:textId="77777777" w:rsidTr="008B43A1">
        <w:tc>
          <w:tcPr>
            <w:tcW w:w="1570" w:type="dxa"/>
          </w:tcPr>
          <w:p w14:paraId="5016F8BE"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Indirect cost (variable overheads)</w:t>
            </w:r>
          </w:p>
        </w:tc>
        <w:tc>
          <w:tcPr>
            <w:tcW w:w="6662" w:type="dxa"/>
          </w:tcPr>
          <w:p w14:paraId="1C517295" w14:textId="2073C0CE" w:rsidR="00917423" w:rsidRPr="008B43A1" w:rsidRDefault="00917423" w:rsidP="006E35E9">
            <w:pPr>
              <w:pStyle w:val="TSBodyText"/>
              <w:rPr>
                <w:rStyle w:val="eop"/>
                <w:rFonts w:cs="Calibri"/>
                <w:sz w:val="20"/>
                <w:szCs w:val="20"/>
              </w:rPr>
            </w:pPr>
            <w:r w:rsidRPr="008B43A1">
              <w:rPr>
                <w:rStyle w:val="eop"/>
                <w:rFonts w:cs="Calibri"/>
                <w:sz w:val="20"/>
                <w:szCs w:val="20"/>
              </w:rPr>
              <w:t>The cost of a resource that is acquired to be used by more than one cost object but is a variable cost</w:t>
            </w:r>
            <w:r w:rsidR="00DC14BC">
              <w:rPr>
                <w:rStyle w:val="eop"/>
                <w:rFonts w:cs="Calibri"/>
                <w:sz w:val="20"/>
                <w:szCs w:val="20"/>
              </w:rPr>
              <w:t>;</w:t>
            </w:r>
            <w:r w:rsidRPr="008B43A1">
              <w:rPr>
                <w:rStyle w:val="eop"/>
                <w:rFonts w:cs="Calibri"/>
                <w:sz w:val="20"/>
                <w:szCs w:val="20"/>
              </w:rPr>
              <w:t xml:space="preserve"> that is, the quantity used increases with the number of patients treated. </w:t>
            </w:r>
          </w:p>
          <w:p w14:paraId="7BA584A2" w14:textId="68FB600A" w:rsidR="00917423" w:rsidRPr="008B43A1" w:rsidRDefault="003C5937" w:rsidP="006E35E9">
            <w:pPr>
              <w:pStyle w:val="TSBodyText"/>
              <w:rPr>
                <w:rStyle w:val="eop"/>
                <w:rFonts w:cs="Calibri"/>
                <w:sz w:val="20"/>
                <w:szCs w:val="20"/>
              </w:rPr>
            </w:pPr>
            <w:r w:rsidRPr="008B43A1">
              <w:rPr>
                <w:rStyle w:val="eop"/>
                <w:rFonts w:cs="Calibri"/>
                <w:sz w:val="20"/>
                <w:szCs w:val="20"/>
              </w:rPr>
              <w:t>E.g.</w:t>
            </w:r>
            <w:r w:rsidR="00917423" w:rsidRPr="008B43A1">
              <w:rPr>
                <w:rStyle w:val="eop"/>
                <w:rFonts w:cs="Calibri"/>
                <w:sz w:val="20"/>
                <w:szCs w:val="20"/>
              </w:rPr>
              <w:t xml:space="preserve"> Expenses which are recorded at </w:t>
            </w:r>
            <w:r w:rsidR="003A70FA">
              <w:rPr>
                <w:rStyle w:val="eop"/>
                <w:rFonts w:cs="Calibri"/>
                <w:sz w:val="20"/>
                <w:szCs w:val="20"/>
              </w:rPr>
              <w:t xml:space="preserve">a </w:t>
            </w:r>
            <w:r w:rsidR="00917423" w:rsidRPr="008B43A1">
              <w:rPr>
                <w:rStyle w:val="eop"/>
                <w:rFonts w:cs="Calibri"/>
                <w:sz w:val="20"/>
                <w:szCs w:val="20"/>
              </w:rPr>
              <w:t xml:space="preserve">departmental level </w:t>
            </w:r>
            <w:r w:rsidR="00872A9C">
              <w:rPr>
                <w:rStyle w:val="eop"/>
                <w:rFonts w:cs="Calibri"/>
                <w:sz w:val="20"/>
                <w:szCs w:val="20"/>
              </w:rPr>
              <w:t>and</w:t>
            </w:r>
            <w:r w:rsidR="00917423" w:rsidRPr="008B43A1">
              <w:rPr>
                <w:rStyle w:val="eop"/>
                <w:rFonts w:cs="Calibri"/>
                <w:sz w:val="20"/>
                <w:szCs w:val="20"/>
              </w:rPr>
              <w:t xml:space="preserve"> are shared between several patients, such as medical staff or nursing staff</w:t>
            </w:r>
            <w:r w:rsidR="003A70FA">
              <w:rPr>
                <w:rStyle w:val="eop"/>
                <w:rFonts w:cs="Calibri"/>
                <w:sz w:val="20"/>
                <w:szCs w:val="20"/>
              </w:rPr>
              <w:t>.</w:t>
            </w:r>
          </w:p>
        </w:tc>
      </w:tr>
      <w:tr w:rsidR="00917423" w14:paraId="3CC457BD"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431C3ECD"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General overheads (fixed overheads)</w:t>
            </w:r>
          </w:p>
        </w:tc>
        <w:tc>
          <w:tcPr>
            <w:tcW w:w="6662" w:type="dxa"/>
          </w:tcPr>
          <w:p w14:paraId="2DA21F22" w14:textId="1B3417A1" w:rsidR="00917423" w:rsidRPr="008B43A1" w:rsidRDefault="00917423" w:rsidP="006E35E9">
            <w:pPr>
              <w:pStyle w:val="TSBodyText"/>
              <w:rPr>
                <w:rStyle w:val="eop"/>
                <w:rFonts w:cs="Calibri"/>
                <w:sz w:val="20"/>
                <w:szCs w:val="20"/>
              </w:rPr>
            </w:pPr>
            <w:r w:rsidRPr="008B43A1">
              <w:rPr>
                <w:rStyle w:val="eop"/>
                <w:rFonts w:cs="Calibri"/>
                <w:sz w:val="20"/>
                <w:szCs w:val="20"/>
              </w:rPr>
              <w:t xml:space="preserve">Expenses </w:t>
            </w:r>
            <w:r w:rsidR="003A70FA">
              <w:rPr>
                <w:rStyle w:val="eop"/>
                <w:rFonts w:cs="Calibri"/>
                <w:sz w:val="20"/>
                <w:szCs w:val="20"/>
              </w:rPr>
              <w:t>that</w:t>
            </w:r>
            <w:r w:rsidR="003A70FA" w:rsidRPr="008B43A1">
              <w:rPr>
                <w:rStyle w:val="eop"/>
                <w:rFonts w:cs="Calibri"/>
                <w:sz w:val="20"/>
                <w:szCs w:val="20"/>
              </w:rPr>
              <w:t xml:space="preserve"> </w:t>
            </w:r>
            <w:r w:rsidRPr="008B43A1">
              <w:rPr>
                <w:rStyle w:val="eop"/>
                <w:rFonts w:cs="Calibri"/>
                <w:sz w:val="20"/>
                <w:szCs w:val="20"/>
              </w:rPr>
              <w:t xml:space="preserve">are incurred at </w:t>
            </w:r>
            <w:r w:rsidR="003A70FA">
              <w:rPr>
                <w:rStyle w:val="eop"/>
                <w:rFonts w:cs="Calibri"/>
                <w:sz w:val="20"/>
                <w:szCs w:val="20"/>
              </w:rPr>
              <w:t xml:space="preserve">an </w:t>
            </w:r>
            <w:r w:rsidRPr="008B43A1">
              <w:rPr>
                <w:rStyle w:val="eop"/>
                <w:rFonts w:cs="Calibri"/>
                <w:sz w:val="20"/>
                <w:szCs w:val="20"/>
              </w:rPr>
              <w:t>organisational level do not vary with the number of patients treated and are shared between several departments.</w:t>
            </w:r>
          </w:p>
          <w:p w14:paraId="3F911AF7" w14:textId="36F72408" w:rsidR="00917423" w:rsidRPr="008B43A1" w:rsidRDefault="003C5937" w:rsidP="006E35E9">
            <w:pPr>
              <w:pStyle w:val="TSBodyText"/>
              <w:rPr>
                <w:rStyle w:val="eop"/>
                <w:rFonts w:cs="Calibri"/>
                <w:sz w:val="20"/>
                <w:szCs w:val="20"/>
              </w:rPr>
            </w:pPr>
            <w:r w:rsidRPr="008B43A1">
              <w:rPr>
                <w:rStyle w:val="eop"/>
                <w:rFonts w:cs="Calibri"/>
                <w:sz w:val="20"/>
                <w:szCs w:val="20"/>
              </w:rPr>
              <w:t>E.g</w:t>
            </w:r>
            <w:r w:rsidR="00872A9C">
              <w:rPr>
                <w:rStyle w:val="eop"/>
                <w:rFonts w:cs="Calibri"/>
                <w:sz w:val="20"/>
                <w:szCs w:val="20"/>
              </w:rPr>
              <w:t>.</w:t>
            </w:r>
            <w:r w:rsidR="00917423" w:rsidRPr="008B43A1">
              <w:rPr>
                <w:rStyle w:val="eop"/>
                <w:rFonts w:cs="Calibri"/>
                <w:sz w:val="20"/>
                <w:szCs w:val="20"/>
              </w:rPr>
              <w:t xml:space="preserve"> amortisation of buildings, staff training costs, cost of water, electricity and heating.</w:t>
            </w:r>
          </w:p>
        </w:tc>
      </w:tr>
      <w:tr w:rsidR="00917423" w14:paraId="269EE697" w14:textId="77777777" w:rsidTr="00AD7736">
        <w:tc>
          <w:tcPr>
            <w:tcW w:w="8232" w:type="dxa"/>
            <w:gridSpan w:val="2"/>
            <w:shd w:val="clear" w:color="auto" w:fill="C0EFFF" w:themeFill="accent1" w:themeFillTint="33"/>
          </w:tcPr>
          <w:p w14:paraId="5366B79D" w14:textId="77777777" w:rsidR="00917423" w:rsidRPr="008B43A1" w:rsidRDefault="00917423" w:rsidP="006E35E9">
            <w:pPr>
              <w:pStyle w:val="TSBodyText"/>
              <w:rPr>
                <w:rStyle w:val="eop"/>
                <w:rFonts w:cs="Calibri"/>
                <w:b/>
                <w:sz w:val="20"/>
                <w:szCs w:val="20"/>
              </w:rPr>
            </w:pPr>
            <w:r w:rsidRPr="008B43A1">
              <w:rPr>
                <w:rStyle w:val="eop"/>
                <w:rFonts w:cs="Calibri"/>
                <w:b/>
                <w:sz w:val="20"/>
                <w:szCs w:val="20"/>
              </w:rPr>
              <w:t>Terms used in top-down costing</w:t>
            </w:r>
          </w:p>
        </w:tc>
      </w:tr>
      <w:tr w:rsidR="00917423" w14:paraId="444F53F9"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3900FF8E"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Top-down costing</w:t>
            </w:r>
          </w:p>
        </w:tc>
        <w:tc>
          <w:tcPr>
            <w:tcW w:w="6662" w:type="dxa"/>
          </w:tcPr>
          <w:p w14:paraId="7658B61C" w14:textId="7A9C6DF2" w:rsidR="00917423" w:rsidRPr="008B43A1" w:rsidRDefault="00917423" w:rsidP="006E35E9">
            <w:pPr>
              <w:pStyle w:val="TSBodyText"/>
              <w:rPr>
                <w:rStyle w:val="eop"/>
                <w:rFonts w:cs="Calibri"/>
                <w:sz w:val="20"/>
                <w:szCs w:val="20"/>
              </w:rPr>
            </w:pPr>
            <w:r w:rsidRPr="008B43A1">
              <w:rPr>
                <w:rStyle w:val="eop"/>
                <w:rFonts w:cs="Calibri"/>
                <w:sz w:val="20"/>
                <w:szCs w:val="20"/>
              </w:rPr>
              <w:t>A costing method where the organisation</w:t>
            </w:r>
            <w:r w:rsidR="002204BD">
              <w:rPr>
                <w:rStyle w:val="eop"/>
                <w:rFonts w:cs="Calibri"/>
                <w:sz w:val="20"/>
                <w:szCs w:val="20"/>
              </w:rPr>
              <w:t>’</w:t>
            </w:r>
            <w:r w:rsidRPr="008B43A1">
              <w:rPr>
                <w:rStyle w:val="eop"/>
                <w:rFonts w:cs="Calibri"/>
                <w:sz w:val="20"/>
                <w:szCs w:val="20"/>
              </w:rPr>
              <w:t xml:space="preserve">s direct and indirect costs incurred over a given period are assigned to (or </w:t>
            </w:r>
            <w:r w:rsidR="002204BD">
              <w:rPr>
                <w:rStyle w:val="eop"/>
                <w:rFonts w:cs="Calibri"/>
                <w:sz w:val="20"/>
                <w:szCs w:val="20"/>
              </w:rPr>
              <w:t>‘</w:t>
            </w:r>
            <w:r w:rsidRPr="008B43A1">
              <w:rPr>
                <w:rStyle w:val="eop"/>
                <w:rFonts w:cs="Calibri"/>
                <w:sz w:val="20"/>
                <w:szCs w:val="20"/>
              </w:rPr>
              <w:t>absorbed</w:t>
            </w:r>
            <w:r w:rsidR="002204BD">
              <w:rPr>
                <w:rStyle w:val="eop"/>
                <w:rFonts w:cs="Calibri"/>
                <w:sz w:val="20"/>
                <w:szCs w:val="20"/>
              </w:rPr>
              <w:t>’</w:t>
            </w:r>
            <w:r w:rsidR="002204BD" w:rsidRPr="008B43A1">
              <w:rPr>
                <w:rStyle w:val="eop"/>
                <w:rFonts w:cs="Calibri"/>
                <w:sz w:val="20"/>
                <w:szCs w:val="20"/>
              </w:rPr>
              <w:t xml:space="preserve"> </w:t>
            </w:r>
            <w:r w:rsidRPr="008B43A1">
              <w:rPr>
                <w:rStyle w:val="eop"/>
                <w:rFonts w:cs="Calibri"/>
                <w:sz w:val="20"/>
                <w:szCs w:val="20"/>
              </w:rPr>
              <w:t xml:space="preserve">by) all the cost objects produced by the organisation. Direct costs are identified directly to cost objects. Indirect costs are </w:t>
            </w:r>
            <w:r w:rsidR="002204BD">
              <w:rPr>
                <w:rStyle w:val="eop"/>
                <w:rFonts w:cs="Calibri"/>
                <w:sz w:val="20"/>
                <w:szCs w:val="20"/>
              </w:rPr>
              <w:t>‘</w:t>
            </w:r>
            <w:r w:rsidRPr="008B43A1">
              <w:rPr>
                <w:rStyle w:val="eop"/>
                <w:rFonts w:cs="Calibri"/>
                <w:sz w:val="20"/>
                <w:szCs w:val="20"/>
              </w:rPr>
              <w:t>apportioned</w:t>
            </w:r>
            <w:r w:rsidR="002204BD">
              <w:rPr>
                <w:rStyle w:val="eop"/>
                <w:rFonts w:cs="Calibri"/>
                <w:sz w:val="20"/>
                <w:szCs w:val="20"/>
              </w:rPr>
              <w:t>’</w:t>
            </w:r>
            <w:r w:rsidR="002204BD" w:rsidRPr="008B43A1">
              <w:rPr>
                <w:rStyle w:val="eop"/>
                <w:rFonts w:cs="Calibri"/>
                <w:sz w:val="20"/>
                <w:szCs w:val="20"/>
              </w:rPr>
              <w:t xml:space="preserve"> </w:t>
            </w:r>
            <w:r w:rsidRPr="008B43A1">
              <w:rPr>
                <w:rStyle w:val="eop"/>
                <w:rFonts w:cs="Calibri"/>
                <w:sz w:val="20"/>
                <w:szCs w:val="20"/>
              </w:rPr>
              <w:t>to cost objects. In full costing, both variable and fixed overheads will be apportioned to cost objects</w:t>
            </w:r>
          </w:p>
        </w:tc>
      </w:tr>
      <w:tr w:rsidR="00917423" w14:paraId="6E3A4119" w14:textId="77777777" w:rsidTr="008B43A1">
        <w:tc>
          <w:tcPr>
            <w:tcW w:w="1570" w:type="dxa"/>
          </w:tcPr>
          <w:p w14:paraId="32553E6A"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Variable top-down costing</w:t>
            </w:r>
          </w:p>
        </w:tc>
        <w:tc>
          <w:tcPr>
            <w:tcW w:w="6662" w:type="dxa"/>
          </w:tcPr>
          <w:p w14:paraId="0B4842E0" w14:textId="5E32C390" w:rsidR="00917423" w:rsidRPr="008B43A1" w:rsidRDefault="00917423" w:rsidP="006E35E9">
            <w:pPr>
              <w:pStyle w:val="TSBodyText"/>
              <w:rPr>
                <w:rStyle w:val="eop"/>
                <w:rFonts w:cs="Calibri"/>
                <w:sz w:val="20"/>
                <w:szCs w:val="20"/>
              </w:rPr>
            </w:pPr>
            <w:r w:rsidRPr="008B43A1">
              <w:rPr>
                <w:rStyle w:val="eop"/>
                <w:rFonts w:cs="Calibri"/>
                <w:sz w:val="20"/>
                <w:szCs w:val="20"/>
              </w:rPr>
              <w:t xml:space="preserve">A top-down costing method. Organisational direct costs and variable overheads will be assigned to all the cost objects. Fixed overhead costs are not assigned to cost objects. </w:t>
            </w:r>
            <w:r w:rsidR="0044500C">
              <w:rPr>
                <w:rStyle w:val="eop"/>
                <w:rFonts w:cs="Calibri"/>
                <w:sz w:val="20"/>
                <w:szCs w:val="20"/>
              </w:rPr>
              <w:t>T</w:t>
            </w:r>
            <w:r w:rsidR="0044500C">
              <w:rPr>
                <w:rStyle w:val="eop"/>
                <w:sz w:val="20"/>
                <w:szCs w:val="20"/>
              </w:rPr>
              <w:t>his is s</w:t>
            </w:r>
            <w:r w:rsidR="0044500C" w:rsidRPr="008B43A1">
              <w:rPr>
                <w:rStyle w:val="eop"/>
                <w:rFonts w:cs="Calibri"/>
                <w:sz w:val="20"/>
                <w:szCs w:val="20"/>
              </w:rPr>
              <w:t>ometimes</w:t>
            </w:r>
            <w:r w:rsidRPr="008B43A1">
              <w:rPr>
                <w:rStyle w:val="eop"/>
                <w:rFonts w:cs="Calibri"/>
                <w:sz w:val="20"/>
                <w:szCs w:val="20"/>
              </w:rPr>
              <w:t xml:space="preserve"> used in decisions where the organisation wishes to estimate the marginal cost of its services.</w:t>
            </w:r>
          </w:p>
        </w:tc>
      </w:tr>
      <w:tr w:rsidR="00917423" w14:paraId="670A2BF0"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4BE03EFD"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Full absorption (or full) costing</w:t>
            </w:r>
          </w:p>
        </w:tc>
        <w:tc>
          <w:tcPr>
            <w:tcW w:w="6662" w:type="dxa"/>
          </w:tcPr>
          <w:p w14:paraId="74DD40C1" w14:textId="596A61A8" w:rsidR="00917423" w:rsidRPr="008B43A1" w:rsidRDefault="00917423" w:rsidP="006E35E9">
            <w:pPr>
              <w:pStyle w:val="TSBodyText"/>
              <w:rPr>
                <w:rStyle w:val="eop"/>
                <w:rFonts w:cs="Calibri"/>
                <w:sz w:val="20"/>
                <w:szCs w:val="20"/>
              </w:rPr>
            </w:pPr>
            <w:r w:rsidRPr="008B43A1">
              <w:rPr>
                <w:rStyle w:val="eop"/>
                <w:rFonts w:cs="Calibri"/>
                <w:sz w:val="20"/>
                <w:szCs w:val="20"/>
              </w:rPr>
              <w:t>A top-down costing method. 100</w:t>
            </w:r>
            <w:r w:rsidR="00230170">
              <w:rPr>
                <w:rStyle w:val="eop"/>
                <w:rFonts w:cs="Calibri"/>
                <w:sz w:val="20"/>
                <w:szCs w:val="20"/>
              </w:rPr>
              <w:t xml:space="preserve"> percent</w:t>
            </w:r>
            <w:r w:rsidRPr="008B43A1">
              <w:rPr>
                <w:rStyle w:val="eop"/>
                <w:rFonts w:cs="Calibri"/>
                <w:sz w:val="20"/>
                <w:szCs w:val="20"/>
              </w:rPr>
              <w:t xml:space="preserve"> of an organisation</w:t>
            </w:r>
            <w:r w:rsidR="0044500C">
              <w:rPr>
                <w:rStyle w:val="eop"/>
                <w:rFonts w:cs="Calibri"/>
                <w:sz w:val="20"/>
                <w:szCs w:val="20"/>
              </w:rPr>
              <w:t>’</w:t>
            </w:r>
            <w:r w:rsidRPr="008B43A1">
              <w:rPr>
                <w:rStyle w:val="eop"/>
                <w:rFonts w:cs="Calibri"/>
                <w:sz w:val="20"/>
                <w:szCs w:val="20"/>
              </w:rPr>
              <w:t xml:space="preserve">s costs incurred over a given period are allocated to all the cost objects. Direct costs, variable </w:t>
            </w:r>
            <w:r w:rsidRPr="008B43A1">
              <w:rPr>
                <w:rStyle w:val="eop"/>
                <w:rFonts w:cs="Calibri"/>
                <w:sz w:val="20"/>
                <w:szCs w:val="20"/>
              </w:rPr>
              <w:lastRenderedPageBreak/>
              <w:t>overheads and fixed overheads are apportioned to cost objects. Sometimes required by financial reporting standards.</w:t>
            </w:r>
          </w:p>
        </w:tc>
      </w:tr>
      <w:tr w:rsidR="00917423" w14:paraId="6AD1A3F3" w14:textId="77777777" w:rsidTr="008B43A1">
        <w:tc>
          <w:tcPr>
            <w:tcW w:w="1570" w:type="dxa"/>
          </w:tcPr>
          <w:p w14:paraId="0C4491E6"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lastRenderedPageBreak/>
              <w:t>Activity-based costing</w:t>
            </w:r>
          </w:p>
        </w:tc>
        <w:tc>
          <w:tcPr>
            <w:tcW w:w="6662" w:type="dxa"/>
          </w:tcPr>
          <w:p w14:paraId="3D9DD3C3" w14:textId="5C8565D2" w:rsidR="00917423" w:rsidRPr="008B43A1" w:rsidRDefault="00917423" w:rsidP="006E35E9">
            <w:pPr>
              <w:pStyle w:val="TSBodyText"/>
              <w:rPr>
                <w:rStyle w:val="eop"/>
                <w:rFonts w:cs="Calibri"/>
                <w:sz w:val="20"/>
                <w:szCs w:val="20"/>
              </w:rPr>
            </w:pPr>
            <w:r w:rsidRPr="008B43A1">
              <w:rPr>
                <w:rStyle w:val="eop"/>
                <w:rFonts w:cs="Calibri"/>
                <w:sz w:val="20"/>
                <w:szCs w:val="20"/>
              </w:rPr>
              <w:t>A method of top-down micro-costing. Indirect expenditure is first allocated to tasks or activities so that it can be apportioned to cost objects at a more detailed level of disaggregation than used in traditional top-down gross costing.</w:t>
            </w:r>
          </w:p>
        </w:tc>
      </w:tr>
      <w:tr w:rsidR="00917423" w14:paraId="3B4CF132"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078B7F64"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Cost centre</w:t>
            </w:r>
          </w:p>
        </w:tc>
        <w:tc>
          <w:tcPr>
            <w:tcW w:w="6662" w:type="dxa"/>
          </w:tcPr>
          <w:p w14:paraId="0DA2D834" w14:textId="422E10F0" w:rsidR="00917423" w:rsidRPr="008B43A1" w:rsidRDefault="00917423" w:rsidP="006E35E9">
            <w:pPr>
              <w:pStyle w:val="TSBodyText"/>
              <w:rPr>
                <w:rStyle w:val="eop"/>
                <w:rFonts w:cs="Calibri"/>
                <w:sz w:val="20"/>
                <w:szCs w:val="20"/>
              </w:rPr>
            </w:pPr>
            <w:r w:rsidRPr="008B43A1">
              <w:rPr>
                <w:rStyle w:val="eop"/>
                <w:rFonts w:cs="Calibri"/>
                <w:sz w:val="20"/>
                <w:szCs w:val="20"/>
              </w:rPr>
              <w:t xml:space="preserve">Responsibility centre in an organisation where the cumulative operating expenses of a group of similar activities are recorded over a finite period of time. </w:t>
            </w:r>
            <w:r w:rsidR="003C5937" w:rsidRPr="008B43A1">
              <w:rPr>
                <w:rStyle w:val="eop"/>
                <w:rFonts w:cs="Calibri"/>
                <w:sz w:val="20"/>
                <w:szCs w:val="20"/>
              </w:rPr>
              <w:t>E.g.</w:t>
            </w:r>
            <w:r w:rsidRPr="008B43A1">
              <w:rPr>
                <w:rStyle w:val="eop"/>
                <w:rFonts w:cs="Calibri"/>
                <w:sz w:val="20"/>
                <w:szCs w:val="20"/>
              </w:rPr>
              <w:t xml:space="preserve"> a hospital laundry department cost centre might record the costs of staff and consumables used to operate the laundry service over a year. The cost centre would probably not include the costs of general hospital overheads such as maintenance of the building or capital expenditure such as </w:t>
            </w:r>
            <w:r w:rsidR="00973D4A">
              <w:rPr>
                <w:rStyle w:val="eop"/>
                <w:rFonts w:cs="Calibri"/>
                <w:sz w:val="20"/>
                <w:szCs w:val="20"/>
              </w:rPr>
              <w:t xml:space="preserve">the </w:t>
            </w:r>
            <w:r w:rsidRPr="008B43A1">
              <w:rPr>
                <w:rStyle w:val="eop"/>
                <w:rFonts w:cs="Calibri"/>
                <w:sz w:val="20"/>
                <w:szCs w:val="20"/>
              </w:rPr>
              <w:t>purchase of machinery.</w:t>
            </w:r>
          </w:p>
        </w:tc>
      </w:tr>
      <w:tr w:rsidR="00917423" w14:paraId="330FDD72" w14:textId="77777777" w:rsidTr="008B43A1">
        <w:tc>
          <w:tcPr>
            <w:tcW w:w="1570" w:type="dxa"/>
          </w:tcPr>
          <w:p w14:paraId="11CDEEBF" w14:textId="77777777" w:rsidR="00917423" w:rsidRPr="008B43A1" w:rsidRDefault="00917423" w:rsidP="006E35E9">
            <w:pPr>
              <w:pStyle w:val="TSBodyText"/>
              <w:rPr>
                <w:rStyle w:val="eop"/>
                <w:rFonts w:cs="Calibri"/>
                <w:sz w:val="20"/>
                <w:szCs w:val="20"/>
              </w:rPr>
            </w:pPr>
            <w:r w:rsidRPr="008B43A1">
              <w:rPr>
                <w:rStyle w:val="eop"/>
                <w:rFonts w:cs="Calibri"/>
                <w:sz w:val="20"/>
                <w:szCs w:val="20"/>
              </w:rPr>
              <w:t>Activity cost</w:t>
            </w:r>
          </w:p>
        </w:tc>
        <w:tc>
          <w:tcPr>
            <w:tcW w:w="6662" w:type="dxa"/>
          </w:tcPr>
          <w:p w14:paraId="244CD83A" w14:textId="7C4C8C58" w:rsidR="00917423" w:rsidRPr="008B43A1" w:rsidRDefault="00917423" w:rsidP="006E35E9">
            <w:pPr>
              <w:pStyle w:val="TSBodyText"/>
              <w:rPr>
                <w:rStyle w:val="eop"/>
                <w:rFonts w:cs="Calibri"/>
                <w:sz w:val="20"/>
                <w:szCs w:val="20"/>
              </w:rPr>
            </w:pPr>
            <w:r w:rsidRPr="008B43A1">
              <w:rPr>
                <w:rStyle w:val="eop"/>
                <w:rFonts w:cs="Calibri"/>
                <w:sz w:val="20"/>
                <w:szCs w:val="20"/>
              </w:rPr>
              <w:t xml:space="preserve">Measures that identify the linkage between indirect expenditure and cost objects. They serve as quantitative measures of the activity undertaken by cost centres. </w:t>
            </w:r>
            <w:r w:rsidR="003C5937" w:rsidRPr="008B43A1">
              <w:rPr>
                <w:rStyle w:val="eop"/>
                <w:rFonts w:cs="Calibri"/>
                <w:sz w:val="20"/>
                <w:szCs w:val="20"/>
              </w:rPr>
              <w:t>E.g.</w:t>
            </w:r>
            <w:r w:rsidRPr="008B43A1">
              <w:rPr>
                <w:rStyle w:val="eop"/>
                <w:rFonts w:cs="Calibri"/>
                <w:sz w:val="20"/>
                <w:szCs w:val="20"/>
              </w:rPr>
              <w:t xml:space="preserve"> The costs of the laundry department might be allocated to cost objects in proportion with the number of days that patients spend in hospital (days in hospital is the activity cost driver for laundry department expenditure)</w:t>
            </w:r>
            <w:r w:rsidR="00005686">
              <w:rPr>
                <w:rStyle w:val="eop"/>
                <w:rFonts w:cs="Calibri"/>
                <w:sz w:val="20"/>
                <w:szCs w:val="20"/>
              </w:rPr>
              <w:t>.</w:t>
            </w:r>
          </w:p>
        </w:tc>
      </w:tr>
      <w:tr w:rsidR="00917423" w14:paraId="24678DCA" w14:textId="77777777" w:rsidTr="00AD7736">
        <w:trPr>
          <w:cnfStyle w:val="000000010000" w:firstRow="0" w:lastRow="0" w:firstColumn="0" w:lastColumn="0" w:oddVBand="0" w:evenVBand="0" w:oddHBand="0" w:evenHBand="1" w:firstRowFirstColumn="0" w:firstRowLastColumn="0" w:lastRowFirstColumn="0" w:lastRowLastColumn="0"/>
        </w:trPr>
        <w:tc>
          <w:tcPr>
            <w:tcW w:w="8232" w:type="dxa"/>
            <w:gridSpan w:val="2"/>
            <w:shd w:val="clear" w:color="auto" w:fill="C0EFFF" w:themeFill="accent1" w:themeFillTint="33"/>
          </w:tcPr>
          <w:p w14:paraId="790DE06C" w14:textId="62837CE5" w:rsidR="00917423" w:rsidRPr="008B43A1" w:rsidRDefault="00917423" w:rsidP="006E35E9">
            <w:pPr>
              <w:pStyle w:val="TSBodyText"/>
              <w:rPr>
                <w:rStyle w:val="eop"/>
                <w:rFonts w:cs="Calibri"/>
                <w:b/>
                <w:sz w:val="20"/>
                <w:szCs w:val="20"/>
              </w:rPr>
            </w:pPr>
            <w:r w:rsidRPr="008B43A1">
              <w:rPr>
                <w:rStyle w:val="eop"/>
                <w:rFonts w:cs="Calibri"/>
                <w:b/>
                <w:sz w:val="20"/>
                <w:szCs w:val="20"/>
              </w:rPr>
              <w:t>Terms used in bottom</w:t>
            </w:r>
            <w:r w:rsidR="00005686">
              <w:rPr>
                <w:rStyle w:val="eop"/>
                <w:rFonts w:cs="Calibri"/>
                <w:b/>
                <w:bCs/>
                <w:sz w:val="20"/>
                <w:szCs w:val="20"/>
              </w:rPr>
              <w:t>-</w:t>
            </w:r>
            <w:r w:rsidRPr="008B43A1">
              <w:rPr>
                <w:rStyle w:val="eop"/>
                <w:rFonts w:cs="Calibri"/>
                <w:b/>
                <w:sz w:val="20"/>
                <w:szCs w:val="20"/>
              </w:rPr>
              <w:t>up costing</w:t>
            </w:r>
          </w:p>
        </w:tc>
      </w:tr>
      <w:tr w:rsidR="00917423" w14:paraId="134A0E38" w14:textId="77777777" w:rsidTr="008B43A1">
        <w:tc>
          <w:tcPr>
            <w:tcW w:w="1570" w:type="dxa"/>
          </w:tcPr>
          <w:p w14:paraId="33B75048"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Bottom-up (or variable) costing</w:t>
            </w:r>
          </w:p>
        </w:tc>
        <w:tc>
          <w:tcPr>
            <w:tcW w:w="6662" w:type="dxa"/>
          </w:tcPr>
          <w:p w14:paraId="1A8FA217"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Cost components are valued by identifying resource use directly employed by each patient (patient-specific costs).</w:t>
            </w:r>
          </w:p>
        </w:tc>
      </w:tr>
      <w:tr w:rsidR="00917423" w14:paraId="5848C9B1"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1B104739"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Cost object</w:t>
            </w:r>
          </w:p>
        </w:tc>
        <w:tc>
          <w:tcPr>
            <w:tcW w:w="6662" w:type="dxa"/>
          </w:tcPr>
          <w:p w14:paraId="5A89171E" w14:textId="10D152CF" w:rsidR="00917423" w:rsidRPr="008B43A1" w:rsidRDefault="00E12353" w:rsidP="00FD0C9F">
            <w:pPr>
              <w:pStyle w:val="TSBodyText"/>
              <w:rPr>
                <w:rStyle w:val="eop"/>
                <w:rFonts w:cs="Calibri"/>
                <w:sz w:val="20"/>
                <w:szCs w:val="20"/>
              </w:rPr>
            </w:pPr>
            <w:r w:rsidRPr="00E12353">
              <w:rPr>
                <w:rStyle w:val="eop"/>
                <w:rFonts w:cs="Calibri"/>
                <w:sz w:val="20"/>
                <w:szCs w:val="20"/>
              </w:rPr>
              <w:t>Final product, process or service that are going to be costed</w:t>
            </w:r>
            <w:r w:rsidR="00FD0C9F">
              <w:rPr>
                <w:rStyle w:val="eop"/>
                <w:rFonts w:cs="Calibri"/>
                <w:sz w:val="20"/>
                <w:szCs w:val="20"/>
              </w:rPr>
              <w:t xml:space="preserve">. </w:t>
            </w:r>
            <w:r w:rsidR="00FD0C9F" w:rsidRPr="00FD0C9F">
              <w:rPr>
                <w:rStyle w:val="eop"/>
                <w:rFonts w:cs="Calibri"/>
                <w:sz w:val="20"/>
                <w:szCs w:val="20"/>
              </w:rPr>
              <w:t>In bottom-up costing, usually only one cost object will be costed, e.g. cost of a specific surgical procedure and associated hospital stay</w:t>
            </w:r>
            <w:r w:rsidR="00FD0C9F">
              <w:rPr>
                <w:rStyle w:val="eop"/>
                <w:rFonts w:cs="Calibri"/>
                <w:sz w:val="20"/>
                <w:szCs w:val="20"/>
              </w:rPr>
              <w:t>.</w:t>
            </w:r>
          </w:p>
        </w:tc>
      </w:tr>
      <w:tr w:rsidR="00917423" w14:paraId="232331DB" w14:textId="77777777" w:rsidTr="008B43A1">
        <w:tc>
          <w:tcPr>
            <w:tcW w:w="1570" w:type="dxa"/>
          </w:tcPr>
          <w:p w14:paraId="7B6E6570"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Resource</w:t>
            </w:r>
          </w:p>
        </w:tc>
        <w:tc>
          <w:tcPr>
            <w:tcW w:w="6662" w:type="dxa"/>
          </w:tcPr>
          <w:p w14:paraId="5536673B"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All materials, facilities, personnel, and anything else that is used for providing health care service. Medical, administrative and nurse staff, medical devices, health products, buildings, water, electricity, etc.</w:t>
            </w:r>
          </w:p>
        </w:tc>
      </w:tr>
      <w:tr w:rsidR="00917423" w14:paraId="3F7FB35D" w14:textId="77777777" w:rsidTr="008B43A1">
        <w:trPr>
          <w:cnfStyle w:val="000000010000" w:firstRow="0" w:lastRow="0" w:firstColumn="0" w:lastColumn="0" w:oddVBand="0" w:evenVBand="0" w:oddHBand="0" w:evenHBand="1" w:firstRowFirstColumn="0" w:firstRowLastColumn="0" w:lastRowFirstColumn="0" w:lastRowLastColumn="0"/>
        </w:trPr>
        <w:tc>
          <w:tcPr>
            <w:tcW w:w="1570" w:type="dxa"/>
          </w:tcPr>
          <w:p w14:paraId="183C55DC" w14:textId="77777777" w:rsidR="00917423" w:rsidRPr="008B43A1" w:rsidRDefault="00917423" w:rsidP="00FD0C9F">
            <w:pPr>
              <w:pStyle w:val="TSBodyText"/>
              <w:rPr>
                <w:rStyle w:val="eop"/>
                <w:rFonts w:cs="Calibri"/>
                <w:sz w:val="20"/>
                <w:szCs w:val="20"/>
              </w:rPr>
            </w:pPr>
            <w:r w:rsidRPr="008B43A1">
              <w:rPr>
                <w:rStyle w:val="eop"/>
                <w:rFonts w:cs="Calibri"/>
                <w:sz w:val="20"/>
                <w:szCs w:val="20"/>
              </w:rPr>
              <w:t>Unit cost</w:t>
            </w:r>
          </w:p>
        </w:tc>
        <w:tc>
          <w:tcPr>
            <w:tcW w:w="6662" w:type="dxa"/>
          </w:tcPr>
          <w:p w14:paraId="5DB68E58" w14:textId="1FB0FEE9" w:rsidR="00917423" w:rsidRPr="008B43A1" w:rsidRDefault="00917423" w:rsidP="00FD0C9F">
            <w:pPr>
              <w:pStyle w:val="TSBodyText"/>
              <w:rPr>
                <w:rStyle w:val="eop"/>
                <w:rFonts w:cs="Calibri"/>
                <w:sz w:val="20"/>
                <w:szCs w:val="20"/>
              </w:rPr>
            </w:pPr>
            <w:r w:rsidRPr="008B43A1">
              <w:rPr>
                <w:rStyle w:val="eop"/>
                <w:rFonts w:cs="Calibri"/>
                <w:sz w:val="20"/>
                <w:szCs w:val="20"/>
              </w:rPr>
              <w:t xml:space="preserve">Refers to the marginal cost of providing a single unit of resource. Variable and sometimes fixed overheads are often approximately included by applying a percentage “mark-up” on direct cost or by applying an average overhead </w:t>
            </w:r>
            <w:r w:rsidR="00043146">
              <w:rPr>
                <w:rStyle w:val="eop"/>
                <w:rFonts w:cs="Calibri"/>
                <w:sz w:val="20"/>
                <w:szCs w:val="20"/>
              </w:rPr>
              <w:t>‘</w:t>
            </w:r>
            <w:r w:rsidRPr="008B43A1">
              <w:rPr>
                <w:rStyle w:val="eop"/>
                <w:rFonts w:cs="Calibri"/>
                <w:sz w:val="20"/>
                <w:szCs w:val="20"/>
              </w:rPr>
              <w:t>cost per day</w:t>
            </w:r>
            <w:r w:rsidR="00043146">
              <w:rPr>
                <w:rStyle w:val="eop"/>
                <w:rFonts w:cs="Calibri"/>
                <w:sz w:val="20"/>
                <w:szCs w:val="20"/>
              </w:rPr>
              <w:t>’</w:t>
            </w:r>
            <w:r w:rsidR="00043146" w:rsidRPr="008B43A1">
              <w:rPr>
                <w:rStyle w:val="eop"/>
                <w:rFonts w:cs="Calibri"/>
                <w:sz w:val="20"/>
                <w:szCs w:val="20"/>
              </w:rPr>
              <w:t xml:space="preserve">. </w:t>
            </w:r>
            <w:r w:rsidR="00101109" w:rsidRPr="008B43A1">
              <w:rPr>
                <w:rStyle w:val="eop"/>
                <w:rFonts w:cs="Calibri"/>
                <w:sz w:val="20"/>
                <w:szCs w:val="20"/>
              </w:rPr>
              <w:t>E.g.</w:t>
            </w:r>
            <w:r w:rsidRPr="008B43A1">
              <w:rPr>
                <w:rStyle w:val="eop"/>
                <w:rFonts w:cs="Calibri"/>
                <w:sz w:val="20"/>
                <w:szCs w:val="20"/>
              </w:rPr>
              <w:t xml:space="preserve"> One hour of surgeon time, price of a dose of medication, etc.</w:t>
            </w:r>
          </w:p>
        </w:tc>
      </w:tr>
    </w:tbl>
    <w:p w14:paraId="5C2DA300" w14:textId="66F244D1" w:rsidR="00917423" w:rsidRDefault="00917423" w:rsidP="008B43A1">
      <w:pPr>
        <w:pStyle w:val="USSource"/>
        <w:rPr>
          <w:rStyle w:val="eop"/>
          <w:rFonts w:cs="Calibri"/>
          <w:sz w:val="22"/>
        </w:rPr>
      </w:pPr>
      <w:r w:rsidRPr="008B43A1">
        <w:t>Source:</w:t>
      </w:r>
      <w:r>
        <w:rPr>
          <w:rStyle w:val="eop"/>
          <w:rFonts w:cs="Calibri"/>
          <w:sz w:val="22"/>
        </w:rPr>
        <w:t xml:space="preserve"> </w:t>
      </w:r>
      <w:r w:rsidR="001654CA" w:rsidRPr="001654CA">
        <w:rPr>
          <w:rFonts w:cs="Calibri"/>
          <w:szCs w:val="24"/>
        </w:rPr>
        <w:t xml:space="preserve">Špacírová et al. </w:t>
      </w:r>
      <w:r w:rsidR="00DC14BC">
        <w:rPr>
          <w:rFonts w:cs="Calibri"/>
          <w:szCs w:val="24"/>
        </w:rPr>
        <w:t>(</w:t>
      </w:r>
      <w:r w:rsidR="001654CA" w:rsidRPr="001654CA">
        <w:rPr>
          <w:rFonts w:cs="Calibri"/>
          <w:szCs w:val="24"/>
        </w:rPr>
        <w:t>2020</w:t>
      </w:r>
      <w:r w:rsidR="00DC14BC">
        <w:rPr>
          <w:rStyle w:val="eop"/>
          <w:rFonts w:cs="Calibri"/>
          <w:sz w:val="22"/>
        </w:rPr>
        <w:t>)</w:t>
      </w:r>
    </w:p>
    <w:p w14:paraId="50BB1D55" w14:textId="7CA52025" w:rsidR="00DC784D" w:rsidRDefault="001A005E" w:rsidP="0005646B">
      <w:pPr>
        <w:pStyle w:val="Heading3"/>
      </w:pPr>
      <w:bookmarkStart w:id="30" w:name="_Ref85738547"/>
      <w:r>
        <w:t xml:space="preserve">Attribution of costs to </w:t>
      </w:r>
      <w:r w:rsidR="00A74791">
        <w:t>specific conditions</w:t>
      </w:r>
    </w:p>
    <w:p w14:paraId="173D0266" w14:textId="642FFCB2" w:rsidR="001A005E" w:rsidRDefault="00A74791" w:rsidP="001A005E">
      <w:pPr>
        <w:pStyle w:val="USBodyText"/>
      </w:pPr>
      <w:r>
        <w:t xml:space="preserve">All people incur health care costs at some point. </w:t>
      </w:r>
      <w:r w:rsidR="00CE1801">
        <w:t xml:space="preserve">Even being healthy and free of any condition or disease can be associated with the costs of routine prevention and </w:t>
      </w:r>
      <w:r w:rsidR="00107449">
        <w:t xml:space="preserve">screening. For many people, where there may only be one long-term condition, </w:t>
      </w:r>
      <w:r w:rsidR="00FB4C1C">
        <w:t xml:space="preserve">it is still challenging to identify with certainty </w:t>
      </w:r>
      <w:r w:rsidR="00DA37D4">
        <w:t xml:space="preserve">from administrative data </w:t>
      </w:r>
      <w:r w:rsidR="00FB4C1C">
        <w:t xml:space="preserve">whether </w:t>
      </w:r>
      <w:r w:rsidR="00DA37D4">
        <w:t xml:space="preserve">a medical event was due to the condition or to </w:t>
      </w:r>
      <w:r w:rsidR="00872A9C">
        <w:t>an</w:t>
      </w:r>
      <w:r w:rsidR="00DA37D4">
        <w:t>other illness or injury</w:t>
      </w:r>
      <w:r w:rsidR="007577FA">
        <w:t>. Cost-of-illness studies attempt to identify the costs of the illness rather than the costs of the people who have the illness</w:t>
      </w:r>
      <w:r w:rsidR="002C7627">
        <w:t xml:space="preserve">, so methods to separate the costs related to the illness from the costs that may be expected without the illness have been developed. These methods are </w:t>
      </w:r>
      <w:r w:rsidR="00632F16">
        <w:t>broadly described as attributable risk and excess cost approaches.</w:t>
      </w:r>
    </w:p>
    <w:p w14:paraId="36A63589" w14:textId="69F8D337" w:rsidR="00632F16" w:rsidRDefault="00632F16" w:rsidP="00632F16">
      <w:pPr>
        <w:pStyle w:val="Heading3"/>
      </w:pPr>
      <w:r>
        <w:lastRenderedPageBreak/>
        <w:t>Attributable risk approach</w:t>
      </w:r>
    </w:p>
    <w:p w14:paraId="6DB6D2A8" w14:textId="255D7238" w:rsidR="00632F16" w:rsidRPr="00632F16" w:rsidRDefault="00CE221A" w:rsidP="00632F16">
      <w:pPr>
        <w:pStyle w:val="USBodyText"/>
      </w:pPr>
      <w:r>
        <w:t xml:space="preserve">The </w:t>
      </w:r>
      <w:r w:rsidRPr="00CE221A">
        <w:t>attributable risk approach measures the proportion of a disease</w:t>
      </w:r>
      <w:r>
        <w:t xml:space="preserve"> or condition</w:t>
      </w:r>
      <w:r w:rsidRPr="00CE221A">
        <w:t xml:space="preserve"> that is due to exposure to the disease or </w:t>
      </w:r>
      <w:r>
        <w:t>its</w:t>
      </w:r>
      <w:r w:rsidRPr="00CE221A">
        <w:t xml:space="preserve"> risk factors</w:t>
      </w:r>
      <w:r w:rsidR="00CA339B">
        <w:t xml:space="preserve">. The attributable risk approach requires researchers to calculate the </w:t>
      </w:r>
      <w:r w:rsidR="00C73035">
        <w:t xml:space="preserve">population attributable fraction (PAF) – an epidemiological measure </w:t>
      </w:r>
      <w:r w:rsidR="00925990">
        <w:t xml:space="preserve">that </w:t>
      </w:r>
      <w:r w:rsidR="00AA6139">
        <w:t>describe</w:t>
      </w:r>
      <w:r w:rsidR="00F07F3C">
        <w:t>s</w:t>
      </w:r>
      <w:r w:rsidR="00AA6139">
        <w:t xml:space="preserve"> the contribution of a single condition or risk factor to the overall burden of disease in a population.</w:t>
      </w:r>
      <w:r w:rsidR="00CC5690">
        <w:t xml:space="preserve"> </w:t>
      </w:r>
      <w:r w:rsidR="001755D2">
        <w:t xml:space="preserve">PAFs are </w:t>
      </w:r>
      <w:r w:rsidR="006A0CBD">
        <w:t xml:space="preserve">often subject to assumptions and calculations are data intensive, </w:t>
      </w:r>
      <w:r w:rsidR="00031854">
        <w:t>resulting in a high degree of uncertainty where there are significant gaps in knowledge and data.</w:t>
      </w:r>
    </w:p>
    <w:p w14:paraId="55822CC4" w14:textId="02780096" w:rsidR="003051C6" w:rsidRDefault="003051C6" w:rsidP="0005646B">
      <w:pPr>
        <w:pStyle w:val="Heading3"/>
      </w:pPr>
      <w:r>
        <w:t>Excess cost approach</w:t>
      </w:r>
      <w:bookmarkEnd w:id="30"/>
    </w:p>
    <w:p w14:paraId="7DFC4958" w14:textId="5458F286" w:rsidR="003051C6" w:rsidRPr="00A83DE7" w:rsidRDefault="003051C6" w:rsidP="0047577C">
      <w:pPr>
        <w:pStyle w:val="USBodyText"/>
      </w:pPr>
      <w:r>
        <w:t>The excess cost approach is a relatively simple methodology that avoids the difficulty of classifying costs as specific or not specific to a particular disease or condition. Instead, the approach involves dividing the study population into two groups, one with the disease or condition and one without. All in-scope costs for each group and for a defined period of time are then identified and summed for specific demographic groups – usually defined by sex and 5</w:t>
      </w:r>
      <w:r w:rsidR="00011ADC">
        <w:t>-</w:t>
      </w:r>
      <w:r>
        <w:t xml:space="preserve">year age band. For each demographic group, the costs of the group without the disease or condition are then subtracted from the costs of the group </w:t>
      </w:r>
      <w:r w:rsidRPr="00CE3610">
        <w:rPr>
          <w:i/>
          <w:iCs/>
        </w:rPr>
        <w:t>with</w:t>
      </w:r>
      <w:r>
        <w:t xml:space="preserve"> the disease or condition to identify the excess cost associated with the disease or condition.</w:t>
      </w:r>
    </w:p>
    <w:p w14:paraId="0BB666B9" w14:textId="77777777" w:rsidR="007D56A2" w:rsidRPr="00B93311" w:rsidRDefault="007D56A2" w:rsidP="002E10F0">
      <w:pPr>
        <w:pStyle w:val="Heading2"/>
      </w:pPr>
      <w:bookmarkStart w:id="31" w:name="_Toc98760506"/>
      <w:r>
        <w:rPr>
          <w:rStyle w:val="normaltextrun"/>
          <w:rFonts w:cs="Calibri"/>
          <w:bCs/>
          <w:color w:val="0094C5"/>
        </w:rPr>
        <w:t>Measuring indirect costs</w:t>
      </w:r>
      <w:bookmarkEnd w:id="31"/>
    </w:p>
    <w:p w14:paraId="6F8F8758" w14:textId="03E3ADE2" w:rsidR="007D56A2" w:rsidRDefault="004B78EC" w:rsidP="0047577C">
      <w:pPr>
        <w:pStyle w:val="USBodyText"/>
        <w:rPr>
          <w:rStyle w:val="normaltextrun"/>
        </w:rPr>
      </w:pPr>
      <w:r>
        <w:rPr>
          <w:rStyle w:val="normaltextrun"/>
          <w:rFonts w:cs="Calibri"/>
        </w:rPr>
        <w:t>Two</w:t>
      </w:r>
      <w:r w:rsidR="007D56A2">
        <w:rPr>
          <w:rStyle w:val="normaltextrun"/>
          <w:rFonts w:cs="Calibri"/>
        </w:rPr>
        <w:t xml:space="preserve"> major methods are typically mentioned and used to measure indirect costs</w:t>
      </w:r>
      <w:r>
        <w:rPr>
          <w:rStyle w:val="normaltextrun"/>
          <w:rFonts w:cs="Calibri"/>
        </w:rPr>
        <w:t xml:space="preserve"> related to productivity</w:t>
      </w:r>
      <w:r w:rsidR="00653154">
        <w:rPr>
          <w:rStyle w:val="normaltextrun"/>
          <w:rFonts w:cs="Calibri"/>
        </w:rPr>
        <w:t xml:space="preserve"> </w:t>
      </w:r>
      <w:r w:rsidR="00855936">
        <w:rPr>
          <w:rStyle w:val="normaltextrun"/>
          <w:rFonts w:cs="Calibri"/>
        </w:rPr>
        <w:t>–</w:t>
      </w:r>
      <w:r w:rsidR="00653154">
        <w:rPr>
          <w:rStyle w:val="normaltextrun"/>
          <w:rFonts w:cs="Calibri"/>
        </w:rPr>
        <w:t xml:space="preserve"> t</w:t>
      </w:r>
      <w:r w:rsidR="007D56A2">
        <w:rPr>
          <w:rStyle w:val="normaltextrun"/>
          <w:rFonts w:cs="Calibri"/>
        </w:rPr>
        <w:t>he</w:t>
      </w:r>
      <w:r w:rsidR="00F616AA">
        <w:rPr>
          <w:rStyle w:val="normaltextrun"/>
          <w:rFonts w:cs="Calibri"/>
        </w:rPr>
        <w:t xml:space="preserve"> </w:t>
      </w:r>
      <w:r w:rsidR="007D56A2">
        <w:rPr>
          <w:rStyle w:val="normaltextrun"/>
          <w:rFonts w:cs="Calibri"/>
        </w:rPr>
        <w:t xml:space="preserve">human capital method and </w:t>
      </w:r>
      <w:r w:rsidR="0047577C">
        <w:rPr>
          <w:rStyle w:val="normaltextrun"/>
          <w:rFonts w:cs="Calibri"/>
        </w:rPr>
        <w:t xml:space="preserve">the </w:t>
      </w:r>
      <w:r w:rsidR="007D56A2">
        <w:rPr>
          <w:rStyle w:val="normaltextrun"/>
          <w:rFonts w:cs="Calibri"/>
        </w:rPr>
        <w:t>friction cost method.</w:t>
      </w:r>
    </w:p>
    <w:p w14:paraId="1B1BFAE0" w14:textId="77777777" w:rsidR="007D56A2" w:rsidRPr="00A001D5" w:rsidRDefault="007D56A2" w:rsidP="0005646B">
      <w:pPr>
        <w:pStyle w:val="Heading3"/>
      </w:pPr>
      <w:r w:rsidRPr="00A001D5">
        <w:t>Human capital method</w:t>
      </w:r>
    </w:p>
    <w:p w14:paraId="1B742B3C" w14:textId="68F9A920" w:rsidR="007D56A2" w:rsidRDefault="007D56A2" w:rsidP="0047577C">
      <w:pPr>
        <w:pStyle w:val="USBodyText"/>
        <w:rPr>
          <w:rStyle w:val="normaltextrun"/>
          <w:rFonts w:cs="Calibri"/>
        </w:rPr>
      </w:pPr>
      <w:r>
        <w:rPr>
          <w:rStyle w:val="normaltextrun"/>
          <w:rFonts w:cs="Calibri"/>
        </w:rPr>
        <w:t xml:space="preserve">The human capital method is the most common method used for estimating indirect costs associated with illnesses. The core principle of this method is to calculate the current value of human capital as discounted future expected income </w:t>
      </w:r>
      <w:r w:rsidR="00716746" w:rsidRPr="00716746">
        <w:rPr>
          <w:rFonts w:cs="Calibri"/>
        </w:rPr>
        <w:t>(H.-J. Choi and Lee 2019)</w:t>
      </w:r>
      <w:r w:rsidR="00BB4D46">
        <w:rPr>
          <w:rStyle w:val="normaltextrun"/>
          <w:rFonts w:cs="Calibri"/>
        </w:rPr>
        <w:t>.</w:t>
      </w:r>
      <w:r>
        <w:rPr>
          <w:rStyle w:val="normaltextrun"/>
          <w:rFonts w:cs="Calibri"/>
        </w:rPr>
        <w:t xml:space="preserve"> In practice, the productivity loss due to illness is approximated by the loss in a person's earnings due to illness, compared to if that person continues to work in full health.</w:t>
      </w:r>
    </w:p>
    <w:p w14:paraId="124FF24D" w14:textId="6EC10E71" w:rsidR="007D56A2" w:rsidRDefault="007D56A2" w:rsidP="0047577C">
      <w:pPr>
        <w:pStyle w:val="USBodyText"/>
        <w:rPr>
          <w:rStyle w:val="normaltextrun"/>
          <w:rFonts w:cs="Calibri"/>
        </w:rPr>
      </w:pPr>
      <w:r>
        <w:rPr>
          <w:rStyle w:val="normaltextrun"/>
          <w:rFonts w:cs="Calibri"/>
        </w:rPr>
        <w:t xml:space="preserve">This approach is widely used in existing literature because data is easy to access. By using data on people's income levels, this method also makes it easier to quantify the loss of productivity. In addition, as this method is widely used in the existing literature and the calculation is relatively easy, it's less likely that </w:t>
      </w:r>
      <w:r w:rsidR="00F616AA">
        <w:rPr>
          <w:rStyle w:val="normaltextrun"/>
          <w:rFonts w:cs="Calibri"/>
        </w:rPr>
        <w:t>the researcher will introduce biases</w:t>
      </w:r>
      <w:r>
        <w:rPr>
          <w:rStyle w:val="normaltextrun"/>
          <w:rFonts w:cs="Calibri"/>
        </w:rPr>
        <w:t>.</w:t>
      </w:r>
    </w:p>
    <w:p w14:paraId="0271810C" w14:textId="056AA2C6" w:rsidR="007D56A2" w:rsidRDefault="007D56A2" w:rsidP="0047577C">
      <w:pPr>
        <w:pStyle w:val="USBodyText"/>
        <w:rPr>
          <w:rStyle w:val="normaltextrun"/>
          <w:rFonts w:cs="Calibri"/>
        </w:rPr>
      </w:pPr>
      <w:r>
        <w:rPr>
          <w:rStyle w:val="normaltextrun"/>
          <w:rFonts w:cs="Calibri"/>
        </w:rPr>
        <w:t>One assumption made by this method is that future earnings can be used as proxies for future productivity. Therefore, this method is critici</w:t>
      </w:r>
      <w:r w:rsidR="00F616AA">
        <w:rPr>
          <w:rStyle w:val="normaltextrun"/>
          <w:rFonts w:cs="Calibri"/>
        </w:rPr>
        <w:t>s</w:t>
      </w:r>
      <w:r>
        <w:rPr>
          <w:rStyle w:val="normaltextrun"/>
          <w:rFonts w:cs="Calibri"/>
        </w:rPr>
        <w:t xml:space="preserve">ed for measuring human life solely </w:t>
      </w:r>
      <w:r w:rsidR="00F616AA">
        <w:rPr>
          <w:rStyle w:val="normaltextrun"/>
          <w:rFonts w:cs="Calibri"/>
        </w:rPr>
        <w:t>based on</w:t>
      </w:r>
      <w:r>
        <w:rPr>
          <w:rStyle w:val="normaltextrun"/>
          <w:rFonts w:cs="Calibri"/>
        </w:rPr>
        <w:t xml:space="preserve"> a person's ability to earn income. This method also tends to be discriminatory against underproductive groups such as students. In addition, this method can potentially underestimate the intangible costs of illness. </w:t>
      </w:r>
    </w:p>
    <w:p w14:paraId="74958C28" w14:textId="77777777" w:rsidR="003E45AE" w:rsidRPr="00A001D5" w:rsidRDefault="003E45AE" w:rsidP="0005646B">
      <w:pPr>
        <w:pStyle w:val="Heading3"/>
      </w:pPr>
      <w:r w:rsidRPr="00A001D5">
        <w:t>Friction cost method</w:t>
      </w:r>
    </w:p>
    <w:p w14:paraId="282EE2C1" w14:textId="0E8F3E1D" w:rsidR="003E45AE" w:rsidRDefault="003E45AE" w:rsidP="003E45AE">
      <w:pPr>
        <w:pStyle w:val="USBodyText"/>
        <w:rPr>
          <w:rStyle w:val="eop"/>
        </w:rPr>
      </w:pPr>
      <w:r w:rsidRPr="002C72F2">
        <w:rPr>
          <w:rStyle w:val="eop"/>
        </w:rPr>
        <w:t xml:space="preserve">The </w:t>
      </w:r>
      <w:r>
        <w:rPr>
          <w:rStyle w:val="eop"/>
        </w:rPr>
        <w:t xml:space="preserve">friction cost method measures the value of loss in productivity by using what is known as a friction period. The friction period is the time it takes for another person to replace the worker who is absent due to illness or for the worker to return to work in full health. The loss of productivity can be estimated by calculating the earnings of the individual over the friction period </w:t>
      </w:r>
      <w:r w:rsidR="001654CA" w:rsidRPr="001654CA">
        <w:rPr>
          <w:rFonts w:cs="Calibri"/>
        </w:rPr>
        <w:t>(Zemedikun et al. 2021)</w:t>
      </w:r>
      <w:r>
        <w:rPr>
          <w:rStyle w:val="eop"/>
        </w:rPr>
        <w:t>.</w:t>
      </w:r>
    </w:p>
    <w:p w14:paraId="29BDC248" w14:textId="4BDB3CAC" w:rsidR="003E45AE" w:rsidRDefault="003E45AE" w:rsidP="003E45AE">
      <w:pPr>
        <w:pStyle w:val="USBodyText"/>
        <w:rPr>
          <w:rStyle w:val="eop"/>
        </w:rPr>
      </w:pPr>
      <w:r>
        <w:rPr>
          <w:rStyle w:val="eop"/>
        </w:rPr>
        <w:lastRenderedPageBreak/>
        <w:t xml:space="preserve">This method relaxes the strong assumption of the human capital method that a worker cannot be replaced even when the unemployment rate is high. </w:t>
      </w:r>
      <w:r w:rsidR="00101109">
        <w:rPr>
          <w:rStyle w:val="eop"/>
        </w:rPr>
        <w:t>Therefore,</w:t>
      </w:r>
      <w:r>
        <w:rPr>
          <w:rStyle w:val="eop"/>
        </w:rPr>
        <w:t xml:space="preserve"> t</w:t>
      </w:r>
      <w:r w:rsidRPr="003B32B0">
        <w:t>he friction cost method</w:t>
      </w:r>
      <w:r>
        <w:t xml:space="preserve"> is more likely to </w:t>
      </w:r>
      <w:r w:rsidRPr="003B32B0">
        <w:t>reflect the true cost of productivity loss for employers.</w:t>
      </w:r>
    </w:p>
    <w:p w14:paraId="6FD31886" w14:textId="59E35DF0" w:rsidR="003E45AE" w:rsidRPr="00732416" w:rsidRDefault="003E45AE" w:rsidP="003E45AE">
      <w:pPr>
        <w:pStyle w:val="USBodyText"/>
        <w:rPr>
          <w:rStyle w:val="eop"/>
        </w:rPr>
      </w:pPr>
      <w:r>
        <w:rPr>
          <w:rStyle w:val="eop"/>
        </w:rPr>
        <w:t>In practice, the friction cost method</w:t>
      </w:r>
      <w:r w:rsidRPr="00732416">
        <w:rPr>
          <w:rStyle w:val="eop"/>
        </w:rPr>
        <w:t xml:space="preserve"> </w:t>
      </w:r>
      <w:r>
        <w:rPr>
          <w:rStyle w:val="eop"/>
        </w:rPr>
        <w:t>is not commonly</w:t>
      </w:r>
      <w:r w:rsidRPr="00732416">
        <w:rPr>
          <w:rStyle w:val="eop"/>
        </w:rPr>
        <w:t xml:space="preserve"> used because</w:t>
      </w:r>
      <w:r>
        <w:rPr>
          <w:rStyle w:val="eop"/>
        </w:rPr>
        <w:t xml:space="preserve"> of the limitation it faces in empirically estimating the </w:t>
      </w:r>
      <w:r w:rsidRPr="00732416">
        <w:rPr>
          <w:rStyle w:val="eop"/>
        </w:rPr>
        <w:t>losses during the</w:t>
      </w:r>
      <w:r>
        <w:rPr>
          <w:rStyle w:val="eop"/>
        </w:rPr>
        <w:t xml:space="preserve"> </w:t>
      </w:r>
      <w:r w:rsidRPr="00732416">
        <w:rPr>
          <w:rStyle w:val="eop"/>
        </w:rPr>
        <w:t xml:space="preserve">friction period. </w:t>
      </w:r>
      <w:r>
        <w:rPr>
          <w:rStyle w:val="eop"/>
        </w:rPr>
        <w:t xml:space="preserve">This process requires extensive data to </w:t>
      </w:r>
      <w:r w:rsidR="00235A9F">
        <w:rPr>
          <w:rStyle w:val="eop"/>
        </w:rPr>
        <w:t>accurately estimate</w:t>
      </w:r>
      <w:r>
        <w:rPr>
          <w:rStyle w:val="eop"/>
        </w:rPr>
        <w:t xml:space="preserve"> productivity loss in </w:t>
      </w:r>
      <w:r w:rsidRPr="00732416">
        <w:rPr>
          <w:rStyle w:val="eop"/>
        </w:rPr>
        <w:t>replac</w:t>
      </w:r>
      <w:r>
        <w:rPr>
          <w:rStyle w:val="eop"/>
        </w:rPr>
        <w:t>ing</w:t>
      </w:r>
      <w:r w:rsidRPr="00732416">
        <w:rPr>
          <w:rStyle w:val="eop"/>
        </w:rPr>
        <w:t xml:space="preserve"> </w:t>
      </w:r>
      <w:r>
        <w:rPr>
          <w:rStyle w:val="eop"/>
        </w:rPr>
        <w:t>unwell</w:t>
      </w:r>
      <w:r w:rsidRPr="00732416">
        <w:rPr>
          <w:rStyle w:val="eop"/>
        </w:rPr>
        <w:t xml:space="preserve"> workers during the friction period</w:t>
      </w:r>
      <w:r>
        <w:rPr>
          <w:rStyle w:val="eop"/>
        </w:rPr>
        <w:t>. Another drawback of the friction cost method is that</w:t>
      </w:r>
      <w:r w:rsidRPr="002C72F2">
        <w:rPr>
          <w:rStyle w:val="eop"/>
        </w:rPr>
        <w:t xml:space="preserve"> </w:t>
      </w:r>
      <w:r>
        <w:rPr>
          <w:rStyle w:val="eop"/>
        </w:rPr>
        <w:t>the assumption that an absent employee may be replaced is only conditionally valid</w:t>
      </w:r>
      <w:r w:rsidR="00E47C03">
        <w:rPr>
          <w:rStyle w:val="eop"/>
        </w:rPr>
        <w:t>. I</w:t>
      </w:r>
      <w:r>
        <w:rPr>
          <w:rStyle w:val="eop"/>
        </w:rPr>
        <w:t xml:space="preserve">n reality, an absent worker may only be replaced by a less suitable worker, thus incurring training or recruitment costs </w:t>
      </w:r>
      <w:r w:rsidR="001654CA" w:rsidRPr="001654CA">
        <w:rPr>
          <w:rFonts w:cs="Calibri"/>
        </w:rPr>
        <w:t>(Lensberg et al. 2013)</w:t>
      </w:r>
      <w:r>
        <w:rPr>
          <w:rStyle w:val="eop"/>
        </w:rPr>
        <w:t>.</w:t>
      </w:r>
    </w:p>
    <w:p w14:paraId="1060BAC1" w14:textId="570E8EF7" w:rsidR="003E45AE" w:rsidRDefault="00E47C03" w:rsidP="003E45AE">
      <w:pPr>
        <w:pStyle w:val="USBodyText"/>
        <w:rPr>
          <w:b/>
          <w:iCs/>
          <w:color w:val="0094C5"/>
          <w:sz w:val="20"/>
          <w:szCs w:val="14"/>
        </w:rPr>
      </w:pPr>
      <w:r>
        <w:rPr>
          <w:rStyle w:val="eop"/>
          <w:rFonts w:cs="Calibri"/>
        </w:rPr>
        <w:fldChar w:fldCharType="begin"/>
      </w:r>
      <w:r>
        <w:rPr>
          <w:rStyle w:val="eop"/>
          <w:rFonts w:cs="Calibri"/>
        </w:rPr>
        <w:instrText xml:space="preserve"> REF _Ref85622800 \h </w:instrText>
      </w:r>
      <w:r>
        <w:rPr>
          <w:rStyle w:val="eop"/>
          <w:rFonts w:cs="Calibri"/>
        </w:rPr>
      </w:r>
      <w:r>
        <w:rPr>
          <w:rStyle w:val="eop"/>
          <w:rFonts w:cs="Calibri"/>
        </w:rPr>
        <w:fldChar w:fldCharType="separate"/>
      </w:r>
      <w:r w:rsidR="002C631E" w:rsidRPr="00D1180A">
        <w:t xml:space="preserve">Table </w:t>
      </w:r>
      <w:r w:rsidR="002C631E">
        <w:rPr>
          <w:noProof/>
        </w:rPr>
        <w:t>6</w:t>
      </w:r>
      <w:r>
        <w:rPr>
          <w:rStyle w:val="eop"/>
          <w:rFonts w:cs="Calibri"/>
        </w:rPr>
        <w:fldChar w:fldCharType="end"/>
      </w:r>
      <w:r w:rsidR="003E45AE">
        <w:rPr>
          <w:rStyle w:val="eop"/>
          <w:rFonts w:cs="Calibri"/>
        </w:rPr>
        <w:t xml:space="preserve"> </w:t>
      </w:r>
      <w:r>
        <w:rPr>
          <w:rStyle w:val="eop"/>
          <w:rFonts w:cs="Calibri"/>
        </w:rPr>
        <w:t xml:space="preserve">summarises </w:t>
      </w:r>
      <w:r w:rsidR="003E45AE">
        <w:rPr>
          <w:rStyle w:val="eop"/>
          <w:rFonts w:cs="Calibri"/>
        </w:rPr>
        <w:t>the pros and cons of the human capital method, willingness to pay method</w:t>
      </w:r>
      <w:r w:rsidR="009C4F91">
        <w:rPr>
          <w:rStyle w:val="eop"/>
          <w:rFonts w:cs="Calibri"/>
        </w:rPr>
        <w:t xml:space="preserve"> (WTP)</w:t>
      </w:r>
      <w:r w:rsidR="003E45AE">
        <w:rPr>
          <w:rStyle w:val="eop"/>
          <w:rFonts w:cs="Calibri"/>
        </w:rPr>
        <w:t>, and friction cost methods.</w:t>
      </w:r>
      <w:r w:rsidR="003E45AE">
        <w:rPr>
          <w:b/>
          <w:iCs/>
          <w:color w:val="0094C5"/>
          <w:sz w:val="20"/>
          <w:szCs w:val="14"/>
        </w:rPr>
        <w:br w:type="page"/>
      </w:r>
    </w:p>
    <w:p w14:paraId="69E92B25" w14:textId="013A3BC8" w:rsidR="003E45AE" w:rsidRDefault="003E45AE" w:rsidP="003E45AE">
      <w:pPr>
        <w:pStyle w:val="TableCaption"/>
      </w:pPr>
      <w:bookmarkStart w:id="32" w:name="_Ref85622800"/>
      <w:bookmarkStart w:id="33" w:name="_Toc98760570"/>
      <w:r w:rsidRPr="00D1180A">
        <w:lastRenderedPageBreak/>
        <w:t xml:space="preserve">Table </w:t>
      </w:r>
      <w:r w:rsidR="00E47C03">
        <w:fldChar w:fldCharType="begin"/>
      </w:r>
      <w:r w:rsidR="00E47C03">
        <w:instrText>SEQ Table \* ARABIC</w:instrText>
      </w:r>
      <w:r w:rsidR="00E47C03">
        <w:fldChar w:fldCharType="separate"/>
      </w:r>
      <w:r w:rsidR="002C631E">
        <w:rPr>
          <w:noProof/>
        </w:rPr>
        <w:t>6</w:t>
      </w:r>
      <w:r w:rsidR="00E47C03">
        <w:fldChar w:fldCharType="end"/>
      </w:r>
      <w:bookmarkEnd w:id="32"/>
      <w:r w:rsidR="00E47C03">
        <w:t xml:space="preserve"> </w:t>
      </w:r>
      <w:r w:rsidRPr="00D1180A">
        <w:t xml:space="preserve">Comparison of </w:t>
      </w:r>
      <w:r>
        <w:t>different methods used to calculate indirect cost</w:t>
      </w:r>
      <w:bookmarkEnd w:id="33"/>
    </w:p>
    <w:tbl>
      <w:tblPr>
        <w:tblW w:w="9355" w:type="dxa"/>
        <w:tblInd w:w="8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2551"/>
        <w:gridCol w:w="2693"/>
        <w:gridCol w:w="2977"/>
      </w:tblGrid>
      <w:tr w:rsidR="003E45AE" w14:paraId="63F147EB" w14:textId="77777777" w:rsidTr="006F58C2">
        <w:trPr>
          <w:trHeight w:val="496"/>
        </w:trPr>
        <w:tc>
          <w:tcPr>
            <w:tcW w:w="1134" w:type="dxa"/>
            <w:tcBorders>
              <w:top w:val="single" w:sz="6" w:space="0" w:color="0094C5" w:themeColor="accent1"/>
              <w:left w:val="nil"/>
              <w:bottom w:val="single" w:sz="6" w:space="0" w:color="0094C5" w:themeColor="accent1"/>
              <w:right w:val="nil"/>
            </w:tcBorders>
            <w:shd w:val="clear" w:color="auto" w:fill="0094C5" w:themeFill="accent1"/>
            <w:hideMark/>
          </w:tcPr>
          <w:p w14:paraId="31290AA7" w14:textId="77777777" w:rsidR="003E45AE" w:rsidRPr="006F58C2" w:rsidRDefault="003E45AE" w:rsidP="006F58C2">
            <w:pPr>
              <w:pStyle w:val="TSTableHeadingWhite-TopRow"/>
            </w:pPr>
          </w:p>
        </w:tc>
        <w:tc>
          <w:tcPr>
            <w:tcW w:w="2551" w:type="dxa"/>
            <w:tcBorders>
              <w:top w:val="single" w:sz="6" w:space="0" w:color="0094C5" w:themeColor="accent1"/>
              <w:left w:val="nil"/>
              <w:bottom w:val="single" w:sz="6" w:space="0" w:color="0094C5" w:themeColor="accent1"/>
              <w:right w:val="nil"/>
            </w:tcBorders>
            <w:shd w:val="clear" w:color="auto" w:fill="0094C5" w:themeFill="accent1"/>
            <w:hideMark/>
          </w:tcPr>
          <w:p w14:paraId="0E8A64D7" w14:textId="77777777" w:rsidR="003E45AE" w:rsidRPr="006F58C2" w:rsidRDefault="003E45AE" w:rsidP="006F58C2">
            <w:pPr>
              <w:pStyle w:val="TSTableHeadingWhite-TopRow"/>
              <w:jc w:val="center"/>
            </w:pPr>
            <w:r w:rsidRPr="006F58C2">
              <w:t>Human capital method</w:t>
            </w:r>
          </w:p>
        </w:tc>
        <w:tc>
          <w:tcPr>
            <w:tcW w:w="2693" w:type="dxa"/>
            <w:tcBorders>
              <w:top w:val="single" w:sz="6" w:space="0" w:color="0094C5" w:themeColor="accent1"/>
              <w:left w:val="nil"/>
              <w:bottom w:val="single" w:sz="6" w:space="0" w:color="0094C5" w:themeColor="accent1"/>
              <w:right w:val="nil"/>
            </w:tcBorders>
            <w:shd w:val="clear" w:color="auto" w:fill="0094C5" w:themeFill="accent1"/>
            <w:hideMark/>
          </w:tcPr>
          <w:p w14:paraId="6E4B3A1C" w14:textId="77777777" w:rsidR="003E45AE" w:rsidRPr="006F58C2" w:rsidRDefault="003E45AE" w:rsidP="006F58C2">
            <w:pPr>
              <w:pStyle w:val="TSTableHeadingWhite-TopRow"/>
              <w:jc w:val="center"/>
            </w:pPr>
            <w:r w:rsidRPr="006F58C2">
              <w:t>Willingness to pay method</w:t>
            </w:r>
          </w:p>
        </w:tc>
        <w:tc>
          <w:tcPr>
            <w:tcW w:w="2977" w:type="dxa"/>
            <w:tcBorders>
              <w:top w:val="single" w:sz="6" w:space="0" w:color="0094C5" w:themeColor="accent1"/>
              <w:left w:val="nil"/>
              <w:bottom w:val="single" w:sz="6" w:space="0" w:color="0094C5" w:themeColor="accent1"/>
              <w:right w:val="nil"/>
            </w:tcBorders>
            <w:shd w:val="clear" w:color="auto" w:fill="0094C5" w:themeFill="accent1"/>
          </w:tcPr>
          <w:p w14:paraId="5701323E" w14:textId="77777777" w:rsidR="003E45AE" w:rsidRPr="006F58C2" w:rsidRDefault="003E45AE" w:rsidP="006F58C2">
            <w:pPr>
              <w:pStyle w:val="TSTableHeadingWhite-TopRow"/>
              <w:jc w:val="center"/>
            </w:pPr>
            <w:r w:rsidRPr="006F58C2">
              <w:t>Friction cost method</w:t>
            </w:r>
          </w:p>
        </w:tc>
      </w:tr>
      <w:tr w:rsidR="003E45AE" w14:paraId="350B5273" w14:textId="77777777" w:rsidTr="006F58C2">
        <w:tc>
          <w:tcPr>
            <w:tcW w:w="1134" w:type="dxa"/>
            <w:tcBorders>
              <w:top w:val="single" w:sz="6" w:space="0" w:color="0094C5" w:themeColor="accent1"/>
              <w:left w:val="nil"/>
              <w:bottom w:val="single" w:sz="6" w:space="0" w:color="0094C5" w:themeColor="accent1"/>
              <w:right w:val="nil"/>
            </w:tcBorders>
            <w:shd w:val="clear" w:color="auto" w:fill="auto"/>
            <w:hideMark/>
          </w:tcPr>
          <w:p w14:paraId="3A60E294" w14:textId="77777777" w:rsidR="003E45AE" w:rsidRPr="00D828DF" w:rsidRDefault="003E45AE" w:rsidP="00F86FEA">
            <w:pPr>
              <w:spacing w:after="0" w:line="240" w:lineRule="auto"/>
              <w:textAlignment w:val="baseline"/>
              <w:rPr>
                <w:rFonts w:ascii="Segoe UI" w:eastAsia="Times New Roman" w:hAnsi="Segoe UI" w:cs="Segoe UI"/>
                <w:sz w:val="20"/>
                <w:szCs w:val="20"/>
                <w:lang w:eastAsia="en-NZ"/>
              </w:rPr>
            </w:pPr>
            <w:r w:rsidRPr="00D828DF">
              <w:rPr>
                <w:rFonts w:eastAsia="Times New Roman" w:cs="Calibri"/>
                <w:sz w:val="20"/>
                <w:szCs w:val="20"/>
                <w:lang w:eastAsia="en-NZ"/>
              </w:rPr>
              <w:t>Description</w:t>
            </w:r>
          </w:p>
          <w:p w14:paraId="31E12A4C" w14:textId="77777777" w:rsidR="003E45AE" w:rsidRPr="00D828DF" w:rsidRDefault="003E45AE" w:rsidP="00F86FEA">
            <w:pPr>
              <w:spacing w:after="0" w:line="240" w:lineRule="auto"/>
              <w:textAlignment w:val="baseline"/>
              <w:rPr>
                <w:rFonts w:ascii="Segoe UI" w:eastAsia="Times New Roman" w:hAnsi="Segoe UI" w:cs="Segoe UI"/>
                <w:sz w:val="20"/>
                <w:szCs w:val="20"/>
                <w:lang w:eastAsia="en-NZ"/>
              </w:rPr>
            </w:pPr>
          </w:p>
        </w:tc>
        <w:tc>
          <w:tcPr>
            <w:tcW w:w="2551" w:type="dxa"/>
            <w:tcBorders>
              <w:top w:val="single" w:sz="6" w:space="0" w:color="0094C5" w:themeColor="accent1"/>
              <w:left w:val="nil"/>
              <w:bottom w:val="single" w:sz="6" w:space="0" w:color="0094C5" w:themeColor="accent1"/>
              <w:right w:val="nil"/>
            </w:tcBorders>
            <w:shd w:val="clear" w:color="auto" w:fill="auto"/>
            <w:hideMark/>
          </w:tcPr>
          <w:p w14:paraId="262079FB" w14:textId="65C96FE3" w:rsidR="003E45AE" w:rsidRPr="006F58C2" w:rsidRDefault="003E45AE" w:rsidP="006F58C2">
            <w:pPr>
              <w:pStyle w:val="TSBullet1"/>
            </w:pPr>
            <w:r w:rsidRPr="006F58C2">
              <w:t>Assesses the value of one's current life in terms of one's discounted future expected income</w:t>
            </w:r>
            <w:r w:rsidR="006F58C2">
              <w:t>.</w:t>
            </w:r>
          </w:p>
          <w:p w14:paraId="46F459E4" w14:textId="7BD63772" w:rsidR="003E45AE" w:rsidRPr="006F58C2" w:rsidRDefault="003E45AE" w:rsidP="006F58C2">
            <w:pPr>
              <w:pStyle w:val="TSBullet1"/>
            </w:pPr>
            <w:r w:rsidRPr="006F58C2">
              <w:t>Regards humans as productive actors and estimates the costs of illnesses as losses of working hours or productivity</w:t>
            </w:r>
            <w:r w:rsidR="006F58C2">
              <w:t>.</w:t>
            </w:r>
          </w:p>
        </w:tc>
        <w:tc>
          <w:tcPr>
            <w:tcW w:w="2693" w:type="dxa"/>
            <w:tcBorders>
              <w:top w:val="single" w:sz="6" w:space="0" w:color="0094C5" w:themeColor="accent1"/>
              <w:left w:val="nil"/>
              <w:bottom w:val="single" w:sz="6" w:space="0" w:color="0094C5" w:themeColor="accent1"/>
              <w:right w:val="nil"/>
            </w:tcBorders>
            <w:shd w:val="clear" w:color="auto" w:fill="auto"/>
            <w:hideMark/>
          </w:tcPr>
          <w:p w14:paraId="27295326" w14:textId="641A0467" w:rsidR="003E45AE" w:rsidRPr="00E47C03" w:rsidRDefault="003E45AE" w:rsidP="00077839">
            <w:pPr>
              <w:pStyle w:val="TSBullet1"/>
              <w:ind w:left="425"/>
            </w:pPr>
            <w:r w:rsidRPr="00E47C03">
              <w:t>Surveys people on how much they would be willing to pay for certain things</w:t>
            </w:r>
            <w:r w:rsidR="006F58C2">
              <w:t>.</w:t>
            </w:r>
          </w:p>
          <w:p w14:paraId="7767B20B" w14:textId="1EF26D1A" w:rsidR="003E45AE" w:rsidRPr="00E47C03" w:rsidRDefault="003E45AE" w:rsidP="00077839">
            <w:pPr>
              <w:pStyle w:val="TSBullet1"/>
              <w:ind w:left="425"/>
            </w:pPr>
            <w:r w:rsidRPr="00E47C03">
              <w:t>Estimates the costs of illnesses based on how much individuals would be willing to pay to maintain or improve their health</w:t>
            </w:r>
            <w:r w:rsidR="00462F8E">
              <w:t>.</w:t>
            </w:r>
          </w:p>
        </w:tc>
        <w:tc>
          <w:tcPr>
            <w:tcW w:w="2977" w:type="dxa"/>
            <w:tcBorders>
              <w:top w:val="single" w:sz="6" w:space="0" w:color="0094C5" w:themeColor="accent1"/>
              <w:left w:val="nil"/>
              <w:bottom w:val="single" w:sz="6" w:space="0" w:color="0094C5" w:themeColor="accent1"/>
              <w:right w:val="nil"/>
            </w:tcBorders>
          </w:tcPr>
          <w:p w14:paraId="602636A5" w14:textId="6D88F325" w:rsidR="003E45AE" w:rsidRPr="006F58C2" w:rsidRDefault="003E45AE" w:rsidP="006F58C2">
            <w:pPr>
              <w:pStyle w:val="TSBullet1"/>
            </w:pPr>
            <w:r w:rsidRPr="006F58C2">
              <w:t>Measures the value of loss in productivity by calculating the earning of an individual replacing the absent worker over the friction period.</w:t>
            </w:r>
          </w:p>
        </w:tc>
      </w:tr>
      <w:tr w:rsidR="003E45AE" w14:paraId="4E14A2AF" w14:textId="77777777" w:rsidTr="006F58C2">
        <w:tc>
          <w:tcPr>
            <w:tcW w:w="1134"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0E66DEF2" w14:textId="77777777" w:rsidR="003E45AE" w:rsidRPr="00D828DF" w:rsidRDefault="003E45AE" w:rsidP="00F86FEA">
            <w:pPr>
              <w:spacing w:after="0" w:line="240" w:lineRule="auto"/>
              <w:textAlignment w:val="baseline"/>
              <w:rPr>
                <w:rFonts w:eastAsia="Times New Roman" w:cs="Calibri"/>
                <w:sz w:val="20"/>
                <w:szCs w:val="20"/>
                <w:lang w:eastAsia="en-NZ"/>
              </w:rPr>
            </w:pPr>
            <w:r w:rsidRPr="00D828DF">
              <w:rPr>
                <w:rFonts w:eastAsia="Times New Roman" w:cs="Calibri"/>
                <w:sz w:val="20"/>
                <w:szCs w:val="20"/>
                <w:lang w:eastAsia="en-NZ"/>
              </w:rPr>
              <w:t>Pros</w:t>
            </w:r>
          </w:p>
        </w:tc>
        <w:tc>
          <w:tcPr>
            <w:tcW w:w="2551"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1B83A33D" w14:textId="0B4B54EF" w:rsidR="003E45AE" w:rsidRPr="006F58C2" w:rsidRDefault="003E45AE" w:rsidP="006F58C2">
            <w:pPr>
              <w:pStyle w:val="TSBullet1"/>
            </w:pPr>
            <w:r w:rsidRPr="006F58C2">
              <w:t>Ease of accessing required data.</w:t>
            </w:r>
          </w:p>
          <w:p w14:paraId="241A0CEA" w14:textId="01D14E50" w:rsidR="003E45AE" w:rsidRPr="006F58C2" w:rsidRDefault="003E45AE" w:rsidP="006F58C2">
            <w:pPr>
              <w:pStyle w:val="TSBullet1"/>
            </w:pPr>
            <w:r w:rsidRPr="006F58C2">
              <w:t>Ease of quantifying losses of productivity caused by illnesses based on patients' income levels</w:t>
            </w:r>
            <w:r w:rsidR="00462F8E">
              <w:t>.</w:t>
            </w:r>
          </w:p>
          <w:p w14:paraId="166E37DD" w14:textId="55B61141" w:rsidR="003E45AE" w:rsidRPr="006F58C2" w:rsidRDefault="003E45AE" w:rsidP="006F58C2">
            <w:pPr>
              <w:pStyle w:val="TSBullet1"/>
            </w:pPr>
            <w:r w:rsidRPr="006F58C2">
              <w:t>Results less influenced by personal bias</w:t>
            </w:r>
            <w:r w:rsidR="00462F8E">
              <w:t>.</w:t>
            </w:r>
          </w:p>
        </w:tc>
        <w:tc>
          <w:tcPr>
            <w:tcW w:w="2693"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1D61DE5F" w14:textId="39E4B8B8" w:rsidR="003E45AE" w:rsidRPr="00E47C03" w:rsidRDefault="003E45AE" w:rsidP="00077839">
            <w:pPr>
              <w:pStyle w:val="TSBullet1"/>
              <w:ind w:left="425"/>
            </w:pPr>
            <w:r w:rsidRPr="00E47C03">
              <w:t xml:space="preserve">Able to measure the values of even things not easily </w:t>
            </w:r>
            <w:r w:rsidR="00462F8E" w:rsidRPr="00E47C03">
              <w:t>moneti</w:t>
            </w:r>
            <w:r w:rsidR="00462F8E">
              <w:t>s</w:t>
            </w:r>
            <w:r w:rsidR="00462F8E" w:rsidRPr="00E47C03">
              <w:t>ed</w:t>
            </w:r>
          </w:p>
          <w:p w14:paraId="4E9CA81F" w14:textId="3BA6C24E" w:rsidR="003E45AE" w:rsidRPr="00E47C03" w:rsidRDefault="003E45AE" w:rsidP="00077839">
            <w:pPr>
              <w:pStyle w:val="TSBullet1"/>
              <w:ind w:left="425"/>
            </w:pPr>
            <w:r w:rsidRPr="00E47C03">
              <w:t>Uses people's tacit preferences for certain things to estimate the economic values of those things</w:t>
            </w:r>
            <w:r w:rsidR="00462F8E">
              <w:t>.</w:t>
            </w:r>
          </w:p>
          <w:p w14:paraId="6AEA7D48" w14:textId="077903FE" w:rsidR="003E45AE" w:rsidRPr="00E47C03" w:rsidRDefault="003E45AE" w:rsidP="00077839">
            <w:pPr>
              <w:pStyle w:val="TSBullet1"/>
              <w:ind w:left="425"/>
            </w:pPr>
            <w:r w:rsidRPr="00E47C03">
              <w:t>Capable of counting even intangible costs, such as quality of life and psychological suffering</w:t>
            </w:r>
            <w:r w:rsidR="00462F8E">
              <w:t>.</w:t>
            </w:r>
          </w:p>
        </w:tc>
        <w:tc>
          <w:tcPr>
            <w:tcW w:w="2977" w:type="dxa"/>
            <w:tcBorders>
              <w:top w:val="single" w:sz="6" w:space="0" w:color="0094C5" w:themeColor="accent1"/>
              <w:left w:val="nil"/>
              <w:bottom w:val="single" w:sz="6" w:space="0" w:color="0094C5" w:themeColor="accent1"/>
              <w:right w:val="nil"/>
            </w:tcBorders>
            <w:shd w:val="clear" w:color="auto" w:fill="F2F2F2" w:themeFill="background1" w:themeFillShade="F2"/>
          </w:tcPr>
          <w:p w14:paraId="40D5330F" w14:textId="5AD19035" w:rsidR="003E45AE" w:rsidRPr="006F58C2" w:rsidRDefault="003E45AE" w:rsidP="006F58C2">
            <w:pPr>
              <w:pStyle w:val="TSBullet1"/>
            </w:pPr>
            <w:r w:rsidRPr="006F58C2">
              <w:t>Allows</w:t>
            </w:r>
            <w:r w:rsidR="00A07A58">
              <w:t xml:space="preserve"> a</w:t>
            </w:r>
            <w:r w:rsidRPr="006F58C2">
              <w:t xml:space="preserve"> more realistic estimate of productivity loss that reflects the true cost for employers</w:t>
            </w:r>
            <w:r w:rsidR="00462F8E">
              <w:t>.</w:t>
            </w:r>
          </w:p>
        </w:tc>
      </w:tr>
      <w:tr w:rsidR="003E45AE" w14:paraId="0C91C65B" w14:textId="77777777" w:rsidTr="006F58C2">
        <w:tc>
          <w:tcPr>
            <w:tcW w:w="1134" w:type="dxa"/>
            <w:tcBorders>
              <w:top w:val="single" w:sz="6" w:space="0" w:color="0094C5" w:themeColor="accent1"/>
              <w:left w:val="nil"/>
              <w:bottom w:val="single" w:sz="6" w:space="0" w:color="0094C5" w:themeColor="accent1"/>
              <w:right w:val="nil"/>
            </w:tcBorders>
            <w:shd w:val="clear" w:color="auto" w:fill="auto"/>
          </w:tcPr>
          <w:p w14:paraId="08B2046C" w14:textId="77777777" w:rsidR="003E45AE" w:rsidRPr="00D828DF" w:rsidRDefault="003E45AE" w:rsidP="00F86FEA">
            <w:pPr>
              <w:spacing w:after="0" w:line="240" w:lineRule="auto"/>
              <w:textAlignment w:val="baseline"/>
              <w:rPr>
                <w:rFonts w:eastAsia="Times New Roman" w:cs="Calibri"/>
                <w:sz w:val="20"/>
                <w:szCs w:val="20"/>
                <w:lang w:eastAsia="en-NZ"/>
              </w:rPr>
            </w:pPr>
            <w:r w:rsidRPr="00D828DF">
              <w:rPr>
                <w:rFonts w:eastAsia="Times New Roman" w:cs="Calibri"/>
                <w:sz w:val="20"/>
                <w:szCs w:val="20"/>
                <w:lang w:eastAsia="en-NZ"/>
              </w:rPr>
              <w:t>Cons</w:t>
            </w:r>
          </w:p>
        </w:tc>
        <w:tc>
          <w:tcPr>
            <w:tcW w:w="2551" w:type="dxa"/>
            <w:tcBorders>
              <w:top w:val="single" w:sz="6" w:space="0" w:color="0094C5" w:themeColor="accent1"/>
              <w:left w:val="nil"/>
              <w:bottom w:val="single" w:sz="6" w:space="0" w:color="0094C5" w:themeColor="accent1"/>
              <w:right w:val="nil"/>
            </w:tcBorders>
            <w:shd w:val="clear" w:color="auto" w:fill="auto"/>
          </w:tcPr>
          <w:p w14:paraId="3060457A" w14:textId="3FD52F97" w:rsidR="003E45AE" w:rsidRPr="006F58C2" w:rsidRDefault="003E45AE" w:rsidP="006F58C2">
            <w:pPr>
              <w:pStyle w:val="TSBullet1"/>
            </w:pPr>
            <w:r w:rsidRPr="006F58C2">
              <w:t>Discriminatory against underproductive groups, such as students, housewives, seniors, etc.</w:t>
            </w:r>
          </w:p>
          <w:p w14:paraId="78563388" w14:textId="168F4270" w:rsidR="003E45AE" w:rsidRPr="006F58C2" w:rsidRDefault="003E45AE" w:rsidP="006F58C2">
            <w:pPr>
              <w:pStyle w:val="TSBullet1"/>
            </w:pPr>
            <w:r w:rsidRPr="006F58C2">
              <w:t>Minimi</w:t>
            </w:r>
            <w:r w:rsidR="00E47C03" w:rsidRPr="006F58C2">
              <w:t>s</w:t>
            </w:r>
            <w:r w:rsidRPr="006F58C2">
              <w:t xml:space="preserve">es human life by measuring it solely </w:t>
            </w:r>
            <w:r w:rsidR="00462F8E">
              <w:t>based on</w:t>
            </w:r>
            <w:r w:rsidRPr="006F58C2">
              <w:t xml:space="preserve"> an individual's ability to earn income</w:t>
            </w:r>
            <w:r w:rsidR="00462F8E">
              <w:t>.</w:t>
            </w:r>
          </w:p>
          <w:p w14:paraId="1E03DCEC" w14:textId="0C9F3B1E" w:rsidR="003E45AE" w:rsidRPr="006F58C2" w:rsidRDefault="003E45AE" w:rsidP="006F58C2">
            <w:pPr>
              <w:pStyle w:val="TSBullet1"/>
            </w:pPr>
            <w:r w:rsidRPr="006F58C2">
              <w:t xml:space="preserve">Incapable of measuring intangible costs of illnesses, </w:t>
            </w:r>
            <w:r w:rsidR="00101109" w:rsidRPr="006F58C2">
              <w:t>e.g.</w:t>
            </w:r>
            <w:r w:rsidRPr="006F58C2">
              <w:t xml:space="preserve"> declines in quality of life and psychological suffering</w:t>
            </w:r>
            <w:r w:rsidR="00AD4700">
              <w:t>.</w:t>
            </w:r>
          </w:p>
        </w:tc>
        <w:tc>
          <w:tcPr>
            <w:tcW w:w="2693" w:type="dxa"/>
            <w:tcBorders>
              <w:top w:val="single" w:sz="6" w:space="0" w:color="0094C5" w:themeColor="accent1"/>
              <w:left w:val="nil"/>
              <w:bottom w:val="single" w:sz="6" w:space="0" w:color="0094C5" w:themeColor="accent1"/>
              <w:right w:val="nil"/>
            </w:tcBorders>
            <w:shd w:val="clear" w:color="auto" w:fill="auto"/>
          </w:tcPr>
          <w:p w14:paraId="153F0E99" w14:textId="10F48321" w:rsidR="003E45AE" w:rsidRPr="00E47C03" w:rsidRDefault="003E45AE" w:rsidP="00077839">
            <w:pPr>
              <w:pStyle w:val="TSBullet1"/>
              <w:ind w:left="425"/>
            </w:pPr>
            <w:r w:rsidRPr="00E47C03">
              <w:t xml:space="preserve">Decides the values of things solely </w:t>
            </w:r>
            <w:r w:rsidR="00AD4700">
              <w:t>based on</w:t>
            </w:r>
            <w:r w:rsidRPr="00E47C03">
              <w:t xml:space="preserve"> people's subjective preferences</w:t>
            </w:r>
            <w:r w:rsidR="00AD4700">
              <w:t>.</w:t>
            </w:r>
          </w:p>
          <w:p w14:paraId="2F1FB449" w14:textId="21EDE4F0" w:rsidR="003E45AE" w:rsidRPr="00E47C03" w:rsidRDefault="003E45AE" w:rsidP="00077839">
            <w:pPr>
              <w:pStyle w:val="TSBullet1"/>
              <w:ind w:left="425"/>
            </w:pPr>
            <w:r w:rsidRPr="00E47C03">
              <w:t>Participants may have difficulty moneti</w:t>
            </w:r>
            <w:r w:rsidR="00AD4700">
              <w:t>s</w:t>
            </w:r>
            <w:r w:rsidRPr="00E47C03">
              <w:t>ing things that they usually do not moneti</w:t>
            </w:r>
            <w:r w:rsidR="00AD4700">
              <w:t>s</w:t>
            </w:r>
            <w:r w:rsidRPr="00E47C03">
              <w:t>e, meaning that their answers may be less than reliable as a result</w:t>
            </w:r>
            <w:r w:rsidR="00AD4700">
              <w:t>.</w:t>
            </w:r>
          </w:p>
          <w:p w14:paraId="2EE50CB3" w14:textId="4AE9C634" w:rsidR="003E45AE" w:rsidRPr="00E47C03" w:rsidRDefault="003E45AE" w:rsidP="00077839">
            <w:pPr>
              <w:pStyle w:val="TSBullet1"/>
              <w:ind w:left="425"/>
            </w:pPr>
            <w:r w:rsidRPr="00E47C03">
              <w:t>More difficult to implement than the human capital method.</w:t>
            </w:r>
          </w:p>
        </w:tc>
        <w:tc>
          <w:tcPr>
            <w:tcW w:w="2977" w:type="dxa"/>
            <w:tcBorders>
              <w:top w:val="single" w:sz="6" w:space="0" w:color="0094C5" w:themeColor="accent1"/>
              <w:left w:val="nil"/>
              <w:bottom w:val="single" w:sz="6" w:space="0" w:color="0094C5" w:themeColor="accent1"/>
              <w:right w:val="nil"/>
            </w:tcBorders>
          </w:tcPr>
          <w:p w14:paraId="2424EF65" w14:textId="3E748D80" w:rsidR="003E45AE" w:rsidRPr="006F58C2" w:rsidRDefault="003E45AE" w:rsidP="006F58C2">
            <w:pPr>
              <w:pStyle w:val="TSBullet1"/>
            </w:pPr>
            <w:r w:rsidRPr="006F58C2">
              <w:t xml:space="preserve">Require extensive data to </w:t>
            </w:r>
            <w:r w:rsidR="00AD4700">
              <w:t>estimate the loss in productivity during the friction period correctly</w:t>
            </w:r>
            <w:r w:rsidRPr="006F58C2">
              <w:t>.</w:t>
            </w:r>
          </w:p>
          <w:p w14:paraId="3800AA4B" w14:textId="76ED2D9E" w:rsidR="003E45AE" w:rsidRPr="006F58C2" w:rsidRDefault="003E45AE" w:rsidP="006F58C2">
            <w:pPr>
              <w:pStyle w:val="TSBullet1"/>
            </w:pPr>
            <w:r w:rsidRPr="006F58C2">
              <w:t xml:space="preserve">The assumption that </w:t>
            </w:r>
            <w:r w:rsidR="00AD4700">
              <w:t xml:space="preserve">an </w:t>
            </w:r>
            <w:r w:rsidRPr="006F58C2">
              <w:t>absent employee may be replaced is only conditionally valid</w:t>
            </w:r>
            <w:r w:rsidR="00AD4700">
              <w:t>.</w:t>
            </w:r>
          </w:p>
        </w:tc>
      </w:tr>
    </w:tbl>
    <w:p w14:paraId="4F7352FF" w14:textId="024D6190" w:rsidR="003E45AE" w:rsidRPr="00E5094B" w:rsidRDefault="003E45AE" w:rsidP="003E45AE">
      <w:pPr>
        <w:pStyle w:val="USSource"/>
      </w:pPr>
      <w:r w:rsidRPr="00E5094B">
        <w:t xml:space="preserve">Source: </w:t>
      </w:r>
      <w:r>
        <w:t xml:space="preserve">NZIER, based on </w:t>
      </w:r>
      <w:r w:rsidR="00716746" w:rsidRPr="00716746">
        <w:rPr>
          <w:rFonts w:cs="Calibri"/>
        </w:rPr>
        <w:t xml:space="preserve">H.-J. Choi and Lee </w:t>
      </w:r>
      <w:r w:rsidR="00F2739A">
        <w:rPr>
          <w:rFonts w:cs="Calibri"/>
        </w:rPr>
        <w:t>(</w:t>
      </w:r>
      <w:r w:rsidR="00716746" w:rsidRPr="00716746">
        <w:rPr>
          <w:rFonts w:cs="Calibri"/>
        </w:rPr>
        <w:t>2019)</w:t>
      </w:r>
      <w:r>
        <w:t xml:space="preserve">, </w:t>
      </w:r>
      <w:r w:rsidR="001654CA" w:rsidRPr="001654CA">
        <w:rPr>
          <w:rFonts w:cs="Calibri"/>
        </w:rPr>
        <w:t xml:space="preserve">Lensberg et al. </w:t>
      </w:r>
      <w:r w:rsidR="00F2739A">
        <w:rPr>
          <w:rFonts w:cs="Calibri"/>
        </w:rPr>
        <w:t>(</w:t>
      </w:r>
      <w:r w:rsidR="001654CA" w:rsidRPr="001654CA">
        <w:rPr>
          <w:rFonts w:cs="Calibri"/>
        </w:rPr>
        <w:t>2013)</w:t>
      </w:r>
      <w:r>
        <w:t xml:space="preserve"> and </w:t>
      </w:r>
      <w:r w:rsidR="001654CA" w:rsidRPr="001654CA">
        <w:rPr>
          <w:rFonts w:cs="Calibri"/>
        </w:rPr>
        <w:t xml:space="preserve">Jo </w:t>
      </w:r>
      <w:r w:rsidR="00F2739A">
        <w:rPr>
          <w:rFonts w:cs="Calibri"/>
        </w:rPr>
        <w:t>(</w:t>
      </w:r>
      <w:r w:rsidR="001654CA" w:rsidRPr="001654CA">
        <w:rPr>
          <w:rFonts w:cs="Calibri"/>
        </w:rPr>
        <w:t>2014)</w:t>
      </w:r>
    </w:p>
    <w:p w14:paraId="1643D47C" w14:textId="77777777" w:rsidR="003E45AE" w:rsidRDefault="003E45AE" w:rsidP="003E45AE">
      <w:pPr>
        <w:pStyle w:val="Heading4"/>
      </w:pPr>
      <w:r>
        <w:t>Productivity losses</w:t>
      </w:r>
    </w:p>
    <w:p w14:paraId="433B5657" w14:textId="7CE38FAD" w:rsidR="003E45AE" w:rsidRDefault="003E45AE" w:rsidP="003E45AE">
      <w:pPr>
        <w:pStyle w:val="USBodyText"/>
      </w:pPr>
      <w:r>
        <w:t>Examples of productivity losses include days lost from work or other activities associated with the illness itself or receiving treatment for the illness.</w:t>
      </w:r>
    </w:p>
    <w:p w14:paraId="566C1169" w14:textId="428135F8" w:rsidR="003E45AE" w:rsidRPr="007975E9" w:rsidRDefault="003E45AE" w:rsidP="003E45AE">
      <w:pPr>
        <w:pStyle w:val="USBodyText"/>
      </w:pPr>
      <w:r>
        <w:t>P</w:t>
      </w:r>
      <w:r w:rsidRPr="007975E9">
        <w:t>roductivity losses</w:t>
      </w:r>
      <w:r>
        <w:t xml:space="preserve"> are </w:t>
      </w:r>
      <w:r w:rsidRPr="007975E9">
        <w:t xml:space="preserve">typically </w:t>
      </w:r>
      <w:r>
        <w:t>estimated using</w:t>
      </w:r>
      <w:r w:rsidRPr="007975E9">
        <w:t xml:space="preserve"> the human capital approach</w:t>
      </w:r>
      <w:r w:rsidR="00FB68AB">
        <w:t>,</w:t>
      </w:r>
      <w:r>
        <w:t xml:space="preserve"> which </w:t>
      </w:r>
      <w:r w:rsidRPr="007975E9">
        <w:t>calculates a person’s production potential based on average wages</w:t>
      </w:r>
      <w:r>
        <w:t>. A</w:t>
      </w:r>
      <w:r w:rsidRPr="007975E9">
        <w:t xml:space="preserve">djustments </w:t>
      </w:r>
      <w:r>
        <w:t xml:space="preserve">are sometimes made </w:t>
      </w:r>
      <w:r w:rsidRPr="007975E9">
        <w:t>for household productivity</w:t>
      </w:r>
      <w:r>
        <w:t xml:space="preserve"> if this is included</w:t>
      </w:r>
      <w:r w:rsidRPr="007975E9">
        <w:t xml:space="preserve">. </w:t>
      </w:r>
      <w:r>
        <w:t>Other</w:t>
      </w:r>
      <w:r w:rsidRPr="007975E9">
        <w:t xml:space="preserve"> methods for calculating productivity</w:t>
      </w:r>
      <w:r>
        <w:t xml:space="preserve"> losses include the</w:t>
      </w:r>
      <w:r w:rsidRPr="007975E9">
        <w:t xml:space="preserve"> friction cost method, which calculates productivity based on what an employer would have to pay to replace you as an employee.</w:t>
      </w:r>
    </w:p>
    <w:p w14:paraId="0A088D8E" w14:textId="77777777" w:rsidR="007D56A2" w:rsidRPr="00005FEA" w:rsidRDefault="007D56A2" w:rsidP="002E10F0">
      <w:pPr>
        <w:pStyle w:val="Heading2"/>
        <w:rPr>
          <w:rStyle w:val="normaltextrun"/>
          <w:rFonts w:cs="Calibri"/>
          <w:bCs/>
          <w:color w:val="0094C5"/>
        </w:rPr>
      </w:pPr>
      <w:bookmarkStart w:id="34" w:name="_Toc98760507"/>
      <w:r>
        <w:rPr>
          <w:rStyle w:val="normaltextrun"/>
          <w:rFonts w:cs="Calibri"/>
          <w:bCs/>
          <w:color w:val="0094C5"/>
        </w:rPr>
        <w:t>Willingness to pay method</w:t>
      </w:r>
      <w:bookmarkEnd w:id="34"/>
    </w:p>
    <w:p w14:paraId="052B2561" w14:textId="1476D349" w:rsidR="007D56A2" w:rsidRDefault="009C4F91" w:rsidP="0047577C">
      <w:pPr>
        <w:pStyle w:val="USBodyText"/>
        <w:rPr>
          <w:rStyle w:val="normaltextrun"/>
          <w:rFonts w:cs="Calibri"/>
        </w:rPr>
      </w:pPr>
      <w:r>
        <w:rPr>
          <w:rStyle w:val="normaltextrun"/>
          <w:rFonts w:cs="Calibri"/>
        </w:rPr>
        <w:t>The WTP</w:t>
      </w:r>
      <w:r w:rsidR="007D56A2">
        <w:rPr>
          <w:rStyle w:val="normaltextrun"/>
          <w:rFonts w:cs="Calibri"/>
        </w:rPr>
        <w:t xml:space="preserve"> method </w:t>
      </w:r>
      <w:r w:rsidR="003E45AE">
        <w:rPr>
          <w:rStyle w:val="normaltextrun"/>
          <w:rFonts w:cs="Calibri"/>
        </w:rPr>
        <w:t xml:space="preserve">can be used to capture all private direct, </w:t>
      </w:r>
      <w:r w:rsidR="00101109">
        <w:rPr>
          <w:rStyle w:val="normaltextrun"/>
          <w:rFonts w:cs="Calibri"/>
        </w:rPr>
        <w:t>indirect,</w:t>
      </w:r>
      <w:r w:rsidR="003E45AE">
        <w:rPr>
          <w:rStyle w:val="normaltextrun"/>
          <w:rFonts w:cs="Calibri"/>
        </w:rPr>
        <w:t xml:space="preserve"> and intangible costs imposed by the disease on the individual. It </w:t>
      </w:r>
      <w:r w:rsidR="007D56A2">
        <w:rPr>
          <w:rStyle w:val="normaltextrun"/>
          <w:rFonts w:cs="Calibri"/>
        </w:rPr>
        <w:t>measures the amount that an individual is willing to pay to reduce the probability of illness or mortality. This is typically done by asking participants how much money they are willing to pay to maintain or improve their health. This approach builds on the assumption that people's estimates o</w:t>
      </w:r>
      <w:r w:rsidR="0047577C">
        <w:rPr>
          <w:rStyle w:val="normaltextrun"/>
          <w:rFonts w:cs="Calibri"/>
        </w:rPr>
        <w:t>f</w:t>
      </w:r>
      <w:r w:rsidR="007D56A2">
        <w:rPr>
          <w:rStyle w:val="normaltextrun"/>
          <w:rFonts w:cs="Calibri"/>
        </w:rPr>
        <w:t xml:space="preserve"> </w:t>
      </w:r>
      <w:r w:rsidR="0024105D">
        <w:rPr>
          <w:rStyle w:val="normaltextrun"/>
          <w:rFonts w:cs="Calibri"/>
        </w:rPr>
        <w:t xml:space="preserve">not monetised </w:t>
      </w:r>
      <w:r w:rsidR="0024105D">
        <w:rPr>
          <w:rStyle w:val="normaltextrun"/>
          <w:rFonts w:cs="Calibri"/>
        </w:rPr>
        <w:lastRenderedPageBreak/>
        <w:t>things</w:t>
      </w:r>
      <w:r w:rsidR="007D56A2">
        <w:rPr>
          <w:rStyle w:val="normaltextrun"/>
          <w:rFonts w:cs="Calibri"/>
        </w:rPr>
        <w:t xml:space="preserve"> can be used as proxies for the economic values of these things </w:t>
      </w:r>
      <w:r w:rsidR="00716746" w:rsidRPr="00716746">
        <w:rPr>
          <w:rFonts w:cs="Calibri"/>
        </w:rPr>
        <w:t>(H.-J. Choi and Lee 2019)</w:t>
      </w:r>
      <w:r w:rsidR="00F2739A">
        <w:rPr>
          <w:rStyle w:val="normaltextrun"/>
          <w:rFonts w:cs="Calibri"/>
        </w:rPr>
        <w:t>.</w:t>
      </w:r>
    </w:p>
    <w:p w14:paraId="152A64A1" w14:textId="77777777" w:rsidR="0047577C" w:rsidRDefault="007D56A2" w:rsidP="0047577C">
      <w:pPr>
        <w:pStyle w:val="USBodyText"/>
        <w:rPr>
          <w:rStyle w:val="eop"/>
          <w:rFonts w:cs="Calibri"/>
        </w:rPr>
      </w:pPr>
      <w:r>
        <w:rPr>
          <w:rStyle w:val="eop"/>
          <w:rFonts w:cs="Calibri"/>
        </w:rPr>
        <w:t xml:space="preserve">Some drawbacks of this method may include: </w:t>
      </w:r>
    </w:p>
    <w:p w14:paraId="4E79B24F" w14:textId="07B557FF" w:rsidR="0047577C" w:rsidRDefault="007D56A2" w:rsidP="0047577C">
      <w:pPr>
        <w:pStyle w:val="USBullet1"/>
        <w:rPr>
          <w:rStyle w:val="eop"/>
          <w:rFonts w:cs="Calibri"/>
        </w:rPr>
      </w:pPr>
      <w:r>
        <w:rPr>
          <w:rStyle w:val="eop"/>
          <w:rFonts w:cs="Calibri"/>
        </w:rPr>
        <w:t xml:space="preserve">The calculations are based on participants' indication of </w:t>
      </w:r>
      <w:r w:rsidR="004569B0">
        <w:rPr>
          <w:rStyle w:val="eop"/>
          <w:rFonts w:cs="Calibri"/>
        </w:rPr>
        <w:t>the amount of money</w:t>
      </w:r>
      <w:r>
        <w:rPr>
          <w:rStyle w:val="eop"/>
          <w:rFonts w:cs="Calibri"/>
        </w:rPr>
        <w:t xml:space="preserve"> they think is acceptable to pay. This may introduce self-selection bias depending on the disease or the respondent's economic situation. </w:t>
      </w:r>
    </w:p>
    <w:p w14:paraId="7529BBD3" w14:textId="52FD74ED" w:rsidR="0047577C" w:rsidRDefault="007D56A2" w:rsidP="0047577C">
      <w:pPr>
        <w:pStyle w:val="USBullet1"/>
        <w:rPr>
          <w:rStyle w:val="eop"/>
          <w:rFonts w:cs="Calibri"/>
        </w:rPr>
      </w:pPr>
      <w:r>
        <w:rPr>
          <w:rStyle w:val="eop"/>
          <w:rFonts w:cs="Calibri"/>
        </w:rPr>
        <w:t xml:space="preserve">Participants may find it difficult to </w:t>
      </w:r>
      <w:r w:rsidR="004569B0">
        <w:rPr>
          <w:rStyle w:val="eop"/>
          <w:rFonts w:cs="Calibri"/>
        </w:rPr>
        <w:t xml:space="preserve">monetise </w:t>
      </w:r>
      <w:r w:rsidR="003E45AE">
        <w:rPr>
          <w:rStyle w:val="eop"/>
          <w:rFonts w:cs="Calibri"/>
        </w:rPr>
        <w:t>some dimensions</w:t>
      </w:r>
      <w:r w:rsidR="00FC2879">
        <w:rPr>
          <w:rStyle w:val="eop"/>
          <w:rFonts w:cs="Calibri"/>
        </w:rPr>
        <w:t xml:space="preserve"> of impacts</w:t>
      </w:r>
      <w:r>
        <w:rPr>
          <w:rStyle w:val="eop"/>
          <w:rFonts w:cs="Calibri"/>
        </w:rPr>
        <w:t xml:space="preserve">, causing the results </w:t>
      </w:r>
      <w:r w:rsidR="005425A3">
        <w:rPr>
          <w:rStyle w:val="eop"/>
          <w:rFonts w:cs="Calibri"/>
        </w:rPr>
        <w:t xml:space="preserve">to be </w:t>
      </w:r>
      <w:r>
        <w:rPr>
          <w:rStyle w:val="eop"/>
          <w:rFonts w:cs="Calibri"/>
        </w:rPr>
        <w:t>less reliable.</w:t>
      </w:r>
    </w:p>
    <w:p w14:paraId="04372ADF" w14:textId="607B9724" w:rsidR="007D56A2" w:rsidRPr="00243967" w:rsidRDefault="007D56A2" w:rsidP="0047577C">
      <w:pPr>
        <w:pStyle w:val="USBullet1"/>
        <w:rPr>
          <w:rStyle w:val="normaltextrun"/>
          <w:rFonts w:cs="Calibri"/>
        </w:rPr>
      </w:pPr>
      <w:r>
        <w:rPr>
          <w:rStyle w:val="eop"/>
          <w:rFonts w:cs="Calibri"/>
        </w:rPr>
        <w:t xml:space="preserve">This method is relatively more difficult to implement </w:t>
      </w:r>
      <w:r w:rsidR="004569B0">
        <w:rPr>
          <w:rStyle w:val="eop"/>
          <w:rFonts w:cs="Calibri"/>
        </w:rPr>
        <w:t>than</w:t>
      </w:r>
      <w:r>
        <w:rPr>
          <w:rStyle w:val="eop"/>
          <w:rFonts w:cs="Calibri"/>
        </w:rPr>
        <w:t xml:space="preserve"> the human capital method, as extensive surveys are needed to document people's preferences. </w:t>
      </w:r>
    </w:p>
    <w:p w14:paraId="4FAF320F" w14:textId="77777777" w:rsidR="00376CA8" w:rsidRPr="0069722C" w:rsidRDefault="00376CA8" w:rsidP="002E10F0">
      <w:pPr>
        <w:pStyle w:val="Heading2"/>
      </w:pPr>
      <w:bookmarkStart w:id="35" w:name="_Toc98760508"/>
      <w:r w:rsidRPr="0069722C">
        <w:t>Time horizon and discounting</w:t>
      </w:r>
      <w:bookmarkEnd w:id="35"/>
    </w:p>
    <w:p w14:paraId="0F203894" w14:textId="23C51CD0" w:rsidR="00376CA8" w:rsidRPr="00731342" w:rsidRDefault="00376CA8" w:rsidP="00376CA8">
      <w:pPr>
        <w:pStyle w:val="USBodyText"/>
        <w:rPr>
          <w:rFonts w:ascii="Segoe UI" w:eastAsia="Times New Roman" w:hAnsi="Segoe UI" w:cs="Segoe UI"/>
          <w:sz w:val="18"/>
          <w:szCs w:val="18"/>
          <w:lang w:eastAsia="en-NZ"/>
        </w:rPr>
      </w:pPr>
      <w:r>
        <w:t>The time horizon of a cost</w:t>
      </w:r>
      <w:r w:rsidR="00234C40">
        <w:t>-</w:t>
      </w:r>
      <w:r>
        <w:t>of</w:t>
      </w:r>
      <w:r w:rsidR="00234C40">
        <w:t>-</w:t>
      </w:r>
      <w:r>
        <w:t>illness study refers to the period of time over which costs are captured. For long</w:t>
      </w:r>
      <w:r w:rsidR="000D62FD">
        <w:t>-</w:t>
      </w:r>
      <w:r>
        <w:t>term illnesses, it is common to see cost</w:t>
      </w:r>
      <w:r w:rsidR="00234C40">
        <w:t>-</w:t>
      </w:r>
      <w:r>
        <w:t>of</w:t>
      </w:r>
      <w:r w:rsidR="00234C40">
        <w:t>-</w:t>
      </w:r>
      <w:r>
        <w:t>illness estimates derived from models that calculate costs over twenty years or even the lifetime of modelled populations.</w:t>
      </w:r>
    </w:p>
    <w:p w14:paraId="6227320C" w14:textId="2E52D7C0" w:rsidR="00376CA8" w:rsidRPr="00E15D81" w:rsidRDefault="00376CA8" w:rsidP="00376CA8">
      <w:pPr>
        <w:pStyle w:val="USBodyText"/>
      </w:pPr>
      <w:r w:rsidRPr="00E15D81">
        <w:t xml:space="preserve">Discounting in economics means determining the present value of </w:t>
      </w:r>
      <w:r>
        <w:t>a future income or cost</w:t>
      </w:r>
      <w:r w:rsidRPr="00E15D81">
        <w:t>. </w:t>
      </w:r>
      <w:r>
        <w:t>In general, a given amount of</w:t>
      </w:r>
      <w:r w:rsidRPr="00E15D81">
        <w:t xml:space="preserve"> money is worth more today </w:t>
      </w:r>
      <w:r>
        <w:t>than</w:t>
      </w:r>
      <w:r w:rsidRPr="00E15D81">
        <w:t xml:space="preserve"> the same amount </w:t>
      </w:r>
      <w:r>
        <w:t xml:space="preserve">would be worth in </w:t>
      </w:r>
      <w:r w:rsidRPr="00E15D81">
        <w:t>future due to earning potential in the interim</w:t>
      </w:r>
      <w:r>
        <w:t xml:space="preserve"> associated with being able to access and invest the money in the present</w:t>
      </w:r>
      <w:r w:rsidRPr="00E15D81">
        <w:t>. </w:t>
      </w:r>
      <w:r>
        <w:t xml:space="preserve">Discounting is a common way of dealing with </w:t>
      </w:r>
      <w:r w:rsidRPr="00E15D81">
        <w:t xml:space="preserve">flows </w:t>
      </w:r>
      <w:r>
        <w:t>of money over time</w:t>
      </w:r>
      <w:r w:rsidRPr="00E15D81">
        <w:t> in </w:t>
      </w:r>
      <w:r>
        <w:t>economic studies</w:t>
      </w:r>
      <w:r w:rsidRPr="00E15D81">
        <w:t>.</w:t>
      </w:r>
    </w:p>
    <w:p w14:paraId="14B7DD9D" w14:textId="77777777" w:rsidR="00376CA8" w:rsidRPr="00234C40" w:rsidRDefault="00376CA8" w:rsidP="00376CA8">
      <w:pPr>
        <w:pStyle w:val="USBodyText"/>
      </w:pPr>
      <w:r w:rsidRPr="00234C40">
        <w:t> The following equation can be used to derive the present value of future costs or income flows: </w:t>
      </w:r>
    </w:p>
    <w:p w14:paraId="6CBD8F0C" w14:textId="77777777" w:rsidR="00376CA8" w:rsidRDefault="00376CA8" w:rsidP="00376CA8">
      <w:pPr>
        <w:pStyle w:val="USBodyText"/>
        <w:jc w:val="center"/>
        <w:rPr>
          <w:lang w:eastAsia="en-NZ"/>
        </w:rPr>
      </w:pPr>
      <w:r>
        <w:rPr>
          <w:noProof/>
        </w:rPr>
        <w:drawing>
          <wp:inline distT="0" distB="0" distL="0" distR="0" wp14:anchorId="03539958" wp14:editId="19345AFC">
            <wp:extent cx="4603552" cy="723900"/>
            <wp:effectExtent l="0" t="0" r="6985" b="0"/>
            <wp:docPr id="39" name="Picture 39" descr="Equ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quation">
                      <a:extLst>
                        <a:ext uri="{C183D7F6-B498-43B3-948B-1728B52AA6E4}">
                          <adec:decorative xmlns:adec="http://schemas.microsoft.com/office/drawing/2017/decorative" val="0"/>
                        </a:ext>
                      </a:extLst>
                    </pic:cNvPr>
                    <pic:cNvPicPr/>
                  </pic:nvPicPr>
                  <pic:blipFill>
                    <a:blip r:embed="rId25"/>
                    <a:stretch>
                      <a:fillRect/>
                    </a:stretch>
                  </pic:blipFill>
                  <pic:spPr>
                    <a:xfrm>
                      <a:off x="0" y="0"/>
                      <a:ext cx="4609837" cy="724888"/>
                    </a:xfrm>
                    <a:prstGeom prst="rect">
                      <a:avLst/>
                    </a:prstGeom>
                  </pic:spPr>
                </pic:pic>
              </a:graphicData>
            </a:graphic>
          </wp:inline>
        </w:drawing>
      </w:r>
    </w:p>
    <w:p w14:paraId="3F25B659" w14:textId="7EF645A7" w:rsidR="00376CA8" w:rsidRPr="00AB0ACF" w:rsidRDefault="00376CA8" w:rsidP="00234C40">
      <w:pPr>
        <w:pStyle w:val="USBodyText"/>
      </w:pPr>
      <w:r w:rsidRPr="00AB0ACF">
        <w:t>Discounting</w:t>
      </w:r>
      <w:r w:rsidR="0069481C" w:rsidRPr="00AB0ACF">
        <w:t xml:space="preserve"> </w:t>
      </w:r>
      <w:r w:rsidRPr="00AB0ACF">
        <w:t>is</w:t>
      </w:r>
      <w:r w:rsidR="0069481C" w:rsidRPr="00AB0ACF">
        <w:t xml:space="preserve"> </w:t>
      </w:r>
      <w:r w:rsidRPr="00AB0ACF">
        <w:t>frequently applied in cost</w:t>
      </w:r>
      <w:r w:rsidR="00234C40" w:rsidRPr="00AB0ACF">
        <w:t>-</w:t>
      </w:r>
      <w:r w:rsidRPr="00AB0ACF">
        <w:t>of</w:t>
      </w:r>
      <w:r w:rsidR="00234C40" w:rsidRPr="00AB0ACF">
        <w:t>-</w:t>
      </w:r>
      <w:r w:rsidRPr="00AB0ACF">
        <w:t xml:space="preserve">illness studies due to the frequently </w:t>
      </w:r>
      <w:r w:rsidR="00101109" w:rsidRPr="00AB0ACF">
        <w:t>long</w:t>
      </w:r>
      <w:r w:rsidR="00643F09">
        <w:t xml:space="preserve"> </w:t>
      </w:r>
      <w:r w:rsidR="00101109" w:rsidRPr="00AB0ACF">
        <w:t>time</w:t>
      </w:r>
      <w:r w:rsidRPr="00AB0ACF">
        <w:t xml:space="preserve"> horizon in models that attempt to capture the lifetime or near-lifetime costs of illness. The longer the duration of illness or its impacts on health system ut</w:t>
      </w:r>
      <w:r w:rsidR="00AB3944" w:rsidRPr="00AB0ACF">
        <w:t>i</w:t>
      </w:r>
      <w:r w:rsidRPr="00AB0ACF">
        <w:t>lisation, employment, income, or quality of life, the more important discounting becomes. </w:t>
      </w:r>
    </w:p>
    <w:p w14:paraId="6B877516" w14:textId="4AE3EA04" w:rsidR="00AB0ACF" w:rsidRPr="00AB0ACF" w:rsidRDefault="00376CA8" w:rsidP="00AB0ACF">
      <w:pPr>
        <w:pStyle w:val="USBodyText"/>
      </w:pPr>
      <w:r w:rsidRPr="00AB0ACF">
        <w:t>Similarly,</w:t>
      </w:r>
      <w:r w:rsidR="00234C40" w:rsidRPr="00AB0ACF">
        <w:t xml:space="preserve"> </w:t>
      </w:r>
      <w:r w:rsidRPr="00AB0ACF">
        <w:t>future impacts on health and wellbeing are often discounted in the same way as we discount money in health economic analysis. Most economi</w:t>
      </w:r>
      <w:r w:rsidR="001239D3">
        <w:t>st</w:t>
      </w:r>
      <w:r w:rsidRPr="00AB0ACF">
        <w:t>s argue that future impact on health</w:t>
      </w:r>
      <w:r w:rsidR="0069481C" w:rsidRPr="00AB0ACF">
        <w:t xml:space="preserve"> </w:t>
      </w:r>
      <w:r w:rsidRPr="00AB0ACF">
        <w:t>should be</w:t>
      </w:r>
      <w:r w:rsidR="0069481C" w:rsidRPr="00AB0ACF">
        <w:t xml:space="preserve"> </w:t>
      </w:r>
      <w:r w:rsidRPr="00AB0ACF">
        <w:t>discounted because people tend to value their immediate health and wellbeing to future wellbeing. In addition, failure to discount health benefits will result in a very large or even infinite amount of health benefits showing up in the results, which may be confusing for decision-makers. Although whether or not economists should discount health benefits at the same rate as they discount money has always been a constant</w:t>
      </w:r>
      <w:r w:rsidR="004F7BE8" w:rsidRPr="00AB0ACF">
        <w:t xml:space="preserve"> </w:t>
      </w:r>
      <w:r w:rsidRPr="00AB0ACF">
        <w:t>source</w:t>
      </w:r>
      <w:r w:rsidR="00AB0ACF" w:rsidRPr="00AB0ACF">
        <w:t xml:space="preserve"> </w:t>
      </w:r>
      <w:r w:rsidRPr="00AB0ACF">
        <w:t>of</w:t>
      </w:r>
      <w:r w:rsidR="00AB0ACF" w:rsidRPr="00AB0ACF">
        <w:t xml:space="preserve"> </w:t>
      </w:r>
      <w:r w:rsidRPr="00AB0ACF">
        <w:t>debate</w:t>
      </w:r>
      <w:r w:rsidR="00AB0ACF" w:rsidRPr="00AB0ACF">
        <w:t xml:space="preserve"> </w:t>
      </w:r>
      <w:r w:rsidR="001654CA" w:rsidRPr="00AB0ACF">
        <w:t>(Nord 2011)</w:t>
      </w:r>
      <w:r w:rsidR="00AB0ACF" w:rsidRPr="00AB0ACF">
        <w:t>.</w:t>
      </w:r>
    </w:p>
    <w:p w14:paraId="68F128DF" w14:textId="39F27E98" w:rsidR="00376CA8" w:rsidRPr="00234C40" w:rsidRDefault="002B4F0D" w:rsidP="00234C40">
      <w:pPr>
        <w:pStyle w:val="USBodyText"/>
      </w:pPr>
      <w:r>
        <w:rPr>
          <w:lang w:eastAsia="en-NZ"/>
        </w:rPr>
        <w:t>Regarding</w:t>
      </w:r>
      <w:r w:rsidR="00376CA8" w:rsidRPr="00731342">
        <w:rPr>
          <w:lang w:eastAsia="en-NZ"/>
        </w:rPr>
        <w:t xml:space="preserve"> the use of the discount rate, a standard discount rate of 3</w:t>
      </w:r>
      <w:r w:rsidR="00230170">
        <w:rPr>
          <w:lang w:eastAsia="en-NZ"/>
        </w:rPr>
        <w:t xml:space="preserve"> percent</w:t>
      </w:r>
      <w:r w:rsidR="00376CA8" w:rsidRPr="00731342">
        <w:rPr>
          <w:lang w:eastAsia="en-NZ"/>
        </w:rPr>
        <w:t xml:space="preserve"> </w:t>
      </w:r>
      <w:r w:rsidR="00601CAD">
        <w:rPr>
          <w:lang w:eastAsia="en-NZ"/>
        </w:rPr>
        <w:t>per a</w:t>
      </w:r>
      <w:r w:rsidR="004A1C8A">
        <w:rPr>
          <w:lang w:eastAsia="en-NZ"/>
        </w:rPr>
        <w:t>n</w:t>
      </w:r>
      <w:r w:rsidR="00601CAD">
        <w:rPr>
          <w:lang w:eastAsia="en-NZ"/>
        </w:rPr>
        <w:t>num</w:t>
      </w:r>
      <w:r w:rsidR="00376CA8" w:rsidRPr="00731342">
        <w:rPr>
          <w:lang w:eastAsia="en-NZ"/>
        </w:rPr>
        <w:t xml:space="preserve"> is used most widely in health economic studies. </w:t>
      </w:r>
      <w:r w:rsidR="0069481C">
        <w:rPr>
          <w:lang w:eastAsia="en-NZ"/>
        </w:rPr>
        <w:t>Three</w:t>
      </w:r>
      <w:r w:rsidR="00230170">
        <w:rPr>
          <w:lang w:eastAsia="en-NZ"/>
        </w:rPr>
        <w:t xml:space="preserve"> percent</w:t>
      </w:r>
      <w:r w:rsidR="00376CA8" w:rsidRPr="00731342">
        <w:rPr>
          <w:lang w:eastAsia="en-NZ"/>
        </w:rPr>
        <w:t xml:space="preserve"> </w:t>
      </w:r>
      <w:r w:rsidR="00601CAD">
        <w:rPr>
          <w:lang w:eastAsia="en-NZ"/>
        </w:rPr>
        <w:t>per a</w:t>
      </w:r>
      <w:r w:rsidR="004A1C8A">
        <w:rPr>
          <w:lang w:eastAsia="en-NZ"/>
        </w:rPr>
        <w:t>n</w:t>
      </w:r>
      <w:r w:rsidR="00601CAD">
        <w:rPr>
          <w:lang w:eastAsia="en-NZ"/>
        </w:rPr>
        <w:t>num</w:t>
      </w:r>
      <w:r w:rsidR="00376CA8" w:rsidRPr="00731342">
        <w:rPr>
          <w:lang w:eastAsia="en-NZ"/>
        </w:rPr>
        <w:t> is in line with </w:t>
      </w:r>
      <w:r w:rsidR="0079059F">
        <w:rPr>
          <w:lang w:eastAsia="en-NZ"/>
        </w:rPr>
        <w:t>the Accessing Cost-Effectiveness (ACE) Prevention study in Australia. I</w:t>
      </w:r>
      <w:r w:rsidR="00376CA8" w:rsidRPr="00731342">
        <w:rPr>
          <w:lang w:eastAsia="en-NZ"/>
        </w:rPr>
        <w:t xml:space="preserve">t is also the discount rate recommended by a consensus panel of health economists in the USA for cost-effectiveness analysis. This is also the discount rate used in most of the New Zealand Burden of Disease </w:t>
      </w:r>
      <w:r w:rsidR="00376CA8" w:rsidRPr="00731342">
        <w:rPr>
          <w:lang w:eastAsia="en-NZ"/>
        </w:rPr>
        <w:lastRenderedPageBreak/>
        <w:t>Epidemiology, Equity &amp; Cost-Effectiveness (BODE3) program models</w:t>
      </w:r>
      <w:r w:rsidR="00234C40">
        <w:rPr>
          <w:lang w:eastAsia="en-NZ"/>
        </w:rPr>
        <w:t xml:space="preserve"> </w:t>
      </w:r>
      <w:r w:rsidR="001654CA" w:rsidRPr="001654CA">
        <w:rPr>
          <w:rFonts w:cs="Calibri"/>
        </w:rPr>
        <w:t>(Blakely et al. 2012)</w:t>
      </w:r>
      <w:r w:rsidR="006005B4">
        <w:rPr>
          <w:color w:val="000000"/>
          <w:shd w:val="clear" w:color="auto" w:fill="E1E3E6"/>
          <w:lang w:eastAsia="en-NZ"/>
        </w:rPr>
        <w:t xml:space="preserve">. </w:t>
      </w:r>
      <w:r w:rsidR="00376CA8" w:rsidRPr="00731342">
        <w:rPr>
          <w:lang w:eastAsia="en-NZ"/>
        </w:rPr>
        <w:t>In New Zealand, the discount rate recommended by the Pharmaceutical Management Agency (PHARMAC) is 3.5</w:t>
      </w:r>
      <w:r w:rsidR="00230170">
        <w:t xml:space="preserve"> percent</w:t>
      </w:r>
      <w:r w:rsidR="00F75D85">
        <w:t xml:space="preserve"> and the Treasury apply a default rate of 5 percent </w:t>
      </w:r>
      <w:r w:rsidR="00DB0AEF">
        <w:t>in the CBAx tool that agencies use for budget bids</w:t>
      </w:r>
      <w:r w:rsidR="00376CA8" w:rsidRPr="00234C40">
        <w:t>. </w:t>
      </w:r>
    </w:p>
    <w:p w14:paraId="24FF6A50" w14:textId="1C64E338" w:rsidR="00376CA8" w:rsidRPr="00234C40" w:rsidRDefault="00376CA8" w:rsidP="00234C40">
      <w:pPr>
        <w:pStyle w:val="USBodyText"/>
        <w:rPr>
          <w:rFonts w:cs="Calibri"/>
          <w:lang w:eastAsia="en-NZ"/>
        </w:rPr>
      </w:pPr>
      <w:r w:rsidRPr="00731342">
        <w:rPr>
          <w:lang w:eastAsia="en-NZ"/>
        </w:rPr>
        <w:t>For international comparison, a discount rate of 3</w:t>
      </w:r>
      <w:r w:rsidR="00230170">
        <w:rPr>
          <w:lang w:eastAsia="en-NZ"/>
        </w:rPr>
        <w:t xml:space="preserve"> percent</w:t>
      </w:r>
      <w:r w:rsidRPr="00731342">
        <w:rPr>
          <w:lang w:eastAsia="en-NZ"/>
        </w:rPr>
        <w:t xml:space="preserve"> </w:t>
      </w:r>
      <w:r w:rsidR="00601CAD">
        <w:rPr>
          <w:lang w:eastAsia="en-NZ"/>
        </w:rPr>
        <w:t>per a</w:t>
      </w:r>
      <w:r w:rsidR="004A1C8A">
        <w:rPr>
          <w:lang w:eastAsia="en-NZ"/>
        </w:rPr>
        <w:t>n</w:t>
      </w:r>
      <w:r w:rsidR="00601CAD">
        <w:rPr>
          <w:lang w:eastAsia="en-NZ"/>
        </w:rPr>
        <w:t>num</w:t>
      </w:r>
      <w:r w:rsidRPr="00731342">
        <w:rPr>
          <w:lang w:eastAsia="en-NZ"/>
        </w:rPr>
        <w:t> is recommended, while other discount rates should also be examined in sensitivity analysis. Sensitivity analysis is a form of analysis that looks at how different values of explanatory variables affect the outcome variable </w:t>
      </w:r>
      <w:r w:rsidR="001654CA" w:rsidRPr="001654CA">
        <w:rPr>
          <w:rFonts w:cs="Calibri"/>
        </w:rPr>
        <w:t>(Jo 2014)</w:t>
      </w:r>
      <w:r w:rsidR="00990ED2">
        <w:rPr>
          <w:color w:val="000000"/>
          <w:shd w:val="clear" w:color="auto" w:fill="E1E3E6"/>
          <w:lang w:eastAsia="en-NZ"/>
        </w:rPr>
        <w:t>.</w:t>
      </w:r>
      <w:r w:rsidRPr="00731342">
        <w:rPr>
          <w:lang w:eastAsia="en-NZ"/>
        </w:rPr>
        <w:t xml:space="preserve"> To generate a cost </w:t>
      </w:r>
      <w:r w:rsidR="00C06844">
        <w:rPr>
          <w:lang w:eastAsia="en-NZ"/>
        </w:rPr>
        <w:t>o</w:t>
      </w:r>
      <w:r w:rsidRPr="00731342">
        <w:rPr>
          <w:lang w:eastAsia="en-NZ"/>
        </w:rPr>
        <w:t>f Illness study that best fits the New Zealand scenario, different discount rates should be used to determine the costs associated with health conditions by adopting sensitivity analysis.</w:t>
      </w:r>
    </w:p>
    <w:p w14:paraId="759E3EAC" w14:textId="5EF9ADE3" w:rsidR="00376CA8" w:rsidRPr="00B93311" w:rsidRDefault="00376CA8" w:rsidP="002E10F0">
      <w:pPr>
        <w:pStyle w:val="Heading2"/>
      </w:pPr>
      <w:bookmarkStart w:id="36" w:name="_Toc98760509"/>
      <w:r>
        <w:rPr>
          <w:rStyle w:val="normaltextrun"/>
          <w:rFonts w:cs="Calibri"/>
          <w:bCs/>
          <w:color w:val="0094C5"/>
        </w:rPr>
        <w:t>Recent developments in cost</w:t>
      </w:r>
      <w:r w:rsidR="00234C40">
        <w:rPr>
          <w:rStyle w:val="normaltextrun"/>
          <w:rFonts w:cs="Calibri"/>
          <w:bCs/>
          <w:color w:val="0094C5"/>
        </w:rPr>
        <w:t>-</w:t>
      </w:r>
      <w:r>
        <w:rPr>
          <w:rStyle w:val="normaltextrun"/>
          <w:rFonts w:cs="Calibri"/>
          <w:bCs/>
          <w:color w:val="0094C5"/>
        </w:rPr>
        <w:t>of</w:t>
      </w:r>
      <w:r w:rsidR="00234C40">
        <w:rPr>
          <w:rStyle w:val="normaltextrun"/>
          <w:rFonts w:cs="Calibri"/>
          <w:bCs/>
          <w:color w:val="0094C5"/>
        </w:rPr>
        <w:t>-</w:t>
      </w:r>
      <w:r>
        <w:rPr>
          <w:rStyle w:val="normaltextrun"/>
          <w:rFonts w:cs="Calibri"/>
          <w:bCs/>
          <w:color w:val="0094C5"/>
        </w:rPr>
        <w:t xml:space="preserve">illness </w:t>
      </w:r>
      <w:r w:rsidR="00582A52">
        <w:rPr>
          <w:rStyle w:val="normaltextrun"/>
          <w:rFonts w:cs="Calibri"/>
          <w:bCs/>
          <w:color w:val="0094C5"/>
        </w:rPr>
        <w:t>approaches</w:t>
      </w:r>
      <w:bookmarkEnd w:id="36"/>
    </w:p>
    <w:p w14:paraId="52D754DA" w14:textId="0FDEAD69" w:rsidR="00376CA8" w:rsidRDefault="00376CA8" w:rsidP="00376CA8">
      <w:pPr>
        <w:pStyle w:val="USBodyText"/>
        <w:rPr>
          <w:rStyle w:val="normaltextrun"/>
          <w:rFonts w:cs="Calibri"/>
        </w:rPr>
      </w:pPr>
      <w:r>
        <w:rPr>
          <w:rStyle w:val="normaltextrun"/>
          <w:rFonts w:cs="Calibri"/>
        </w:rPr>
        <w:t>Standardisation of the methodology used to estimate costs has become more and more critical in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 xml:space="preserve">illness studies as standardised studies allow easy comparison between different groups of individuals across different contexts </w:t>
      </w:r>
      <w:r w:rsidR="001654CA" w:rsidRPr="001654CA">
        <w:rPr>
          <w:rFonts w:cs="Calibri"/>
        </w:rPr>
        <w:t>(Brodszky et al. 2019)</w:t>
      </w:r>
      <w:r>
        <w:rPr>
          <w:rStyle w:val="normaltextrun"/>
          <w:rFonts w:cs="Calibri"/>
        </w:rPr>
        <w:t>. Although the existing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 xml:space="preserve">illness studies utilise </w:t>
      </w:r>
      <w:r w:rsidR="00867EFE">
        <w:rPr>
          <w:rStyle w:val="normaltextrun"/>
          <w:rFonts w:cs="Calibri"/>
        </w:rPr>
        <w:t>various</w:t>
      </w:r>
      <w:r>
        <w:rPr>
          <w:rStyle w:val="normaltextrun"/>
          <w:rFonts w:cs="Calibri"/>
        </w:rPr>
        <w:t xml:space="preserve"> methods to calculate costs, there are some common trends in the recent literature. </w:t>
      </w:r>
    </w:p>
    <w:p w14:paraId="29DF1F84" w14:textId="726C1D6B" w:rsidR="00376CA8" w:rsidRDefault="00376CA8" w:rsidP="00376CA8">
      <w:pPr>
        <w:pStyle w:val="USBodyText"/>
        <w:rPr>
          <w:rStyle w:val="normaltextrun"/>
          <w:rFonts w:cs="Calibri"/>
        </w:rPr>
      </w:pPr>
      <w:r>
        <w:rPr>
          <w:rStyle w:val="normaltextrun"/>
          <w:rFonts w:cs="Calibri"/>
        </w:rPr>
        <w:t xml:space="preserve">A comprehensive review of existing literature in </w:t>
      </w:r>
      <w:r w:rsidR="00234C40">
        <w:rPr>
          <w:rStyle w:val="normaltextrun"/>
          <w:rFonts w:cs="Calibri"/>
        </w:rPr>
        <w:t xml:space="preserve">cost-of-illness </w:t>
      </w:r>
      <w:r>
        <w:rPr>
          <w:rStyle w:val="normaltextrun"/>
          <w:rFonts w:cs="Calibri"/>
        </w:rPr>
        <w:t xml:space="preserve">studies </w:t>
      </w:r>
      <w:r w:rsidR="001654CA" w:rsidRPr="001654CA">
        <w:rPr>
          <w:rFonts w:cs="Calibri"/>
        </w:rPr>
        <w:t>(Onukwugha et al. 2016)</w:t>
      </w:r>
      <w:r>
        <w:rPr>
          <w:rStyle w:val="normaltextrun"/>
          <w:rFonts w:cs="Calibri"/>
        </w:rPr>
        <w:t xml:space="preserve"> surveyed studies published between 2004 and 2015. They found that most of these </w:t>
      </w:r>
      <w:r w:rsidR="00234C40">
        <w:rPr>
          <w:rStyle w:val="normaltextrun"/>
          <w:rFonts w:cs="Calibri"/>
        </w:rPr>
        <w:t xml:space="preserve">cost-of-illness </w:t>
      </w:r>
      <w:r>
        <w:rPr>
          <w:rStyle w:val="normaltextrun"/>
          <w:rFonts w:cs="Calibri"/>
        </w:rPr>
        <w:t>studies include the following approaches</w:t>
      </w:r>
      <w:r w:rsidR="00867EFE">
        <w:rPr>
          <w:rStyle w:val="normaltextrun"/>
          <w:rFonts w:cs="Calibri"/>
        </w:rPr>
        <w:t>,</w:t>
      </w:r>
      <w:r>
        <w:rPr>
          <w:rStyle w:val="normaltextrun"/>
          <w:rFonts w:cs="Calibri"/>
        </w:rPr>
        <w:t xml:space="preserve"> which are now widely considered critical to </w:t>
      </w:r>
      <w:r w:rsidR="00234C40">
        <w:rPr>
          <w:rStyle w:val="normaltextrun"/>
          <w:rFonts w:cs="Calibri"/>
        </w:rPr>
        <w:t xml:space="preserve">cost-of-illness </w:t>
      </w:r>
      <w:r>
        <w:rPr>
          <w:rStyle w:val="normaltextrun"/>
          <w:rFonts w:cs="Calibri"/>
        </w:rPr>
        <w:t>studies for long</w:t>
      </w:r>
      <w:r w:rsidR="00C06844">
        <w:rPr>
          <w:rStyle w:val="normaltextrun"/>
          <w:rFonts w:cs="Calibri"/>
        </w:rPr>
        <w:t>-</w:t>
      </w:r>
      <w:r>
        <w:rPr>
          <w:rStyle w:val="normaltextrun"/>
          <w:rFonts w:cs="Calibri"/>
        </w:rPr>
        <w:t>term conditions:</w:t>
      </w:r>
    </w:p>
    <w:p w14:paraId="6FC8C924" w14:textId="2862DFB4" w:rsidR="00376CA8" w:rsidRDefault="00376CA8" w:rsidP="00376CA8">
      <w:pPr>
        <w:pStyle w:val="USBullet1"/>
        <w:rPr>
          <w:rStyle w:val="normaltextrun"/>
          <w:rFonts w:cs="Calibri"/>
        </w:rPr>
      </w:pPr>
      <w:r>
        <w:rPr>
          <w:rStyle w:val="normaltextrun"/>
          <w:rFonts w:cs="Calibri"/>
        </w:rPr>
        <w:t xml:space="preserve">Studies consider both direct costs, such as medical costs, as well as indirect costs, such as productivity costs associated with morbidity and mortality. These studies demonstrate that limiting </w:t>
      </w:r>
      <w:r w:rsidR="00234C40">
        <w:rPr>
          <w:rStyle w:val="normaltextrun"/>
          <w:rFonts w:cs="Calibri"/>
        </w:rPr>
        <w:t xml:space="preserve">cost-of-illness </w:t>
      </w:r>
      <w:r>
        <w:rPr>
          <w:rStyle w:val="normaltextrun"/>
          <w:rFonts w:cs="Calibri"/>
        </w:rPr>
        <w:t xml:space="preserve">calculations to only direct costs results in severe underestimation of the true costs of long-term conditions </w:t>
      </w:r>
      <w:r w:rsidR="001654CA" w:rsidRPr="001654CA">
        <w:rPr>
          <w:rFonts w:cs="Calibri"/>
        </w:rPr>
        <w:t>(Pike and Grosse 2018)</w:t>
      </w:r>
      <w:r>
        <w:rPr>
          <w:rStyle w:val="normaltextrun"/>
          <w:rFonts w:cs="Calibri"/>
        </w:rPr>
        <w:t xml:space="preserve">. </w:t>
      </w:r>
    </w:p>
    <w:p w14:paraId="04D96125" w14:textId="61948C03" w:rsidR="00376CA8" w:rsidRDefault="00376CA8" w:rsidP="00376CA8">
      <w:pPr>
        <w:pStyle w:val="USBullet1"/>
        <w:rPr>
          <w:rStyle w:val="normaltextrun"/>
          <w:rFonts w:cs="Calibri"/>
        </w:rPr>
      </w:pPr>
      <w:r>
        <w:rPr>
          <w:rStyle w:val="normaltextrun"/>
          <w:rFonts w:cs="Calibri"/>
        </w:rPr>
        <w:t>An increasing number of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illness studies investigate the heterogeneity across different sub-groups in a population and report the estimates across patient sub-groups. Investigating subgroups heterogeneity in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 xml:space="preserve">illness studies represents an increasing interest for researchers. </w:t>
      </w:r>
    </w:p>
    <w:p w14:paraId="22706DAF" w14:textId="270E4FD5" w:rsidR="00376CA8" w:rsidRDefault="00376CA8" w:rsidP="00376CA8">
      <w:pPr>
        <w:pStyle w:val="USBullet1"/>
        <w:rPr>
          <w:rStyle w:val="normaltextrun"/>
          <w:rFonts w:cs="Calibri"/>
        </w:rPr>
      </w:pPr>
      <w:r>
        <w:rPr>
          <w:rStyle w:val="normaltextrun"/>
          <w:rFonts w:cs="Calibri"/>
        </w:rPr>
        <w:t>A growing number of cost</w:t>
      </w:r>
      <w:r w:rsidR="00234C40">
        <w:rPr>
          <w:rStyle w:val="normaltextrun"/>
          <w:rFonts w:cs="Calibri"/>
        </w:rPr>
        <w:t>-</w:t>
      </w:r>
      <w:r>
        <w:rPr>
          <w:rStyle w:val="normaltextrun"/>
          <w:rFonts w:cs="Calibri"/>
        </w:rPr>
        <w:t>of</w:t>
      </w:r>
      <w:r w:rsidR="00234C40">
        <w:rPr>
          <w:rStyle w:val="normaltextrun"/>
          <w:rFonts w:cs="Calibri"/>
        </w:rPr>
        <w:t>-</w:t>
      </w:r>
      <w:r>
        <w:rPr>
          <w:rStyle w:val="normaltextrun"/>
          <w:rFonts w:cs="Calibri"/>
        </w:rPr>
        <w:t xml:space="preserve">illness studies are estimating the costs associated with a single disease in different countries, consistently applying methods to achieve comparable results. </w:t>
      </w:r>
    </w:p>
    <w:p w14:paraId="4E2C909D" w14:textId="77777777" w:rsidR="00376CA8" w:rsidRDefault="00376CA8" w:rsidP="00376CA8">
      <w:pPr>
        <w:pStyle w:val="USBodyText"/>
        <w:ind w:left="1275"/>
      </w:pPr>
      <w:r>
        <w:t>(</w:t>
      </w:r>
      <w:r w:rsidRPr="00A83F8B">
        <w:t>Onukwugha et al. 2016</w:t>
      </w:r>
      <w:r>
        <w:t>)</w:t>
      </w:r>
    </w:p>
    <w:p w14:paraId="434663D8" w14:textId="77777777" w:rsidR="001170AA" w:rsidRDefault="001170AA">
      <w:pPr>
        <w:spacing w:after="160" w:line="259" w:lineRule="auto"/>
        <w:rPr>
          <w:rFonts w:eastAsiaTheme="majorEastAsia" w:cstheme="majorBidi"/>
          <w:b/>
          <w:color w:val="0094C5"/>
          <w:sz w:val="32"/>
          <w:szCs w:val="32"/>
        </w:rPr>
      </w:pPr>
      <w:r>
        <w:br w:type="page"/>
      </w:r>
    </w:p>
    <w:p w14:paraId="4F0AD5BC" w14:textId="085BC2A2" w:rsidR="008A2B1B" w:rsidRDefault="008D38E9" w:rsidP="008D38E9">
      <w:pPr>
        <w:pStyle w:val="Heading1"/>
      </w:pPr>
      <w:bookmarkStart w:id="37" w:name="_Toc98760510"/>
      <w:r>
        <w:lastRenderedPageBreak/>
        <w:t>Using</w:t>
      </w:r>
      <w:r w:rsidR="00B6767F">
        <w:t xml:space="preserve"> cost-of-illness estimates</w:t>
      </w:r>
      <w:bookmarkEnd w:id="37"/>
    </w:p>
    <w:p w14:paraId="52B6E8AD" w14:textId="0FAA8E04" w:rsidR="001F31CB" w:rsidRDefault="00997912" w:rsidP="001F31CB">
      <w:pPr>
        <w:pStyle w:val="USBodyText"/>
      </w:pPr>
      <w:r>
        <w:t xml:space="preserve">While cost-of-illness estimates are often used to inform decisions about investment in prevention or improved management of conditions, </w:t>
      </w:r>
      <w:r w:rsidR="00E40247">
        <w:t>the estimates themselves are often not directly useful for this purpose.</w:t>
      </w:r>
    </w:p>
    <w:p w14:paraId="3D38C7FA" w14:textId="2ED594B6" w:rsidR="001F31CB" w:rsidRDefault="001F31CB" w:rsidP="001F31CB">
      <w:pPr>
        <w:pStyle w:val="USBodyText"/>
      </w:pPr>
      <w:r>
        <w:t>Furthermore, when presented with summary information, particularly cost estimates, across a wide range of health conditions and risk factors, it is often tempting to compare results across conditions, aggregate estimated costs across conditions, or make assumptions about local costs based on costs derived in other jurisdictions.</w:t>
      </w:r>
    </w:p>
    <w:p w14:paraId="62794EE4" w14:textId="3AFD8510" w:rsidR="001F31CB" w:rsidRDefault="001F31CB" w:rsidP="001F31CB">
      <w:pPr>
        <w:pStyle w:val="USBodyText"/>
      </w:pPr>
      <w:r>
        <w:t xml:space="preserve">The World Health Organization’s guidance (World Health Organization 2009) is clear: </w:t>
      </w:r>
      <w:r w:rsidR="00DE5E4F">
        <w:t>c</w:t>
      </w:r>
      <w:r>
        <w:t>omparisons, aggregations and transfers of values are highly fraught and inadvisable.</w:t>
      </w:r>
    </w:p>
    <w:p w14:paraId="6D832D25" w14:textId="683A94D2" w:rsidR="00930974" w:rsidRDefault="001724E7" w:rsidP="001724E7">
      <w:pPr>
        <w:pStyle w:val="Heading2"/>
      </w:pPr>
      <w:bookmarkStart w:id="38" w:name="_Toc98760511"/>
      <w:r>
        <w:t xml:space="preserve">Drawing conclusions about </w:t>
      </w:r>
      <w:r w:rsidR="00C902FE">
        <w:t>investment</w:t>
      </w:r>
      <w:r>
        <w:t xml:space="preserve"> value</w:t>
      </w:r>
      <w:bookmarkEnd w:id="38"/>
      <w:r>
        <w:t xml:space="preserve"> </w:t>
      </w:r>
    </w:p>
    <w:p w14:paraId="477C3B9A" w14:textId="77777777" w:rsidR="00225B93" w:rsidRDefault="00C902FE" w:rsidP="00C902FE">
      <w:pPr>
        <w:pStyle w:val="USBodyText"/>
      </w:pPr>
      <w:r>
        <w:t xml:space="preserve">There are several </w:t>
      </w:r>
      <w:r w:rsidR="00415290">
        <w:t xml:space="preserve">strong arguments against using the results of cost-of-illness studies to justify investment in prevention or </w:t>
      </w:r>
      <w:r w:rsidR="00DE6AB3">
        <w:t>improvement management of health conditions.</w:t>
      </w:r>
      <w:r>
        <w:t xml:space="preserve"> </w:t>
      </w:r>
      <w:r w:rsidR="00225B93">
        <w:t>These include:</w:t>
      </w:r>
    </w:p>
    <w:p w14:paraId="3265BF47" w14:textId="7739E5C0" w:rsidR="00C902FE" w:rsidRDefault="00225B93" w:rsidP="00225B93">
      <w:pPr>
        <w:pStyle w:val="USBullet1"/>
      </w:pPr>
      <w:r>
        <w:t>Cost-of-illness studies</w:t>
      </w:r>
      <w:r w:rsidR="00DC04C6">
        <w:t xml:space="preserve">, while having the potential to identify high </w:t>
      </w:r>
      <w:r w:rsidR="005E0930">
        <w:t xml:space="preserve">health system </w:t>
      </w:r>
      <w:r w:rsidR="00DC04C6">
        <w:t>expenditure conditions and conditions that impose a high social and economic cost</w:t>
      </w:r>
      <w:r w:rsidR="005E0930">
        <w:t xml:space="preserve">, do not provide any useful information about health system </w:t>
      </w:r>
      <w:r w:rsidR="00C902FE">
        <w:t xml:space="preserve">inefficiency </w:t>
      </w:r>
      <w:r w:rsidR="005E0930">
        <w:t>that would allow potential improvements to be identified</w:t>
      </w:r>
      <w:r w:rsidR="00C902FE">
        <w:t>.</w:t>
      </w:r>
    </w:p>
    <w:p w14:paraId="38A4D75C" w14:textId="77777777" w:rsidR="00A20E49" w:rsidRDefault="00C902FE" w:rsidP="005E0930">
      <w:pPr>
        <w:pStyle w:val="USBullet1"/>
      </w:pPr>
      <w:r>
        <w:t xml:space="preserve">The </w:t>
      </w:r>
      <w:r w:rsidR="00F14292">
        <w:t xml:space="preserve">appearance of potential </w:t>
      </w:r>
      <w:r>
        <w:t xml:space="preserve">cost savings </w:t>
      </w:r>
      <w:r w:rsidR="00F14292">
        <w:t xml:space="preserve">from </w:t>
      </w:r>
      <w:r>
        <w:t xml:space="preserve">preventing a </w:t>
      </w:r>
      <w:r w:rsidR="00F14292">
        <w:t>condition</w:t>
      </w:r>
      <w:r>
        <w:t>,</w:t>
      </w:r>
      <w:r w:rsidR="00F14292">
        <w:t xml:space="preserve"> or at least reducing its prevalence</w:t>
      </w:r>
      <w:r w:rsidR="0070467A">
        <w:t xml:space="preserve">, are misleading. Even if </w:t>
      </w:r>
      <w:r w:rsidR="008649FF">
        <w:t xml:space="preserve">the most effective prevention interventions were </w:t>
      </w:r>
      <w:r>
        <w:t>introduced, the cost</w:t>
      </w:r>
      <w:r w:rsidR="008649FF">
        <w:t>-of-illness estimates are almost certainly a heavily overestimated measure of the cost</w:t>
      </w:r>
      <w:r>
        <w:t xml:space="preserve"> savings </w:t>
      </w:r>
      <w:r w:rsidR="008649FF">
        <w:t xml:space="preserve">that would result from such investment. </w:t>
      </w:r>
      <w:r w:rsidR="00D55A64">
        <w:t>Few conditions can ever be fully prevented and when</w:t>
      </w:r>
      <w:r>
        <w:t xml:space="preserve"> prevention </w:t>
      </w:r>
      <w:r w:rsidR="00D55A64">
        <w:t xml:space="preserve">efforts </w:t>
      </w:r>
      <w:r>
        <w:t>fail</w:t>
      </w:r>
      <w:r w:rsidR="00B160C3">
        <w:t>, as they always do to some extent,</w:t>
      </w:r>
      <w:r>
        <w:t xml:space="preserve"> the marginal cost savings </w:t>
      </w:r>
      <w:r w:rsidR="00B160C3">
        <w:t>achieved will be lower than what average costs from cost-of-illness studies suggest</w:t>
      </w:r>
      <w:r w:rsidR="00A20E49">
        <w:t xml:space="preserve"> due the requirement to maintain the fixed cost elements of associated health services. </w:t>
      </w:r>
    </w:p>
    <w:p w14:paraId="21076E2E" w14:textId="439F24FE" w:rsidR="00C902FE" w:rsidRDefault="003F70DF" w:rsidP="005E0930">
      <w:pPr>
        <w:pStyle w:val="USBullet1"/>
      </w:pPr>
      <w:r>
        <w:t>The cost of managing and treating health conditions says nothing about the cost of preventing them. Cost-of-illness studies are blind to the costs of prevention</w:t>
      </w:r>
      <w:r w:rsidR="00F93A41">
        <w:t xml:space="preserve"> and their relative magnitudes, or even to the existence of effective </w:t>
      </w:r>
      <w:r w:rsidR="00895D59">
        <w:t>prevention interventions. For many conditions with high costs, the prevention costs could also be high, even higher. Cost-of-illness studies provide no insight into such issues</w:t>
      </w:r>
      <w:r w:rsidR="00C902FE">
        <w:t>.</w:t>
      </w:r>
    </w:p>
    <w:p w14:paraId="285C8ACA" w14:textId="18A29297" w:rsidR="00166664" w:rsidRDefault="00762938" w:rsidP="00762938">
      <w:pPr>
        <w:pStyle w:val="USBullet1"/>
      </w:pPr>
      <w:r>
        <w:t>Cost-of-illness studies are also blind to the</w:t>
      </w:r>
      <w:r w:rsidR="00C902FE">
        <w:t xml:space="preserve"> current </w:t>
      </w:r>
      <w:r>
        <w:t xml:space="preserve">state of </w:t>
      </w:r>
      <w:r w:rsidR="00C902FE">
        <w:t xml:space="preserve">medical technology. </w:t>
      </w:r>
      <w:r w:rsidR="002775FB">
        <w:t>Some high</w:t>
      </w:r>
      <w:r w:rsidR="003849E2">
        <w:t>-</w:t>
      </w:r>
      <w:r w:rsidR="002775FB">
        <w:t>cost</w:t>
      </w:r>
      <w:r w:rsidR="00A1632E">
        <w:t xml:space="preserve"> </w:t>
      </w:r>
      <w:r w:rsidR="002775FB">
        <w:t>conditions may not currently be amenable to low</w:t>
      </w:r>
      <w:r w:rsidR="003849E2">
        <w:t>-</w:t>
      </w:r>
      <w:r w:rsidR="002775FB">
        <w:t xml:space="preserve">cost </w:t>
      </w:r>
      <w:r w:rsidR="00B3091B">
        <w:t xml:space="preserve">prevention, management or treatment interventions, while some </w:t>
      </w:r>
      <w:r w:rsidR="00643F09">
        <w:t>low-cost</w:t>
      </w:r>
      <w:r w:rsidR="00B3091B">
        <w:t xml:space="preserve"> conditions could be.</w:t>
      </w:r>
      <w:r w:rsidR="00A1632E">
        <w:t xml:space="preserve"> Ranking conditions by cost estimates to target investment</w:t>
      </w:r>
      <w:r w:rsidR="00CA1C90">
        <w:t xml:space="preserve"> risks overlooking significant health gains that could be achieved through low cost, effective intervention across a range of relatively low</w:t>
      </w:r>
      <w:r w:rsidR="003849E2">
        <w:t>-</w:t>
      </w:r>
      <w:r w:rsidR="00CA1C90">
        <w:t>cost conditions</w:t>
      </w:r>
      <w:r w:rsidR="00C902FE">
        <w:t>.</w:t>
      </w:r>
    </w:p>
    <w:p w14:paraId="4CF5A67D" w14:textId="5D1804F6" w:rsidR="00D31D52" w:rsidRPr="00166664" w:rsidRDefault="00D31D52" w:rsidP="00C902FE">
      <w:pPr>
        <w:pStyle w:val="USBodyText"/>
      </w:pPr>
      <w:r w:rsidRPr="00D31D52">
        <w:t>Taken to the logical extreme, these arguments may also be valid reasons for not undertaking cost</w:t>
      </w:r>
      <w:r>
        <w:t>-</w:t>
      </w:r>
      <w:r w:rsidRPr="00D31D52">
        <w:t>of</w:t>
      </w:r>
      <w:r>
        <w:t>-</w:t>
      </w:r>
      <w:r w:rsidRPr="00D31D52">
        <w:t>illness studies</w:t>
      </w:r>
      <w:r>
        <w:t xml:space="preserve"> at all</w:t>
      </w:r>
      <w:r w:rsidRPr="00D31D52">
        <w:t>.</w:t>
      </w:r>
      <w:r w:rsidR="003849E2">
        <w:t xml:space="preserve"> Indeed, </w:t>
      </w:r>
      <w:r w:rsidR="003B228E">
        <w:t>cost-effectiveness analyses of health interventions, which provide estimates of both costs and potential cost-savings</w:t>
      </w:r>
      <w:r w:rsidR="00F808B1">
        <w:t xml:space="preserve"> realisable through tried and tested interventions, offer </w:t>
      </w:r>
      <w:r w:rsidR="00594B49">
        <w:t>far more value to decision-makers.</w:t>
      </w:r>
    </w:p>
    <w:p w14:paraId="0F81CF39" w14:textId="1DC36409" w:rsidR="00930974" w:rsidRDefault="00930974" w:rsidP="00930974">
      <w:pPr>
        <w:pStyle w:val="Heading2"/>
      </w:pPr>
      <w:bookmarkStart w:id="39" w:name="_Toc98760512"/>
      <w:r>
        <w:lastRenderedPageBreak/>
        <w:t xml:space="preserve">Comparing results across </w:t>
      </w:r>
      <w:r w:rsidR="004D7F8C">
        <w:t>conditions</w:t>
      </w:r>
      <w:bookmarkEnd w:id="39"/>
    </w:p>
    <w:p w14:paraId="0C472726" w14:textId="7273A49D" w:rsidR="00227D94" w:rsidRDefault="006F03C5" w:rsidP="008C54BD">
      <w:pPr>
        <w:pStyle w:val="USBodyText"/>
      </w:pPr>
      <w:r>
        <w:t xml:space="preserve">Comparisons of costs of illness are often made to justify </w:t>
      </w:r>
      <w:r w:rsidR="00D225EF">
        <w:t xml:space="preserve">the </w:t>
      </w:r>
      <w:r w:rsidR="000152E6">
        <w:t xml:space="preserve">prioritisation of investments. However, </w:t>
      </w:r>
      <w:r w:rsidR="00A97C1C">
        <w:t xml:space="preserve">two major issues make comparisons </w:t>
      </w:r>
      <w:r w:rsidR="00227D94">
        <w:t>fraught:</w:t>
      </w:r>
    </w:p>
    <w:p w14:paraId="70435799" w14:textId="10B67224" w:rsidR="00227D94" w:rsidRDefault="00B67737" w:rsidP="00227D94">
      <w:pPr>
        <w:pStyle w:val="USBullet1"/>
      </w:pPr>
      <w:r>
        <w:t xml:space="preserve">Results of cost-of-illness studies are not always presented in comparable terms. </w:t>
      </w:r>
      <w:r w:rsidR="009A7B22">
        <w:t xml:space="preserve">While annual costs are a common format for results, other formats include lifetime costs, costs per person per year, and costs over an alternative period </w:t>
      </w:r>
      <w:r w:rsidR="0050018A">
        <w:t>(E</w:t>
      </w:r>
      <w:r w:rsidR="00DE3C40">
        <w:t>.</w:t>
      </w:r>
      <w:r w:rsidR="0050018A">
        <w:t>g. treatment and follow-up phases of a condition)</w:t>
      </w:r>
      <w:r w:rsidR="00B5226F">
        <w:t>.</w:t>
      </w:r>
    </w:p>
    <w:p w14:paraId="1028F827" w14:textId="597F14B8" w:rsidR="008C54BD" w:rsidRDefault="00227D94" w:rsidP="00227D94">
      <w:pPr>
        <w:pStyle w:val="USBullet1"/>
      </w:pPr>
      <w:r>
        <w:t>M</w:t>
      </w:r>
      <w:r w:rsidR="000152E6">
        <w:t xml:space="preserve">ethodological differences between cost-of-illness studies </w:t>
      </w:r>
      <w:r w:rsidR="002459A4">
        <w:t xml:space="preserve">pose a risk that any prioritisation of investment based on comparisons could be misinformed and even harmful. </w:t>
      </w:r>
      <w:r w:rsidR="00B6767F">
        <w:t>For example, indirect costs do not always include the productivity of those not in the paid workforce</w:t>
      </w:r>
      <w:r w:rsidR="00B33223">
        <w:t xml:space="preserve"> (e</w:t>
      </w:r>
      <w:r w:rsidR="00183BC3">
        <w:t>.</w:t>
      </w:r>
      <w:r w:rsidR="00B33223">
        <w:t xml:space="preserve">g. unpaid housework and childcare). Consequently, comparing </w:t>
      </w:r>
      <w:r w:rsidR="008C54BD">
        <w:t>costs of illnesses where indirect costs are calculated differently may result in bias against illnesses</w:t>
      </w:r>
      <w:r w:rsidR="00B6767F">
        <w:t xml:space="preserve"> </w:t>
      </w:r>
      <w:r w:rsidR="008C54BD">
        <w:t>that predominantly affect</w:t>
      </w:r>
      <w:r w:rsidR="00B6767F">
        <w:t xml:space="preserve"> women. </w:t>
      </w:r>
      <w:r w:rsidR="008C54BD">
        <w:t>Similarly,</w:t>
      </w:r>
      <w:r w:rsidR="00406778">
        <w:t xml:space="preserve"> depending on how lost productivity in paid employment is valued, the lower wages earned by </w:t>
      </w:r>
      <w:r w:rsidR="003F7F03" w:rsidRPr="003F7F03">
        <w:t>Māori</w:t>
      </w:r>
      <w:r w:rsidR="00406778">
        <w:t xml:space="preserve"> and Pacific people in New Zealand</w:t>
      </w:r>
      <w:r w:rsidR="006F03C5">
        <w:t xml:space="preserve"> may result in bias against illnesses that affect those populations disproportionately.</w:t>
      </w:r>
    </w:p>
    <w:p w14:paraId="442344B3" w14:textId="52BCF300" w:rsidR="004D7F8C" w:rsidRDefault="004D7F8C" w:rsidP="004D7F8C">
      <w:pPr>
        <w:pStyle w:val="Heading2"/>
      </w:pPr>
      <w:bookmarkStart w:id="40" w:name="_Toc98760513"/>
      <w:r>
        <w:t>Aggregating results for groups of conditions</w:t>
      </w:r>
      <w:bookmarkEnd w:id="40"/>
    </w:p>
    <w:p w14:paraId="2E156272" w14:textId="6BE17A71" w:rsidR="000D38B6" w:rsidRDefault="008D38E9" w:rsidP="008C54BD">
      <w:pPr>
        <w:pStyle w:val="USBodyText"/>
      </w:pPr>
      <w:r>
        <w:t>Aggregation of costs of illness estimates</w:t>
      </w:r>
      <w:r w:rsidR="00102D68">
        <w:t xml:space="preserve"> may be of interest for categories of </w:t>
      </w:r>
      <w:r w:rsidR="0015292F">
        <w:t>conditions, such as long-term conditions. But this</w:t>
      </w:r>
      <w:r>
        <w:t xml:space="preserve"> </w:t>
      </w:r>
      <w:r w:rsidR="000D38B6">
        <w:t>is also fraught for two main reasons:</w:t>
      </w:r>
    </w:p>
    <w:p w14:paraId="39364563" w14:textId="08E3F28B" w:rsidR="008D38E9" w:rsidRDefault="000D38B6" w:rsidP="000D38B6">
      <w:pPr>
        <w:pStyle w:val="USBullet1"/>
      </w:pPr>
      <w:r>
        <w:t>M</w:t>
      </w:r>
      <w:r w:rsidR="004741FA">
        <w:t xml:space="preserve">any </w:t>
      </w:r>
      <w:r w:rsidR="006748A9">
        <w:t>cost-of-illness</w:t>
      </w:r>
      <w:r w:rsidR="004741FA">
        <w:t xml:space="preserve"> studies exclude some cost categories. These exclusions are sometimes small and insignificant at a specific disease level</w:t>
      </w:r>
      <w:r w:rsidR="00B00A7A">
        <w:t xml:space="preserve"> or large and related to the perspective of the study (E</w:t>
      </w:r>
      <w:r w:rsidR="00183BC3">
        <w:t>.</w:t>
      </w:r>
      <w:r w:rsidR="00B00A7A">
        <w:t>g. public health system only</w:t>
      </w:r>
      <w:r w:rsidR="00697AF1">
        <w:t xml:space="preserve"> perspective versus societal perspective). Either way, over </w:t>
      </w:r>
      <w:r w:rsidR="00CA1EB9">
        <w:t>multiple</w:t>
      </w:r>
      <w:r w:rsidR="00697AF1">
        <w:t xml:space="preserve"> conditions and risk factors</w:t>
      </w:r>
      <w:r>
        <w:t xml:space="preserve">, these exclusions add up and can become </w:t>
      </w:r>
      <w:r w:rsidR="005E5784">
        <w:t xml:space="preserve">large, resulting in significantly underestimated </w:t>
      </w:r>
      <w:r w:rsidR="00817D7C">
        <w:t xml:space="preserve">costs. Because </w:t>
      </w:r>
      <w:r w:rsidR="006748A9">
        <w:t>cost-of-illness</w:t>
      </w:r>
      <w:r w:rsidR="00817D7C">
        <w:t xml:space="preserve"> studies almost always include public health system costs but are less likely to include other fiscal costs, indirect </w:t>
      </w:r>
      <w:r w:rsidR="00643F09">
        <w:t>costs,</w:t>
      </w:r>
      <w:r w:rsidR="00817D7C">
        <w:t xml:space="preserve"> and intangible costs, aggregating by cost category</w:t>
      </w:r>
      <w:r w:rsidR="00722E71">
        <w:t xml:space="preserve"> may lead to conclusions that the primary costs of illness are to the public health system</w:t>
      </w:r>
      <w:r w:rsidR="001A6EC2">
        <w:t>, when in reality those costs may be dwarfed by indirect and intangible costs.</w:t>
      </w:r>
    </w:p>
    <w:p w14:paraId="56522A8E" w14:textId="7F7A26EC" w:rsidR="005E5784" w:rsidRDefault="00311A1B" w:rsidP="000D38B6">
      <w:pPr>
        <w:pStyle w:val="USBullet1"/>
      </w:pPr>
      <w:r>
        <w:t xml:space="preserve">Even with the most careful methods, </w:t>
      </w:r>
      <w:r w:rsidR="006748A9">
        <w:t>cost-of-illness</w:t>
      </w:r>
      <w:r>
        <w:t xml:space="preserve"> studies are likely to capture costs not</w:t>
      </w:r>
      <w:r w:rsidR="00576C33">
        <w:t xml:space="preserve"> entirely related to the condition of interest. This will result in double-counting when costs are aggregated across </w:t>
      </w:r>
      <w:r w:rsidR="00CA1EB9">
        <w:t>multiple</w:t>
      </w:r>
      <w:r w:rsidR="00576C33">
        <w:t xml:space="preserve"> conditions. </w:t>
      </w:r>
    </w:p>
    <w:p w14:paraId="19FDA7B6" w14:textId="000BE48B" w:rsidR="004D7F8C" w:rsidRDefault="004D7F8C" w:rsidP="004D7F8C">
      <w:pPr>
        <w:pStyle w:val="Heading2"/>
      </w:pPr>
      <w:bookmarkStart w:id="41" w:name="_Toc98760514"/>
      <w:r>
        <w:t>Transferring results from other jurisdictions</w:t>
      </w:r>
      <w:bookmarkEnd w:id="41"/>
    </w:p>
    <w:p w14:paraId="2D02AA59" w14:textId="35C3220A" w:rsidR="00EC37CF" w:rsidRDefault="0015292F" w:rsidP="00F227D0">
      <w:pPr>
        <w:pStyle w:val="USBodyText"/>
      </w:pPr>
      <w:r>
        <w:t>Finally, a</w:t>
      </w:r>
      <w:r w:rsidR="00EC37CF">
        <w:t xml:space="preserve"> common reaction to cost-of-illness estimates from other jurisdictions is </w:t>
      </w:r>
      <w:r w:rsidR="00977886">
        <w:t>to draw conclusions about local costs</w:t>
      </w:r>
      <w:r w:rsidR="00D121CC">
        <w:t xml:space="preserve">, possibly even using such costs in a cost-benefit analysis or other application. This practice is known as ‘benefit transfer’ and is widely </w:t>
      </w:r>
      <w:r w:rsidR="00C63927">
        <w:t>discredited in the economic literature</w:t>
      </w:r>
      <w:r w:rsidR="00977886">
        <w:t>. To apply costs</w:t>
      </w:r>
      <w:r w:rsidR="00C63927">
        <w:t xml:space="preserve"> derived in the context of another jurisdiction </w:t>
      </w:r>
      <w:r w:rsidR="00977886">
        <w:t xml:space="preserve">in a local context, even with adjustments, </w:t>
      </w:r>
      <w:r w:rsidR="0064433C">
        <w:t>from currency conversion to</w:t>
      </w:r>
      <w:r w:rsidR="00977886">
        <w:t xml:space="preserve"> converting </w:t>
      </w:r>
      <w:r w:rsidR="00DD6A16">
        <w:t xml:space="preserve">values </w:t>
      </w:r>
      <w:r w:rsidR="00977886">
        <w:t>into a percentage of GDP or of health system expenditure</w:t>
      </w:r>
      <w:r w:rsidR="00C63927">
        <w:t>, or calculating a per person cost</w:t>
      </w:r>
      <w:r w:rsidR="0064433C">
        <w:t xml:space="preserve">, </w:t>
      </w:r>
      <w:r w:rsidR="00DD6A16">
        <w:t>is meaningless when the original context is materially different from the context in which the value is applied. For cost-of-illness studies, th</w:t>
      </w:r>
      <w:r w:rsidR="00E44B72">
        <w:t>e issue may arise because:</w:t>
      </w:r>
    </w:p>
    <w:p w14:paraId="265F5724" w14:textId="75470586" w:rsidR="00E44B72" w:rsidRDefault="00357B39" w:rsidP="00E44B72">
      <w:pPr>
        <w:pStyle w:val="USBullet1"/>
      </w:pPr>
      <w:r>
        <w:lastRenderedPageBreak/>
        <w:t>t</w:t>
      </w:r>
      <w:r w:rsidR="00E44B72">
        <w:t xml:space="preserve">he population affected is different, uses health services differently, </w:t>
      </w:r>
      <w:r w:rsidR="0049520E">
        <w:t xml:space="preserve">has a different mix of comorbidities, </w:t>
      </w:r>
      <w:r w:rsidR="00CC1A6C">
        <w:t>has a different employment rate</w:t>
      </w:r>
      <w:r w:rsidR="00F227D0">
        <w:t>, or</w:t>
      </w:r>
      <w:r w:rsidR="00CC1A6C">
        <w:t xml:space="preserve"> different social structures</w:t>
      </w:r>
      <w:r w:rsidR="00260800">
        <w:t>,</w:t>
      </w:r>
      <w:r w:rsidR="00F227D0">
        <w:t xml:space="preserve"> and</w:t>
      </w:r>
      <w:r w:rsidR="00260800">
        <w:t xml:space="preserve"> different</w:t>
      </w:r>
      <w:r w:rsidR="00F227D0">
        <w:t xml:space="preserve"> formal </w:t>
      </w:r>
      <w:r w:rsidR="00260800">
        <w:t xml:space="preserve">and informal </w:t>
      </w:r>
      <w:r w:rsidR="00F227D0">
        <w:t>social supports</w:t>
      </w:r>
    </w:p>
    <w:p w14:paraId="4370B74A" w14:textId="128BEF12" w:rsidR="00CC1A6C" w:rsidRDefault="00357B39" w:rsidP="00E44B72">
      <w:pPr>
        <w:pStyle w:val="USBullet1"/>
      </w:pPr>
      <w:r>
        <w:t>t</w:t>
      </w:r>
      <w:r w:rsidR="00CC1A6C">
        <w:t>he funding and provision of health services is different</w:t>
      </w:r>
      <w:r w:rsidR="00547863">
        <w:t xml:space="preserve"> (different co-payments, different use of resources, different service coverage and availability)</w:t>
      </w:r>
    </w:p>
    <w:p w14:paraId="232B4DA2" w14:textId="77ED395C" w:rsidR="00547863" w:rsidRDefault="00357B39" w:rsidP="00E44B72">
      <w:pPr>
        <w:pStyle w:val="USBullet1"/>
      </w:pPr>
      <w:r>
        <w:t>t</w:t>
      </w:r>
      <w:r w:rsidR="00547863">
        <w:t xml:space="preserve">he costs of </w:t>
      </w:r>
      <w:r w:rsidR="004B7838">
        <w:t>input</w:t>
      </w:r>
      <w:r w:rsidR="00547863">
        <w:t>s (workforce, infrastructure</w:t>
      </w:r>
      <w:r w:rsidR="004B7838">
        <w:t xml:space="preserve">, other inputs) </w:t>
      </w:r>
      <w:r w:rsidR="00CA1EB9">
        <w:t>are</w:t>
      </w:r>
      <w:r w:rsidR="004B7838">
        <w:t xml:space="preserve"> different</w:t>
      </w:r>
    </w:p>
    <w:p w14:paraId="47694A2C" w14:textId="3D7D5AF2" w:rsidR="00260800" w:rsidRPr="00260800" w:rsidRDefault="00357B39" w:rsidP="00260800">
      <w:pPr>
        <w:pStyle w:val="USBullet1"/>
      </w:pPr>
      <w:r>
        <w:t>t</w:t>
      </w:r>
      <w:r w:rsidR="00260800" w:rsidRPr="00260800">
        <w:t>he level of unmet need differs</w:t>
      </w:r>
      <w:r w:rsidR="00CA1EB9">
        <w:t>.</w:t>
      </w:r>
    </w:p>
    <w:p w14:paraId="3DBC0A96" w14:textId="2322C275" w:rsidR="0015292F" w:rsidRPr="00B6767F" w:rsidRDefault="009765BE" w:rsidP="0015292F">
      <w:pPr>
        <w:pStyle w:val="USBullet1"/>
        <w:numPr>
          <w:ilvl w:val="0"/>
          <w:numId w:val="0"/>
        </w:numPr>
        <w:ind w:left="1276" w:hanging="425"/>
      </w:pPr>
      <w:r>
        <w:t>Such differences can be large enough to make benefit transfers entirely inappropriate</w:t>
      </w:r>
      <w:r w:rsidR="00B340EE">
        <w:t xml:space="preserve">. </w:t>
      </w:r>
    </w:p>
    <w:p w14:paraId="696FA3B0" w14:textId="02CEEFF8" w:rsidR="00B6767F" w:rsidRPr="00B6767F" w:rsidRDefault="00B6767F" w:rsidP="00B6767F">
      <w:pPr>
        <w:pStyle w:val="USBodyText"/>
      </w:pPr>
    </w:p>
    <w:p w14:paraId="1EB4C029" w14:textId="77777777" w:rsidR="00376CA8" w:rsidRDefault="00376CA8" w:rsidP="00376CA8">
      <w:pPr>
        <w:spacing w:after="160" w:line="259" w:lineRule="auto"/>
        <w:rPr>
          <w:rFonts w:eastAsiaTheme="majorEastAsia" w:cstheme="majorBidi"/>
          <w:b/>
          <w:color w:val="0094C5"/>
          <w:sz w:val="32"/>
          <w:szCs w:val="32"/>
        </w:rPr>
      </w:pPr>
      <w:r>
        <w:br w:type="page"/>
      </w:r>
    </w:p>
    <w:p w14:paraId="0D0048CA" w14:textId="2DE407C2" w:rsidR="00970BA3" w:rsidRDefault="00DC2557" w:rsidP="002E10F0">
      <w:pPr>
        <w:pStyle w:val="Heading1"/>
      </w:pPr>
      <w:bookmarkStart w:id="42" w:name="_Toc98760515"/>
      <w:r>
        <w:lastRenderedPageBreak/>
        <w:t>Determining scope for a 2021 update</w:t>
      </w:r>
      <w:bookmarkEnd w:id="42"/>
    </w:p>
    <w:p w14:paraId="0435523A" w14:textId="33360CFD" w:rsidR="00BA3F11" w:rsidRDefault="005301B1" w:rsidP="00BA3F11">
      <w:pPr>
        <w:pStyle w:val="USBodyText"/>
      </w:pPr>
      <w:r>
        <w:t xml:space="preserve">Rather than simply providing an update of the </w:t>
      </w:r>
      <w:r w:rsidR="00107690">
        <w:t xml:space="preserve">literature on conditions included in the 2009 report, the scope of this report was considered </w:t>
      </w:r>
      <w:r w:rsidR="00557F1F">
        <w:t>in the context of current thinking on long</w:t>
      </w:r>
      <w:r w:rsidR="00BA0EE8">
        <w:t>-</w:t>
      </w:r>
      <w:r w:rsidR="00557F1F">
        <w:t>term conditions</w:t>
      </w:r>
      <w:r w:rsidR="00461FCB">
        <w:t>, including:</w:t>
      </w:r>
    </w:p>
    <w:p w14:paraId="1C84149D" w14:textId="3853DC40" w:rsidR="006639C1" w:rsidRDefault="006639C1" w:rsidP="00BA3F11">
      <w:pPr>
        <w:pStyle w:val="USBullet1"/>
      </w:pPr>
      <w:r>
        <w:t>The World Health Organization (WHO)</w:t>
      </w:r>
    </w:p>
    <w:p w14:paraId="0FF8DDAF" w14:textId="3D1DF9B5" w:rsidR="006639C1" w:rsidRDefault="006639C1" w:rsidP="006639C1">
      <w:pPr>
        <w:pStyle w:val="USBullet1"/>
      </w:pPr>
      <w:r>
        <w:t>The Global Alliance for Chronic Disease</w:t>
      </w:r>
      <w:r w:rsidR="00AB0ACF">
        <w:t xml:space="preserve"> (GACD)</w:t>
      </w:r>
    </w:p>
    <w:p w14:paraId="76210E3A" w14:textId="544C473E" w:rsidR="00FD200A" w:rsidRDefault="00FD200A" w:rsidP="006639C1">
      <w:pPr>
        <w:pStyle w:val="USBullet1"/>
      </w:pPr>
      <w:r>
        <w:t>The evidence on mortality and disability burden of diseases</w:t>
      </w:r>
      <w:r w:rsidR="00E218F0">
        <w:t>.</w:t>
      </w:r>
    </w:p>
    <w:p w14:paraId="07268F65" w14:textId="35FD96F5" w:rsidR="00461FCB" w:rsidRDefault="00461FCB" w:rsidP="00DA63A3">
      <w:pPr>
        <w:pStyle w:val="USBodyText"/>
      </w:pPr>
      <w:r>
        <w:t>Th</w:t>
      </w:r>
      <w:r w:rsidRPr="00461FCB">
        <w:t>e</w:t>
      </w:r>
      <w:r w:rsidR="00DC2557">
        <w:t xml:space="preserve">se sources of </w:t>
      </w:r>
      <w:r w:rsidR="00787BC7">
        <w:t>information and frameworks were considered against the</w:t>
      </w:r>
      <w:r w:rsidRPr="00461FCB">
        <w:t xml:space="preserve"> Ministry of Health’s priorities</w:t>
      </w:r>
      <w:r w:rsidR="00E218F0">
        <w:t>,</w:t>
      </w:r>
      <w:r w:rsidRPr="00461FCB">
        <w:t xml:space="preserve"> including </w:t>
      </w:r>
      <w:r>
        <w:t xml:space="preserve">a particular focus </w:t>
      </w:r>
      <w:r w:rsidR="00E218F0">
        <w:t xml:space="preserve">on </w:t>
      </w:r>
      <w:r w:rsidRPr="00461FCB">
        <w:t>equity considerations</w:t>
      </w:r>
      <w:r w:rsidR="00787BC7">
        <w:t xml:space="preserve"> and the major modifiable risk factors</w:t>
      </w:r>
      <w:r w:rsidR="009564EE">
        <w:t xml:space="preserve"> for long-term conditions</w:t>
      </w:r>
      <w:r w:rsidR="00DA63A3">
        <w:t>.</w:t>
      </w:r>
    </w:p>
    <w:p w14:paraId="3C304DE9" w14:textId="471D4F70" w:rsidR="00C613E6" w:rsidRDefault="00D90EAD" w:rsidP="002E10F0">
      <w:pPr>
        <w:pStyle w:val="Heading2"/>
      </w:pPr>
      <w:bookmarkStart w:id="43" w:name="_Toc98760516"/>
      <w:r>
        <w:t>WHO focus on m</w:t>
      </w:r>
      <w:r w:rsidR="001A012C">
        <w:t>odifiable risk factors</w:t>
      </w:r>
      <w:bookmarkEnd w:id="43"/>
    </w:p>
    <w:p w14:paraId="1D404845" w14:textId="4E769FF2" w:rsidR="0084656E" w:rsidRDefault="00C613E6" w:rsidP="007C21B3">
      <w:pPr>
        <w:pStyle w:val="USBodyText"/>
      </w:pPr>
      <w:r>
        <w:t>The WHO defines n</w:t>
      </w:r>
      <w:r w:rsidRPr="00C613E6">
        <w:t>on</w:t>
      </w:r>
      <w:r>
        <w:t>-</w:t>
      </w:r>
      <w:r w:rsidRPr="00C613E6">
        <w:t>communicable diseases (NCDs)</w:t>
      </w:r>
      <w:r>
        <w:t xml:space="preserve"> (or </w:t>
      </w:r>
      <w:r w:rsidRPr="00C613E6">
        <w:t>chronic diseases</w:t>
      </w:r>
      <w:r>
        <w:t xml:space="preserve">) as diseases that </w:t>
      </w:r>
      <w:r w:rsidR="00AF17DC">
        <w:t xml:space="preserve">are typically </w:t>
      </w:r>
      <w:r w:rsidRPr="00C613E6">
        <w:t xml:space="preserve">of long duration and result </w:t>
      </w:r>
      <w:r w:rsidR="00AF17DC">
        <w:t>from</w:t>
      </w:r>
      <w:r w:rsidRPr="00C613E6">
        <w:t xml:space="preserve"> a combination of genetic, physiological, </w:t>
      </w:r>
      <w:r w:rsidR="00643F09" w:rsidRPr="00C613E6">
        <w:t>environmental,</w:t>
      </w:r>
      <w:r w:rsidRPr="00C613E6">
        <w:t xml:space="preserve"> and behavioural factors.</w:t>
      </w:r>
      <w:r w:rsidR="00EF7B63">
        <w:t xml:space="preserve"> </w:t>
      </w:r>
      <w:r w:rsidR="000C05BA">
        <w:t xml:space="preserve">The WHO’s </w:t>
      </w:r>
      <w:r w:rsidR="002F5A8B">
        <w:t>primary interest in NCDs is the reduction of NCD-related mortality through interventions designed to target the</w:t>
      </w:r>
      <w:r w:rsidR="005C17A4">
        <w:t xml:space="preserve"> major </w:t>
      </w:r>
      <w:r w:rsidR="00544D47">
        <w:t xml:space="preserve">modifiable </w:t>
      </w:r>
      <w:r w:rsidR="005C17A4">
        <w:t xml:space="preserve">risk factors of </w:t>
      </w:r>
      <w:bookmarkStart w:id="44" w:name="_Hlk76733563"/>
      <w:r w:rsidR="005C17A4" w:rsidRPr="005C17A4">
        <w:t>tobacco use, physical inactivity, unhealthy diet, and harmful use of alcohol.</w:t>
      </w:r>
    </w:p>
    <w:bookmarkEnd w:id="44"/>
    <w:p w14:paraId="17E7EBF2" w14:textId="748DA869" w:rsidR="00EF7B63" w:rsidRDefault="005C17A4" w:rsidP="00DF20F5">
      <w:pPr>
        <w:pStyle w:val="USBodyText"/>
      </w:pPr>
      <w:r>
        <w:t xml:space="preserve">As a result of this </w:t>
      </w:r>
      <w:r w:rsidR="00456CC5">
        <w:t>interest, t</w:t>
      </w:r>
      <w:r w:rsidR="00671603">
        <w:t>he WHO</w:t>
      </w:r>
      <w:r w:rsidR="00C26AC1">
        <w:t xml:space="preserve"> </w:t>
      </w:r>
      <w:r w:rsidR="00456CC5">
        <w:t>is</w:t>
      </w:r>
      <w:r w:rsidR="00C26AC1">
        <w:t xml:space="preserve"> primarily </w:t>
      </w:r>
      <w:r w:rsidR="005F7FB2">
        <w:t>focuse</w:t>
      </w:r>
      <w:r w:rsidR="00C26AC1">
        <w:t xml:space="preserve">d </w:t>
      </w:r>
      <w:r w:rsidR="005F7FB2">
        <w:t>on</w:t>
      </w:r>
      <w:r w:rsidR="00C26AC1">
        <w:t xml:space="preserve"> </w:t>
      </w:r>
      <w:r w:rsidR="00A94794">
        <w:t>cardiovascular</w:t>
      </w:r>
      <w:r w:rsidR="00671603">
        <w:t xml:space="preserve"> disease,</w:t>
      </w:r>
      <w:r w:rsidR="00A94794">
        <w:t xml:space="preserve"> cancer, </w:t>
      </w:r>
      <w:r w:rsidR="00671603">
        <w:t>chronic respiratory</w:t>
      </w:r>
      <w:r w:rsidR="00C26AC1">
        <w:t xml:space="preserve"> diseases and diabetes</w:t>
      </w:r>
      <w:r w:rsidR="00DA564F">
        <w:t xml:space="preserve"> </w:t>
      </w:r>
      <w:r w:rsidR="001654CA" w:rsidRPr="001654CA">
        <w:rPr>
          <w:rFonts w:cs="Calibri"/>
        </w:rPr>
        <w:t>(World Health Organization 2013)</w:t>
      </w:r>
      <w:r w:rsidR="00713198">
        <w:t xml:space="preserve">, with a 25 percent reduction in </w:t>
      </w:r>
      <w:r w:rsidR="00C71DB1">
        <w:t xml:space="preserve">overall mortality due to these conditions being the outcome indicator for the WHO’s </w:t>
      </w:r>
      <w:r w:rsidR="008732FF">
        <w:t xml:space="preserve">NCDs </w:t>
      </w:r>
      <w:r w:rsidR="00C71DB1">
        <w:t>Global Monitoring Framework</w:t>
      </w:r>
      <w:r w:rsidR="008732FF">
        <w:t xml:space="preserve"> </w:t>
      </w:r>
      <w:r w:rsidR="001654CA" w:rsidRPr="001654CA">
        <w:rPr>
          <w:rFonts w:cs="Calibri"/>
        </w:rPr>
        <w:t>(World Health Organization 2014)</w:t>
      </w:r>
      <w:r w:rsidR="000D5F55">
        <w:t xml:space="preserve">. </w:t>
      </w:r>
    </w:p>
    <w:p w14:paraId="36D49C8F" w14:textId="793CE268" w:rsidR="00E218F0" w:rsidRPr="00731CA6" w:rsidRDefault="00E218F0" w:rsidP="00E218F0">
      <w:pPr>
        <w:pStyle w:val="FigureCaption"/>
      </w:pPr>
      <w:bookmarkStart w:id="45" w:name="_Toc98760532"/>
      <w:r w:rsidRPr="00731CA6">
        <w:t>Figure </w:t>
      </w:r>
      <w:r>
        <w:fldChar w:fldCharType="begin"/>
      </w:r>
      <w:r>
        <w:instrText>SEQ Figure \* ARABIC</w:instrText>
      </w:r>
      <w:r>
        <w:fldChar w:fldCharType="separate"/>
      </w:r>
      <w:r w:rsidR="002C631E">
        <w:rPr>
          <w:noProof/>
        </w:rPr>
        <w:t>1</w:t>
      </w:r>
      <w:r>
        <w:fldChar w:fldCharType="end"/>
      </w:r>
      <w:r w:rsidRPr="00731CA6">
        <w:t xml:space="preserve"> </w:t>
      </w:r>
      <w:r w:rsidR="008B5F45">
        <w:t>WHO’s focus on modifiable risk factors</w:t>
      </w:r>
      <w:bookmarkEnd w:id="45"/>
    </w:p>
    <w:p w14:paraId="43A6E7CD" w14:textId="77777777" w:rsidR="00E218F0" w:rsidRDefault="00E218F0" w:rsidP="00AF6D80">
      <w:pPr>
        <w:pStyle w:val="CaptionSubheading"/>
      </w:pPr>
    </w:p>
    <w:p w14:paraId="7D889B59" w14:textId="3586AB76" w:rsidR="00D9773F" w:rsidRDefault="0086262B" w:rsidP="00DF20F5">
      <w:pPr>
        <w:pStyle w:val="USBodyText"/>
      </w:pPr>
      <w:r w:rsidRPr="0086262B">
        <w:rPr>
          <w:noProof/>
        </w:rPr>
        <w:drawing>
          <wp:inline distT="0" distB="0" distL="0" distR="0" wp14:anchorId="3D3CEE2E" wp14:editId="60E6FFD0">
            <wp:extent cx="4240050" cy="2952750"/>
            <wp:effectExtent l="0" t="0" r="8255" b="0"/>
            <wp:docPr id="52" name="Picture 52" descr="Figure 1 WHO’s focus on modifiable risk facto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1 WHO’s focus on modifiable risk factors">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3195" cy="2954940"/>
                    </a:xfrm>
                    <a:prstGeom prst="rect">
                      <a:avLst/>
                    </a:prstGeom>
                    <a:noFill/>
                    <a:ln>
                      <a:noFill/>
                    </a:ln>
                  </pic:spPr>
                </pic:pic>
              </a:graphicData>
            </a:graphic>
          </wp:inline>
        </w:drawing>
      </w:r>
    </w:p>
    <w:p w14:paraId="1269A992" w14:textId="09897930" w:rsidR="00D9773F" w:rsidRDefault="00D9773F" w:rsidP="00AF6D80">
      <w:pPr>
        <w:pStyle w:val="USSource"/>
      </w:pPr>
      <w:r>
        <w:t>Source:</w:t>
      </w:r>
      <w:r w:rsidR="00A8562E">
        <w:t xml:space="preserve"> </w:t>
      </w:r>
      <w:r w:rsidR="00A8562E" w:rsidRPr="00A8562E">
        <w:rPr>
          <w:rFonts w:cs="Calibri"/>
        </w:rPr>
        <w:t xml:space="preserve">GACD </w:t>
      </w:r>
      <w:r w:rsidR="00E070B3">
        <w:rPr>
          <w:rFonts w:cs="Calibri"/>
        </w:rPr>
        <w:t>(</w:t>
      </w:r>
      <w:r w:rsidR="00A8562E" w:rsidRPr="00A8562E">
        <w:rPr>
          <w:rFonts w:cs="Calibri"/>
        </w:rPr>
        <w:t>n.d.)</w:t>
      </w:r>
      <w:r w:rsidR="00617436">
        <w:t xml:space="preserve"> </w:t>
      </w:r>
    </w:p>
    <w:p w14:paraId="5972C9F5" w14:textId="165E4D35" w:rsidR="00AA7A3A" w:rsidRDefault="004B5E93" w:rsidP="00DF20F5">
      <w:pPr>
        <w:pStyle w:val="USBodyText"/>
      </w:pPr>
      <w:r>
        <w:lastRenderedPageBreak/>
        <w:t>Other components of the</w:t>
      </w:r>
      <w:r w:rsidR="00AA7A3A">
        <w:t xml:space="preserve"> WHO</w:t>
      </w:r>
      <w:r>
        <w:t>’s work</w:t>
      </w:r>
      <w:r w:rsidR="00AA7A3A">
        <w:t xml:space="preserve"> also acknowledge that </w:t>
      </w:r>
      <w:r w:rsidR="0089559F">
        <w:t>many other conditions</w:t>
      </w:r>
      <w:r w:rsidR="00AA7A3A">
        <w:t xml:space="preserve"> are important to </w:t>
      </w:r>
      <w:r w:rsidR="00AA7A3A" w:rsidRPr="00AA7A3A">
        <w:t>public health</w:t>
      </w:r>
      <w:r>
        <w:t>, including</w:t>
      </w:r>
      <w:r w:rsidR="007530AE">
        <w:t xml:space="preserve"> other NCDs </w:t>
      </w:r>
      <w:r w:rsidR="0089559F">
        <w:t>–</w:t>
      </w:r>
      <w:r w:rsidR="007530AE">
        <w:t xml:space="preserve"> renal</w:t>
      </w:r>
      <w:r w:rsidR="00AA7A3A" w:rsidRPr="00AA7A3A">
        <w:t>, endocrine, neurological, haematological, gastroenterological, hepatic, musculoskeletal, skin and oral diseases, and genetic disorders; mental disorders; disabilities, including blindness and deafness; and violence and injuries</w:t>
      </w:r>
      <w:r w:rsidR="00F7419A">
        <w:t>.</w:t>
      </w:r>
    </w:p>
    <w:p w14:paraId="519441C0" w14:textId="51C03C98" w:rsidR="00643999" w:rsidRDefault="00643999" w:rsidP="002E10F0">
      <w:pPr>
        <w:pStyle w:val="Heading2"/>
      </w:pPr>
      <w:bookmarkStart w:id="46" w:name="_Toc98760517"/>
      <w:r>
        <w:t>The Global Alliance for Chronic Disease</w:t>
      </w:r>
      <w:r w:rsidR="002F53C9">
        <w:t xml:space="preserve"> 5 types of NCDs</w:t>
      </w:r>
      <w:bookmarkEnd w:id="46"/>
    </w:p>
    <w:p w14:paraId="56E16F61" w14:textId="1FD966B9" w:rsidR="002F53C9" w:rsidRDefault="005A6656" w:rsidP="005A6656">
      <w:pPr>
        <w:pStyle w:val="USBodyText"/>
      </w:pPr>
      <w:r>
        <w:t xml:space="preserve">The GACD is an organisation that brings together the world’s biggest public research funding agencies to coordinate and support research </w:t>
      </w:r>
      <w:r w:rsidR="00CA5E4B">
        <w:t>on the</w:t>
      </w:r>
      <w:r>
        <w:t xml:space="preserve"> prevention and treatment of NCD</w:t>
      </w:r>
      <w:r w:rsidR="00CA5E4B">
        <w:t>s</w:t>
      </w:r>
      <w:r>
        <w:t>.</w:t>
      </w:r>
      <w:r w:rsidR="00CA5E4B">
        <w:t xml:space="preserve"> The GACD identifies five major NCD </w:t>
      </w:r>
      <w:r w:rsidR="008C0211">
        <w:t>groups</w:t>
      </w:r>
      <w:r w:rsidR="006730E0">
        <w:t xml:space="preserve"> of concern</w:t>
      </w:r>
      <w:r w:rsidR="008C0211">
        <w:t>:</w:t>
      </w:r>
    </w:p>
    <w:p w14:paraId="28A24D1B" w14:textId="3D2F6291" w:rsidR="008C0211" w:rsidRDefault="004B13C6" w:rsidP="008C0211">
      <w:pPr>
        <w:pStyle w:val="USBullet1"/>
      </w:pPr>
      <w:r>
        <w:t>l</w:t>
      </w:r>
      <w:r w:rsidR="008C0211">
        <w:t>ung diseases</w:t>
      </w:r>
    </w:p>
    <w:p w14:paraId="48078CEC" w14:textId="3CEE4759" w:rsidR="008C0211" w:rsidRDefault="004B13C6" w:rsidP="008C0211">
      <w:pPr>
        <w:pStyle w:val="USBullet1"/>
      </w:pPr>
      <w:r>
        <w:t>c</w:t>
      </w:r>
      <w:r w:rsidR="008C0211">
        <w:t>ancers</w:t>
      </w:r>
    </w:p>
    <w:p w14:paraId="03F79A55" w14:textId="11DE5129" w:rsidR="008C0211" w:rsidRDefault="004B13C6" w:rsidP="008C0211">
      <w:pPr>
        <w:pStyle w:val="USBullet1"/>
      </w:pPr>
      <w:r>
        <w:t>c</w:t>
      </w:r>
      <w:r w:rsidR="008C0211">
        <w:t>ardiovascular diseases</w:t>
      </w:r>
    </w:p>
    <w:p w14:paraId="58F7E7A9" w14:textId="53F9AF38" w:rsidR="008C0211" w:rsidRDefault="004B13C6" w:rsidP="008C0211">
      <w:pPr>
        <w:pStyle w:val="USBullet1"/>
      </w:pPr>
      <w:r>
        <w:t>m</w:t>
      </w:r>
      <w:r w:rsidR="008C0211">
        <w:t>ental disorders</w:t>
      </w:r>
    </w:p>
    <w:p w14:paraId="5CA04EA9" w14:textId="63D18955" w:rsidR="008C0211" w:rsidRDefault="000949AF" w:rsidP="008C0211">
      <w:pPr>
        <w:pStyle w:val="USBullet1"/>
      </w:pPr>
      <w:r>
        <w:t>t</w:t>
      </w:r>
      <w:r w:rsidR="008C0211">
        <w:t>ype 2 diabetes</w:t>
      </w:r>
      <w:r w:rsidR="0089559F">
        <w:t>.</w:t>
      </w:r>
    </w:p>
    <w:p w14:paraId="06339C3E" w14:textId="343D579D" w:rsidR="00FD200A" w:rsidRDefault="00FD200A" w:rsidP="00FD200A">
      <w:pPr>
        <w:pStyle w:val="FigureCaption"/>
      </w:pPr>
      <w:bookmarkStart w:id="47" w:name="_Toc98760533"/>
      <w:bookmarkStart w:id="48" w:name="_Hlk85569521"/>
      <w:r w:rsidRPr="00731CA6">
        <w:t>Figure </w:t>
      </w:r>
      <w:r>
        <w:fldChar w:fldCharType="begin"/>
      </w:r>
      <w:r>
        <w:instrText>SEQ Figure \* ARABIC</w:instrText>
      </w:r>
      <w:r>
        <w:fldChar w:fldCharType="separate"/>
      </w:r>
      <w:r w:rsidR="002C631E">
        <w:rPr>
          <w:noProof/>
        </w:rPr>
        <w:t>2</w:t>
      </w:r>
      <w:r>
        <w:fldChar w:fldCharType="end"/>
      </w:r>
      <w:r>
        <w:t xml:space="preserve"> </w:t>
      </w:r>
      <w:r w:rsidRPr="008C0211">
        <w:t>Global Alliance for Chronic Disease 5 types of NCDs</w:t>
      </w:r>
      <w:bookmarkEnd w:id="47"/>
    </w:p>
    <w:bookmarkEnd w:id="48"/>
    <w:p w14:paraId="06DEE6C1" w14:textId="56D9908D" w:rsidR="00FF7037" w:rsidRDefault="00FF7037" w:rsidP="008C0211">
      <w:pPr>
        <w:pStyle w:val="USBodyText"/>
        <w:keepNext/>
      </w:pPr>
      <w:r>
        <w:rPr>
          <w:noProof/>
        </w:rPr>
        <w:drawing>
          <wp:inline distT="0" distB="0" distL="0" distR="0" wp14:anchorId="1B03B8A8" wp14:editId="5F745B9F">
            <wp:extent cx="3028950" cy="2874681"/>
            <wp:effectExtent l="0" t="0" r="0" b="1905"/>
            <wp:docPr id="21" name="Picture 21" descr="Figure 2 Global Alliance for Chronic Disease 5 types of NC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Global Alliance for Chronic Disease 5 types of NCDs">
                      <a:extLst>
                        <a:ext uri="{C183D7F6-B498-43B3-948B-1728B52AA6E4}">
                          <adec:decorative xmlns:adec="http://schemas.microsoft.com/office/drawing/2017/decorative" val="0"/>
                        </a:ext>
                      </a:extLst>
                    </pic:cNvPr>
                    <pic:cNvPicPr/>
                  </pic:nvPicPr>
                  <pic:blipFill>
                    <a:blip r:embed="rId27"/>
                    <a:stretch>
                      <a:fillRect/>
                    </a:stretch>
                  </pic:blipFill>
                  <pic:spPr>
                    <a:xfrm>
                      <a:off x="0" y="0"/>
                      <a:ext cx="3043344" cy="2888342"/>
                    </a:xfrm>
                    <a:prstGeom prst="rect">
                      <a:avLst/>
                    </a:prstGeom>
                  </pic:spPr>
                </pic:pic>
              </a:graphicData>
            </a:graphic>
          </wp:inline>
        </w:drawing>
      </w:r>
    </w:p>
    <w:p w14:paraId="738B6283" w14:textId="41A9B4CB" w:rsidR="00FF7037" w:rsidRPr="002F53C9" w:rsidRDefault="00915FD5" w:rsidP="008C0211">
      <w:pPr>
        <w:pStyle w:val="USSource"/>
      </w:pPr>
      <w:r>
        <w:t xml:space="preserve">Source: </w:t>
      </w:r>
      <w:r w:rsidR="00F53C81" w:rsidRPr="00A8562E">
        <w:rPr>
          <w:rFonts w:cs="Calibri"/>
        </w:rPr>
        <w:t xml:space="preserve">GACD </w:t>
      </w:r>
      <w:r w:rsidR="00F53C81">
        <w:rPr>
          <w:rFonts w:cs="Calibri"/>
        </w:rPr>
        <w:t>(</w:t>
      </w:r>
      <w:r w:rsidR="00F53C81" w:rsidRPr="00A8562E">
        <w:rPr>
          <w:rFonts w:cs="Calibri"/>
        </w:rPr>
        <w:t>n.d.)</w:t>
      </w:r>
      <w:r>
        <w:t xml:space="preserve"> </w:t>
      </w:r>
    </w:p>
    <w:p w14:paraId="14EC3792" w14:textId="5F366F04" w:rsidR="00EF7B63" w:rsidRDefault="00EF7B63" w:rsidP="002E10F0">
      <w:pPr>
        <w:pStyle w:val="Heading2"/>
      </w:pPr>
      <w:bookmarkStart w:id="49" w:name="_Toc98760518"/>
      <w:r>
        <w:t>Mortality burden</w:t>
      </w:r>
      <w:bookmarkEnd w:id="49"/>
    </w:p>
    <w:p w14:paraId="0CC5FFCC" w14:textId="5DE48864" w:rsidR="00DC4F30" w:rsidRDefault="00DC4F30" w:rsidP="00DC4F30">
      <w:pPr>
        <w:pStyle w:val="USBodyText"/>
      </w:pPr>
      <w:r>
        <w:t xml:space="preserve">The Global Burden of Disease Study 2009 and 2019 identified the leading causes of death in New Zealand as being almost exclusively non-communicable diseases, with </w:t>
      </w:r>
      <w:r w:rsidR="00FD200A">
        <w:t>isc</w:t>
      </w:r>
      <w:r>
        <w:t>haemic heart disease, stroke and COPD forming the top three in both years and lung cancer – in fourth place in 2009 – passed by Alzheimer’s disease in 2019. Three other cancers appear in the top 10, confirming cancer’s p</w:t>
      </w:r>
      <w:r w:rsidR="00523D5F">
        <w:t>osition</w:t>
      </w:r>
      <w:r>
        <w:t xml:space="preserve"> as a major driver of mortality. </w:t>
      </w:r>
    </w:p>
    <w:p w14:paraId="22F2ED3C" w14:textId="135F13D7" w:rsidR="00DC4F30" w:rsidRPr="00731CA6" w:rsidRDefault="00DC4F30" w:rsidP="00DC4F30">
      <w:pPr>
        <w:pStyle w:val="FigureCaption"/>
      </w:pPr>
      <w:bookmarkStart w:id="50" w:name="_Toc98760534"/>
      <w:bookmarkStart w:id="51" w:name="_Hlk85569506"/>
      <w:r w:rsidRPr="00731CA6">
        <w:lastRenderedPageBreak/>
        <w:t>Figure </w:t>
      </w:r>
      <w:r>
        <w:fldChar w:fldCharType="begin"/>
      </w:r>
      <w:r>
        <w:instrText>SEQ Figure \* ARABIC</w:instrText>
      </w:r>
      <w:r>
        <w:fldChar w:fldCharType="separate"/>
      </w:r>
      <w:r w:rsidR="002C631E">
        <w:rPr>
          <w:noProof/>
        </w:rPr>
        <w:t>3</w:t>
      </w:r>
      <w:r>
        <w:fldChar w:fldCharType="end"/>
      </w:r>
      <w:r w:rsidRPr="00731CA6">
        <w:t xml:space="preserve"> </w:t>
      </w:r>
      <w:r>
        <w:t>Leading causes of death in New Zealand, 2009</w:t>
      </w:r>
      <w:r w:rsidR="00DB0219">
        <w:t>–</w:t>
      </w:r>
      <w:r>
        <w:t>2019</w:t>
      </w:r>
      <w:bookmarkEnd w:id="50"/>
    </w:p>
    <w:bookmarkEnd w:id="51"/>
    <w:p w14:paraId="5C83CC25" w14:textId="77777777" w:rsidR="00DC4F30" w:rsidRDefault="00DC4F30" w:rsidP="00DC4F30">
      <w:pPr>
        <w:pStyle w:val="USPlaceholder"/>
      </w:pPr>
      <w:r>
        <w:drawing>
          <wp:inline distT="0" distB="0" distL="0" distR="0" wp14:anchorId="6CECB409" wp14:editId="33E825AC">
            <wp:extent cx="5476875" cy="2124075"/>
            <wp:effectExtent l="0" t="0" r="9525" b="9525"/>
            <wp:docPr id="14" name="Picture 14" descr="Leading cause of death in NZ 2009-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ading cause of death in NZ 2009-2019"/>
                    <pic:cNvPicPr/>
                  </pic:nvPicPr>
                  <pic:blipFill>
                    <a:blip r:embed="rId28"/>
                    <a:stretch>
                      <a:fillRect/>
                    </a:stretch>
                  </pic:blipFill>
                  <pic:spPr>
                    <a:xfrm>
                      <a:off x="0" y="0"/>
                      <a:ext cx="5476875" cy="2124075"/>
                    </a:xfrm>
                    <a:prstGeom prst="rect">
                      <a:avLst/>
                    </a:prstGeom>
                  </pic:spPr>
                </pic:pic>
              </a:graphicData>
            </a:graphic>
          </wp:inline>
        </w:drawing>
      </w:r>
    </w:p>
    <w:p w14:paraId="473B8DDE" w14:textId="77777777" w:rsidR="00DC4F30" w:rsidRPr="00731CA6" w:rsidRDefault="00DC4F30" w:rsidP="00DC4F30">
      <w:pPr>
        <w:pStyle w:val="USPlaceholder"/>
      </w:pPr>
      <w:r>
        <w:drawing>
          <wp:inline distT="0" distB="0" distL="0" distR="0" wp14:anchorId="1F7A2879" wp14:editId="0CD3F118">
            <wp:extent cx="3228975" cy="638175"/>
            <wp:effectExtent l="0" t="0" r="9525" b="9525"/>
            <wp:docPr id="15" name="Picture 1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egend"/>
                    <pic:cNvPicPr/>
                  </pic:nvPicPr>
                  <pic:blipFill>
                    <a:blip r:embed="rId29"/>
                    <a:stretch>
                      <a:fillRect/>
                    </a:stretch>
                  </pic:blipFill>
                  <pic:spPr>
                    <a:xfrm>
                      <a:off x="0" y="0"/>
                      <a:ext cx="3228975" cy="638175"/>
                    </a:xfrm>
                    <a:prstGeom prst="rect">
                      <a:avLst/>
                    </a:prstGeom>
                  </pic:spPr>
                </pic:pic>
              </a:graphicData>
            </a:graphic>
          </wp:inline>
        </w:drawing>
      </w:r>
    </w:p>
    <w:p w14:paraId="52BE631A" w14:textId="0F94E608" w:rsidR="00DC4F30" w:rsidRDefault="00DC4F30" w:rsidP="00DC4F30">
      <w:pPr>
        <w:pStyle w:val="USSource"/>
      </w:pPr>
      <w:r w:rsidRPr="00731CA6">
        <w:t>Source:</w:t>
      </w:r>
      <w:r w:rsidR="009C2AEB">
        <w:t xml:space="preserve"> </w:t>
      </w:r>
      <w:r w:rsidR="009C2AEB" w:rsidRPr="009C2AEB">
        <w:rPr>
          <w:rFonts w:cs="Calibri"/>
        </w:rPr>
        <w:t xml:space="preserve">IHME </w:t>
      </w:r>
      <w:r w:rsidR="00B376ED">
        <w:rPr>
          <w:rFonts w:cs="Calibri"/>
        </w:rPr>
        <w:t>(</w:t>
      </w:r>
      <w:r w:rsidR="009C2AEB" w:rsidRPr="009C2AEB">
        <w:rPr>
          <w:rFonts w:cs="Calibri"/>
        </w:rPr>
        <w:t>2015)</w:t>
      </w:r>
    </w:p>
    <w:p w14:paraId="74CCFC2A" w14:textId="767E680A" w:rsidR="005E159B" w:rsidRPr="005E159B" w:rsidRDefault="005E159B" w:rsidP="002E10F0">
      <w:pPr>
        <w:pStyle w:val="Heading2"/>
      </w:pPr>
      <w:bookmarkStart w:id="52" w:name="_Toc85638917"/>
      <w:bookmarkStart w:id="53" w:name="_Toc85638991"/>
      <w:bookmarkStart w:id="54" w:name="_Toc85641104"/>
      <w:bookmarkStart w:id="55" w:name="_Toc98760519"/>
      <w:bookmarkEnd w:id="52"/>
      <w:bookmarkEnd w:id="53"/>
      <w:bookmarkEnd w:id="54"/>
      <w:r>
        <w:t>D</w:t>
      </w:r>
      <w:r w:rsidR="00296EA8">
        <w:t>isa</w:t>
      </w:r>
      <w:r w:rsidR="00EA6948">
        <w:t>bility</w:t>
      </w:r>
      <w:r w:rsidR="009C73B7">
        <w:t xml:space="preserve"> burden</w:t>
      </w:r>
      <w:bookmarkEnd w:id="55"/>
    </w:p>
    <w:p w14:paraId="78AAC898" w14:textId="765A67C2" w:rsidR="003A7174" w:rsidRDefault="003A7174" w:rsidP="003A7174">
      <w:pPr>
        <w:pStyle w:val="USBodyText"/>
      </w:pPr>
      <w:bookmarkStart w:id="56" w:name="_Hlk76725602"/>
      <w:r>
        <w:t>The WHO</w:t>
      </w:r>
      <w:r w:rsidR="001A5540">
        <w:t>’s</w:t>
      </w:r>
      <w:r>
        <w:t xml:space="preserve"> focus on the </w:t>
      </w:r>
      <w:r w:rsidR="00DB0219">
        <w:t>‘</w:t>
      </w:r>
      <w:r>
        <w:t>big four</w:t>
      </w:r>
      <w:r w:rsidR="00DB0219">
        <w:t>’</w:t>
      </w:r>
      <w:r>
        <w:t xml:space="preserve"> NCDs (cancer</w:t>
      </w:r>
      <w:r w:rsidRPr="0047213C">
        <w:t>,</w:t>
      </w:r>
      <w:r>
        <w:t xml:space="preserve"> chronic respiratory conditions</w:t>
      </w:r>
      <w:r w:rsidRPr="0047213C">
        <w:t xml:space="preserve">, cardiovascular </w:t>
      </w:r>
      <w:r w:rsidR="00643F09" w:rsidRPr="0047213C">
        <w:t>disease,</w:t>
      </w:r>
      <w:r w:rsidRPr="0047213C">
        <w:t xml:space="preserve"> and diabetes</w:t>
      </w:r>
      <w:r>
        <w:t>) is largely driven by the role these conditions play in NCD deaths. Together, 80 percent of all NCD deaths</w:t>
      </w:r>
      <w:r w:rsidRPr="00565CFA">
        <w:t xml:space="preserve"> </w:t>
      </w:r>
      <w:r>
        <w:t xml:space="preserve">are attributed to </w:t>
      </w:r>
      <w:r w:rsidRPr="00565CFA">
        <w:t>the big four</w:t>
      </w:r>
      <w:r>
        <w:t>.</w:t>
      </w:r>
    </w:p>
    <w:p w14:paraId="4ADE5712" w14:textId="05D46D1A" w:rsidR="003A7174" w:rsidRDefault="003A7174" w:rsidP="003A7174">
      <w:pPr>
        <w:pStyle w:val="FigureCaption"/>
      </w:pPr>
      <w:bookmarkStart w:id="57" w:name="_Toc98760535"/>
      <w:r w:rsidRPr="00731CA6">
        <w:t>Figure </w:t>
      </w:r>
      <w:r>
        <w:fldChar w:fldCharType="begin"/>
      </w:r>
      <w:r>
        <w:instrText>SEQ Figure \* ARABIC</w:instrText>
      </w:r>
      <w:r>
        <w:fldChar w:fldCharType="separate"/>
      </w:r>
      <w:r w:rsidR="002C631E">
        <w:rPr>
          <w:noProof/>
        </w:rPr>
        <w:t>4</w:t>
      </w:r>
      <w:r>
        <w:fldChar w:fldCharType="end"/>
      </w:r>
      <w:r>
        <w:t xml:space="preserve"> NCD deaths attributable to the </w:t>
      </w:r>
      <w:r w:rsidR="001A5540">
        <w:t>‘</w:t>
      </w:r>
      <w:r>
        <w:t>big four</w:t>
      </w:r>
      <w:r w:rsidR="001A5540">
        <w:t xml:space="preserve">’ </w:t>
      </w:r>
      <w:r>
        <w:t>NCDs</w:t>
      </w:r>
      <w:bookmarkEnd w:id="57"/>
    </w:p>
    <w:p w14:paraId="4EBF3504" w14:textId="77777777" w:rsidR="003A7174" w:rsidRDefault="003A7174" w:rsidP="003A7174">
      <w:pPr>
        <w:pStyle w:val="USBodyText"/>
      </w:pPr>
      <w:r>
        <w:rPr>
          <w:noProof/>
        </w:rPr>
        <w:drawing>
          <wp:inline distT="0" distB="0" distL="0" distR="0" wp14:anchorId="2DAEE6A8" wp14:editId="4297C0C3">
            <wp:extent cx="3694599" cy="3440430"/>
            <wp:effectExtent l="0" t="0" r="1270" b="7620"/>
            <wp:docPr id="25" name="Picture 25" descr="NCD deaths attributable to the ‘big four’ N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CD deaths attributable to the ‘big four’ NCDs"/>
                    <pic:cNvPicPr/>
                  </pic:nvPicPr>
                  <pic:blipFill>
                    <a:blip r:embed="rId30"/>
                    <a:stretch>
                      <a:fillRect/>
                    </a:stretch>
                  </pic:blipFill>
                  <pic:spPr>
                    <a:xfrm>
                      <a:off x="0" y="0"/>
                      <a:ext cx="3727874" cy="3471415"/>
                    </a:xfrm>
                    <a:prstGeom prst="rect">
                      <a:avLst/>
                    </a:prstGeom>
                  </pic:spPr>
                </pic:pic>
              </a:graphicData>
            </a:graphic>
          </wp:inline>
        </w:drawing>
      </w:r>
    </w:p>
    <w:p w14:paraId="1861AE60" w14:textId="6AEEDB96" w:rsidR="003A7174" w:rsidRDefault="003A7174" w:rsidP="003A7174">
      <w:pPr>
        <w:pStyle w:val="USSource"/>
      </w:pPr>
      <w:r>
        <w:t xml:space="preserve">Source: </w:t>
      </w:r>
      <w:r w:rsidR="00A671C8" w:rsidRPr="00A671C8">
        <w:rPr>
          <w:rFonts w:cs="Calibri"/>
        </w:rPr>
        <w:t xml:space="preserve">World Health Organization </w:t>
      </w:r>
      <w:r w:rsidR="00A671C8">
        <w:rPr>
          <w:rFonts w:cs="Calibri"/>
        </w:rPr>
        <w:t>(</w:t>
      </w:r>
      <w:r w:rsidR="00A671C8" w:rsidRPr="00A671C8">
        <w:rPr>
          <w:rFonts w:cs="Calibri"/>
        </w:rPr>
        <w:t>2018)</w:t>
      </w:r>
    </w:p>
    <w:p w14:paraId="766B5D22" w14:textId="77777777" w:rsidR="003A7174" w:rsidRDefault="003A7174" w:rsidP="003A7174">
      <w:pPr>
        <w:pStyle w:val="USBodyText"/>
      </w:pPr>
      <w:r>
        <w:lastRenderedPageBreak/>
        <w:t xml:space="preserve">However, mortality is only one dimension of the burden of NCDs. Many NCDs with a relatively low mortality burden are nevertheless associated with a significant morbidity burden, which can have substantial social and economic impacts. </w:t>
      </w:r>
    </w:p>
    <w:p w14:paraId="0FE0CD67" w14:textId="594F78A7" w:rsidR="003A7174" w:rsidRPr="0047213C" w:rsidRDefault="003A7174" w:rsidP="003A7174">
      <w:pPr>
        <w:pStyle w:val="USBodyText"/>
      </w:pPr>
      <w:r>
        <w:t>According to Lopez et al</w:t>
      </w:r>
      <w:r w:rsidR="001A5540">
        <w:t>.</w:t>
      </w:r>
      <w:r>
        <w:t xml:space="preserve"> </w:t>
      </w:r>
      <w:r w:rsidR="001654CA" w:rsidRPr="001654CA">
        <w:rPr>
          <w:rFonts w:cs="Calibri"/>
        </w:rPr>
        <w:t>(2014)</w:t>
      </w:r>
      <w:r w:rsidR="00DC5C9C">
        <w:t>,</w:t>
      </w:r>
      <w:r>
        <w:t xml:space="preserve"> while</w:t>
      </w:r>
      <w:r w:rsidRPr="0047213C">
        <w:t xml:space="preserve"> </w:t>
      </w:r>
      <w:r>
        <w:t>cancer</w:t>
      </w:r>
      <w:r w:rsidRPr="0047213C">
        <w:t>,</w:t>
      </w:r>
      <w:r>
        <w:t xml:space="preserve"> </w:t>
      </w:r>
      <w:r w:rsidRPr="0047213C">
        <w:t>COPD, cardiovascular disease and diabetes cause much</w:t>
      </w:r>
      <w:r>
        <w:t xml:space="preserve"> </w:t>
      </w:r>
      <w:r w:rsidRPr="0047213C">
        <w:t>health loss worldwide, more of the global NCD burden</w:t>
      </w:r>
      <w:r>
        <w:t xml:space="preserve"> </w:t>
      </w:r>
      <w:r w:rsidRPr="0047213C">
        <w:t>(55</w:t>
      </w:r>
      <w:r w:rsidR="00230170">
        <w:t xml:space="preserve"> percent</w:t>
      </w:r>
      <w:r w:rsidRPr="0047213C">
        <w:t>) arises from other NCDs. These include a diverse</w:t>
      </w:r>
      <w:r>
        <w:t xml:space="preserve"> </w:t>
      </w:r>
      <w:r w:rsidRPr="0047213C">
        <w:t>set of causes and conditions, but among the more important</w:t>
      </w:r>
      <w:r>
        <w:t xml:space="preserve"> </w:t>
      </w:r>
      <w:r w:rsidRPr="0047213C">
        <w:t>are musculoskeletal disorders, especially low</w:t>
      </w:r>
      <w:r>
        <w:t xml:space="preserve"> </w:t>
      </w:r>
      <w:r w:rsidRPr="0047213C">
        <w:t>back and neck pain, depression, substance use disorders,</w:t>
      </w:r>
      <w:r>
        <w:t xml:space="preserve"> </w:t>
      </w:r>
      <w:r w:rsidRPr="0047213C">
        <w:t>cirrhosis of the liver, chronic kidney disease, asthma,</w:t>
      </w:r>
      <w:r>
        <w:t xml:space="preserve"> </w:t>
      </w:r>
      <w:r w:rsidRPr="0047213C">
        <w:t>various digestive diseases</w:t>
      </w:r>
      <w:r w:rsidR="00DC5C9C">
        <w:t>,</w:t>
      </w:r>
      <w:r w:rsidRPr="0047213C">
        <w:t xml:space="preserve"> including peptic ulcer, anxiety</w:t>
      </w:r>
      <w:r>
        <w:t xml:space="preserve"> </w:t>
      </w:r>
      <w:r w:rsidRPr="0047213C">
        <w:t>disorders, congenital anomalies and haemoglobinopathies.</w:t>
      </w:r>
    </w:p>
    <w:p w14:paraId="3E349932" w14:textId="47E0F648" w:rsidR="003A7174" w:rsidRDefault="003A7174" w:rsidP="003A7174">
      <w:pPr>
        <w:pStyle w:val="USBodyText"/>
      </w:pPr>
      <w:r w:rsidRPr="0047213C">
        <w:t>Unlike the ‘big four’ NCDs, many of these conditions</w:t>
      </w:r>
      <w:r>
        <w:t xml:space="preserve"> </w:t>
      </w:r>
      <w:r w:rsidRPr="0047213C">
        <w:t xml:space="preserve">cause more health loss through </w:t>
      </w:r>
      <w:r>
        <w:t>c</w:t>
      </w:r>
      <w:r w:rsidRPr="0047213C">
        <w:t>hronic disability</w:t>
      </w:r>
      <w:r>
        <w:t xml:space="preserve"> </w:t>
      </w:r>
      <w:r w:rsidRPr="0047213C">
        <w:t>than premature death</w:t>
      </w:r>
      <w:r>
        <w:t>.</w:t>
      </w:r>
    </w:p>
    <w:p w14:paraId="02E5F686" w14:textId="537E4D27" w:rsidR="003A7174" w:rsidRPr="00731CA6" w:rsidRDefault="003A7174" w:rsidP="003A7174">
      <w:pPr>
        <w:pStyle w:val="FigureCaption"/>
      </w:pPr>
      <w:bookmarkStart w:id="58" w:name="_Toc98760536"/>
      <w:r w:rsidRPr="00731CA6">
        <w:t>Figure </w:t>
      </w:r>
      <w:r>
        <w:fldChar w:fldCharType="begin"/>
      </w:r>
      <w:r>
        <w:instrText>SEQ Figure \* ARABIC</w:instrText>
      </w:r>
      <w:r>
        <w:fldChar w:fldCharType="separate"/>
      </w:r>
      <w:r w:rsidR="002C631E">
        <w:rPr>
          <w:noProof/>
        </w:rPr>
        <w:t>5</w:t>
      </w:r>
      <w:r>
        <w:fldChar w:fldCharType="end"/>
      </w:r>
      <w:r w:rsidRPr="00731CA6">
        <w:t xml:space="preserve"> </w:t>
      </w:r>
      <w:r>
        <w:t>Global burden of NCDs in terms of DALYs</w:t>
      </w:r>
      <w:bookmarkEnd w:id="58"/>
    </w:p>
    <w:p w14:paraId="4B2F209C" w14:textId="77777777" w:rsidR="003A7174" w:rsidRDefault="003A7174" w:rsidP="003A7174">
      <w:pPr>
        <w:pStyle w:val="USSource"/>
      </w:pPr>
      <w:r w:rsidRPr="00DE0E68">
        <w:rPr>
          <w:noProof/>
        </w:rPr>
        <w:drawing>
          <wp:inline distT="0" distB="0" distL="0" distR="0" wp14:anchorId="32C6FA6C" wp14:editId="793F2707">
            <wp:extent cx="4654868" cy="3171825"/>
            <wp:effectExtent l="0" t="0" r="0" b="0"/>
            <wp:docPr id="11" name="Picture 11" descr="Figure 5 Global burden of NCDs in terms of DALY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Global burden of NCDs in terms of DALYs">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042" cy="3173306"/>
                    </a:xfrm>
                    <a:prstGeom prst="rect">
                      <a:avLst/>
                    </a:prstGeom>
                    <a:noFill/>
                    <a:ln>
                      <a:noFill/>
                    </a:ln>
                  </pic:spPr>
                </pic:pic>
              </a:graphicData>
            </a:graphic>
          </wp:inline>
        </w:drawing>
      </w:r>
    </w:p>
    <w:p w14:paraId="6A02E7C6" w14:textId="23702F63" w:rsidR="003A7174" w:rsidRPr="00731CA6" w:rsidRDefault="003A7174" w:rsidP="003A7174">
      <w:pPr>
        <w:pStyle w:val="USSource"/>
      </w:pPr>
      <w:r w:rsidRPr="00731CA6">
        <w:t xml:space="preserve">Source: </w:t>
      </w:r>
      <w:r>
        <w:t xml:space="preserve">NZIER, based on Lopez et al. </w:t>
      </w:r>
      <w:r w:rsidR="0035073F">
        <w:t>(</w:t>
      </w:r>
      <w:r>
        <w:t>2014</w:t>
      </w:r>
      <w:r w:rsidR="0035073F">
        <w:t>)</w:t>
      </w:r>
    </w:p>
    <w:p w14:paraId="0C828561" w14:textId="3A49C01E" w:rsidR="003A7174" w:rsidRDefault="003A7174" w:rsidP="003A7174">
      <w:pPr>
        <w:pStyle w:val="USBodyText"/>
      </w:pPr>
      <w:r>
        <w:t xml:space="preserve">The so-called </w:t>
      </w:r>
      <w:r w:rsidR="00DC5C9C">
        <w:t>‘</w:t>
      </w:r>
      <w:r>
        <w:t>neglected NCDs</w:t>
      </w:r>
      <w:r w:rsidR="00DC5C9C">
        <w:t>’</w:t>
      </w:r>
      <w:r>
        <w:t xml:space="preserve"> include gout, sickle cell disease, Alzheimer’s and dementia, chronic kidney disease, asthma, liver cirrhosis, alcohol and substance abuse, and many others (see </w:t>
      </w:r>
      <w:r w:rsidR="00DD4C2E">
        <w:fldChar w:fldCharType="begin"/>
      </w:r>
      <w:r w:rsidR="00DD4C2E">
        <w:instrText xml:space="preserve"> REF _Ref85624528 \h </w:instrText>
      </w:r>
      <w:r w:rsidR="00DD4C2E">
        <w:fldChar w:fldCharType="separate"/>
      </w:r>
      <w:r w:rsidR="002C631E" w:rsidRPr="00731CA6">
        <w:t>Figure </w:t>
      </w:r>
      <w:r w:rsidR="002C631E">
        <w:rPr>
          <w:noProof/>
        </w:rPr>
        <w:t>6</w:t>
      </w:r>
      <w:r w:rsidR="00DD4C2E">
        <w:fldChar w:fldCharType="end"/>
      </w:r>
      <w:r w:rsidR="00DD4C2E">
        <w:t xml:space="preserve"> </w:t>
      </w:r>
      <w:r>
        <w:t>below).</w:t>
      </w:r>
    </w:p>
    <w:p w14:paraId="5B045ECB" w14:textId="51B56930" w:rsidR="00DC5C9C" w:rsidRDefault="00DC5C9C">
      <w:pPr>
        <w:spacing w:after="160" w:line="259" w:lineRule="auto"/>
      </w:pPr>
      <w:r>
        <w:br w:type="page"/>
      </w:r>
    </w:p>
    <w:p w14:paraId="064383AD" w14:textId="021E2BC5" w:rsidR="003A7174" w:rsidRPr="00731CA6" w:rsidRDefault="003A7174" w:rsidP="003A7174">
      <w:pPr>
        <w:pStyle w:val="FigureCaption"/>
      </w:pPr>
      <w:bookmarkStart w:id="59" w:name="_Ref85624528"/>
      <w:bookmarkStart w:id="60" w:name="_Toc98760537"/>
      <w:r w:rsidRPr="00731CA6">
        <w:lastRenderedPageBreak/>
        <w:t>Figure </w:t>
      </w:r>
      <w:r>
        <w:fldChar w:fldCharType="begin"/>
      </w:r>
      <w:r>
        <w:instrText>SEQ Figure \* ARABIC</w:instrText>
      </w:r>
      <w:r>
        <w:fldChar w:fldCharType="separate"/>
      </w:r>
      <w:r w:rsidR="002C631E">
        <w:rPr>
          <w:noProof/>
        </w:rPr>
        <w:t>6</w:t>
      </w:r>
      <w:r>
        <w:fldChar w:fldCharType="end"/>
      </w:r>
      <w:bookmarkEnd w:id="59"/>
      <w:r w:rsidRPr="00731CA6">
        <w:t xml:space="preserve"> </w:t>
      </w:r>
      <w:r>
        <w:t xml:space="preserve">Comparison of neglected NCDs to the </w:t>
      </w:r>
      <w:r w:rsidR="00DD4C2E">
        <w:t>‘</w:t>
      </w:r>
      <w:r>
        <w:t>big four</w:t>
      </w:r>
      <w:r w:rsidR="00DD4C2E">
        <w:t xml:space="preserve">’ </w:t>
      </w:r>
      <w:r>
        <w:t>NCDs</w:t>
      </w:r>
      <w:bookmarkEnd w:id="60"/>
    </w:p>
    <w:p w14:paraId="671F487B" w14:textId="77777777" w:rsidR="003A7174" w:rsidRDefault="003A7174" w:rsidP="00AF6D80">
      <w:pPr>
        <w:pStyle w:val="CaptionSubheading"/>
      </w:pPr>
    </w:p>
    <w:p w14:paraId="362C7F36" w14:textId="77777777" w:rsidR="003A7174" w:rsidRDefault="003A7174" w:rsidP="003A7174">
      <w:pPr>
        <w:pStyle w:val="USBodyText"/>
      </w:pPr>
      <w:r w:rsidRPr="00FC2C02">
        <w:rPr>
          <w:noProof/>
        </w:rPr>
        <w:drawing>
          <wp:inline distT="0" distB="0" distL="0" distR="0" wp14:anchorId="0B18039C" wp14:editId="58C831F0">
            <wp:extent cx="4638675" cy="2838126"/>
            <wp:effectExtent l="0" t="0" r="0" b="0"/>
            <wp:docPr id="12" name="Picture 12" descr="Figure 6 Comparison of neglected NCDs to the ‘big four’ NC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6 Comparison of neglected NCDs to the ‘big four’ NCDs">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1418" cy="2845923"/>
                    </a:xfrm>
                    <a:prstGeom prst="rect">
                      <a:avLst/>
                    </a:prstGeom>
                    <a:noFill/>
                    <a:ln>
                      <a:noFill/>
                    </a:ln>
                  </pic:spPr>
                </pic:pic>
              </a:graphicData>
            </a:graphic>
          </wp:inline>
        </w:drawing>
      </w:r>
    </w:p>
    <w:p w14:paraId="6418FD00" w14:textId="5F4BE7FA" w:rsidR="003A7174" w:rsidRDefault="003A7174" w:rsidP="003A7174">
      <w:pPr>
        <w:pStyle w:val="USSource"/>
      </w:pPr>
      <w:r>
        <w:t xml:space="preserve">Source: NZIER, based on Lopez et al. </w:t>
      </w:r>
      <w:r w:rsidR="0035073F">
        <w:t>(</w:t>
      </w:r>
      <w:r>
        <w:t>2014</w:t>
      </w:r>
      <w:r w:rsidR="0035073F">
        <w:t>)</w:t>
      </w:r>
    </w:p>
    <w:p w14:paraId="50FCB21B" w14:textId="0B5BDB58" w:rsidR="00296EA8" w:rsidRPr="00731CA6" w:rsidRDefault="00296EA8" w:rsidP="00296EA8">
      <w:pPr>
        <w:pStyle w:val="USBodyText"/>
      </w:pPr>
      <w:r>
        <w:t xml:space="preserve">Between </w:t>
      </w:r>
      <w:r w:rsidR="00EC61B3">
        <w:t>2009 and 2019,</w:t>
      </w:r>
      <w:r>
        <w:t xml:space="preserve"> of the top ten leading causes of DALYs in New Zealand, diabetes grew the most, over</w:t>
      </w:r>
      <w:r w:rsidR="00F53C81">
        <w:t xml:space="preserve"> </w:t>
      </w:r>
      <w:r>
        <w:t xml:space="preserve">40 </w:t>
      </w:r>
      <w:r w:rsidR="00230170">
        <w:t>percent</w:t>
      </w:r>
      <w:r>
        <w:t>, followed by COPD (20 percent)</w:t>
      </w:r>
      <w:r w:rsidR="00E75A6F">
        <w:t>,</w:t>
      </w:r>
      <w:r>
        <w:t xml:space="preserve"> falls and colorectal cancer (both around 18</w:t>
      </w:r>
      <w:r w:rsidR="00230170">
        <w:t xml:space="preserve"> percent</w:t>
      </w:r>
      <w:r>
        <w:t>).</w:t>
      </w:r>
    </w:p>
    <w:p w14:paraId="65832BB3" w14:textId="435F2037" w:rsidR="00296EA8" w:rsidRPr="00731CA6" w:rsidRDefault="00296EA8" w:rsidP="00296EA8">
      <w:pPr>
        <w:pStyle w:val="FigureCaption"/>
      </w:pPr>
      <w:bookmarkStart w:id="61" w:name="_Toc98760538"/>
      <w:bookmarkEnd w:id="56"/>
      <w:r w:rsidRPr="00731CA6">
        <w:t>Figure </w:t>
      </w:r>
      <w:r>
        <w:fldChar w:fldCharType="begin"/>
      </w:r>
      <w:r>
        <w:instrText>SEQ Figure \* ARABIC</w:instrText>
      </w:r>
      <w:r>
        <w:fldChar w:fldCharType="separate"/>
      </w:r>
      <w:r w:rsidR="002C631E">
        <w:rPr>
          <w:noProof/>
        </w:rPr>
        <w:t>7</w:t>
      </w:r>
      <w:r>
        <w:fldChar w:fldCharType="end"/>
      </w:r>
      <w:r w:rsidRPr="00731CA6">
        <w:t xml:space="preserve"> </w:t>
      </w:r>
      <w:r>
        <w:t>Percentage change in the top 10 causes of DALYs in New Zealand, 2009-2019</w:t>
      </w:r>
      <w:bookmarkEnd w:id="61"/>
    </w:p>
    <w:p w14:paraId="743061E4" w14:textId="77777777" w:rsidR="00296EA8" w:rsidRPr="00731CA6" w:rsidRDefault="00296EA8" w:rsidP="00296EA8">
      <w:pPr>
        <w:pStyle w:val="USPlaceholder"/>
      </w:pPr>
      <w:r>
        <w:drawing>
          <wp:inline distT="0" distB="0" distL="0" distR="0" wp14:anchorId="574DA3DF" wp14:editId="469ED44A">
            <wp:extent cx="5153025" cy="2209800"/>
            <wp:effectExtent l="0" t="0" r="9525" b="0"/>
            <wp:docPr id="18" name="Picture 18" descr="Figure 7 Percentage change in the top 10 causes of DALYs in New Zealand, 2009-20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 Percentage change in the top 10 causes of DALYs in New Zealand, 2009-2019&#10;&#10;"/>
                    <pic:cNvPicPr/>
                  </pic:nvPicPr>
                  <pic:blipFill>
                    <a:blip r:embed="rId33"/>
                    <a:stretch>
                      <a:fillRect/>
                    </a:stretch>
                  </pic:blipFill>
                  <pic:spPr>
                    <a:xfrm>
                      <a:off x="0" y="0"/>
                      <a:ext cx="5153025" cy="2209800"/>
                    </a:xfrm>
                    <a:prstGeom prst="rect">
                      <a:avLst/>
                    </a:prstGeom>
                  </pic:spPr>
                </pic:pic>
              </a:graphicData>
            </a:graphic>
          </wp:inline>
        </w:drawing>
      </w:r>
      <w:r w:rsidRPr="00442CEE">
        <w:t xml:space="preserve"> </w:t>
      </w:r>
      <w:r>
        <w:drawing>
          <wp:inline distT="0" distB="0" distL="0" distR="0" wp14:anchorId="538B49ED" wp14:editId="5F731A0A">
            <wp:extent cx="3219450" cy="666750"/>
            <wp:effectExtent l="0" t="0" r="0" b="0"/>
            <wp:docPr id="17" name="Picture 17" descr="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
                    <pic:cNvPicPr/>
                  </pic:nvPicPr>
                  <pic:blipFill>
                    <a:blip r:embed="rId34"/>
                    <a:stretch>
                      <a:fillRect/>
                    </a:stretch>
                  </pic:blipFill>
                  <pic:spPr>
                    <a:xfrm>
                      <a:off x="0" y="0"/>
                      <a:ext cx="3219450" cy="666750"/>
                    </a:xfrm>
                    <a:prstGeom prst="rect">
                      <a:avLst/>
                    </a:prstGeom>
                  </pic:spPr>
                </pic:pic>
              </a:graphicData>
            </a:graphic>
          </wp:inline>
        </w:drawing>
      </w:r>
    </w:p>
    <w:p w14:paraId="7F286F4C" w14:textId="39F154E7" w:rsidR="00296EA8" w:rsidRDefault="00296EA8" w:rsidP="00296EA8">
      <w:pPr>
        <w:pStyle w:val="USSource"/>
      </w:pPr>
      <w:r w:rsidRPr="00731CA6">
        <w:t xml:space="preserve">Source: </w:t>
      </w:r>
      <w:r w:rsidR="002123BA" w:rsidRPr="002123BA">
        <w:rPr>
          <w:rFonts w:cs="Calibri"/>
        </w:rPr>
        <w:t xml:space="preserve">IHME </w:t>
      </w:r>
      <w:r w:rsidR="002123BA">
        <w:rPr>
          <w:rFonts w:cs="Calibri"/>
        </w:rPr>
        <w:t>(</w:t>
      </w:r>
      <w:r w:rsidR="002123BA" w:rsidRPr="002123BA">
        <w:rPr>
          <w:rFonts w:cs="Calibri"/>
        </w:rPr>
        <w:t>2015)</w:t>
      </w:r>
    </w:p>
    <w:p w14:paraId="4D42A008" w14:textId="397270DF" w:rsidR="00296EA8" w:rsidRPr="006E22AE" w:rsidRDefault="00296EA8" w:rsidP="00296EA8">
      <w:pPr>
        <w:pStyle w:val="USBodyText"/>
      </w:pPr>
      <w:r>
        <w:lastRenderedPageBreak/>
        <w:t xml:space="preserve">New Zealand ranks in the top 5 for DALYs against comparable countries for four conditions that are not WHO NCD focus areas: low back pain, falls, anxiety disorders and depressive disorders (see </w:t>
      </w:r>
      <w:r>
        <w:fldChar w:fldCharType="begin"/>
      </w:r>
      <w:r>
        <w:instrText xml:space="preserve"> REF _Ref76732468 \h  \* MERGEFORMAT </w:instrText>
      </w:r>
      <w:r>
        <w:fldChar w:fldCharType="separate"/>
      </w:r>
      <w:r w:rsidR="002C631E" w:rsidRPr="00731CA6">
        <w:t>Figure </w:t>
      </w:r>
      <w:r w:rsidR="002C631E">
        <w:t>8</w:t>
      </w:r>
      <w:r>
        <w:fldChar w:fldCharType="end"/>
      </w:r>
      <w:r>
        <w:t xml:space="preserve"> below). </w:t>
      </w:r>
    </w:p>
    <w:p w14:paraId="100242A1" w14:textId="70939C6D" w:rsidR="00296EA8" w:rsidRPr="00731CA6" w:rsidRDefault="00296EA8" w:rsidP="00296EA8">
      <w:pPr>
        <w:pStyle w:val="FigureCaption"/>
      </w:pPr>
      <w:bookmarkStart w:id="62" w:name="_Ref76732468"/>
      <w:bookmarkStart w:id="63" w:name="_Toc98760539"/>
      <w:r w:rsidRPr="00731CA6">
        <w:t>Figure </w:t>
      </w:r>
      <w:r>
        <w:fldChar w:fldCharType="begin"/>
      </w:r>
      <w:r>
        <w:instrText>SEQ Figure \* ARABIC</w:instrText>
      </w:r>
      <w:r>
        <w:fldChar w:fldCharType="separate"/>
      </w:r>
      <w:r w:rsidR="002C631E">
        <w:rPr>
          <w:noProof/>
        </w:rPr>
        <w:t>8</w:t>
      </w:r>
      <w:r>
        <w:fldChar w:fldCharType="end"/>
      </w:r>
      <w:bookmarkEnd w:id="62"/>
      <w:r w:rsidRPr="00731CA6">
        <w:t xml:space="preserve"> </w:t>
      </w:r>
      <w:r>
        <w:t>New Zealand’s DALY rate rank by condition amongst high SDI* countries</w:t>
      </w:r>
      <w:bookmarkEnd w:id="63"/>
      <w:r>
        <w:t xml:space="preserve"> </w:t>
      </w:r>
    </w:p>
    <w:p w14:paraId="41C2C74C" w14:textId="77777777" w:rsidR="00296EA8" w:rsidRDefault="00296EA8" w:rsidP="00296EA8">
      <w:pPr>
        <w:pStyle w:val="USPlaceholder"/>
      </w:pPr>
      <w:r>
        <w:drawing>
          <wp:inline distT="0" distB="0" distL="0" distR="0" wp14:anchorId="0FFCA9E7" wp14:editId="733E0D7E">
            <wp:extent cx="5210175" cy="1128077"/>
            <wp:effectExtent l="0" t="0" r="0" b="0"/>
            <wp:docPr id="19" name="Picture 19" descr="Figure 8 New Zealand’s DALY rate rank by condition amongst high SDI* countri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8 New Zealand’s DALY rate rank by condition amongst high SDI* countries &#10;&#10;"/>
                    <pic:cNvPicPr/>
                  </pic:nvPicPr>
                  <pic:blipFill>
                    <a:blip r:embed="rId35"/>
                    <a:stretch>
                      <a:fillRect/>
                    </a:stretch>
                  </pic:blipFill>
                  <pic:spPr>
                    <a:xfrm>
                      <a:off x="0" y="0"/>
                      <a:ext cx="5226363" cy="1131582"/>
                    </a:xfrm>
                    <a:prstGeom prst="rect">
                      <a:avLst/>
                    </a:prstGeom>
                  </pic:spPr>
                </pic:pic>
              </a:graphicData>
            </a:graphic>
          </wp:inline>
        </w:drawing>
      </w:r>
    </w:p>
    <w:p w14:paraId="686479E9" w14:textId="77777777" w:rsidR="00296EA8" w:rsidRPr="00731CA6" w:rsidRDefault="00296EA8" w:rsidP="00296EA8">
      <w:pPr>
        <w:pStyle w:val="USPlaceholder"/>
      </w:pPr>
      <w:r>
        <w:drawing>
          <wp:inline distT="0" distB="0" distL="0" distR="0" wp14:anchorId="2FF0A16C" wp14:editId="0F6EC6B2">
            <wp:extent cx="3067050" cy="638175"/>
            <wp:effectExtent l="0" t="0" r="0" b="9525"/>
            <wp:docPr id="20" name="Picture 20" descr="Chart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egend"/>
                    <pic:cNvPicPr/>
                  </pic:nvPicPr>
                  <pic:blipFill>
                    <a:blip r:embed="rId36"/>
                    <a:stretch>
                      <a:fillRect/>
                    </a:stretch>
                  </pic:blipFill>
                  <pic:spPr>
                    <a:xfrm>
                      <a:off x="0" y="0"/>
                      <a:ext cx="3067050" cy="638175"/>
                    </a:xfrm>
                    <a:prstGeom prst="rect">
                      <a:avLst/>
                    </a:prstGeom>
                  </pic:spPr>
                </pic:pic>
              </a:graphicData>
            </a:graphic>
          </wp:inline>
        </w:drawing>
      </w:r>
    </w:p>
    <w:p w14:paraId="71A5CE89" w14:textId="77777777" w:rsidR="00296EA8" w:rsidRDefault="00296EA8" w:rsidP="00FD200A">
      <w:pPr>
        <w:pStyle w:val="USSource"/>
        <w:keepNext/>
        <w:spacing w:after="120"/>
      </w:pPr>
      <w:r w:rsidRPr="00751B3B">
        <w:rPr>
          <w:b/>
          <w:bCs/>
          <w:color w:val="0094C5" w:themeColor="accent1"/>
          <w:sz w:val="24"/>
          <w:szCs w:val="24"/>
        </w:rPr>
        <w:t>*</w:t>
      </w:r>
      <w:r w:rsidRPr="00751B3B">
        <w:rPr>
          <w:sz w:val="24"/>
          <w:szCs w:val="24"/>
        </w:rPr>
        <w:t xml:space="preserve"> </w:t>
      </w:r>
      <w:r>
        <w:t>High SDI (Socio-Demographic Index – a composite indicator of income per capita, years of schooling, and fertility rate in females younger than 25 years) countries include New Zealand, Australia, Austria, Belgium, Brunei Darussalam, Cyprus, Finland, France and the United Kingdom</w:t>
      </w:r>
    </w:p>
    <w:p w14:paraId="7C2240F0" w14:textId="3F3765F5" w:rsidR="002123BA" w:rsidRDefault="00296EA8" w:rsidP="002123BA">
      <w:pPr>
        <w:pStyle w:val="USSource"/>
      </w:pPr>
      <w:r w:rsidRPr="00731CA6">
        <w:t xml:space="preserve">Source: </w:t>
      </w:r>
      <w:r w:rsidR="002123BA" w:rsidRPr="002123BA">
        <w:rPr>
          <w:rFonts w:cs="Calibri"/>
        </w:rPr>
        <w:t xml:space="preserve">IHME </w:t>
      </w:r>
      <w:r w:rsidR="002123BA">
        <w:rPr>
          <w:rFonts w:cs="Calibri"/>
        </w:rPr>
        <w:t>(</w:t>
      </w:r>
      <w:r w:rsidR="002123BA" w:rsidRPr="002123BA">
        <w:rPr>
          <w:rFonts w:cs="Calibri"/>
        </w:rPr>
        <w:t>2015)</w:t>
      </w:r>
    </w:p>
    <w:p w14:paraId="72E56152" w14:textId="49222329" w:rsidR="008D49FC" w:rsidRDefault="008D49FC" w:rsidP="002123BA">
      <w:pPr>
        <w:pStyle w:val="USSource"/>
        <w:rPr>
          <w:rFonts w:eastAsiaTheme="majorEastAsia" w:cstheme="majorBidi"/>
          <w:b/>
          <w:color w:val="0094C5" w:themeColor="accent1"/>
          <w:sz w:val="26"/>
          <w:szCs w:val="26"/>
        </w:rPr>
      </w:pPr>
      <w:r>
        <w:br w:type="page"/>
      </w:r>
    </w:p>
    <w:p w14:paraId="3CB13381" w14:textId="0DC5A8B2" w:rsidR="00EB4D5D" w:rsidRPr="00EB4D5D" w:rsidRDefault="00736702" w:rsidP="002E10F0">
      <w:pPr>
        <w:pStyle w:val="Heading2"/>
      </w:pPr>
      <w:bookmarkStart w:id="64" w:name="_Toc98760520"/>
      <w:r>
        <w:lastRenderedPageBreak/>
        <w:t>Equity</w:t>
      </w:r>
      <w:bookmarkEnd w:id="64"/>
    </w:p>
    <w:p w14:paraId="77E168F4" w14:textId="4B73FEC9" w:rsidR="00775EC3" w:rsidRDefault="004F4D3F" w:rsidP="006C55E9">
      <w:pPr>
        <w:pStyle w:val="USBodyText"/>
      </w:pPr>
      <w:r>
        <w:t xml:space="preserve">Many </w:t>
      </w:r>
      <w:r w:rsidR="004C3BE9">
        <w:t xml:space="preserve">burden of disease </w:t>
      </w:r>
      <w:r>
        <w:t xml:space="preserve">studies </w:t>
      </w:r>
      <w:r w:rsidR="00186E8C">
        <w:t xml:space="preserve">internationally </w:t>
      </w:r>
      <w:r>
        <w:t xml:space="preserve">have noted the unequal distribution of </w:t>
      </w:r>
      <w:r w:rsidR="009C3292">
        <w:t xml:space="preserve">long-term conditions </w:t>
      </w:r>
      <w:r>
        <w:t xml:space="preserve">across </w:t>
      </w:r>
      <w:r w:rsidR="00C76CCF">
        <w:t xml:space="preserve">socioeconomic groups in terms of both prevalence and severity. For example, </w:t>
      </w:r>
      <w:r w:rsidR="00186E8C">
        <w:t xml:space="preserve">the UK Department of Health </w:t>
      </w:r>
      <w:r w:rsidR="001654CA" w:rsidRPr="001654CA">
        <w:rPr>
          <w:rFonts w:cs="Calibri"/>
        </w:rPr>
        <w:t>(2012)</w:t>
      </w:r>
      <w:r w:rsidR="00186E8C">
        <w:t xml:space="preserve"> </w:t>
      </w:r>
      <w:r w:rsidR="00860202">
        <w:t xml:space="preserve">used the British General Lifestyle Survey of 2009 to identify that </w:t>
      </w:r>
      <w:r w:rsidR="000D2CB8">
        <w:t>learning difficulties, epilepsy, conditions affecting blood vessels, asthma</w:t>
      </w:r>
      <w:r w:rsidR="00C93439">
        <w:t>, and heart attack/angina</w:t>
      </w:r>
      <w:r w:rsidR="008634F5">
        <w:t>, stroke, other respiratory complaints, other digestive complaints</w:t>
      </w:r>
      <w:r w:rsidR="00180B8D">
        <w:t xml:space="preserve">, arthritis and rheumatism, </w:t>
      </w:r>
      <w:r w:rsidR="00830123">
        <w:t xml:space="preserve">and </w:t>
      </w:r>
      <w:r w:rsidR="00180B8D">
        <w:t>other musculoskeletal problems</w:t>
      </w:r>
      <w:r w:rsidR="00C93439">
        <w:t xml:space="preserve"> are all </w:t>
      </w:r>
      <w:r w:rsidR="00830123">
        <w:t>more than twice as likely in people from</w:t>
      </w:r>
      <w:r w:rsidR="00C51849">
        <w:t xml:space="preserve"> the</w:t>
      </w:r>
      <w:r w:rsidR="00830123">
        <w:t xml:space="preserve"> </w:t>
      </w:r>
      <w:r w:rsidR="00C51849">
        <w:t>most deprived group compared with people in the least deprived group</w:t>
      </w:r>
      <w:r w:rsidR="00162A12">
        <w:t>. In contrast,</w:t>
      </w:r>
      <w:r w:rsidR="00C51849">
        <w:t xml:space="preserve"> </w:t>
      </w:r>
      <w:r w:rsidR="00483710">
        <w:t>kidney complaints, reproductive system disorders</w:t>
      </w:r>
      <w:r w:rsidR="000F4DDA">
        <w:t xml:space="preserve"> and </w:t>
      </w:r>
      <w:r w:rsidR="00483710">
        <w:t>infectious/parasitic disease</w:t>
      </w:r>
      <w:r w:rsidR="00162A12">
        <w:t>s</w:t>
      </w:r>
      <w:r w:rsidR="000F4DDA">
        <w:t xml:space="preserve"> are more likely to occur amongst the least deprived (see </w:t>
      </w:r>
      <w:r w:rsidR="00162A12">
        <w:fldChar w:fldCharType="begin"/>
      </w:r>
      <w:r w:rsidR="00162A12">
        <w:instrText xml:space="preserve"> REF _Ref85624708 \h </w:instrText>
      </w:r>
      <w:r w:rsidR="00162A12">
        <w:fldChar w:fldCharType="separate"/>
      </w:r>
      <w:r w:rsidR="002C631E" w:rsidRPr="00731CA6">
        <w:t>Figure </w:t>
      </w:r>
      <w:r w:rsidR="002C631E">
        <w:rPr>
          <w:noProof/>
        </w:rPr>
        <w:t>9</w:t>
      </w:r>
      <w:r w:rsidR="00162A12">
        <w:fldChar w:fldCharType="end"/>
      </w:r>
      <w:r w:rsidR="000F4DDA">
        <w:t xml:space="preserve"> below)</w:t>
      </w:r>
      <w:r w:rsidR="003F2DDC">
        <w:t>.</w:t>
      </w:r>
    </w:p>
    <w:p w14:paraId="4878B4B6" w14:textId="0EB8B014" w:rsidR="00DA63A3" w:rsidRPr="00731CA6" w:rsidRDefault="00DA63A3" w:rsidP="00DA63A3">
      <w:pPr>
        <w:pStyle w:val="FigureCaption"/>
      </w:pPr>
      <w:bookmarkStart w:id="65" w:name="_Ref85624708"/>
      <w:bookmarkStart w:id="66" w:name="_Toc98760540"/>
      <w:r w:rsidRPr="00731CA6">
        <w:t>Figure </w:t>
      </w:r>
      <w:r>
        <w:fldChar w:fldCharType="begin"/>
      </w:r>
      <w:r>
        <w:instrText>SEQ Figure \* ARABIC</w:instrText>
      </w:r>
      <w:r>
        <w:fldChar w:fldCharType="separate"/>
      </w:r>
      <w:r w:rsidR="002C631E">
        <w:rPr>
          <w:noProof/>
        </w:rPr>
        <w:t>9</w:t>
      </w:r>
      <w:r>
        <w:fldChar w:fldCharType="end"/>
      </w:r>
      <w:bookmarkEnd w:id="65"/>
      <w:r w:rsidRPr="00731CA6">
        <w:t xml:space="preserve"> </w:t>
      </w:r>
      <w:r w:rsidR="00186E8C">
        <w:t>Inequalities in long-term conditions in the UK</w:t>
      </w:r>
      <w:bookmarkEnd w:id="66"/>
    </w:p>
    <w:p w14:paraId="59B986E1" w14:textId="1CC6D361" w:rsidR="00DA63A3" w:rsidRPr="00731CA6" w:rsidRDefault="00DA63A3" w:rsidP="00DA63A3">
      <w:pPr>
        <w:pStyle w:val="USPlaceholder"/>
      </w:pPr>
      <w:r>
        <w:drawing>
          <wp:inline distT="0" distB="0" distL="0" distR="0" wp14:anchorId="12A7E584" wp14:editId="65410848">
            <wp:extent cx="5760085" cy="3545840"/>
            <wp:effectExtent l="0" t="0" r="0" b="0"/>
            <wp:docPr id="29" name="Picture 29" descr="Figure 9 Inequalities in long-term conditions in the U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9 Inequalities in long-term conditions in the UK&#10;&#10;"/>
                    <pic:cNvPicPr/>
                  </pic:nvPicPr>
                  <pic:blipFill>
                    <a:blip r:embed="rId37"/>
                    <a:stretch>
                      <a:fillRect/>
                    </a:stretch>
                  </pic:blipFill>
                  <pic:spPr>
                    <a:xfrm>
                      <a:off x="0" y="0"/>
                      <a:ext cx="5760085" cy="3545840"/>
                    </a:xfrm>
                    <a:prstGeom prst="rect">
                      <a:avLst/>
                    </a:prstGeom>
                  </pic:spPr>
                </pic:pic>
              </a:graphicData>
            </a:graphic>
          </wp:inline>
        </w:drawing>
      </w:r>
    </w:p>
    <w:p w14:paraId="3712CEBE" w14:textId="679F4AC8" w:rsidR="00DA63A3" w:rsidRPr="00DA63A3" w:rsidRDefault="00DA63A3" w:rsidP="00DA63A3">
      <w:pPr>
        <w:pStyle w:val="USSource"/>
      </w:pPr>
      <w:r>
        <w:t>S</w:t>
      </w:r>
      <w:r w:rsidRPr="00731CA6">
        <w:t>ource</w:t>
      </w:r>
      <w:r w:rsidRPr="00DA63A3">
        <w:t>: Department of Health</w:t>
      </w:r>
      <w:r w:rsidR="00971411">
        <w:t xml:space="preserve"> (</w:t>
      </w:r>
      <w:r w:rsidRPr="00DA63A3">
        <w:t>2012</w:t>
      </w:r>
      <w:r w:rsidR="00971411">
        <w:t>)</w:t>
      </w:r>
    </w:p>
    <w:p w14:paraId="4929F869" w14:textId="34A6CB1A" w:rsidR="001F4130" w:rsidRDefault="00E20DE1" w:rsidP="002B19E0">
      <w:pPr>
        <w:pStyle w:val="USBodyText"/>
      </w:pPr>
      <w:r>
        <w:t xml:space="preserve">The Health Quality </w:t>
      </w:r>
      <w:r w:rsidR="00984F79">
        <w:t>&amp;</w:t>
      </w:r>
      <w:r>
        <w:t xml:space="preserve"> Safety Commission </w:t>
      </w:r>
      <w:r w:rsidR="0018020C">
        <w:t>(HQSC)</w:t>
      </w:r>
      <w:r>
        <w:t xml:space="preserve"> has </w:t>
      </w:r>
      <w:r w:rsidR="002B19E0">
        <w:t xml:space="preserve">noted that </w:t>
      </w:r>
      <w:r w:rsidR="00F52C9C" w:rsidRPr="00F52C9C">
        <w:t>Pacific people</w:t>
      </w:r>
      <w:r w:rsidR="00F52C9C">
        <w:t xml:space="preserve"> bear </w:t>
      </w:r>
      <w:r w:rsidR="00F52C9C" w:rsidRPr="00F52C9C">
        <w:t>a disproportionate burden of long-term conditions</w:t>
      </w:r>
      <w:r w:rsidR="00F52C9C">
        <w:t>,</w:t>
      </w:r>
      <w:r w:rsidR="001F4130">
        <w:t xml:space="preserve"> </w:t>
      </w:r>
      <w:r w:rsidR="00F52C9C">
        <w:t xml:space="preserve">particularly </w:t>
      </w:r>
      <w:r w:rsidR="00F52C9C" w:rsidRPr="00F52C9C">
        <w:t>gout</w:t>
      </w:r>
      <w:r w:rsidR="00E84337">
        <w:t xml:space="preserve"> (see </w:t>
      </w:r>
      <w:r w:rsidR="00575B54">
        <w:fldChar w:fldCharType="begin"/>
      </w:r>
      <w:r w:rsidR="00575B54">
        <w:instrText xml:space="preserve"> REF _Ref85624793 \h </w:instrText>
      </w:r>
      <w:r w:rsidR="00575B54">
        <w:fldChar w:fldCharType="separate"/>
      </w:r>
      <w:r w:rsidR="002C631E" w:rsidRPr="00731CA6">
        <w:t>Figure </w:t>
      </w:r>
      <w:r w:rsidR="002C631E">
        <w:rPr>
          <w:noProof/>
        </w:rPr>
        <w:t>10</w:t>
      </w:r>
      <w:r w:rsidR="002C631E">
        <w:t xml:space="preserve"> </w:t>
      </w:r>
      <w:r w:rsidR="00575B54">
        <w:fldChar w:fldCharType="end"/>
      </w:r>
      <w:r w:rsidR="00E84337">
        <w:t>below)</w:t>
      </w:r>
      <w:r w:rsidR="00F52C9C" w:rsidRPr="00F52C9C">
        <w:t>, cardiovascular disease, kidney disease, cancer</w:t>
      </w:r>
      <w:r w:rsidR="00F52C9C">
        <w:t xml:space="preserve">, </w:t>
      </w:r>
      <w:r w:rsidR="00F52C9C" w:rsidRPr="00F52C9C">
        <w:t>asthma, and diabetes</w:t>
      </w:r>
      <w:r w:rsidR="00F52C9C">
        <w:t xml:space="preserve"> </w:t>
      </w:r>
      <w:r w:rsidR="001654CA" w:rsidRPr="001654CA">
        <w:rPr>
          <w:rFonts w:cs="Calibri"/>
        </w:rPr>
        <w:t>(Health Quality &amp; Safety Commission 2021a)</w:t>
      </w:r>
      <w:r w:rsidR="00F52C9C" w:rsidRPr="00F52C9C">
        <w:t>.</w:t>
      </w:r>
      <w:r w:rsidR="00006C82">
        <w:t xml:space="preserve"> </w:t>
      </w:r>
    </w:p>
    <w:p w14:paraId="0C5EA56C" w14:textId="421F686D" w:rsidR="00F97A98" w:rsidRPr="00E84337" w:rsidRDefault="00234C40" w:rsidP="00E84337">
      <w:pPr>
        <w:pStyle w:val="FigureCaption"/>
      </w:pPr>
      <w:bookmarkStart w:id="67" w:name="_Ref85624793"/>
      <w:bookmarkStart w:id="68" w:name="_Toc98760541"/>
      <w:bookmarkStart w:id="69" w:name="_Hlk85742323"/>
      <w:r w:rsidRPr="00731CA6">
        <w:lastRenderedPageBreak/>
        <w:t>Figure </w:t>
      </w:r>
      <w:r>
        <w:fldChar w:fldCharType="begin"/>
      </w:r>
      <w:r>
        <w:instrText>SEQ Figure \* ARABIC</w:instrText>
      </w:r>
      <w:r>
        <w:fldChar w:fldCharType="separate"/>
      </w:r>
      <w:r w:rsidR="002C631E">
        <w:rPr>
          <w:noProof/>
        </w:rPr>
        <w:t>10</w:t>
      </w:r>
      <w:r>
        <w:fldChar w:fldCharType="end"/>
      </w:r>
      <w:r>
        <w:t xml:space="preserve"> </w:t>
      </w:r>
      <w:bookmarkEnd w:id="67"/>
      <w:r w:rsidR="00E84337" w:rsidRPr="00E84337">
        <w:t>Percentage of men affected by gout in New Zealand, by ethnicity</w:t>
      </w:r>
      <w:bookmarkEnd w:id="68"/>
    </w:p>
    <w:bookmarkEnd w:id="69"/>
    <w:p w14:paraId="77B9D4F7" w14:textId="6DE7627F" w:rsidR="001F4130" w:rsidRDefault="001F4130" w:rsidP="006C6A6C">
      <w:pPr>
        <w:pStyle w:val="USBodyText"/>
        <w:keepNext/>
      </w:pPr>
      <w:r>
        <w:rPr>
          <w:noProof/>
        </w:rPr>
        <w:drawing>
          <wp:inline distT="0" distB="0" distL="0" distR="0" wp14:anchorId="2CE8003F" wp14:editId="0E312BD8">
            <wp:extent cx="3705225" cy="2559834"/>
            <wp:effectExtent l="0" t="0" r="0" b="0"/>
            <wp:docPr id="30" name="Picture 30" descr="Figure 10 Percentage of men affected by gout in New Zealand, by ethnic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0 Percentage of men affected by gout in New Zealand, by ethnicity&#10;&#10;"/>
                    <pic:cNvPicPr/>
                  </pic:nvPicPr>
                  <pic:blipFill>
                    <a:blip r:embed="rId38"/>
                    <a:stretch>
                      <a:fillRect/>
                    </a:stretch>
                  </pic:blipFill>
                  <pic:spPr>
                    <a:xfrm>
                      <a:off x="0" y="0"/>
                      <a:ext cx="3712283" cy="2564710"/>
                    </a:xfrm>
                    <a:prstGeom prst="rect">
                      <a:avLst/>
                    </a:prstGeom>
                  </pic:spPr>
                </pic:pic>
              </a:graphicData>
            </a:graphic>
          </wp:inline>
        </w:drawing>
      </w:r>
    </w:p>
    <w:p w14:paraId="60BA81BE" w14:textId="68B73328" w:rsidR="0033133E" w:rsidRDefault="0033133E" w:rsidP="00E84337">
      <w:pPr>
        <w:pStyle w:val="USSource"/>
      </w:pPr>
      <w:r>
        <w:t xml:space="preserve">Source: </w:t>
      </w:r>
      <w:r w:rsidR="00B9069F">
        <w:t xml:space="preserve">Health Quality &amp; Safety Commission </w:t>
      </w:r>
      <w:r w:rsidR="001654CA" w:rsidRPr="001654CA">
        <w:rPr>
          <w:rFonts w:cs="Calibri"/>
        </w:rPr>
        <w:t>(2021b)</w:t>
      </w:r>
    </w:p>
    <w:p w14:paraId="4D083F9B" w14:textId="77777777" w:rsidR="0041768C" w:rsidRDefault="0041768C" w:rsidP="0041768C">
      <w:pPr>
        <w:pStyle w:val="USBodyText"/>
      </w:pPr>
      <w:r>
        <w:t>Similar effects – increased prevalence of risk factors and long-term conditions - are often observed for people living in the most deprived areas. Māori and Pacific people are over-represented in these areas as well as experiencing negative impacts specifically associated with ethnicity (including the legacy effects of colonisation and institutional racism in the health system); these groups are disproportionately affected by the burden of long-term conditions.</w:t>
      </w:r>
    </w:p>
    <w:p w14:paraId="4299D917" w14:textId="13009A94" w:rsidR="00006C82" w:rsidRDefault="0041768C" w:rsidP="00B25331">
      <w:pPr>
        <w:pStyle w:val="USBodyText"/>
      </w:pPr>
      <w:r>
        <w:t>R</w:t>
      </w:r>
      <w:r w:rsidR="00006C82">
        <w:t xml:space="preserve">heumatic fever and rheumatic heart disease (conditions that have been virtually eliminated in most high-income countries) continue at high rates in </w:t>
      </w:r>
      <w:r w:rsidR="00E84337">
        <w:t xml:space="preserve">both </w:t>
      </w:r>
      <w:r w:rsidR="00006C82">
        <w:t>Pacific and Māori children and young adults</w:t>
      </w:r>
      <w:r>
        <w:t xml:space="preserve">, due in large part to </w:t>
      </w:r>
      <w:r w:rsidR="004A0487">
        <w:t xml:space="preserve">living conditions in highly deprived communities. Some rates </w:t>
      </w:r>
      <w:r w:rsidR="00B25331">
        <w:t xml:space="preserve">have even increased </w:t>
      </w:r>
      <w:r w:rsidR="00E24B3D">
        <w:t>in recent years</w:t>
      </w:r>
      <w:r w:rsidR="00752027">
        <w:t xml:space="preserve">: </w:t>
      </w:r>
      <w:r w:rsidR="00E20070">
        <w:t>2015/16 to 2017/18</w:t>
      </w:r>
      <w:r w:rsidR="00752027">
        <w:t xml:space="preserve"> </w:t>
      </w:r>
      <w:r w:rsidR="00BC7826">
        <w:t>saw increased rates</w:t>
      </w:r>
      <w:r w:rsidR="00E20070">
        <w:t xml:space="preserve">, although rates have stabilised for </w:t>
      </w:r>
      <w:r w:rsidR="00BC7826" w:rsidRPr="00BC7826">
        <w:t>Māo</w:t>
      </w:r>
      <w:r w:rsidR="00E20070">
        <w:t xml:space="preserve">ri and </w:t>
      </w:r>
      <w:r w:rsidR="00C061B3">
        <w:t xml:space="preserve">decreased for </w:t>
      </w:r>
      <w:r w:rsidR="00E20070">
        <w:t xml:space="preserve">Pacific </w:t>
      </w:r>
      <w:r w:rsidR="00C061B3">
        <w:t>people since 2017/18)</w:t>
      </w:r>
      <w:r w:rsidR="00BC7826">
        <w:t xml:space="preserve">. The lack of significant progress </w:t>
      </w:r>
      <w:r w:rsidR="00B25331">
        <w:t>result</w:t>
      </w:r>
      <w:r w:rsidR="00BC7826">
        <w:t>ed</w:t>
      </w:r>
      <w:r w:rsidR="00B25331">
        <w:t xml:space="preserve"> in a failure to reach </w:t>
      </w:r>
      <w:r w:rsidR="00006C82">
        <w:t xml:space="preserve">the target of a </w:t>
      </w:r>
      <w:r w:rsidR="00B25331">
        <w:t xml:space="preserve">2011 </w:t>
      </w:r>
      <w:r w:rsidR="00006C82">
        <w:t>national programme to reduce incidence by two-thirds</w:t>
      </w:r>
      <w:r w:rsidR="001B681B">
        <w:t xml:space="preserve"> by 2017 </w:t>
      </w:r>
      <w:r w:rsidR="001654CA" w:rsidRPr="001654CA">
        <w:rPr>
          <w:rFonts w:cs="Calibri"/>
        </w:rPr>
        <w:t>(Health Quality &amp; Safety Commission 2021a)</w:t>
      </w:r>
      <w:r w:rsidR="00B25331">
        <w:t>.</w:t>
      </w:r>
    </w:p>
    <w:p w14:paraId="2BD2FA9B" w14:textId="50C9E8E7" w:rsidR="006839AA" w:rsidRDefault="006839AA" w:rsidP="006839AA">
      <w:pPr>
        <w:pStyle w:val="Heading3"/>
      </w:pPr>
      <w:r>
        <w:t xml:space="preserve">Equity considerations in </w:t>
      </w:r>
      <w:r w:rsidR="006748A9">
        <w:t>cost-of-illness</w:t>
      </w:r>
      <w:r>
        <w:t xml:space="preserve"> studies</w:t>
      </w:r>
    </w:p>
    <w:p w14:paraId="6918E14C" w14:textId="08775F1B" w:rsidR="00401BF0" w:rsidRDefault="006839AA" w:rsidP="006839AA">
      <w:pPr>
        <w:pStyle w:val="USBodyText"/>
      </w:pPr>
      <w:r>
        <w:t xml:space="preserve">While </w:t>
      </w:r>
      <w:r w:rsidR="00FF6084">
        <w:t xml:space="preserve">many </w:t>
      </w:r>
      <w:r w:rsidR="002F477D">
        <w:t xml:space="preserve">epidemiological </w:t>
      </w:r>
      <w:r w:rsidR="00FF6084">
        <w:t xml:space="preserve">studies on long-term conditions identify equity issues, equity issues are not typically </w:t>
      </w:r>
      <w:r w:rsidR="00D53EE9">
        <w:t xml:space="preserve">a focus </w:t>
      </w:r>
      <w:r w:rsidR="004A1C8A">
        <w:t>of</w:t>
      </w:r>
      <w:r w:rsidR="00D53EE9">
        <w:t xml:space="preserve"> </w:t>
      </w:r>
      <w:r w:rsidR="006748A9">
        <w:t>cost-of-illness</w:t>
      </w:r>
      <w:r w:rsidR="00D53EE9">
        <w:t xml:space="preserve"> studies. </w:t>
      </w:r>
      <w:r w:rsidR="008E0B23">
        <w:t>One</w:t>
      </w:r>
      <w:r w:rsidR="00D53EE9">
        <w:t xml:space="preserve"> reason for the lack of focus on equity in these studies is that t</w:t>
      </w:r>
      <w:r w:rsidR="006C08FE">
        <w:t xml:space="preserve">he </w:t>
      </w:r>
      <w:r w:rsidR="004A3AFD">
        <w:t xml:space="preserve">most common perspective </w:t>
      </w:r>
      <w:r w:rsidR="00540B0A">
        <w:t>is that of the</w:t>
      </w:r>
      <w:r w:rsidR="006C08FE">
        <w:t xml:space="preserve"> </w:t>
      </w:r>
      <w:r w:rsidR="004A3AFD">
        <w:t xml:space="preserve">public health </w:t>
      </w:r>
      <w:r w:rsidR="006C08FE">
        <w:t>system</w:t>
      </w:r>
      <w:r w:rsidR="006658FB">
        <w:t xml:space="preserve">. </w:t>
      </w:r>
      <w:r w:rsidR="00540B0A">
        <w:t>From a public health system perspective,</w:t>
      </w:r>
      <w:r w:rsidR="009E3B65">
        <w:t xml:space="preserve"> only direct health system costs are included </w:t>
      </w:r>
      <w:r w:rsidR="003E657F">
        <w:t>in a cost-of-illness study and these</w:t>
      </w:r>
      <w:r w:rsidR="00540B0A">
        <w:t xml:space="preserve"> </w:t>
      </w:r>
      <w:r w:rsidR="006658FB">
        <w:t>costs are not borne by specific communiti</w:t>
      </w:r>
      <w:r w:rsidR="00A55AFA">
        <w:t>es</w:t>
      </w:r>
      <w:r w:rsidR="00F7474B">
        <w:t xml:space="preserve"> but by the system itself</w:t>
      </w:r>
      <w:r w:rsidR="00A55AFA">
        <w:t>.</w:t>
      </w:r>
      <w:r w:rsidR="008B5B9E">
        <w:t xml:space="preserve"> </w:t>
      </w:r>
      <w:r w:rsidR="009B4A2D">
        <w:t>There is, therefore, no distributional issue regarding the direct costs of illness in these studies.</w:t>
      </w:r>
    </w:p>
    <w:p w14:paraId="2EBC48A2" w14:textId="3F229963" w:rsidR="009E0D68" w:rsidRDefault="009E0D68" w:rsidP="006839AA">
      <w:pPr>
        <w:pStyle w:val="USBodyText"/>
      </w:pPr>
      <w:r w:rsidRPr="009E0D68">
        <w:t xml:space="preserve">Studies </w:t>
      </w:r>
      <w:r w:rsidR="00502573">
        <w:t xml:space="preserve">that take a public health system or fiscal perspective </w:t>
      </w:r>
      <w:r w:rsidRPr="009E0D68">
        <w:t xml:space="preserve">that might attempt to explore the distribution of costs may face ethical issues. Attributing public health system </w:t>
      </w:r>
      <w:r w:rsidR="00502573">
        <w:t xml:space="preserve">or social welfare </w:t>
      </w:r>
      <w:r w:rsidRPr="009E0D68">
        <w:t>costs to specific groups can be interpreted as blamin</w:t>
      </w:r>
      <w:r w:rsidR="00FD7A1D">
        <w:t xml:space="preserve">g and, at worst, could have a negative impact on public and institutional perceptions of </w:t>
      </w:r>
      <w:r w:rsidR="00C87C77">
        <w:t>‘high cost’ groups.</w:t>
      </w:r>
    </w:p>
    <w:p w14:paraId="43297DB8" w14:textId="77777777" w:rsidR="000D52E3" w:rsidRDefault="00051A32" w:rsidP="006839AA">
      <w:pPr>
        <w:pStyle w:val="USBodyText"/>
      </w:pPr>
      <w:r>
        <w:lastRenderedPageBreak/>
        <w:t xml:space="preserve">In theory, </w:t>
      </w:r>
      <w:r w:rsidRPr="00051A32">
        <w:t xml:space="preserve">a </w:t>
      </w:r>
      <w:r w:rsidR="006748A9">
        <w:t>cost-of-illness</w:t>
      </w:r>
      <w:r w:rsidRPr="00051A32">
        <w:t xml:space="preserve"> study that takes a societal perspective may focus on equity issues by estimating the inequitable distribution of private costs (lost quality of life, lost income, out-of-pocket costs), but quantification of these costs is subject to a high degree of uncertainty</w:t>
      </w:r>
      <w:r w:rsidR="00CE11DF">
        <w:t xml:space="preserve">. </w:t>
      </w:r>
      <w:r w:rsidR="00266B62">
        <w:t xml:space="preserve">This is especially true </w:t>
      </w:r>
      <w:r w:rsidR="0048058A">
        <w:t>in retrospective studies where researchers do not have access to high quality individual data on private costs</w:t>
      </w:r>
      <w:r w:rsidR="00B5305C">
        <w:t xml:space="preserve">. </w:t>
      </w:r>
      <w:r w:rsidR="00CE11DF">
        <w:t xml:space="preserve">Breaking these costs down by ethnicity is likely to reduce the </w:t>
      </w:r>
      <w:r w:rsidR="008C35D5">
        <w:t>level of confidence in results</w:t>
      </w:r>
      <w:r w:rsidR="00401BF0">
        <w:t xml:space="preserve">. </w:t>
      </w:r>
    </w:p>
    <w:p w14:paraId="4B4DB111" w14:textId="2C9B7C46" w:rsidR="006839AA" w:rsidRDefault="00C87C77" w:rsidP="006839AA">
      <w:pPr>
        <w:pStyle w:val="USBodyText"/>
      </w:pPr>
      <w:r>
        <w:t xml:space="preserve">In these studies also, there may be ethical issues: </w:t>
      </w:r>
      <w:r w:rsidR="00D42F43">
        <w:t>P</w:t>
      </w:r>
      <w:r w:rsidR="0049315D">
        <w:t xml:space="preserve">rivate costs </w:t>
      </w:r>
      <w:r w:rsidR="00E77560">
        <w:t>based on individual data</w:t>
      </w:r>
      <w:r w:rsidR="0049315D">
        <w:t xml:space="preserve"> </w:t>
      </w:r>
      <w:r w:rsidR="00D42F43">
        <w:t xml:space="preserve">would </w:t>
      </w:r>
      <w:r w:rsidR="0049315D">
        <w:t xml:space="preserve">reflect inequitable </w:t>
      </w:r>
      <w:r w:rsidR="00D9630A">
        <w:t>economic realities (</w:t>
      </w:r>
      <w:r w:rsidR="00EB371B">
        <w:t>lower wages and higher baseline unemployment</w:t>
      </w:r>
      <w:r w:rsidR="00881BA3">
        <w:t>),</w:t>
      </w:r>
      <w:r w:rsidR="000A292D">
        <w:t xml:space="preserve"> </w:t>
      </w:r>
      <w:r w:rsidR="00800628">
        <w:t xml:space="preserve">but the use of average values </w:t>
      </w:r>
      <w:r w:rsidR="005F3B6B">
        <w:t xml:space="preserve">may lead to erroneous conclusions about the potential </w:t>
      </w:r>
      <w:r w:rsidR="005E031E">
        <w:t>value of employment impacts</w:t>
      </w:r>
      <w:r w:rsidR="00131254">
        <w:t xml:space="preserve"> for some groups</w:t>
      </w:r>
      <w:r w:rsidR="00EB371B">
        <w:t>.</w:t>
      </w:r>
      <w:r w:rsidR="00663570">
        <w:t xml:space="preserve"> </w:t>
      </w:r>
    </w:p>
    <w:p w14:paraId="77A636D9" w14:textId="026C8B7B" w:rsidR="00D50993" w:rsidRDefault="00D50993" w:rsidP="006839AA">
      <w:pPr>
        <w:pStyle w:val="USBodyText"/>
      </w:pPr>
      <w:r>
        <w:t xml:space="preserve">For these reasons, cost-of-illness studies are </w:t>
      </w:r>
      <w:r w:rsidR="00BA7542">
        <w:t xml:space="preserve">generally </w:t>
      </w:r>
      <w:r>
        <w:t>n</w:t>
      </w:r>
      <w:r w:rsidR="00017DA7">
        <w:t xml:space="preserve">ot the most appropriate context for exploring equity dimensions of a disease. Equity is best </w:t>
      </w:r>
      <w:r w:rsidR="005C52B6">
        <w:t>considered within the context of the burden</w:t>
      </w:r>
      <w:r w:rsidR="00BA7542">
        <w:t>-</w:t>
      </w:r>
      <w:r w:rsidR="005C52B6">
        <w:t>of</w:t>
      </w:r>
      <w:r w:rsidR="00BA7542">
        <w:t>-</w:t>
      </w:r>
      <w:r w:rsidR="005C52B6">
        <w:t>disease studies that often form the basis of a cost-of-illness study</w:t>
      </w:r>
      <w:r w:rsidR="00BA7542">
        <w:t>,</w:t>
      </w:r>
      <w:r w:rsidR="005C52B6">
        <w:t xml:space="preserve"> and </w:t>
      </w:r>
      <w:r w:rsidR="00F8677E">
        <w:t>where incidence and prevalence by age-ethnicity group as well as quality of life impacts are generally well-described</w:t>
      </w:r>
      <w:r w:rsidR="005C52B6">
        <w:t>.</w:t>
      </w:r>
    </w:p>
    <w:p w14:paraId="230DE5E6" w14:textId="3FAA2D8B" w:rsidR="0042560E" w:rsidRPr="006839AA" w:rsidRDefault="0042560E" w:rsidP="006839AA">
      <w:pPr>
        <w:pStyle w:val="USBodyText"/>
      </w:pPr>
    </w:p>
    <w:p w14:paraId="13F533E0" w14:textId="0D3391CF" w:rsidR="00DC76E7" w:rsidRDefault="00DC76E7" w:rsidP="007C21B3">
      <w:pPr>
        <w:pStyle w:val="USBodyText"/>
      </w:pPr>
    </w:p>
    <w:p w14:paraId="30ECAC08" w14:textId="21B40D60" w:rsidR="00DB3E03" w:rsidRDefault="00DB3E03" w:rsidP="002E10F0">
      <w:pPr>
        <w:pStyle w:val="Heading2"/>
      </w:pPr>
      <w:r>
        <w:br w:type="page"/>
      </w:r>
      <w:bookmarkStart w:id="70" w:name="_Toc98760521"/>
      <w:r w:rsidR="00327FD2">
        <w:lastRenderedPageBreak/>
        <w:t>Conditions in scope</w:t>
      </w:r>
      <w:bookmarkEnd w:id="70"/>
    </w:p>
    <w:p w14:paraId="14F60B59" w14:textId="2FCCABBB" w:rsidR="00F467B9" w:rsidRDefault="009C73B7" w:rsidP="00991400">
      <w:pPr>
        <w:pStyle w:val="USBodyText"/>
      </w:pPr>
      <w:r>
        <w:t>In light of the various considerations</w:t>
      </w:r>
      <w:r w:rsidR="00432390">
        <w:t>, and in consultation with the Ministry of Health, t</w:t>
      </w:r>
      <w:r w:rsidR="00F467B9">
        <w:t>he conditions included in the</w:t>
      </w:r>
      <w:r w:rsidR="00432390">
        <w:t xml:space="preserve"> scope of this report were</w:t>
      </w:r>
      <w:r w:rsidR="00D90B07">
        <w:t>:</w:t>
      </w:r>
    </w:p>
    <w:p w14:paraId="65154AD3" w14:textId="2B7B4EEB" w:rsidR="00991400" w:rsidRDefault="00D90B07" w:rsidP="00D90B07">
      <w:pPr>
        <w:pStyle w:val="USBullet1"/>
      </w:pPr>
      <w:bookmarkStart w:id="71" w:name="_Hlk85702125"/>
      <w:r>
        <w:t xml:space="preserve">All conditions and risk factors </w:t>
      </w:r>
      <w:r w:rsidR="00991400">
        <w:t>included in the 2009 report search</w:t>
      </w:r>
      <w:r w:rsidR="00472EB4">
        <w:t xml:space="preserve"> (</w:t>
      </w:r>
      <w:r w:rsidR="005C1040">
        <w:t>a</w:t>
      </w:r>
      <w:r w:rsidR="00991400">
        <w:t xml:space="preserve">sthma, </w:t>
      </w:r>
      <w:r w:rsidR="005C1040">
        <w:t>a</w:t>
      </w:r>
      <w:r w:rsidR="00991400">
        <w:t>rthritis, COPD, CHD, Alzheimer</w:t>
      </w:r>
      <w:r w:rsidR="00C93033">
        <w:t>'</w:t>
      </w:r>
      <w:r w:rsidR="00991400">
        <w:t xml:space="preserve">s, HIV/AIDS, </w:t>
      </w:r>
      <w:r w:rsidR="005C1040">
        <w:t>i</w:t>
      </w:r>
      <w:r w:rsidR="00991400">
        <w:t xml:space="preserve">schaemic stroke, </w:t>
      </w:r>
      <w:bookmarkStart w:id="72" w:name="_Hlk93560074"/>
      <w:r w:rsidR="005C1040">
        <w:t>o</w:t>
      </w:r>
      <w:r w:rsidR="00991400">
        <w:t>bstructive sleep apnoea</w:t>
      </w:r>
      <w:bookmarkEnd w:id="72"/>
      <w:r w:rsidR="00991400">
        <w:t xml:space="preserve">, </w:t>
      </w:r>
      <w:r w:rsidR="005C1040">
        <w:t>o</w:t>
      </w:r>
      <w:r w:rsidR="00991400">
        <w:t xml:space="preserve">steoporosis, </w:t>
      </w:r>
      <w:r w:rsidR="005C1040">
        <w:t>d</w:t>
      </w:r>
      <w:r w:rsidR="00931D25">
        <w:t xml:space="preserve">iabetes (including </w:t>
      </w:r>
      <w:r w:rsidR="005B02AA">
        <w:t>t</w:t>
      </w:r>
      <w:r w:rsidR="00991400">
        <w:t>ype 2 diabetes</w:t>
      </w:r>
      <w:r w:rsidR="00931D25">
        <w:t>)</w:t>
      </w:r>
      <w:r w:rsidR="00991400">
        <w:t xml:space="preserve">, </w:t>
      </w:r>
      <w:r w:rsidR="005C1040">
        <w:t>o</w:t>
      </w:r>
      <w:r w:rsidR="00991400">
        <w:t xml:space="preserve">besity, </w:t>
      </w:r>
      <w:r w:rsidR="005C1040">
        <w:t>p</w:t>
      </w:r>
      <w:r w:rsidR="00991400">
        <w:t xml:space="preserve">hysical inactivity, </w:t>
      </w:r>
      <w:r w:rsidR="005C1040">
        <w:t>t</w:t>
      </w:r>
      <w:r w:rsidR="00991400">
        <w:t>obacco use).</w:t>
      </w:r>
    </w:p>
    <w:p w14:paraId="62A0C0B7" w14:textId="7C1E078F" w:rsidR="00991400" w:rsidRDefault="00472EB4" w:rsidP="00472EB4">
      <w:pPr>
        <w:pStyle w:val="USBullet1"/>
      </w:pPr>
      <w:r>
        <w:t>A</w:t>
      </w:r>
      <w:r w:rsidR="00991400">
        <w:t xml:space="preserve">lcohol use and </w:t>
      </w:r>
      <w:r w:rsidR="007E176F">
        <w:t xml:space="preserve">unhealthy </w:t>
      </w:r>
      <w:r w:rsidR="00991400">
        <w:t xml:space="preserve">diet </w:t>
      </w:r>
      <w:r>
        <w:t>(</w:t>
      </w:r>
      <w:r w:rsidR="003B732C">
        <w:t>additional risk factors of strategic interest to the Ministry of Health</w:t>
      </w:r>
      <w:r w:rsidR="00991400">
        <w:t xml:space="preserve"> that did not </w:t>
      </w:r>
      <w:r w:rsidR="003B732C">
        <w:t>feature</w:t>
      </w:r>
      <w:r w:rsidR="00991400">
        <w:t xml:space="preserve"> in the 2009 </w:t>
      </w:r>
      <w:r w:rsidR="003B732C">
        <w:t>report)</w:t>
      </w:r>
      <w:r w:rsidR="00991400">
        <w:t>.</w:t>
      </w:r>
    </w:p>
    <w:p w14:paraId="53DE2963" w14:textId="4F6538AA" w:rsidR="00991400" w:rsidRDefault="00991400" w:rsidP="003B732C">
      <w:pPr>
        <w:pStyle w:val="USBullet1"/>
      </w:pPr>
      <w:r>
        <w:t>Cardiovascular disease</w:t>
      </w:r>
      <w:r w:rsidR="00AD4592">
        <w:t xml:space="preserve"> (including </w:t>
      </w:r>
      <w:r w:rsidR="00AD4592" w:rsidRPr="00AD4592">
        <w:t xml:space="preserve">structural heart disease, </w:t>
      </w:r>
      <w:r w:rsidR="004B7761">
        <w:t>a</w:t>
      </w:r>
      <w:r w:rsidR="00AD4592" w:rsidRPr="00AD4592">
        <w:t xml:space="preserve">trial </w:t>
      </w:r>
      <w:r w:rsidR="004B7761">
        <w:t>f</w:t>
      </w:r>
      <w:r w:rsidR="00AD4592" w:rsidRPr="00AD4592">
        <w:t>ibrillation, heart failure, ischaemic heart disease and coronary heart disease</w:t>
      </w:r>
      <w:r w:rsidR="00AD4592">
        <w:t>)</w:t>
      </w:r>
      <w:r>
        <w:t xml:space="preserve"> and </w:t>
      </w:r>
      <w:r w:rsidR="00AD4592">
        <w:t>c</w:t>
      </w:r>
      <w:r>
        <w:t>ancer</w:t>
      </w:r>
      <w:r w:rsidR="00045E27">
        <w:t>,</w:t>
      </w:r>
      <w:r>
        <w:t xml:space="preserve"> which figure amongst the </w:t>
      </w:r>
      <w:r w:rsidR="00A52DF2">
        <w:t xml:space="preserve">four </w:t>
      </w:r>
      <w:r>
        <w:t xml:space="preserve">WHO </w:t>
      </w:r>
      <w:r w:rsidR="00FD5CBB">
        <w:t xml:space="preserve">long-term </w:t>
      </w:r>
      <w:r w:rsidR="00FD1651">
        <w:t>conditions</w:t>
      </w:r>
      <w:r>
        <w:t xml:space="preserve"> and </w:t>
      </w:r>
      <w:r w:rsidR="003B732C">
        <w:t xml:space="preserve">were </w:t>
      </w:r>
      <w:r w:rsidR="007E176F">
        <w:t>exclud</w:t>
      </w:r>
      <w:r w:rsidR="003B732C">
        <w:t>ed from the</w:t>
      </w:r>
      <w:r>
        <w:t xml:space="preserve"> 2009 report.</w:t>
      </w:r>
    </w:p>
    <w:p w14:paraId="06E71D7E" w14:textId="083B43D0" w:rsidR="00991400" w:rsidRDefault="003B732C" w:rsidP="003B732C">
      <w:pPr>
        <w:pStyle w:val="USBullet1"/>
      </w:pPr>
      <w:r>
        <w:t>G</w:t>
      </w:r>
      <w:r w:rsidR="00991400">
        <w:t xml:space="preserve">out, osteoarthritis, chronic kidney disease and dementia </w:t>
      </w:r>
      <w:r w:rsidR="00AC0D0A">
        <w:t>(</w:t>
      </w:r>
      <w:r w:rsidR="00991400">
        <w:t xml:space="preserve">conditions not captured in 2009 but related to risk factors of interest or conditions that were captured, and </w:t>
      </w:r>
      <w:r w:rsidR="00A52DF2">
        <w:t>–</w:t>
      </w:r>
      <w:r w:rsidR="00991400">
        <w:t xml:space="preserve"> in the case of gout in particular </w:t>
      </w:r>
      <w:r w:rsidR="00A52DF2">
        <w:t>–</w:t>
      </w:r>
      <w:r w:rsidR="00991400">
        <w:t xml:space="preserve"> of interest from an equity point of view</w:t>
      </w:r>
      <w:r w:rsidR="00AD4592">
        <w:t>)</w:t>
      </w:r>
      <w:r w:rsidR="00991400">
        <w:t>.</w:t>
      </w:r>
    </w:p>
    <w:p w14:paraId="21353444" w14:textId="39BC2BC0" w:rsidR="00AD4592" w:rsidRDefault="00AD4592" w:rsidP="003B732C">
      <w:pPr>
        <w:pStyle w:val="USBullet1"/>
      </w:pPr>
      <w:r>
        <w:t>Rheumatic fever (due to the equity issue this condition presents).</w:t>
      </w:r>
    </w:p>
    <w:bookmarkEnd w:id="71"/>
    <w:p w14:paraId="4638940E" w14:textId="77777777" w:rsidR="00AD4592" w:rsidRDefault="00AD4592" w:rsidP="00991400">
      <w:pPr>
        <w:pStyle w:val="USBodyText"/>
      </w:pPr>
      <w:r>
        <w:t>E</w:t>
      </w:r>
      <w:r w:rsidR="00991400">
        <w:t>xclud</w:t>
      </w:r>
      <w:r>
        <w:t>ed conditions are:</w:t>
      </w:r>
    </w:p>
    <w:p w14:paraId="1C2BBAE6" w14:textId="0D34FA81" w:rsidR="00AD4592" w:rsidRDefault="00991400" w:rsidP="00AD4592">
      <w:pPr>
        <w:pStyle w:val="USBullet1"/>
      </w:pPr>
      <w:r>
        <w:t>neurological conditions (</w:t>
      </w:r>
      <w:r w:rsidR="001342FE">
        <w:t>e.g.</w:t>
      </w:r>
      <w:r>
        <w:t xml:space="preserve"> </w:t>
      </w:r>
      <w:r w:rsidR="00DE3C40">
        <w:t>e</w:t>
      </w:r>
      <w:r>
        <w:t xml:space="preserve">pilepsy) </w:t>
      </w:r>
    </w:p>
    <w:p w14:paraId="316E1310" w14:textId="064FEBA3" w:rsidR="00AD4592" w:rsidRDefault="00991400" w:rsidP="00AD4592">
      <w:pPr>
        <w:pStyle w:val="USBullet1"/>
      </w:pPr>
      <w:r>
        <w:t>neurodevelopmental disorders (</w:t>
      </w:r>
      <w:r w:rsidR="001342FE">
        <w:t>e.g.</w:t>
      </w:r>
      <w:r>
        <w:t xml:space="preserve"> </w:t>
      </w:r>
      <w:r w:rsidR="00DE3C40">
        <w:t>a</w:t>
      </w:r>
      <w:r>
        <w:t>utism)</w:t>
      </w:r>
    </w:p>
    <w:p w14:paraId="2180D570" w14:textId="430F7760" w:rsidR="00AD4592" w:rsidRDefault="00DF6FA2" w:rsidP="00AD4592">
      <w:pPr>
        <w:pStyle w:val="USBullet1"/>
      </w:pPr>
      <w:r>
        <w:t xml:space="preserve">other </w:t>
      </w:r>
      <w:r w:rsidR="00991400">
        <w:t>musculoskeletal or chronic pain conditions (</w:t>
      </w:r>
      <w:r w:rsidR="001342FE">
        <w:t>e.g.</w:t>
      </w:r>
      <w:r w:rsidR="00991400">
        <w:t xml:space="preserve"> low back pain, chronic pain disorders)</w:t>
      </w:r>
    </w:p>
    <w:p w14:paraId="2ED260D1" w14:textId="348F6710" w:rsidR="00AD4592" w:rsidRDefault="00991400" w:rsidP="00DF6FA2">
      <w:pPr>
        <w:pStyle w:val="USBullet1"/>
        <w:numPr>
          <w:ilvl w:val="0"/>
          <w:numId w:val="0"/>
        </w:numPr>
        <w:ind w:left="1276"/>
      </w:pPr>
      <w:r>
        <w:t>mental health conditions (</w:t>
      </w:r>
      <w:r w:rsidR="001342FE">
        <w:t>e.g.</w:t>
      </w:r>
      <w:r>
        <w:t xml:space="preserve"> anxiety and depression) </w:t>
      </w:r>
    </w:p>
    <w:p w14:paraId="37CE479E" w14:textId="25BC5E4E" w:rsidR="00AD4592" w:rsidRDefault="00991400" w:rsidP="00AD4592">
      <w:pPr>
        <w:pStyle w:val="USBullet1"/>
      </w:pPr>
      <w:r>
        <w:t>injuries</w:t>
      </w:r>
    </w:p>
    <w:p w14:paraId="04D4939A" w14:textId="21957C6E" w:rsidR="00A45C1A" w:rsidRDefault="00991400" w:rsidP="00AD4592">
      <w:pPr>
        <w:pStyle w:val="USBullet1"/>
      </w:pPr>
      <w:r>
        <w:t>disability</w:t>
      </w:r>
      <w:r w:rsidR="00D45A18">
        <w:t>.</w:t>
      </w:r>
    </w:p>
    <w:p w14:paraId="31547F8F" w14:textId="77777777" w:rsidR="00A45C1A" w:rsidRDefault="00A45C1A">
      <w:pPr>
        <w:spacing w:after="160" w:line="259" w:lineRule="auto"/>
        <w:rPr>
          <w:rFonts w:eastAsiaTheme="majorEastAsia" w:cstheme="majorBidi"/>
          <w:b/>
          <w:color w:val="0094C5"/>
          <w:sz w:val="32"/>
          <w:szCs w:val="32"/>
        </w:rPr>
      </w:pPr>
      <w:r>
        <w:br w:type="page"/>
      </w:r>
    </w:p>
    <w:p w14:paraId="7E6384FA" w14:textId="14A8F891" w:rsidR="002F6D4C" w:rsidRDefault="002F6D4C" w:rsidP="002E10F0">
      <w:pPr>
        <w:pStyle w:val="Heading1"/>
      </w:pPr>
      <w:bookmarkStart w:id="73" w:name="_Toc98760522"/>
      <w:r>
        <w:lastRenderedPageBreak/>
        <w:t>Identifying the literature</w:t>
      </w:r>
      <w:bookmarkEnd w:id="73"/>
    </w:p>
    <w:p w14:paraId="7D187D11" w14:textId="59573808" w:rsidR="002F6D4C" w:rsidRDefault="002F6D4C" w:rsidP="002E10F0">
      <w:pPr>
        <w:pStyle w:val="Heading2"/>
      </w:pPr>
      <w:bookmarkStart w:id="74" w:name="_Toc98760523"/>
      <w:r>
        <w:t>Literature search methodology</w:t>
      </w:r>
      <w:bookmarkEnd w:id="74"/>
    </w:p>
    <w:p w14:paraId="769FF6C5" w14:textId="1DD76B41" w:rsidR="0067069A" w:rsidRDefault="00645E66" w:rsidP="008453B2">
      <w:pPr>
        <w:pStyle w:val="USBodyText"/>
      </w:pPr>
      <w:r>
        <w:t>Based on the original report being the result of literature searches in 2008</w:t>
      </w:r>
      <w:r w:rsidR="00CE568E">
        <w:t>, some 2008 publications may not have been identified for that report. So</w:t>
      </w:r>
      <w:r w:rsidR="007D59A3">
        <w:t>,</w:t>
      </w:r>
      <w:r w:rsidR="00CE568E">
        <w:t xml:space="preserve"> the search for </w:t>
      </w:r>
      <w:r w:rsidR="00A378DD">
        <w:t xml:space="preserve">this update report identified publications that were published from 2008 to 2021. </w:t>
      </w:r>
      <w:r w:rsidR="008453B2">
        <w:t>Most of t</w:t>
      </w:r>
      <w:r w:rsidR="00A378DD">
        <w:t>he search was conducted in July 2021, so</w:t>
      </w:r>
      <w:r w:rsidR="00F24D1B">
        <w:t xml:space="preserve"> some July 2021 publications may not have been identified</w:t>
      </w:r>
      <w:r w:rsidR="00B17854">
        <w:t>, and any published post-July 2021 are also not included</w:t>
      </w:r>
      <w:r w:rsidR="00A45C1A">
        <w:t xml:space="preserve">, except for </w:t>
      </w:r>
      <w:r w:rsidR="000B32CC">
        <w:t xml:space="preserve">studies using the terms </w:t>
      </w:r>
      <w:r w:rsidR="000B32CC" w:rsidRPr="000B32CC">
        <w:t xml:space="preserve">structural heart disease, </w:t>
      </w:r>
      <w:r w:rsidR="000B32CC">
        <w:t>a</w:t>
      </w:r>
      <w:r w:rsidR="000B32CC" w:rsidRPr="000B32CC">
        <w:t xml:space="preserve">trial </w:t>
      </w:r>
      <w:r w:rsidR="000B32CC">
        <w:t>f</w:t>
      </w:r>
      <w:r w:rsidR="000B32CC" w:rsidRPr="000B32CC">
        <w:t>ibrillation, heart failure, ischaemic heart disease and coronary heart disease</w:t>
      </w:r>
      <w:r w:rsidR="000B32CC">
        <w:t xml:space="preserve">, which were added at </w:t>
      </w:r>
      <w:r w:rsidR="00C17317">
        <w:t>the</w:t>
      </w:r>
      <w:r w:rsidR="000B32CC">
        <w:t xml:space="preserve"> Ministry of Health</w:t>
      </w:r>
      <w:r w:rsidR="00C17317">
        <w:t>’s</w:t>
      </w:r>
      <w:r w:rsidR="000B32CC">
        <w:t xml:space="preserve"> request in September</w:t>
      </w:r>
      <w:r w:rsidR="00C17317">
        <w:t xml:space="preserve"> 2021</w:t>
      </w:r>
      <w:r w:rsidR="00061EDD">
        <w:t xml:space="preserve"> and key studies published during the report drafting stages of the project</w:t>
      </w:r>
      <w:r w:rsidR="00B17854">
        <w:t>.</w:t>
      </w:r>
    </w:p>
    <w:p w14:paraId="2EC45FEF" w14:textId="201564B8" w:rsidR="008049C7" w:rsidRDefault="00801095" w:rsidP="00CF2BC4">
      <w:pPr>
        <w:pStyle w:val="USBodyText"/>
      </w:pPr>
      <w:r>
        <w:rPr>
          <w:noProof/>
        </w:rPr>
        <mc:AlternateContent>
          <mc:Choice Requires="wps">
            <w:drawing>
              <wp:anchor distT="45720" distB="45720" distL="114300" distR="114300" simplePos="0" relativeHeight="251660288" behindDoc="0" locked="0" layoutInCell="1" allowOverlap="1" wp14:anchorId="37586AF5" wp14:editId="2575621C">
                <wp:simplePos x="0" y="0"/>
                <wp:positionH relativeFrom="column">
                  <wp:posOffset>508635</wp:posOffset>
                </wp:positionH>
                <wp:positionV relativeFrom="paragraph">
                  <wp:posOffset>287655</wp:posOffset>
                </wp:positionV>
                <wp:extent cx="524827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rgbClr val="D1F3FF"/>
                        </a:solidFill>
                        <a:ln w="9525">
                          <a:noFill/>
                          <a:miter lim="800000"/>
                          <a:headEnd/>
                          <a:tailEnd/>
                        </a:ln>
                      </wps:spPr>
                      <wps:txbx>
                        <w:txbxContent>
                          <w:p w14:paraId="48453DC1" w14:textId="6E550B96" w:rsidR="003767C7" w:rsidRDefault="003767C7" w:rsidP="003767C7">
                            <w:pPr>
                              <w:pStyle w:val="Heading4"/>
                              <w:spacing w:before="0"/>
                              <w:ind w:left="0"/>
                            </w:pPr>
                            <w:r>
                              <w:t>Literature search methodology</w:t>
                            </w:r>
                          </w:p>
                          <w:p w14:paraId="09DFB1AE" w14:textId="50C8D598" w:rsidR="00801095" w:rsidRDefault="00801095" w:rsidP="00801095">
                            <w:r>
                              <w:t xml:space="preserve">We conducted literature searches using the PubMed, Econlit and Proquest Research library databases in July 2021. The focus was to find New </w:t>
                            </w:r>
                            <w:r w:rsidR="00DD5ACE">
                              <w:t>Zealand</w:t>
                            </w:r>
                            <w:r>
                              <w:t xml:space="preserve"> studies, but we also included any relevant international ones that we found in our search results </w:t>
                            </w:r>
                          </w:p>
                          <w:p w14:paraId="65B01ABA" w14:textId="77777777" w:rsidR="00801095" w:rsidRDefault="00801095" w:rsidP="00801095">
                            <w:r>
                              <w:t>We used combinations of the following terms to do the searches:</w:t>
                            </w:r>
                          </w:p>
                          <w:p w14:paraId="2FFE4C74" w14:textId="77777777" w:rsidR="00801095" w:rsidRDefault="00801095" w:rsidP="00801095">
                            <w:r>
                              <w:t>‘cost(s)’, ‘cost-of-illness’, ‘economics’, ‘cost analysis’, ‘burden’, ‘New Zealand’ and combined these with terms in 1 and 2.</w:t>
                            </w:r>
                          </w:p>
                          <w:p w14:paraId="49C7D3C9" w14:textId="77777777" w:rsidR="00801095" w:rsidRDefault="00801095" w:rsidP="00801095">
                            <w:pPr>
                              <w:pStyle w:val="ListParagraph"/>
                              <w:numPr>
                                <w:ilvl w:val="0"/>
                                <w:numId w:val="12"/>
                              </w:numPr>
                              <w:spacing w:after="160" w:line="259" w:lineRule="auto"/>
                            </w:pPr>
                            <w:r>
                              <w:t>‘</w:t>
                            </w:r>
                            <w:r w:rsidRPr="00097CF2">
                              <w:t>Long term condition*</w:t>
                            </w:r>
                            <w:r>
                              <w:t>’</w:t>
                            </w:r>
                            <w:r w:rsidRPr="00097CF2">
                              <w:t xml:space="preserve"> OR </w:t>
                            </w:r>
                            <w:r>
                              <w:t>‘</w:t>
                            </w:r>
                            <w:r w:rsidRPr="00097CF2">
                              <w:t>Long-term illness*</w:t>
                            </w:r>
                            <w:r>
                              <w:t>’</w:t>
                            </w:r>
                            <w:r w:rsidRPr="00097CF2">
                              <w:t xml:space="preserve"> OR </w:t>
                            </w:r>
                            <w:r>
                              <w:t>‘</w:t>
                            </w:r>
                            <w:r w:rsidRPr="00097CF2">
                              <w:t>Chronic condition*</w:t>
                            </w:r>
                            <w:r>
                              <w:t>’</w:t>
                            </w:r>
                            <w:r w:rsidRPr="00097CF2">
                              <w:t xml:space="preserve"> OR </w:t>
                            </w:r>
                            <w:r>
                              <w:t>‘</w:t>
                            </w:r>
                            <w:r w:rsidRPr="00097CF2">
                              <w:t>Chronic disease*</w:t>
                            </w:r>
                            <w:r>
                              <w:t>’</w:t>
                            </w:r>
                            <w:r w:rsidRPr="00097CF2">
                              <w:t xml:space="preserve"> OR </w:t>
                            </w:r>
                            <w:r>
                              <w:t>‘</w:t>
                            </w:r>
                            <w:r w:rsidRPr="00097CF2">
                              <w:t>Chronic illness*</w:t>
                            </w:r>
                            <w:r>
                              <w:t>’</w:t>
                            </w:r>
                            <w:r w:rsidRPr="00097CF2">
                              <w:t xml:space="preserve"> OR </w:t>
                            </w:r>
                            <w:r>
                              <w:t>‘</w:t>
                            </w:r>
                            <w:r w:rsidRPr="00097CF2">
                              <w:t>Non-communicable disease*</w:t>
                            </w:r>
                            <w:r>
                              <w:t>’</w:t>
                            </w:r>
                            <w:r w:rsidRPr="00097CF2">
                              <w:t xml:space="preserve"> OR LTCs OR NCDs</w:t>
                            </w:r>
                          </w:p>
                          <w:p w14:paraId="1214911A" w14:textId="59C36119" w:rsidR="00801095" w:rsidRDefault="00801095" w:rsidP="00801095">
                            <w:pPr>
                              <w:pStyle w:val="ListParagraph"/>
                              <w:numPr>
                                <w:ilvl w:val="0"/>
                                <w:numId w:val="12"/>
                              </w:numPr>
                              <w:spacing w:after="160" w:line="259" w:lineRule="auto"/>
                            </w:pPr>
                            <w:r>
                              <w:t>‘Asthma’ OR ‘Arthritis’ OR ‘COPD’ OR ‘chronic obstructive pulmonary disease’ OR ‘CHD’ OR ‘coronary heart disease’ OR ‘Alzheimer’s’ OR ‘HIV/AIDS’ OR stroke OR ‘Obstructive sleep apnoea’ OR ‘Osteoporosis’ OR ‘</w:t>
                            </w:r>
                            <w:r w:rsidR="00127CB3">
                              <w:t>Diabetes</w:t>
                            </w:r>
                            <w:r>
                              <w:t>’ OR ‘Obesity’ OR ‘Physical inactivity’ OR ‘Sedentary lifestyle’ OR ‘Tobacco’ OR ‘Alcohol’ OR ‘Diet’ OR ‘Cardiovascular disease’ OR’ Cancer’ OR ‘Gout’ OR ‘Osteoarthritis’ OR ‘Chronic kidney disease’ OR ‘chronic renal failure’ or ‘Dementia’</w:t>
                            </w:r>
                          </w:p>
                          <w:p w14:paraId="3A0F4612" w14:textId="77777777" w:rsidR="00801095" w:rsidRDefault="00801095" w:rsidP="00801095">
                            <w:r>
                              <w:t>Results were limited to 2008 and later, and in English.</w:t>
                            </w:r>
                          </w:p>
                          <w:p w14:paraId="77000025" w14:textId="77777777" w:rsidR="00801095" w:rsidRDefault="00801095" w:rsidP="00801095">
                            <w:r>
                              <w:t>We also did supplementary searches on Google Scholar and Google.</w:t>
                            </w:r>
                          </w:p>
                          <w:p w14:paraId="561282F3" w14:textId="77777777" w:rsidR="00801095" w:rsidRDefault="00801095" w:rsidP="00801095">
                            <w:r>
                              <w:t>In-scope studies were also subject to citation searches, and we scanned their bibliographies.</w:t>
                            </w:r>
                          </w:p>
                          <w:p w14:paraId="1F3699B1" w14:textId="77777777" w:rsidR="00801095" w:rsidRDefault="00801095" w:rsidP="00801095">
                            <w:r>
                              <w:t>In September 2021, we were given additional conditions to search ‘CVD’OR ‘structural heart disease’ OR ‘atrial fibrillation’ OR ‘heart failure’ OR ‘ischemic heart disease’ OR ‘coronary heart disease’ ‘rheumatic/rhematic fever’.</w:t>
                            </w:r>
                          </w:p>
                          <w:p w14:paraId="0CB2E6FB" w14:textId="77777777" w:rsidR="00801095" w:rsidRDefault="00801095" w:rsidP="00801095">
                            <w:r>
                              <w:t>We searched the same databases as in our July search for these additional conditions, and the same search limitations were applied to these searches. We searched these additional conditions with combinations of the following terms: ‘cost(s)’, ‘cost-of-illness’, ‘economics’, ‘cost analysis’, ‘burden’, ‘New Zealand’.</w:t>
                            </w:r>
                          </w:p>
                          <w:p w14:paraId="2DA83386" w14:textId="1EBCAFAB" w:rsidR="00801095" w:rsidRDefault="00801095">
                            <w:r>
                              <w:t>We managed our search results in the Zotero research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37586AF5" id="_x0000_t202" coordsize="21600,21600" o:spt="202" path="m,l,21600r21600,l21600,xe">
                <v:stroke joinstyle="miter"/>
                <v:path gradientshapeok="t" o:connecttype="rect"/>
              </v:shapetype>
              <v:shape id="Text Box 2" o:spid="_x0000_s1026" type="#_x0000_t202" style="position:absolute;left:0;text-align:left;margin-left:40.05pt;margin-top:22.65pt;width:413.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" fillcolor="#d1f3ff" stroked="f">
                <v:textbox style="mso-fit-shape-to-text:t">
                  <w:txbxContent>
                    <w:p w14:paraId="48453DC1" w14:textId="6E550B96" w:rsidR="003767C7" w:rsidRDefault="003767C7" w:rsidP="003767C7">
                      <w:pPr>
                        <w:pStyle w:val="Heading4"/>
                        <w:spacing w:before="0"/>
                        <w:ind w:left="0"/>
                      </w:pPr>
                      <w:r>
                        <w:t>Literature search methodology</w:t>
                      </w:r>
                    </w:p>
                    <w:p w14:paraId="09DFB1AE" w14:textId="50C8D598" w:rsidR="00801095" w:rsidRDefault="00801095" w:rsidP="00801095">
                      <w:r>
                        <w:t xml:space="preserve">We conducted literature searches using the PubMed, Econlit and Proquest Research library databases in July 2021. The focus was to find New </w:t>
                      </w:r>
                      <w:r w:rsidR="00DD5ACE">
                        <w:t>Zealand</w:t>
                      </w:r>
                      <w:r>
                        <w:t xml:space="preserve"> studies, but we also included any relevant international ones that we found in our search results </w:t>
                      </w:r>
                    </w:p>
                    <w:p w14:paraId="65B01ABA" w14:textId="77777777" w:rsidR="00801095" w:rsidRDefault="00801095" w:rsidP="00801095">
                      <w:r>
                        <w:t>We used combinations of the following terms to do the searches:</w:t>
                      </w:r>
                    </w:p>
                    <w:p w14:paraId="2FFE4C74" w14:textId="77777777" w:rsidR="00801095" w:rsidRDefault="00801095" w:rsidP="00801095">
                      <w:r>
                        <w:t>‘cost(s)’, ‘cost-of-illness’, ‘economics’, ‘cost analysis’, ‘burden’, ‘New Zealand’ and combined these with terms in 1 and 2.</w:t>
                      </w:r>
                    </w:p>
                    <w:p w14:paraId="49C7D3C9" w14:textId="77777777" w:rsidR="00801095" w:rsidRDefault="00801095" w:rsidP="00801095">
                      <w:pPr>
                        <w:pStyle w:val="ListParagraph"/>
                        <w:numPr>
                          <w:ilvl w:val="0"/>
                          <w:numId w:val="12"/>
                        </w:numPr>
                        <w:spacing w:after="160" w:line="259" w:lineRule="auto"/>
                      </w:pPr>
                      <w:r>
                        <w:t>‘</w:t>
                      </w:r>
                      <w:r w:rsidRPr="00097CF2">
                        <w:t>Long term condition*</w:t>
                      </w:r>
                      <w:r>
                        <w:t>’</w:t>
                      </w:r>
                      <w:r w:rsidRPr="00097CF2">
                        <w:t xml:space="preserve"> OR </w:t>
                      </w:r>
                      <w:r>
                        <w:t>‘</w:t>
                      </w:r>
                      <w:r w:rsidRPr="00097CF2">
                        <w:t>Long-term illness*</w:t>
                      </w:r>
                      <w:r>
                        <w:t>’</w:t>
                      </w:r>
                      <w:r w:rsidRPr="00097CF2">
                        <w:t xml:space="preserve"> OR </w:t>
                      </w:r>
                      <w:r>
                        <w:t>‘</w:t>
                      </w:r>
                      <w:r w:rsidRPr="00097CF2">
                        <w:t>Chronic condition*</w:t>
                      </w:r>
                      <w:r>
                        <w:t>’</w:t>
                      </w:r>
                      <w:r w:rsidRPr="00097CF2">
                        <w:t xml:space="preserve"> OR </w:t>
                      </w:r>
                      <w:r>
                        <w:t>‘</w:t>
                      </w:r>
                      <w:r w:rsidRPr="00097CF2">
                        <w:t>Chronic disease*</w:t>
                      </w:r>
                      <w:r>
                        <w:t>’</w:t>
                      </w:r>
                      <w:r w:rsidRPr="00097CF2">
                        <w:t xml:space="preserve"> OR </w:t>
                      </w:r>
                      <w:r>
                        <w:t>‘</w:t>
                      </w:r>
                      <w:r w:rsidRPr="00097CF2">
                        <w:t>Chronic illness*</w:t>
                      </w:r>
                      <w:r>
                        <w:t>’</w:t>
                      </w:r>
                      <w:r w:rsidRPr="00097CF2">
                        <w:t xml:space="preserve"> OR </w:t>
                      </w:r>
                      <w:r>
                        <w:t>‘</w:t>
                      </w:r>
                      <w:r w:rsidRPr="00097CF2">
                        <w:t>Non-communicable disease*</w:t>
                      </w:r>
                      <w:r>
                        <w:t>’</w:t>
                      </w:r>
                      <w:r w:rsidRPr="00097CF2">
                        <w:t xml:space="preserve"> OR LTCs OR NCDs</w:t>
                      </w:r>
                    </w:p>
                    <w:p w14:paraId="1214911A" w14:textId="59C36119" w:rsidR="00801095" w:rsidRDefault="00801095" w:rsidP="00801095">
                      <w:pPr>
                        <w:pStyle w:val="ListParagraph"/>
                        <w:numPr>
                          <w:ilvl w:val="0"/>
                          <w:numId w:val="12"/>
                        </w:numPr>
                        <w:spacing w:after="160" w:line="259" w:lineRule="auto"/>
                      </w:pPr>
                      <w:r>
                        <w:t>‘Asthma’ OR ‘Arthritis’ OR ‘COPD’ OR ‘chronic obstructive pulmonary disease’ OR ‘CHD’ OR ‘coronary heart disease’ OR ‘Alzheimer’s’ OR ‘HIV/AIDS’ OR stroke OR ‘Obstructive sleep apnoea’ OR ‘Osteoporosis’ OR ‘</w:t>
                      </w:r>
                      <w:r w:rsidR="00127CB3">
                        <w:t>Diabetes</w:t>
                      </w:r>
                      <w:r>
                        <w:t>’ OR ‘Obesity’ OR ‘Physical inactivity’ OR ‘Sedentary lifestyle’ OR ‘Tobacco’ OR ‘Alcohol’ OR ‘Diet’ OR ‘Cardiovascular disease’ OR’ Cancer’ OR ‘Gout’ OR ‘Osteoarthritis’ OR ‘Chronic kidney disease’ OR ‘chronic renal failure’ or ‘Dementia’</w:t>
                      </w:r>
                    </w:p>
                    <w:p w14:paraId="3A0F4612" w14:textId="77777777" w:rsidR="00801095" w:rsidRDefault="00801095" w:rsidP="00801095">
                      <w:r>
                        <w:t>Results were limited to 2008 and later, and in English.</w:t>
                      </w:r>
                    </w:p>
                    <w:p w14:paraId="77000025" w14:textId="77777777" w:rsidR="00801095" w:rsidRDefault="00801095" w:rsidP="00801095">
                      <w:r>
                        <w:t>We also did supplementary searches on Google Scholar and Google.</w:t>
                      </w:r>
                    </w:p>
                    <w:p w14:paraId="561282F3" w14:textId="77777777" w:rsidR="00801095" w:rsidRDefault="00801095" w:rsidP="00801095">
                      <w:r>
                        <w:t>In-scope studies were also subject to citation searches, and we scanned their bibliographies.</w:t>
                      </w:r>
                    </w:p>
                    <w:p w14:paraId="1F3699B1" w14:textId="77777777" w:rsidR="00801095" w:rsidRDefault="00801095" w:rsidP="00801095">
                      <w:r>
                        <w:t>In September 2021, we were given additional conditions to search ‘CVD’OR ‘structural heart disease’ OR ‘atrial fibrillation’ OR ‘heart failure’ OR ‘ischemic heart disease’ OR ‘coronary heart disease’ ‘rheumatic/rhematic fever’.</w:t>
                      </w:r>
                    </w:p>
                    <w:p w14:paraId="0CB2E6FB" w14:textId="77777777" w:rsidR="00801095" w:rsidRDefault="00801095" w:rsidP="00801095">
                      <w:r>
                        <w:t>We searched the same databases as in our July search for these additional conditions, and the same search limitations were applied to these searches. We searched these additional conditions with combinations of the following terms: ‘cost(s)’, ‘cost-of-illness’, ‘economics’, ‘cost analysis’, ‘burden’, ‘New Zealand’.</w:t>
                      </w:r>
                    </w:p>
                    <w:p w14:paraId="2DA83386" w14:textId="1EBCAFAB" w:rsidR="00801095" w:rsidRDefault="00801095">
                      <w:r>
                        <w:t>We managed our search results in the Zotero research tool.</w:t>
                      </w:r>
                    </w:p>
                  </w:txbxContent>
                </v:textbox>
                <w10:wrap type="square"/>
              </v:shape>
            </w:pict>
          </mc:Fallback>
        </mc:AlternateContent>
      </w:r>
      <w:r w:rsidR="008049C7">
        <w:t xml:space="preserve">A detailed description of the search methodology is included in </w:t>
      </w:r>
      <w:r>
        <w:t>the box below</w:t>
      </w:r>
      <w:r w:rsidR="008049C7">
        <w:t>.</w:t>
      </w:r>
    </w:p>
    <w:p w14:paraId="3A1D05E9" w14:textId="1C1A4C9D" w:rsidR="000C2C4C" w:rsidRDefault="000C2C4C" w:rsidP="002E10F0">
      <w:pPr>
        <w:pStyle w:val="Heading2"/>
      </w:pPr>
      <w:bookmarkStart w:id="75" w:name="_Toc98760524"/>
      <w:r>
        <w:lastRenderedPageBreak/>
        <w:t>Sorting published studies</w:t>
      </w:r>
      <w:bookmarkEnd w:id="75"/>
    </w:p>
    <w:p w14:paraId="37F9D59D" w14:textId="1DBDA1DC" w:rsidR="000C2C4C" w:rsidRDefault="00926A92" w:rsidP="000C2C4C">
      <w:pPr>
        <w:pStyle w:val="USBodyText"/>
      </w:pPr>
      <w:r>
        <w:t>In total, the search generated 463 studies</w:t>
      </w:r>
      <w:r w:rsidR="00B757E1">
        <w:t xml:space="preserve">. These were </w:t>
      </w:r>
      <w:r w:rsidR="004F195B">
        <w:t xml:space="preserve">initially </w:t>
      </w:r>
      <w:r w:rsidR="00B757E1">
        <w:t xml:space="preserve">sorted by assessing relevance from titles and abstracts. This process </w:t>
      </w:r>
      <w:r w:rsidR="00054D9E">
        <w:t>resulted in the identification of:</w:t>
      </w:r>
    </w:p>
    <w:p w14:paraId="0D2F73DB" w14:textId="0DBA7F3F" w:rsidR="00686264" w:rsidRDefault="00686264" w:rsidP="00054D9E">
      <w:pPr>
        <w:pStyle w:val="USBullet1"/>
      </w:pPr>
      <w:r>
        <w:t>31 studies that were related to conditions not in scope</w:t>
      </w:r>
      <w:r w:rsidR="00CF61E8">
        <w:t xml:space="preserve"> (including a New Zealand study on the economic and health burdens of group A Streptococcus</w:t>
      </w:r>
      <w:r w:rsidR="00B65E1F">
        <w:t>)</w:t>
      </w:r>
    </w:p>
    <w:p w14:paraId="4C7EF2EE" w14:textId="19E686FC" w:rsidR="00686264" w:rsidRDefault="0034525E" w:rsidP="00054D9E">
      <w:pPr>
        <w:pStyle w:val="USBullet1"/>
      </w:pPr>
      <w:r>
        <w:t>158 studies with other OECD countries as the context</w:t>
      </w:r>
      <w:r w:rsidR="009B5019">
        <w:t>, including global and multi-country studies</w:t>
      </w:r>
      <w:r w:rsidR="0095030C">
        <w:t xml:space="preserve"> </w:t>
      </w:r>
      <w:r>
        <w:t>(th</w:t>
      </w:r>
      <w:r w:rsidR="00D31ADF">
        <w:t>is category was created to provide a priority set to find evidence where New Zealand evidence was lacking)</w:t>
      </w:r>
    </w:p>
    <w:p w14:paraId="21AFDD78" w14:textId="06BD238A" w:rsidR="00DD4681" w:rsidRDefault="00DD4681" w:rsidP="00054D9E">
      <w:pPr>
        <w:pStyle w:val="USBullet1"/>
      </w:pPr>
      <w:r>
        <w:t>21 studies from non-OECD countries (considered less relevant</w:t>
      </w:r>
      <w:r w:rsidR="00236CEC">
        <w:t xml:space="preserve"> for New Zealand)</w:t>
      </w:r>
    </w:p>
    <w:p w14:paraId="4AFFAAB0" w14:textId="18205861" w:rsidR="00D31ADF" w:rsidRDefault="00306789" w:rsidP="00054D9E">
      <w:pPr>
        <w:pStyle w:val="USBullet1"/>
      </w:pPr>
      <w:r>
        <w:t>54 studies that were literature reviews or meta-analyses</w:t>
      </w:r>
      <w:r w:rsidR="00EF5635">
        <w:t xml:space="preserve"> (including six based on New Zealand evidence)</w:t>
      </w:r>
    </w:p>
    <w:p w14:paraId="744432E0" w14:textId="67E11D6E" w:rsidR="00236CEC" w:rsidRDefault="00236CEC" w:rsidP="00054D9E">
      <w:pPr>
        <w:pStyle w:val="USBullet1"/>
      </w:pPr>
      <w:r>
        <w:t xml:space="preserve">58 studies that were </w:t>
      </w:r>
      <w:r w:rsidR="006E43E7">
        <w:t>burden</w:t>
      </w:r>
      <w:r>
        <w:t xml:space="preserve"> of disease</w:t>
      </w:r>
      <w:r w:rsidR="005E3955">
        <w:t>, intervention studies, or other study types that were not cost-of-illness studies</w:t>
      </w:r>
    </w:p>
    <w:p w14:paraId="4D428B41" w14:textId="78744387" w:rsidR="00B655BA" w:rsidRDefault="00B655BA" w:rsidP="00054D9E">
      <w:pPr>
        <w:pStyle w:val="USBullet1"/>
      </w:pPr>
      <w:r>
        <w:t xml:space="preserve">4 studies that were not in </w:t>
      </w:r>
      <w:r w:rsidR="002860F6">
        <w:t xml:space="preserve">the </w:t>
      </w:r>
      <w:r>
        <w:t>English language</w:t>
      </w:r>
    </w:p>
    <w:p w14:paraId="4A11181A" w14:textId="1F4F8523" w:rsidR="00B655BA" w:rsidRDefault="00B655BA" w:rsidP="00054D9E">
      <w:pPr>
        <w:pStyle w:val="USBullet1"/>
      </w:pPr>
      <w:r>
        <w:t>2 studies that pre-dated the search timeframe</w:t>
      </w:r>
      <w:r w:rsidR="002860F6">
        <w:t>.</w:t>
      </w:r>
    </w:p>
    <w:p w14:paraId="5B0B831E" w14:textId="0174FB49" w:rsidR="00C03D35" w:rsidRDefault="00913982" w:rsidP="00B65E1F">
      <w:pPr>
        <w:pStyle w:val="USBullet1"/>
        <w:numPr>
          <w:ilvl w:val="0"/>
          <w:numId w:val="0"/>
        </w:numPr>
        <w:ind w:left="851"/>
      </w:pPr>
      <w:r>
        <w:t>Twenty</w:t>
      </w:r>
      <w:r w:rsidR="004B7761">
        <w:t>-</w:t>
      </w:r>
      <w:r w:rsidR="003503A8">
        <w:t>two</w:t>
      </w:r>
      <w:r w:rsidR="00C03D35">
        <w:t xml:space="preserve"> studies </w:t>
      </w:r>
      <w:r w:rsidR="00175149">
        <w:t xml:space="preserve">that </w:t>
      </w:r>
      <w:r w:rsidR="00C03D35">
        <w:t>provided cost-of-illness</w:t>
      </w:r>
      <w:r w:rsidR="00DB3F3B">
        <w:t xml:space="preserve"> evidence from a New Zealand context </w:t>
      </w:r>
      <w:r w:rsidR="00B65E1F">
        <w:t xml:space="preserve">on in-scope conditions were identified, </w:t>
      </w:r>
      <w:r w:rsidR="00DB3F3B">
        <w:t>although not all of these were cost-of-illness studies</w:t>
      </w:r>
      <w:r w:rsidR="00003D00">
        <w:t xml:space="preserve"> per se.</w:t>
      </w:r>
      <w:r w:rsidR="00175149">
        <w:t xml:space="preserve"> An additional 18 international studies were included </w:t>
      </w:r>
      <w:r w:rsidR="00CB4E55">
        <w:t xml:space="preserve">to provide cost-of-illness information on </w:t>
      </w:r>
      <w:r w:rsidR="00AC57AA">
        <w:t xml:space="preserve">risk factors and conditions for which no New Zealand study was identified or where </w:t>
      </w:r>
      <w:r w:rsidR="006D7073">
        <w:t>New Zealand cost-of</w:t>
      </w:r>
      <w:r w:rsidR="006C3829">
        <w:t>-</w:t>
      </w:r>
      <w:r w:rsidR="006D7073">
        <w:t xml:space="preserve">illness </w:t>
      </w:r>
      <w:r w:rsidR="006C3829">
        <w:t>evidence was more limited. Additional stu</w:t>
      </w:r>
      <w:r w:rsidR="004F6023">
        <w:t xml:space="preserve">dies that provided information that is relevant to understanding costs of illness </w:t>
      </w:r>
      <w:r w:rsidR="00A06FCC">
        <w:t>were identified opportunistically and included where relevant.</w:t>
      </w:r>
    </w:p>
    <w:p w14:paraId="6DE5CCCE" w14:textId="77777777" w:rsidR="00CF2BC4" w:rsidRDefault="00CF2BC4">
      <w:pPr>
        <w:spacing w:after="160" w:line="259" w:lineRule="auto"/>
        <w:rPr>
          <w:rFonts w:eastAsiaTheme="majorEastAsia" w:cstheme="majorBidi"/>
          <w:b/>
          <w:color w:val="0094C5"/>
          <w:sz w:val="32"/>
          <w:szCs w:val="32"/>
        </w:rPr>
      </w:pPr>
      <w:r>
        <w:br w:type="page"/>
      </w:r>
    </w:p>
    <w:p w14:paraId="6EEB9CF2" w14:textId="1EE41693" w:rsidR="00E05872" w:rsidRDefault="004C102D" w:rsidP="002E10F0">
      <w:pPr>
        <w:pStyle w:val="Heading1"/>
      </w:pPr>
      <w:bookmarkStart w:id="76" w:name="_Toc98760525"/>
      <w:r>
        <w:lastRenderedPageBreak/>
        <w:t>Summary of New Zealand literature</w:t>
      </w:r>
      <w:bookmarkEnd w:id="76"/>
    </w:p>
    <w:p w14:paraId="7BF85755" w14:textId="369A3E9F" w:rsidR="008554EE" w:rsidRDefault="008554EE" w:rsidP="002E10F0">
      <w:pPr>
        <w:pStyle w:val="Heading2"/>
      </w:pPr>
      <w:bookmarkStart w:id="77" w:name="_Toc98760526"/>
      <w:r>
        <w:t>Burden of illness</w:t>
      </w:r>
      <w:bookmarkEnd w:id="77"/>
    </w:p>
    <w:p w14:paraId="56612B5C" w14:textId="0BBD1C01" w:rsidR="008554EE" w:rsidRDefault="008554EE" w:rsidP="008554EE">
      <w:pPr>
        <w:pStyle w:val="USBodyText"/>
      </w:pPr>
      <w:r>
        <w:t xml:space="preserve">In </w:t>
      </w:r>
      <w:r w:rsidR="00C5414B" w:rsidRPr="00C5414B">
        <w:rPr>
          <w:rFonts w:cs="Calibri"/>
        </w:rPr>
        <w:t>2013</w:t>
      </w:r>
      <w:r>
        <w:t xml:space="preserve">, the Ministry of Health published </w:t>
      </w:r>
      <w:r w:rsidRPr="00317702">
        <w:rPr>
          <w:i/>
          <w:iCs/>
        </w:rPr>
        <w:t>Health Loss in New Zealand</w:t>
      </w:r>
      <w:r w:rsidR="007B367C">
        <w:t xml:space="preserve">, a report on the burden of illness, injuries and risk factors </w:t>
      </w:r>
      <w:r w:rsidR="00AA0270">
        <w:t xml:space="preserve">based on the </w:t>
      </w:r>
      <w:r w:rsidR="00AA0270" w:rsidRPr="00AA0270">
        <w:t>New Zealand Burden of Diseases, Injuries and Risk Factors Study (NZBD)</w:t>
      </w:r>
      <w:r w:rsidR="00F139B4">
        <w:t>,</w:t>
      </w:r>
      <w:r w:rsidR="00B61C6B">
        <w:t xml:space="preserve"> which provided estimates for 2006 and projections to 2016 of the </w:t>
      </w:r>
      <w:r w:rsidR="00D11475">
        <w:t xml:space="preserve">fatal and non-fatal outcomes of 217 diseases and injuries and 31 risk factors. </w:t>
      </w:r>
    </w:p>
    <w:p w14:paraId="2DFD152E" w14:textId="0FC14598" w:rsidR="000C62CA" w:rsidRDefault="00250F8A" w:rsidP="00A27B5C">
      <w:pPr>
        <w:pStyle w:val="USBodyText"/>
      </w:pPr>
      <w:r>
        <w:t xml:space="preserve">The report estimates that </w:t>
      </w:r>
      <w:r w:rsidR="00F75D74">
        <w:t>New Zealand lost 955,000 years of healthy life (measured in disability-adjusted life years (DALYs))</w:t>
      </w:r>
      <w:r w:rsidR="00500681">
        <w:t xml:space="preserve"> in 2006, roughly evenly attributed to deaths (51 percent) and </w:t>
      </w:r>
      <w:r w:rsidR="00993DE1">
        <w:t>ill health or disability (49 percent)</w:t>
      </w:r>
      <w:r w:rsidR="0045099E">
        <w:t>. However,</w:t>
      </w:r>
      <w:r w:rsidR="00616764">
        <w:t xml:space="preserve"> sub-group analysis revealed that </w:t>
      </w:r>
      <w:r w:rsidR="00E03F9C">
        <w:t>Māori</w:t>
      </w:r>
      <w:r w:rsidR="00616764">
        <w:t xml:space="preserve"> males lost significantly more DALYs due to fatal</w:t>
      </w:r>
      <w:r w:rsidR="002A0C67">
        <w:t xml:space="preserve"> outcomes (63 percent) while non-</w:t>
      </w:r>
      <w:r w:rsidR="00E03F9C">
        <w:t>Māori</w:t>
      </w:r>
      <w:r w:rsidR="002A0C67">
        <w:t xml:space="preserve"> females lost significantly more DALYs due to non-fatal outcomes (</w:t>
      </w:r>
      <w:r w:rsidR="00F5141B">
        <w:t>57 percent).</w:t>
      </w:r>
      <w:r w:rsidR="00A27B5C">
        <w:t xml:space="preserve"> </w:t>
      </w:r>
      <w:r w:rsidR="000C62CA">
        <w:t xml:space="preserve">The study also found that </w:t>
      </w:r>
      <w:r w:rsidR="00E03F9C">
        <w:t>two-</w:t>
      </w:r>
      <w:r w:rsidR="000C62CA">
        <w:t xml:space="preserve">thirds of </w:t>
      </w:r>
      <w:r w:rsidR="00A27B5C">
        <w:t>health loss occurred in people aged 45 or older.</w:t>
      </w:r>
    </w:p>
    <w:p w14:paraId="34A044AB" w14:textId="5A52BAA9" w:rsidR="00A576D2" w:rsidRDefault="00177F45" w:rsidP="008554EE">
      <w:pPr>
        <w:pStyle w:val="USBodyText"/>
      </w:pPr>
      <w:r>
        <w:t>T</w:t>
      </w:r>
      <w:r w:rsidR="00462554">
        <w:t>he report estimated health loss by condition group, of which there were 16</w:t>
      </w:r>
      <w:r w:rsidR="00A576D2">
        <w:t xml:space="preserve"> groups</w:t>
      </w:r>
      <w:r w:rsidR="000F30EF">
        <w:t xml:space="preserve"> indicated by the NZBD classification system</w:t>
      </w:r>
      <w:r w:rsidR="00A576D2">
        <w:t xml:space="preserve">, comprising the 217 specific conditions. </w:t>
      </w:r>
      <w:r w:rsidRPr="00177F45">
        <w:t xml:space="preserve">In 2006 the </w:t>
      </w:r>
      <w:r w:rsidR="00A576D2">
        <w:t>condition groups</w:t>
      </w:r>
      <w:r w:rsidRPr="00177F45">
        <w:t xml:space="preserve"> </w:t>
      </w:r>
      <w:r w:rsidR="00A576D2">
        <w:t xml:space="preserve">responsible for the most health loss in </w:t>
      </w:r>
      <w:r w:rsidRPr="00177F45">
        <w:t>New Zealand were</w:t>
      </w:r>
      <w:r w:rsidR="00A576D2">
        <w:t xml:space="preserve"> (numbers in brackets represent </w:t>
      </w:r>
      <w:r w:rsidR="00E03F9C">
        <w:t xml:space="preserve">the </w:t>
      </w:r>
      <w:r w:rsidR="00A576D2">
        <w:t>share of health loss attributed to the condition group):</w:t>
      </w:r>
    </w:p>
    <w:p w14:paraId="35B96FC4" w14:textId="6D8DDA99" w:rsidR="00A576D2" w:rsidRDefault="00177F45" w:rsidP="00A576D2">
      <w:pPr>
        <w:pStyle w:val="USBullet1"/>
      </w:pPr>
      <w:r w:rsidRPr="00177F45">
        <w:t xml:space="preserve">cancers </w:t>
      </w:r>
      <w:r w:rsidR="00A576D2">
        <w:t>(</w:t>
      </w:r>
      <w:r w:rsidRPr="00177F45">
        <w:t>17.5</w:t>
      </w:r>
      <w:r w:rsidR="008B71CF">
        <w:t xml:space="preserve"> percent</w:t>
      </w:r>
      <w:r w:rsidR="008B71CF" w:rsidRPr="00177F45">
        <w:t>)</w:t>
      </w:r>
      <w:r w:rsidR="008B71CF">
        <w:t xml:space="preserve">, </w:t>
      </w:r>
      <w:r w:rsidR="00A576D2">
        <w:t xml:space="preserve">especially </w:t>
      </w:r>
      <w:r w:rsidR="00A576D2" w:rsidRPr="00A576D2">
        <w:t>lung cancer (3.0</w:t>
      </w:r>
      <w:r w:rsidR="008B71CF">
        <w:t xml:space="preserve"> percent</w:t>
      </w:r>
      <w:r w:rsidR="008B71CF" w:rsidRPr="00A576D2">
        <w:t xml:space="preserve">), </w:t>
      </w:r>
      <w:r w:rsidR="00A576D2" w:rsidRPr="00A576D2">
        <w:t>colon and rectum cancers (2.5</w:t>
      </w:r>
      <w:r w:rsidR="008B71CF">
        <w:t xml:space="preserve"> percent</w:t>
      </w:r>
      <w:r w:rsidR="008B71CF" w:rsidRPr="00A576D2">
        <w:t xml:space="preserve">), </w:t>
      </w:r>
      <w:r w:rsidR="00A576D2" w:rsidRPr="00A576D2">
        <w:t>female breast cancer (1.9</w:t>
      </w:r>
      <w:r w:rsidR="008B71CF">
        <w:t xml:space="preserve"> percent</w:t>
      </w:r>
      <w:r w:rsidR="008B71CF" w:rsidRPr="00A576D2">
        <w:t xml:space="preserve">) </w:t>
      </w:r>
      <w:r w:rsidR="00A576D2" w:rsidRPr="00A576D2">
        <w:t>and prostate cancer (1.0</w:t>
      </w:r>
      <w:r w:rsidR="008B71CF">
        <w:t xml:space="preserve"> percent</w:t>
      </w:r>
      <w:r w:rsidR="008B71CF" w:rsidRPr="00A576D2">
        <w:t>)</w:t>
      </w:r>
    </w:p>
    <w:p w14:paraId="2F9B5E59" w14:textId="278DAAB4" w:rsidR="00F5141B" w:rsidRDefault="00177F45" w:rsidP="00A576D2">
      <w:pPr>
        <w:pStyle w:val="USBullet1"/>
      </w:pPr>
      <w:r w:rsidRPr="00177F45">
        <w:t>vascular and blood disorders (17.5</w:t>
      </w:r>
      <w:r w:rsidR="008B71CF">
        <w:t xml:space="preserve"> percent</w:t>
      </w:r>
      <w:r w:rsidR="008B71CF" w:rsidRPr="00177F45">
        <w:t>)</w:t>
      </w:r>
      <w:r w:rsidR="008B71CF">
        <w:t xml:space="preserve">, </w:t>
      </w:r>
      <w:r w:rsidR="00A576D2">
        <w:t xml:space="preserve">especially </w:t>
      </w:r>
      <w:r w:rsidRPr="00177F45">
        <w:t>coronary heart disease (9.3</w:t>
      </w:r>
      <w:r w:rsidR="00230170">
        <w:t xml:space="preserve"> percent</w:t>
      </w:r>
      <w:r w:rsidRPr="00177F45">
        <w:t>) and stroke (3.9</w:t>
      </w:r>
      <w:r w:rsidR="008B71CF">
        <w:t xml:space="preserve"> percent</w:t>
      </w:r>
      <w:r w:rsidR="008B71CF" w:rsidRPr="00177F45">
        <w:t>).</w:t>
      </w:r>
    </w:p>
    <w:p w14:paraId="2E7E724E" w14:textId="5C8E7172" w:rsidR="008B3E8B" w:rsidRDefault="008B3E8B" w:rsidP="009D0D7F">
      <w:pPr>
        <w:pStyle w:val="USBodyText"/>
      </w:pPr>
      <w:r>
        <w:t xml:space="preserve">Other </w:t>
      </w:r>
      <w:r w:rsidR="00CE61B8">
        <w:t>long-term conditions with significant health loss included:</w:t>
      </w:r>
    </w:p>
    <w:p w14:paraId="2EA20366" w14:textId="19D09E2D" w:rsidR="008B3E8B" w:rsidRDefault="008B3E8B" w:rsidP="00CE61B8">
      <w:pPr>
        <w:pStyle w:val="USBullet1"/>
      </w:pPr>
      <w:r w:rsidRPr="008B3E8B">
        <w:t>Respiratory disorders</w:t>
      </w:r>
      <w:r w:rsidR="00CE61B8">
        <w:t xml:space="preserve">, </w:t>
      </w:r>
      <w:r w:rsidRPr="008B3E8B">
        <w:t>collectively account</w:t>
      </w:r>
      <w:r w:rsidR="00CE61B8">
        <w:t>ing</w:t>
      </w:r>
      <w:r w:rsidRPr="008B3E8B">
        <w:t xml:space="preserve"> for 6.3</w:t>
      </w:r>
      <w:r w:rsidR="00003BB7">
        <w:t xml:space="preserve"> percent</w:t>
      </w:r>
      <w:r w:rsidRPr="008B3E8B">
        <w:t xml:space="preserve"> of health loss, </w:t>
      </w:r>
      <w:r w:rsidR="00CE61B8">
        <w:t>with</w:t>
      </w:r>
      <w:r w:rsidRPr="008B3E8B">
        <w:t xml:space="preserve"> chronic obstructive pulmonary disease (COPD</w:t>
      </w:r>
      <w:r w:rsidR="00CE61B8">
        <w:t xml:space="preserve">) accounting for </w:t>
      </w:r>
      <w:r w:rsidRPr="008B3E8B">
        <w:t>3.7</w:t>
      </w:r>
      <w:r w:rsidR="00003BB7">
        <w:t xml:space="preserve"> percent </w:t>
      </w:r>
      <w:r w:rsidRPr="008B3E8B">
        <w:t xml:space="preserve">and asthma </w:t>
      </w:r>
      <w:r w:rsidR="00CE61B8">
        <w:t xml:space="preserve">accounting for </w:t>
      </w:r>
      <w:r w:rsidRPr="008B3E8B">
        <w:t>1.6</w:t>
      </w:r>
      <w:r w:rsidR="00003BB7">
        <w:t xml:space="preserve"> percent</w:t>
      </w:r>
      <w:r w:rsidR="00003BB7" w:rsidRPr="008B3E8B">
        <w:t>.</w:t>
      </w:r>
    </w:p>
    <w:p w14:paraId="14E5ABF4" w14:textId="52AB42D9" w:rsidR="00E92CFE" w:rsidRDefault="009D0D7F" w:rsidP="00CE61B8">
      <w:pPr>
        <w:pStyle w:val="USBullet1"/>
      </w:pPr>
      <w:r w:rsidRPr="009D0D7F">
        <w:t>Musculoskeletal disorders</w:t>
      </w:r>
      <w:r w:rsidR="0028682A">
        <w:t xml:space="preserve">, </w:t>
      </w:r>
      <w:r w:rsidRPr="009D0D7F">
        <w:t>collectively account</w:t>
      </w:r>
      <w:r w:rsidR="0028682A">
        <w:t>ing</w:t>
      </w:r>
      <w:r w:rsidRPr="009D0D7F">
        <w:t xml:space="preserve"> for 9.1</w:t>
      </w:r>
      <w:r w:rsidR="00BD60BB">
        <w:t xml:space="preserve"> percent</w:t>
      </w:r>
      <w:r w:rsidR="00BD60BB" w:rsidRPr="009D0D7F">
        <w:t xml:space="preserve"> </w:t>
      </w:r>
      <w:r w:rsidRPr="009D0D7F">
        <w:t>of health loss,</w:t>
      </w:r>
      <w:r w:rsidR="00F052C8">
        <w:t xml:space="preserve"> particularly due to </w:t>
      </w:r>
      <w:r w:rsidRPr="009D0D7F">
        <w:t>spinal disorders (2.8</w:t>
      </w:r>
      <w:r w:rsidR="00BD60BB">
        <w:t xml:space="preserve"> percent</w:t>
      </w:r>
      <w:r w:rsidR="00BD60BB" w:rsidRPr="009D0D7F">
        <w:t xml:space="preserve">), </w:t>
      </w:r>
      <w:r w:rsidRPr="009D0D7F">
        <w:t>osteoarthritis (2.2</w:t>
      </w:r>
      <w:r w:rsidR="00BD60BB">
        <w:t xml:space="preserve"> percent</w:t>
      </w:r>
      <w:r w:rsidR="00BD60BB" w:rsidRPr="009D0D7F">
        <w:t xml:space="preserve">), </w:t>
      </w:r>
      <w:r w:rsidRPr="009D0D7F">
        <w:t>chronic musculoskeletal pain syndromes (1.3</w:t>
      </w:r>
      <w:r w:rsidR="00BD60BB">
        <w:t xml:space="preserve"> percent</w:t>
      </w:r>
      <w:r w:rsidR="00BD60BB" w:rsidRPr="009D0D7F">
        <w:t xml:space="preserve">) </w:t>
      </w:r>
      <w:r w:rsidRPr="009D0D7F">
        <w:t>and rheumatoid arthritis (1.1</w:t>
      </w:r>
      <w:r w:rsidR="00BD60BB">
        <w:t xml:space="preserve"> percent</w:t>
      </w:r>
      <w:r w:rsidR="00BD60BB" w:rsidRPr="009D0D7F">
        <w:t>).</w:t>
      </w:r>
    </w:p>
    <w:p w14:paraId="1F1CCEEF" w14:textId="6AD414B8" w:rsidR="00993DE1" w:rsidRDefault="009F4EDF" w:rsidP="008554EE">
      <w:pPr>
        <w:pStyle w:val="USBodyText"/>
      </w:pPr>
      <w:r>
        <w:t xml:space="preserve">Important differences between age groups, sexes and ethnicities are noted, including that </w:t>
      </w:r>
      <w:r w:rsidRPr="009F4EDF">
        <w:t xml:space="preserve">Māori </w:t>
      </w:r>
      <w:r>
        <w:t>experience</w:t>
      </w:r>
      <w:r w:rsidRPr="009F4EDF">
        <w:t xml:space="preserve"> 2.5 times </w:t>
      </w:r>
      <w:r w:rsidR="00444F8D">
        <w:t>more health loss</w:t>
      </w:r>
      <w:r w:rsidRPr="009F4EDF">
        <w:t xml:space="preserve"> than non-Māori </w:t>
      </w:r>
      <w:r>
        <w:t>f</w:t>
      </w:r>
      <w:r w:rsidRPr="009F4EDF">
        <w:t>or diabetes and vascular disorders</w:t>
      </w:r>
      <w:r w:rsidR="00444F8D">
        <w:t>.</w:t>
      </w:r>
    </w:p>
    <w:p w14:paraId="5B83A699" w14:textId="77777777" w:rsidR="00C75991" w:rsidRDefault="00A94D3A" w:rsidP="008554EE">
      <w:pPr>
        <w:pStyle w:val="USBodyText"/>
      </w:pPr>
      <w:r>
        <w:t>The report notes that rankings of causes of health loss are partly dependent on how conditions are grouped</w:t>
      </w:r>
      <w:r w:rsidR="000F30EF">
        <w:t xml:space="preserve">. </w:t>
      </w:r>
      <w:r w:rsidR="00C75991">
        <w:t>Two alternative approaches are tested:</w:t>
      </w:r>
    </w:p>
    <w:p w14:paraId="652BD0C0" w14:textId="0F30693C" w:rsidR="00A94D3A" w:rsidRDefault="00C75991" w:rsidP="00C75991">
      <w:pPr>
        <w:pStyle w:val="USBullet1"/>
      </w:pPr>
      <w:r>
        <w:t>One approach created</w:t>
      </w:r>
      <w:r w:rsidR="00A317D7">
        <w:t xml:space="preserve"> 14 </w:t>
      </w:r>
      <w:r>
        <w:t xml:space="preserve">condition </w:t>
      </w:r>
      <w:r w:rsidR="00A317D7">
        <w:t>groups</w:t>
      </w:r>
      <w:r w:rsidR="00A317D7" w:rsidRPr="00A317D7">
        <w:t xml:space="preserve"> </w:t>
      </w:r>
      <w:r w:rsidR="00A317D7">
        <w:t xml:space="preserve">in which one group encompasses both </w:t>
      </w:r>
      <w:r w:rsidR="00A317D7" w:rsidRPr="00A317D7">
        <w:t>mental and neurological disorder condition</w:t>
      </w:r>
      <w:r w:rsidR="00A317D7">
        <w:t>s</w:t>
      </w:r>
      <w:r w:rsidR="00744D91">
        <w:t>,</w:t>
      </w:r>
      <w:r w:rsidR="00A317D7" w:rsidRPr="00A317D7">
        <w:t xml:space="preserve"> </w:t>
      </w:r>
      <w:r w:rsidR="00A317D7">
        <w:t xml:space="preserve">and </w:t>
      </w:r>
      <w:r w:rsidR="00744D91">
        <w:t>the</w:t>
      </w:r>
      <w:r w:rsidR="00A317D7">
        <w:t xml:space="preserve"> other group encompasses</w:t>
      </w:r>
      <w:r w:rsidR="00A317D7" w:rsidRPr="00A317D7">
        <w:t xml:space="preserve"> injury and musculoskeletal </w:t>
      </w:r>
      <w:r w:rsidR="00A317D7">
        <w:t>conditions</w:t>
      </w:r>
      <w:r w:rsidR="00AB52B0">
        <w:t xml:space="preserve">. </w:t>
      </w:r>
      <w:r w:rsidR="00082C78">
        <w:t>Under this grouping, neuropsychiatric conditions</w:t>
      </w:r>
      <w:r w:rsidR="006741C3">
        <w:t xml:space="preserve">, cancers, vascular and blood conditions and musculoskeletal conditions and injuries account for </w:t>
      </w:r>
      <w:r w:rsidR="005F53AE">
        <w:t>between 17 and 18 percent of health loss each.</w:t>
      </w:r>
    </w:p>
    <w:p w14:paraId="091520C0" w14:textId="660A93C5" w:rsidR="00C75991" w:rsidRDefault="00C75991" w:rsidP="00C75991">
      <w:pPr>
        <w:pStyle w:val="USBullet1"/>
      </w:pPr>
      <w:r>
        <w:t xml:space="preserve">Another approach </w:t>
      </w:r>
      <w:r w:rsidR="006F7D11">
        <w:t xml:space="preserve">used an organ system classification which resulted in neuropsychiatric </w:t>
      </w:r>
      <w:r w:rsidR="00794A15">
        <w:t>disorders contributing 24.2</w:t>
      </w:r>
      <w:r w:rsidR="00744D91">
        <w:t xml:space="preserve"> percent </w:t>
      </w:r>
      <w:r w:rsidR="00794A15">
        <w:t>of health loss</w:t>
      </w:r>
      <w:r w:rsidR="008F6C1E">
        <w:t xml:space="preserve"> and vascular </w:t>
      </w:r>
      <w:r w:rsidR="0042633E">
        <w:t xml:space="preserve">and blood </w:t>
      </w:r>
      <w:r w:rsidR="007414FF">
        <w:t>diseases</w:t>
      </w:r>
      <w:r w:rsidR="0042633E">
        <w:t xml:space="preserve"> contributing </w:t>
      </w:r>
      <w:r w:rsidR="006A2BA7">
        <w:t>19.4</w:t>
      </w:r>
      <w:r w:rsidR="00744D91">
        <w:t xml:space="preserve"> percent, </w:t>
      </w:r>
      <w:r w:rsidR="00D54FD6">
        <w:t>while r</w:t>
      </w:r>
      <w:r w:rsidR="00D54FD6" w:rsidRPr="00D54FD6">
        <w:t xml:space="preserve">espiratory and gastrointestinal </w:t>
      </w:r>
      <w:r w:rsidR="00D54FD6" w:rsidRPr="00D54FD6">
        <w:lastRenderedPageBreak/>
        <w:t xml:space="preserve">disorders </w:t>
      </w:r>
      <w:r w:rsidR="00D54FD6">
        <w:t xml:space="preserve">move up </w:t>
      </w:r>
      <w:r w:rsidR="008F144C">
        <w:t xml:space="preserve">significantly in </w:t>
      </w:r>
      <w:r w:rsidR="00D54FD6">
        <w:t>the rankings to become third and fourth most important sources of health loss</w:t>
      </w:r>
      <w:r w:rsidR="00D54FD6" w:rsidRPr="00D54FD6">
        <w:t>.</w:t>
      </w:r>
    </w:p>
    <w:p w14:paraId="15512D28" w14:textId="02AD4BB4" w:rsidR="00B93A09" w:rsidRDefault="00B93A09" w:rsidP="000E2EA0">
      <w:pPr>
        <w:pStyle w:val="USBodyText"/>
      </w:pPr>
      <w:r>
        <w:t>In terms of specific conditions, 25 were</w:t>
      </w:r>
      <w:r w:rsidR="00C0217D">
        <w:t xml:space="preserve"> each</w:t>
      </w:r>
      <w:r>
        <w:t xml:space="preserve"> found to be responsible for </w:t>
      </w:r>
      <w:r w:rsidR="00C0217D">
        <w:t>more than one percent of total health loss</w:t>
      </w:r>
      <w:r w:rsidR="00075613">
        <w:t xml:space="preserve"> for a total of 58 percent of all health loss, including</w:t>
      </w:r>
      <w:r w:rsidR="000E2EA0">
        <w:t xml:space="preserve"> the following top ten</w:t>
      </w:r>
      <w:r w:rsidR="00075613">
        <w:t>:</w:t>
      </w:r>
    </w:p>
    <w:p w14:paraId="1983BF67" w14:textId="45FC92B2" w:rsidR="00075613" w:rsidRDefault="004A2B71" w:rsidP="00075613">
      <w:pPr>
        <w:pStyle w:val="USBullet1"/>
      </w:pPr>
      <w:r>
        <w:t>c</w:t>
      </w:r>
      <w:r w:rsidR="00075613">
        <w:t>oronary heart disease (</w:t>
      </w:r>
      <w:r w:rsidR="00BE466D">
        <w:t>9.3</w:t>
      </w:r>
      <w:r w:rsidR="00744D91">
        <w:t xml:space="preserve"> percent </w:t>
      </w:r>
      <w:r w:rsidR="00BE466D">
        <w:t>of DALYs)</w:t>
      </w:r>
    </w:p>
    <w:p w14:paraId="68D78DE6" w14:textId="2DE608A4" w:rsidR="00BE466D" w:rsidRDefault="004A2B71" w:rsidP="00075613">
      <w:pPr>
        <w:pStyle w:val="USBullet1"/>
      </w:pPr>
      <w:r>
        <w:t>a</w:t>
      </w:r>
      <w:r w:rsidR="00BE466D">
        <w:t>nxiety and depre</w:t>
      </w:r>
      <w:r w:rsidR="001A14F2">
        <w:t>ssive disorders (5.3</w:t>
      </w:r>
      <w:r w:rsidR="00744D91">
        <w:t xml:space="preserve"> percent </w:t>
      </w:r>
      <w:r w:rsidR="001A14F2">
        <w:t>of DALYs)</w:t>
      </w:r>
    </w:p>
    <w:p w14:paraId="4B27CC3C" w14:textId="5B8FF9BB" w:rsidR="001A14F2" w:rsidRDefault="004A2B71" w:rsidP="00075613">
      <w:pPr>
        <w:pStyle w:val="USBullet1"/>
      </w:pPr>
      <w:r>
        <w:t>s</w:t>
      </w:r>
      <w:r w:rsidR="001A14F2">
        <w:t>troke (3.9</w:t>
      </w:r>
      <w:r w:rsidR="00744D91">
        <w:t xml:space="preserve"> percent</w:t>
      </w:r>
      <w:r w:rsidR="001A14F2">
        <w:t xml:space="preserve"> of DALYs)</w:t>
      </w:r>
    </w:p>
    <w:p w14:paraId="4AF5727E" w14:textId="32CCCF86" w:rsidR="0053514F" w:rsidRDefault="0053514F" w:rsidP="00075613">
      <w:pPr>
        <w:pStyle w:val="USBullet1"/>
      </w:pPr>
      <w:r>
        <w:t>COPD (3.7</w:t>
      </w:r>
      <w:r w:rsidR="00744D91">
        <w:t xml:space="preserve"> percent</w:t>
      </w:r>
      <w:r>
        <w:t xml:space="preserve"> of DALYs)</w:t>
      </w:r>
    </w:p>
    <w:p w14:paraId="34A10305" w14:textId="04A545C2" w:rsidR="00143A12" w:rsidRDefault="004A2B71" w:rsidP="00143A12">
      <w:pPr>
        <w:pStyle w:val="USBullet1"/>
      </w:pPr>
      <w:r>
        <w:t>d</w:t>
      </w:r>
      <w:r w:rsidR="00143A12">
        <w:t>iabetes (3</w:t>
      </w:r>
      <w:r w:rsidR="00744D91">
        <w:t xml:space="preserve"> percent </w:t>
      </w:r>
      <w:r w:rsidR="00143A12">
        <w:t>of DALYs)</w:t>
      </w:r>
    </w:p>
    <w:p w14:paraId="348EB96B" w14:textId="54020146" w:rsidR="001A14F2" w:rsidRDefault="004A2B71" w:rsidP="00075613">
      <w:pPr>
        <w:pStyle w:val="USBullet1"/>
      </w:pPr>
      <w:r>
        <w:t>l</w:t>
      </w:r>
      <w:r w:rsidR="001A14F2">
        <w:t>ung cancer (3</w:t>
      </w:r>
      <w:r w:rsidR="00744D91">
        <w:t xml:space="preserve"> percent </w:t>
      </w:r>
      <w:r w:rsidR="001A14F2">
        <w:t>of DALYs)</w:t>
      </w:r>
    </w:p>
    <w:p w14:paraId="3D05DC3F" w14:textId="19FC3F08" w:rsidR="00053191" w:rsidRDefault="004A2B71" w:rsidP="00075613">
      <w:pPr>
        <w:pStyle w:val="USBullet1"/>
      </w:pPr>
      <w:r>
        <w:t>b</w:t>
      </w:r>
      <w:r w:rsidR="00053191">
        <w:t>ack disorders (2.8</w:t>
      </w:r>
      <w:r w:rsidR="00744D91">
        <w:t xml:space="preserve"> percent </w:t>
      </w:r>
      <w:r w:rsidR="00053191">
        <w:t>of DALYs)</w:t>
      </w:r>
    </w:p>
    <w:p w14:paraId="61D73F25" w14:textId="2551DE71" w:rsidR="001A14F2" w:rsidRDefault="004A2B71" w:rsidP="00075613">
      <w:pPr>
        <w:pStyle w:val="USBullet1"/>
      </w:pPr>
      <w:r>
        <w:t>c</w:t>
      </w:r>
      <w:r w:rsidR="00A53F8E">
        <w:t>olon and rectum cancers (2.5</w:t>
      </w:r>
      <w:r w:rsidR="00744D91">
        <w:t xml:space="preserve"> percent </w:t>
      </w:r>
      <w:r w:rsidR="00A53F8E">
        <w:t>of DALYs)</w:t>
      </w:r>
    </w:p>
    <w:p w14:paraId="1B9105D2" w14:textId="4053F8B5" w:rsidR="00053191" w:rsidRDefault="004A2B71" w:rsidP="00075613">
      <w:pPr>
        <w:pStyle w:val="USBullet1"/>
      </w:pPr>
      <w:r>
        <w:t>t</w:t>
      </w:r>
      <w:r w:rsidR="00053191">
        <w:t>raumatic brain injury (</w:t>
      </w:r>
      <w:r w:rsidR="000E2EA0">
        <w:t>2.3</w:t>
      </w:r>
      <w:r w:rsidR="00744D91">
        <w:t xml:space="preserve"> percent </w:t>
      </w:r>
      <w:r w:rsidR="000E2EA0">
        <w:t>of DALYs)</w:t>
      </w:r>
    </w:p>
    <w:p w14:paraId="1EDC0AD5" w14:textId="70797C51" w:rsidR="00A53F8E" w:rsidRDefault="004A2B71" w:rsidP="00075613">
      <w:pPr>
        <w:pStyle w:val="USBullet1"/>
      </w:pPr>
      <w:r>
        <w:t>a</w:t>
      </w:r>
      <w:r w:rsidR="00A53F8E">
        <w:t>lcohol use disorders (</w:t>
      </w:r>
      <w:r w:rsidR="0053514F">
        <w:t>2.1</w:t>
      </w:r>
      <w:r w:rsidR="00744D91">
        <w:t xml:space="preserve"> percent </w:t>
      </w:r>
      <w:r w:rsidR="0053514F">
        <w:t>of DALYs)</w:t>
      </w:r>
      <w:r w:rsidR="0089148C">
        <w:t>.</w:t>
      </w:r>
    </w:p>
    <w:p w14:paraId="64A5FDB1" w14:textId="77EFD497" w:rsidR="00564187" w:rsidRDefault="00564187" w:rsidP="00564187">
      <w:pPr>
        <w:pStyle w:val="USBodyText"/>
      </w:pPr>
      <w:r>
        <w:t>Similar differences by age, sex and ethnicity are noted for specific conditions, with rheumatic valvular heart disease</w:t>
      </w:r>
      <w:r w:rsidR="00F23345">
        <w:t xml:space="preserve"> being associated with more relative inequality between </w:t>
      </w:r>
      <w:r w:rsidR="001C2526">
        <w:t>Māori</w:t>
      </w:r>
      <w:r w:rsidR="00F23345">
        <w:t xml:space="preserve"> and non-</w:t>
      </w:r>
      <w:r w:rsidR="001C2526">
        <w:t>Māori</w:t>
      </w:r>
      <w:r w:rsidR="00F23345">
        <w:t xml:space="preserve"> than any other specific condition</w:t>
      </w:r>
      <w:r w:rsidR="00A27376">
        <w:t xml:space="preserve"> and coronary heart disease being associated with more absolute inequality</w:t>
      </w:r>
      <w:r w:rsidR="00F23345">
        <w:t>.</w:t>
      </w:r>
    </w:p>
    <w:p w14:paraId="1B4428A3" w14:textId="0C72F987" w:rsidR="00F8318A" w:rsidRDefault="001613B1" w:rsidP="00564187">
      <w:pPr>
        <w:pStyle w:val="USBodyText"/>
      </w:pPr>
      <w:r>
        <w:t xml:space="preserve">In terms of risk factors, the study identifies </w:t>
      </w:r>
      <w:r w:rsidR="002C0B8A">
        <w:t xml:space="preserve">that physiological and substance use </w:t>
      </w:r>
      <w:r w:rsidR="00BB3D8C">
        <w:t>risk factor clusters account for the greatest health loss, compared with diet and BMI</w:t>
      </w:r>
      <w:r w:rsidR="00CB11D5">
        <w:t>, injury</w:t>
      </w:r>
      <w:r w:rsidR="0058624B">
        <w:t>, and low physical activity clusters. The five individual risk factors with the greatest DALYs were found to be:</w:t>
      </w:r>
    </w:p>
    <w:p w14:paraId="263A4821" w14:textId="46BB916D" w:rsidR="0058624B" w:rsidRDefault="00BA04E6" w:rsidP="0058624B">
      <w:pPr>
        <w:pStyle w:val="USBullet1"/>
      </w:pPr>
      <w:r>
        <w:t>t</w:t>
      </w:r>
      <w:r w:rsidR="0058624B">
        <w:t>obacco use</w:t>
      </w:r>
    </w:p>
    <w:p w14:paraId="2B091F5B" w14:textId="24C6E415" w:rsidR="0058624B" w:rsidRDefault="00BA04E6" w:rsidP="0058624B">
      <w:pPr>
        <w:pStyle w:val="USBullet1"/>
      </w:pPr>
      <w:r>
        <w:t xml:space="preserve">high </w:t>
      </w:r>
      <w:r w:rsidR="0058624B">
        <w:t>BMI</w:t>
      </w:r>
    </w:p>
    <w:p w14:paraId="5FE7C61C" w14:textId="7D28B92A" w:rsidR="0058624B" w:rsidRDefault="00BA04E6" w:rsidP="0058624B">
      <w:pPr>
        <w:pStyle w:val="USBullet1"/>
      </w:pPr>
      <w:r>
        <w:t xml:space="preserve">high </w:t>
      </w:r>
      <w:r w:rsidR="0058624B">
        <w:t>blood pressure</w:t>
      </w:r>
    </w:p>
    <w:p w14:paraId="1CA928EB" w14:textId="1E5481A9" w:rsidR="0058624B" w:rsidRDefault="00BA04E6" w:rsidP="0058624B">
      <w:pPr>
        <w:pStyle w:val="USBullet1"/>
      </w:pPr>
      <w:r>
        <w:t xml:space="preserve">high </w:t>
      </w:r>
      <w:r w:rsidR="0058624B">
        <w:t>blood glucose</w:t>
      </w:r>
    </w:p>
    <w:p w14:paraId="38264BDD" w14:textId="2AFEFE8C" w:rsidR="0058624B" w:rsidRDefault="00BA04E6" w:rsidP="0058624B">
      <w:pPr>
        <w:pStyle w:val="USBullet1"/>
      </w:pPr>
      <w:r>
        <w:t xml:space="preserve">physical </w:t>
      </w:r>
      <w:r w:rsidR="0058624B">
        <w:t>inactivity</w:t>
      </w:r>
      <w:r>
        <w:t>.</w:t>
      </w:r>
    </w:p>
    <w:p w14:paraId="2F42B728" w14:textId="059AD60A" w:rsidR="004C102D" w:rsidRDefault="004C102D" w:rsidP="002E10F0">
      <w:pPr>
        <w:pStyle w:val="Heading2"/>
      </w:pPr>
      <w:bookmarkStart w:id="78" w:name="_Toc98760527"/>
      <w:r>
        <w:t>Cost</w:t>
      </w:r>
      <w:r w:rsidR="00234C40">
        <w:t>-</w:t>
      </w:r>
      <w:r>
        <w:t>of</w:t>
      </w:r>
      <w:r w:rsidR="00234C40">
        <w:t>-</w:t>
      </w:r>
      <w:r>
        <w:t>illness studies by risk factor</w:t>
      </w:r>
      <w:r w:rsidR="007C4595">
        <w:rPr>
          <w:rStyle w:val="FootnoteReference"/>
        </w:rPr>
        <w:footnoteReference w:id="2"/>
      </w:r>
      <w:bookmarkEnd w:id="78"/>
    </w:p>
    <w:p w14:paraId="0BC5A33F" w14:textId="698E218E" w:rsidR="004C102D" w:rsidRDefault="004C102D" w:rsidP="0005646B">
      <w:pPr>
        <w:pStyle w:val="Heading3"/>
      </w:pPr>
      <w:r>
        <w:t>Physical inactivity</w:t>
      </w:r>
    </w:p>
    <w:p w14:paraId="327315E5" w14:textId="62D5A4F3" w:rsidR="007F1B6F" w:rsidRPr="00E265F9" w:rsidRDefault="007F1B6F" w:rsidP="00E265F9">
      <w:pPr>
        <w:pStyle w:val="USBodyText"/>
      </w:pPr>
      <w:r w:rsidRPr="00E265F9">
        <w:t xml:space="preserve">One cost-of-illness study was found </w:t>
      </w:r>
      <w:r w:rsidR="00531712" w:rsidRPr="00E265F9">
        <w:t>that identified the costs of physical inactivity in New Zealand.</w:t>
      </w:r>
      <w:r w:rsidR="00905D78" w:rsidRPr="00E265F9">
        <w:t xml:space="preserve"> </w:t>
      </w:r>
      <w:r w:rsidR="00A7746C" w:rsidRPr="00E265F9">
        <w:t>T</w:t>
      </w:r>
      <w:r w:rsidR="00E265F9">
        <w:t>w</w:t>
      </w:r>
      <w:r w:rsidR="00A7746C" w:rsidRPr="00E265F9">
        <w:t>o additional high quality intervention stu</w:t>
      </w:r>
      <w:r w:rsidR="00E265F9">
        <w:t>d</w:t>
      </w:r>
      <w:r w:rsidR="00A7746C" w:rsidRPr="00E265F9">
        <w:t>ies</w:t>
      </w:r>
      <w:r w:rsidR="00E265F9">
        <w:t xml:space="preserve"> in the New Zealand context</w:t>
      </w:r>
      <w:r w:rsidR="00A7746C" w:rsidRPr="00E265F9">
        <w:t xml:space="preserve"> are included</w:t>
      </w:r>
      <w:r w:rsidR="00E265F9">
        <w:t xml:space="preserve">. </w:t>
      </w:r>
    </w:p>
    <w:p w14:paraId="07D72011" w14:textId="453864B7" w:rsidR="007F1B6F" w:rsidRDefault="007F1B6F" w:rsidP="007F1B6F">
      <w:pPr>
        <w:pStyle w:val="USBodyText"/>
      </w:pPr>
      <w:r>
        <w:t>A</w:t>
      </w:r>
      <w:r w:rsidR="00ED5BC1">
        <w:t xml:space="preserve"> study</w:t>
      </w:r>
      <w:r w:rsidR="00E227CA">
        <w:t xml:space="preserve"> by </w:t>
      </w:r>
      <w:r w:rsidR="00E227CA" w:rsidRPr="00142494">
        <w:rPr>
          <w:b/>
          <w:bCs/>
        </w:rPr>
        <w:t xml:space="preserve">Market Economics </w:t>
      </w:r>
      <w:r w:rsidR="001654CA" w:rsidRPr="00142494">
        <w:rPr>
          <w:rFonts w:cs="Calibri"/>
          <w:b/>
          <w:bCs/>
        </w:rPr>
        <w:t>(2013)</w:t>
      </w:r>
      <w:r w:rsidR="00ED5BC1">
        <w:t xml:space="preserve"> </w:t>
      </w:r>
      <w:r w:rsidR="005C35D1">
        <w:t>for</w:t>
      </w:r>
      <w:r w:rsidR="00ED5BC1">
        <w:t xml:space="preserve"> </w:t>
      </w:r>
      <w:r w:rsidR="00EF6845" w:rsidRPr="00142494">
        <w:rPr>
          <w:bCs/>
        </w:rPr>
        <w:t xml:space="preserve">three </w:t>
      </w:r>
      <w:r w:rsidR="005C35D1" w:rsidRPr="00142494">
        <w:rPr>
          <w:bCs/>
        </w:rPr>
        <w:t>local body agencie</w:t>
      </w:r>
      <w:r w:rsidR="00EF6845" w:rsidRPr="00142494">
        <w:rPr>
          <w:bCs/>
        </w:rPr>
        <w:t>s</w:t>
      </w:r>
      <w:r w:rsidR="00EF6845" w:rsidRPr="0042069F">
        <w:rPr>
          <w:rStyle w:val="FootnoteReference"/>
        </w:rPr>
        <w:footnoteReference w:id="3"/>
      </w:r>
      <w:r>
        <w:t xml:space="preserve"> estimated the costs of physical inactivity in New Zealand and three regions: Wellington, Waikato and Auckland in </w:t>
      </w:r>
      <w:r>
        <w:lastRenderedPageBreak/>
        <w:t>2010. The estimated cost of physical inactivity was $1.3 billion (</w:t>
      </w:r>
      <w:r w:rsidR="00055A73">
        <w:t xml:space="preserve">NZD </w:t>
      </w:r>
      <w:r>
        <w:t>2010 dollars, equivalent to $2.001 billion in 2021).</w:t>
      </w:r>
    </w:p>
    <w:p w14:paraId="37CA51FD" w14:textId="7B9FA7E6" w:rsidR="00CF19B6" w:rsidRDefault="00CF19B6" w:rsidP="007F1B6F">
      <w:pPr>
        <w:pStyle w:val="USBodyText"/>
      </w:pPr>
      <w:r>
        <w:t>The major cost component was estimated to be indirect costs (</w:t>
      </w:r>
      <w:r w:rsidR="00317514">
        <w:t xml:space="preserve">loss of earnings, </w:t>
      </w:r>
      <w:r w:rsidR="00215960">
        <w:t>loss of productivity, premature death), followed closely by direct costs (</w:t>
      </w:r>
      <w:r w:rsidR="008159CB">
        <w:t xml:space="preserve">health system costs) (see </w:t>
      </w:r>
      <w:r w:rsidR="00EF2830">
        <w:t>Figure</w:t>
      </w:r>
      <w:r w:rsidR="008159CB">
        <w:t xml:space="preserve"> below)</w:t>
      </w:r>
    </w:p>
    <w:p w14:paraId="77CD3F48" w14:textId="3F3D3BFF" w:rsidR="00C15BFB" w:rsidRDefault="00C15BFB" w:rsidP="00C15BFB">
      <w:pPr>
        <w:pStyle w:val="FigureCaption"/>
      </w:pPr>
      <w:bookmarkStart w:id="79" w:name="_Toc98760542"/>
      <w:bookmarkStart w:id="80" w:name="_Hlk85742580"/>
      <w:r w:rsidRPr="00731CA6">
        <w:t>Figure </w:t>
      </w:r>
      <w:r>
        <w:fldChar w:fldCharType="begin"/>
      </w:r>
      <w:r>
        <w:instrText>SEQ Figure \* ARABIC</w:instrText>
      </w:r>
      <w:r>
        <w:fldChar w:fldCharType="separate"/>
      </w:r>
      <w:r w:rsidR="002C631E">
        <w:rPr>
          <w:noProof/>
        </w:rPr>
        <w:t>11</w:t>
      </w:r>
      <w:r>
        <w:fldChar w:fldCharType="end"/>
      </w:r>
      <w:r>
        <w:t xml:space="preserve"> Costs attributed to physical inactivity in New Zealand and selected centres</w:t>
      </w:r>
      <w:bookmarkEnd w:id="79"/>
    </w:p>
    <w:p w14:paraId="12FAC91B" w14:textId="37E9D601" w:rsidR="00C15BFB" w:rsidRPr="00E84337" w:rsidRDefault="00C15BFB" w:rsidP="00F56F3A">
      <w:pPr>
        <w:pStyle w:val="CaptionSubheading"/>
      </w:pPr>
      <w:r>
        <w:t>(NZD 2010)</w:t>
      </w:r>
    </w:p>
    <w:bookmarkEnd w:id="80"/>
    <w:p w14:paraId="78A4FD69" w14:textId="53A64F03" w:rsidR="00584A8E" w:rsidRDefault="00584A8E" w:rsidP="007F1B6F">
      <w:pPr>
        <w:pStyle w:val="USBodyText"/>
      </w:pPr>
      <w:r>
        <w:rPr>
          <w:noProof/>
        </w:rPr>
        <w:drawing>
          <wp:inline distT="0" distB="0" distL="0" distR="0" wp14:anchorId="6B9C5A54" wp14:editId="21631B85">
            <wp:extent cx="5381625" cy="1973243"/>
            <wp:effectExtent l="0" t="0" r="0" b="8255"/>
            <wp:docPr id="4" name="Picture 4" descr="Figure 11 Costs attributed to physical inactivity in New Zealand and selected cen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Costs attributed to physical inactivity in New Zealand and selected centres&#10;"/>
                    <pic:cNvPicPr/>
                  </pic:nvPicPr>
                  <pic:blipFill>
                    <a:blip r:embed="rId39"/>
                    <a:stretch>
                      <a:fillRect/>
                    </a:stretch>
                  </pic:blipFill>
                  <pic:spPr>
                    <a:xfrm>
                      <a:off x="0" y="0"/>
                      <a:ext cx="5391156" cy="1976738"/>
                    </a:xfrm>
                    <a:prstGeom prst="rect">
                      <a:avLst/>
                    </a:prstGeom>
                  </pic:spPr>
                </pic:pic>
              </a:graphicData>
            </a:graphic>
          </wp:inline>
        </w:drawing>
      </w:r>
    </w:p>
    <w:p w14:paraId="2E31FCDC" w14:textId="5EC7788F" w:rsidR="00584A8E" w:rsidRDefault="00584A8E" w:rsidP="00584A8E">
      <w:pPr>
        <w:pStyle w:val="USSource"/>
      </w:pPr>
      <w:r>
        <w:t xml:space="preserve">Source: </w:t>
      </w:r>
      <w:r w:rsidR="00514DFB" w:rsidRPr="00514DFB">
        <w:rPr>
          <w:rFonts w:cs="Calibri"/>
        </w:rPr>
        <w:t xml:space="preserve">Market Economics </w:t>
      </w:r>
      <w:r w:rsidR="003679F0">
        <w:rPr>
          <w:rFonts w:cs="Calibri"/>
        </w:rPr>
        <w:t>(</w:t>
      </w:r>
      <w:r w:rsidR="00514DFB" w:rsidRPr="00514DFB">
        <w:rPr>
          <w:rFonts w:cs="Calibri"/>
        </w:rPr>
        <w:t>2013)</w:t>
      </w:r>
    </w:p>
    <w:p w14:paraId="6E1CE4F1" w14:textId="5640B0C3" w:rsidR="008159CB" w:rsidRDefault="00A36E4C" w:rsidP="00F56F3A">
      <w:pPr>
        <w:pStyle w:val="USBodyText"/>
      </w:pPr>
      <w:r>
        <w:t>In terms of disease impacts, stroke was associated with the highest direct costs of physical inactivity</w:t>
      </w:r>
      <w:r w:rsidR="0036495A">
        <w:t xml:space="preserve">, followed by Type 2 diabetes (see </w:t>
      </w:r>
      <w:r w:rsidR="000319A3">
        <w:fldChar w:fldCharType="begin"/>
      </w:r>
      <w:r w:rsidR="000319A3">
        <w:instrText xml:space="preserve"> REF _Ref93574030 \h </w:instrText>
      </w:r>
      <w:r w:rsidR="000319A3">
        <w:fldChar w:fldCharType="separate"/>
      </w:r>
      <w:r w:rsidR="002C631E" w:rsidRPr="00731CA6">
        <w:t>Figure </w:t>
      </w:r>
      <w:r w:rsidR="002C631E">
        <w:rPr>
          <w:noProof/>
        </w:rPr>
        <w:t>12</w:t>
      </w:r>
      <w:r w:rsidR="000319A3">
        <w:fldChar w:fldCharType="end"/>
      </w:r>
      <w:r w:rsidR="0036495A">
        <w:t xml:space="preserve"> below).</w:t>
      </w:r>
    </w:p>
    <w:p w14:paraId="2ABAFC3E" w14:textId="12EAAF53" w:rsidR="0030509D" w:rsidRDefault="0030509D" w:rsidP="0030509D">
      <w:pPr>
        <w:pStyle w:val="FigureCaption"/>
      </w:pPr>
      <w:bookmarkStart w:id="81" w:name="_Ref93574030"/>
      <w:bookmarkStart w:id="82" w:name="_Toc98760543"/>
      <w:r w:rsidRPr="00731CA6">
        <w:t>Figure </w:t>
      </w:r>
      <w:r>
        <w:fldChar w:fldCharType="begin"/>
      </w:r>
      <w:r>
        <w:instrText>SEQ Figure \* ARABIC</w:instrText>
      </w:r>
      <w:r>
        <w:fldChar w:fldCharType="separate"/>
      </w:r>
      <w:r w:rsidR="002C631E">
        <w:rPr>
          <w:noProof/>
        </w:rPr>
        <w:t>12</w:t>
      </w:r>
      <w:r>
        <w:fldChar w:fldCharType="end"/>
      </w:r>
      <w:bookmarkEnd w:id="81"/>
      <w:r>
        <w:t xml:space="preserve"> Health system costs of physical inactivity by disease</w:t>
      </w:r>
      <w:bookmarkEnd w:id="82"/>
    </w:p>
    <w:p w14:paraId="626BA5DF" w14:textId="75F509F9" w:rsidR="0030509D" w:rsidRPr="00E84337" w:rsidRDefault="0030509D" w:rsidP="0030509D">
      <w:pPr>
        <w:pStyle w:val="CaptionSubheading"/>
      </w:pPr>
      <w:r>
        <w:t>(NZD millions, 2010)</w:t>
      </w:r>
    </w:p>
    <w:p w14:paraId="2A755B88" w14:textId="6C478E77" w:rsidR="0030509D" w:rsidRDefault="0030509D" w:rsidP="00584A8E">
      <w:pPr>
        <w:pStyle w:val="USSource"/>
      </w:pPr>
    </w:p>
    <w:p w14:paraId="082CB4A5" w14:textId="7E239C93" w:rsidR="003679F0" w:rsidRDefault="0030509D" w:rsidP="003679F0">
      <w:pPr>
        <w:pStyle w:val="USSource"/>
      </w:pPr>
      <w:r>
        <w:t xml:space="preserve">Source: </w:t>
      </w:r>
      <w:r w:rsidR="003679F0" w:rsidRPr="00514DFB">
        <w:rPr>
          <w:rFonts w:cs="Calibri"/>
        </w:rPr>
        <w:t xml:space="preserve">Market Economics </w:t>
      </w:r>
      <w:r w:rsidR="003679F0">
        <w:rPr>
          <w:rFonts w:cs="Calibri"/>
        </w:rPr>
        <w:t>(</w:t>
      </w:r>
      <w:r w:rsidR="003679F0" w:rsidRPr="00514DFB">
        <w:rPr>
          <w:rFonts w:cs="Calibri"/>
        </w:rPr>
        <w:t>2013)</w:t>
      </w:r>
    </w:p>
    <w:p w14:paraId="1B215B7D" w14:textId="0D5B2EEB" w:rsidR="00FC4724" w:rsidRDefault="00FC4724" w:rsidP="003679F0">
      <w:pPr>
        <w:pStyle w:val="USBodyText"/>
      </w:pPr>
      <w:r w:rsidRPr="003679F0">
        <w:rPr>
          <w:b/>
          <w:bCs/>
        </w:rPr>
        <w:t>Mizdrak et al. (</w:t>
      </w:r>
      <w:r w:rsidR="00936DC4" w:rsidRPr="003679F0">
        <w:rPr>
          <w:rFonts w:cs="Calibri"/>
          <w:b/>
          <w:bCs/>
        </w:rPr>
        <w:t>2019)</w:t>
      </w:r>
      <w:r>
        <w:t xml:space="preserve"> used New Zealand Health Survey and New Zealand Household Travel Survey data and a multi-state life table model to estimate changes in physical activity and distance travelled by mode for hypothetical unspecified interventions. </w:t>
      </w:r>
      <w:r w:rsidR="00956918">
        <w:t>Results were estimated for trips under 1km switching from using a car to walking and for trips under 5km switching from using a car to walking and cycling. Impacts on air pollution were also estimated as an additional benefit</w:t>
      </w:r>
      <w:r>
        <w:t xml:space="preserve">. </w:t>
      </w:r>
    </w:p>
    <w:p w14:paraId="69BF7A84" w14:textId="27567249" w:rsidR="00FC4724" w:rsidRDefault="00FC4724" w:rsidP="00FC4724">
      <w:pPr>
        <w:pStyle w:val="USBodyText"/>
      </w:pPr>
      <w:r>
        <w:t xml:space="preserve">Uptake levels of 25, 50 and 100 percent were modelled with an assumption that behaviour change was permanent. Modelling also assumed no impact on BMI, consistent </w:t>
      </w:r>
      <w:r w:rsidR="00956918">
        <w:t>with</w:t>
      </w:r>
      <w:r>
        <w:t xml:space="preserve"> published evidence, although the authors note conflicting evidence on this matter. Costs were calculated as excess annual health system costs associated with cancers, stroke, CHD, diabetes, COPD, lower respiratory tract infections (LRTI) and road injuries.</w:t>
      </w:r>
    </w:p>
    <w:p w14:paraId="71CBFBF5" w14:textId="7DF90F81" w:rsidR="00FC4724" w:rsidRDefault="00FC4724" w:rsidP="00FC4724">
      <w:pPr>
        <w:pStyle w:val="USBodyText"/>
      </w:pPr>
      <w:r>
        <w:t xml:space="preserve">The health gains from modelled scenarios indicated between 1.61 and 25.43 QALYs per 1000 people, with total QALYs up to 112,020 (based on 100 percent uptake for all trips up </w:t>
      </w:r>
      <w:r>
        <w:lastRenderedPageBreak/>
        <w:t>to 5km) over the remaining lifespan of the 2011 New Zealand population</w:t>
      </w:r>
      <w:r w:rsidR="00122AF7">
        <w:t>,</w:t>
      </w:r>
      <w:r>
        <w:t xml:space="preserve"> which formed the study population. </w:t>
      </w:r>
      <w:r w:rsidR="00122AF7">
        <w:t xml:space="preserve">The resulting </w:t>
      </w:r>
      <w:r>
        <w:t>healthcare cost savings were estimated at NZ$127</w:t>
      </w:r>
      <w:r w:rsidR="00122AF7">
        <w:t xml:space="preserve"> </w:t>
      </w:r>
      <w:r>
        <w:t>million to NZ$2.1</w:t>
      </w:r>
      <w:r w:rsidR="00122AF7">
        <w:t xml:space="preserve"> </w:t>
      </w:r>
      <w:r>
        <w:t xml:space="preserve">billion (taking into account an offset from increased road injuries). </w:t>
      </w:r>
    </w:p>
    <w:p w14:paraId="398DD652" w14:textId="77777777" w:rsidR="00FC4724" w:rsidRDefault="00FC4724" w:rsidP="00FC4724">
      <w:pPr>
        <w:pStyle w:val="USBodyText"/>
      </w:pPr>
      <w:r>
        <w:t>The authors did not assess interventions or intervention costs to confirm the conclusion that infrastructure improvements and other interventions to encourage walking and cycling would be cost-effective from a population health perspective.</w:t>
      </w:r>
    </w:p>
    <w:p w14:paraId="41719C8A" w14:textId="444D7EF1" w:rsidR="00FC4724" w:rsidRDefault="00122AF7" w:rsidP="00FC4724">
      <w:pPr>
        <w:pStyle w:val="FigureCaption"/>
        <w:rPr>
          <w:rFonts w:eastAsia="Arial"/>
        </w:rPr>
      </w:pPr>
      <w:bookmarkStart w:id="83" w:name="_Toc98760544"/>
      <w:r w:rsidRPr="00E84337">
        <w:t>Figure </w:t>
      </w:r>
      <w:r w:rsidRPr="00E84337">
        <w:fldChar w:fldCharType="begin"/>
      </w:r>
      <w:r w:rsidRPr="00E84337">
        <w:instrText>SEQ Figure \* ARABIC</w:instrText>
      </w:r>
      <w:r w:rsidRPr="00E84337">
        <w:fldChar w:fldCharType="separate"/>
      </w:r>
      <w:r w:rsidR="002C631E">
        <w:rPr>
          <w:noProof/>
        </w:rPr>
        <w:t>13</w:t>
      </w:r>
      <w:r w:rsidRPr="00E84337">
        <w:fldChar w:fldCharType="end"/>
      </w:r>
      <w:r>
        <w:t xml:space="preserve"> </w:t>
      </w:r>
      <w:r w:rsidR="00FC4724">
        <w:t>Conceptual framework of the Mizdrak et al.</w:t>
      </w:r>
      <w:r w:rsidR="003E37A8">
        <w:t xml:space="preserve"> </w:t>
      </w:r>
      <w:r w:rsidR="00FC4724">
        <w:t>(2019) physical inactivity model</w:t>
      </w:r>
      <w:bookmarkEnd w:id="83"/>
    </w:p>
    <w:p w14:paraId="3E8F218A" w14:textId="1C6A0389" w:rsidR="00FC4724" w:rsidRDefault="009A7CD0" w:rsidP="00FC4724">
      <w:pPr>
        <w:pStyle w:val="USBodyText"/>
        <w:rPr>
          <w:rFonts w:eastAsia="Arial"/>
        </w:rPr>
      </w:pPr>
      <w:r w:rsidRPr="009A7CD0">
        <w:rPr>
          <w:noProof/>
        </w:rPr>
        <w:drawing>
          <wp:inline distT="0" distB="0" distL="0" distR="0" wp14:anchorId="67CBEA21" wp14:editId="7DA6F394">
            <wp:extent cx="5760085" cy="4065270"/>
            <wp:effectExtent l="0" t="0" r="0" b="0"/>
            <wp:docPr id="53" name="Picture 53" descr="Figure 13 Conceptual framework of the Mizdrak et al. (2019) physical inactivity mod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3 Conceptual framework of the Mizdrak et al. (2019) physical inactivity model">
                      <a:extLst>
                        <a:ext uri="{C183D7F6-B498-43B3-948B-1728B52AA6E4}">
                          <adec:decorative xmlns:adec="http://schemas.microsoft.com/office/drawing/2017/decorative" val="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4065270"/>
                    </a:xfrm>
                    <a:prstGeom prst="rect">
                      <a:avLst/>
                    </a:prstGeom>
                    <a:noFill/>
                    <a:ln>
                      <a:noFill/>
                    </a:ln>
                  </pic:spPr>
                </pic:pic>
              </a:graphicData>
            </a:graphic>
          </wp:inline>
        </w:drawing>
      </w:r>
    </w:p>
    <w:p w14:paraId="140688F2" w14:textId="76776431" w:rsidR="00FC4724" w:rsidRDefault="00FC4724" w:rsidP="00233E59">
      <w:pPr>
        <w:pStyle w:val="USSource"/>
      </w:pPr>
      <w:r>
        <w:t>Source: Mizdrak et al.</w:t>
      </w:r>
      <w:r w:rsidR="003679F0">
        <w:t xml:space="preserve"> (</w:t>
      </w:r>
      <w:r>
        <w:t>2019</w:t>
      </w:r>
      <w:r w:rsidR="003679F0">
        <w:t>)</w:t>
      </w:r>
    </w:p>
    <w:p w14:paraId="706DBCEC" w14:textId="4BC92E33" w:rsidR="001317D3" w:rsidRDefault="008614D3" w:rsidP="001317D3">
      <w:pPr>
        <w:pStyle w:val="USBodyText"/>
      </w:pPr>
      <w:r>
        <w:rPr>
          <w:b/>
          <w:bCs/>
        </w:rPr>
        <w:t>Mizdrak et al</w:t>
      </w:r>
      <w:r w:rsidRPr="004A10B3">
        <w:rPr>
          <w:b/>
          <w:bCs/>
        </w:rPr>
        <w:t>. (</w:t>
      </w:r>
      <w:r w:rsidR="00F672D9" w:rsidRPr="00233E59">
        <w:rPr>
          <w:rFonts w:cs="Calibri"/>
          <w:b/>
          <w:bCs/>
        </w:rPr>
        <w:t>2021</w:t>
      </w:r>
      <w:r w:rsidRPr="004A10B3">
        <w:rPr>
          <w:b/>
          <w:bCs/>
        </w:rPr>
        <w:t>)</w:t>
      </w:r>
      <w:r>
        <w:rPr>
          <w:b/>
          <w:bCs/>
        </w:rPr>
        <w:t xml:space="preserve"> </w:t>
      </w:r>
      <w:r w:rsidR="00C52F1B" w:rsidRPr="00C52F1B">
        <w:t>used a proportional</w:t>
      </w:r>
      <w:r w:rsidR="00C52F1B">
        <w:rPr>
          <w:b/>
          <w:bCs/>
        </w:rPr>
        <w:t xml:space="preserve"> </w:t>
      </w:r>
      <w:r w:rsidR="00344CE2" w:rsidRPr="00344CE2">
        <w:t xml:space="preserve">multi-state life table model </w:t>
      </w:r>
      <w:r w:rsidR="00C52F1B">
        <w:t xml:space="preserve">(the BODE3 Physical Activity and Active Transport Model (PAATM)) </w:t>
      </w:r>
      <w:r w:rsidR="00344CE2" w:rsidRPr="00344CE2">
        <w:t>to estimate the health and economic gains over the lifetime of the 2011 New Zealand population if the G</w:t>
      </w:r>
      <w:r w:rsidR="002A487D">
        <w:t>lobal Action Plan for Physical Activity (G</w:t>
      </w:r>
      <w:r w:rsidR="00344CE2" w:rsidRPr="00344CE2">
        <w:t>APPA</w:t>
      </w:r>
      <w:r w:rsidR="002A487D">
        <w:t>)</w:t>
      </w:r>
      <w:r w:rsidR="00344CE2" w:rsidRPr="00344CE2">
        <w:t xml:space="preserve"> target was </w:t>
      </w:r>
      <w:r w:rsidR="002A487D">
        <w:t>reached. The study took</w:t>
      </w:r>
      <w:r w:rsidR="00344CE2" w:rsidRPr="00344CE2">
        <w:t xml:space="preserve"> two different approaches: an</w:t>
      </w:r>
      <w:r w:rsidR="00562424">
        <w:t xml:space="preserve"> </w:t>
      </w:r>
      <w:r w:rsidR="00344CE2" w:rsidRPr="00344CE2">
        <w:t xml:space="preserve">equal shift </w:t>
      </w:r>
      <w:r w:rsidR="00562424">
        <w:t>in which</w:t>
      </w:r>
      <w:r w:rsidR="00344CE2" w:rsidRPr="00344CE2">
        <w:t xml:space="preserve"> physical activity increases by the same absolute amount for everyone </w:t>
      </w:r>
      <w:r w:rsidR="00562424">
        <w:t xml:space="preserve">and </w:t>
      </w:r>
      <w:r w:rsidR="00344CE2" w:rsidRPr="00344CE2">
        <w:t>a proportional shift</w:t>
      </w:r>
      <w:r w:rsidR="00562424">
        <w:t xml:space="preserve"> in which</w:t>
      </w:r>
      <w:r w:rsidR="00344CE2" w:rsidRPr="00344CE2">
        <w:t xml:space="preserve"> physical activity increases proportionally to current activity levels.</w:t>
      </w:r>
      <w:r w:rsidR="001317D3">
        <w:t xml:space="preserve"> </w:t>
      </w:r>
    </w:p>
    <w:p w14:paraId="03755F7C" w14:textId="6FBEB34F" w:rsidR="00106CCC" w:rsidRDefault="001317D3" w:rsidP="00106CCC">
      <w:pPr>
        <w:pStyle w:val="USBodyText"/>
      </w:pPr>
      <w:r>
        <w:t>Results indicate that m</w:t>
      </w:r>
      <w:r w:rsidRPr="001317D3">
        <w:t xml:space="preserve">eeting the GAPPA target would result in </w:t>
      </w:r>
      <w:r w:rsidR="00106CCC">
        <w:t xml:space="preserve">158,000 to </w:t>
      </w:r>
      <w:r w:rsidRPr="001317D3">
        <w:t>197,000 health-adjusted life-years (HALYs)</w:t>
      </w:r>
      <w:r>
        <w:t xml:space="preserve"> </w:t>
      </w:r>
      <w:r w:rsidRPr="001317D3">
        <w:t>gained and health system cost savings of US$</w:t>
      </w:r>
      <w:r w:rsidR="00106CCC">
        <w:t xml:space="preserve">1.29 to </w:t>
      </w:r>
      <w:r w:rsidRPr="001317D3">
        <w:t>1.</w:t>
      </w:r>
      <w:r w:rsidR="00A0122A" w:rsidRPr="001317D3">
        <w:t>57</w:t>
      </w:r>
      <w:r w:rsidR="00A0122A">
        <w:t xml:space="preserve"> billion</w:t>
      </w:r>
      <w:r w:rsidR="00106CCC">
        <w:t xml:space="preserve">, with the </w:t>
      </w:r>
      <w:r w:rsidR="00A23A92">
        <w:t>equal shift resulting in the largest impacts.</w:t>
      </w:r>
    </w:p>
    <w:p w14:paraId="5CEBBFC5" w14:textId="6EDE674C" w:rsidR="00CE2888" w:rsidRDefault="00A0122A" w:rsidP="00CE2888">
      <w:pPr>
        <w:pStyle w:val="FigureCaption"/>
      </w:pPr>
      <w:bookmarkStart w:id="84" w:name="_Toc98760545"/>
      <w:r w:rsidRPr="00E84337">
        <w:lastRenderedPageBreak/>
        <w:t>Figure </w:t>
      </w:r>
      <w:r w:rsidRPr="00E84337">
        <w:fldChar w:fldCharType="begin"/>
      </w:r>
      <w:r w:rsidRPr="00E84337">
        <w:instrText>SEQ Figure \* ARABIC</w:instrText>
      </w:r>
      <w:r w:rsidRPr="00E84337">
        <w:fldChar w:fldCharType="separate"/>
      </w:r>
      <w:r w:rsidR="002C631E">
        <w:rPr>
          <w:noProof/>
        </w:rPr>
        <w:t>14</w:t>
      </w:r>
      <w:r w:rsidRPr="00E84337">
        <w:fldChar w:fldCharType="end"/>
      </w:r>
      <w:r>
        <w:t xml:space="preserve"> </w:t>
      </w:r>
      <w:r w:rsidR="00636640">
        <w:t>Results of Midzrak et al</w:t>
      </w:r>
      <w:r>
        <w:t>.</w:t>
      </w:r>
      <w:r w:rsidR="00636640">
        <w:t xml:space="preserve"> (2021) for Health-adjusted life years gained</w:t>
      </w:r>
      <w:bookmarkEnd w:id="84"/>
    </w:p>
    <w:p w14:paraId="6AD34D56" w14:textId="68A6FB59" w:rsidR="00CE2888" w:rsidRDefault="00CE2888" w:rsidP="00106CCC">
      <w:pPr>
        <w:pStyle w:val="USBodyText"/>
      </w:pPr>
      <w:r>
        <w:rPr>
          <w:noProof/>
        </w:rPr>
        <w:drawing>
          <wp:inline distT="0" distB="0" distL="0" distR="0" wp14:anchorId="69058648" wp14:editId="5E7E7060">
            <wp:extent cx="5760085" cy="1221740"/>
            <wp:effectExtent l="0" t="0" r="0" b="0"/>
            <wp:docPr id="34" name="Picture 34" descr="Figure 14 Results of Midzrak et al. (2021) for Health-adjusted life years gain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14 Results of Midzrak et al. (2021) for Health-adjusted life years gained&#10;&#10;"/>
                    <pic:cNvPicPr/>
                  </pic:nvPicPr>
                  <pic:blipFill>
                    <a:blip r:embed="rId41"/>
                    <a:stretch>
                      <a:fillRect/>
                    </a:stretch>
                  </pic:blipFill>
                  <pic:spPr>
                    <a:xfrm>
                      <a:off x="0" y="0"/>
                      <a:ext cx="5760085" cy="1221740"/>
                    </a:xfrm>
                    <a:prstGeom prst="rect">
                      <a:avLst/>
                    </a:prstGeom>
                  </pic:spPr>
                </pic:pic>
              </a:graphicData>
            </a:graphic>
          </wp:inline>
        </w:drawing>
      </w:r>
    </w:p>
    <w:p w14:paraId="26ECE8E9" w14:textId="01F1C0E9" w:rsidR="00E15944" w:rsidRPr="001317D3" w:rsidRDefault="00E15944" w:rsidP="00E15944">
      <w:pPr>
        <w:pStyle w:val="USSource"/>
      </w:pPr>
      <w:r>
        <w:t xml:space="preserve">Source: Midzrak et al. </w:t>
      </w:r>
      <w:r w:rsidR="00A0122A">
        <w:t>(</w:t>
      </w:r>
      <w:r>
        <w:t>2021</w:t>
      </w:r>
      <w:r w:rsidR="00DA38D1">
        <w:t>)</w:t>
      </w:r>
    </w:p>
    <w:p w14:paraId="4B29D382" w14:textId="4E08E1D9" w:rsidR="00D80F70" w:rsidRDefault="00D80F70" w:rsidP="0005646B">
      <w:pPr>
        <w:pStyle w:val="Heading3"/>
      </w:pPr>
      <w:r>
        <w:t>Unhealthy diet</w:t>
      </w:r>
    </w:p>
    <w:p w14:paraId="0B47A5CD" w14:textId="76CBB3BB" w:rsidR="00EF2830" w:rsidRPr="009E6DC7" w:rsidRDefault="00EF2830" w:rsidP="00DC3B27">
      <w:pPr>
        <w:pStyle w:val="USBodyText"/>
      </w:pPr>
      <w:r w:rsidRPr="009E6DC7">
        <w:t xml:space="preserve">No cost-of-illness studies were identified that estimated the </w:t>
      </w:r>
      <w:r w:rsidR="007F4219" w:rsidRPr="009E6DC7">
        <w:t xml:space="preserve">cost of </w:t>
      </w:r>
      <w:r w:rsidR="005E6A3D">
        <w:t xml:space="preserve">an </w:t>
      </w:r>
      <w:r w:rsidR="007F4219" w:rsidRPr="009E6DC7">
        <w:t>unhealthy diet. However, one high quality intervention study provided relevant evidence.</w:t>
      </w:r>
    </w:p>
    <w:p w14:paraId="45CD17A0" w14:textId="017D1E88" w:rsidR="00D80F70" w:rsidRDefault="009270E0" w:rsidP="00DC3B27">
      <w:pPr>
        <w:pStyle w:val="USBodyText"/>
      </w:pPr>
      <w:r w:rsidRPr="0047275F">
        <w:rPr>
          <w:rFonts w:cs="Calibri"/>
          <w:b/>
          <w:bCs/>
        </w:rPr>
        <w:t>Nghiem et al. (2015</w:t>
      </w:r>
      <w:r w:rsidR="008765FF" w:rsidRPr="0047275F">
        <w:rPr>
          <w:rFonts w:cs="Calibri"/>
          <w:b/>
          <w:bCs/>
        </w:rPr>
        <w:t>a</w:t>
      </w:r>
      <w:r w:rsidRPr="0047275F">
        <w:rPr>
          <w:rFonts w:cs="Calibri"/>
          <w:b/>
          <w:bCs/>
        </w:rPr>
        <w:t>)</w:t>
      </w:r>
      <w:r w:rsidR="00DA38D1">
        <w:rPr>
          <w:b/>
          <w:bCs/>
        </w:rPr>
        <w:t xml:space="preserve"> </w:t>
      </w:r>
      <w:r w:rsidR="00B16A30">
        <w:t xml:space="preserve">used a Markov-macrosimulation model </w:t>
      </w:r>
      <w:r w:rsidR="00C66946">
        <w:t xml:space="preserve">(the BODE3 CVD model) </w:t>
      </w:r>
      <w:r w:rsidR="00B16A30">
        <w:t xml:space="preserve">to </w:t>
      </w:r>
      <w:r w:rsidR="00BE1132">
        <w:t>compare the impact of eight sodium reduction interventions</w:t>
      </w:r>
      <w:r w:rsidR="008F61B7">
        <w:t xml:space="preserve"> against a </w:t>
      </w:r>
      <w:r w:rsidR="00E755F2">
        <w:t>‘</w:t>
      </w:r>
      <w:r w:rsidR="008F61B7">
        <w:t>do nothing</w:t>
      </w:r>
      <w:r w:rsidR="00E755F2">
        <w:t xml:space="preserve">’ </w:t>
      </w:r>
      <w:r w:rsidR="008F61B7">
        <w:t>comparator</w:t>
      </w:r>
      <w:r w:rsidR="00BE1132">
        <w:t>. The population modelled was the New Zealand adult population aged 35+ years</w:t>
      </w:r>
      <w:r w:rsidR="009D58FA">
        <w:t>, modelled from 2011 to death or age 100.</w:t>
      </w:r>
      <w:r w:rsidR="00DC3B27">
        <w:t xml:space="preserve"> The model involved </w:t>
      </w:r>
      <w:r w:rsidR="00DC3B27" w:rsidRPr="00DC3B27">
        <w:t>four primary health states, with annual transition rates capturing incidence</w:t>
      </w:r>
      <w:r w:rsidR="00DC3B27">
        <w:t xml:space="preserve"> </w:t>
      </w:r>
      <w:r w:rsidR="00DC3B27" w:rsidRPr="00DC3B27">
        <w:t>and case-fatality for coronary heart disease (CHD) and stroke</w:t>
      </w:r>
      <w:r w:rsidR="00DC3B27">
        <w:t>s</w:t>
      </w:r>
      <w:r w:rsidR="001505FD">
        <w:t xml:space="preserve"> (see </w:t>
      </w:r>
      <w:r w:rsidR="00850934">
        <w:fldChar w:fldCharType="begin"/>
      </w:r>
      <w:r w:rsidR="00850934">
        <w:instrText xml:space="preserve"> REF _Ref85626059 \h </w:instrText>
      </w:r>
      <w:r w:rsidR="00850934">
        <w:fldChar w:fldCharType="separate"/>
      </w:r>
      <w:r w:rsidR="002C631E" w:rsidRPr="00E84337">
        <w:t>Figure </w:t>
      </w:r>
      <w:r w:rsidR="002C631E">
        <w:rPr>
          <w:noProof/>
        </w:rPr>
        <w:t>15</w:t>
      </w:r>
      <w:r w:rsidR="00850934">
        <w:fldChar w:fldCharType="end"/>
      </w:r>
      <w:r w:rsidR="001505FD">
        <w:t xml:space="preserve"> below)</w:t>
      </w:r>
      <w:r w:rsidR="00DC3B27">
        <w:t>.</w:t>
      </w:r>
      <w:r w:rsidR="002C6F64">
        <w:t xml:space="preserve"> The study takes a health system perspective and includes </w:t>
      </w:r>
      <w:r w:rsidR="00CC360E">
        <w:t xml:space="preserve">health system costs arising </w:t>
      </w:r>
      <w:r w:rsidR="004A3155">
        <w:t>from the</w:t>
      </w:r>
      <w:r w:rsidR="00CC360E">
        <w:t xml:space="preserve"> additional years of life </w:t>
      </w:r>
      <w:r w:rsidR="00886574">
        <w:t>afford</w:t>
      </w:r>
      <w:r w:rsidR="004A3155">
        <w:t>ed by</w:t>
      </w:r>
      <w:r w:rsidR="00CC360E">
        <w:t xml:space="preserve"> successful interventions</w:t>
      </w:r>
      <w:r w:rsidR="00886574">
        <w:t>.</w:t>
      </w:r>
    </w:p>
    <w:p w14:paraId="24587641" w14:textId="6B4AE9D0" w:rsidR="00272622" w:rsidRDefault="00E755F2" w:rsidP="00272622">
      <w:pPr>
        <w:pStyle w:val="FigureCaption"/>
      </w:pPr>
      <w:bookmarkStart w:id="85" w:name="_Ref85626059"/>
      <w:bookmarkStart w:id="86" w:name="_Toc98760546"/>
      <w:r w:rsidRPr="00E84337">
        <w:t>Figure </w:t>
      </w:r>
      <w:r w:rsidRPr="00E84337">
        <w:fldChar w:fldCharType="begin"/>
      </w:r>
      <w:r w:rsidRPr="00E84337">
        <w:instrText>SEQ Figure \* ARABIC</w:instrText>
      </w:r>
      <w:r w:rsidRPr="00E84337">
        <w:fldChar w:fldCharType="separate"/>
      </w:r>
      <w:r w:rsidR="002C631E">
        <w:rPr>
          <w:noProof/>
        </w:rPr>
        <w:t>15</w:t>
      </w:r>
      <w:r w:rsidRPr="00E84337">
        <w:fldChar w:fldCharType="end"/>
      </w:r>
      <w:bookmarkEnd w:id="85"/>
      <w:r>
        <w:t xml:space="preserve"> </w:t>
      </w:r>
      <w:r w:rsidR="00272622">
        <w:t>Structure of the BODE3</w:t>
      </w:r>
      <w:r w:rsidR="00F54888">
        <w:t xml:space="preserve"> </w:t>
      </w:r>
      <w:r w:rsidR="00EC7E4A">
        <w:t>CVD model</w:t>
      </w:r>
      <w:bookmarkEnd w:id="86"/>
    </w:p>
    <w:p w14:paraId="4FC6ECD3" w14:textId="3E1D639C" w:rsidR="00D80F70" w:rsidRDefault="00272622" w:rsidP="009E408B">
      <w:pPr>
        <w:pStyle w:val="USBodyText"/>
        <w:keepNext/>
      </w:pPr>
      <w:r>
        <w:rPr>
          <w:noProof/>
        </w:rPr>
        <w:drawing>
          <wp:inline distT="0" distB="0" distL="0" distR="0" wp14:anchorId="08833975" wp14:editId="40BE470E">
            <wp:extent cx="5760085" cy="2155825"/>
            <wp:effectExtent l="0" t="0" r="0" b="0"/>
            <wp:docPr id="36" name="Picture 36" descr="Figure 15 Structure of the BODE3 CVD mod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5 Structure of the BODE3 CVD model&#10;&#10;"/>
                    <pic:cNvPicPr/>
                  </pic:nvPicPr>
                  <pic:blipFill>
                    <a:blip r:embed="rId42"/>
                    <a:stretch>
                      <a:fillRect/>
                    </a:stretch>
                  </pic:blipFill>
                  <pic:spPr>
                    <a:xfrm>
                      <a:off x="0" y="0"/>
                      <a:ext cx="5760085" cy="2155825"/>
                    </a:xfrm>
                    <a:prstGeom prst="rect">
                      <a:avLst/>
                    </a:prstGeom>
                  </pic:spPr>
                </pic:pic>
              </a:graphicData>
            </a:graphic>
          </wp:inline>
        </w:drawing>
      </w:r>
    </w:p>
    <w:p w14:paraId="2AA25934" w14:textId="004D6D46" w:rsidR="004E0BF1" w:rsidRPr="009E408B" w:rsidRDefault="004E0BF1" w:rsidP="00233E59">
      <w:pPr>
        <w:pStyle w:val="USSource"/>
      </w:pPr>
      <w:r w:rsidRPr="009E408B">
        <w:t xml:space="preserve">Source: </w:t>
      </w:r>
      <w:r w:rsidR="0045665F" w:rsidRPr="0045665F">
        <w:rPr>
          <w:rFonts w:cs="Calibri"/>
        </w:rPr>
        <w:t xml:space="preserve">Nghiem et al. </w:t>
      </w:r>
      <w:r w:rsidR="008765FF">
        <w:rPr>
          <w:rFonts w:cs="Calibri"/>
        </w:rPr>
        <w:t>(</w:t>
      </w:r>
      <w:r w:rsidR="0045665F" w:rsidRPr="0045665F">
        <w:rPr>
          <w:rFonts w:cs="Calibri"/>
        </w:rPr>
        <w:t>2015</w:t>
      </w:r>
      <w:r w:rsidR="008765FF">
        <w:t>b)</w:t>
      </w:r>
    </w:p>
    <w:p w14:paraId="1D51F3B4" w14:textId="3C8B7504" w:rsidR="00D80F70" w:rsidRDefault="000A6B57" w:rsidP="00D80F70">
      <w:pPr>
        <w:pStyle w:val="USBodyText"/>
      </w:pPr>
      <w:r>
        <w:t>The study found that</w:t>
      </w:r>
      <w:r w:rsidR="00DE0EBC">
        <w:t xml:space="preserve"> </w:t>
      </w:r>
      <w:r w:rsidR="008F61B7">
        <w:t xml:space="preserve">the </w:t>
      </w:r>
      <w:r w:rsidR="00D455D8">
        <w:t xml:space="preserve">CVD health system costs </w:t>
      </w:r>
      <w:r w:rsidR="008F61B7">
        <w:t xml:space="preserve">of the </w:t>
      </w:r>
      <w:r w:rsidR="003C45AC">
        <w:t>‘</w:t>
      </w:r>
      <w:r w:rsidR="008F61B7">
        <w:t>Do nothing</w:t>
      </w:r>
      <w:r w:rsidR="003C45AC">
        <w:t xml:space="preserve">’ </w:t>
      </w:r>
      <w:r w:rsidR="008F61B7">
        <w:t xml:space="preserve">comparator </w:t>
      </w:r>
      <w:r w:rsidR="00C128A1">
        <w:t xml:space="preserve">were </w:t>
      </w:r>
      <w:r w:rsidR="00554E4C">
        <w:t>NZ</w:t>
      </w:r>
      <w:r w:rsidR="00C128A1">
        <w:t xml:space="preserve">$16,000 and the non-CVD health system costs were </w:t>
      </w:r>
      <w:r w:rsidR="00554E4C">
        <w:t>NZ</w:t>
      </w:r>
      <w:r w:rsidR="00C128A1">
        <w:t>$</w:t>
      </w:r>
      <w:r w:rsidR="00C5242B">
        <w:t xml:space="preserve">54,500, for a total of </w:t>
      </w:r>
      <w:r w:rsidR="00554E4C">
        <w:t>NZ</w:t>
      </w:r>
      <w:r w:rsidR="00C5242B">
        <w:t xml:space="preserve">$70,500 </w:t>
      </w:r>
      <w:r w:rsidR="00C128A1">
        <w:t>per adult in 2011</w:t>
      </w:r>
      <w:r w:rsidR="00076686">
        <w:t xml:space="preserve">, or </w:t>
      </w:r>
      <w:r w:rsidR="00554E4C">
        <w:t>NZ</w:t>
      </w:r>
      <w:r w:rsidR="00076686">
        <w:t>$162</w:t>
      </w:r>
      <w:r w:rsidR="00E0543E">
        <w:t>,000 million in total health system costs across the cohort’s remaining life</w:t>
      </w:r>
      <w:r w:rsidR="00C5242B">
        <w:t xml:space="preserve">. </w:t>
      </w:r>
    </w:p>
    <w:p w14:paraId="14F1C879" w14:textId="312496FC" w:rsidR="00E6663A" w:rsidRDefault="001654CA" w:rsidP="00D80F70">
      <w:pPr>
        <w:pStyle w:val="USBodyText"/>
      </w:pPr>
      <w:r w:rsidRPr="00F43CB4">
        <w:rPr>
          <w:rFonts w:cs="Calibri"/>
          <w:b/>
          <w:bCs/>
        </w:rPr>
        <w:t>Wilson et al. (2016)</w:t>
      </w:r>
      <w:r w:rsidR="009D2247">
        <w:rPr>
          <w:b/>
          <w:bCs/>
        </w:rPr>
        <w:t xml:space="preserve"> </w:t>
      </w:r>
      <w:r w:rsidR="000B60D8">
        <w:t xml:space="preserve">used the BODE3 dietary sodium intervention model </w:t>
      </w:r>
      <w:r w:rsidR="00C30B34">
        <w:t>–</w:t>
      </w:r>
      <w:r w:rsidR="000B60D8">
        <w:t xml:space="preserve"> </w:t>
      </w:r>
      <w:r w:rsidR="00C30B34">
        <w:t xml:space="preserve">a </w:t>
      </w:r>
      <w:r w:rsidR="002F65F5">
        <w:t>Markov</w:t>
      </w:r>
      <w:r w:rsidR="00C30B34">
        <w:t xml:space="preserve"> model based on the 2011 New Zealand adult (age 35+) population</w:t>
      </w:r>
      <w:r w:rsidR="00A9299A">
        <w:t xml:space="preserve"> – to </w:t>
      </w:r>
      <w:r w:rsidR="00C30B34">
        <w:t xml:space="preserve">evaluate ten interventions </w:t>
      </w:r>
      <w:r w:rsidR="00822D8A">
        <w:t>aimed at reducing</w:t>
      </w:r>
      <w:r w:rsidR="00C30B34">
        <w:t xml:space="preserve"> sodium intake</w:t>
      </w:r>
      <w:r w:rsidR="00822D8A">
        <w:t xml:space="preserve"> on coronary heart disease and stroke outcomes</w:t>
      </w:r>
      <w:r w:rsidR="00A55508" w:rsidRPr="00A55508">
        <w:t xml:space="preserve"> </w:t>
      </w:r>
      <w:r w:rsidR="00A55508">
        <w:t xml:space="preserve">with </w:t>
      </w:r>
      <w:r w:rsidR="00A55508">
        <w:lastRenderedPageBreak/>
        <w:t>results presented</w:t>
      </w:r>
      <w:r w:rsidR="00A55508" w:rsidRPr="00A55508">
        <w:t xml:space="preserve"> by sex, ethnicity, and age-group.</w:t>
      </w:r>
      <w:r w:rsidR="00C30B34">
        <w:t xml:space="preserve"> Lifetime impacts were modelled </w:t>
      </w:r>
      <w:r w:rsidR="002F65F5">
        <w:t>and discounted at a rate of three percent per annum.</w:t>
      </w:r>
    </w:p>
    <w:p w14:paraId="5D6F4785" w14:textId="2B51BD86" w:rsidR="0049792E" w:rsidRDefault="0049792E" w:rsidP="0049792E">
      <w:pPr>
        <w:pStyle w:val="USBodyText"/>
      </w:pPr>
      <w:r>
        <w:t>Interventions were</w:t>
      </w:r>
      <w:r w:rsidR="003C1B70">
        <w:t xml:space="preserve"> based on salt reduction targets</w:t>
      </w:r>
      <w:r w:rsidR="005E15B0">
        <w:t xml:space="preserve"> </w:t>
      </w:r>
      <w:r w:rsidR="00221FEA">
        <w:t xml:space="preserve">for </w:t>
      </w:r>
      <w:r w:rsidR="00F41A77">
        <w:t xml:space="preserve">the </w:t>
      </w:r>
      <w:r w:rsidR="00221FEA">
        <w:t xml:space="preserve">food industry </w:t>
      </w:r>
      <w:r w:rsidR="005E15B0">
        <w:t>partly informed by the UK Salt Reduction Targets for 2017</w:t>
      </w:r>
      <w:r w:rsidR="00457405">
        <w:t>,</w:t>
      </w:r>
      <w:r w:rsidR="00B32993">
        <w:t xml:space="preserve"> where a “full target” of 35 percent reduction in dietary salt was assumed to </w:t>
      </w:r>
      <w:r w:rsidR="006956E8">
        <w:t>provide a margin of error to ensure the WHO recommendation of a 30 percent reduction could be achieved.</w:t>
      </w:r>
      <w:r w:rsidR="00221FEA">
        <w:t xml:space="preserve"> Both mandatory and voluntary reductions were modelled.</w:t>
      </w:r>
      <w:r w:rsidR="003C1B70">
        <w:t xml:space="preserve"> </w:t>
      </w:r>
    </w:p>
    <w:p w14:paraId="68E3A72D" w14:textId="1D0CD73D" w:rsidR="00645C79" w:rsidRDefault="00645C79" w:rsidP="00947F7F">
      <w:pPr>
        <w:pStyle w:val="USBodyText"/>
      </w:pPr>
      <w:r>
        <w:t>For each intervention</w:t>
      </w:r>
      <w:r w:rsidR="00F41A77">
        <w:t>,</w:t>
      </w:r>
      <w:r>
        <w:t xml:space="preserve"> the reduction in dietary sodium</w:t>
      </w:r>
      <w:r w:rsidR="004948F6">
        <w:t xml:space="preserve"> was modelled to produce</w:t>
      </w:r>
      <w:r>
        <w:t xml:space="preserve"> a reduction in systolic blood</w:t>
      </w:r>
      <w:r w:rsidR="004948F6">
        <w:t xml:space="preserve"> </w:t>
      </w:r>
      <w:r>
        <w:t xml:space="preserve">pressure (BP) based on </w:t>
      </w:r>
      <w:r w:rsidR="00F41A77">
        <w:t xml:space="preserve">the </w:t>
      </w:r>
      <w:r w:rsidR="00D05744">
        <w:t xml:space="preserve">results of </w:t>
      </w:r>
      <w:r>
        <w:t>regression</w:t>
      </w:r>
      <w:r w:rsidR="00D05744">
        <w:t xml:space="preserve"> </w:t>
      </w:r>
      <w:r>
        <w:t>model</w:t>
      </w:r>
      <w:r w:rsidR="00D05744">
        <w:t xml:space="preserve">ling in </w:t>
      </w:r>
      <w:r w:rsidR="00F41A77">
        <w:t xml:space="preserve">a </w:t>
      </w:r>
      <w:r w:rsidR="00D05744">
        <w:t>previously published study</w:t>
      </w:r>
      <w:r w:rsidR="00F41A77">
        <w:t>.</w:t>
      </w:r>
      <w:r w:rsidR="003D586B" w:rsidRPr="0042069F">
        <w:rPr>
          <w:rStyle w:val="FootnoteReference"/>
        </w:rPr>
        <w:footnoteReference w:id="4"/>
      </w:r>
      <w:r>
        <w:t xml:space="preserve"> </w:t>
      </w:r>
      <w:r w:rsidR="003D586B">
        <w:t>R</w:t>
      </w:r>
      <w:r>
        <w:t>eduction</w:t>
      </w:r>
      <w:r w:rsidR="003D586B">
        <w:t>s</w:t>
      </w:r>
      <w:r>
        <w:t xml:space="preserve"> in systolic</w:t>
      </w:r>
      <w:r w:rsidR="003D586B">
        <w:t xml:space="preserve"> blood pressure </w:t>
      </w:r>
      <w:r>
        <w:t xml:space="preserve">reduced </w:t>
      </w:r>
      <w:r w:rsidR="003D586B">
        <w:t xml:space="preserve">the </w:t>
      </w:r>
      <w:r>
        <w:t xml:space="preserve">probability of </w:t>
      </w:r>
      <w:r w:rsidR="00822D8A">
        <w:t>coronary heart disease</w:t>
      </w:r>
      <w:r w:rsidR="003D586B">
        <w:t xml:space="preserve"> and stroke </w:t>
      </w:r>
      <w:r w:rsidR="00387E16">
        <w:t>based on risk values from a previously published</w:t>
      </w:r>
      <w:r>
        <w:t xml:space="preserve"> meta-analysis</w:t>
      </w:r>
      <w:r w:rsidR="00387E16">
        <w:t xml:space="preserve"> </w:t>
      </w:r>
      <w:r>
        <w:t>of 61 prospective studies</w:t>
      </w:r>
      <w:r w:rsidR="00F41A77">
        <w:t>.</w:t>
      </w:r>
      <w:r w:rsidR="00387E16" w:rsidRPr="0042069F">
        <w:rPr>
          <w:rStyle w:val="FootnoteReference"/>
        </w:rPr>
        <w:footnoteReference w:id="5"/>
      </w:r>
      <w:r w:rsidR="00947F7F">
        <w:t xml:space="preserve"> QALYs gained</w:t>
      </w:r>
      <w:r w:rsidR="00F41A77">
        <w:t>,</w:t>
      </w:r>
      <w:r w:rsidR="00947F7F">
        <w:t xml:space="preserve"> and health system costs were estimated from changes in disease status and </w:t>
      </w:r>
      <w:r w:rsidR="00A55508">
        <w:t>extended life</w:t>
      </w:r>
      <w:r>
        <w:t>.</w:t>
      </w:r>
    </w:p>
    <w:p w14:paraId="61C13AC7" w14:textId="5C26E1FE" w:rsidR="00221FEA" w:rsidRDefault="00221FEA" w:rsidP="0049792E">
      <w:pPr>
        <w:pStyle w:val="USBodyText"/>
      </w:pPr>
      <w:r>
        <w:t>Costs were</w:t>
      </w:r>
      <w:r w:rsidR="00704AD9">
        <w:t xml:space="preserve"> estimated as the sum of intervention costs and health system costs</w:t>
      </w:r>
      <w:r w:rsidR="00C1482D">
        <w:t xml:space="preserve"> through the lifespan of the modelled population, including additional health system costs </w:t>
      </w:r>
      <w:r w:rsidR="00DE606B">
        <w:t>associated with</w:t>
      </w:r>
      <w:r w:rsidR="00C1482D">
        <w:t xml:space="preserve"> </w:t>
      </w:r>
      <w:r w:rsidR="00DE606B">
        <w:t>extended life resulting from the interventions.</w:t>
      </w:r>
    </w:p>
    <w:p w14:paraId="5AB8B8CB" w14:textId="10AA06F2" w:rsidR="007A79BF" w:rsidRDefault="00A55508" w:rsidP="0049792E">
      <w:pPr>
        <w:pStyle w:val="USBodyText"/>
      </w:pPr>
      <w:r>
        <w:t>A b</w:t>
      </w:r>
      <w:r w:rsidR="00AB1880">
        <w:t>lunt s</w:t>
      </w:r>
      <w:r w:rsidR="007A79BF">
        <w:t xml:space="preserve">caling </w:t>
      </w:r>
      <w:r>
        <w:t xml:space="preserve">factor </w:t>
      </w:r>
      <w:r w:rsidR="007A79BF">
        <w:t xml:space="preserve">was applied to health system costs due to the </w:t>
      </w:r>
      <w:r w:rsidR="0043538E">
        <w:t>source of cost data (</w:t>
      </w:r>
      <w:r w:rsidR="007A79BF">
        <w:t>Health Tracker</w:t>
      </w:r>
      <w:r w:rsidR="0043538E">
        <w:t>)</w:t>
      </w:r>
      <w:r w:rsidR="00557275">
        <w:t xml:space="preserve"> only providing public health system costs</w:t>
      </w:r>
      <w:r w:rsidR="002401A5">
        <w:t xml:space="preserve">. Scaling costs up by 20 percent was used </w:t>
      </w:r>
      <w:r w:rsidR="0041612A">
        <w:t xml:space="preserve">to reflect </w:t>
      </w:r>
      <w:r w:rsidR="00AB1880">
        <w:t xml:space="preserve">that </w:t>
      </w:r>
      <w:r w:rsidR="0041612A">
        <w:t>private health service costs</w:t>
      </w:r>
      <w:r w:rsidR="00AB1880">
        <w:t xml:space="preserve"> account for approximately 17 percent of total health spending.</w:t>
      </w:r>
      <w:r w:rsidR="003823EC">
        <w:t xml:space="preserve"> Additional scaling was applied to older age groups to reflect </w:t>
      </w:r>
      <w:r w:rsidR="004F1BA3">
        <w:t xml:space="preserve">disability support services </w:t>
      </w:r>
      <w:r w:rsidR="00966478">
        <w:t>not captured by the cost data.</w:t>
      </w:r>
    </w:p>
    <w:p w14:paraId="12F5B15B" w14:textId="34058A53" w:rsidR="0095156C" w:rsidRDefault="00C50259" w:rsidP="0049792E">
      <w:pPr>
        <w:pStyle w:val="USBodyText"/>
      </w:pPr>
      <w:r>
        <w:t xml:space="preserve">The “full target” was defined as </w:t>
      </w:r>
      <w:r w:rsidR="0049792E">
        <w:t xml:space="preserve">an overall 35 </w:t>
      </w:r>
      <w:r w:rsidR="00A55508">
        <w:t>percent</w:t>
      </w:r>
      <w:r w:rsidR="0049792E">
        <w:t xml:space="preserve"> reduction in dietary salt intake</w:t>
      </w:r>
      <w:r w:rsidR="00457405">
        <w:t>,</w:t>
      </w:r>
      <w:r w:rsidR="0049792E">
        <w:t xml:space="preserve"> </w:t>
      </w:r>
      <w:r w:rsidR="0095156C">
        <w:t>which would be achieved through:</w:t>
      </w:r>
    </w:p>
    <w:p w14:paraId="088BE72C" w14:textId="77777777" w:rsidR="0095156C" w:rsidRDefault="0049792E" w:rsidP="0095156C">
      <w:pPr>
        <w:pStyle w:val="USBullet1"/>
      </w:pPr>
      <w:r>
        <w:t>mandatory maximum</w:t>
      </w:r>
      <w:r w:rsidR="00A55508">
        <w:t xml:space="preserve"> </w:t>
      </w:r>
      <w:r>
        <w:t xml:space="preserve">levels of sodium in packaged foods </w:t>
      </w:r>
    </w:p>
    <w:p w14:paraId="293860ED" w14:textId="77777777" w:rsidR="0095156C" w:rsidRDefault="0049792E" w:rsidP="0095156C">
      <w:pPr>
        <w:pStyle w:val="USBullet1"/>
      </w:pPr>
      <w:r>
        <w:t xml:space="preserve">reduced sodium </w:t>
      </w:r>
      <w:r w:rsidR="000D703F">
        <w:t>in</w:t>
      </w:r>
      <w:r>
        <w:t xml:space="preserve"> fast foods/restaurant food </w:t>
      </w:r>
    </w:p>
    <w:p w14:paraId="0F26614C" w14:textId="53985151" w:rsidR="0095156C" w:rsidRDefault="0095156C" w:rsidP="0095156C">
      <w:pPr>
        <w:pStyle w:val="USBullet1"/>
      </w:pPr>
      <w:r>
        <w:t xml:space="preserve">reduced </w:t>
      </w:r>
      <w:r w:rsidR="0049792E">
        <w:t>discretionary</w:t>
      </w:r>
      <w:r w:rsidR="000D703F">
        <w:t xml:space="preserve"> </w:t>
      </w:r>
      <w:r w:rsidR="0049792E">
        <w:t>intake</w:t>
      </w:r>
      <w:r w:rsidR="00457405">
        <w:t>.</w:t>
      </w:r>
      <w:r w:rsidR="0049792E">
        <w:t xml:space="preserve"> </w:t>
      </w:r>
    </w:p>
    <w:p w14:paraId="3F6A285C" w14:textId="77777777" w:rsidR="0095156C" w:rsidRDefault="0095156C" w:rsidP="0095156C">
      <w:pPr>
        <w:pStyle w:val="USBodyText"/>
      </w:pPr>
      <w:r>
        <w:t xml:space="preserve">The “full target” was </w:t>
      </w:r>
      <w:r w:rsidR="0049792E">
        <w:t xml:space="preserve">estimated to </w:t>
      </w:r>
      <w:r>
        <w:t>generate</w:t>
      </w:r>
      <w:r w:rsidR="0049792E">
        <w:t xml:space="preserve"> 235,000 </w:t>
      </w:r>
      <w:r>
        <w:t xml:space="preserve">additional </w:t>
      </w:r>
      <w:r w:rsidR="0049792E">
        <w:t>QALYs over the lifetime of the cohort</w:t>
      </w:r>
      <w:r>
        <w:t xml:space="preserve">. </w:t>
      </w:r>
    </w:p>
    <w:p w14:paraId="2EC12C3F" w14:textId="53FCD60B" w:rsidR="003C4E89" w:rsidRDefault="0095156C" w:rsidP="0069722C">
      <w:pPr>
        <w:pStyle w:val="USBodyText"/>
      </w:pPr>
      <w:r>
        <w:t>S</w:t>
      </w:r>
      <w:r w:rsidR="0049792E">
        <w:t xml:space="preserve">pecific target components </w:t>
      </w:r>
      <w:r w:rsidR="001268D3">
        <w:t>were estimated to provide</w:t>
      </w:r>
      <w:r w:rsidR="003C4E89">
        <w:t xml:space="preserve"> </w:t>
      </w:r>
      <w:r w:rsidR="008B171A">
        <w:t xml:space="preserve">between </w:t>
      </w:r>
      <w:r w:rsidR="008B171A" w:rsidRPr="008B171A">
        <w:t xml:space="preserve">6100 QALYs gained by reaching the snack foods target </w:t>
      </w:r>
      <w:r w:rsidR="008B171A">
        <w:t>and</w:t>
      </w:r>
      <w:r w:rsidR="003C4E89">
        <w:t xml:space="preserve"> </w:t>
      </w:r>
      <w:r w:rsidR="0049792E">
        <w:t xml:space="preserve">122,000 QALYs gained </w:t>
      </w:r>
      <w:r w:rsidR="001268D3">
        <w:t xml:space="preserve">by reaching the </w:t>
      </w:r>
      <w:r w:rsidR="0049792E">
        <w:t xml:space="preserve">packaged foods </w:t>
      </w:r>
      <w:r w:rsidR="001268D3">
        <w:t xml:space="preserve">salt reduction </w:t>
      </w:r>
      <w:r w:rsidR="0049792E">
        <w:t>target</w:t>
      </w:r>
      <w:r w:rsidR="008B171A">
        <w:t>.</w:t>
      </w:r>
      <w:r w:rsidR="00300DB6" w:rsidRPr="00300DB6">
        <w:t xml:space="preserve"> </w:t>
      </w:r>
      <w:r w:rsidR="00300DB6">
        <w:t>Health gains were greater for men and Māori.</w:t>
      </w:r>
    </w:p>
    <w:p w14:paraId="3295D284" w14:textId="3BA69C10" w:rsidR="00D80F70" w:rsidRDefault="0049792E" w:rsidP="00AB72EB">
      <w:pPr>
        <w:pStyle w:val="USBodyText"/>
      </w:pPr>
      <w:r>
        <w:t xml:space="preserve">All ten target interventions were </w:t>
      </w:r>
      <w:r w:rsidR="008B171A">
        <w:t xml:space="preserve">found to be </w:t>
      </w:r>
      <w:r w:rsidR="00881BA3">
        <w:t>cost saving</w:t>
      </w:r>
      <w:r>
        <w:t xml:space="preserve">, with the greatest costs saved </w:t>
      </w:r>
      <w:r w:rsidR="008B171A">
        <w:t>when the</w:t>
      </w:r>
      <w:r>
        <w:t xml:space="preserve"> “full target” </w:t>
      </w:r>
      <w:r w:rsidR="008B171A">
        <w:t>was reached (</w:t>
      </w:r>
      <w:r>
        <w:t>NZ$1260 million (US$820 million)</w:t>
      </w:r>
      <w:r w:rsidR="008B171A">
        <w:t>)</w:t>
      </w:r>
      <w:r>
        <w:t xml:space="preserve">. </w:t>
      </w:r>
    </w:p>
    <w:p w14:paraId="1F9E4169" w14:textId="1B84CA78" w:rsidR="00291D60" w:rsidRDefault="00AB72EB" w:rsidP="0005646B">
      <w:pPr>
        <w:pStyle w:val="Heading3"/>
      </w:pPr>
      <w:r>
        <w:t>Alcohol</w:t>
      </w:r>
    </w:p>
    <w:p w14:paraId="5058254D" w14:textId="3EB544AC" w:rsidR="00AB72EB" w:rsidRDefault="00AB72EB" w:rsidP="00AB72EB">
      <w:pPr>
        <w:pStyle w:val="USBodyText"/>
      </w:pPr>
      <w:r>
        <w:t>No cost</w:t>
      </w:r>
      <w:r w:rsidR="00234C40">
        <w:t>-</w:t>
      </w:r>
      <w:r>
        <w:t>of</w:t>
      </w:r>
      <w:r w:rsidR="00234C40">
        <w:t>-</w:t>
      </w:r>
      <w:r>
        <w:t xml:space="preserve">illness study </w:t>
      </w:r>
      <w:r w:rsidR="006C4112">
        <w:t>focusing on alcohol consumption in New Zealand was identified.</w:t>
      </w:r>
      <w:r w:rsidR="00D6504E">
        <w:t xml:space="preserve"> However</w:t>
      </w:r>
      <w:r w:rsidR="00BD7519">
        <w:t>,</w:t>
      </w:r>
      <w:r w:rsidR="00D6504E">
        <w:t xml:space="preserve"> one study presented evidence of the burden of alcohol-related presentations to a hospital emergency department.</w:t>
      </w:r>
    </w:p>
    <w:p w14:paraId="56A580E1" w14:textId="553789FF" w:rsidR="0082397B" w:rsidRDefault="001654CA" w:rsidP="0082397B">
      <w:pPr>
        <w:pStyle w:val="USBodyText"/>
      </w:pPr>
      <w:r w:rsidRPr="003D2656">
        <w:rPr>
          <w:rFonts w:cs="Calibri"/>
        </w:rPr>
        <w:lastRenderedPageBreak/>
        <w:t>Svensen, Kool, and Buller (2019)</w:t>
      </w:r>
      <w:r w:rsidR="00D6504E" w:rsidRPr="003D2656">
        <w:t xml:space="preserve"> </w:t>
      </w:r>
      <w:r w:rsidR="00D6504E">
        <w:t>conducted a cross-sectional observational study to quantify the impact of alcohol-related presentations on the emergency department at Auckland City Hospital</w:t>
      </w:r>
      <w:r w:rsidR="0082397B">
        <w:t xml:space="preserve"> from November 2017 to October 2018. 7 percent of </w:t>
      </w:r>
      <w:r w:rsidR="00146A3A">
        <w:t>73,381 presentations (5,130) were alcohol related, with more frequent alcohol-related presentations at night, during the weekends</w:t>
      </w:r>
      <w:r w:rsidR="00422965">
        <w:t>, on public holidays and during the summer.</w:t>
      </w:r>
    </w:p>
    <w:p w14:paraId="0D2AAFB0" w14:textId="0C0674AA" w:rsidR="00422965" w:rsidRDefault="00422965" w:rsidP="0082397B">
      <w:pPr>
        <w:pStyle w:val="USBodyText"/>
      </w:pPr>
      <w:r>
        <w:t xml:space="preserve">In addition, 16 percent of injuries were alcohol-related and </w:t>
      </w:r>
      <w:r w:rsidR="008C0F92">
        <w:t>people who presented to the ED for an alcohol-related issue had a longer length of stay than people whose presentations were not alcohol-related</w:t>
      </w:r>
      <w:r w:rsidR="002B5956">
        <w:t>.</w:t>
      </w:r>
    </w:p>
    <w:p w14:paraId="6EB6617E" w14:textId="70C42F93" w:rsidR="002B5956" w:rsidRPr="00AB72EB" w:rsidRDefault="002B5956" w:rsidP="0082397B">
      <w:pPr>
        <w:pStyle w:val="USBodyText"/>
      </w:pPr>
      <w:r>
        <w:t>No costs were estimated</w:t>
      </w:r>
      <w:r w:rsidR="003D2656">
        <w:t xml:space="preserve"> in this study</w:t>
      </w:r>
      <w:r>
        <w:t>.</w:t>
      </w:r>
    </w:p>
    <w:p w14:paraId="4D7C6A96" w14:textId="2AB52172" w:rsidR="00291D60" w:rsidRDefault="00291D60" w:rsidP="0005646B">
      <w:pPr>
        <w:pStyle w:val="Heading3"/>
      </w:pPr>
      <w:r>
        <w:t>Tobacco</w:t>
      </w:r>
    </w:p>
    <w:p w14:paraId="204CA9FB" w14:textId="275E34F6" w:rsidR="006460FF" w:rsidRPr="0017532B" w:rsidRDefault="006460FF" w:rsidP="00FA5658">
      <w:pPr>
        <w:pStyle w:val="USBodyText"/>
      </w:pPr>
      <w:r w:rsidRPr="0017532B">
        <w:t xml:space="preserve">No </w:t>
      </w:r>
      <w:r w:rsidR="00E76256" w:rsidRPr="0017532B">
        <w:t xml:space="preserve">study on </w:t>
      </w:r>
      <w:r w:rsidR="006F5E12">
        <w:t xml:space="preserve">the </w:t>
      </w:r>
      <w:r w:rsidRPr="0017532B">
        <w:t xml:space="preserve">cost of illness </w:t>
      </w:r>
      <w:r w:rsidR="00E76256" w:rsidRPr="0017532B">
        <w:t xml:space="preserve">from tobacco use in </w:t>
      </w:r>
      <w:r w:rsidRPr="0017532B">
        <w:t>New Zealand was identified</w:t>
      </w:r>
      <w:r w:rsidR="00E76256" w:rsidRPr="0017532B">
        <w:t>. However, two studies pro</w:t>
      </w:r>
      <w:r w:rsidR="0017532B" w:rsidRPr="0017532B">
        <w:t>vided useful context.</w:t>
      </w:r>
      <w:r w:rsidR="00D40EC4">
        <w:t xml:space="preserve"> One was an intervention study</w:t>
      </w:r>
      <w:r w:rsidR="00011ADC">
        <w:t>,</w:t>
      </w:r>
      <w:r w:rsidR="00D40EC4">
        <w:t xml:space="preserve"> and one was a burden of disease study.</w:t>
      </w:r>
      <w:r w:rsidR="00496ABC">
        <w:t xml:space="preserve"> An additional global </w:t>
      </w:r>
      <w:r w:rsidR="006322F6">
        <w:t>study</w:t>
      </w:r>
      <w:r w:rsidR="006322F6" w:rsidDel="00324758">
        <w:t xml:space="preserve"> is </w:t>
      </w:r>
      <w:r w:rsidR="00324758">
        <w:t>also summarised</w:t>
      </w:r>
      <w:r w:rsidR="006322F6">
        <w:t>.</w:t>
      </w:r>
    </w:p>
    <w:p w14:paraId="37FBE0FF" w14:textId="7D9CFF8E" w:rsidR="006460FF" w:rsidRPr="00EB6947" w:rsidRDefault="006460FF" w:rsidP="006460FF">
      <w:pPr>
        <w:pStyle w:val="USBodyText"/>
      </w:pPr>
      <w:r>
        <w:t xml:space="preserve">In an intervention study that provides </w:t>
      </w:r>
      <w:r w:rsidR="00962D6B">
        <w:t>useful context for the</w:t>
      </w:r>
      <w:r>
        <w:t xml:space="preserve"> costs of illness related to tobacco, </w:t>
      </w:r>
      <w:r w:rsidR="001654CA" w:rsidRPr="00962D6B">
        <w:rPr>
          <w:rFonts w:cs="Calibri"/>
        </w:rPr>
        <w:t>Van der Deen et al. (2018)</w:t>
      </w:r>
      <w:r w:rsidRPr="00962D6B">
        <w:t xml:space="preserve"> </w:t>
      </w:r>
      <w:r w:rsidRPr="00EB6947">
        <w:t>used two models – a dynamic population forecasting model and a closed cohort multi</w:t>
      </w:r>
      <w:r w:rsidR="006F5E12">
        <w:t>-</w:t>
      </w:r>
      <w:r w:rsidRPr="00EB6947">
        <w:t xml:space="preserve">state life table model – to analyse the impacts of five strategies designed to reduce smoking prevalence on quality-adjusted life years. </w:t>
      </w:r>
    </w:p>
    <w:p w14:paraId="54F368C2" w14:textId="77777777" w:rsidR="006460FF" w:rsidRPr="00EB6947" w:rsidRDefault="006460FF" w:rsidP="006460FF">
      <w:pPr>
        <w:pStyle w:val="USBodyText"/>
      </w:pPr>
      <w:r w:rsidRPr="00EB6947">
        <w:t>The models estimated the impacts of:</w:t>
      </w:r>
    </w:p>
    <w:p w14:paraId="1906B751" w14:textId="4E012392" w:rsidR="006460FF" w:rsidRPr="00EB6947" w:rsidRDefault="006F5E12" w:rsidP="006460FF">
      <w:pPr>
        <w:pStyle w:val="USBullet1"/>
      </w:pPr>
      <w:r>
        <w:t>a</w:t>
      </w:r>
      <w:r w:rsidR="006460FF" w:rsidRPr="00EB6947">
        <w:t xml:space="preserve"> 10 percent annual tobacco tax increase</w:t>
      </w:r>
    </w:p>
    <w:p w14:paraId="31B353ED" w14:textId="510F7751" w:rsidR="006460FF" w:rsidRDefault="006F5E12" w:rsidP="006460FF">
      <w:pPr>
        <w:pStyle w:val="USBullet1"/>
      </w:pPr>
      <w:r>
        <w:t>a</w:t>
      </w:r>
      <w:r w:rsidR="006460FF">
        <w:t xml:space="preserve"> tobacco-free generation</w:t>
      </w:r>
    </w:p>
    <w:p w14:paraId="47A77919" w14:textId="003A0B94" w:rsidR="006460FF" w:rsidRDefault="006F5E12" w:rsidP="006460FF">
      <w:pPr>
        <w:pStyle w:val="USBullet1"/>
      </w:pPr>
      <w:r>
        <w:t>a</w:t>
      </w:r>
      <w:r w:rsidR="006460FF">
        <w:t xml:space="preserve"> substantial outlet reductions strategy</w:t>
      </w:r>
    </w:p>
    <w:p w14:paraId="7EDD914A" w14:textId="626EC9F6" w:rsidR="006460FF" w:rsidRDefault="006F5E12" w:rsidP="006460FF">
      <w:pPr>
        <w:pStyle w:val="USBullet1"/>
      </w:pPr>
      <w:r>
        <w:t>a</w:t>
      </w:r>
      <w:r w:rsidR="006460FF">
        <w:t xml:space="preserve"> sinking lid on tobacco supply</w:t>
      </w:r>
    </w:p>
    <w:p w14:paraId="151BC297" w14:textId="68EE2092" w:rsidR="006460FF" w:rsidRDefault="006F5E12" w:rsidP="006460FF">
      <w:pPr>
        <w:pStyle w:val="USBullet1"/>
      </w:pPr>
      <w:r>
        <w:t>a</w:t>
      </w:r>
      <w:r w:rsidR="006460FF">
        <w:t xml:space="preserve"> combination of a 10 percent annual tobacco tax increase, a tobacco-free generation and a substantial outlet reduction strategy.</w:t>
      </w:r>
    </w:p>
    <w:p w14:paraId="6504D453" w14:textId="47AAAAED" w:rsidR="006460FF" w:rsidRDefault="006460FF" w:rsidP="006460FF">
      <w:pPr>
        <w:pStyle w:val="USBullet1"/>
        <w:numPr>
          <w:ilvl w:val="0"/>
          <w:numId w:val="0"/>
        </w:numPr>
        <w:ind w:left="851"/>
      </w:pPr>
      <w:r>
        <w:t xml:space="preserve">A reduction in smoking prevalence </w:t>
      </w:r>
      <w:r w:rsidRPr="00A830D4">
        <w:t xml:space="preserve">and gains in quality-adjusted </w:t>
      </w:r>
      <w:r w:rsidR="00F51BEA" w:rsidRPr="00A830D4">
        <w:t>life</w:t>
      </w:r>
      <w:r w:rsidR="00F51BEA">
        <w:t>-</w:t>
      </w:r>
      <w:r w:rsidRPr="00A830D4">
        <w:t>years</w:t>
      </w:r>
      <w:r>
        <w:t xml:space="preserve"> were observed for all strategies, from a baseline of 34.7 percent smoking prevalence in </w:t>
      </w:r>
      <w:r w:rsidR="00F51BEA">
        <w:t>Māori</w:t>
      </w:r>
      <w:r>
        <w:t xml:space="preserve"> and 14.1 percent smoking prevalence in non-</w:t>
      </w:r>
      <w:r w:rsidR="00F51BEA">
        <w:t>Māori</w:t>
      </w:r>
      <w:r>
        <w:t xml:space="preserve"> to:</w:t>
      </w:r>
    </w:p>
    <w:p w14:paraId="05525A35" w14:textId="442ECA91" w:rsidR="006460FF" w:rsidRDefault="006460FF" w:rsidP="006460FF">
      <w:pPr>
        <w:pStyle w:val="USBullet1"/>
      </w:pPr>
      <w:r>
        <w:t xml:space="preserve">16 percent in </w:t>
      </w:r>
      <w:r w:rsidR="00F51BEA">
        <w:t>Māori</w:t>
      </w:r>
      <w:r>
        <w:t xml:space="preserve"> and 6.8 percent </w:t>
      </w:r>
      <w:r w:rsidRPr="0018203D">
        <w:t>in non-</w:t>
      </w:r>
      <w:r w:rsidR="00F51BEA">
        <w:t>Māori</w:t>
      </w:r>
      <w:r w:rsidRPr="0018203D">
        <w:t xml:space="preserve"> </w:t>
      </w:r>
      <w:r>
        <w:t>as a result of tax increases</w:t>
      </w:r>
    </w:p>
    <w:p w14:paraId="435B65DE" w14:textId="62087D50" w:rsidR="006460FF" w:rsidRDefault="006460FF" w:rsidP="006460FF">
      <w:pPr>
        <w:pStyle w:val="USBullet1"/>
      </w:pPr>
      <w:r>
        <w:t xml:space="preserve">11.2 percent in </w:t>
      </w:r>
      <w:r w:rsidR="00F51BEA">
        <w:t>Māori</w:t>
      </w:r>
      <w:r>
        <w:t xml:space="preserve"> and 5.6 percent in non-</w:t>
      </w:r>
      <w:r w:rsidR="00F51BEA">
        <w:t>Māori</w:t>
      </w:r>
      <w:r>
        <w:t xml:space="preserve"> as a result of the tobacco-free generation</w:t>
      </w:r>
    </w:p>
    <w:p w14:paraId="245FBB7C" w14:textId="1E473E79" w:rsidR="006460FF" w:rsidRDefault="006460FF" w:rsidP="006460FF">
      <w:pPr>
        <w:pStyle w:val="USBullet1"/>
      </w:pPr>
      <w:r>
        <w:t xml:space="preserve">17.8 percent in </w:t>
      </w:r>
      <w:r w:rsidR="0004371A">
        <w:t>Māori</w:t>
      </w:r>
      <w:r>
        <w:t xml:space="preserve"> and 7.3 percent in non-</w:t>
      </w:r>
      <w:r w:rsidR="00F51BEA">
        <w:t>Māori</w:t>
      </w:r>
      <w:r>
        <w:t xml:space="preserve"> as a result of outlet reduction</w:t>
      </w:r>
    </w:p>
    <w:p w14:paraId="07A8429E" w14:textId="77777777" w:rsidR="006460FF" w:rsidRDefault="006460FF" w:rsidP="006460FF">
      <w:pPr>
        <w:pStyle w:val="USBullet1"/>
      </w:pPr>
      <w:r>
        <w:t>0 percent in all groups as a result of the sinking lid</w:t>
      </w:r>
    </w:p>
    <w:p w14:paraId="5D104E36" w14:textId="2DFA1114" w:rsidR="006460FF" w:rsidRDefault="006460FF" w:rsidP="006460FF">
      <w:pPr>
        <w:pStyle w:val="USBullet1"/>
      </w:pPr>
      <w:r>
        <w:t xml:space="preserve">9.3 percent in </w:t>
      </w:r>
      <w:r w:rsidR="00F51BEA">
        <w:t>Māori</w:t>
      </w:r>
      <w:r>
        <w:t xml:space="preserve"> and 4.8 percent in non-</w:t>
      </w:r>
      <w:r w:rsidR="00F51BEA">
        <w:t>Māori</w:t>
      </w:r>
      <w:r>
        <w:t xml:space="preserve"> as a result of the combined strategy described above.</w:t>
      </w:r>
    </w:p>
    <w:p w14:paraId="55954AE7" w14:textId="28A7429C" w:rsidR="006460FF" w:rsidRDefault="006460FF" w:rsidP="006460FF">
      <w:pPr>
        <w:pStyle w:val="USBullet1"/>
        <w:numPr>
          <w:ilvl w:val="0"/>
          <w:numId w:val="0"/>
        </w:numPr>
        <w:ind w:left="1276" w:hanging="425"/>
      </w:pPr>
      <w:r>
        <w:t xml:space="preserve">These impacts were estimated to </w:t>
      </w:r>
      <w:r w:rsidR="00BC325B">
        <w:t xml:space="preserve">be achieved </w:t>
      </w:r>
      <w:r>
        <w:t>by 2025.</w:t>
      </w:r>
    </w:p>
    <w:p w14:paraId="5B675F3A" w14:textId="77777777" w:rsidR="006460FF" w:rsidRPr="0020514D" w:rsidRDefault="006460FF" w:rsidP="006460FF">
      <w:pPr>
        <w:pStyle w:val="USBullet1"/>
        <w:numPr>
          <w:ilvl w:val="0"/>
          <w:numId w:val="0"/>
        </w:numPr>
        <w:ind w:left="851"/>
      </w:pPr>
      <w:r>
        <w:t xml:space="preserve">QALYs gained were modelled across the 2011 population and over the remainder of the population’s lives and discounted at three percent per annum. </w:t>
      </w:r>
      <w:r w:rsidRPr="003B41AC">
        <w:t>Strategies generated between 28,900 and 282,000 QALYs</w:t>
      </w:r>
      <w:r>
        <w:t>.</w:t>
      </w:r>
    </w:p>
    <w:p w14:paraId="11E202A7" w14:textId="6C68DADD" w:rsidR="00A177AA" w:rsidRDefault="00A31F5C" w:rsidP="00291D60">
      <w:pPr>
        <w:pStyle w:val="USBodyText"/>
      </w:pPr>
      <w:r w:rsidRPr="005B1E19">
        <w:lastRenderedPageBreak/>
        <w:t>Mason and Borman (</w:t>
      </w:r>
      <w:r w:rsidR="002D5807" w:rsidRPr="005B1E19">
        <w:rPr>
          <w:rFonts w:cs="Calibri"/>
        </w:rPr>
        <w:t>2016</w:t>
      </w:r>
      <w:r w:rsidR="00D23474" w:rsidRPr="005B1E19">
        <w:t>) used</w:t>
      </w:r>
      <w:r w:rsidR="00D23474">
        <w:t xml:space="preserve"> comparative risk assessment methods to estimate the </w:t>
      </w:r>
      <w:r w:rsidR="00D95DB4">
        <w:t xml:space="preserve">disease burden in </w:t>
      </w:r>
      <w:r w:rsidR="000619B4">
        <w:t>children and non-smoking adults attributable to second-hand tobacco smoke</w:t>
      </w:r>
      <w:r w:rsidR="00B778AC">
        <w:t>. Diseases included were asthma, lung cancer, stroke, ischaemic heart disease</w:t>
      </w:r>
      <w:r w:rsidR="000740DF">
        <w:t>, lower respiratory infections, otitis media, sudden unexpected death in infancy (SUDI)</w:t>
      </w:r>
      <w:r w:rsidR="00932DFA">
        <w:t>, and low birth</w:t>
      </w:r>
      <w:r w:rsidR="00D42849">
        <w:t xml:space="preserve"> </w:t>
      </w:r>
      <w:r w:rsidR="00932DFA">
        <w:t xml:space="preserve">weight at term. </w:t>
      </w:r>
    </w:p>
    <w:p w14:paraId="6619ED2C" w14:textId="55E44638" w:rsidR="00291D60" w:rsidRDefault="00932DFA" w:rsidP="00291D60">
      <w:pPr>
        <w:pStyle w:val="USBodyText"/>
      </w:pPr>
      <w:r>
        <w:t xml:space="preserve">The study estimated the burden from </w:t>
      </w:r>
      <w:r w:rsidR="0062448E">
        <w:t>mortality and DALY data. Second-hand smoke was estimated to be the causal factor in 104 deaths</w:t>
      </w:r>
      <w:r w:rsidR="007116ED">
        <w:t xml:space="preserve"> in 2010, re</w:t>
      </w:r>
      <w:r w:rsidR="00A177AA">
        <w:t>s</w:t>
      </w:r>
      <w:r w:rsidR="007116ED">
        <w:t xml:space="preserve">ulting in 2,286 DALYs in 2006. </w:t>
      </w:r>
      <w:r w:rsidR="00D51969">
        <w:t>Ischaemic heart disease and stroke were the main disease areas associated with these outcomes</w:t>
      </w:r>
      <w:r w:rsidR="00751190">
        <w:t>, although children also bore a significant burden in SUDI</w:t>
      </w:r>
      <w:r w:rsidR="00E75870">
        <w:t>, which contributed to 34 percent of health loss attributed to children.</w:t>
      </w:r>
      <w:r w:rsidR="004551CF">
        <w:t xml:space="preserve"> </w:t>
      </w:r>
      <w:r w:rsidR="00D42849">
        <w:t>Age-</w:t>
      </w:r>
      <w:r w:rsidR="004551CF">
        <w:t xml:space="preserve">standardised results indicated that </w:t>
      </w:r>
      <w:r w:rsidR="00D42849">
        <w:t>Māori</w:t>
      </w:r>
      <w:r w:rsidR="004551CF">
        <w:t xml:space="preserve"> experienced </w:t>
      </w:r>
      <w:r w:rsidR="00D42849">
        <w:t xml:space="preserve">five </w:t>
      </w:r>
      <w:r w:rsidR="004551CF">
        <w:t>times the health loss of non-</w:t>
      </w:r>
      <w:r w:rsidR="00D42849">
        <w:t>Māori</w:t>
      </w:r>
      <w:r w:rsidR="004551CF">
        <w:t>.</w:t>
      </w:r>
    </w:p>
    <w:p w14:paraId="12F5B44A" w14:textId="5360F812" w:rsidR="00FC6DAA" w:rsidRDefault="00EE48B6" w:rsidP="00FC6DAA">
      <w:pPr>
        <w:pStyle w:val="TableCaption"/>
      </w:pPr>
      <w:bookmarkStart w:id="87" w:name="_Toc98760571"/>
      <w:r w:rsidRPr="00D1180A">
        <w:t xml:space="preserve">Table </w:t>
      </w:r>
      <w:r w:rsidR="00443CD7">
        <w:fldChar w:fldCharType="begin"/>
      </w:r>
      <w:r w:rsidR="00443CD7">
        <w:instrText xml:space="preserve"> SEQ Table \* ARABIC </w:instrText>
      </w:r>
      <w:r w:rsidR="00443CD7">
        <w:fldChar w:fldCharType="separate"/>
      </w:r>
      <w:r w:rsidR="002C631E">
        <w:rPr>
          <w:noProof/>
        </w:rPr>
        <w:t>7</w:t>
      </w:r>
      <w:r w:rsidR="00443CD7">
        <w:rPr>
          <w:noProof/>
        </w:rPr>
        <w:fldChar w:fldCharType="end"/>
      </w:r>
      <w:r w:rsidR="00FC6DAA">
        <w:t xml:space="preserve"> Estimated DALYs attributable to second-hand smoke</w:t>
      </w:r>
      <w:r w:rsidR="009115DD">
        <w:t>, 2006</w:t>
      </w:r>
      <w:bookmarkEnd w:id="87"/>
    </w:p>
    <w:p w14:paraId="78FFA829" w14:textId="261A0525" w:rsidR="00291D60" w:rsidRDefault="00184E26" w:rsidP="00291D60">
      <w:pPr>
        <w:pStyle w:val="USBodyText"/>
      </w:pPr>
      <w:r>
        <w:rPr>
          <w:noProof/>
        </w:rPr>
        <w:drawing>
          <wp:inline distT="0" distB="0" distL="0" distR="0" wp14:anchorId="02731251" wp14:editId="4A1C216B">
            <wp:extent cx="5178269" cy="2959908"/>
            <wp:effectExtent l="0" t="0" r="3810" b="0"/>
            <wp:docPr id="31" name="Picture 31" descr="Table 7 Estimated DALYs attributable to second-hand smoke, 2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7 Estimated DALYs attributable to second-hand smoke, 2006&#10;"/>
                    <pic:cNvPicPr/>
                  </pic:nvPicPr>
                  <pic:blipFill>
                    <a:blip r:embed="rId43"/>
                    <a:stretch>
                      <a:fillRect/>
                    </a:stretch>
                  </pic:blipFill>
                  <pic:spPr>
                    <a:xfrm>
                      <a:off x="0" y="0"/>
                      <a:ext cx="5186441" cy="2964579"/>
                    </a:xfrm>
                    <a:prstGeom prst="rect">
                      <a:avLst/>
                    </a:prstGeom>
                  </pic:spPr>
                </pic:pic>
              </a:graphicData>
            </a:graphic>
          </wp:inline>
        </w:drawing>
      </w:r>
    </w:p>
    <w:p w14:paraId="4F441443" w14:textId="0D6D424B" w:rsidR="00184E26" w:rsidRDefault="00184E26" w:rsidP="00FC6DAA">
      <w:pPr>
        <w:pStyle w:val="USSource"/>
      </w:pPr>
      <w:r>
        <w:t xml:space="preserve">Source: Mason and </w:t>
      </w:r>
      <w:r w:rsidR="00FC6DAA">
        <w:t xml:space="preserve">Borman </w:t>
      </w:r>
      <w:r w:rsidR="006D5CF5">
        <w:t>(</w:t>
      </w:r>
      <w:r w:rsidR="00FC6DAA">
        <w:t>2016</w:t>
      </w:r>
      <w:r w:rsidR="006D5CF5">
        <w:t>)</w:t>
      </w:r>
    </w:p>
    <w:p w14:paraId="1D76B687" w14:textId="01D0DF5F" w:rsidR="00291D60" w:rsidRDefault="00291D60" w:rsidP="0005646B">
      <w:pPr>
        <w:pStyle w:val="Heading3"/>
      </w:pPr>
      <w:r>
        <w:t>Obesity</w:t>
      </w:r>
    </w:p>
    <w:p w14:paraId="23E6B9DC" w14:textId="2EA0AECA" w:rsidR="00F94A1C" w:rsidRPr="00DE68AC" w:rsidRDefault="00F94A1C" w:rsidP="009E6CCB">
      <w:pPr>
        <w:pStyle w:val="USBodyText"/>
      </w:pPr>
      <w:r w:rsidRPr="00580522">
        <w:rPr>
          <w:rFonts w:cs="Calibri"/>
          <w:b/>
          <w:bCs/>
        </w:rPr>
        <w:t>Barton and Love</w:t>
      </w:r>
      <w:r w:rsidR="009E6CCB" w:rsidRPr="00580522">
        <w:rPr>
          <w:rFonts w:cs="Calibri"/>
          <w:b/>
          <w:bCs/>
        </w:rPr>
        <w:t xml:space="preserve"> (</w:t>
      </w:r>
      <w:r w:rsidRPr="00580522">
        <w:rPr>
          <w:rFonts w:cs="Calibri"/>
          <w:b/>
          <w:bCs/>
        </w:rPr>
        <w:t>2021</w:t>
      </w:r>
      <w:r w:rsidR="009E6CCB" w:rsidRPr="00580522">
        <w:rPr>
          <w:b/>
          <w:bCs/>
        </w:rPr>
        <w:t xml:space="preserve">) </w:t>
      </w:r>
      <w:r w:rsidR="009E6CCB" w:rsidRPr="00DE68AC">
        <w:t xml:space="preserve">compiled research and data and </w:t>
      </w:r>
      <w:r w:rsidR="00983068" w:rsidRPr="00DE68AC">
        <w:t xml:space="preserve">provided updated </w:t>
      </w:r>
      <w:r w:rsidR="009E6CCB" w:rsidRPr="00DE68AC">
        <w:t>estimate</w:t>
      </w:r>
      <w:r w:rsidR="00983068" w:rsidRPr="00DE68AC">
        <w:t>s</w:t>
      </w:r>
      <w:r w:rsidR="009E6CCB" w:rsidRPr="00DE68AC">
        <w:t xml:space="preserve"> </w:t>
      </w:r>
      <w:r w:rsidR="00983068" w:rsidRPr="00DE68AC">
        <w:t>of the</w:t>
      </w:r>
      <w:r w:rsidR="009E6CCB" w:rsidRPr="00DE68AC">
        <w:t xml:space="preserve"> costs associated with being overweight or</w:t>
      </w:r>
      <w:r w:rsidR="00983068" w:rsidRPr="00DE68AC">
        <w:t xml:space="preserve"> </w:t>
      </w:r>
      <w:r w:rsidR="009E6CCB" w:rsidRPr="00DE68AC">
        <w:t>obese</w:t>
      </w:r>
      <w:r w:rsidR="00983068" w:rsidRPr="00DE68AC">
        <w:t xml:space="preserve"> in New Zealand</w:t>
      </w:r>
      <w:r w:rsidR="00B545EB" w:rsidRPr="00DE68AC">
        <w:t xml:space="preserve"> using a range of “high-level methods”. </w:t>
      </w:r>
    </w:p>
    <w:p w14:paraId="0ED2DCC2" w14:textId="0ECEB15D" w:rsidR="00B545EB" w:rsidRDefault="00D86C6F" w:rsidP="009E6CCB">
      <w:pPr>
        <w:pStyle w:val="USBodyText"/>
      </w:pPr>
      <w:r w:rsidRPr="00DE68AC">
        <w:t xml:space="preserve">Considering global estimates of the cost of obesity, </w:t>
      </w:r>
      <w:r w:rsidR="008D414E" w:rsidRPr="00DE68AC">
        <w:t xml:space="preserve">and based on a similar prevalence of obesity, </w:t>
      </w:r>
      <w:r w:rsidRPr="00DE68AC">
        <w:t xml:space="preserve">the estimated cost for New Zealand is $2 billion in health care costs alone per annum, or approximately </w:t>
      </w:r>
      <w:r w:rsidR="008D414E" w:rsidRPr="00DE68AC">
        <w:t>eight percent of health expenditure. However, the authors note that the prevalence of obesity in New Zealand is relatively high</w:t>
      </w:r>
      <w:r w:rsidR="00E319B9" w:rsidRPr="00DE68AC">
        <w:t xml:space="preserve">. Nevertheless, estimates based on a range of New Zealand studies </w:t>
      </w:r>
      <w:r w:rsidR="00995884" w:rsidRPr="00DE68AC">
        <w:t>(with published</w:t>
      </w:r>
      <w:r w:rsidR="00E319B9" w:rsidRPr="00DE68AC">
        <w:t xml:space="preserve"> values between </w:t>
      </w:r>
      <w:r w:rsidR="00995884" w:rsidRPr="00DE68AC">
        <w:t xml:space="preserve">$1.3 billion and $1.8 billion in health care costs) resulted in </w:t>
      </w:r>
      <w:r w:rsidR="00714399" w:rsidRPr="00DE68AC">
        <w:t xml:space="preserve">an </w:t>
      </w:r>
      <w:r w:rsidR="00995884" w:rsidRPr="00DE68AC">
        <w:t>updated estimate</w:t>
      </w:r>
      <w:r w:rsidR="00714399" w:rsidRPr="00DE68AC">
        <w:t xml:space="preserve"> of $1.5 to $2.0 billion. The authors estimate that this cost reflects approximately 80 percent of </w:t>
      </w:r>
      <w:r w:rsidR="00C17491" w:rsidRPr="00DE68AC">
        <w:t>the actual health care costs of obesity.</w:t>
      </w:r>
    </w:p>
    <w:p w14:paraId="5C2D7192" w14:textId="52A1CC1E" w:rsidR="00761A07" w:rsidRPr="00DE68AC" w:rsidRDefault="00761A07" w:rsidP="00761A07">
      <w:pPr>
        <w:pStyle w:val="USBodyText"/>
      </w:pPr>
      <w:r>
        <w:t xml:space="preserve">In terms of indirect costs, the authors note: “The literature seems to be converging on a consensus that indirect costs are at least as high as direct costs and are probably more </w:t>
      </w:r>
      <w:r>
        <w:lastRenderedPageBreak/>
        <w:t xml:space="preserve">likely to be 2-3 times direct costs.” This leads </w:t>
      </w:r>
      <w:r w:rsidR="008D04F8">
        <w:t xml:space="preserve">to estimates of </w:t>
      </w:r>
      <w:r w:rsidR="008D04F8" w:rsidRPr="008D04F8">
        <w:t>$</w:t>
      </w:r>
      <w:r w:rsidR="007F2E13">
        <w:t>7</w:t>
      </w:r>
      <w:r w:rsidR="008D04F8" w:rsidRPr="008D04F8">
        <w:t xml:space="preserve"> billion to $9 billion per </w:t>
      </w:r>
      <w:r w:rsidR="008D04F8">
        <w:t xml:space="preserve">annum in </w:t>
      </w:r>
      <w:r w:rsidR="008D04F8" w:rsidRPr="008D04F8">
        <w:t>lost productivity</w:t>
      </w:r>
      <w:r w:rsidR="008D04F8">
        <w:t>.</w:t>
      </w:r>
      <w:r w:rsidR="007F2E13">
        <w:t xml:space="preserve"> A further $</w:t>
      </w:r>
      <w:r w:rsidR="00D25F33">
        <w:t>2</w:t>
      </w:r>
      <w:r w:rsidR="007F2E13">
        <w:t xml:space="preserve"> billion to $</w:t>
      </w:r>
      <w:r w:rsidR="00D25F33">
        <w:t>26</w:t>
      </w:r>
      <w:r w:rsidR="007F2E13">
        <w:t xml:space="preserve"> billion </w:t>
      </w:r>
      <w:r w:rsidR="00E11B62">
        <w:t>in intangible costs is estimated to result from the disability-adjusted life years associated with obesity</w:t>
      </w:r>
      <w:r w:rsidR="00D25F33">
        <w:t xml:space="preserve">, with the wide range </w:t>
      </w:r>
      <w:r w:rsidR="004B79BB">
        <w:t>being due to multiple values used to calculate intangible costs (QALY</w:t>
      </w:r>
      <w:r w:rsidR="004B79BB">
        <w:rPr>
          <w:rStyle w:val="FootnoteReference"/>
        </w:rPr>
        <w:footnoteReference w:id="6"/>
      </w:r>
      <w:r w:rsidR="004B79BB">
        <w:t xml:space="preserve">-based value, GDP per capita value, and </w:t>
      </w:r>
      <w:r w:rsidR="0049701C">
        <w:t>value of a statistical life (VOSL))</w:t>
      </w:r>
      <w:r w:rsidR="00E11B62">
        <w:t>.</w:t>
      </w:r>
    </w:p>
    <w:p w14:paraId="3C01C1E6" w14:textId="0B2068E3" w:rsidR="00B8426E" w:rsidRDefault="0062051B" w:rsidP="009D58EF">
      <w:pPr>
        <w:pStyle w:val="USBodyText"/>
      </w:pPr>
      <w:r w:rsidRPr="00A177AA">
        <w:rPr>
          <w:b/>
          <w:bCs/>
        </w:rPr>
        <w:t xml:space="preserve">Lal et al. </w:t>
      </w:r>
      <w:r w:rsidRPr="004A10B3">
        <w:rPr>
          <w:b/>
          <w:bCs/>
        </w:rPr>
        <w:t>(</w:t>
      </w:r>
      <w:r w:rsidR="00D42849" w:rsidRPr="00BC325B">
        <w:rPr>
          <w:rFonts w:cs="Calibri"/>
          <w:b/>
          <w:bCs/>
        </w:rPr>
        <w:t>2012</w:t>
      </w:r>
      <w:r w:rsidRPr="00A177AA">
        <w:rPr>
          <w:b/>
          <w:bCs/>
        </w:rPr>
        <w:t>)</w:t>
      </w:r>
      <w:r>
        <w:t xml:space="preserve"> used a prevalence-based approach to estimating the</w:t>
      </w:r>
      <w:r w:rsidR="00B8426E">
        <w:t xml:space="preserve"> costs of health care and lost productivity attributable to overweight and obesity in New Zealand in 2006.</w:t>
      </w:r>
      <w:r w:rsidR="009D58EF">
        <w:t xml:space="preserve"> </w:t>
      </w:r>
      <w:r w:rsidR="00B8426E">
        <w:t xml:space="preserve">Population attributable fractions (PAFs) were calculated based on relative risks </w:t>
      </w:r>
      <w:r w:rsidR="25663547">
        <w:t>from</w:t>
      </w:r>
      <w:r w:rsidR="005C1228">
        <w:t xml:space="preserve"> a range of </w:t>
      </w:r>
      <w:r w:rsidR="00B8426E">
        <w:t>large cohort studies and the prevalence of overweight and obesity</w:t>
      </w:r>
      <w:r w:rsidR="005C1228">
        <w:t xml:space="preserve"> in New Zealand</w:t>
      </w:r>
      <w:r w:rsidR="00B8426E">
        <w:t xml:space="preserve">. The </w:t>
      </w:r>
      <w:r w:rsidR="00F90B15">
        <w:t>p</w:t>
      </w:r>
      <w:r w:rsidR="00B8426E">
        <w:t xml:space="preserve">roductivity </w:t>
      </w:r>
      <w:r w:rsidR="00F90B15">
        <w:t xml:space="preserve">costs </w:t>
      </w:r>
      <w:r w:rsidR="00B8426E">
        <w:t xml:space="preserve">associated with premature mortality were estimated using both the </w:t>
      </w:r>
      <w:r w:rsidR="1A445C21">
        <w:t>h</w:t>
      </w:r>
      <w:r w:rsidR="00B8426E">
        <w:t xml:space="preserve">uman </w:t>
      </w:r>
      <w:r w:rsidR="6CAFBE6F">
        <w:t>c</w:t>
      </w:r>
      <w:r w:rsidR="00B8426E">
        <w:t xml:space="preserve">apital approach (HCA) and </w:t>
      </w:r>
      <w:r w:rsidR="24E2058C">
        <w:t>the f</w:t>
      </w:r>
      <w:r w:rsidR="00B8426E">
        <w:t xml:space="preserve">riction </w:t>
      </w:r>
      <w:r w:rsidR="7B8519D1">
        <w:t>c</w:t>
      </w:r>
      <w:r w:rsidR="00B8426E">
        <w:t>ost approach (FCA).</w:t>
      </w:r>
    </w:p>
    <w:p w14:paraId="5AE55A01" w14:textId="078FE1D0" w:rsidR="00291D60" w:rsidRDefault="00F90B15" w:rsidP="00B8426E">
      <w:pPr>
        <w:pStyle w:val="USBodyText"/>
      </w:pPr>
      <w:r>
        <w:t>The h</w:t>
      </w:r>
      <w:r w:rsidR="00B8426E">
        <w:t xml:space="preserve">ealth </w:t>
      </w:r>
      <w:r>
        <w:t>system</w:t>
      </w:r>
      <w:r w:rsidR="00B8426E">
        <w:t xml:space="preserve"> costs attributable to </w:t>
      </w:r>
      <w:r w:rsidR="00425163">
        <w:t>overweight,</w:t>
      </w:r>
      <w:r w:rsidR="00B8426E">
        <w:t xml:space="preserve"> and obesity were estimated to be NZ$624</w:t>
      </w:r>
      <w:r w:rsidR="00C33ED4">
        <w:t xml:space="preserve"> </w:t>
      </w:r>
      <w:r w:rsidR="00B8426E">
        <w:t>m</w:t>
      </w:r>
      <w:r w:rsidR="00C33ED4">
        <w:t>illion</w:t>
      </w:r>
      <w:r w:rsidR="00B8426E">
        <w:t xml:space="preserve"> </w:t>
      </w:r>
      <w:r w:rsidR="00DF6D2D">
        <w:t>(</w:t>
      </w:r>
      <w:r w:rsidR="00B8426E">
        <w:t>4.4</w:t>
      </w:r>
      <w:r w:rsidR="00C33ED4">
        <w:t xml:space="preserve"> percent </w:t>
      </w:r>
      <w:r w:rsidR="00B8426E">
        <w:t>of New Zealand's total health care expenditure in 2006</w:t>
      </w:r>
      <w:r w:rsidR="00DF6D2D">
        <w:t>)</w:t>
      </w:r>
      <w:r w:rsidR="00B8426E">
        <w:t xml:space="preserve">. </w:t>
      </w:r>
      <w:r w:rsidR="5DD854B1">
        <w:t xml:space="preserve">Costs attributable to </w:t>
      </w:r>
      <w:r w:rsidR="00C33ED4">
        <w:t xml:space="preserve">overweight </w:t>
      </w:r>
      <w:r w:rsidR="5DD854B1">
        <w:t xml:space="preserve">and obesity amongst Māori and Pacific people amounted to 10.5 percent and 18.5 percent of the total costs, respectively. </w:t>
      </w:r>
    </w:p>
    <w:p w14:paraId="4515E187" w14:textId="7A16F788" w:rsidR="00291D60" w:rsidRDefault="00B8426E" w:rsidP="00B8426E">
      <w:pPr>
        <w:pStyle w:val="USBodyText"/>
      </w:pPr>
      <w:r>
        <w:t xml:space="preserve">The productivity </w:t>
      </w:r>
      <w:r w:rsidR="00DF6D2D">
        <w:t>costs</w:t>
      </w:r>
      <w:r w:rsidR="19B8CB2C">
        <w:t xml:space="preserve"> – including both permanent productivity losses and short-term absenteeism – </w:t>
      </w:r>
      <w:r>
        <w:t>were estimated to be NZ$98</w:t>
      </w:r>
      <w:r w:rsidR="00C33ED4">
        <w:t xml:space="preserve"> </w:t>
      </w:r>
      <w:r>
        <w:t>m</w:t>
      </w:r>
      <w:r w:rsidR="00C33ED4">
        <w:t>illion</w:t>
      </w:r>
      <w:r>
        <w:t xml:space="preserve"> </w:t>
      </w:r>
      <w:r w:rsidR="6AED4459">
        <w:t xml:space="preserve">using the FCA </w:t>
      </w:r>
      <w:r>
        <w:t>and NZ$</w:t>
      </w:r>
      <w:r w:rsidR="00C33ED4">
        <w:t xml:space="preserve">225 million </w:t>
      </w:r>
      <w:r w:rsidR="390AB60E">
        <w:t>using the HCA</w:t>
      </w:r>
      <w:r>
        <w:t xml:space="preserve">. </w:t>
      </w:r>
      <w:r w:rsidR="59C7FD6C">
        <w:t>The biggest discrepancy between the FCA and the HCA was on the estimation of permanent productivity losses, with the HCA-based estimates being eight times higher than the FCA-based estimates</w:t>
      </w:r>
      <w:r>
        <w:t>.</w:t>
      </w:r>
      <w:r w:rsidR="08119E66">
        <w:t xml:space="preserve"> </w:t>
      </w:r>
    </w:p>
    <w:p w14:paraId="32AB18C9" w14:textId="1D69C05C" w:rsidR="08119E66" w:rsidRDefault="08119E66" w:rsidP="022E10EB">
      <w:pPr>
        <w:pStyle w:val="USBodyText"/>
        <w:rPr>
          <w:rFonts w:eastAsia="Arial"/>
        </w:rPr>
      </w:pPr>
      <w:r w:rsidRPr="022E10EB">
        <w:rPr>
          <w:rFonts w:eastAsia="Arial"/>
        </w:rPr>
        <w:t xml:space="preserve">In total, the societal costs of overweight and obesity were estimated at </w:t>
      </w:r>
      <w:r w:rsidR="0019752C">
        <w:rPr>
          <w:rFonts w:eastAsia="Arial"/>
        </w:rPr>
        <w:t>NZ</w:t>
      </w:r>
      <w:r w:rsidRPr="022E10EB">
        <w:rPr>
          <w:rFonts w:eastAsia="Arial"/>
        </w:rPr>
        <w:t xml:space="preserve">$722 to </w:t>
      </w:r>
      <w:r w:rsidR="0019752C">
        <w:rPr>
          <w:rFonts w:eastAsia="Arial"/>
        </w:rPr>
        <w:t>NZ</w:t>
      </w:r>
      <w:r w:rsidRPr="022E10EB">
        <w:rPr>
          <w:rFonts w:eastAsia="Arial"/>
        </w:rPr>
        <w:t xml:space="preserve"> $849 million (NZD 2006).</w:t>
      </w:r>
    </w:p>
    <w:p w14:paraId="274F1A19" w14:textId="203BB41C" w:rsidR="08119E66" w:rsidRDefault="0019752C" w:rsidP="00A177AA">
      <w:pPr>
        <w:pStyle w:val="FigureCaption"/>
      </w:pPr>
      <w:bookmarkStart w:id="88" w:name="_Toc98760572"/>
      <w:r w:rsidRPr="00D1180A">
        <w:t xml:space="preserve">Table </w:t>
      </w:r>
      <w:r w:rsidR="00443CD7">
        <w:fldChar w:fldCharType="begin"/>
      </w:r>
      <w:r w:rsidR="00443CD7">
        <w:instrText xml:space="preserve"> SEQ Table \* ARABIC </w:instrText>
      </w:r>
      <w:r w:rsidR="00443CD7">
        <w:fldChar w:fldCharType="separate"/>
      </w:r>
      <w:r w:rsidR="002C631E">
        <w:rPr>
          <w:noProof/>
        </w:rPr>
        <w:t>8</w:t>
      </w:r>
      <w:r w:rsidR="00443CD7">
        <w:rPr>
          <w:noProof/>
        </w:rPr>
        <w:fldChar w:fldCharType="end"/>
      </w:r>
      <w:r>
        <w:t xml:space="preserve"> </w:t>
      </w:r>
      <w:r w:rsidR="08119E66" w:rsidRPr="022E10EB">
        <w:t>Health sector and productivity costs of overweight and obesity in New Zealand</w:t>
      </w:r>
      <w:bookmarkEnd w:id="88"/>
      <w:r w:rsidR="08119E66" w:rsidRPr="022E10EB">
        <w:t xml:space="preserve"> </w:t>
      </w:r>
    </w:p>
    <w:p w14:paraId="06FA9257" w14:textId="0520398E" w:rsidR="08119E66" w:rsidRDefault="08119E66" w:rsidP="00A177AA">
      <w:pPr>
        <w:pStyle w:val="CaptionSubheading"/>
      </w:pPr>
      <w:r w:rsidRPr="022E10EB">
        <w:t>NZD 2006</w:t>
      </w:r>
    </w:p>
    <w:tbl>
      <w:tblPr>
        <w:tblStyle w:val="TableDefault"/>
        <w:tblW w:w="8220" w:type="dxa"/>
        <w:tblLook w:val="04A0" w:firstRow="1" w:lastRow="0" w:firstColumn="1" w:lastColumn="0" w:noHBand="0" w:noVBand="1"/>
      </w:tblPr>
      <w:tblGrid>
        <w:gridCol w:w="4678"/>
        <w:gridCol w:w="3542"/>
      </w:tblGrid>
      <w:tr w:rsidR="00F71616" w14:paraId="185D1518" w14:textId="77777777" w:rsidTr="00F71616">
        <w:trPr>
          <w:cnfStyle w:val="100000000000" w:firstRow="1" w:lastRow="0" w:firstColumn="0" w:lastColumn="0" w:oddVBand="0" w:evenVBand="0" w:oddHBand="0" w:evenHBand="0" w:firstRowFirstColumn="0" w:firstRowLastColumn="0" w:lastRowFirstColumn="0" w:lastRowLastColumn="0"/>
        </w:trPr>
        <w:tc>
          <w:tcPr>
            <w:tcW w:w="4678" w:type="dxa"/>
          </w:tcPr>
          <w:p w14:paraId="1EB0A881" w14:textId="3B0D6959" w:rsidR="00F71616" w:rsidRPr="00F71616" w:rsidRDefault="00F71616" w:rsidP="00BC325B">
            <w:pPr>
              <w:pStyle w:val="TSTableHeadingWhite-TopRow"/>
              <w:rPr>
                <w:b w:val="0"/>
                <w:bCs/>
                <w:color w:val="FFFFFF" w:themeColor="background1"/>
                <w:sz w:val="22"/>
              </w:rPr>
            </w:pPr>
            <w:r w:rsidRPr="00F71616">
              <w:t>Cost Type</w:t>
            </w:r>
          </w:p>
        </w:tc>
        <w:tc>
          <w:tcPr>
            <w:tcW w:w="3542" w:type="dxa"/>
          </w:tcPr>
          <w:p w14:paraId="0DD95E23" w14:textId="60564E3C" w:rsidR="00F71616" w:rsidRPr="00F71616" w:rsidRDefault="00F71616" w:rsidP="00BC325B">
            <w:pPr>
              <w:pStyle w:val="TSTableHeadingWhite-TopRow"/>
              <w:rPr>
                <w:b w:val="0"/>
                <w:bCs/>
                <w:color w:val="FFFFFF" w:themeColor="background1"/>
                <w:sz w:val="22"/>
              </w:rPr>
            </w:pPr>
            <w:r w:rsidRPr="00F71616">
              <w:t xml:space="preserve">Mean (95% </w:t>
            </w:r>
            <w:r w:rsidRPr="00F71616">
              <w:rPr>
                <w:rFonts w:eastAsia="Arial"/>
                <w:bCs/>
                <w:color w:val="FFFFFF" w:themeColor="background1"/>
                <w:sz w:val="22"/>
              </w:rPr>
              <w:t>confidence interval)</w:t>
            </w:r>
          </w:p>
        </w:tc>
      </w:tr>
      <w:tr w:rsidR="00F71616" w14:paraId="23A8903A" w14:textId="77777777" w:rsidTr="00F71616">
        <w:tc>
          <w:tcPr>
            <w:tcW w:w="4678" w:type="dxa"/>
          </w:tcPr>
          <w:p w14:paraId="45FEEC72" w14:textId="0C8F4584" w:rsidR="00F71616" w:rsidRPr="00F71616" w:rsidRDefault="00F71616" w:rsidP="00BC325B">
            <w:pPr>
              <w:pStyle w:val="TSBodyText"/>
            </w:pPr>
            <w:r w:rsidRPr="00F71616">
              <w:t>Health sector costs</w:t>
            </w:r>
          </w:p>
        </w:tc>
        <w:tc>
          <w:tcPr>
            <w:tcW w:w="3542" w:type="dxa"/>
          </w:tcPr>
          <w:p w14:paraId="545484AB" w14:textId="6A0443E3" w:rsidR="00F71616" w:rsidRPr="00F71616" w:rsidRDefault="00F71616" w:rsidP="00BC325B">
            <w:pPr>
              <w:pStyle w:val="TSBodyText"/>
            </w:pPr>
            <w:r w:rsidRPr="00F71616">
              <w:t>624 (540-698)</w:t>
            </w:r>
          </w:p>
        </w:tc>
      </w:tr>
      <w:tr w:rsidR="00F71616" w14:paraId="768BA73A" w14:textId="77777777" w:rsidTr="00F71616">
        <w:trPr>
          <w:cnfStyle w:val="000000010000" w:firstRow="0" w:lastRow="0" w:firstColumn="0" w:lastColumn="0" w:oddVBand="0" w:evenVBand="0" w:oddHBand="0" w:evenHBand="1" w:firstRowFirstColumn="0" w:firstRowLastColumn="0" w:lastRowFirstColumn="0" w:lastRowLastColumn="0"/>
        </w:trPr>
        <w:tc>
          <w:tcPr>
            <w:tcW w:w="4678" w:type="dxa"/>
          </w:tcPr>
          <w:p w14:paraId="6F6A85AF" w14:textId="77777777" w:rsidR="00F71616" w:rsidRPr="00F71616" w:rsidRDefault="00F71616" w:rsidP="00BC325B">
            <w:pPr>
              <w:pStyle w:val="TSBodyText"/>
            </w:pPr>
            <w:r w:rsidRPr="00F71616">
              <w:t>Productivity losses HCA</w:t>
            </w:r>
          </w:p>
          <w:p w14:paraId="64977545" w14:textId="77777777" w:rsidR="00F71616" w:rsidRPr="00F71616" w:rsidRDefault="00F71616" w:rsidP="00BC325B">
            <w:pPr>
              <w:pStyle w:val="TSBodyText"/>
            </w:pPr>
            <w:r w:rsidRPr="00F71616">
              <w:t>Premature deaths</w:t>
            </w:r>
          </w:p>
          <w:p w14:paraId="217ACB15" w14:textId="77777777" w:rsidR="00F71616" w:rsidRPr="00F71616" w:rsidRDefault="00F71616" w:rsidP="00BC325B">
            <w:pPr>
              <w:pStyle w:val="TSBodyText"/>
            </w:pPr>
            <w:r w:rsidRPr="00F71616">
              <w:t>Short-term absenteeism costs</w:t>
            </w:r>
          </w:p>
          <w:p w14:paraId="14B1CB8D" w14:textId="7ECDB77F" w:rsidR="00F71616" w:rsidRPr="00F71616" w:rsidRDefault="00F71616" w:rsidP="00BC325B">
            <w:pPr>
              <w:pStyle w:val="TSBodyText"/>
            </w:pPr>
            <w:r w:rsidRPr="00F71616">
              <w:t>Total productivity losses HCA</w:t>
            </w:r>
          </w:p>
        </w:tc>
        <w:tc>
          <w:tcPr>
            <w:tcW w:w="3542" w:type="dxa"/>
          </w:tcPr>
          <w:p w14:paraId="40AD517A" w14:textId="77777777" w:rsidR="00F71616" w:rsidRPr="00F71616" w:rsidRDefault="00F71616" w:rsidP="00BC325B">
            <w:pPr>
              <w:pStyle w:val="TSBodyText"/>
            </w:pPr>
          </w:p>
          <w:p w14:paraId="541B9261" w14:textId="77777777" w:rsidR="00F71616" w:rsidRPr="00F71616" w:rsidRDefault="00F71616" w:rsidP="00BC325B">
            <w:pPr>
              <w:pStyle w:val="TSBodyText"/>
            </w:pPr>
            <w:r w:rsidRPr="00F71616">
              <w:t>145 (136-155)</w:t>
            </w:r>
          </w:p>
          <w:p w14:paraId="40CB8401" w14:textId="77777777" w:rsidR="00F71616" w:rsidRPr="00F71616" w:rsidRDefault="00F71616" w:rsidP="00BC325B">
            <w:pPr>
              <w:pStyle w:val="TSBodyText"/>
            </w:pPr>
            <w:r w:rsidRPr="00F71616">
              <w:t>80</w:t>
            </w:r>
          </w:p>
          <w:p w14:paraId="131D4D5A" w14:textId="5A94025D" w:rsidR="00F71616" w:rsidRPr="00F71616" w:rsidRDefault="00F71616" w:rsidP="00BC325B">
            <w:pPr>
              <w:pStyle w:val="TSBodyText"/>
            </w:pPr>
            <w:r w:rsidRPr="00F71616">
              <w:t>225 (216-236)</w:t>
            </w:r>
          </w:p>
        </w:tc>
      </w:tr>
      <w:tr w:rsidR="00F71616" w14:paraId="1C4406C4" w14:textId="77777777" w:rsidTr="00F71616">
        <w:tc>
          <w:tcPr>
            <w:tcW w:w="4678" w:type="dxa"/>
          </w:tcPr>
          <w:p w14:paraId="35057F4B" w14:textId="77777777" w:rsidR="00F71616" w:rsidRPr="00F71616" w:rsidRDefault="00F71616" w:rsidP="00BC325B">
            <w:pPr>
              <w:pStyle w:val="TSBodyText"/>
            </w:pPr>
            <w:r w:rsidRPr="00F71616">
              <w:t>Productivity losses FCA</w:t>
            </w:r>
          </w:p>
          <w:p w14:paraId="2EF13956" w14:textId="77777777" w:rsidR="00F71616" w:rsidRPr="00F71616" w:rsidRDefault="00F71616" w:rsidP="00BC325B">
            <w:pPr>
              <w:pStyle w:val="TSBodyText"/>
            </w:pPr>
            <w:r w:rsidRPr="00F71616">
              <w:t>Premature deaths</w:t>
            </w:r>
          </w:p>
          <w:p w14:paraId="773170F4" w14:textId="77777777" w:rsidR="00F71616" w:rsidRPr="00F71616" w:rsidRDefault="00F71616" w:rsidP="00BC325B">
            <w:pPr>
              <w:pStyle w:val="TSBodyText"/>
            </w:pPr>
            <w:r w:rsidRPr="00F71616">
              <w:t>Recruitment and training costs</w:t>
            </w:r>
          </w:p>
          <w:p w14:paraId="3EC7433E" w14:textId="77777777" w:rsidR="00F71616" w:rsidRPr="00F71616" w:rsidRDefault="00F71616" w:rsidP="00BC325B">
            <w:pPr>
              <w:pStyle w:val="TSBodyText"/>
            </w:pPr>
            <w:r w:rsidRPr="00F71616">
              <w:t>Short-term absenteeism costs</w:t>
            </w:r>
          </w:p>
          <w:p w14:paraId="669B5095" w14:textId="7D6B6C13" w:rsidR="00F71616" w:rsidRPr="00F71616" w:rsidRDefault="00F71616" w:rsidP="00BC325B">
            <w:pPr>
              <w:pStyle w:val="TSBodyText"/>
            </w:pPr>
            <w:r w:rsidRPr="00F71616">
              <w:t>Total productivity losses FCA</w:t>
            </w:r>
          </w:p>
        </w:tc>
        <w:tc>
          <w:tcPr>
            <w:tcW w:w="3542" w:type="dxa"/>
          </w:tcPr>
          <w:p w14:paraId="7B2B881E" w14:textId="77777777" w:rsidR="00F71616" w:rsidRPr="00F71616" w:rsidRDefault="00F71616" w:rsidP="00BC325B">
            <w:pPr>
              <w:pStyle w:val="TSBodyText"/>
            </w:pPr>
          </w:p>
          <w:p w14:paraId="5011DB09" w14:textId="77777777" w:rsidR="00F71616" w:rsidRPr="00F71616" w:rsidRDefault="00F71616" w:rsidP="00BC325B">
            <w:pPr>
              <w:pStyle w:val="TSBodyText"/>
            </w:pPr>
            <w:r w:rsidRPr="00F71616">
              <w:t>9 (7-12)</w:t>
            </w:r>
          </w:p>
          <w:p w14:paraId="580CD716" w14:textId="77777777" w:rsidR="00F71616" w:rsidRPr="00F71616" w:rsidRDefault="00F71616" w:rsidP="00BC325B">
            <w:pPr>
              <w:pStyle w:val="TSBodyText"/>
            </w:pPr>
            <w:r w:rsidRPr="00F71616">
              <w:t>9</w:t>
            </w:r>
          </w:p>
          <w:p w14:paraId="7FA459A1" w14:textId="77777777" w:rsidR="00F71616" w:rsidRPr="00F71616" w:rsidRDefault="00F71616" w:rsidP="00BC325B">
            <w:pPr>
              <w:pStyle w:val="TSBodyText"/>
            </w:pPr>
            <w:r w:rsidRPr="00F71616">
              <w:t>80</w:t>
            </w:r>
          </w:p>
          <w:p w14:paraId="34089A33" w14:textId="5F0F723E" w:rsidR="00F71616" w:rsidRPr="00F71616" w:rsidRDefault="00F71616" w:rsidP="00BC325B">
            <w:pPr>
              <w:pStyle w:val="TSBodyText"/>
            </w:pPr>
            <w:r w:rsidRPr="00F71616">
              <w:t>98 (96-101)</w:t>
            </w:r>
          </w:p>
        </w:tc>
      </w:tr>
      <w:tr w:rsidR="00F71616" w14:paraId="3564AFB5" w14:textId="77777777" w:rsidTr="00F71616">
        <w:trPr>
          <w:cnfStyle w:val="000000010000" w:firstRow="0" w:lastRow="0" w:firstColumn="0" w:lastColumn="0" w:oddVBand="0" w:evenVBand="0" w:oddHBand="0" w:evenHBand="1" w:firstRowFirstColumn="0" w:firstRowLastColumn="0" w:lastRowFirstColumn="0" w:lastRowLastColumn="0"/>
        </w:trPr>
        <w:tc>
          <w:tcPr>
            <w:tcW w:w="4678" w:type="dxa"/>
          </w:tcPr>
          <w:p w14:paraId="78C44360" w14:textId="1D1E0AD8" w:rsidR="00F71616" w:rsidRPr="00F71616" w:rsidRDefault="00F71616" w:rsidP="00BC325B">
            <w:pPr>
              <w:pStyle w:val="TSBodyText"/>
            </w:pPr>
            <w:r w:rsidRPr="00F71616">
              <w:t>Total health and productivity costs HCA</w:t>
            </w:r>
          </w:p>
        </w:tc>
        <w:tc>
          <w:tcPr>
            <w:tcW w:w="3542" w:type="dxa"/>
          </w:tcPr>
          <w:p w14:paraId="32AC16EE" w14:textId="6E9E9EFE" w:rsidR="00F71616" w:rsidRPr="00F71616" w:rsidRDefault="00F71616" w:rsidP="00BC325B">
            <w:pPr>
              <w:pStyle w:val="TSBodyText"/>
            </w:pPr>
            <w:r w:rsidRPr="00F71616">
              <w:t>849 (716-934)</w:t>
            </w:r>
          </w:p>
        </w:tc>
      </w:tr>
      <w:tr w:rsidR="00F71616" w14:paraId="23C9A734" w14:textId="77777777" w:rsidTr="00F71616">
        <w:tc>
          <w:tcPr>
            <w:tcW w:w="4678" w:type="dxa"/>
          </w:tcPr>
          <w:p w14:paraId="72B57609" w14:textId="7F8AFECA" w:rsidR="00F71616" w:rsidRPr="00F71616" w:rsidRDefault="00F71616" w:rsidP="00BC325B">
            <w:pPr>
              <w:pStyle w:val="TSBodyText"/>
            </w:pPr>
            <w:r w:rsidRPr="00F71616">
              <w:t>Total health and productivity costs FCA</w:t>
            </w:r>
          </w:p>
        </w:tc>
        <w:tc>
          <w:tcPr>
            <w:tcW w:w="3542" w:type="dxa"/>
          </w:tcPr>
          <w:p w14:paraId="1C2A6CCE" w14:textId="56467ABF" w:rsidR="00F71616" w:rsidRPr="00F71616" w:rsidRDefault="00F71616" w:rsidP="00BC325B">
            <w:pPr>
              <w:pStyle w:val="TSBodyText"/>
            </w:pPr>
            <w:r w:rsidRPr="00F71616">
              <w:t>722 (636-799)</w:t>
            </w:r>
          </w:p>
        </w:tc>
      </w:tr>
    </w:tbl>
    <w:p w14:paraId="380DEA9C" w14:textId="5079C196" w:rsidR="08119E66" w:rsidRDefault="08119E66" w:rsidP="00A177AA">
      <w:pPr>
        <w:pStyle w:val="USSource"/>
      </w:pPr>
      <w:r>
        <w:t xml:space="preserve">Source: Lal et al. </w:t>
      </w:r>
      <w:r w:rsidR="0019752C">
        <w:t>(</w:t>
      </w:r>
      <w:r>
        <w:t>2012</w:t>
      </w:r>
      <w:r w:rsidR="0019752C">
        <w:t>)</w:t>
      </w:r>
    </w:p>
    <w:p w14:paraId="71FA0D1D" w14:textId="6A55749D" w:rsidR="4ED9246E" w:rsidRDefault="4ED9246E" w:rsidP="022E10EB">
      <w:pPr>
        <w:pStyle w:val="USBodyText"/>
        <w:rPr>
          <w:rFonts w:eastAsia="Arial"/>
        </w:rPr>
      </w:pPr>
      <w:r w:rsidRPr="022E10EB">
        <w:rPr>
          <w:rFonts w:eastAsia="Arial"/>
        </w:rPr>
        <w:lastRenderedPageBreak/>
        <w:t xml:space="preserve">The diseases with the highest </w:t>
      </w:r>
      <w:r w:rsidR="7ACE7895" w:rsidRPr="022E10EB">
        <w:rPr>
          <w:rFonts w:eastAsia="Arial"/>
        </w:rPr>
        <w:t>PAF</w:t>
      </w:r>
      <w:r w:rsidRPr="022E10EB">
        <w:rPr>
          <w:rFonts w:eastAsia="Arial"/>
        </w:rPr>
        <w:t xml:space="preserve">s were also the diseases with the highest costs: </w:t>
      </w:r>
    </w:p>
    <w:p w14:paraId="486C025B" w14:textId="22C5F242" w:rsidR="09CDA8D9" w:rsidRDefault="09CDA8D9" w:rsidP="00BC325B">
      <w:pPr>
        <w:pStyle w:val="USBullet1"/>
        <w:rPr>
          <w:rFonts w:asciiTheme="minorHAnsi" w:eastAsiaTheme="minorEastAsia" w:hAnsiTheme="minorHAnsi"/>
        </w:rPr>
      </w:pPr>
      <w:r w:rsidRPr="022E10EB">
        <w:t xml:space="preserve">Type 2 diabetes </w:t>
      </w:r>
      <w:r w:rsidR="567797BB" w:rsidRPr="022E10EB">
        <w:t xml:space="preserve">had the highest PAF </w:t>
      </w:r>
      <w:r w:rsidR="4B9EBCAF" w:rsidRPr="022E10EB">
        <w:t xml:space="preserve">and </w:t>
      </w:r>
      <w:r w:rsidRPr="022E10EB">
        <w:t>was estimated to be responsible for the largest portion of costs at 38 percent of the total</w:t>
      </w:r>
      <w:r w:rsidR="5C6E7912" w:rsidRPr="022E10EB">
        <w:t xml:space="preserve">. </w:t>
      </w:r>
    </w:p>
    <w:p w14:paraId="393DC818" w14:textId="5C12AEC1" w:rsidR="5C6E7912" w:rsidRDefault="5C6E7912" w:rsidP="00BC325B">
      <w:pPr>
        <w:pStyle w:val="USBullet1"/>
        <w:rPr>
          <w:rFonts w:asciiTheme="minorHAnsi" w:eastAsiaTheme="minorEastAsia" w:hAnsiTheme="minorHAnsi"/>
        </w:rPr>
      </w:pPr>
      <w:r w:rsidRPr="022E10EB">
        <w:t>H</w:t>
      </w:r>
      <w:r w:rsidR="09CDA8D9" w:rsidRPr="022E10EB">
        <w:t xml:space="preserve">igh blood pressure </w:t>
      </w:r>
      <w:r w:rsidR="0D399897" w:rsidRPr="022E10EB">
        <w:t xml:space="preserve">had the second highest attributable cost </w:t>
      </w:r>
      <w:r w:rsidR="09CDA8D9" w:rsidRPr="022E10EB">
        <w:t>at 27 percent</w:t>
      </w:r>
      <w:r w:rsidR="18C5D060" w:rsidRPr="022E10EB">
        <w:t>, and the third</w:t>
      </w:r>
      <w:r w:rsidR="00E94A47">
        <w:t xml:space="preserve"> </w:t>
      </w:r>
      <w:r w:rsidR="18C5D060" w:rsidRPr="022E10EB">
        <w:t>highest PAF.</w:t>
      </w:r>
    </w:p>
    <w:p w14:paraId="66FA50EE" w14:textId="1E78C0E1" w:rsidR="0135BD2A" w:rsidRDefault="0135BD2A" w:rsidP="00BC325B">
      <w:pPr>
        <w:pStyle w:val="USBullet1"/>
      </w:pPr>
      <w:r w:rsidRPr="022E10EB">
        <w:t>Osteoarthri</w:t>
      </w:r>
      <w:r w:rsidR="007A3B66">
        <w:t>tis</w:t>
      </w:r>
      <w:r w:rsidRPr="022E10EB">
        <w:t xml:space="preserve"> ha</w:t>
      </w:r>
      <w:r w:rsidR="1E003AA2" w:rsidRPr="022E10EB">
        <w:t>d</w:t>
      </w:r>
      <w:r w:rsidRPr="022E10EB">
        <w:t xml:space="preserve"> the </w:t>
      </w:r>
      <w:r w:rsidR="001336C8" w:rsidRPr="022E10EB">
        <w:t>second</w:t>
      </w:r>
      <w:r w:rsidR="00E94A47">
        <w:t xml:space="preserve"> </w:t>
      </w:r>
      <w:r w:rsidRPr="022E10EB">
        <w:t xml:space="preserve">highest PAF and the </w:t>
      </w:r>
      <w:r w:rsidR="001336C8" w:rsidRPr="022E10EB">
        <w:t>third</w:t>
      </w:r>
      <w:r w:rsidR="00E94A47">
        <w:t xml:space="preserve"> </w:t>
      </w:r>
      <w:r w:rsidRPr="022E10EB">
        <w:t>highest cost at 23 percent.</w:t>
      </w:r>
    </w:p>
    <w:p w14:paraId="1735F5D3" w14:textId="117E92E5" w:rsidR="09CDA8D9" w:rsidRDefault="09CDA8D9" w:rsidP="022E10EB">
      <w:pPr>
        <w:pStyle w:val="USBodyText"/>
        <w:ind w:left="720"/>
        <w:rPr>
          <w:rFonts w:eastAsia="Arial"/>
        </w:rPr>
      </w:pPr>
      <w:r w:rsidRPr="022E10EB">
        <w:rPr>
          <w:rFonts w:eastAsia="Arial"/>
        </w:rPr>
        <w:t xml:space="preserve">Colorectal </w:t>
      </w:r>
      <w:r w:rsidR="39F05F8B" w:rsidRPr="022E10EB">
        <w:rPr>
          <w:rFonts w:eastAsia="Arial"/>
        </w:rPr>
        <w:t>cancer was the most significant cancer cost associated with overweight and obesity and amounted to one percent of total costs.</w:t>
      </w:r>
    </w:p>
    <w:p w14:paraId="0A27C532" w14:textId="5B3FDCB2" w:rsidR="00291D60" w:rsidRDefault="00291D60" w:rsidP="002E10F0">
      <w:pPr>
        <w:pStyle w:val="Heading2"/>
      </w:pPr>
      <w:bookmarkStart w:id="89" w:name="_Toc98760528"/>
      <w:r>
        <w:t>Cost-of-illness studies by</w:t>
      </w:r>
      <w:r w:rsidR="007A2E9D">
        <w:t xml:space="preserve"> disease or condition</w:t>
      </w:r>
      <w:r w:rsidR="00FB4BC5">
        <w:rPr>
          <w:rStyle w:val="FootnoteReference"/>
        </w:rPr>
        <w:footnoteReference w:id="7"/>
      </w:r>
      <w:bookmarkEnd w:id="89"/>
    </w:p>
    <w:p w14:paraId="6EE4149A" w14:textId="15EA871D" w:rsidR="00BC31D8" w:rsidRDefault="00C34F07" w:rsidP="0005646B">
      <w:pPr>
        <w:pStyle w:val="Heading3"/>
      </w:pPr>
      <w:r>
        <w:t xml:space="preserve">Multiple </w:t>
      </w:r>
      <w:r w:rsidR="00BC31D8">
        <w:t xml:space="preserve">NCDs </w:t>
      </w:r>
      <w:r>
        <w:t>and multi-morbidity</w:t>
      </w:r>
    </w:p>
    <w:p w14:paraId="08033FC3" w14:textId="64B4E415" w:rsidR="00BC31D8" w:rsidRDefault="00BC31D8" w:rsidP="00BC31D8">
      <w:pPr>
        <w:pStyle w:val="USBodyText"/>
      </w:pPr>
      <w:r w:rsidRPr="00857C8C">
        <w:rPr>
          <w:b/>
          <w:bCs/>
        </w:rPr>
        <w:t xml:space="preserve">Blakely et al. </w:t>
      </w:r>
      <w:r w:rsidR="001654CA" w:rsidRPr="00F57CA7">
        <w:rPr>
          <w:rFonts w:cs="Calibri"/>
          <w:b/>
          <w:bCs/>
        </w:rPr>
        <w:t>(2019)</w:t>
      </w:r>
      <w:r w:rsidRPr="00F57CA7">
        <w:rPr>
          <w:b/>
          <w:bCs/>
        </w:rPr>
        <w:t xml:space="preserve"> </w:t>
      </w:r>
      <w:r w:rsidR="00CB23BD" w:rsidRPr="00CB23BD">
        <w:t>used linked data for publicly</w:t>
      </w:r>
      <w:r w:rsidR="00300C40">
        <w:t>-</w:t>
      </w:r>
      <w:r w:rsidR="00CB23BD" w:rsidRPr="00CB23BD">
        <w:t xml:space="preserve">funded events, including </w:t>
      </w:r>
      <w:r w:rsidR="008F765A">
        <w:t>inpatient</w:t>
      </w:r>
      <w:r w:rsidR="00CB23BD" w:rsidRPr="00CB23BD">
        <w:t xml:space="preserve">, outpatient, </w:t>
      </w:r>
      <w:r w:rsidR="008F765A">
        <w:t xml:space="preserve">community </w:t>
      </w:r>
      <w:r w:rsidR="00CB23BD" w:rsidRPr="00CB23BD">
        <w:t xml:space="preserve">pharmaceutical, </w:t>
      </w:r>
      <w:r w:rsidR="008F765A">
        <w:t xml:space="preserve">community </w:t>
      </w:r>
      <w:r w:rsidR="00CB23BD" w:rsidRPr="00CB23BD">
        <w:t xml:space="preserve">laboratory </w:t>
      </w:r>
      <w:r w:rsidR="006F4934">
        <w:t>tests</w:t>
      </w:r>
      <w:r w:rsidR="00CB23BD" w:rsidRPr="00CB23BD">
        <w:t>, and primary care from 1 July 2007 to 30 June 2014</w:t>
      </w:r>
      <w:r w:rsidR="006F4934">
        <w:t xml:space="preserve"> and</w:t>
      </w:r>
      <w:r w:rsidR="00CB23BD" w:rsidRPr="00CB23BD">
        <w:t xml:space="preserve"> case definition algorithms to identify </w:t>
      </w:r>
      <w:r w:rsidR="006F4934">
        <w:t>people with any of</w:t>
      </w:r>
      <w:r w:rsidR="00CB23BD" w:rsidRPr="00CB23BD">
        <w:t xml:space="preserve"> six NCDs (cancer, cardiovascular disease </w:t>
      </w:r>
      <w:r w:rsidR="006F4934">
        <w:t>(</w:t>
      </w:r>
      <w:r w:rsidR="00CB23BD" w:rsidRPr="00CB23BD">
        <w:t>CV</w:t>
      </w:r>
      <w:r w:rsidR="006F4934">
        <w:t>D)</w:t>
      </w:r>
      <w:r w:rsidR="00CB23BD" w:rsidRPr="00CB23BD">
        <w:t>, diabetes, musculoskeletal</w:t>
      </w:r>
      <w:r w:rsidR="006307E6">
        <w:t xml:space="preserve"> conditions</w:t>
      </w:r>
      <w:r w:rsidR="00CB23BD" w:rsidRPr="00CB23BD">
        <w:t>, neurological</w:t>
      </w:r>
      <w:r w:rsidR="006307E6">
        <w:t xml:space="preserve"> conditions</w:t>
      </w:r>
      <w:r w:rsidR="00CB23BD" w:rsidRPr="00CB23BD">
        <w:t>, and a chronic lung</w:t>
      </w:r>
      <w:r w:rsidR="006307E6">
        <w:t>, liver, or kidney</w:t>
      </w:r>
      <w:r w:rsidR="00CB23BD" w:rsidRPr="00CB23BD">
        <w:t xml:space="preserve"> </w:t>
      </w:r>
      <w:r w:rsidR="006307E6">
        <w:t>(</w:t>
      </w:r>
      <w:r w:rsidR="00CB23BD" w:rsidRPr="00CB23BD">
        <w:t>LLK</w:t>
      </w:r>
      <w:r w:rsidR="006307E6">
        <w:t>)</w:t>
      </w:r>
      <w:r w:rsidR="00CB23BD" w:rsidRPr="00CB23BD">
        <w:t xml:space="preserve"> disease)</w:t>
      </w:r>
      <w:r w:rsidR="005733A6">
        <w:t xml:space="preserve"> and 15 possible comorbidity pairings</w:t>
      </w:r>
      <w:r w:rsidR="00CB23BD" w:rsidRPr="00CB23BD">
        <w:t>.</w:t>
      </w:r>
      <w:r w:rsidR="005733A6">
        <w:t xml:space="preserve"> The study used the excess cost approach</w:t>
      </w:r>
      <w:r w:rsidR="00E80682">
        <w:t xml:space="preserve"> to identify excess annual public health system expenditure</w:t>
      </w:r>
      <w:r w:rsidR="008A1242">
        <w:t xml:space="preserve"> associated with these conditions and comorbidities.</w:t>
      </w:r>
    </w:p>
    <w:p w14:paraId="0C29BBD4" w14:textId="51EBE537" w:rsidR="008A1242" w:rsidRDefault="008A1242" w:rsidP="00BC31D8">
      <w:pPr>
        <w:pStyle w:val="USBodyText"/>
      </w:pPr>
      <w:r>
        <w:t>The study found that 59 percent of health expenditure was associated with NCDs</w:t>
      </w:r>
      <w:r w:rsidR="004D084E">
        <w:t xml:space="preserve">, with </w:t>
      </w:r>
      <w:r w:rsidR="00B13AC5">
        <w:t xml:space="preserve">the </w:t>
      </w:r>
      <w:r w:rsidR="004D084E">
        <w:t>highest expenditure in the years of diagnosis and death. Combinations of NCDs generally led to higher costs than the sum of costs for the individual conditions</w:t>
      </w:r>
      <w:r w:rsidR="00054EEE">
        <w:t>, consistent with the additional complexity of managing multiple NCDs. Cancer with CVD was</w:t>
      </w:r>
      <w:r w:rsidR="00552BE5">
        <w:t xml:space="preserve"> the only</w:t>
      </w:r>
      <w:r w:rsidR="00054EEE">
        <w:t xml:space="preserve"> e</w:t>
      </w:r>
      <w:r w:rsidR="00552BE5">
        <w:t>xception to this rule</w:t>
      </w:r>
      <w:r w:rsidR="00D919D5">
        <w:t>.</w:t>
      </w:r>
    </w:p>
    <w:p w14:paraId="56E9C8AA" w14:textId="078F120E" w:rsidR="00D919D5" w:rsidRDefault="00D919D5" w:rsidP="00D919D5">
      <w:pPr>
        <w:pStyle w:val="USBodyText"/>
      </w:pPr>
      <w:r>
        <w:t xml:space="preserve">Nearly a quarter of all </w:t>
      </w:r>
      <w:r w:rsidR="009F5880">
        <w:t xml:space="preserve">NCD </w:t>
      </w:r>
      <w:r>
        <w:t>health expenditure (23.8</w:t>
      </w:r>
      <w:r w:rsidR="00B13AC5">
        <w:t xml:space="preserve"> percent) </w:t>
      </w:r>
      <w:r>
        <w:t xml:space="preserve">was </w:t>
      </w:r>
      <w:r w:rsidR="00C06B9C">
        <w:t xml:space="preserve">estimated to be </w:t>
      </w:r>
      <w:r>
        <w:t xml:space="preserve">attributable to </w:t>
      </w:r>
      <w:r w:rsidR="006E76E2">
        <w:t xml:space="preserve">the additional costs of </w:t>
      </w:r>
      <w:r w:rsidR="00C06B9C">
        <w:t>multi</w:t>
      </w:r>
      <w:r w:rsidR="00B13AC5">
        <w:t>-</w:t>
      </w:r>
      <w:r w:rsidR="00C06B9C">
        <w:t>morbidity</w:t>
      </w:r>
      <w:r w:rsidR="006E76E2">
        <w:t xml:space="preserve"> (</w:t>
      </w:r>
      <w:r w:rsidR="009F5880">
        <w:t>in excess of individual disease costs)</w:t>
      </w:r>
      <w:r>
        <w:t>.</w:t>
      </w:r>
      <w:r w:rsidR="009F5880">
        <w:t xml:space="preserve"> The remaining costs were attributed to the</w:t>
      </w:r>
      <w:r>
        <w:t xml:space="preserve"> six </w:t>
      </w:r>
      <w:r w:rsidR="009F5880">
        <w:t>NCDs</w:t>
      </w:r>
      <w:r w:rsidR="001D6531">
        <w:t>,</w:t>
      </w:r>
      <w:r w:rsidR="009F5880">
        <w:t xml:space="preserve"> as shown in </w:t>
      </w:r>
      <w:r w:rsidR="001D6531">
        <w:fldChar w:fldCharType="begin"/>
      </w:r>
      <w:r w:rsidR="001D6531">
        <w:instrText xml:space="preserve"> REF _Ref85627304 \h </w:instrText>
      </w:r>
      <w:r w:rsidR="001D6531">
        <w:fldChar w:fldCharType="separate"/>
      </w:r>
      <w:r w:rsidR="002C631E" w:rsidRPr="00D1180A">
        <w:t xml:space="preserve">Table </w:t>
      </w:r>
      <w:r w:rsidR="002C631E">
        <w:rPr>
          <w:noProof/>
        </w:rPr>
        <w:t>9</w:t>
      </w:r>
      <w:r w:rsidR="001D6531">
        <w:fldChar w:fldCharType="end"/>
      </w:r>
      <w:r w:rsidR="009F5880">
        <w:t xml:space="preserve"> below</w:t>
      </w:r>
      <w:r w:rsidR="009D3D94">
        <w:t>.</w:t>
      </w:r>
    </w:p>
    <w:p w14:paraId="1C46FDFD" w14:textId="14C2DC2B" w:rsidR="00201A6D" w:rsidRDefault="00B13AC5" w:rsidP="009D3D94">
      <w:pPr>
        <w:pStyle w:val="TableCaption"/>
      </w:pPr>
      <w:bookmarkStart w:id="90" w:name="_Ref85627304"/>
      <w:bookmarkStart w:id="91" w:name="_Toc98760573"/>
      <w:r w:rsidRPr="00D1180A">
        <w:t xml:space="preserve">Table </w:t>
      </w:r>
      <w:r w:rsidR="00443CD7">
        <w:fldChar w:fldCharType="begin"/>
      </w:r>
      <w:r w:rsidR="00443CD7">
        <w:instrText xml:space="preserve"> SEQ Table \* ARABIC </w:instrText>
      </w:r>
      <w:r w:rsidR="00443CD7">
        <w:fldChar w:fldCharType="separate"/>
      </w:r>
      <w:r w:rsidR="002C631E">
        <w:rPr>
          <w:noProof/>
        </w:rPr>
        <w:t>9</w:t>
      </w:r>
      <w:r w:rsidR="00443CD7">
        <w:rPr>
          <w:noProof/>
        </w:rPr>
        <w:fldChar w:fldCharType="end"/>
      </w:r>
      <w:bookmarkEnd w:id="90"/>
      <w:r>
        <w:t xml:space="preserve"> </w:t>
      </w:r>
      <w:r w:rsidR="009D3D94">
        <w:t>Breakdown of NCD public health system costs</w:t>
      </w:r>
      <w:bookmarkEnd w:id="91"/>
    </w:p>
    <w:tbl>
      <w:tblPr>
        <w:tblStyle w:val="TableDefault"/>
        <w:tblW w:w="0" w:type="auto"/>
        <w:tblLook w:val="04A0" w:firstRow="1" w:lastRow="0" w:firstColumn="1" w:lastColumn="0" w:noHBand="0" w:noVBand="1"/>
      </w:tblPr>
      <w:tblGrid>
        <w:gridCol w:w="4961"/>
        <w:gridCol w:w="3259"/>
      </w:tblGrid>
      <w:tr w:rsidR="009F5880" w14:paraId="59A2CDC5" w14:textId="77777777" w:rsidTr="00201A6D">
        <w:trPr>
          <w:cnfStyle w:val="100000000000" w:firstRow="1" w:lastRow="0" w:firstColumn="0" w:lastColumn="0" w:oddVBand="0" w:evenVBand="0" w:oddHBand="0" w:evenHBand="0" w:firstRowFirstColumn="0" w:firstRowLastColumn="0" w:lastRowFirstColumn="0" w:lastRowLastColumn="0"/>
        </w:trPr>
        <w:tc>
          <w:tcPr>
            <w:tcW w:w="4961" w:type="dxa"/>
          </w:tcPr>
          <w:p w14:paraId="2B02D2C8" w14:textId="5762D923" w:rsidR="009F5880" w:rsidRPr="00201A6D" w:rsidRDefault="00201A6D" w:rsidP="00BC325B">
            <w:pPr>
              <w:pStyle w:val="TSTableHeadingWhite-TopRow"/>
              <w:rPr>
                <w:b w:val="0"/>
                <w:bCs/>
                <w:color w:val="FFFFFF" w:themeColor="background1"/>
              </w:rPr>
            </w:pPr>
            <w:r w:rsidRPr="00201A6D">
              <w:t>Condition</w:t>
            </w:r>
          </w:p>
        </w:tc>
        <w:tc>
          <w:tcPr>
            <w:tcW w:w="3259" w:type="dxa"/>
          </w:tcPr>
          <w:p w14:paraId="265D0558" w14:textId="02D0ABFA" w:rsidR="009F5880" w:rsidRPr="00201A6D" w:rsidRDefault="00201A6D" w:rsidP="00BC325B">
            <w:pPr>
              <w:pStyle w:val="TSTableHeadingWhite-TopRow"/>
              <w:rPr>
                <w:b w:val="0"/>
                <w:bCs/>
                <w:color w:val="FFFFFF" w:themeColor="background1"/>
              </w:rPr>
            </w:pPr>
            <w:r w:rsidRPr="00201A6D">
              <w:t>Total NCD cost attribution (%)</w:t>
            </w:r>
          </w:p>
        </w:tc>
      </w:tr>
      <w:tr w:rsidR="009F5880" w14:paraId="200BB65D" w14:textId="77777777" w:rsidTr="00201A6D">
        <w:tc>
          <w:tcPr>
            <w:tcW w:w="4961" w:type="dxa"/>
          </w:tcPr>
          <w:p w14:paraId="55BCDF5F" w14:textId="1DE5AA6B" w:rsidR="009F5880" w:rsidRDefault="00201A6D" w:rsidP="00BC325B">
            <w:pPr>
              <w:pStyle w:val="TSBodyText"/>
            </w:pPr>
            <w:r>
              <w:t>Multi-morbidity</w:t>
            </w:r>
          </w:p>
        </w:tc>
        <w:tc>
          <w:tcPr>
            <w:tcW w:w="3259" w:type="dxa"/>
          </w:tcPr>
          <w:p w14:paraId="49D2336D" w14:textId="1D9066A7" w:rsidR="009F5880" w:rsidRDefault="00201A6D" w:rsidP="00BC325B">
            <w:pPr>
              <w:pStyle w:val="TSBodyText"/>
            </w:pPr>
            <w:r>
              <w:t>23.8</w:t>
            </w:r>
          </w:p>
        </w:tc>
      </w:tr>
      <w:tr w:rsidR="009F5880" w14:paraId="37F2FB96" w14:textId="77777777" w:rsidTr="00201A6D">
        <w:trPr>
          <w:cnfStyle w:val="000000010000" w:firstRow="0" w:lastRow="0" w:firstColumn="0" w:lastColumn="0" w:oddVBand="0" w:evenVBand="0" w:oddHBand="0" w:evenHBand="1" w:firstRowFirstColumn="0" w:firstRowLastColumn="0" w:lastRowFirstColumn="0" w:lastRowLastColumn="0"/>
        </w:trPr>
        <w:tc>
          <w:tcPr>
            <w:tcW w:w="4961" w:type="dxa"/>
          </w:tcPr>
          <w:p w14:paraId="7C5FD87C" w14:textId="6E375DB8" w:rsidR="009F5880" w:rsidRDefault="00201A6D" w:rsidP="00BC325B">
            <w:pPr>
              <w:pStyle w:val="TSBodyText"/>
            </w:pPr>
            <w:r>
              <w:t>Heart disease and stroke</w:t>
            </w:r>
          </w:p>
        </w:tc>
        <w:tc>
          <w:tcPr>
            <w:tcW w:w="3259" w:type="dxa"/>
          </w:tcPr>
          <w:p w14:paraId="040110ED" w14:textId="06B038AC" w:rsidR="009F5880" w:rsidRDefault="00201A6D" w:rsidP="00BC325B">
            <w:pPr>
              <w:pStyle w:val="TSBodyText"/>
            </w:pPr>
            <w:r>
              <w:t>18.7</w:t>
            </w:r>
          </w:p>
        </w:tc>
      </w:tr>
      <w:tr w:rsidR="009F5880" w14:paraId="5E4E191A" w14:textId="77777777" w:rsidTr="00201A6D">
        <w:tc>
          <w:tcPr>
            <w:tcW w:w="4961" w:type="dxa"/>
          </w:tcPr>
          <w:p w14:paraId="7FAA78C3" w14:textId="3B2D9848" w:rsidR="009F5880" w:rsidRDefault="00201A6D" w:rsidP="00BC325B">
            <w:pPr>
              <w:pStyle w:val="TSBodyText"/>
            </w:pPr>
            <w:r>
              <w:t>Musculoskeletal conditions</w:t>
            </w:r>
          </w:p>
        </w:tc>
        <w:tc>
          <w:tcPr>
            <w:tcW w:w="3259" w:type="dxa"/>
          </w:tcPr>
          <w:p w14:paraId="49E7D7C9" w14:textId="1426D189" w:rsidR="009F5880" w:rsidRDefault="00201A6D" w:rsidP="00BC325B">
            <w:pPr>
              <w:pStyle w:val="TSBodyText"/>
            </w:pPr>
            <w:r>
              <w:t>16.2</w:t>
            </w:r>
          </w:p>
        </w:tc>
      </w:tr>
      <w:tr w:rsidR="009F5880" w14:paraId="42696D2A" w14:textId="77777777" w:rsidTr="00201A6D">
        <w:trPr>
          <w:cnfStyle w:val="000000010000" w:firstRow="0" w:lastRow="0" w:firstColumn="0" w:lastColumn="0" w:oddVBand="0" w:evenVBand="0" w:oddHBand="0" w:evenHBand="1" w:firstRowFirstColumn="0" w:firstRowLastColumn="0" w:lastRowFirstColumn="0" w:lastRowLastColumn="0"/>
        </w:trPr>
        <w:tc>
          <w:tcPr>
            <w:tcW w:w="4961" w:type="dxa"/>
          </w:tcPr>
          <w:p w14:paraId="7525E78A" w14:textId="3D042FE6" w:rsidR="009F5880" w:rsidRDefault="00201A6D" w:rsidP="00BC325B">
            <w:pPr>
              <w:pStyle w:val="TSBodyText"/>
            </w:pPr>
            <w:r>
              <w:t>Neurological conditions</w:t>
            </w:r>
          </w:p>
        </w:tc>
        <w:tc>
          <w:tcPr>
            <w:tcW w:w="3259" w:type="dxa"/>
          </w:tcPr>
          <w:p w14:paraId="4A3084F4" w14:textId="74CE1E1E" w:rsidR="009F5880" w:rsidRDefault="00201A6D" w:rsidP="00BC325B">
            <w:pPr>
              <w:pStyle w:val="TSBodyText"/>
            </w:pPr>
            <w:r>
              <w:t>14.4</w:t>
            </w:r>
          </w:p>
        </w:tc>
      </w:tr>
      <w:tr w:rsidR="009F5880" w14:paraId="1DDA93BF" w14:textId="77777777" w:rsidTr="00201A6D">
        <w:tc>
          <w:tcPr>
            <w:tcW w:w="4961" w:type="dxa"/>
          </w:tcPr>
          <w:p w14:paraId="618DCD01" w14:textId="6D1278C2" w:rsidR="009F5880" w:rsidRDefault="00201A6D" w:rsidP="00BC325B">
            <w:pPr>
              <w:pStyle w:val="TSBodyText"/>
            </w:pPr>
            <w:r>
              <w:t>Cancer</w:t>
            </w:r>
          </w:p>
        </w:tc>
        <w:tc>
          <w:tcPr>
            <w:tcW w:w="3259" w:type="dxa"/>
          </w:tcPr>
          <w:p w14:paraId="17FE9D05" w14:textId="7931D6B3" w:rsidR="009F5880" w:rsidRDefault="00201A6D" w:rsidP="00BC325B">
            <w:pPr>
              <w:pStyle w:val="TSBodyText"/>
            </w:pPr>
            <w:r>
              <w:t>14.1</w:t>
            </w:r>
          </w:p>
        </w:tc>
      </w:tr>
      <w:tr w:rsidR="009F5880" w14:paraId="1AAB5089" w14:textId="77777777" w:rsidTr="00201A6D">
        <w:trPr>
          <w:cnfStyle w:val="000000010000" w:firstRow="0" w:lastRow="0" w:firstColumn="0" w:lastColumn="0" w:oddVBand="0" w:evenVBand="0" w:oddHBand="0" w:evenHBand="1" w:firstRowFirstColumn="0" w:firstRowLastColumn="0" w:lastRowFirstColumn="0" w:lastRowLastColumn="0"/>
        </w:trPr>
        <w:tc>
          <w:tcPr>
            <w:tcW w:w="4961" w:type="dxa"/>
          </w:tcPr>
          <w:p w14:paraId="6562D270" w14:textId="4C5C60D0" w:rsidR="009F5880" w:rsidRDefault="00201A6D" w:rsidP="00BC325B">
            <w:pPr>
              <w:pStyle w:val="TSBodyText"/>
            </w:pPr>
            <w:r>
              <w:t>Chronic lung, liver, or kidney disease</w:t>
            </w:r>
          </w:p>
        </w:tc>
        <w:tc>
          <w:tcPr>
            <w:tcW w:w="3259" w:type="dxa"/>
          </w:tcPr>
          <w:p w14:paraId="1B2FFA8A" w14:textId="05FA904E" w:rsidR="009F5880" w:rsidRDefault="00201A6D" w:rsidP="00BC325B">
            <w:pPr>
              <w:pStyle w:val="TSBodyText"/>
            </w:pPr>
            <w:r>
              <w:t>7.4</w:t>
            </w:r>
          </w:p>
        </w:tc>
      </w:tr>
      <w:tr w:rsidR="009F5880" w14:paraId="6E7C0BEA" w14:textId="77777777" w:rsidTr="00201A6D">
        <w:tc>
          <w:tcPr>
            <w:tcW w:w="4961" w:type="dxa"/>
          </w:tcPr>
          <w:p w14:paraId="393D476D" w14:textId="73B0EC2B" w:rsidR="009F5880" w:rsidRDefault="00201A6D" w:rsidP="00BC325B">
            <w:pPr>
              <w:pStyle w:val="TSBodyText"/>
            </w:pPr>
            <w:r>
              <w:t>Diabetes</w:t>
            </w:r>
          </w:p>
        </w:tc>
        <w:tc>
          <w:tcPr>
            <w:tcW w:w="3259" w:type="dxa"/>
          </w:tcPr>
          <w:p w14:paraId="7EE9E827" w14:textId="108EE4E8" w:rsidR="009F5880" w:rsidRDefault="00201A6D" w:rsidP="00BC325B">
            <w:pPr>
              <w:pStyle w:val="TSBodyText"/>
            </w:pPr>
            <w:r>
              <w:t>5.5</w:t>
            </w:r>
          </w:p>
        </w:tc>
      </w:tr>
    </w:tbl>
    <w:p w14:paraId="65258509" w14:textId="197468E3" w:rsidR="00054EEE" w:rsidRDefault="009D3D94" w:rsidP="009D3D94">
      <w:pPr>
        <w:pStyle w:val="USSource"/>
      </w:pPr>
      <w:r>
        <w:t xml:space="preserve">Source: Blakely et al. </w:t>
      </w:r>
      <w:r w:rsidR="00F57CA7">
        <w:t>(</w:t>
      </w:r>
      <w:r>
        <w:t>2019</w:t>
      </w:r>
      <w:r w:rsidR="00F57CA7">
        <w:t>)</w:t>
      </w:r>
    </w:p>
    <w:p w14:paraId="18B390B0" w14:textId="4225EE47" w:rsidR="00857C8C" w:rsidRDefault="00857C8C" w:rsidP="00374D06">
      <w:pPr>
        <w:pStyle w:val="USBodyText"/>
      </w:pPr>
      <w:r>
        <w:lastRenderedPageBreak/>
        <w:t xml:space="preserve">A major finding of the study was that </w:t>
      </w:r>
      <w:r w:rsidR="00760435">
        <w:t xml:space="preserve">the cost of </w:t>
      </w:r>
      <w:r w:rsidR="00234C40">
        <w:t>simultaneously</w:t>
      </w:r>
      <w:r w:rsidR="00760435">
        <w:t xml:space="preserve"> having two NCDs was </w:t>
      </w:r>
      <w:r w:rsidR="00762E14">
        <w:t>generally superadditive (more than the sum of the costs of having each NCD alone)</w:t>
      </w:r>
      <w:r w:rsidR="001D6531">
        <w:t>. T</w:t>
      </w:r>
      <w:r w:rsidR="00017144">
        <w:t>his effect was most pronounced in younger adults.</w:t>
      </w:r>
      <w:r w:rsidR="00801095">
        <w:t xml:space="preserve"> The authors speculate that the latter effect may be due to more aggressive treatment approaches being used in younger groups.</w:t>
      </w:r>
    </w:p>
    <w:p w14:paraId="6D9A730B" w14:textId="7C811722" w:rsidR="00A045EB" w:rsidRDefault="00A045EB" w:rsidP="00374D06">
      <w:pPr>
        <w:pStyle w:val="USBodyText"/>
      </w:pPr>
      <w:r>
        <w:t xml:space="preserve">The authors conclude that health system expenditure on musculoskeletal and neurological conditions warrants more policy and planning consideration </w:t>
      </w:r>
      <w:r w:rsidR="00807F5E">
        <w:t>as well as more</w:t>
      </w:r>
      <w:r>
        <w:t xml:space="preserve"> research </w:t>
      </w:r>
      <w:r w:rsidR="00807F5E">
        <w:t>than is currently the case and that th</w:t>
      </w:r>
      <w:r>
        <w:t xml:space="preserve">e </w:t>
      </w:r>
      <w:r w:rsidR="00807F5E">
        <w:t>cost of multi</w:t>
      </w:r>
      <w:r w:rsidR="00B13AC5">
        <w:t>-</w:t>
      </w:r>
      <w:r w:rsidR="00807F5E">
        <w:t>morbidity</w:t>
      </w:r>
      <w:r>
        <w:t xml:space="preserve"> </w:t>
      </w:r>
      <w:r w:rsidR="00C34F07">
        <w:t xml:space="preserve">highlights the need for better planning for an </w:t>
      </w:r>
      <w:r>
        <w:t>ag</w:t>
      </w:r>
      <w:r w:rsidR="00C34F07">
        <w:t>e</w:t>
      </w:r>
      <w:r>
        <w:t>ing population with comorbidity.</w:t>
      </w:r>
    </w:p>
    <w:p w14:paraId="4B5FC5EE" w14:textId="41BAA7CF" w:rsidR="00374D06" w:rsidRDefault="00990A26" w:rsidP="00617AF9">
      <w:pPr>
        <w:pStyle w:val="FigureCaption"/>
      </w:pPr>
      <w:bookmarkStart w:id="92" w:name="_Toc98760547"/>
      <w:r w:rsidRPr="00E84337">
        <w:t>Figure </w:t>
      </w:r>
      <w:r w:rsidRPr="00E84337">
        <w:fldChar w:fldCharType="begin"/>
      </w:r>
      <w:r w:rsidRPr="00E84337">
        <w:instrText>SEQ Figure \* ARABIC</w:instrText>
      </w:r>
      <w:r w:rsidRPr="00E84337">
        <w:fldChar w:fldCharType="separate"/>
      </w:r>
      <w:r w:rsidR="002C631E">
        <w:rPr>
          <w:noProof/>
        </w:rPr>
        <w:t>16</w:t>
      </w:r>
      <w:r w:rsidRPr="00E84337">
        <w:fldChar w:fldCharType="end"/>
      </w:r>
      <w:r w:rsidR="00374D06">
        <w:t xml:space="preserve"> Age profile of </w:t>
      </w:r>
      <w:r w:rsidR="00617AF9">
        <w:t>d</w:t>
      </w:r>
      <w:r w:rsidR="00374D06">
        <w:t>isease costs for males and females</w:t>
      </w:r>
      <w:bookmarkEnd w:id="92"/>
    </w:p>
    <w:p w14:paraId="279D2A7B" w14:textId="7CCE90BF" w:rsidR="00374D06" w:rsidRDefault="00374D06" w:rsidP="00374D06">
      <w:pPr>
        <w:pStyle w:val="USSource"/>
        <w:spacing w:after="0"/>
      </w:pPr>
      <w:r>
        <w:rPr>
          <w:noProof/>
        </w:rPr>
        <w:drawing>
          <wp:inline distT="0" distB="0" distL="0" distR="0" wp14:anchorId="0AB20489" wp14:editId="5D85A56F">
            <wp:extent cx="4825790" cy="4894418"/>
            <wp:effectExtent l="0" t="0" r="0" b="1905"/>
            <wp:docPr id="16" name="Picture 16" descr="Figure 16 Age profile of disease costs for males and fema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6 Age profile of disease costs for males and females&#10;&#10;"/>
                    <pic:cNvPicPr/>
                  </pic:nvPicPr>
                  <pic:blipFill>
                    <a:blip r:embed="rId44"/>
                    <a:stretch>
                      <a:fillRect/>
                    </a:stretch>
                  </pic:blipFill>
                  <pic:spPr>
                    <a:xfrm>
                      <a:off x="0" y="0"/>
                      <a:ext cx="4838397" cy="4907204"/>
                    </a:xfrm>
                    <a:prstGeom prst="rect">
                      <a:avLst/>
                    </a:prstGeom>
                  </pic:spPr>
                </pic:pic>
              </a:graphicData>
            </a:graphic>
          </wp:inline>
        </w:drawing>
      </w:r>
    </w:p>
    <w:p w14:paraId="1B93F36A" w14:textId="595E578A" w:rsidR="00374D06" w:rsidRPr="00374D06" w:rsidRDefault="00374D06" w:rsidP="00374D06">
      <w:pPr>
        <w:pStyle w:val="USSource"/>
      </w:pPr>
      <w:r w:rsidRPr="00374D06">
        <w:t>Source: Blakely et al</w:t>
      </w:r>
      <w:r w:rsidR="00EC59A9">
        <w:t>.</w:t>
      </w:r>
      <w:r w:rsidRPr="00374D06">
        <w:t xml:space="preserve"> </w:t>
      </w:r>
      <w:r w:rsidR="00EC59A9">
        <w:t>(</w:t>
      </w:r>
      <w:r w:rsidRPr="00374D06">
        <w:t>2019</w:t>
      </w:r>
      <w:r w:rsidR="00EC59A9">
        <w:t>)</w:t>
      </w:r>
    </w:p>
    <w:p w14:paraId="436F4065" w14:textId="3DECF872" w:rsidR="00672E9F" w:rsidRDefault="00672E9F" w:rsidP="0005646B">
      <w:pPr>
        <w:pStyle w:val="Heading3"/>
      </w:pPr>
      <w:r>
        <w:t>Alzheimer’s disease</w:t>
      </w:r>
      <w:r w:rsidR="00EF5B5F">
        <w:t xml:space="preserve"> and dementia</w:t>
      </w:r>
    </w:p>
    <w:p w14:paraId="14D772D4" w14:textId="5C88405B" w:rsidR="00EF5B5F" w:rsidRDefault="00EF5B5F" w:rsidP="00EF5B5F">
      <w:pPr>
        <w:pStyle w:val="USBodyText"/>
      </w:pPr>
      <w:r w:rsidRPr="00001362">
        <w:rPr>
          <w:rFonts w:cs="Calibri"/>
          <w:b/>
          <w:bCs/>
          <w:szCs w:val="24"/>
        </w:rPr>
        <w:t>Ma’u et al. 2021</w:t>
      </w:r>
      <w:r>
        <w:t xml:space="preserve"> estimated the 2020 cost of dementia including medical costs, social care costs, unpaid care costs, productivity losses and income support costs.</w:t>
      </w:r>
    </w:p>
    <w:p w14:paraId="285CFBBE" w14:textId="77777777" w:rsidR="00EF5B5F" w:rsidRDefault="00EF5B5F" w:rsidP="00EF5B5F">
      <w:pPr>
        <w:pStyle w:val="USBodyText"/>
      </w:pPr>
      <w:r>
        <w:t xml:space="preserve">Health care costs were estimated based on the number of public and private discharges with any diagnosis of dementia. These were identified as the 25,827 hospitalisations for people who had a diagnosis of dementia in any health data set. Costs were calculated using </w:t>
      </w:r>
      <w:r>
        <w:lastRenderedPageBreak/>
        <w:t xml:space="preserve">the WEIS 2020 case weight for dementia and other chronic disturbances of cerebral function (1.76). </w:t>
      </w:r>
    </w:p>
    <w:p w14:paraId="123281DE" w14:textId="77777777" w:rsidR="00EF5B5F" w:rsidRDefault="00EF5B5F" w:rsidP="00EF5B5F">
      <w:pPr>
        <w:pStyle w:val="USBodyText"/>
      </w:pPr>
      <w:r>
        <w:t>The total hospitalisation cost associated with dementia was estimated as:</w:t>
      </w:r>
    </w:p>
    <w:p w14:paraId="36ACCCF5" w14:textId="77777777" w:rsidR="00EF5B5F" w:rsidRDefault="00EF5B5F" w:rsidP="00EF5B5F">
      <w:pPr>
        <w:pStyle w:val="USBullet1"/>
      </w:pPr>
      <w:r>
        <w:t>$34.2 million for dementia as the primary discharge diagnosis</w:t>
      </w:r>
    </w:p>
    <w:p w14:paraId="1E3FAC65" w14:textId="77777777" w:rsidR="00EF5B5F" w:rsidRDefault="00EF5B5F" w:rsidP="00EF5B5F">
      <w:pPr>
        <w:pStyle w:val="USBullet1"/>
      </w:pPr>
      <w:r>
        <w:t>$136.1 million for dementia as one of the diagnoses on discharge</w:t>
      </w:r>
    </w:p>
    <w:p w14:paraId="0BC56CEC" w14:textId="3FFCD9A4" w:rsidR="00EF5B5F" w:rsidRDefault="00EF5B5F" w:rsidP="00EF5B5F">
      <w:pPr>
        <w:pStyle w:val="USBullet1"/>
      </w:pPr>
      <w:r>
        <w:t>$237.1 million for dementia diagnosis present but not coded at hospital discharge</w:t>
      </w:r>
      <w:r w:rsidR="00D40D5C">
        <w:t>.</w:t>
      </w:r>
    </w:p>
    <w:p w14:paraId="2FF03F20" w14:textId="77777777" w:rsidR="00EF5B5F" w:rsidRDefault="00EF5B5F" w:rsidP="00EF5B5F">
      <w:pPr>
        <w:pStyle w:val="USBodyText"/>
      </w:pPr>
      <w:r>
        <w:t>Outpatient costs were estimated based on Australian data due to the lack of diagnosis codes in outpatient data in New Zealand. Estimated outpatient costs amounted to 9.5 percent of total medical costs.</w:t>
      </w:r>
    </w:p>
    <w:p w14:paraId="2EB27A9B" w14:textId="7C5886C0" w:rsidR="00EF5B5F" w:rsidRDefault="00EF5B5F" w:rsidP="00EF5B5F">
      <w:pPr>
        <w:pStyle w:val="USBodyText"/>
      </w:pPr>
      <w:r>
        <w:t xml:space="preserve">Primary care visit costs were estimated using evidence from Australian studies and based on the GP consultation subsidy plus average co-payment. Pharmaceuticals for people with dementia were calculated </w:t>
      </w:r>
      <w:r w:rsidR="00B14C8C">
        <w:t>based on</w:t>
      </w:r>
      <w:r>
        <w:t xml:space="preserve"> four specific medications (Donepezil 5mg, Donepezil 10mg, Rivastigmine 4.6mg patch, and Rivastigmine 9.5mg patch). Allied health, pathology and imaging costs were estimated based on previous reports and data provided by the Ministry of Health. </w:t>
      </w:r>
    </w:p>
    <w:p w14:paraId="101646D5" w14:textId="77777777" w:rsidR="00EF5B5F" w:rsidRDefault="00EF5B5F" w:rsidP="00EF5B5F">
      <w:pPr>
        <w:pStyle w:val="USBodyText"/>
      </w:pPr>
      <w:r>
        <w:t>The major results of the study were:</w:t>
      </w:r>
    </w:p>
    <w:p w14:paraId="41A80789" w14:textId="77777777" w:rsidR="00EF5B5F" w:rsidRPr="00CA69FF" w:rsidRDefault="00EF5B5F" w:rsidP="00EF5B5F">
      <w:pPr>
        <w:pStyle w:val="USBullet1"/>
      </w:pPr>
      <w:r w:rsidRPr="00CA69FF">
        <w:t xml:space="preserve">The total </w:t>
      </w:r>
      <w:r>
        <w:t>economic</w:t>
      </w:r>
      <w:r w:rsidRPr="00CA69FF">
        <w:t xml:space="preserve"> cost of dementia is estimated to be $2.</w:t>
      </w:r>
      <w:r>
        <w:t>46</w:t>
      </w:r>
      <w:r w:rsidRPr="00CA69FF">
        <w:t xml:space="preserve"> billion</w:t>
      </w:r>
      <w:r>
        <w:t xml:space="preserve"> in 2020.</w:t>
      </w:r>
      <w:r w:rsidRPr="00CA69FF">
        <w:t xml:space="preserve"> </w:t>
      </w:r>
    </w:p>
    <w:p w14:paraId="6635E869" w14:textId="77777777" w:rsidR="00EF5B5F" w:rsidRDefault="00EF5B5F" w:rsidP="00EF5B5F">
      <w:pPr>
        <w:pStyle w:val="USBullet1"/>
      </w:pPr>
      <w:r>
        <w:t>The total fiscal cost (including public health system costs, foregone tax revenue, social and community care costs and income support payments) of dementia is estimated to be $2.24 billion or $32,150 per person living with dementia.</w:t>
      </w:r>
    </w:p>
    <w:p w14:paraId="3D21F596" w14:textId="77777777" w:rsidR="00EF5B5F" w:rsidRDefault="00EF5B5F" w:rsidP="00EF5B5F">
      <w:pPr>
        <w:pStyle w:val="USBullet1"/>
      </w:pPr>
      <w:r>
        <w:t>Direct health care costs are estimated to be $274.2 million ($3,930 per person).</w:t>
      </w:r>
    </w:p>
    <w:p w14:paraId="5AD7557B" w14:textId="77777777" w:rsidR="00EF5B5F" w:rsidRDefault="00EF5B5F" w:rsidP="00EF5B5F">
      <w:pPr>
        <w:pStyle w:val="USBullet1"/>
      </w:pPr>
      <w:r>
        <w:t>Aged residential care costs ($1,206.8 million or $17,310 per person) and transfers ($1,867.8 million or $26,790 per person) represent the most significant cost components for dementia.</w:t>
      </w:r>
    </w:p>
    <w:p w14:paraId="11F72F4C" w14:textId="69F7F4EE" w:rsidR="00EF5B5F" w:rsidRDefault="00EF5B5F" w:rsidP="00EF5B5F">
      <w:pPr>
        <w:pStyle w:val="USBodyText"/>
      </w:pPr>
      <w:r>
        <w:t xml:space="preserve">A major contribution of the study is its findings on equity considerations. Compared to New Zealand Europeans for whom the social care cost is $20,530 per person, the social care cost per person for Māori is only $15,870 and for Pacific people is only $16,020, while for Asian people it is $10,090. The differences were identified as predominantly due to the lower utilisation of </w:t>
      </w:r>
      <w:r w:rsidR="00B14C8C">
        <w:t>publicly funded</w:t>
      </w:r>
      <w:r>
        <w:t xml:space="preserve"> Aged Residential Care (ARC) by these groups. Consistent with these findings, the burden of unpaid care was estimated to be 11 percent higher for </w:t>
      </w:r>
      <w:r w:rsidRPr="008E1D6D">
        <w:t>Māori</w:t>
      </w:r>
      <w:r>
        <w:t>, 12 percent higher for Pacific people, and 21 percent higher for Asian people.</w:t>
      </w:r>
    </w:p>
    <w:p w14:paraId="52DE2165" w14:textId="555FC2E6" w:rsidR="00EF5B5F" w:rsidRDefault="00EF5B5F" w:rsidP="00EF5B5F">
      <w:pPr>
        <w:pStyle w:val="USBodyText"/>
      </w:pPr>
      <w:r>
        <w:t xml:space="preserve">Productivity losses and income support costs were also found to be significantly higher for </w:t>
      </w:r>
      <w:r w:rsidRPr="009A046D">
        <w:t>Māori</w:t>
      </w:r>
      <w:r>
        <w:t xml:space="preserve">, </w:t>
      </w:r>
      <w:r w:rsidR="00B14C8C">
        <w:t>Pacific,</w:t>
      </w:r>
      <w:r>
        <w:t xml:space="preserve"> and Asian people ($9,200, $8,940 and $8,050 per person per year, respectively, compared with $3,380 for New Zealand Europeans), due to earlier onset of dementia and resulting impacts on working</w:t>
      </w:r>
      <w:r w:rsidR="00D40D5C">
        <w:t>-</w:t>
      </w:r>
      <w:r w:rsidR="00B14C8C">
        <w:t>aged</w:t>
      </w:r>
      <w:r>
        <w:t xml:space="preserve"> people.</w:t>
      </w:r>
    </w:p>
    <w:p w14:paraId="2EB3EEAB" w14:textId="2EBF3CA1" w:rsidR="00EF5B5F" w:rsidRDefault="00EF5B5F" w:rsidP="00EF5B5F">
      <w:pPr>
        <w:pStyle w:val="USBodyText"/>
      </w:pPr>
      <w:r>
        <w:t xml:space="preserve">Overall, the report found that while the total economic cost per person for New Zealand Europeans ($35,250), Māori ($35,680) and Pacific peoples ($35,570) are similar, and that the total cost for Asian people ($27,650) is significantly lower, the minority groups </w:t>
      </w:r>
      <w:r w:rsidR="003079E0">
        <w:t>face</w:t>
      </w:r>
      <w:r>
        <w:t xml:space="preserve"> a greater economic disadvantage associated with dementia due to greater productivity costs and reduced use of social care.</w:t>
      </w:r>
    </w:p>
    <w:p w14:paraId="2DB15A2A" w14:textId="15D56EA1" w:rsidR="00227959" w:rsidRDefault="00227959" w:rsidP="0005646B">
      <w:pPr>
        <w:pStyle w:val="Heading3"/>
      </w:pPr>
      <w:r>
        <w:lastRenderedPageBreak/>
        <w:t>Arthritis</w:t>
      </w:r>
    </w:p>
    <w:p w14:paraId="5785C70C" w14:textId="23EFDB3C" w:rsidR="0034329F" w:rsidRDefault="00227959" w:rsidP="001C0E70">
      <w:pPr>
        <w:pStyle w:val="USBodyText"/>
      </w:pPr>
      <w:r>
        <w:t xml:space="preserve">A </w:t>
      </w:r>
      <w:r w:rsidR="00F5604D" w:rsidRPr="006C337A">
        <w:rPr>
          <w:rFonts w:cs="Calibri"/>
          <w:b/>
        </w:rPr>
        <w:t>2018</w:t>
      </w:r>
      <w:r w:rsidRPr="006C337A">
        <w:rPr>
          <w:b/>
        </w:rPr>
        <w:t xml:space="preserve"> report by Deloitte Access Economics</w:t>
      </w:r>
      <w:r>
        <w:t xml:space="preserve"> estimated the economic cost of arthritis</w:t>
      </w:r>
      <w:r w:rsidR="00DF6FA2">
        <w:t xml:space="preserve"> (</w:t>
      </w:r>
      <w:r w:rsidR="00DF6FA2" w:rsidRPr="00DF6FA2">
        <w:t>including gout, rheumatoid arthritis and osteoarthritis</w:t>
      </w:r>
      <w:r w:rsidR="00DF6FA2">
        <w:t>)</w:t>
      </w:r>
      <w:r>
        <w:t xml:space="preserve"> in New Zealand in 2018</w:t>
      </w:r>
      <w:r w:rsidR="001C0E70">
        <w:t xml:space="preserve">, including </w:t>
      </w:r>
      <w:r w:rsidR="001C0E70" w:rsidRPr="001C0E70">
        <w:t>health sector costs, productivity losses</w:t>
      </w:r>
      <w:r w:rsidR="001C0E70">
        <w:t>,</w:t>
      </w:r>
      <w:r w:rsidR="001C0E70" w:rsidRPr="001C0E70">
        <w:t xml:space="preserve"> </w:t>
      </w:r>
      <w:r w:rsidR="001C0E70">
        <w:t>caregiver costs</w:t>
      </w:r>
      <w:r w:rsidR="001C0E70" w:rsidRPr="001C0E70">
        <w:t xml:space="preserve">, </w:t>
      </w:r>
      <w:r w:rsidR="001C0E70">
        <w:t>and</w:t>
      </w:r>
      <w:r w:rsidR="001C0E70" w:rsidRPr="001C0E70">
        <w:t xml:space="preserve"> loss of wellbeing</w:t>
      </w:r>
      <w:r w:rsidR="006E5941">
        <w:t xml:space="preserve"> (in terms of DALYs)</w:t>
      </w:r>
      <w:r w:rsidR="0034329F">
        <w:t>.</w:t>
      </w:r>
    </w:p>
    <w:p w14:paraId="61CEB9E7" w14:textId="3BA6ACBC" w:rsidR="001C0E70" w:rsidRPr="001C0E70" w:rsidRDefault="0034329F" w:rsidP="001C0E70">
      <w:pPr>
        <w:pStyle w:val="USBodyText"/>
      </w:pPr>
      <w:r>
        <w:t xml:space="preserve">The study based </w:t>
      </w:r>
      <w:r w:rsidR="000716C4">
        <w:t xml:space="preserve">prevalence </w:t>
      </w:r>
      <w:r>
        <w:t xml:space="preserve">estimates on </w:t>
      </w:r>
      <w:r w:rsidR="000716C4">
        <w:t>the 2016-17 New Zealand Health Survey data</w:t>
      </w:r>
      <w:r w:rsidR="009E3380">
        <w:t>, except for gout</w:t>
      </w:r>
      <w:r w:rsidR="00F92F3C">
        <w:t>,</w:t>
      </w:r>
      <w:r w:rsidR="009E3380">
        <w:t xml:space="preserve"> which </w:t>
      </w:r>
      <w:r w:rsidR="00AC7D18">
        <w:t>was based on HQSC data.</w:t>
      </w:r>
      <w:r w:rsidR="002B3945">
        <w:t xml:space="preserve"> DALYs were valued using the value of a </w:t>
      </w:r>
      <w:r w:rsidR="00FC1B5D">
        <w:t>statistical life (V</w:t>
      </w:r>
      <w:r w:rsidR="008B3D6B">
        <w:t>o</w:t>
      </w:r>
      <w:r w:rsidR="00FC1B5D">
        <w:t>SL)</w:t>
      </w:r>
      <w:r w:rsidR="00DD33A0">
        <w:t xml:space="preserve"> converted based on the average of 45.4 years of expected life remaining </w:t>
      </w:r>
      <w:r w:rsidR="000A3954">
        <w:t xml:space="preserve">for the average New Zealander, resulting in a value of </w:t>
      </w:r>
      <w:r w:rsidR="00FD4C59">
        <w:t>NZ</w:t>
      </w:r>
      <w:r w:rsidR="000A3954">
        <w:t>$</w:t>
      </w:r>
      <w:r w:rsidR="00147937">
        <w:t>176,480 per DALY (2018 dollars).</w:t>
      </w:r>
    </w:p>
    <w:p w14:paraId="381ADC34" w14:textId="2C2C79A5" w:rsidR="00227959" w:rsidRDefault="00A07AE7" w:rsidP="00227959">
      <w:pPr>
        <w:pStyle w:val="USBodyText"/>
      </w:pPr>
      <w:r>
        <w:t xml:space="preserve">Health system costs were estimated </w:t>
      </w:r>
      <w:r w:rsidR="007F2761">
        <w:t xml:space="preserve">using </w:t>
      </w:r>
      <w:r w:rsidR="00C21BC5">
        <w:t>a methodology describ</w:t>
      </w:r>
      <w:r w:rsidR="004F527C">
        <w:t xml:space="preserve">ed as “a collation of available information from various sources” which included </w:t>
      </w:r>
      <w:r w:rsidR="007F2761">
        <w:t xml:space="preserve">national collections data, expert opinion, </w:t>
      </w:r>
      <w:r w:rsidR="00E706FF">
        <w:t xml:space="preserve">interviews/surveys of key practitioners, </w:t>
      </w:r>
      <w:r w:rsidR="007F2761">
        <w:t xml:space="preserve">averages for length of stay and cost per stay </w:t>
      </w:r>
      <w:r w:rsidR="009730A8">
        <w:t xml:space="preserve">by collating </w:t>
      </w:r>
      <w:r w:rsidR="00DF73C5">
        <w:t>available information</w:t>
      </w:r>
      <w:r w:rsidR="005A66F2">
        <w:t xml:space="preserve"> on relevant ICD-10 codes</w:t>
      </w:r>
      <w:r w:rsidR="005C4AA2">
        <w:t>, Australian outpatient</w:t>
      </w:r>
      <w:r w:rsidR="00FA7480">
        <w:t xml:space="preserve"> costs for arthritis, </w:t>
      </w:r>
      <w:r w:rsidR="00970E13">
        <w:t xml:space="preserve">GP utilisation as reported in the NZHS, </w:t>
      </w:r>
      <w:r w:rsidR="009614D9">
        <w:t>Health Research Council research grants, medicines</w:t>
      </w:r>
      <w:r w:rsidR="007A0973">
        <w:t>,</w:t>
      </w:r>
      <w:r w:rsidR="003935B6">
        <w:t xml:space="preserve"> estimates from published studies and</w:t>
      </w:r>
      <w:r w:rsidR="0089151B">
        <w:t xml:space="preserve"> various </w:t>
      </w:r>
      <w:r w:rsidR="00997C80">
        <w:t>estimates derived for the 2005 report.</w:t>
      </w:r>
      <w:r w:rsidR="003935B6">
        <w:t xml:space="preserve"> Capital expenditure was </w:t>
      </w:r>
      <w:r w:rsidR="00F02704">
        <w:t xml:space="preserve">assumed to be 5.4 percent of total health expenditure for arthritis based on a high-level OECD </w:t>
      </w:r>
      <w:r w:rsidR="00A54003">
        <w:t>estimate.</w:t>
      </w:r>
    </w:p>
    <w:p w14:paraId="41436A5C" w14:textId="6FA5432B" w:rsidR="00D77F73" w:rsidRDefault="00D77F73" w:rsidP="00227959">
      <w:pPr>
        <w:pStyle w:val="USBodyText"/>
      </w:pPr>
      <w:r>
        <w:t>Health system costs amounted to $992.5 million in 2018, with inpatient costs, allied health costs, and outpatient costs being the major cost components (see Figure below).</w:t>
      </w:r>
    </w:p>
    <w:p w14:paraId="1F472447" w14:textId="384D253E" w:rsidR="00E33FF8" w:rsidRDefault="00E33FF8" w:rsidP="00E33FF8">
      <w:pPr>
        <w:pStyle w:val="FigureCaption"/>
      </w:pPr>
      <w:bookmarkStart w:id="93" w:name="_Toc98760548"/>
      <w:r w:rsidRPr="00E84337">
        <w:t>Figure </w:t>
      </w:r>
      <w:r w:rsidRPr="00E84337">
        <w:fldChar w:fldCharType="begin"/>
      </w:r>
      <w:r w:rsidRPr="00E84337">
        <w:instrText>SEQ Figure \* ARABIC</w:instrText>
      </w:r>
      <w:r w:rsidRPr="00E84337">
        <w:fldChar w:fldCharType="separate"/>
      </w:r>
      <w:r w:rsidR="002C631E">
        <w:rPr>
          <w:noProof/>
        </w:rPr>
        <w:t>17</w:t>
      </w:r>
      <w:r w:rsidRPr="00E84337">
        <w:fldChar w:fldCharType="end"/>
      </w:r>
      <w:r>
        <w:t xml:space="preserve"> </w:t>
      </w:r>
      <w:r w:rsidR="00B244C0">
        <w:t>Health system</w:t>
      </w:r>
      <w:r>
        <w:t xml:space="preserve"> costs of arthritis in New Zealand</w:t>
      </w:r>
      <w:bookmarkEnd w:id="93"/>
    </w:p>
    <w:p w14:paraId="651DBB2A" w14:textId="40581F43" w:rsidR="00E33FF8" w:rsidRDefault="00E33FF8" w:rsidP="00227959">
      <w:pPr>
        <w:pStyle w:val="USBodyText"/>
      </w:pPr>
      <w:r>
        <w:rPr>
          <w:noProof/>
        </w:rPr>
        <w:drawing>
          <wp:inline distT="0" distB="0" distL="0" distR="0" wp14:anchorId="792F3B9C" wp14:editId="018A6E3B">
            <wp:extent cx="5468435" cy="2571750"/>
            <wp:effectExtent l="0" t="0" r="0" b="0"/>
            <wp:docPr id="26" name="Picture 26"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
                    <pic:cNvPicPr/>
                  </pic:nvPicPr>
                  <pic:blipFill>
                    <a:blip r:embed="rId45"/>
                    <a:stretch>
                      <a:fillRect/>
                    </a:stretch>
                  </pic:blipFill>
                  <pic:spPr>
                    <a:xfrm>
                      <a:off x="0" y="0"/>
                      <a:ext cx="5470799" cy="2572862"/>
                    </a:xfrm>
                    <a:prstGeom prst="rect">
                      <a:avLst/>
                    </a:prstGeom>
                  </pic:spPr>
                </pic:pic>
              </a:graphicData>
            </a:graphic>
          </wp:inline>
        </w:drawing>
      </w:r>
    </w:p>
    <w:p w14:paraId="1EA5422C" w14:textId="70A10769" w:rsidR="00B244C0" w:rsidRDefault="00B244C0" w:rsidP="00B244C0">
      <w:pPr>
        <w:pStyle w:val="USSource"/>
      </w:pPr>
      <w:r>
        <w:t xml:space="preserve">Source: Deloitte Access Economics </w:t>
      </w:r>
      <w:r w:rsidR="00F57CA7">
        <w:t>(</w:t>
      </w:r>
      <w:r>
        <w:t>2018</w:t>
      </w:r>
      <w:r w:rsidR="00F57CA7">
        <w:t>)</w:t>
      </w:r>
    </w:p>
    <w:p w14:paraId="26286433" w14:textId="3083B95C" w:rsidR="0026505F" w:rsidRDefault="001C0E70" w:rsidP="0026505F">
      <w:pPr>
        <w:pStyle w:val="USBodyText"/>
      </w:pPr>
      <w:r w:rsidRPr="001C0E70">
        <w:t xml:space="preserve">The total cost of arthritis in New Zealand is estimated to be </w:t>
      </w:r>
      <w:r w:rsidR="002B08FB">
        <w:t>NZ</w:t>
      </w:r>
      <w:r w:rsidRPr="001C0E70">
        <w:t>$12.2 billion in 2018</w:t>
      </w:r>
      <w:r w:rsidR="00BC3413">
        <w:t xml:space="preserve">, including nearly </w:t>
      </w:r>
      <w:r w:rsidR="002B08FB">
        <w:t>NZ</w:t>
      </w:r>
      <w:r w:rsidR="00BC3413">
        <w:t xml:space="preserve">$8 billion in lost wellbeing, </w:t>
      </w:r>
      <w:r w:rsidR="002B08FB">
        <w:t>NZ</w:t>
      </w:r>
      <w:r w:rsidR="00BC3413">
        <w:t>$3.3 billion in private costs (productivity losses and caregiver costs), and less than one billion dollars of health sector costs</w:t>
      </w:r>
      <w:r w:rsidR="005B41CA">
        <w:t xml:space="preserve"> (public and private combined)</w:t>
      </w:r>
      <w:r w:rsidR="00BC3413">
        <w:t>.</w:t>
      </w:r>
    </w:p>
    <w:p w14:paraId="76436350" w14:textId="5A2693C1" w:rsidR="0094174A" w:rsidRDefault="002B08FB" w:rsidP="0094174A">
      <w:pPr>
        <w:pStyle w:val="FigureCaption"/>
      </w:pPr>
      <w:bookmarkStart w:id="94" w:name="_Toc98760549"/>
      <w:bookmarkStart w:id="95" w:name="_Hlk85793286"/>
      <w:r w:rsidRPr="00E84337">
        <w:lastRenderedPageBreak/>
        <w:t>Figure </w:t>
      </w:r>
      <w:r w:rsidRPr="00E84337">
        <w:fldChar w:fldCharType="begin"/>
      </w:r>
      <w:r w:rsidRPr="00E84337">
        <w:instrText>SEQ Figure \* ARABIC</w:instrText>
      </w:r>
      <w:r w:rsidRPr="00E84337">
        <w:fldChar w:fldCharType="separate"/>
      </w:r>
      <w:r w:rsidR="002C631E">
        <w:rPr>
          <w:noProof/>
        </w:rPr>
        <w:t>18</w:t>
      </w:r>
      <w:r w:rsidRPr="00E84337">
        <w:fldChar w:fldCharType="end"/>
      </w:r>
      <w:r>
        <w:t xml:space="preserve"> </w:t>
      </w:r>
      <w:r w:rsidR="004E76B3">
        <w:t xml:space="preserve">Breakdown of estimated 2018 costs of </w:t>
      </w:r>
      <w:r w:rsidR="00DD4B0F">
        <w:t xml:space="preserve">arthritis </w:t>
      </w:r>
      <w:r w:rsidR="004E76B3">
        <w:t>in New Zealand</w:t>
      </w:r>
      <w:bookmarkEnd w:id="94"/>
    </w:p>
    <w:bookmarkEnd w:id="95"/>
    <w:p w14:paraId="60C038B0" w14:textId="4274E6CC" w:rsidR="0094174A" w:rsidRDefault="0094174A" w:rsidP="0026505F">
      <w:pPr>
        <w:pStyle w:val="USBodyText"/>
      </w:pPr>
      <w:r>
        <w:rPr>
          <w:noProof/>
        </w:rPr>
        <w:drawing>
          <wp:inline distT="0" distB="0" distL="0" distR="0" wp14:anchorId="19C6E678" wp14:editId="030C002E">
            <wp:extent cx="4038600" cy="2884587"/>
            <wp:effectExtent l="0" t="0" r="0" b="0"/>
            <wp:docPr id="35" name="Picture 35" descr="Figure 18 Breakdown of estimated 2018 costs of arthritis in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8 Breakdown of estimated 2018 costs of arthritis in New Zealand&#10;"/>
                    <pic:cNvPicPr/>
                  </pic:nvPicPr>
                  <pic:blipFill>
                    <a:blip r:embed="rId46"/>
                    <a:stretch>
                      <a:fillRect/>
                    </a:stretch>
                  </pic:blipFill>
                  <pic:spPr>
                    <a:xfrm>
                      <a:off x="0" y="0"/>
                      <a:ext cx="4053241" cy="2895045"/>
                    </a:xfrm>
                    <a:prstGeom prst="rect">
                      <a:avLst/>
                    </a:prstGeom>
                  </pic:spPr>
                </pic:pic>
              </a:graphicData>
            </a:graphic>
          </wp:inline>
        </w:drawing>
      </w:r>
    </w:p>
    <w:p w14:paraId="46DF3B76" w14:textId="3734FE72" w:rsidR="0094174A" w:rsidRDefault="0094174A" w:rsidP="00BC325B">
      <w:pPr>
        <w:pStyle w:val="USSource"/>
      </w:pPr>
      <w:bookmarkStart w:id="96" w:name="_Hlk85793309"/>
      <w:r>
        <w:t>Source: Deloitte Access Economics</w:t>
      </w:r>
      <w:r w:rsidR="00B8119D">
        <w:t xml:space="preserve"> </w:t>
      </w:r>
      <w:r w:rsidR="00E24B38">
        <w:t>(</w:t>
      </w:r>
      <w:r>
        <w:t>2018</w:t>
      </w:r>
      <w:r w:rsidR="00E24B38">
        <w:t>)</w:t>
      </w:r>
    </w:p>
    <w:bookmarkEnd w:id="96"/>
    <w:p w14:paraId="2F5CAEA5" w14:textId="0712278C" w:rsidR="00B63518" w:rsidRDefault="00B63518" w:rsidP="00B63518">
      <w:pPr>
        <w:pStyle w:val="USBodyText"/>
      </w:pPr>
      <w:r>
        <w:t>Costs for gout, osteoarthritis and rheumatoid arthritis were not separately estimated</w:t>
      </w:r>
      <w:r w:rsidR="00C83DE2">
        <w:t xml:space="preserve">, except for the loss of wellbeing cost where rheumatoid arthritis and osteoarthritis </w:t>
      </w:r>
      <w:r w:rsidR="0015293C">
        <w:t>account for the bulk of total costs (see Figure below).</w:t>
      </w:r>
    </w:p>
    <w:p w14:paraId="4438805D" w14:textId="28F31914" w:rsidR="005B674A" w:rsidRDefault="005B674A" w:rsidP="005B674A">
      <w:pPr>
        <w:pStyle w:val="FigureCaption"/>
      </w:pPr>
      <w:bookmarkStart w:id="97" w:name="_Toc98760550"/>
      <w:bookmarkStart w:id="98" w:name="_Hlk93659663"/>
      <w:r w:rsidRPr="00E84337">
        <w:t>Figure </w:t>
      </w:r>
      <w:r w:rsidRPr="00E84337">
        <w:fldChar w:fldCharType="begin"/>
      </w:r>
      <w:r w:rsidRPr="00E84337">
        <w:instrText>SEQ Figure \* ARABIC</w:instrText>
      </w:r>
      <w:r w:rsidRPr="00E84337">
        <w:fldChar w:fldCharType="separate"/>
      </w:r>
      <w:r w:rsidR="002C631E">
        <w:rPr>
          <w:noProof/>
        </w:rPr>
        <w:t>19</w:t>
      </w:r>
      <w:r w:rsidRPr="00E84337">
        <w:fldChar w:fldCharType="end"/>
      </w:r>
      <w:r>
        <w:t xml:space="preserve"> Breakdown of estimated 2018 costs of arthritis in New Zealand</w:t>
      </w:r>
      <w:bookmarkEnd w:id="97"/>
    </w:p>
    <w:bookmarkEnd w:id="98"/>
    <w:p w14:paraId="36922269" w14:textId="1B8A0C68" w:rsidR="0015293C" w:rsidRDefault="005B674A" w:rsidP="00B63518">
      <w:pPr>
        <w:pStyle w:val="USBodyText"/>
      </w:pPr>
      <w:r>
        <w:rPr>
          <w:noProof/>
        </w:rPr>
        <w:drawing>
          <wp:inline distT="0" distB="0" distL="0" distR="0" wp14:anchorId="41539B05" wp14:editId="35FC7483">
            <wp:extent cx="5241961" cy="2466975"/>
            <wp:effectExtent l="0" t="0" r="0" b="0"/>
            <wp:docPr id="2" name="Picture 2" descr="Figure 19 Breakdown of estimated 2018 costs of arthritis in New Zea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9 Breakdown of estimated 2018 costs of arthritis in New Zealand&#10;&#10;"/>
                    <pic:cNvPicPr/>
                  </pic:nvPicPr>
                  <pic:blipFill>
                    <a:blip r:embed="rId47"/>
                    <a:stretch>
                      <a:fillRect/>
                    </a:stretch>
                  </pic:blipFill>
                  <pic:spPr>
                    <a:xfrm>
                      <a:off x="0" y="0"/>
                      <a:ext cx="5247407" cy="2469538"/>
                    </a:xfrm>
                    <a:prstGeom prst="rect">
                      <a:avLst/>
                    </a:prstGeom>
                  </pic:spPr>
                </pic:pic>
              </a:graphicData>
            </a:graphic>
          </wp:inline>
        </w:drawing>
      </w:r>
    </w:p>
    <w:p w14:paraId="1A0AC5A1" w14:textId="4170BA10" w:rsidR="005B674A" w:rsidRDefault="005B674A" w:rsidP="005B674A">
      <w:pPr>
        <w:pStyle w:val="USSource"/>
      </w:pPr>
      <w:r>
        <w:t xml:space="preserve">Source: Deloitte Access Economics </w:t>
      </w:r>
      <w:r w:rsidR="00F57CA7">
        <w:t>(</w:t>
      </w:r>
      <w:r>
        <w:t>2018</w:t>
      </w:r>
      <w:r w:rsidR="00F57CA7">
        <w:t>)</w:t>
      </w:r>
    </w:p>
    <w:p w14:paraId="3986BEB3" w14:textId="07ECE561" w:rsidR="008D23F0" w:rsidRDefault="008D23F0" w:rsidP="0005646B">
      <w:pPr>
        <w:pStyle w:val="Heading3"/>
      </w:pPr>
      <w:r>
        <w:t>Asthma</w:t>
      </w:r>
    </w:p>
    <w:p w14:paraId="590FDEAE" w14:textId="69FD9240" w:rsidR="002E406D" w:rsidRPr="000F42F5" w:rsidRDefault="00516752" w:rsidP="009F6FD5">
      <w:pPr>
        <w:pStyle w:val="USBodyText"/>
      </w:pPr>
      <w:r>
        <w:rPr>
          <w:b/>
          <w:bCs/>
        </w:rPr>
        <w:t>Telfar Barnard et al</w:t>
      </w:r>
      <w:r w:rsidR="00FB49B7" w:rsidRPr="004A10B3">
        <w:rPr>
          <w:b/>
          <w:bCs/>
        </w:rPr>
        <w:t>.</w:t>
      </w:r>
      <w:r w:rsidRPr="004A10B3">
        <w:rPr>
          <w:b/>
          <w:bCs/>
        </w:rPr>
        <w:t xml:space="preserve"> (</w:t>
      </w:r>
      <w:r w:rsidR="00DD4B0F" w:rsidRPr="00BC325B">
        <w:rPr>
          <w:rFonts w:cs="Calibri"/>
          <w:b/>
          <w:bCs/>
        </w:rPr>
        <w:t>2015</w:t>
      </w:r>
      <w:r w:rsidRPr="004A10B3">
        <w:rPr>
          <w:b/>
          <w:bCs/>
        </w:rPr>
        <w:t>)</w:t>
      </w:r>
      <w:r>
        <w:rPr>
          <w:b/>
          <w:bCs/>
        </w:rPr>
        <w:t xml:space="preserve"> </w:t>
      </w:r>
      <w:r w:rsidR="006845BF" w:rsidRPr="000F42F5">
        <w:t>reported incidence</w:t>
      </w:r>
      <w:r w:rsidR="00F62C27" w:rsidRPr="000F42F5">
        <w:t>, prevalence, risk and determinants, and costs using data on pharmaceutical prescriptions</w:t>
      </w:r>
      <w:r w:rsidR="00790E49" w:rsidRPr="000F42F5">
        <w:t xml:space="preserve">, hospitalisations, and mortality from 2000 to 2013. </w:t>
      </w:r>
    </w:p>
    <w:p w14:paraId="696D49B2" w14:textId="33930849" w:rsidR="00790E49" w:rsidRPr="000F42F5" w:rsidRDefault="00790E49" w:rsidP="0019323F">
      <w:pPr>
        <w:pStyle w:val="USBodyText"/>
      </w:pPr>
      <w:r w:rsidRPr="000F42F5">
        <w:lastRenderedPageBreak/>
        <w:t xml:space="preserve">The study found that hospitalisation rates increased over the study period for </w:t>
      </w:r>
      <w:r w:rsidR="0019323F" w:rsidRPr="000F42F5">
        <w:t>bronchiectasis, childhood bronchiolitis and total respiratory disease, while rates remained constant for asthma and COPD. Hospitalisation rates for childhood pneumonia declined over the study period.</w:t>
      </w:r>
      <w:r w:rsidR="00067936" w:rsidRPr="000F42F5">
        <w:t xml:space="preserve"> </w:t>
      </w:r>
      <w:r w:rsidR="00DD4B0F" w:rsidRPr="000F42F5">
        <w:t>Morta</w:t>
      </w:r>
      <w:r w:rsidR="00DD4B0F">
        <w:t>li</w:t>
      </w:r>
      <w:r w:rsidR="00DD4B0F" w:rsidRPr="000F42F5">
        <w:t>ty</w:t>
      </w:r>
      <w:r w:rsidR="00067936" w:rsidRPr="000F42F5">
        <w:t xml:space="preserve"> rates declined or remained constant, with asthma mortality being in the latter category with COPD</w:t>
      </w:r>
      <w:r w:rsidR="00DE08D6" w:rsidRPr="000F42F5">
        <w:t>.</w:t>
      </w:r>
    </w:p>
    <w:p w14:paraId="00DA2C03" w14:textId="2AB1B8A7" w:rsidR="00DE08D6" w:rsidRPr="000F42F5" w:rsidRDefault="00DE08D6" w:rsidP="00DE08D6">
      <w:pPr>
        <w:pStyle w:val="USBodyText"/>
      </w:pPr>
      <w:r w:rsidRPr="000F42F5">
        <w:t>Ethnic and socioeconomic inequalities were observed, with Pacific people’s respiratory health being consistently poorest</w:t>
      </w:r>
      <w:r w:rsidR="00816122" w:rsidRPr="000F42F5">
        <w:t xml:space="preserve"> across all indicators, except for COPD</w:t>
      </w:r>
      <w:r w:rsidR="00DD4B0F">
        <w:t>,</w:t>
      </w:r>
      <w:r w:rsidR="00816122" w:rsidRPr="000F42F5">
        <w:t xml:space="preserve"> where </w:t>
      </w:r>
      <w:r w:rsidR="00DD4B0F">
        <w:t>Māori</w:t>
      </w:r>
      <w:r w:rsidR="00816122" w:rsidRPr="000F42F5">
        <w:t xml:space="preserve"> experienced higher rates. </w:t>
      </w:r>
    </w:p>
    <w:p w14:paraId="466FB999" w14:textId="2FD95B93" w:rsidR="00672E8C" w:rsidRPr="000F42F5" w:rsidRDefault="00672E8C" w:rsidP="00672E8C">
      <w:pPr>
        <w:pStyle w:val="USBodyText"/>
      </w:pPr>
      <w:r w:rsidRPr="000F42F5">
        <w:t xml:space="preserve">Medicated asthma prevalence remained constant for the study period in both adults and children. Asthma mortality rates, however, declined to 1.6 deaths per 100,000 in 2011, </w:t>
      </w:r>
      <w:r w:rsidR="00CD5FD3" w:rsidRPr="000F42F5">
        <w:t>from</w:t>
      </w:r>
      <w:r w:rsidRPr="000F42F5">
        <w:t xml:space="preserve"> 1.9 in 2000. </w:t>
      </w:r>
      <w:r w:rsidR="00CD5FD3" w:rsidRPr="000F42F5">
        <w:t>Asthma p</w:t>
      </w:r>
      <w:r w:rsidRPr="000F42F5">
        <w:t xml:space="preserve">revalence, hospitalisation and mortality were significantly higher in Māori, and in more socioeconomically deprived </w:t>
      </w:r>
      <w:r w:rsidR="00CD5FD3" w:rsidRPr="000F42F5">
        <w:t xml:space="preserve">areas, with </w:t>
      </w:r>
      <w:r w:rsidR="00F31EF9" w:rsidRPr="000F42F5">
        <w:t>asthma ho</w:t>
      </w:r>
      <w:r w:rsidRPr="000F42F5">
        <w:t xml:space="preserve">spitalisation rates </w:t>
      </w:r>
      <w:r w:rsidR="00F31EF9" w:rsidRPr="000F42F5">
        <w:t>over three</w:t>
      </w:r>
      <w:r w:rsidRPr="000F42F5">
        <w:t xml:space="preserve"> times higher in NZDep2006 quintile</w:t>
      </w:r>
      <w:r w:rsidR="00F31EF9" w:rsidRPr="000F42F5">
        <w:t>s</w:t>
      </w:r>
      <w:r w:rsidRPr="000F42F5">
        <w:t xml:space="preserve"> 9</w:t>
      </w:r>
      <w:r w:rsidR="00905388" w:rsidRPr="000F42F5">
        <w:t xml:space="preserve"> and </w:t>
      </w:r>
      <w:r w:rsidRPr="000F42F5">
        <w:t xml:space="preserve">10, and </w:t>
      </w:r>
      <w:r w:rsidR="00905388" w:rsidRPr="000F42F5">
        <w:t>twice as high</w:t>
      </w:r>
      <w:r w:rsidRPr="000F42F5">
        <w:t xml:space="preserve"> in NZDep2006 quintile</w:t>
      </w:r>
      <w:r w:rsidR="00905388" w:rsidRPr="000F42F5">
        <w:t>s</w:t>
      </w:r>
      <w:r w:rsidRPr="000F42F5">
        <w:t xml:space="preserve"> 7</w:t>
      </w:r>
      <w:r w:rsidR="00905388" w:rsidRPr="000F42F5">
        <w:t xml:space="preserve"> and </w:t>
      </w:r>
      <w:r w:rsidRPr="000F42F5">
        <w:t xml:space="preserve">8, compared </w:t>
      </w:r>
      <w:r w:rsidR="00905388" w:rsidRPr="000F42F5">
        <w:t>with</w:t>
      </w:r>
      <w:r w:rsidRPr="000F42F5">
        <w:t xml:space="preserve"> NZDep2006 quintile</w:t>
      </w:r>
      <w:r w:rsidR="00905388" w:rsidRPr="000F42F5">
        <w:t>s 1 and 2</w:t>
      </w:r>
      <w:r w:rsidRPr="000F42F5">
        <w:t xml:space="preserve">. </w:t>
      </w:r>
    </w:p>
    <w:p w14:paraId="2FF5411E" w14:textId="7BDD3A46" w:rsidR="005A4862" w:rsidRPr="000F42F5" w:rsidRDefault="005A4862" w:rsidP="004D3EEA">
      <w:pPr>
        <w:pStyle w:val="USBodyText"/>
      </w:pPr>
      <w:r w:rsidRPr="000F42F5">
        <w:t xml:space="preserve">Costs were estimated from </w:t>
      </w:r>
      <w:r w:rsidR="003D1245" w:rsidRPr="000F42F5">
        <w:t>a societal</w:t>
      </w:r>
      <w:r w:rsidRPr="000F42F5">
        <w:t xml:space="preserve"> perspective, including both public and private </w:t>
      </w:r>
      <w:r w:rsidR="003D1245" w:rsidRPr="000F42F5">
        <w:t xml:space="preserve">health </w:t>
      </w:r>
      <w:r w:rsidRPr="000F42F5">
        <w:t xml:space="preserve">costs </w:t>
      </w:r>
      <w:r w:rsidR="003D1245" w:rsidRPr="000F42F5">
        <w:t>as well as the cost of days off school, days off work</w:t>
      </w:r>
      <w:r w:rsidR="00F70A47" w:rsidRPr="000F42F5">
        <w:t>.</w:t>
      </w:r>
    </w:p>
    <w:p w14:paraId="68DF9E5C" w14:textId="19C641ED" w:rsidR="005A4862" w:rsidRPr="000F42F5" w:rsidRDefault="004D3EEA" w:rsidP="004D3EEA">
      <w:pPr>
        <w:pStyle w:val="USBodyText"/>
      </w:pPr>
      <w:r w:rsidRPr="004D3EEA">
        <w:t xml:space="preserve">Private costs </w:t>
      </w:r>
      <w:r w:rsidRPr="000F42F5">
        <w:t>associated with as</w:t>
      </w:r>
      <w:r w:rsidR="00D97174" w:rsidRPr="000F42F5">
        <w:t>thma were</w:t>
      </w:r>
      <w:r w:rsidRPr="004D3EEA">
        <w:t xml:space="preserve"> estimated using pharmaceutical data</w:t>
      </w:r>
      <w:r w:rsidR="00D97174" w:rsidRPr="000F42F5">
        <w:t xml:space="preserve"> only</w:t>
      </w:r>
      <w:r w:rsidRPr="004D3EEA">
        <w:t xml:space="preserve">. </w:t>
      </w:r>
      <w:r w:rsidR="00D97174" w:rsidRPr="000F42F5">
        <w:t xml:space="preserve">Individuals who </w:t>
      </w:r>
      <w:r w:rsidR="008A328F" w:rsidRPr="000F42F5">
        <w:t xml:space="preserve">were dispensed pharmaceuticals for asthma were assumed to pay a </w:t>
      </w:r>
      <w:r w:rsidR="00611E51">
        <w:t>‘</w:t>
      </w:r>
      <w:r w:rsidRPr="004D3EEA">
        <w:t>patient contribution</w:t>
      </w:r>
      <w:r w:rsidR="00611E51">
        <w:t>’</w:t>
      </w:r>
      <w:r w:rsidR="00611E51" w:rsidRPr="004D3EEA">
        <w:t xml:space="preserve"> </w:t>
      </w:r>
      <w:r w:rsidR="008A328F" w:rsidRPr="000F42F5">
        <w:t xml:space="preserve">as </w:t>
      </w:r>
      <w:r w:rsidRPr="004D3EEA">
        <w:t xml:space="preserve">recorded in the data, </w:t>
      </w:r>
      <w:r w:rsidR="008A328F" w:rsidRPr="000F42F5">
        <w:t>as well as paying for a GP visit for every non-repeat prescription</w:t>
      </w:r>
      <w:r w:rsidR="00A00524" w:rsidRPr="000F42F5">
        <w:t xml:space="preserve"> with costs estimated based on </w:t>
      </w:r>
      <w:r w:rsidRPr="004D3EEA">
        <w:t xml:space="preserve">New Zealand Health Survey 2011/12 </w:t>
      </w:r>
      <w:r w:rsidR="00A00524" w:rsidRPr="000F42F5">
        <w:t>data</w:t>
      </w:r>
      <w:r w:rsidRPr="004D3EEA">
        <w:t>.</w:t>
      </w:r>
    </w:p>
    <w:p w14:paraId="1A6E8F6A" w14:textId="04A0AB14" w:rsidR="009C645B" w:rsidRPr="000F42F5" w:rsidRDefault="004D3EEA" w:rsidP="004D3EEA">
      <w:pPr>
        <w:pStyle w:val="USBodyText"/>
      </w:pPr>
      <w:r w:rsidRPr="004D3EEA">
        <w:t xml:space="preserve">Public costs </w:t>
      </w:r>
      <w:r w:rsidR="00F70A47" w:rsidRPr="000F42F5">
        <w:t xml:space="preserve">were </w:t>
      </w:r>
      <w:r w:rsidRPr="004D3EEA">
        <w:t xml:space="preserve">estimated using pharmaceutical, </w:t>
      </w:r>
      <w:r w:rsidR="00BC325B">
        <w:t>emergency department</w:t>
      </w:r>
      <w:r w:rsidR="009C645B" w:rsidRPr="000F42F5">
        <w:t xml:space="preserve">, outpatient, </w:t>
      </w:r>
      <w:r w:rsidR="003079E0" w:rsidRPr="004D3EEA">
        <w:t>hospitalisation,</w:t>
      </w:r>
      <w:r w:rsidRPr="004D3EEA">
        <w:t xml:space="preserve"> and mortality data</w:t>
      </w:r>
      <w:r w:rsidR="00F70A47" w:rsidRPr="000F42F5">
        <w:t xml:space="preserve">. </w:t>
      </w:r>
    </w:p>
    <w:p w14:paraId="762CFD28" w14:textId="1752F816" w:rsidR="004D3EEA" w:rsidRPr="000F42F5" w:rsidRDefault="004D3EEA" w:rsidP="004D3EEA">
      <w:pPr>
        <w:pStyle w:val="USBodyText"/>
      </w:pPr>
      <w:r w:rsidRPr="004D3EEA">
        <w:t xml:space="preserve">Mortality costs </w:t>
      </w:r>
      <w:r w:rsidR="003D1245" w:rsidRPr="000F42F5">
        <w:t>we</w:t>
      </w:r>
      <w:r w:rsidRPr="004D3EEA">
        <w:t xml:space="preserve">re estimated from years of life lost based on average life expectancy at </w:t>
      </w:r>
      <w:r w:rsidR="00611E51">
        <w:t>the</w:t>
      </w:r>
      <w:r w:rsidRPr="004D3EEA">
        <w:t xml:space="preserve"> age of death, multiplied by a value per life year of </w:t>
      </w:r>
      <w:r w:rsidR="00611E51">
        <w:t>NZ</w:t>
      </w:r>
      <w:r w:rsidRPr="004D3EEA">
        <w:t xml:space="preserve">$150,000. </w:t>
      </w:r>
      <w:r w:rsidR="007C0A04" w:rsidRPr="000F42F5">
        <w:t xml:space="preserve">Years of life lost to disability (YLDs) were estimated based on figures from a previously published report with adjustment for population growth and an updated value </w:t>
      </w:r>
      <w:r w:rsidR="008D4797" w:rsidRPr="000F42F5">
        <w:t>for a year of life</w:t>
      </w:r>
      <w:r w:rsidR="007C0A04" w:rsidRPr="000F42F5">
        <w:t>.</w:t>
      </w:r>
    </w:p>
    <w:p w14:paraId="5F31F2C1" w14:textId="71999D51" w:rsidR="006A18F7" w:rsidRPr="004D3EEA" w:rsidRDefault="003079E0" w:rsidP="006E291C">
      <w:pPr>
        <w:pStyle w:val="USBodyText"/>
      </w:pPr>
      <w:r>
        <w:t>Overall,</w:t>
      </w:r>
      <w:r w:rsidR="001417EC">
        <w:t xml:space="preserve"> the cost of asthma to New Zea</w:t>
      </w:r>
      <w:r w:rsidR="006E291C">
        <w:t>l</w:t>
      </w:r>
      <w:r w:rsidR="001417EC">
        <w:t xml:space="preserve">and was estimated at </w:t>
      </w:r>
      <w:r w:rsidR="000010F7">
        <w:t>NZ</w:t>
      </w:r>
      <w:r w:rsidR="001417EC">
        <w:t xml:space="preserve">$799,652,689. See </w:t>
      </w:r>
      <w:r w:rsidR="000010F7">
        <w:fldChar w:fldCharType="begin"/>
      </w:r>
      <w:r w:rsidR="000010F7">
        <w:instrText xml:space="preserve"> REF _Ref85632150 \h </w:instrText>
      </w:r>
      <w:r w:rsidR="000010F7">
        <w:fldChar w:fldCharType="separate"/>
      </w:r>
      <w:r w:rsidR="002C631E" w:rsidRPr="00D1180A">
        <w:t xml:space="preserve">Table </w:t>
      </w:r>
      <w:r w:rsidR="002C631E">
        <w:rPr>
          <w:noProof/>
        </w:rPr>
        <w:t>10</w:t>
      </w:r>
      <w:r w:rsidR="000010F7">
        <w:fldChar w:fldCharType="end"/>
      </w:r>
      <w:r w:rsidR="001417EC">
        <w:t xml:space="preserve"> below for the </w:t>
      </w:r>
      <w:r w:rsidR="006E291C">
        <w:t>cost breakdown.</w:t>
      </w:r>
    </w:p>
    <w:p w14:paraId="2A02AB97" w14:textId="0FF8B719" w:rsidR="00DE08D6" w:rsidRDefault="000010F7" w:rsidP="00BC325B">
      <w:pPr>
        <w:pStyle w:val="TableCaption"/>
      </w:pPr>
      <w:bookmarkStart w:id="99" w:name="_Ref85632150"/>
      <w:bookmarkStart w:id="100" w:name="_Toc98760574"/>
      <w:r w:rsidRPr="00D1180A">
        <w:t xml:space="preserve">Table </w:t>
      </w:r>
      <w:r w:rsidR="00443CD7">
        <w:fldChar w:fldCharType="begin"/>
      </w:r>
      <w:r w:rsidR="00443CD7">
        <w:instrText xml:space="preserve"> SEQ Table \* ARABIC </w:instrText>
      </w:r>
      <w:r w:rsidR="00443CD7">
        <w:fldChar w:fldCharType="separate"/>
      </w:r>
      <w:r w:rsidR="002C631E">
        <w:rPr>
          <w:noProof/>
        </w:rPr>
        <w:t>10</w:t>
      </w:r>
      <w:r w:rsidR="00443CD7">
        <w:rPr>
          <w:noProof/>
        </w:rPr>
        <w:fldChar w:fldCharType="end"/>
      </w:r>
      <w:bookmarkEnd w:id="99"/>
      <w:r>
        <w:t xml:space="preserve"> </w:t>
      </w:r>
      <w:r w:rsidR="00AA1692">
        <w:t>Estimated cost of asthma</w:t>
      </w:r>
      <w:r w:rsidR="00B707BB">
        <w:t xml:space="preserve"> in New Zealand</w:t>
      </w:r>
      <w:bookmarkEnd w:id="100"/>
    </w:p>
    <w:p w14:paraId="21DD7E2C" w14:textId="1937C134" w:rsidR="00AA1692" w:rsidRDefault="00AA1692" w:rsidP="00AA1692">
      <w:pPr>
        <w:pStyle w:val="USBodyText"/>
      </w:pPr>
      <w:r>
        <w:rPr>
          <w:noProof/>
        </w:rPr>
        <w:drawing>
          <wp:inline distT="0" distB="0" distL="0" distR="0" wp14:anchorId="0FBFE0D4" wp14:editId="7B2FCFCA">
            <wp:extent cx="4933950" cy="1879808"/>
            <wp:effectExtent l="0" t="0" r="0" b="6350"/>
            <wp:docPr id="38" name="Picture 38"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
                    <pic:cNvPicPr/>
                  </pic:nvPicPr>
                  <pic:blipFill>
                    <a:blip r:embed="rId48"/>
                    <a:stretch>
                      <a:fillRect/>
                    </a:stretch>
                  </pic:blipFill>
                  <pic:spPr>
                    <a:xfrm>
                      <a:off x="0" y="0"/>
                      <a:ext cx="4950020" cy="1885931"/>
                    </a:xfrm>
                    <a:prstGeom prst="rect">
                      <a:avLst/>
                    </a:prstGeom>
                  </pic:spPr>
                </pic:pic>
              </a:graphicData>
            </a:graphic>
          </wp:inline>
        </w:drawing>
      </w:r>
    </w:p>
    <w:p w14:paraId="0AFBA449" w14:textId="4FEC5DF2" w:rsidR="00B707BB" w:rsidRDefault="00B707BB" w:rsidP="00BC325B">
      <w:pPr>
        <w:pStyle w:val="USSource"/>
      </w:pPr>
      <w:r w:rsidRPr="00365501">
        <w:t xml:space="preserve">Source: </w:t>
      </w:r>
      <w:r w:rsidR="00A3651B" w:rsidRPr="00365501">
        <w:t xml:space="preserve">Telfar Barnard et al. </w:t>
      </w:r>
      <w:r w:rsidR="00B31F92">
        <w:t>(</w:t>
      </w:r>
      <w:r w:rsidR="00A3651B" w:rsidRPr="00365501">
        <w:t>2015</w:t>
      </w:r>
      <w:r w:rsidR="00B31F92">
        <w:t>)</w:t>
      </w:r>
    </w:p>
    <w:p w14:paraId="376FCC49" w14:textId="64A76F00" w:rsidR="00774F54" w:rsidRDefault="008D23F0" w:rsidP="009F6FD5">
      <w:pPr>
        <w:pStyle w:val="USBodyText"/>
      </w:pPr>
      <w:r w:rsidRPr="0026505F">
        <w:rPr>
          <w:b/>
          <w:bCs/>
        </w:rPr>
        <w:lastRenderedPageBreak/>
        <w:t>Carswell et al. (</w:t>
      </w:r>
      <w:r w:rsidR="00F90CD3" w:rsidRPr="00BC325B">
        <w:rPr>
          <w:rFonts w:cs="Calibri"/>
          <w:b/>
          <w:bCs/>
        </w:rPr>
        <w:t>2015</w:t>
      </w:r>
      <w:r w:rsidR="00DB0CD7" w:rsidRPr="004A10B3">
        <w:rPr>
          <w:b/>
          <w:bCs/>
        </w:rPr>
        <w:t>)</w:t>
      </w:r>
      <w:r w:rsidR="00DB0CD7" w:rsidRPr="00BC325B">
        <w:rPr>
          <w:b/>
          <w:bCs/>
        </w:rPr>
        <w:t xml:space="preserve"> </w:t>
      </w:r>
      <w:r w:rsidR="00DB0CD7">
        <w:t xml:space="preserve">estimated the </w:t>
      </w:r>
      <w:r w:rsidR="00FB6D97">
        <w:t xml:space="preserve">non-healthcare costs </w:t>
      </w:r>
      <w:r w:rsidR="00774F54" w:rsidRPr="00774F54">
        <w:t>of childhood hospitalisations for asthma</w:t>
      </w:r>
      <w:r w:rsidR="00774F54">
        <w:t xml:space="preserve">, including </w:t>
      </w:r>
      <w:r w:rsidR="00192F68">
        <w:t>parents’ expenses, time o</w:t>
      </w:r>
      <w:r w:rsidR="00DB66ED">
        <w:t>f</w:t>
      </w:r>
      <w:r w:rsidR="00192F68">
        <w:t xml:space="preserve">f work and intangible costs such as stress and anxiety. </w:t>
      </w:r>
    </w:p>
    <w:p w14:paraId="0874D0DF" w14:textId="450BAC81" w:rsidR="00033F0E" w:rsidRDefault="00774F54" w:rsidP="00774F54">
      <w:pPr>
        <w:pStyle w:val="USBodyText"/>
        <w:rPr>
          <w:rFonts w:ascii="NimbusRomNo9L-Regu" w:hAnsi="NimbusRomNo9L-Regu" w:cs="NimbusRomNo9L-Regu"/>
          <w:sz w:val="20"/>
          <w:szCs w:val="20"/>
        </w:rPr>
      </w:pPr>
      <w:r>
        <w:t xml:space="preserve">Direct healthcare costs of hospitalisation used for contextualisation of the non-healthcare costs were derived from </w:t>
      </w:r>
      <w:r w:rsidR="006319FB" w:rsidRPr="006319FB">
        <w:rPr>
          <w:rFonts w:cs="Calibri"/>
        </w:rPr>
        <w:t xml:space="preserve">Telfar Barnard et al. </w:t>
      </w:r>
      <w:r w:rsidR="006319FB">
        <w:rPr>
          <w:rFonts w:cs="Calibri"/>
        </w:rPr>
        <w:t>(</w:t>
      </w:r>
      <w:r w:rsidR="006319FB" w:rsidRPr="006319FB">
        <w:rPr>
          <w:rFonts w:cs="Calibri"/>
        </w:rPr>
        <w:t>2015)</w:t>
      </w:r>
      <w:r w:rsidR="006319FB">
        <w:t xml:space="preserve"> a</w:t>
      </w:r>
      <w:r w:rsidR="00A039C9">
        <w:t xml:space="preserve">nd quoted as </w:t>
      </w:r>
      <w:r w:rsidR="006319FB">
        <w:t>NZ</w:t>
      </w:r>
      <w:r w:rsidR="00A039C9">
        <w:t>$2,026.04 per hospitalisation (</w:t>
      </w:r>
      <w:r w:rsidR="006319FB">
        <w:t>NZ</w:t>
      </w:r>
      <w:r w:rsidR="00A039C9">
        <w:t>$1.397.24 per day of hospitalisation</w:t>
      </w:r>
      <w:r w:rsidR="00FA416E">
        <w:t xml:space="preserve"> based on the average length of stay for such hospitalisations of 1.45 days)</w:t>
      </w:r>
      <w:r w:rsidR="00285AC2">
        <w:t>.</w:t>
      </w:r>
      <w:r w:rsidR="00285AC2" w:rsidRPr="00285AC2">
        <w:rPr>
          <w:rFonts w:ascii="NimbusRomNo9L-Regu" w:hAnsi="NimbusRomNo9L-Regu" w:cs="NimbusRomNo9L-Regu"/>
          <w:sz w:val="20"/>
          <w:szCs w:val="20"/>
        </w:rPr>
        <w:t xml:space="preserve"> </w:t>
      </w:r>
    </w:p>
    <w:p w14:paraId="108F21B7" w14:textId="73C53300" w:rsidR="00033F0E" w:rsidRDefault="006319FB" w:rsidP="00033F0E">
      <w:pPr>
        <w:pStyle w:val="USBodyText"/>
      </w:pPr>
      <w:r>
        <w:t>Non-</w:t>
      </w:r>
      <w:r w:rsidR="00033F0E">
        <w:t>healthcare c</w:t>
      </w:r>
      <w:r w:rsidR="00033F0E" w:rsidRPr="00033F0E">
        <w:t xml:space="preserve">ost data was obtained from expenditure and </w:t>
      </w:r>
      <w:r w:rsidR="009C4F91">
        <w:t>WTP</w:t>
      </w:r>
      <w:r w:rsidR="00033F0E" w:rsidRPr="00033F0E">
        <w:t xml:space="preserve"> surveys of parents of hospitalised children. Parents were asked to recall the direct costs to them of the most recent hospitalisation event for a child, including time off work, transport, parking, childcare, accommodation, </w:t>
      </w:r>
      <w:r w:rsidR="007D3024" w:rsidRPr="00033F0E">
        <w:t>food,</w:t>
      </w:r>
      <w:r w:rsidR="00033F0E" w:rsidRPr="00033F0E">
        <w:t xml:space="preserve"> and miscellaneous costs. The cost of a day off school was assumed to be the average cost to the Ministry of Education for a day of schooling for a child. Participants were asked how much they would be willing to pay to avoid the stress and anxiety associated with </w:t>
      </w:r>
      <w:r w:rsidR="00454878">
        <w:t>a</w:t>
      </w:r>
      <w:r w:rsidR="00033F0E" w:rsidRPr="00033F0E">
        <w:t xml:space="preserve"> 24-hour hospitalisation of their child for asthma. The median non-healthcare cost of hospitalisations was estimated at </w:t>
      </w:r>
      <w:r w:rsidR="00454878">
        <w:t>NZ</w:t>
      </w:r>
      <w:r w:rsidR="00033F0E" w:rsidRPr="00033F0E">
        <w:t xml:space="preserve">$380.74 per night (an additional 30 percent over the healthcare costs). </w:t>
      </w:r>
    </w:p>
    <w:p w14:paraId="036AF320" w14:textId="0FF4A011" w:rsidR="00E64598" w:rsidRPr="00033F0E" w:rsidRDefault="000010F7" w:rsidP="00E64598">
      <w:pPr>
        <w:pStyle w:val="FigureCaption"/>
      </w:pPr>
      <w:bookmarkStart w:id="101" w:name="_Toc98760575"/>
      <w:r w:rsidRPr="00D1180A">
        <w:t xml:space="preserve">Table </w:t>
      </w:r>
      <w:r w:rsidR="00443CD7">
        <w:fldChar w:fldCharType="begin"/>
      </w:r>
      <w:r w:rsidR="00443CD7">
        <w:instrText xml:space="preserve"> SEQ Table \* ARABIC </w:instrText>
      </w:r>
      <w:r w:rsidR="00443CD7">
        <w:fldChar w:fldCharType="separate"/>
      </w:r>
      <w:r w:rsidR="002C631E">
        <w:rPr>
          <w:noProof/>
        </w:rPr>
        <w:t>11</w:t>
      </w:r>
      <w:r w:rsidR="00443CD7">
        <w:rPr>
          <w:noProof/>
        </w:rPr>
        <w:fldChar w:fldCharType="end"/>
      </w:r>
      <w:r>
        <w:t xml:space="preserve"> </w:t>
      </w:r>
      <w:r w:rsidR="00E64598">
        <w:t>Cost estimates per day of hospitalisation</w:t>
      </w:r>
      <w:r w:rsidR="00104C20">
        <w:t xml:space="preserve"> for childhood asthma</w:t>
      </w:r>
      <w:bookmarkEnd w:id="101"/>
    </w:p>
    <w:p w14:paraId="5E0D3070" w14:textId="77777777" w:rsidR="00033F0E" w:rsidRPr="00033F0E" w:rsidRDefault="00033F0E" w:rsidP="00033F0E">
      <w:pPr>
        <w:pStyle w:val="USBodyText"/>
        <w:rPr>
          <w:rFonts w:ascii="NimbusRomNo9L-Regu" w:hAnsi="NimbusRomNo9L-Regu" w:cs="NimbusRomNo9L-Regu"/>
          <w:sz w:val="20"/>
          <w:szCs w:val="20"/>
        </w:rPr>
      </w:pPr>
      <w:r w:rsidRPr="00033F0E">
        <w:rPr>
          <w:rFonts w:ascii="NimbusRomNo9L-Regu" w:hAnsi="NimbusRomNo9L-Regu" w:cs="NimbusRomNo9L-Regu"/>
          <w:noProof/>
          <w:sz w:val="20"/>
          <w:szCs w:val="20"/>
        </w:rPr>
        <w:drawing>
          <wp:inline distT="0" distB="0" distL="0" distR="0" wp14:anchorId="3FCFB5CF" wp14:editId="1DA8C532">
            <wp:extent cx="4625469" cy="1152525"/>
            <wp:effectExtent l="0" t="0" r="3810" b="0"/>
            <wp:docPr id="32" name="Picture 32" descr="Table 11 Cost estimates per day of hospitalisation for childhood asth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11 Cost estimates per day of hospitalisation for childhood asthma&#10;"/>
                    <pic:cNvPicPr/>
                  </pic:nvPicPr>
                  <pic:blipFill>
                    <a:blip r:embed="rId49"/>
                    <a:stretch>
                      <a:fillRect/>
                    </a:stretch>
                  </pic:blipFill>
                  <pic:spPr>
                    <a:xfrm>
                      <a:off x="0" y="0"/>
                      <a:ext cx="4686809" cy="1167809"/>
                    </a:xfrm>
                    <a:prstGeom prst="rect">
                      <a:avLst/>
                    </a:prstGeom>
                  </pic:spPr>
                </pic:pic>
              </a:graphicData>
            </a:graphic>
          </wp:inline>
        </w:drawing>
      </w:r>
    </w:p>
    <w:p w14:paraId="3B08130D" w14:textId="57E8B05B" w:rsidR="00033F0E" w:rsidRPr="00033F0E" w:rsidRDefault="00033F0E" w:rsidP="00BC325B">
      <w:pPr>
        <w:pStyle w:val="USSource"/>
      </w:pPr>
      <w:r w:rsidRPr="00033F0E">
        <w:t xml:space="preserve">Source: </w:t>
      </w:r>
      <w:r w:rsidR="00913525">
        <w:t>Carswell et al. (</w:t>
      </w:r>
      <w:r w:rsidR="00E64598">
        <w:t>2015</w:t>
      </w:r>
      <w:r w:rsidR="00913525">
        <w:t>)</w:t>
      </w:r>
    </w:p>
    <w:p w14:paraId="47961E8B" w14:textId="51C6B68D" w:rsidR="00033F0E" w:rsidRDefault="00033F0E" w:rsidP="00774F54">
      <w:pPr>
        <w:pStyle w:val="USBodyText"/>
        <w:rPr>
          <w:rFonts w:ascii="NimbusRomNo9L-Regu" w:hAnsi="NimbusRomNo9L-Regu" w:cs="NimbusRomNo9L-Regu"/>
          <w:sz w:val="20"/>
          <w:szCs w:val="20"/>
        </w:rPr>
      </w:pPr>
      <w:r w:rsidRPr="00033F0E">
        <w:t xml:space="preserve">The analysis also identified differences between </w:t>
      </w:r>
      <w:r w:rsidR="00454878">
        <w:t>Māori</w:t>
      </w:r>
      <w:r w:rsidRPr="00033F0E">
        <w:t xml:space="preserve"> and non-</w:t>
      </w:r>
      <w:r w:rsidR="00454878">
        <w:t>Māori</w:t>
      </w:r>
      <w:r w:rsidR="004401C7">
        <w:t xml:space="preserve">, with </w:t>
      </w:r>
      <w:r w:rsidR="00454878">
        <w:t>Māori</w:t>
      </w:r>
      <w:r w:rsidR="004401C7">
        <w:t xml:space="preserve"> having lower </w:t>
      </w:r>
      <w:r w:rsidR="009B62F9">
        <w:t>intangible costs (WTP)</w:t>
      </w:r>
      <w:r w:rsidR="003E2105">
        <w:t>.</w:t>
      </w:r>
      <w:r w:rsidR="009B62F9">
        <w:t xml:space="preserve"> </w:t>
      </w:r>
    </w:p>
    <w:p w14:paraId="1AB1FE5E" w14:textId="4F561384" w:rsidR="000873FC" w:rsidRDefault="00285AC2" w:rsidP="00774F54">
      <w:pPr>
        <w:pStyle w:val="USBodyText"/>
      </w:pPr>
      <w:r w:rsidRPr="00285AC2">
        <w:t xml:space="preserve">On a national level, </w:t>
      </w:r>
      <w:r>
        <w:t>based on the</w:t>
      </w:r>
      <w:r w:rsidRPr="00285AC2">
        <w:t xml:space="preserve"> 3,730 asthma hospitalisations of </w:t>
      </w:r>
      <w:r>
        <w:t xml:space="preserve">children </w:t>
      </w:r>
      <w:r w:rsidRPr="00285AC2">
        <w:t>under</w:t>
      </w:r>
      <w:r>
        <w:t xml:space="preserve"> </w:t>
      </w:r>
      <w:r w:rsidRPr="00285AC2">
        <w:t>15 in 2013</w:t>
      </w:r>
      <w:r w:rsidR="000873FC">
        <w:t>:</w:t>
      </w:r>
    </w:p>
    <w:p w14:paraId="467B176B" w14:textId="3437960E" w:rsidR="005A1D8C" w:rsidRDefault="000873FC" w:rsidP="000873FC">
      <w:pPr>
        <w:pStyle w:val="USBullet1"/>
      </w:pPr>
      <w:r>
        <w:t>The healthcare cost of hospitalisation was</w:t>
      </w:r>
      <w:r w:rsidR="00FA416E">
        <w:t xml:space="preserve"> </w:t>
      </w:r>
      <w:r w:rsidR="00E80D8B">
        <w:t>NZ</w:t>
      </w:r>
      <w:r w:rsidR="00774F54" w:rsidRPr="00774F54">
        <w:t>$7.6 million</w:t>
      </w:r>
    </w:p>
    <w:p w14:paraId="3BBA1027" w14:textId="0B96B2C1" w:rsidR="00774F54" w:rsidRDefault="005A1D8C" w:rsidP="000873FC">
      <w:pPr>
        <w:pStyle w:val="USBullet1"/>
      </w:pPr>
      <w:r>
        <w:t>The non</w:t>
      </w:r>
      <w:r w:rsidR="006D2A03">
        <w:t>-</w:t>
      </w:r>
      <w:r>
        <w:t xml:space="preserve">healthcare cost of hospitalisation was </w:t>
      </w:r>
      <w:r w:rsidR="002151D0">
        <w:t>NZ</w:t>
      </w:r>
      <w:r>
        <w:t>$2.1 million</w:t>
      </w:r>
      <w:r w:rsidR="00E80D8B">
        <w:t>.</w:t>
      </w:r>
      <w:r w:rsidR="00774F54" w:rsidRPr="00774F54">
        <w:t xml:space="preserve"> </w:t>
      </w:r>
    </w:p>
    <w:p w14:paraId="297FB45D" w14:textId="3429FDBC" w:rsidR="00077D1C" w:rsidRDefault="00443919" w:rsidP="00077D1C">
      <w:pPr>
        <w:pStyle w:val="USBodyText"/>
      </w:pPr>
      <w:r>
        <w:t xml:space="preserve">The authors argue that the results are </w:t>
      </w:r>
      <w:r w:rsidR="0081306D">
        <w:t>relevant for policy decision-making given the</w:t>
      </w:r>
      <w:r w:rsidR="00077D1C" w:rsidRPr="00077D1C">
        <w:t xml:space="preserve"> </w:t>
      </w:r>
      <w:r w:rsidR="00077D1C" w:rsidRPr="00F311D1">
        <w:t xml:space="preserve">Howden-Chapman </w:t>
      </w:r>
      <w:r w:rsidR="0081306D" w:rsidRPr="00F311D1">
        <w:t>et al.</w:t>
      </w:r>
      <w:r w:rsidR="00077D1C" w:rsidRPr="00F311D1">
        <w:t xml:space="preserve"> </w:t>
      </w:r>
      <w:r w:rsidR="001654CA" w:rsidRPr="00F311D1">
        <w:rPr>
          <w:rFonts w:cs="Calibri"/>
        </w:rPr>
        <w:t>(2007)</w:t>
      </w:r>
      <w:r w:rsidR="00077D1C" w:rsidRPr="00F311D1">
        <w:t xml:space="preserve"> </w:t>
      </w:r>
      <w:r w:rsidR="0081306D" w:rsidRPr="00F311D1">
        <w:t>study</w:t>
      </w:r>
      <w:r w:rsidR="0081306D">
        <w:t xml:space="preserve"> that </w:t>
      </w:r>
      <w:r w:rsidR="00077D1C" w:rsidRPr="00077D1C">
        <w:t xml:space="preserve">showed retrofitting homes with insulation </w:t>
      </w:r>
      <w:r w:rsidR="0081306D">
        <w:t xml:space="preserve">could </w:t>
      </w:r>
      <w:r w:rsidR="00077D1C" w:rsidRPr="00077D1C">
        <w:t xml:space="preserve">reduce hospitalisations at </w:t>
      </w:r>
      <w:r w:rsidR="009D578A">
        <w:t>the</w:t>
      </w:r>
      <w:r w:rsidR="009D578A" w:rsidRPr="00077D1C">
        <w:t xml:space="preserve"> </w:t>
      </w:r>
      <w:r w:rsidR="00077D1C" w:rsidRPr="00077D1C">
        <w:t xml:space="preserve">cost of </w:t>
      </w:r>
      <w:r w:rsidR="009D578A">
        <w:t>NZ</w:t>
      </w:r>
      <w:r w:rsidR="00077D1C" w:rsidRPr="00077D1C">
        <w:t>$1,800 per participant</w:t>
      </w:r>
      <w:r w:rsidR="006C7E98">
        <w:t>:</w:t>
      </w:r>
      <w:r w:rsidR="00077D1C" w:rsidRPr="00077D1C">
        <w:t xml:space="preserve"> Th</w:t>
      </w:r>
      <w:r w:rsidR="00952986">
        <w:t xml:space="preserve">e </w:t>
      </w:r>
      <w:r w:rsidR="00077D1C" w:rsidRPr="00077D1C">
        <w:t>intervention benefit</w:t>
      </w:r>
      <w:r w:rsidR="006C7E98">
        <w:t>-</w:t>
      </w:r>
      <w:r w:rsidR="00077D1C" w:rsidRPr="00077D1C">
        <w:t xml:space="preserve">cost ratio of 1.87:1 would </w:t>
      </w:r>
      <w:r w:rsidR="006C7E98">
        <w:t>improve</w:t>
      </w:r>
      <w:r w:rsidR="00077D1C" w:rsidRPr="00077D1C">
        <w:t xml:space="preserve"> to 2.25:1</w:t>
      </w:r>
      <w:r w:rsidR="006C7E98">
        <w:t xml:space="preserve"> if non-healthcare costs of</w:t>
      </w:r>
      <w:r w:rsidR="00077D1C" w:rsidRPr="00077D1C">
        <w:t xml:space="preserve"> </w:t>
      </w:r>
      <w:r w:rsidR="009D578A">
        <w:t>NZ</w:t>
      </w:r>
      <w:r w:rsidR="00077D1C" w:rsidRPr="00077D1C">
        <w:t>$380.47 per night</w:t>
      </w:r>
      <w:r w:rsidR="00077D1C">
        <w:t xml:space="preserve"> </w:t>
      </w:r>
      <w:r w:rsidR="006C7E98">
        <w:t>of hospitalisation are included in a societal cost-benefit analysis.</w:t>
      </w:r>
    </w:p>
    <w:p w14:paraId="6CFEFD06" w14:textId="47FE43CE" w:rsidR="00AF5A8A" w:rsidRDefault="001654CA" w:rsidP="00AF5A8A">
      <w:pPr>
        <w:pStyle w:val="USBodyText"/>
      </w:pPr>
      <w:r w:rsidRPr="00D74468">
        <w:rPr>
          <w:rFonts w:cs="Calibri"/>
          <w:b/>
          <w:bCs/>
        </w:rPr>
        <w:t>Telfar Barnard and Zhang (2019)</w:t>
      </w:r>
      <w:r w:rsidR="003552CA">
        <w:t xml:space="preserve"> updated the earlier report (</w:t>
      </w:r>
      <w:r w:rsidRPr="001654CA">
        <w:rPr>
          <w:rFonts w:cs="Calibri"/>
        </w:rPr>
        <w:t>Telfar Barnard et al. 2015)</w:t>
      </w:r>
      <w:r w:rsidR="003552CA">
        <w:t xml:space="preserve"> </w:t>
      </w:r>
      <w:r w:rsidR="00D57883">
        <w:t xml:space="preserve">on respiratory illness </w:t>
      </w:r>
      <w:r w:rsidR="00CD6079">
        <w:t>with an extended study period (2000 to 2017)</w:t>
      </w:r>
      <w:r w:rsidR="00D57883">
        <w:t xml:space="preserve">. A major finding was a reduction in ethnic and socioeconomic inequalities, although disparities remained high. </w:t>
      </w:r>
    </w:p>
    <w:p w14:paraId="72864C81" w14:textId="4935F374" w:rsidR="003552CA" w:rsidRDefault="00AF5A8A" w:rsidP="00AF5A8A">
      <w:pPr>
        <w:pStyle w:val="USBodyText"/>
      </w:pPr>
      <w:r>
        <w:t xml:space="preserve">The study found that the hospitalisation rate for asthma peaked in 2009 at 218 per 100,000 people but had declined slightly over the total study period. Asthma mortality rates </w:t>
      </w:r>
      <w:r w:rsidR="00162395">
        <w:t xml:space="preserve">that </w:t>
      </w:r>
      <w:r>
        <w:lastRenderedPageBreak/>
        <w:t>had been reported as declining in the earlier report were found to have returned to earlier high levels, reaching a maximum of 2.0 deaths per 100,000 in 2014.</w:t>
      </w:r>
    </w:p>
    <w:p w14:paraId="713DF8EC" w14:textId="035484CC" w:rsidR="00E11C03" w:rsidRDefault="00E11C03" w:rsidP="00AF5A8A">
      <w:pPr>
        <w:pStyle w:val="USBodyText"/>
      </w:pPr>
      <w:r>
        <w:t xml:space="preserve">Total costs of asthma to society were estimated at $1,017,924,605 (see </w:t>
      </w:r>
      <w:r w:rsidR="00162395">
        <w:fldChar w:fldCharType="begin"/>
      </w:r>
      <w:r w:rsidR="00162395">
        <w:instrText xml:space="preserve"> REF _Ref85632951 \h </w:instrText>
      </w:r>
      <w:r w:rsidR="00162395">
        <w:fldChar w:fldCharType="separate"/>
      </w:r>
      <w:r w:rsidR="002C631E" w:rsidRPr="00D1180A">
        <w:t xml:space="preserve">Table </w:t>
      </w:r>
      <w:r w:rsidR="002C631E">
        <w:rPr>
          <w:noProof/>
        </w:rPr>
        <w:t>12</w:t>
      </w:r>
      <w:r w:rsidR="00162395">
        <w:fldChar w:fldCharType="end"/>
      </w:r>
      <w:r>
        <w:t xml:space="preserve"> below for cost breakdown)</w:t>
      </w:r>
      <w:r w:rsidR="00B7706F">
        <w:t>.</w:t>
      </w:r>
    </w:p>
    <w:p w14:paraId="0FD18783" w14:textId="3529EDC6" w:rsidR="00E11C03" w:rsidRDefault="00162395" w:rsidP="005C0BA9">
      <w:pPr>
        <w:pStyle w:val="TableCaption"/>
      </w:pPr>
      <w:bookmarkStart w:id="102" w:name="_Ref85632951"/>
      <w:bookmarkStart w:id="103" w:name="_Toc98760576"/>
      <w:r w:rsidRPr="00D1180A">
        <w:t xml:space="preserve">Table </w:t>
      </w:r>
      <w:r w:rsidR="00443CD7">
        <w:fldChar w:fldCharType="begin"/>
      </w:r>
      <w:r w:rsidR="00443CD7">
        <w:instrText xml:space="preserve"> SEQ Table \* ARABIC </w:instrText>
      </w:r>
      <w:r w:rsidR="00443CD7">
        <w:fldChar w:fldCharType="separate"/>
      </w:r>
      <w:r w:rsidR="002C631E">
        <w:rPr>
          <w:noProof/>
        </w:rPr>
        <w:t>12</w:t>
      </w:r>
      <w:r w:rsidR="00443CD7">
        <w:rPr>
          <w:noProof/>
        </w:rPr>
        <w:fldChar w:fldCharType="end"/>
      </w:r>
      <w:bookmarkEnd w:id="102"/>
      <w:r>
        <w:t xml:space="preserve"> </w:t>
      </w:r>
      <w:r w:rsidR="00E11C03">
        <w:t>Estimated cost of asthma in New Zealand</w:t>
      </w:r>
      <w:bookmarkEnd w:id="103"/>
    </w:p>
    <w:p w14:paraId="237147DE" w14:textId="20896B5A" w:rsidR="003552CA" w:rsidRDefault="00E11C03" w:rsidP="00E11C03">
      <w:pPr>
        <w:pStyle w:val="USBodyText"/>
        <w:keepNext/>
      </w:pPr>
      <w:r>
        <w:rPr>
          <w:noProof/>
        </w:rPr>
        <w:drawing>
          <wp:inline distT="0" distB="0" distL="0" distR="0" wp14:anchorId="3CD190F3" wp14:editId="58BFB5D1">
            <wp:extent cx="4886325" cy="1729687"/>
            <wp:effectExtent l="0" t="0" r="0" b="4445"/>
            <wp:docPr id="43" name="Picture 43" descr="Table 12 Estimated cost of asthma in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12 Estimated cost of asthma in New Zealand&#10;"/>
                    <pic:cNvPicPr/>
                  </pic:nvPicPr>
                  <pic:blipFill>
                    <a:blip r:embed="rId50"/>
                    <a:stretch>
                      <a:fillRect/>
                    </a:stretch>
                  </pic:blipFill>
                  <pic:spPr>
                    <a:xfrm>
                      <a:off x="0" y="0"/>
                      <a:ext cx="4898013" cy="1733824"/>
                    </a:xfrm>
                    <a:prstGeom prst="rect">
                      <a:avLst/>
                    </a:prstGeom>
                  </pic:spPr>
                </pic:pic>
              </a:graphicData>
            </a:graphic>
          </wp:inline>
        </w:drawing>
      </w:r>
    </w:p>
    <w:p w14:paraId="52A50BE5" w14:textId="76E7B4D4" w:rsidR="00E11C03" w:rsidRDefault="00E11C03" w:rsidP="005C0BA9">
      <w:pPr>
        <w:pStyle w:val="USSource"/>
      </w:pPr>
      <w:r w:rsidRPr="00281F43">
        <w:t xml:space="preserve">Source: </w:t>
      </w:r>
      <w:r w:rsidR="00A3651B" w:rsidRPr="00A3651B">
        <w:rPr>
          <w:rFonts w:cs="Calibri"/>
        </w:rPr>
        <w:t xml:space="preserve">Telfar Barnard and Zhang </w:t>
      </w:r>
      <w:r w:rsidR="00B31F92">
        <w:rPr>
          <w:rFonts w:cs="Calibri"/>
        </w:rPr>
        <w:t>(</w:t>
      </w:r>
      <w:r w:rsidR="00A3651B" w:rsidRPr="00A3651B">
        <w:rPr>
          <w:rFonts w:cs="Calibri"/>
        </w:rPr>
        <w:t>2019</w:t>
      </w:r>
      <w:r w:rsidR="00B31F92">
        <w:t>)</w:t>
      </w:r>
    </w:p>
    <w:p w14:paraId="6D288DD2" w14:textId="30289A57" w:rsidR="0020422A" w:rsidRDefault="001C6CD9" w:rsidP="00A954B2">
      <w:pPr>
        <w:pStyle w:val="USBodyText"/>
      </w:pPr>
      <w:r w:rsidRPr="009E59E9">
        <w:rPr>
          <w:b/>
          <w:bCs/>
        </w:rPr>
        <w:t>Sch</w:t>
      </w:r>
      <w:r w:rsidR="00F974C1" w:rsidRPr="009E59E9">
        <w:rPr>
          <w:b/>
          <w:bCs/>
        </w:rPr>
        <w:t>lichting et al</w:t>
      </w:r>
      <w:r w:rsidR="009C55F0">
        <w:rPr>
          <w:b/>
          <w:bCs/>
        </w:rPr>
        <w:t>.</w:t>
      </w:r>
      <w:r w:rsidR="00F974C1" w:rsidRPr="009E59E9">
        <w:rPr>
          <w:b/>
          <w:bCs/>
        </w:rPr>
        <w:t xml:space="preserve"> </w:t>
      </w:r>
      <w:r w:rsidR="00F974C1" w:rsidRPr="004A10B3">
        <w:rPr>
          <w:b/>
          <w:bCs/>
        </w:rPr>
        <w:t>(</w:t>
      </w:r>
      <w:r w:rsidR="009C55F0" w:rsidRPr="005C0BA9">
        <w:rPr>
          <w:rFonts w:cs="Calibri"/>
          <w:b/>
          <w:bCs/>
        </w:rPr>
        <w:t>2021</w:t>
      </w:r>
      <w:r w:rsidR="00F974C1" w:rsidRPr="004A10B3">
        <w:rPr>
          <w:b/>
          <w:bCs/>
        </w:rPr>
        <w:t>)</w:t>
      </w:r>
      <w:r w:rsidR="00F974C1">
        <w:t xml:space="preserve"> described trends in the number of asthma hospital admissions</w:t>
      </w:r>
      <w:r w:rsidR="009E59E9">
        <w:t>, health system cost</w:t>
      </w:r>
      <w:r w:rsidR="009C55F0">
        <w:t>s,</w:t>
      </w:r>
      <w:r w:rsidR="009E59E9">
        <w:t xml:space="preserve"> and asthma prescriptions for children aged 0 to 14 years between 2010 and 2019 using </w:t>
      </w:r>
      <w:r w:rsidR="00D4033D">
        <w:t xml:space="preserve">public hospital admission data and pharmaceutical prescription data. The study found that </w:t>
      </w:r>
      <w:r w:rsidR="00A954B2">
        <w:t>between 2010 and 2019, a 45 percent reduction in the number of asthma hospitalisations was observed</w:t>
      </w:r>
      <w:r w:rsidR="00B7706F">
        <w:t>,</w:t>
      </w:r>
      <w:r w:rsidR="00A954B2">
        <w:t xml:space="preserve"> along with a</w:t>
      </w:r>
      <w:r w:rsidR="00B7706F">
        <w:t>n</w:t>
      </w:r>
      <w:r w:rsidR="00A954B2">
        <w:t xml:space="preserve"> 18 percent reduction in prescriptions attributable to asthma. These reductions were observed for both Māori and non-Māori children</w:t>
      </w:r>
      <w:r w:rsidR="0067757B">
        <w:t>,</w:t>
      </w:r>
      <w:r w:rsidR="00A954B2">
        <w:t xml:space="preserve"> although </w:t>
      </w:r>
      <w:r w:rsidR="0067757B">
        <w:t>Māori</w:t>
      </w:r>
      <w:r w:rsidR="00A954B2">
        <w:t xml:space="preserve"> children continued to be hospitalised at twice the rate</w:t>
      </w:r>
      <w:r w:rsidR="00625303">
        <w:t xml:space="preserve"> of non-</w:t>
      </w:r>
      <w:r w:rsidR="0067757B">
        <w:t>Māori</w:t>
      </w:r>
      <w:r w:rsidR="00625303">
        <w:t xml:space="preserve"> children, including more readmissions. Similarly, asthma admission rates were nearly </w:t>
      </w:r>
      <w:r w:rsidR="0067757B">
        <w:t xml:space="preserve">three </w:t>
      </w:r>
      <w:r w:rsidR="00625303">
        <w:t xml:space="preserve">times higher for </w:t>
      </w:r>
      <w:r w:rsidR="0067757B">
        <w:t xml:space="preserve">children </w:t>
      </w:r>
      <w:r w:rsidR="00625303">
        <w:t xml:space="preserve">from the most deprived </w:t>
      </w:r>
      <w:r w:rsidR="0020422A">
        <w:t xml:space="preserve">areas </w:t>
      </w:r>
      <w:r w:rsidR="0067757B">
        <w:t>than those</w:t>
      </w:r>
      <w:r w:rsidR="0020422A">
        <w:t xml:space="preserve"> living in the least deprived areas.</w:t>
      </w:r>
    </w:p>
    <w:p w14:paraId="68188DB9" w14:textId="67936C51" w:rsidR="001C6CD9" w:rsidRPr="005264C2" w:rsidRDefault="0020422A" w:rsidP="00A954B2">
      <w:pPr>
        <w:pStyle w:val="USBodyText"/>
      </w:pPr>
      <w:r w:rsidRPr="005264C2">
        <w:t xml:space="preserve">In terms of costs, the study estimated that </w:t>
      </w:r>
      <w:r w:rsidR="000E374F" w:rsidRPr="005264C2">
        <w:t xml:space="preserve">asthma hospitalisations and prescriptions generated a cost of </w:t>
      </w:r>
      <w:r w:rsidR="0067757B">
        <w:t>NZ</w:t>
      </w:r>
      <w:r w:rsidR="000E374F" w:rsidRPr="005264C2">
        <w:t xml:space="preserve">$165 </w:t>
      </w:r>
      <w:r w:rsidR="0067757B" w:rsidRPr="005264C2">
        <w:t>mil</w:t>
      </w:r>
      <w:r w:rsidR="0067757B">
        <w:t>l</w:t>
      </w:r>
      <w:r w:rsidR="0067757B" w:rsidRPr="005264C2">
        <w:t xml:space="preserve">ion </w:t>
      </w:r>
      <w:r w:rsidR="00535D8B" w:rsidRPr="005264C2">
        <w:t xml:space="preserve">– or </w:t>
      </w:r>
      <w:r w:rsidR="001753F6">
        <w:t>NZ</w:t>
      </w:r>
      <w:r w:rsidR="00535D8B" w:rsidRPr="005264C2">
        <w:t xml:space="preserve">$103 million and </w:t>
      </w:r>
      <w:r w:rsidR="001753F6">
        <w:t>NZ</w:t>
      </w:r>
      <w:r w:rsidR="00535D8B" w:rsidRPr="005264C2">
        <w:t>$62 million</w:t>
      </w:r>
      <w:r w:rsidR="001753F6">
        <w:t>,</w:t>
      </w:r>
      <w:r w:rsidR="00535D8B" w:rsidRPr="005264C2">
        <w:t xml:space="preserve"> respectively</w:t>
      </w:r>
      <w:r w:rsidR="00A954B2" w:rsidRPr="005264C2">
        <w:t>.</w:t>
      </w:r>
    </w:p>
    <w:p w14:paraId="0B62F1F7" w14:textId="39E24BE7" w:rsidR="007A2E9D" w:rsidRDefault="007A2E9D" w:rsidP="0005646B">
      <w:pPr>
        <w:pStyle w:val="Heading3"/>
      </w:pPr>
      <w:r>
        <w:t>Cancer</w:t>
      </w:r>
    </w:p>
    <w:p w14:paraId="390E96B4" w14:textId="555A1A8A" w:rsidR="00D25F3D" w:rsidRPr="00B17E4C" w:rsidRDefault="00D25F3D" w:rsidP="00724139">
      <w:pPr>
        <w:pStyle w:val="USBodyText"/>
      </w:pPr>
      <w:bookmarkStart w:id="104" w:name="_Hlk93659621"/>
      <w:r w:rsidRPr="00B17E4C">
        <w:rPr>
          <w:rFonts w:cs="Calibri"/>
          <w:b/>
          <w:bCs/>
        </w:rPr>
        <w:t>Lao et al. (2021)</w:t>
      </w:r>
      <w:bookmarkEnd w:id="104"/>
      <w:r w:rsidRPr="00B17E4C">
        <w:rPr>
          <w:b/>
          <w:bCs/>
        </w:rPr>
        <w:t xml:space="preserve"> </w:t>
      </w:r>
      <w:r w:rsidR="005E7F10" w:rsidRPr="00B17E4C">
        <w:t>estimated the mean costs of breast cancer in New Zealand's public health system using data on 22,948 women diagnosed with invasive breast cancer between 1 July 2010 and 30 June 2018.</w:t>
      </w:r>
      <w:r w:rsidR="004A38FA" w:rsidRPr="00B17E4C">
        <w:t xml:space="preserve"> </w:t>
      </w:r>
    </w:p>
    <w:p w14:paraId="45040001" w14:textId="77777777" w:rsidR="00B66E95" w:rsidRDefault="004A38FA" w:rsidP="00724139">
      <w:pPr>
        <w:pStyle w:val="USBodyText"/>
      </w:pPr>
      <w:r w:rsidRPr="004A38FA">
        <w:t>The mean public health cost of breast cancer was</w:t>
      </w:r>
      <w:r>
        <w:t xml:space="preserve"> estimated at </w:t>
      </w:r>
      <w:r w:rsidRPr="004A38FA">
        <w:t xml:space="preserve">$44,954 per patient for the period </w:t>
      </w:r>
      <w:r>
        <w:t xml:space="preserve">covering </w:t>
      </w:r>
      <w:r w:rsidRPr="004A38FA">
        <w:t>three months preceding and five years following cancer diagnosis</w:t>
      </w:r>
      <w:r>
        <w:t xml:space="preserve">. This cost </w:t>
      </w:r>
      <w:r w:rsidR="00B66E95">
        <w:t>was broken down into:</w:t>
      </w:r>
    </w:p>
    <w:p w14:paraId="053A1174" w14:textId="2DF35DFF" w:rsidR="00B66E95" w:rsidRDefault="004A38FA" w:rsidP="00B66E95">
      <w:pPr>
        <w:pStyle w:val="USBullet1"/>
      </w:pPr>
      <w:r w:rsidRPr="004A38FA">
        <w:t>the treatment phase</w:t>
      </w:r>
      <w:r w:rsidR="0049033A">
        <w:t xml:space="preserve"> (from three months p</w:t>
      </w:r>
      <w:r w:rsidR="00612EA7">
        <w:t>receding diagnosis to 12 months post-diagnosis)</w:t>
      </w:r>
      <w:r w:rsidR="00B66E95">
        <w:t>,</w:t>
      </w:r>
      <w:r w:rsidRPr="004A38FA">
        <w:t xml:space="preserve"> accounting for 70</w:t>
      </w:r>
      <w:r w:rsidR="00B66E95">
        <w:t xml:space="preserve"> percent </w:t>
      </w:r>
      <w:r w:rsidRPr="004A38FA">
        <w:t xml:space="preserve">of the </w:t>
      </w:r>
      <w:r w:rsidR="00B66E95">
        <w:t xml:space="preserve">total </w:t>
      </w:r>
      <w:r w:rsidRPr="004A38FA">
        <w:t xml:space="preserve">cost </w:t>
      </w:r>
    </w:p>
    <w:p w14:paraId="739C328C" w14:textId="62C73AD8" w:rsidR="00B66E95" w:rsidRDefault="004A38FA" w:rsidP="00B66E95">
      <w:pPr>
        <w:pStyle w:val="USBullet1"/>
      </w:pPr>
      <w:r w:rsidRPr="004A38FA">
        <w:t>the follow-up phase</w:t>
      </w:r>
      <w:r w:rsidR="00612EA7">
        <w:t xml:space="preserve"> (</w:t>
      </w:r>
      <w:r w:rsidR="003E37AD">
        <w:t>the second to fifth years post diagnosis)</w:t>
      </w:r>
      <w:r w:rsidR="00B66E95">
        <w:t>,</w:t>
      </w:r>
      <w:r w:rsidRPr="004A38FA">
        <w:t xml:space="preserve"> accounting for 30</w:t>
      </w:r>
      <w:r w:rsidR="00B66E95">
        <w:t xml:space="preserve"> percent of the total cost</w:t>
      </w:r>
    </w:p>
    <w:p w14:paraId="0767F3B2" w14:textId="42954FBB" w:rsidR="004514AE" w:rsidRDefault="004514AE" w:rsidP="00B66E95">
      <w:pPr>
        <w:pStyle w:val="USBullet1"/>
      </w:pPr>
      <w:r>
        <w:t>each stage of the follow-up phase (year 2</w:t>
      </w:r>
      <w:r w:rsidR="002A5424">
        <w:t xml:space="preserve"> (FU2)</w:t>
      </w:r>
      <w:r>
        <w:t>, year 3</w:t>
      </w:r>
      <w:r w:rsidR="002A5424">
        <w:t xml:space="preserve"> (FU3)</w:t>
      </w:r>
      <w:r>
        <w:t>, year 4</w:t>
      </w:r>
      <w:r w:rsidR="002A5424">
        <w:t xml:space="preserve"> (FU4)</w:t>
      </w:r>
      <w:r>
        <w:t xml:space="preserve"> and year 5</w:t>
      </w:r>
      <w:r w:rsidR="00546D07">
        <w:t xml:space="preserve"> (FU5)</w:t>
      </w:r>
      <w:r>
        <w:t xml:space="preserve"> post diagnosis)</w:t>
      </w:r>
      <w:r w:rsidR="00546D07">
        <w:t>.</w:t>
      </w:r>
    </w:p>
    <w:p w14:paraId="4CF6955D" w14:textId="01D3C4B8" w:rsidR="003B305C" w:rsidRDefault="00A62F47" w:rsidP="003E37AD">
      <w:pPr>
        <w:pStyle w:val="USBullet1"/>
        <w:numPr>
          <w:ilvl w:val="0"/>
          <w:numId w:val="0"/>
        </w:numPr>
        <w:ind w:left="851"/>
      </w:pPr>
      <w:r>
        <w:lastRenderedPageBreak/>
        <w:t>Over 70 percent of total costs were in the treatment phase</w:t>
      </w:r>
      <w:r w:rsidR="000A7701">
        <w:t>. S</w:t>
      </w:r>
      <w:r w:rsidR="005F028C">
        <w:t>urgery</w:t>
      </w:r>
      <w:r w:rsidR="000A7701">
        <w:t>,</w:t>
      </w:r>
      <w:r w:rsidR="005F028C">
        <w:t xml:space="preserve"> </w:t>
      </w:r>
      <w:r w:rsidR="003B305C" w:rsidRPr="003B305C">
        <w:t xml:space="preserve">diagnostic tests, </w:t>
      </w:r>
      <w:r w:rsidR="000A7701">
        <w:t>and immunotherapy were the most significant cost components overall</w:t>
      </w:r>
      <w:r w:rsidR="003B305C" w:rsidRPr="003B305C">
        <w:t>.</w:t>
      </w:r>
    </w:p>
    <w:p w14:paraId="4B24E5A8" w14:textId="5DE93C50" w:rsidR="003E37AD" w:rsidRDefault="003E37AD" w:rsidP="003E37AD">
      <w:pPr>
        <w:pStyle w:val="USBullet1"/>
        <w:numPr>
          <w:ilvl w:val="0"/>
          <w:numId w:val="0"/>
        </w:numPr>
        <w:ind w:left="851"/>
      </w:pPr>
      <w:r>
        <w:t>Results are broken down by age group</w:t>
      </w:r>
      <w:r w:rsidR="000A7701">
        <w:t xml:space="preserve">, showing that </w:t>
      </w:r>
      <w:r w:rsidR="00E46EF1">
        <w:t>costs tend to decrease with older age</w:t>
      </w:r>
      <w:r w:rsidR="00800FB0">
        <w:t>. T</w:t>
      </w:r>
      <w:r w:rsidR="00E46EF1">
        <w:t>hose not survi</w:t>
      </w:r>
      <w:r w:rsidR="00626B4F">
        <w:t>ving 5 years were excluded from the cost analysis</w:t>
      </w:r>
      <w:r w:rsidR="00800FB0">
        <w:t xml:space="preserve">, so increased mortality in older age groups did not explain this result. Rather, the authors </w:t>
      </w:r>
      <w:r w:rsidR="00010622">
        <w:t xml:space="preserve">indicate that older age was associated with decreased use of surgery, adjuvant radiotherapy, </w:t>
      </w:r>
      <w:r w:rsidR="00BB487B">
        <w:t>endocrine therapy and chemotherapy, even after adjusting for stage and level of co-morbidity.</w:t>
      </w:r>
      <w:r w:rsidR="001F5ABD">
        <w:t xml:space="preserve"> </w:t>
      </w:r>
      <w:r w:rsidR="00F2690D">
        <w:t>T</w:t>
      </w:r>
      <w:r w:rsidR="00F2690D" w:rsidRPr="00F2690D">
        <w:t xml:space="preserve">he highest costs </w:t>
      </w:r>
      <w:r w:rsidR="00F2690D">
        <w:t>were associated with</w:t>
      </w:r>
      <w:r w:rsidR="00F2690D" w:rsidRPr="00F2690D">
        <w:t xml:space="preserve"> women under 45 years ($69,121), </w:t>
      </w:r>
      <w:r w:rsidR="00F2690D">
        <w:t>and</w:t>
      </w:r>
      <w:r w:rsidR="00F2690D" w:rsidRPr="00F2690D">
        <w:t xml:space="preserve"> the lowest </w:t>
      </w:r>
      <w:r w:rsidR="00F2690D">
        <w:t>with</w:t>
      </w:r>
      <w:r w:rsidR="00F2690D" w:rsidRPr="00F2690D">
        <w:t xml:space="preserve"> those aged 80 or over ($23,805 on average).</w:t>
      </w:r>
    </w:p>
    <w:p w14:paraId="0333B16D" w14:textId="314864B8" w:rsidR="008A743A" w:rsidRDefault="00595233" w:rsidP="000C7352">
      <w:pPr>
        <w:pStyle w:val="USBullet1"/>
        <w:numPr>
          <w:ilvl w:val="0"/>
          <w:numId w:val="0"/>
        </w:numPr>
        <w:ind w:left="851"/>
      </w:pPr>
      <w:r>
        <w:t xml:space="preserve">Costs in each </w:t>
      </w:r>
      <w:r w:rsidR="008A743A">
        <w:t>phase were:</w:t>
      </w:r>
    </w:p>
    <w:p w14:paraId="3A101CB0" w14:textId="64726550" w:rsidR="0050694B" w:rsidRDefault="00595233" w:rsidP="005B779E">
      <w:pPr>
        <w:pStyle w:val="USBullet1"/>
      </w:pPr>
      <w:r w:rsidRPr="00595233">
        <w:t>$31,599</w:t>
      </w:r>
      <w:r>
        <w:t xml:space="preserve"> for the treatment phase, in which s</w:t>
      </w:r>
      <w:r w:rsidR="004A38FA" w:rsidRPr="004A38FA">
        <w:t xml:space="preserve">urgery costs </w:t>
      </w:r>
      <w:r>
        <w:t>were the most significant component at</w:t>
      </w:r>
      <w:r w:rsidR="008A743A">
        <w:t xml:space="preserve"> </w:t>
      </w:r>
      <w:r w:rsidR="004A38FA" w:rsidRPr="004A38FA">
        <w:t>35</w:t>
      </w:r>
      <w:r w:rsidR="00CC74DA">
        <w:t xml:space="preserve"> percent</w:t>
      </w:r>
      <w:r w:rsidR="004A38FA" w:rsidRPr="004A38FA">
        <w:t xml:space="preserve"> of total cost</w:t>
      </w:r>
      <w:r w:rsidR="00CB4FE0">
        <w:t xml:space="preserve">s </w:t>
      </w:r>
    </w:p>
    <w:p w14:paraId="18B5455A" w14:textId="3741EA68" w:rsidR="00B74BB7" w:rsidRDefault="000E3264" w:rsidP="008A743A">
      <w:pPr>
        <w:pStyle w:val="USBullet1"/>
      </w:pPr>
      <w:r>
        <w:t>$13,355 for the follow-up phase</w:t>
      </w:r>
      <w:r w:rsidR="001D53C3">
        <w:t xml:space="preserve">, </w:t>
      </w:r>
      <w:r w:rsidR="00F40D6B">
        <w:t xml:space="preserve">in </w:t>
      </w:r>
      <w:r w:rsidR="001D53C3">
        <w:t xml:space="preserve">which surgery costs were the most significant component at </w:t>
      </w:r>
      <w:r w:rsidR="00100811">
        <w:t>33 percent of total costs</w:t>
      </w:r>
    </w:p>
    <w:p w14:paraId="401FA869" w14:textId="6771ED9B" w:rsidR="0050694B" w:rsidRDefault="00B74BB7" w:rsidP="008A743A">
      <w:pPr>
        <w:pStyle w:val="USBullet1"/>
      </w:pPr>
      <w:r w:rsidRPr="00B74BB7">
        <w:t>$6,181</w:t>
      </w:r>
      <w:r>
        <w:t xml:space="preserve"> for FU2, in which i</w:t>
      </w:r>
      <w:r w:rsidR="004A38FA" w:rsidRPr="004A38FA">
        <w:t>mmunotherapy</w:t>
      </w:r>
      <w:r w:rsidR="000C7352">
        <w:t xml:space="preserve"> </w:t>
      </w:r>
      <w:r w:rsidR="0050694B">
        <w:t xml:space="preserve">costs </w:t>
      </w:r>
      <w:r w:rsidRPr="00B74BB7">
        <w:t xml:space="preserve">were the most significant component at </w:t>
      </w:r>
      <w:r w:rsidR="000C7352">
        <w:t>47 percent of</w:t>
      </w:r>
      <w:r>
        <w:t xml:space="preserve"> total costs</w:t>
      </w:r>
      <w:r w:rsidR="008A743A">
        <w:t xml:space="preserve"> </w:t>
      </w:r>
    </w:p>
    <w:p w14:paraId="12D76DDF" w14:textId="68B2B35C" w:rsidR="00100811" w:rsidRDefault="00100811" w:rsidP="008A743A">
      <w:pPr>
        <w:pStyle w:val="USBullet1"/>
      </w:pPr>
      <w:r>
        <w:t xml:space="preserve">$3,008 for FU3, in which surgery costs were the most significant component at </w:t>
      </w:r>
      <w:r w:rsidR="0088137B">
        <w:t>39 percent of total costs</w:t>
      </w:r>
    </w:p>
    <w:p w14:paraId="18ECCCAF" w14:textId="338524BD" w:rsidR="0088137B" w:rsidRDefault="0088137B" w:rsidP="008A743A">
      <w:pPr>
        <w:pStyle w:val="USBullet1"/>
      </w:pPr>
      <w:r>
        <w:t>$2,721 for FU4, in which surgery costs were the most significant component at</w:t>
      </w:r>
      <w:r w:rsidR="00F37750">
        <w:t xml:space="preserve"> 38 percent of total costs</w:t>
      </w:r>
    </w:p>
    <w:p w14:paraId="2C8450AC" w14:textId="295219AD" w:rsidR="00F37750" w:rsidRDefault="00F37750" w:rsidP="008A743A">
      <w:pPr>
        <w:pStyle w:val="USBullet1"/>
      </w:pPr>
      <w:r>
        <w:t xml:space="preserve">$2,364 for FU5, in which surgery costs were the most significant component at </w:t>
      </w:r>
      <w:r w:rsidR="003B305C">
        <w:t>34 percent of total costs.</w:t>
      </w:r>
    </w:p>
    <w:p w14:paraId="7853231D" w14:textId="2825A7E5" w:rsidR="003A2C76" w:rsidRDefault="003A2C76" w:rsidP="003A2C76">
      <w:pPr>
        <w:pStyle w:val="USBullet1"/>
        <w:numPr>
          <w:ilvl w:val="0"/>
          <w:numId w:val="0"/>
        </w:numPr>
        <w:ind w:left="1276"/>
      </w:pPr>
      <w:r>
        <w:t xml:space="preserve">(see </w:t>
      </w:r>
      <w:r w:rsidR="00E02218">
        <w:fldChar w:fldCharType="begin"/>
      </w:r>
      <w:r w:rsidR="00E02218">
        <w:instrText xml:space="preserve"> REF _Ref93659689 \h </w:instrText>
      </w:r>
      <w:r w:rsidR="00E02218">
        <w:fldChar w:fldCharType="separate"/>
      </w:r>
      <w:r w:rsidR="002C631E" w:rsidRPr="00E84337">
        <w:t>Figure </w:t>
      </w:r>
      <w:r w:rsidR="002C631E">
        <w:rPr>
          <w:noProof/>
        </w:rPr>
        <w:t>20</w:t>
      </w:r>
      <w:r w:rsidR="00E02218">
        <w:fldChar w:fldCharType="end"/>
      </w:r>
      <w:r>
        <w:t xml:space="preserve"> below)</w:t>
      </w:r>
    </w:p>
    <w:p w14:paraId="1F15BD55" w14:textId="7278B0A4" w:rsidR="003A2C76" w:rsidRDefault="00E02218" w:rsidP="00E02218">
      <w:pPr>
        <w:pStyle w:val="FigureCaption"/>
      </w:pPr>
      <w:bookmarkStart w:id="105" w:name="_Ref93659689"/>
      <w:bookmarkStart w:id="106" w:name="_Toc98760551"/>
      <w:r w:rsidRPr="00E84337">
        <w:t>Figure </w:t>
      </w:r>
      <w:r w:rsidRPr="00E84337">
        <w:fldChar w:fldCharType="begin"/>
      </w:r>
      <w:r w:rsidRPr="00E84337">
        <w:instrText>SEQ Figure \* ARABIC</w:instrText>
      </w:r>
      <w:r w:rsidRPr="00E84337">
        <w:fldChar w:fldCharType="separate"/>
      </w:r>
      <w:r w:rsidR="002C631E">
        <w:rPr>
          <w:noProof/>
        </w:rPr>
        <w:t>20</w:t>
      </w:r>
      <w:r w:rsidRPr="00E84337">
        <w:fldChar w:fldCharType="end"/>
      </w:r>
      <w:bookmarkEnd w:id="105"/>
      <w:r>
        <w:t xml:space="preserve"> </w:t>
      </w:r>
      <w:r w:rsidRPr="00E02218">
        <w:t>Proportion of each cost component in different phases</w:t>
      </w:r>
      <w:r>
        <w:t xml:space="preserve"> of breast cancer</w:t>
      </w:r>
      <w:bookmarkEnd w:id="106"/>
    </w:p>
    <w:p w14:paraId="356F5D3E" w14:textId="5F0E22FA" w:rsidR="003A2C76" w:rsidRDefault="00443F33" w:rsidP="003A2C76">
      <w:pPr>
        <w:pStyle w:val="USBullet1"/>
        <w:numPr>
          <w:ilvl w:val="0"/>
          <w:numId w:val="0"/>
        </w:numPr>
        <w:ind w:left="1276"/>
      </w:pPr>
      <w:r>
        <w:rPr>
          <w:noProof/>
        </w:rPr>
        <w:drawing>
          <wp:inline distT="0" distB="0" distL="0" distR="0" wp14:anchorId="3C60C197" wp14:editId="72F6EC8C">
            <wp:extent cx="5037455" cy="2762250"/>
            <wp:effectExtent l="0" t="0" r="0" b="0"/>
            <wp:docPr id="48" name="Picture 48" descr="Figure 20 Proportion of each cost component in different phases of breast canc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20 Proportion of each cost component in different phases of breast cancer&#10;&#10;"/>
                    <pic:cNvPicPr/>
                  </pic:nvPicPr>
                  <pic:blipFill>
                    <a:blip r:embed="rId51"/>
                    <a:stretch>
                      <a:fillRect/>
                    </a:stretch>
                  </pic:blipFill>
                  <pic:spPr>
                    <a:xfrm>
                      <a:off x="0" y="0"/>
                      <a:ext cx="5045071" cy="2766426"/>
                    </a:xfrm>
                    <a:prstGeom prst="rect">
                      <a:avLst/>
                    </a:prstGeom>
                  </pic:spPr>
                </pic:pic>
              </a:graphicData>
            </a:graphic>
          </wp:inline>
        </w:drawing>
      </w:r>
    </w:p>
    <w:p w14:paraId="03422A02" w14:textId="16D06A5F" w:rsidR="00443F33" w:rsidRPr="00E02218" w:rsidRDefault="00443F33" w:rsidP="00E02218">
      <w:pPr>
        <w:pStyle w:val="USSource"/>
      </w:pPr>
      <w:r>
        <w:t xml:space="preserve">Source: </w:t>
      </w:r>
      <w:r w:rsidR="00E02218" w:rsidRPr="00E02218">
        <w:rPr>
          <w:rFonts w:cs="Calibri"/>
        </w:rPr>
        <w:t>Lao et al. (2021)</w:t>
      </w:r>
    </w:p>
    <w:p w14:paraId="7EB6BB73" w14:textId="77777777" w:rsidR="00E02218" w:rsidRDefault="00E02218" w:rsidP="00724139">
      <w:pPr>
        <w:pStyle w:val="USBodyText"/>
        <w:rPr>
          <w:b/>
          <w:bCs/>
        </w:rPr>
      </w:pPr>
    </w:p>
    <w:p w14:paraId="4BE217CA" w14:textId="06BF3792" w:rsidR="00AB41E8" w:rsidRDefault="00235274" w:rsidP="00724139">
      <w:pPr>
        <w:pStyle w:val="USBodyText"/>
      </w:pPr>
      <w:r w:rsidRPr="000D6056">
        <w:rPr>
          <w:b/>
          <w:bCs/>
        </w:rPr>
        <w:lastRenderedPageBreak/>
        <w:t xml:space="preserve">Blakely et </w:t>
      </w:r>
      <w:r w:rsidRPr="00F57CA7">
        <w:rPr>
          <w:b/>
          <w:bCs/>
        </w:rPr>
        <w:t xml:space="preserve">al. </w:t>
      </w:r>
      <w:r w:rsidR="001654CA" w:rsidRPr="00F57CA7">
        <w:rPr>
          <w:rFonts w:cs="Calibri"/>
          <w:b/>
          <w:bCs/>
        </w:rPr>
        <w:t>(2015)</w:t>
      </w:r>
      <w:r>
        <w:t xml:space="preserve"> linked New Zealand cancer registry data to </w:t>
      </w:r>
      <w:r w:rsidR="00565EA6">
        <w:t xml:space="preserve">inpatient, outpatient, general practice, </w:t>
      </w:r>
      <w:r w:rsidR="005766C8">
        <w:t xml:space="preserve">community </w:t>
      </w:r>
      <w:r w:rsidR="00565EA6">
        <w:t xml:space="preserve">pharmaceutical and </w:t>
      </w:r>
      <w:r w:rsidR="005766C8">
        <w:t xml:space="preserve">community </w:t>
      </w:r>
      <w:r w:rsidR="00565EA6">
        <w:t xml:space="preserve">laboratory data </w:t>
      </w:r>
      <w:r w:rsidR="009C5020">
        <w:t>from 2006 to 2011</w:t>
      </w:r>
      <w:r w:rsidR="00A46197">
        <w:t>. Th</w:t>
      </w:r>
      <w:r w:rsidR="00F7764F">
        <w:t>is study</w:t>
      </w:r>
      <w:r w:rsidR="009C5020">
        <w:t xml:space="preserve"> </w:t>
      </w:r>
      <w:r w:rsidR="00542ED1">
        <w:t xml:space="preserve">used the excess cost approach to </w:t>
      </w:r>
      <w:r w:rsidR="009C5020">
        <w:t>calculate</w:t>
      </w:r>
      <w:r w:rsidR="00542ED1">
        <w:t xml:space="preserve"> the</w:t>
      </w:r>
      <w:r w:rsidR="009C5020">
        <w:t xml:space="preserve"> excess costs of cancer</w:t>
      </w:r>
      <w:r w:rsidR="00167938">
        <w:t xml:space="preserve">. </w:t>
      </w:r>
      <w:r w:rsidR="00AB41E8">
        <w:t xml:space="preserve">The estimates include only </w:t>
      </w:r>
      <w:r w:rsidR="00543576">
        <w:t xml:space="preserve">public </w:t>
      </w:r>
      <w:r w:rsidR="00AB41E8">
        <w:t>health and disability system costs</w:t>
      </w:r>
      <w:r w:rsidR="00543576">
        <w:t xml:space="preserve"> and exclude major cost categories</w:t>
      </w:r>
      <w:r w:rsidR="00A46197">
        <w:t>,</w:t>
      </w:r>
      <w:r w:rsidR="00543576">
        <w:t xml:space="preserve"> including lost productivity, private health care costs, </w:t>
      </w:r>
      <w:r w:rsidR="00440948">
        <w:t xml:space="preserve">informal caregiver costs and </w:t>
      </w:r>
      <w:r w:rsidR="00DD0197">
        <w:t>wellbeing impacts.</w:t>
      </w:r>
      <w:r w:rsidR="006E3DA0">
        <w:t xml:space="preserve"> Furthermore, some categories of public health and disability system costs are excluded:</w:t>
      </w:r>
      <w:r w:rsidR="00331DD7">
        <w:t xml:space="preserve"> maternity care</w:t>
      </w:r>
      <w:r w:rsidR="008203A8">
        <w:t xml:space="preserve"> outside of hospitals</w:t>
      </w:r>
      <w:r w:rsidR="00331DD7">
        <w:t>, mental health, disability support services</w:t>
      </w:r>
      <w:r w:rsidR="006F2850">
        <w:t>, and injuries (ACC data).</w:t>
      </w:r>
    </w:p>
    <w:p w14:paraId="1B47A740" w14:textId="5876E633" w:rsidR="007A2E9D" w:rsidRDefault="00167938" w:rsidP="00724139">
      <w:pPr>
        <w:pStyle w:val="USBodyText"/>
      </w:pPr>
      <w:r>
        <w:t xml:space="preserve">Results indicate that the </w:t>
      </w:r>
      <w:r w:rsidRPr="00167938">
        <w:t xml:space="preserve">first adult cancer diagnosed </w:t>
      </w:r>
      <w:r>
        <w:t>is associated with an</w:t>
      </w:r>
      <w:r w:rsidRPr="00167938">
        <w:t xml:space="preserve"> excess cost per</w:t>
      </w:r>
      <w:r>
        <w:t xml:space="preserve"> </w:t>
      </w:r>
      <w:r w:rsidRPr="00167938">
        <w:t xml:space="preserve">person </w:t>
      </w:r>
      <w:r>
        <w:t>of</w:t>
      </w:r>
      <w:r w:rsidRPr="00167938">
        <w:t xml:space="preserve"> between US$3400 and US$4300 </w:t>
      </w:r>
      <w:r>
        <w:t xml:space="preserve">(2011 dollars) </w:t>
      </w:r>
      <w:r w:rsidRPr="00167938">
        <w:t>in the first month</w:t>
      </w:r>
      <w:r>
        <w:t xml:space="preserve"> after </w:t>
      </w:r>
      <w:r w:rsidRPr="00167938">
        <w:t>diagnosis</w:t>
      </w:r>
      <w:r w:rsidR="008C7482">
        <w:t xml:space="preserve">, falling </w:t>
      </w:r>
      <w:r w:rsidRPr="00167938">
        <w:t>to US$50–US$150 per</w:t>
      </w:r>
      <w:r w:rsidR="008C7482">
        <w:t xml:space="preserve"> </w:t>
      </w:r>
      <w:r w:rsidRPr="00167938">
        <w:t xml:space="preserve">month </w:t>
      </w:r>
      <w:r w:rsidR="008C7482">
        <w:t>by</w:t>
      </w:r>
      <w:r w:rsidRPr="00167938">
        <w:t xml:space="preserve"> 2 or more years </w:t>
      </w:r>
      <w:r w:rsidR="008C7482">
        <w:t>later</w:t>
      </w:r>
      <w:r w:rsidRPr="00167938">
        <w:t xml:space="preserve"> (excluding death</w:t>
      </w:r>
      <w:r w:rsidR="008C7482">
        <w:t>s</w:t>
      </w:r>
      <w:r w:rsidRPr="00167938">
        <w:t>)</w:t>
      </w:r>
      <w:r w:rsidR="008C7482">
        <w:t xml:space="preserve">. </w:t>
      </w:r>
      <w:r w:rsidR="0076549E">
        <w:t>Excess c</w:t>
      </w:r>
      <w:r w:rsidR="008C7482">
        <w:t xml:space="preserve">osts </w:t>
      </w:r>
      <w:r w:rsidRPr="00167938">
        <w:t xml:space="preserve">increased </w:t>
      </w:r>
      <w:r w:rsidR="0076549E">
        <w:t xml:space="preserve">by </w:t>
      </w:r>
      <w:r w:rsidRPr="00167938">
        <w:t>US$3800–US$8300 in the last month of life</w:t>
      </w:r>
      <w:r w:rsidR="0076549E">
        <w:t xml:space="preserve"> for those who died with cancer</w:t>
      </w:r>
      <w:r w:rsidRPr="00167938">
        <w:t xml:space="preserve">. </w:t>
      </w:r>
      <w:r w:rsidR="0076549E">
        <w:t xml:space="preserve">Variations by </w:t>
      </w:r>
      <w:r w:rsidRPr="00167938">
        <w:t>cancer</w:t>
      </w:r>
      <w:r w:rsidR="0076549E">
        <w:t xml:space="preserve"> site in</w:t>
      </w:r>
      <w:r w:rsidR="00D86007">
        <w:t xml:space="preserve">cluded brain cancer excess costs being 20 times as high as </w:t>
      </w:r>
      <w:r w:rsidR="003A616D">
        <w:t xml:space="preserve">prostate cancer excess costs. </w:t>
      </w:r>
      <w:r w:rsidR="00584C00">
        <w:t>Based on</w:t>
      </w:r>
      <w:r w:rsidR="003A616D">
        <w:t xml:space="preserve"> total excess cost p</w:t>
      </w:r>
      <w:r w:rsidRPr="00167938">
        <w:t>er diagnosed case</w:t>
      </w:r>
      <w:r w:rsidR="003A616D">
        <w:t xml:space="preserve">, results ranged from </w:t>
      </w:r>
      <w:r w:rsidRPr="00167938">
        <w:t xml:space="preserve">US$8000 </w:t>
      </w:r>
      <w:r w:rsidR="003A616D">
        <w:t xml:space="preserve">for </w:t>
      </w:r>
      <w:r w:rsidRPr="00167938">
        <w:t xml:space="preserve">melanoma to US$98,000 </w:t>
      </w:r>
      <w:r w:rsidR="003A616D">
        <w:t xml:space="preserve">for </w:t>
      </w:r>
      <w:r w:rsidRPr="00167938">
        <w:t>bone and connective tissue</w:t>
      </w:r>
      <w:r w:rsidR="003A616D">
        <w:t xml:space="preserve"> cancer</w:t>
      </w:r>
      <w:r w:rsidRPr="00167938">
        <w:t>.</w:t>
      </w:r>
      <w:r w:rsidR="003A616D">
        <w:t xml:space="preserve"> Overall, e</w:t>
      </w:r>
      <w:r w:rsidRPr="00167938">
        <w:t xml:space="preserve">xcess costs </w:t>
      </w:r>
      <w:r w:rsidR="003A616D">
        <w:t xml:space="preserve">attributed to cancer </w:t>
      </w:r>
      <w:r w:rsidR="00B1262F">
        <w:t>accounted for</w:t>
      </w:r>
      <w:r w:rsidR="00661D8D">
        <w:t xml:space="preserve"> $880</w:t>
      </w:r>
      <w:r w:rsidR="00DB4B62">
        <w:t xml:space="preserve"> million in 2011, or</w:t>
      </w:r>
      <w:r w:rsidRPr="00167938">
        <w:t xml:space="preserve"> 6.5</w:t>
      </w:r>
      <w:r w:rsidR="00B1262F">
        <w:t xml:space="preserve"> percent of</w:t>
      </w:r>
      <w:r w:rsidRPr="00167938">
        <w:t xml:space="preserve"> </w:t>
      </w:r>
      <w:r w:rsidR="00B1262F">
        <w:t>health system expenditure (Vote: Health</w:t>
      </w:r>
      <w:r w:rsidR="00DB4B62">
        <w:t xml:space="preserve"> 2011/12</w:t>
      </w:r>
      <w:r w:rsidR="00B1262F">
        <w:t>)</w:t>
      </w:r>
      <w:r w:rsidR="00724139">
        <w:t xml:space="preserve">. </w:t>
      </w:r>
    </w:p>
    <w:p w14:paraId="11F0CE15" w14:textId="5DD87EC1" w:rsidR="00BA74A1" w:rsidRDefault="00BA74A1" w:rsidP="00724139">
      <w:pPr>
        <w:pStyle w:val="USBodyText"/>
      </w:pPr>
      <w:r>
        <w:t>Excess costs per diagnosed case are summarised in the table below</w:t>
      </w:r>
      <w:r w:rsidR="008203A8">
        <w:t xml:space="preserve"> for the </w:t>
      </w:r>
      <w:r w:rsidR="00FE1B7C">
        <w:t>five most common cancers by incidence rate</w:t>
      </w:r>
      <w:r>
        <w:t>.</w:t>
      </w:r>
    </w:p>
    <w:p w14:paraId="144427A5" w14:textId="519E0041" w:rsidR="00441B1A" w:rsidRPr="00441B1A" w:rsidRDefault="00584C00" w:rsidP="00FE1B7C">
      <w:pPr>
        <w:pStyle w:val="TableCaption"/>
      </w:pPr>
      <w:bookmarkStart w:id="107" w:name="_Hlk93659859"/>
      <w:bookmarkStart w:id="108" w:name="_Toc98760577"/>
      <w:r w:rsidRPr="00D1180A">
        <w:t xml:space="preserve">Table </w:t>
      </w:r>
      <w:r w:rsidR="00443CD7">
        <w:fldChar w:fldCharType="begin"/>
      </w:r>
      <w:r w:rsidR="00443CD7">
        <w:instrText xml:space="preserve"> SEQ Tabl</w:instrText>
      </w:r>
      <w:r w:rsidR="00443CD7">
        <w:instrText xml:space="preserve">e \* ARABIC </w:instrText>
      </w:r>
      <w:r w:rsidR="00443CD7">
        <w:fldChar w:fldCharType="separate"/>
      </w:r>
      <w:r w:rsidR="002C631E">
        <w:rPr>
          <w:noProof/>
        </w:rPr>
        <w:t>13</w:t>
      </w:r>
      <w:r w:rsidR="00443CD7">
        <w:rPr>
          <w:noProof/>
        </w:rPr>
        <w:fldChar w:fldCharType="end"/>
      </w:r>
      <w:r>
        <w:t xml:space="preserve"> </w:t>
      </w:r>
      <w:r w:rsidR="003F212D">
        <w:t xml:space="preserve">Excess </w:t>
      </w:r>
      <w:bookmarkEnd w:id="107"/>
      <w:r w:rsidR="003F212D">
        <w:t xml:space="preserve">costs of </w:t>
      </w:r>
      <w:r w:rsidR="009671F3">
        <w:t xml:space="preserve">five highest incidence </w:t>
      </w:r>
      <w:r w:rsidR="003F212D">
        <w:t>cancers, 2010-2011</w:t>
      </w:r>
      <w:bookmarkEnd w:id="108"/>
    </w:p>
    <w:p w14:paraId="71869576" w14:textId="5C1053B8" w:rsidR="00BA3241" w:rsidRPr="004A10B3" w:rsidRDefault="00D116C6" w:rsidP="002A202A">
      <w:pPr>
        <w:pStyle w:val="CaptionSubheading"/>
      </w:pPr>
      <w:r>
        <w:t>(2010 dollars)</w:t>
      </w:r>
    </w:p>
    <w:tbl>
      <w:tblPr>
        <w:tblStyle w:val="TableDefault"/>
        <w:tblW w:w="0" w:type="auto"/>
        <w:tblLook w:val="04A0" w:firstRow="1" w:lastRow="0" w:firstColumn="1" w:lastColumn="0" w:noHBand="0" w:noVBand="1"/>
      </w:tblPr>
      <w:tblGrid>
        <w:gridCol w:w="2410"/>
        <w:gridCol w:w="992"/>
        <w:gridCol w:w="1134"/>
        <w:gridCol w:w="1843"/>
        <w:gridCol w:w="1841"/>
      </w:tblGrid>
      <w:tr w:rsidR="001F19FE" w14:paraId="45046B09" w14:textId="77777777" w:rsidTr="008203A8">
        <w:trPr>
          <w:cnfStyle w:val="100000000000" w:firstRow="1" w:lastRow="0" w:firstColumn="0" w:lastColumn="0" w:oddVBand="0" w:evenVBand="0" w:oddHBand="0" w:evenHBand="0" w:firstRowFirstColumn="0" w:firstRowLastColumn="0" w:lastRowFirstColumn="0" w:lastRowLastColumn="0"/>
        </w:trPr>
        <w:tc>
          <w:tcPr>
            <w:tcW w:w="2410" w:type="dxa"/>
          </w:tcPr>
          <w:p w14:paraId="63B58C4C" w14:textId="3699B83B" w:rsidR="00266417" w:rsidRPr="008203A8" w:rsidRDefault="00266417" w:rsidP="00D116C6">
            <w:pPr>
              <w:pStyle w:val="TSTableHeadingWhite-TopRow"/>
              <w:rPr>
                <w:b w:val="0"/>
                <w:bCs/>
                <w:color w:val="FFFFFF" w:themeColor="background1"/>
              </w:rPr>
            </w:pPr>
            <w:r w:rsidRPr="008203A8">
              <w:t>Site</w:t>
            </w:r>
          </w:p>
        </w:tc>
        <w:tc>
          <w:tcPr>
            <w:tcW w:w="992" w:type="dxa"/>
          </w:tcPr>
          <w:p w14:paraId="46D41D32" w14:textId="75C34895" w:rsidR="00266417" w:rsidRPr="008203A8" w:rsidRDefault="00266417" w:rsidP="00D116C6">
            <w:pPr>
              <w:pStyle w:val="TSTableHeadingWhite-TopRow"/>
              <w:rPr>
                <w:b w:val="0"/>
                <w:bCs/>
                <w:color w:val="FFFFFF" w:themeColor="background1"/>
              </w:rPr>
            </w:pPr>
            <w:r w:rsidRPr="008203A8">
              <w:t>ICD 10 Code</w:t>
            </w:r>
          </w:p>
        </w:tc>
        <w:tc>
          <w:tcPr>
            <w:tcW w:w="1134" w:type="dxa"/>
          </w:tcPr>
          <w:p w14:paraId="5270DBFB" w14:textId="6E32629A" w:rsidR="00266417" w:rsidRPr="008203A8" w:rsidRDefault="00A90391" w:rsidP="00D116C6">
            <w:pPr>
              <w:pStyle w:val="TSTableHeadingWhite-TopRow"/>
              <w:rPr>
                <w:b w:val="0"/>
                <w:bCs/>
                <w:color w:val="FFFFFF" w:themeColor="background1"/>
              </w:rPr>
            </w:pPr>
            <w:r w:rsidRPr="008203A8">
              <w:t>Incidence rate</w:t>
            </w:r>
            <w:r w:rsidR="004C7FB7" w:rsidRPr="008203A8">
              <w:rPr>
                <w:bCs/>
                <w:color w:val="FFFFFF" w:themeColor="background1"/>
                <w:vertAlign w:val="superscript"/>
              </w:rPr>
              <w:t>1</w:t>
            </w:r>
            <w:r w:rsidRPr="008203A8">
              <w:rPr>
                <w:bCs/>
                <w:color w:val="FFFFFF" w:themeColor="background1"/>
              </w:rPr>
              <w:t xml:space="preserve"> </w:t>
            </w:r>
          </w:p>
        </w:tc>
        <w:tc>
          <w:tcPr>
            <w:tcW w:w="1843" w:type="dxa"/>
          </w:tcPr>
          <w:p w14:paraId="015BEFA7" w14:textId="078DF486" w:rsidR="001F19FE" w:rsidRPr="008203A8" w:rsidRDefault="009D7C63" w:rsidP="00D116C6">
            <w:pPr>
              <w:pStyle w:val="TSTableHeadingWhite-TopRow"/>
              <w:rPr>
                <w:b w:val="0"/>
                <w:bCs/>
                <w:color w:val="FFFFFF" w:themeColor="background1"/>
              </w:rPr>
            </w:pPr>
            <w:r w:rsidRPr="008203A8">
              <w:t>Total e</w:t>
            </w:r>
            <w:r w:rsidR="00A90391" w:rsidRPr="008203A8">
              <w:rPr>
                <w:bCs/>
                <w:color w:val="FFFFFF" w:themeColor="background1"/>
              </w:rPr>
              <w:t>xcess costs</w:t>
            </w:r>
            <w:r w:rsidR="00F8137F" w:rsidRPr="008203A8">
              <w:rPr>
                <w:bCs/>
                <w:color w:val="FFFFFF" w:themeColor="background1"/>
              </w:rPr>
              <w:t xml:space="preserve"> </w:t>
            </w:r>
          </w:p>
          <w:p w14:paraId="4EB41DB3" w14:textId="4CBFA012" w:rsidR="00266417" w:rsidRPr="008203A8" w:rsidRDefault="004824C0" w:rsidP="00D116C6">
            <w:pPr>
              <w:pStyle w:val="TSTableHeadingWhite-TopRow"/>
              <w:rPr>
                <w:b w:val="0"/>
                <w:bCs/>
                <w:color w:val="FFFFFF" w:themeColor="background1"/>
              </w:rPr>
            </w:pPr>
            <w:r w:rsidRPr="008203A8">
              <w:t>(</w:t>
            </w:r>
            <w:r w:rsidR="001F19FE" w:rsidRPr="008203A8">
              <w:rPr>
                <w:bCs/>
                <w:color w:val="FFFFFF" w:themeColor="background1"/>
              </w:rPr>
              <w:t>$</w:t>
            </w:r>
            <w:r w:rsidR="009B1AC4" w:rsidRPr="008203A8">
              <w:rPr>
                <w:bCs/>
                <w:color w:val="FFFFFF" w:themeColor="background1"/>
              </w:rPr>
              <w:t xml:space="preserve"> </w:t>
            </w:r>
            <w:r w:rsidR="001F19FE" w:rsidRPr="008203A8">
              <w:rPr>
                <w:bCs/>
                <w:color w:val="FFFFFF" w:themeColor="background1"/>
              </w:rPr>
              <w:t>millions</w:t>
            </w:r>
            <w:r w:rsidRPr="008203A8">
              <w:rPr>
                <w:bCs/>
                <w:color w:val="FFFFFF" w:themeColor="background1"/>
              </w:rPr>
              <w:t>)</w:t>
            </w:r>
          </w:p>
        </w:tc>
        <w:tc>
          <w:tcPr>
            <w:tcW w:w="1841" w:type="dxa"/>
          </w:tcPr>
          <w:p w14:paraId="6EE43CFB" w14:textId="6E6CB84A" w:rsidR="00266417" w:rsidRPr="008203A8" w:rsidRDefault="00F8137F" w:rsidP="00D116C6">
            <w:pPr>
              <w:pStyle w:val="TSTableHeadingWhite-TopRow"/>
              <w:rPr>
                <w:b w:val="0"/>
                <w:bCs/>
                <w:color w:val="FFFFFF" w:themeColor="background1"/>
              </w:rPr>
            </w:pPr>
            <w:r w:rsidRPr="008203A8">
              <w:t xml:space="preserve">Excess costs per </w:t>
            </w:r>
            <w:r w:rsidRPr="008203A8">
              <w:rPr>
                <w:bCs/>
                <w:color w:val="FFFFFF" w:themeColor="background1"/>
              </w:rPr>
              <w:t>diagnosed case</w:t>
            </w:r>
          </w:p>
        </w:tc>
      </w:tr>
      <w:tr w:rsidR="007D796E" w14:paraId="7F7F894A" w14:textId="77777777" w:rsidTr="008203A8">
        <w:tc>
          <w:tcPr>
            <w:tcW w:w="2410" w:type="dxa"/>
          </w:tcPr>
          <w:p w14:paraId="558B09DE" w14:textId="16D4AF66" w:rsidR="00266417" w:rsidRDefault="004C7FB7" w:rsidP="00D116C6">
            <w:pPr>
              <w:pStyle w:val="TSBodyText"/>
            </w:pPr>
            <w:r>
              <w:t>Breast</w:t>
            </w:r>
          </w:p>
        </w:tc>
        <w:tc>
          <w:tcPr>
            <w:tcW w:w="992" w:type="dxa"/>
          </w:tcPr>
          <w:p w14:paraId="52065C12" w14:textId="1B72B6E3" w:rsidR="00266417" w:rsidRDefault="004C7FB7" w:rsidP="00D116C6">
            <w:pPr>
              <w:pStyle w:val="TSBodyText"/>
            </w:pPr>
            <w:r>
              <w:t>C50</w:t>
            </w:r>
          </w:p>
        </w:tc>
        <w:tc>
          <w:tcPr>
            <w:tcW w:w="1134" w:type="dxa"/>
          </w:tcPr>
          <w:p w14:paraId="5906F0E2" w14:textId="416F33C2" w:rsidR="00266417" w:rsidRDefault="004C7FB7" w:rsidP="00D116C6">
            <w:pPr>
              <w:pStyle w:val="TSBodyText"/>
            </w:pPr>
            <w:r>
              <w:t>48.2</w:t>
            </w:r>
          </w:p>
        </w:tc>
        <w:tc>
          <w:tcPr>
            <w:tcW w:w="1843" w:type="dxa"/>
          </w:tcPr>
          <w:p w14:paraId="7A53FFD7" w14:textId="30A97825" w:rsidR="00266417" w:rsidRDefault="001F19FE" w:rsidP="00D116C6">
            <w:pPr>
              <w:pStyle w:val="TSBodyText"/>
            </w:pPr>
            <w:r>
              <w:t>$126.7</w:t>
            </w:r>
          </w:p>
        </w:tc>
        <w:tc>
          <w:tcPr>
            <w:tcW w:w="1841" w:type="dxa"/>
          </w:tcPr>
          <w:p w14:paraId="038AD0F9" w14:textId="51572EE9" w:rsidR="00266417" w:rsidRDefault="003F212D" w:rsidP="00D116C6">
            <w:pPr>
              <w:pStyle w:val="TSBodyText"/>
            </w:pPr>
            <w:r>
              <w:t>$45,000</w:t>
            </w:r>
          </w:p>
        </w:tc>
      </w:tr>
      <w:tr w:rsidR="00106BFC" w14:paraId="125DCA25" w14:textId="77777777" w:rsidTr="008203A8">
        <w:trPr>
          <w:cnfStyle w:val="000000010000" w:firstRow="0" w:lastRow="0" w:firstColumn="0" w:lastColumn="0" w:oddVBand="0" w:evenVBand="0" w:oddHBand="0" w:evenHBand="1" w:firstRowFirstColumn="0" w:firstRowLastColumn="0" w:lastRowFirstColumn="0" w:lastRowLastColumn="0"/>
        </w:trPr>
        <w:tc>
          <w:tcPr>
            <w:tcW w:w="2410" w:type="dxa"/>
          </w:tcPr>
          <w:p w14:paraId="64BE4C46" w14:textId="11B2BFC1" w:rsidR="00106BFC" w:rsidRDefault="00106BFC" w:rsidP="00D116C6">
            <w:pPr>
              <w:pStyle w:val="TSBodyText"/>
            </w:pPr>
            <w:r>
              <w:t>Prostate</w:t>
            </w:r>
          </w:p>
        </w:tc>
        <w:tc>
          <w:tcPr>
            <w:tcW w:w="992" w:type="dxa"/>
          </w:tcPr>
          <w:p w14:paraId="7380FB6F" w14:textId="153B83BF" w:rsidR="00106BFC" w:rsidRDefault="006C0BB9" w:rsidP="00D116C6">
            <w:pPr>
              <w:pStyle w:val="TSBodyText"/>
            </w:pPr>
            <w:r>
              <w:t>C61</w:t>
            </w:r>
          </w:p>
        </w:tc>
        <w:tc>
          <w:tcPr>
            <w:tcW w:w="1134" w:type="dxa"/>
          </w:tcPr>
          <w:p w14:paraId="363AC1A5" w14:textId="09C91D8C" w:rsidR="00106BFC" w:rsidRDefault="006C0BB9" w:rsidP="00D116C6">
            <w:pPr>
              <w:pStyle w:val="TSBodyText"/>
            </w:pPr>
            <w:r>
              <w:t>46.9</w:t>
            </w:r>
          </w:p>
        </w:tc>
        <w:tc>
          <w:tcPr>
            <w:tcW w:w="1843" w:type="dxa"/>
          </w:tcPr>
          <w:p w14:paraId="07239536" w14:textId="2C63AECF" w:rsidR="00106BFC" w:rsidRDefault="002126C1" w:rsidP="00D116C6">
            <w:pPr>
              <w:pStyle w:val="TSBodyText"/>
            </w:pPr>
            <w:r>
              <w:t>$48.6</w:t>
            </w:r>
          </w:p>
        </w:tc>
        <w:tc>
          <w:tcPr>
            <w:tcW w:w="1841" w:type="dxa"/>
          </w:tcPr>
          <w:p w14:paraId="7B1FE9EB" w14:textId="1B16BC07" w:rsidR="00106BFC" w:rsidRDefault="00377682" w:rsidP="00D116C6">
            <w:pPr>
              <w:pStyle w:val="TSBodyText"/>
            </w:pPr>
            <w:r>
              <w:t>$16,000</w:t>
            </w:r>
          </w:p>
        </w:tc>
      </w:tr>
      <w:tr w:rsidR="001F19FE" w14:paraId="52DAE0DD" w14:textId="77777777" w:rsidTr="008203A8">
        <w:tc>
          <w:tcPr>
            <w:tcW w:w="2410" w:type="dxa"/>
          </w:tcPr>
          <w:p w14:paraId="5AC2DBDC" w14:textId="45C25B83" w:rsidR="00266417" w:rsidRDefault="007D796E" w:rsidP="00D116C6">
            <w:pPr>
              <w:pStyle w:val="TSBodyText"/>
            </w:pPr>
            <w:r>
              <w:t>Colorectal and anus</w:t>
            </w:r>
          </w:p>
        </w:tc>
        <w:tc>
          <w:tcPr>
            <w:tcW w:w="992" w:type="dxa"/>
          </w:tcPr>
          <w:p w14:paraId="00796A0E" w14:textId="38408CE1" w:rsidR="00266417" w:rsidRDefault="007D796E" w:rsidP="00D116C6">
            <w:pPr>
              <w:pStyle w:val="TSBodyText"/>
            </w:pPr>
            <w:r>
              <w:t>C18-21</w:t>
            </w:r>
          </w:p>
        </w:tc>
        <w:tc>
          <w:tcPr>
            <w:tcW w:w="1134" w:type="dxa"/>
          </w:tcPr>
          <w:p w14:paraId="4CE65A7A" w14:textId="2488A98F" w:rsidR="00266417" w:rsidRDefault="007D796E" w:rsidP="00D116C6">
            <w:pPr>
              <w:pStyle w:val="TSBodyText"/>
            </w:pPr>
            <w:r>
              <w:t>45.0</w:t>
            </w:r>
          </w:p>
        </w:tc>
        <w:tc>
          <w:tcPr>
            <w:tcW w:w="1843" w:type="dxa"/>
          </w:tcPr>
          <w:p w14:paraId="3C29C76C" w14:textId="73B143ED" w:rsidR="00266417" w:rsidRDefault="00196399" w:rsidP="00D116C6">
            <w:pPr>
              <w:pStyle w:val="TSBodyText"/>
            </w:pPr>
            <w:r>
              <w:t>$129.7</w:t>
            </w:r>
          </w:p>
        </w:tc>
        <w:tc>
          <w:tcPr>
            <w:tcW w:w="1841" w:type="dxa"/>
          </w:tcPr>
          <w:p w14:paraId="29D45C04" w14:textId="6B50886A" w:rsidR="00266417" w:rsidRDefault="00196399" w:rsidP="00D116C6">
            <w:pPr>
              <w:pStyle w:val="TSBodyText"/>
            </w:pPr>
            <w:r>
              <w:t>$43,000</w:t>
            </w:r>
          </w:p>
        </w:tc>
      </w:tr>
      <w:tr w:rsidR="007D796E" w14:paraId="774A89E3" w14:textId="77777777" w:rsidTr="008203A8">
        <w:trPr>
          <w:cnfStyle w:val="000000010000" w:firstRow="0" w:lastRow="0" w:firstColumn="0" w:lastColumn="0" w:oddVBand="0" w:evenVBand="0" w:oddHBand="0" w:evenHBand="1" w:firstRowFirstColumn="0" w:firstRowLastColumn="0" w:lastRowFirstColumn="0" w:lastRowLastColumn="0"/>
        </w:trPr>
        <w:tc>
          <w:tcPr>
            <w:tcW w:w="2410" w:type="dxa"/>
          </w:tcPr>
          <w:p w14:paraId="31F16F34" w14:textId="7999F805" w:rsidR="00266417" w:rsidRDefault="00196399" w:rsidP="00D116C6">
            <w:pPr>
              <w:pStyle w:val="TSBodyText"/>
            </w:pPr>
            <w:r>
              <w:t>Melanoma</w:t>
            </w:r>
          </w:p>
        </w:tc>
        <w:tc>
          <w:tcPr>
            <w:tcW w:w="992" w:type="dxa"/>
          </w:tcPr>
          <w:p w14:paraId="1643ED78" w14:textId="548B27CF" w:rsidR="00266417" w:rsidRDefault="00196399" w:rsidP="00D116C6">
            <w:pPr>
              <w:pStyle w:val="TSBodyText"/>
            </w:pPr>
            <w:r>
              <w:t>C43</w:t>
            </w:r>
          </w:p>
        </w:tc>
        <w:tc>
          <w:tcPr>
            <w:tcW w:w="1134" w:type="dxa"/>
          </w:tcPr>
          <w:p w14:paraId="46F9C453" w14:textId="37A0EF22" w:rsidR="00266417" w:rsidRDefault="006C0D89" w:rsidP="00D116C6">
            <w:pPr>
              <w:pStyle w:val="TSBodyText"/>
            </w:pPr>
            <w:r>
              <w:t>39.4</w:t>
            </w:r>
          </w:p>
        </w:tc>
        <w:tc>
          <w:tcPr>
            <w:tcW w:w="1843" w:type="dxa"/>
          </w:tcPr>
          <w:p w14:paraId="76ED72AD" w14:textId="5D568C4E" w:rsidR="00266417" w:rsidRDefault="006C0D89" w:rsidP="00D116C6">
            <w:pPr>
              <w:pStyle w:val="TSBodyText"/>
            </w:pPr>
            <w:r>
              <w:t>$18.1</w:t>
            </w:r>
          </w:p>
        </w:tc>
        <w:tc>
          <w:tcPr>
            <w:tcW w:w="1841" w:type="dxa"/>
          </w:tcPr>
          <w:p w14:paraId="0E553E7A" w14:textId="30905010" w:rsidR="00266417" w:rsidRDefault="006C0D89" w:rsidP="00D116C6">
            <w:pPr>
              <w:pStyle w:val="TSBodyText"/>
            </w:pPr>
            <w:r>
              <w:t>$8,000</w:t>
            </w:r>
          </w:p>
        </w:tc>
      </w:tr>
      <w:tr w:rsidR="001F19FE" w14:paraId="3CA37DDC" w14:textId="77777777" w:rsidTr="008203A8">
        <w:tc>
          <w:tcPr>
            <w:tcW w:w="2410" w:type="dxa"/>
          </w:tcPr>
          <w:p w14:paraId="0198B2D1" w14:textId="076847DB" w:rsidR="00266417" w:rsidRDefault="001E12F1" w:rsidP="00D116C6">
            <w:pPr>
              <w:pStyle w:val="TSBodyText"/>
            </w:pPr>
            <w:r>
              <w:t>Lung, trachea, bronchus</w:t>
            </w:r>
          </w:p>
        </w:tc>
        <w:tc>
          <w:tcPr>
            <w:tcW w:w="992" w:type="dxa"/>
          </w:tcPr>
          <w:p w14:paraId="5A10BE63" w14:textId="7768CEB3" w:rsidR="00266417" w:rsidRDefault="001E12F1" w:rsidP="00D116C6">
            <w:pPr>
              <w:pStyle w:val="TSBodyText"/>
            </w:pPr>
            <w:r>
              <w:t>C33-34</w:t>
            </w:r>
          </w:p>
        </w:tc>
        <w:tc>
          <w:tcPr>
            <w:tcW w:w="1134" w:type="dxa"/>
          </w:tcPr>
          <w:p w14:paraId="4F64BA3A" w14:textId="7BDC5931" w:rsidR="00266417" w:rsidRDefault="001E12F1" w:rsidP="00D116C6">
            <w:pPr>
              <w:pStyle w:val="TSBodyText"/>
            </w:pPr>
            <w:r>
              <w:t>29.5</w:t>
            </w:r>
          </w:p>
        </w:tc>
        <w:tc>
          <w:tcPr>
            <w:tcW w:w="1843" w:type="dxa"/>
          </w:tcPr>
          <w:p w14:paraId="66491557" w14:textId="4E6BD727" w:rsidR="00266417" w:rsidRDefault="001E12F1" w:rsidP="00D116C6">
            <w:pPr>
              <w:pStyle w:val="TSBodyText"/>
            </w:pPr>
            <w:r>
              <w:t>$</w:t>
            </w:r>
            <w:r w:rsidR="009671F3">
              <w:t>55.9</w:t>
            </w:r>
          </w:p>
        </w:tc>
        <w:tc>
          <w:tcPr>
            <w:tcW w:w="1841" w:type="dxa"/>
          </w:tcPr>
          <w:p w14:paraId="1CC49561" w14:textId="331A1A64" w:rsidR="00266417" w:rsidRDefault="009671F3" w:rsidP="00D116C6">
            <w:pPr>
              <w:pStyle w:val="TSBodyText"/>
            </w:pPr>
            <w:r>
              <w:t>$29,000</w:t>
            </w:r>
          </w:p>
        </w:tc>
      </w:tr>
    </w:tbl>
    <w:p w14:paraId="73015AE7" w14:textId="703F394F" w:rsidR="00BA74A1" w:rsidRDefault="004C7FB7" w:rsidP="00D116C6">
      <w:pPr>
        <w:pStyle w:val="USNotes"/>
      </w:pPr>
      <w:r>
        <w:t>Age</w:t>
      </w:r>
      <w:r w:rsidR="00234C40">
        <w:t>-</w:t>
      </w:r>
      <w:r>
        <w:t xml:space="preserve">standardised </w:t>
      </w:r>
      <w:r w:rsidR="001F19FE">
        <w:t xml:space="preserve">to </w:t>
      </w:r>
      <w:r w:rsidR="007900B1">
        <w:t xml:space="preserve">the </w:t>
      </w:r>
      <w:r w:rsidR="001F19FE">
        <w:t>world population, per 100,000 population</w:t>
      </w:r>
      <w:r w:rsidR="00E52A02">
        <w:t>, 2010</w:t>
      </w:r>
    </w:p>
    <w:p w14:paraId="233211A0" w14:textId="44866EAE" w:rsidR="00E52A02" w:rsidRPr="00E52A02" w:rsidRDefault="00E52A02" w:rsidP="00D116C6">
      <w:pPr>
        <w:pStyle w:val="USNotes"/>
      </w:pPr>
      <w:r>
        <w:t>All prevalent cases</w:t>
      </w:r>
      <w:r w:rsidR="00441B1A">
        <w:t>, $NZ (2011)</w:t>
      </w:r>
    </w:p>
    <w:p w14:paraId="554815D6" w14:textId="6710B5BA" w:rsidR="007A2E9D" w:rsidRDefault="009E3D7F" w:rsidP="00DB4B62">
      <w:pPr>
        <w:pStyle w:val="USSource"/>
      </w:pPr>
      <w:r>
        <w:t>Source: Blakely et al</w:t>
      </w:r>
      <w:r w:rsidRPr="00BA3241">
        <w:t>.</w:t>
      </w:r>
      <w:r w:rsidR="00B7706F">
        <w:t xml:space="preserve"> (</w:t>
      </w:r>
      <w:r>
        <w:t>2015</w:t>
      </w:r>
      <w:r w:rsidR="00B7706F">
        <w:t>)</w:t>
      </w:r>
    </w:p>
    <w:p w14:paraId="337AEB8D" w14:textId="7450E119" w:rsidR="00A304D1" w:rsidRDefault="00094BC3" w:rsidP="00094BC3">
      <w:pPr>
        <w:pStyle w:val="USBodyText"/>
      </w:pPr>
      <w:r>
        <w:t xml:space="preserve">The study also found an inverted U-shaped relationship between cost and relative survival, with cost per diagnosed case increasing </w:t>
      </w:r>
      <w:r w:rsidR="00F15F80">
        <w:t>up to relative survival</w:t>
      </w:r>
      <w:r>
        <w:t xml:space="preserve"> </w:t>
      </w:r>
      <w:r w:rsidR="00F15F80">
        <w:t xml:space="preserve">of </w:t>
      </w:r>
      <w:r w:rsidR="00D546FE">
        <w:t>0.4</w:t>
      </w:r>
      <w:r>
        <w:t xml:space="preserve"> </w:t>
      </w:r>
      <w:r w:rsidR="00D546FE">
        <w:t xml:space="preserve">before </w:t>
      </w:r>
      <w:r>
        <w:t>decreas</w:t>
      </w:r>
      <w:r w:rsidR="00D546FE">
        <w:t>ing</w:t>
      </w:r>
      <w:r>
        <w:t xml:space="preserve"> with</w:t>
      </w:r>
      <w:r w:rsidR="00D546FE">
        <w:t xml:space="preserve"> </w:t>
      </w:r>
      <w:r>
        <w:t>improv</w:t>
      </w:r>
      <w:r w:rsidR="00D546FE">
        <w:t>ed</w:t>
      </w:r>
      <w:r>
        <w:t xml:space="preserve"> survival.</w:t>
      </w:r>
    </w:p>
    <w:p w14:paraId="00353A4D" w14:textId="43DF763B" w:rsidR="00A304D1" w:rsidRDefault="00BA3241" w:rsidP="00A304D1">
      <w:pPr>
        <w:pStyle w:val="FigureCaption"/>
      </w:pPr>
      <w:bookmarkStart w:id="109" w:name="_Toc98760552"/>
      <w:r w:rsidRPr="00E84337">
        <w:lastRenderedPageBreak/>
        <w:t>Figure </w:t>
      </w:r>
      <w:r w:rsidRPr="00E84337">
        <w:fldChar w:fldCharType="begin"/>
      </w:r>
      <w:r w:rsidRPr="00E84337">
        <w:instrText>SEQ Figure \* ARABIC</w:instrText>
      </w:r>
      <w:r w:rsidRPr="00E84337">
        <w:fldChar w:fldCharType="separate"/>
      </w:r>
      <w:r w:rsidR="002C631E">
        <w:rPr>
          <w:noProof/>
        </w:rPr>
        <w:t>21</w:t>
      </w:r>
      <w:r w:rsidRPr="00E84337">
        <w:fldChar w:fldCharType="end"/>
      </w:r>
      <w:r>
        <w:t xml:space="preserve"> </w:t>
      </w:r>
      <w:r w:rsidR="00C73B59">
        <w:t xml:space="preserve">Association of </w:t>
      </w:r>
      <w:r w:rsidR="00EC05F1">
        <w:t xml:space="preserve">annual excess costs per diagnosed case with 5-year relative </w:t>
      </w:r>
      <w:r w:rsidR="00264D0E">
        <w:t>survival</w:t>
      </w:r>
      <w:r w:rsidR="00C13FD4">
        <w:t xml:space="preserve"> ratio, by cancer site</w:t>
      </w:r>
      <w:bookmarkEnd w:id="109"/>
    </w:p>
    <w:p w14:paraId="0191D237" w14:textId="0DAC4C52" w:rsidR="007A2E9D" w:rsidRDefault="007A2E9D" w:rsidP="00DB4B62">
      <w:pPr>
        <w:pStyle w:val="USBodyText"/>
        <w:keepNext/>
      </w:pPr>
      <w:r>
        <w:rPr>
          <w:noProof/>
        </w:rPr>
        <w:drawing>
          <wp:inline distT="0" distB="0" distL="0" distR="0" wp14:anchorId="25F8A34F" wp14:editId="3358D00A">
            <wp:extent cx="4133850" cy="3290765"/>
            <wp:effectExtent l="0" t="0" r="0" b="5080"/>
            <wp:docPr id="13" name="Picture 13" descr="Figure 21 Association of annual excess costs per diagnosed case with 5-year relative survival ratio, by cancer 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1 Association of annual excess costs per diagnosed case with 5-year relative survival ratio, by cancer site&#10;&#10;"/>
                    <pic:cNvPicPr/>
                  </pic:nvPicPr>
                  <pic:blipFill>
                    <a:blip r:embed="rId52"/>
                    <a:stretch>
                      <a:fillRect/>
                    </a:stretch>
                  </pic:blipFill>
                  <pic:spPr>
                    <a:xfrm>
                      <a:off x="0" y="0"/>
                      <a:ext cx="4149707" cy="3303388"/>
                    </a:xfrm>
                    <a:prstGeom prst="rect">
                      <a:avLst/>
                    </a:prstGeom>
                  </pic:spPr>
                </pic:pic>
              </a:graphicData>
            </a:graphic>
          </wp:inline>
        </w:drawing>
      </w:r>
    </w:p>
    <w:p w14:paraId="361DA89A" w14:textId="68D2FA5E" w:rsidR="000D6056" w:rsidRDefault="000D6056" w:rsidP="000D6056">
      <w:pPr>
        <w:pStyle w:val="USSource"/>
      </w:pPr>
      <w:r>
        <w:t xml:space="preserve">Source: Blakely et al. </w:t>
      </w:r>
      <w:r w:rsidR="00BC1F3C">
        <w:t>(</w:t>
      </w:r>
      <w:r>
        <w:t>2015</w:t>
      </w:r>
      <w:r w:rsidR="00BC1F3C">
        <w:t>)</w:t>
      </w:r>
    </w:p>
    <w:p w14:paraId="4182C012" w14:textId="767C1354" w:rsidR="000C5745" w:rsidRDefault="000C5745" w:rsidP="000C5745">
      <w:pPr>
        <w:pStyle w:val="Heading3"/>
      </w:pPr>
      <w:r>
        <w:t>Chronic kidney disease</w:t>
      </w:r>
    </w:p>
    <w:p w14:paraId="500F54EB" w14:textId="77777777" w:rsidR="000C5745" w:rsidRDefault="000C5745" w:rsidP="000C5745">
      <w:pPr>
        <w:pStyle w:val="USBodyText"/>
      </w:pPr>
      <w:r>
        <w:t xml:space="preserve">Although no New Zealand-based cost-of-illness study on chronic kidney disease (CKD) was found for the period covered by this review, a report comparing the cost of kidney dialysis to the cost of kidney transplantation over a patient’s lifetime identified differences in treatment costs by modality that are relevant to CKD. </w:t>
      </w:r>
    </w:p>
    <w:p w14:paraId="7739A82A" w14:textId="77777777" w:rsidR="000C5745" w:rsidRDefault="000C5745" w:rsidP="000C5745">
      <w:pPr>
        <w:pStyle w:val="USBodyText"/>
      </w:pPr>
      <w:r w:rsidRPr="00983094">
        <w:rPr>
          <w:b/>
          <w:bCs/>
        </w:rPr>
        <w:t>Hogan and Tuano (2021)</w:t>
      </w:r>
      <w:r>
        <w:t xml:space="preserve"> took a public health system perspective as well as a societal perspective. Costings were based on a top-down gross costing method following a cohort of patients who started kidney dialysis in 2014/15 and a cohort of patients who received a kidney transplant in 2014/15. The analysis compared public health system costs over the following five years. The analysis included the full cost of transplantation, including organ retrieval and donor work-up, and found that the excess treatment cost associated with transplantation is paid for within one to three years due to the high health system costs of people who receive kidney dialysis and the marked reduction in health system costs once the transplant patient is discharged from hospital post-transplant. The first year of dialysis was associated with total patient costs of $150,878 of which $115,712 were dialysis costs. </w:t>
      </w:r>
    </w:p>
    <w:p w14:paraId="79F54991" w14:textId="77777777" w:rsidR="000C5745" w:rsidRDefault="000C5745" w:rsidP="000C5745">
      <w:pPr>
        <w:pStyle w:val="USBodyText"/>
      </w:pPr>
      <w:r>
        <w:t>Projected costs over the expected life expectancy of each cohort indicate that in total, over 20 years, the expected costs of a dialysis patient amount to $1,040,927 while the expected costs of a transplant patient amount to $538,074, generating savings of $502,854. These savings are achieved alongside a significant increase in life expectancy associated with transplantation. In the first ten years, to the extent that expected costs decrease for the dialysis cohort, this was largely due to death rather than reduced health system utilisation, while the opposite was true for transplant patients.</w:t>
      </w:r>
    </w:p>
    <w:p w14:paraId="521438AF" w14:textId="28F35625" w:rsidR="000C5745" w:rsidRDefault="000C5745" w:rsidP="000C5745">
      <w:pPr>
        <w:pStyle w:val="FigureCaption"/>
      </w:pPr>
      <w:bookmarkStart w:id="110" w:name="_Toc98760553"/>
      <w:r w:rsidRPr="00E84337">
        <w:lastRenderedPageBreak/>
        <w:t>Figure </w:t>
      </w:r>
      <w:r w:rsidRPr="00E84337">
        <w:fldChar w:fldCharType="begin"/>
      </w:r>
      <w:r w:rsidRPr="00E84337">
        <w:instrText>SEQ Figure \* ARABIC</w:instrText>
      </w:r>
      <w:r w:rsidRPr="00E84337">
        <w:fldChar w:fldCharType="separate"/>
      </w:r>
      <w:r w:rsidR="002C631E">
        <w:rPr>
          <w:noProof/>
        </w:rPr>
        <w:t>22</w:t>
      </w:r>
      <w:r w:rsidRPr="00E84337">
        <w:fldChar w:fldCharType="end"/>
      </w:r>
      <w:r>
        <w:t xml:space="preserve"> Expecte</w:t>
      </w:r>
      <w:r w:rsidRPr="005F233C">
        <w:t>d</w:t>
      </w:r>
      <w:r>
        <w:t xml:space="preserve"> total annual public health system costs per person over 20 years</w:t>
      </w:r>
      <w:bookmarkEnd w:id="110"/>
    </w:p>
    <w:p w14:paraId="6CCF78E6" w14:textId="77777777" w:rsidR="000C5745" w:rsidRPr="007E79C9" w:rsidRDefault="000C5745" w:rsidP="000C5745">
      <w:pPr>
        <w:pStyle w:val="USBodyText"/>
      </w:pPr>
      <w:r>
        <w:rPr>
          <w:noProof/>
        </w:rPr>
        <w:drawing>
          <wp:inline distT="0" distB="0" distL="0" distR="0" wp14:anchorId="543148FC" wp14:editId="59656C25">
            <wp:extent cx="4848225" cy="2828925"/>
            <wp:effectExtent l="0" t="0" r="9525" b="9525"/>
            <wp:docPr id="1" name="Picture 1" descr="Figure 22 Expected total annual public health system costs per person over 20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2 Expected total annual public health system costs per person over 20 years&#10;&#10;"/>
                    <pic:cNvPicPr/>
                  </pic:nvPicPr>
                  <pic:blipFill>
                    <a:blip r:embed="rId53"/>
                    <a:stretch>
                      <a:fillRect/>
                    </a:stretch>
                  </pic:blipFill>
                  <pic:spPr>
                    <a:xfrm>
                      <a:off x="0" y="0"/>
                      <a:ext cx="4848225" cy="2828925"/>
                    </a:xfrm>
                    <a:prstGeom prst="rect">
                      <a:avLst/>
                    </a:prstGeom>
                  </pic:spPr>
                </pic:pic>
              </a:graphicData>
            </a:graphic>
          </wp:inline>
        </w:drawing>
      </w:r>
    </w:p>
    <w:p w14:paraId="6E5DFBE6" w14:textId="77777777" w:rsidR="000C5745" w:rsidRDefault="000C5745" w:rsidP="000C5745">
      <w:pPr>
        <w:pStyle w:val="USBodyText"/>
      </w:pPr>
      <w:r>
        <w:t xml:space="preserve">The study identified that Māori and Pacific New Zealanders represent over 60 percent of dialysis users, with this proportion projected to increase as total dialysis numbers increase by a projected 30 percent to 2031/32. </w:t>
      </w:r>
    </w:p>
    <w:p w14:paraId="26959992" w14:textId="77777777" w:rsidR="000C5745" w:rsidRDefault="000C5745" w:rsidP="000C5745">
      <w:pPr>
        <w:pStyle w:val="USBodyText"/>
      </w:pPr>
      <w:r>
        <w:t>Based on previously published estimates of average life expectancy on dialysis and post-transplant, the study estimated that the value of additional quality of life and length of life from transplantation could be up to $495,808 per person. While the report did not directly identify productivity impacts, it estimated that people who are out of work due to the requirements of dialysis impose an additional fiscal cost of $47,026 per year.</w:t>
      </w:r>
    </w:p>
    <w:p w14:paraId="2470BFF8" w14:textId="7DDD1F36" w:rsidR="006B1F3C" w:rsidRDefault="006B1F3C" w:rsidP="0005646B">
      <w:pPr>
        <w:pStyle w:val="Heading3"/>
      </w:pPr>
      <w:r>
        <w:t>Diabetes</w:t>
      </w:r>
    </w:p>
    <w:p w14:paraId="42795A74" w14:textId="10259AD7" w:rsidR="006B1F3C" w:rsidRDefault="0067747A" w:rsidP="006B1F3C">
      <w:pPr>
        <w:pStyle w:val="USBodyText"/>
      </w:pPr>
      <w:r w:rsidRPr="00496493">
        <w:rPr>
          <w:b/>
          <w:bCs/>
        </w:rPr>
        <w:t>P</w:t>
      </w:r>
      <w:r w:rsidR="00327AEC" w:rsidRPr="00496493">
        <w:rPr>
          <w:b/>
          <w:bCs/>
        </w:rPr>
        <w:t>w</w:t>
      </w:r>
      <w:r w:rsidRPr="00496493">
        <w:rPr>
          <w:b/>
          <w:bCs/>
        </w:rPr>
        <w:t>C</w:t>
      </w:r>
      <w:r w:rsidR="005F477A" w:rsidRPr="00496493">
        <w:rPr>
          <w:b/>
          <w:bCs/>
        </w:rPr>
        <w:t xml:space="preserve"> (</w:t>
      </w:r>
      <w:r w:rsidR="004D0D8C" w:rsidRPr="00496493">
        <w:rPr>
          <w:b/>
          <w:bCs/>
        </w:rPr>
        <w:t>2021)</w:t>
      </w:r>
      <w:r w:rsidR="004D0D8C">
        <w:t xml:space="preserve"> estimated the cost of </w:t>
      </w:r>
      <w:r w:rsidR="005F7973">
        <w:t>type 2 diabetes in New Zealand based on modelling of the prevalence of type 2 diabetes to 2</w:t>
      </w:r>
      <w:r w:rsidR="00AD3AD7">
        <w:t xml:space="preserve">040 </w:t>
      </w:r>
      <w:r w:rsidR="00067FFA">
        <w:t xml:space="preserve">on </w:t>
      </w:r>
      <w:r w:rsidR="008E14C1">
        <w:t xml:space="preserve">the </w:t>
      </w:r>
      <w:r w:rsidR="00067FFA">
        <w:t>assumption that 90 percent of diabetes in</w:t>
      </w:r>
      <w:r w:rsidR="00AD3AD7">
        <w:t xml:space="preserve"> New Zealand is type 2</w:t>
      </w:r>
      <w:r w:rsidR="0009148E">
        <w:t xml:space="preserve"> (</w:t>
      </w:r>
      <w:r w:rsidR="009075A2">
        <w:t xml:space="preserve">assumed </w:t>
      </w:r>
      <w:r w:rsidR="0009148E">
        <w:t>due to the Virtual Diabetes Register not distinguishing between types)</w:t>
      </w:r>
      <w:r w:rsidR="00AD3AD7">
        <w:t>.</w:t>
      </w:r>
      <w:r w:rsidR="0009148E">
        <w:t xml:space="preserve"> Costs were </w:t>
      </w:r>
      <w:r w:rsidR="00525B7C">
        <w:t>estimated using bottom-up gross costing</w:t>
      </w:r>
      <w:r w:rsidR="00D16DEC">
        <w:t>.</w:t>
      </w:r>
      <w:r w:rsidR="00375B55">
        <w:t xml:space="preserve"> Indirect costs included productivity costs as well as </w:t>
      </w:r>
      <w:r w:rsidR="00433AC3">
        <w:t xml:space="preserve">costs due to lives lost early, including lost income and </w:t>
      </w:r>
      <w:r w:rsidR="00C74C4A">
        <w:t>lost tax revenue</w:t>
      </w:r>
      <w:r w:rsidR="00A90C60">
        <w:t>.</w:t>
      </w:r>
      <w:r w:rsidR="00C74C4A" w:rsidRPr="0042069F">
        <w:rPr>
          <w:rStyle w:val="FootnoteReference"/>
        </w:rPr>
        <w:footnoteReference w:id="8"/>
      </w:r>
    </w:p>
    <w:p w14:paraId="41EBF901" w14:textId="15153A57" w:rsidR="00140F39" w:rsidRDefault="008E14C1" w:rsidP="00140F39">
      <w:pPr>
        <w:pStyle w:val="FigureCaption"/>
      </w:pPr>
      <w:bookmarkStart w:id="111" w:name="_Toc98760554"/>
      <w:r w:rsidRPr="00E84337">
        <w:lastRenderedPageBreak/>
        <w:t>Figure </w:t>
      </w:r>
      <w:r w:rsidRPr="00E84337">
        <w:fldChar w:fldCharType="begin"/>
      </w:r>
      <w:r w:rsidRPr="00E84337">
        <w:instrText>SEQ Figure \* ARABIC</w:instrText>
      </w:r>
      <w:r w:rsidRPr="00E84337">
        <w:fldChar w:fldCharType="separate"/>
      </w:r>
      <w:r w:rsidR="002C631E">
        <w:rPr>
          <w:noProof/>
        </w:rPr>
        <w:t>23</w:t>
      </w:r>
      <w:r w:rsidRPr="00E84337">
        <w:fldChar w:fldCharType="end"/>
      </w:r>
      <w:r>
        <w:t xml:space="preserve"> </w:t>
      </w:r>
      <w:r w:rsidR="00140F39">
        <w:t>Projected prevalence of type 2 diabetes in New Zealand to 2040</w:t>
      </w:r>
      <w:bookmarkEnd w:id="111"/>
    </w:p>
    <w:p w14:paraId="25BCC543" w14:textId="77E45EE7" w:rsidR="00140F39" w:rsidRDefault="00140F39" w:rsidP="006B1F3C">
      <w:pPr>
        <w:pStyle w:val="USBodyText"/>
      </w:pPr>
      <w:r>
        <w:rPr>
          <w:noProof/>
        </w:rPr>
        <w:drawing>
          <wp:inline distT="0" distB="0" distL="0" distR="0" wp14:anchorId="4BCE254C" wp14:editId="24E499DA">
            <wp:extent cx="5408930" cy="3219450"/>
            <wp:effectExtent l="0" t="0" r="1270" b="0"/>
            <wp:docPr id="44" name="Picture 44" descr="Figure 23 Projected prevalence of type 2 diabetes in New Zealand to 204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23 Projected prevalence of type 2 diabetes in New Zealand to 2040&#10;&#10;"/>
                    <pic:cNvPicPr/>
                  </pic:nvPicPr>
                  <pic:blipFill>
                    <a:blip r:embed="rId54"/>
                    <a:stretch>
                      <a:fillRect/>
                    </a:stretch>
                  </pic:blipFill>
                  <pic:spPr>
                    <a:xfrm>
                      <a:off x="0" y="0"/>
                      <a:ext cx="5414433" cy="3222725"/>
                    </a:xfrm>
                    <a:prstGeom prst="rect">
                      <a:avLst/>
                    </a:prstGeom>
                  </pic:spPr>
                </pic:pic>
              </a:graphicData>
            </a:graphic>
          </wp:inline>
        </w:drawing>
      </w:r>
    </w:p>
    <w:p w14:paraId="0F19C94B" w14:textId="3C156805" w:rsidR="00140F39" w:rsidRDefault="00140F39" w:rsidP="00140F39">
      <w:pPr>
        <w:pStyle w:val="USSource"/>
      </w:pPr>
      <w:r>
        <w:t xml:space="preserve">Source: </w:t>
      </w:r>
      <w:r w:rsidR="008E14C1" w:rsidRPr="008E14C1">
        <w:rPr>
          <w:rFonts w:cs="Calibri"/>
        </w:rPr>
        <w:t xml:space="preserve">PwC </w:t>
      </w:r>
      <w:r w:rsidR="008E14C1">
        <w:rPr>
          <w:rFonts w:cs="Calibri"/>
        </w:rPr>
        <w:t>(</w:t>
      </w:r>
      <w:r w:rsidR="008E14C1" w:rsidRPr="008E14C1">
        <w:rPr>
          <w:rFonts w:cs="Calibri"/>
        </w:rPr>
        <w:t>2021)</w:t>
      </w:r>
    </w:p>
    <w:p w14:paraId="32312211" w14:textId="3CF5B7FE" w:rsidR="00140F39" w:rsidRDefault="00423E95" w:rsidP="003F0599">
      <w:pPr>
        <w:pStyle w:val="USBodyText"/>
      </w:pPr>
      <w:r>
        <w:t>Health costs per person were estimated by grouping people as:</w:t>
      </w:r>
    </w:p>
    <w:p w14:paraId="39A06184" w14:textId="20D73614" w:rsidR="00423E95" w:rsidRDefault="00A846A8" w:rsidP="00423E95">
      <w:pPr>
        <w:pStyle w:val="USBullet1"/>
      </w:pPr>
      <w:r>
        <w:t>People with</w:t>
      </w:r>
      <w:r w:rsidR="00423E95">
        <w:t xml:space="preserve"> pre-diabetes</w:t>
      </w:r>
      <w:r w:rsidR="00724002">
        <w:t>, at risk of developing type 2 diabetes</w:t>
      </w:r>
      <w:r w:rsidR="00AE7262">
        <w:t xml:space="preserve"> (Group 1)</w:t>
      </w:r>
    </w:p>
    <w:p w14:paraId="0AE95D90" w14:textId="6917290A" w:rsidR="00423E95" w:rsidRDefault="00A846A8" w:rsidP="00423E95">
      <w:pPr>
        <w:pStyle w:val="USBullet1"/>
      </w:pPr>
      <w:r>
        <w:t xml:space="preserve">People with </w:t>
      </w:r>
      <w:r w:rsidR="009F43D2">
        <w:t>confirmed</w:t>
      </w:r>
      <w:r>
        <w:t xml:space="preserve"> diabetes</w:t>
      </w:r>
      <w:r w:rsidR="009F43D2">
        <w:t xml:space="preserve"> with no clinical complications but may have </w:t>
      </w:r>
      <w:r w:rsidR="00724002">
        <w:t>other risk factors for future complications</w:t>
      </w:r>
      <w:r w:rsidR="00AE7262">
        <w:t xml:space="preserve"> (Group 2)</w:t>
      </w:r>
    </w:p>
    <w:p w14:paraId="2A2850A0" w14:textId="7ABCBBBB" w:rsidR="00423E95" w:rsidRDefault="00D34515" w:rsidP="00423E95">
      <w:pPr>
        <w:pStyle w:val="USBullet1"/>
      </w:pPr>
      <w:r>
        <w:t>People with confirmed diabetes with one or more clinical complications that are stable and controlled</w:t>
      </w:r>
      <w:r w:rsidR="00AE7262">
        <w:t xml:space="preserve"> (Group 3)</w:t>
      </w:r>
    </w:p>
    <w:p w14:paraId="46F1F0C6" w14:textId="32A46EBD" w:rsidR="00423E95" w:rsidRDefault="00A846A8" w:rsidP="00423E95">
      <w:pPr>
        <w:pStyle w:val="USBullet1"/>
      </w:pPr>
      <w:r>
        <w:t>People with c</w:t>
      </w:r>
      <w:r w:rsidR="0022056B">
        <w:t xml:space="preserve">onfirmed diabetes with </w:t>
      </w:r>
      <w:r w:rsidR="00B94CD6">
        <w:t>one or more clinical complications that are unstable or severe</w:t>
      </w:r>
      <w:r w:rsidR="00AE7262">
        <w:t xml:space="preserve"> (Group 4)</w:t>
      </w:r>
      <w:r w:rsidR="00A90C60">
        <w:t>.</w:t>
      </w:r>
    </w:p>
    <w:p w14:paraId="25CEF268" w14:textId="331ABC4F" w:rsidR="00E078CF" w:rsidRDefault="004557B3" w:rsidP="003F0599">
      <w:pPr>
        <w:pStyle w:val="USBodyText"/>
      </w:pPr>
      <w:r>
        <w:t>The most marked difference between groups was the increasing significance of secondary care costs</w:t>
      </w:r>
      <w:r w:rsidR="00AE7262">
        <w:t>, which represent more than all other health care costs combined in Group 4.</w:t>
      </w:r>
    </w:p>
    <w:p w14:paraId="255204BC" w14:textId="1D7D8E7E" w:rsidR="00423E95" w:rsidRDefault="00A90C60" w:rsidP="00423E95">
      <w:pPr>
        <w:pStyle w:val="FigureCaption"/>
      </w:pPr>
      <w:bookmarkStart w:id="112" w:name="_Toc98760555"/>
      <w:r w:rsidRPr="00E84337">
        <w:lastRenderedPageBreak/>
        <w:t>Figure </w:t>
      </w:r>
      <w:r w:rsidRPr="00E84337">
        <w:fldChar w:fldCharType="begin"/>
      </w:r>
      <w:r w:rsidRPr="00E84337">
        <w:instrText>SEQ Figure \* ARABIC</w:instrText>
      </w:r>
      <w:r w:rsidRPr="00E84337">
        <w:fldChar w:fldCharType="separate"/>
      </w:r>
      <w:r w:rsidR="002C631E">
        <w:rPr>
          <w:noProof/>
        </w:rPr>
        <w:t>24</w:t>
      </w:r>
      <w:r w:rsidRPr="00E84337">
        <w:fldChar w:fldCharType="end"/>
      </w:r>
      <w:r>
        <w:t xml:space="preserve"> </w:t>
      </w:r>
      <w:r w:rsidR="00423E95">
        <w:t xml:space="preserve">Health costs </w:t>
      </w:r>
      <w:r w:rsidR="00B872FE">
        <w:t>per person of diabetes patient groups</w:t>
      </w:r>
      <w:bookmarkEnd w:id="112"/>
    </w:p>
    <w:p w14:paraId="795CC1E6" w14:textId="55212B57" w:rsidR="00B872FE" w:rsidRDefault="00B872FE" w:rsidP="00423E95">
      <w:pPr>
        <w:pStyle w:val="FigureCaption"/>
      </w:pPr>
      <w:r>
        <w:rPr>
          <w:noProof/>
        </w:rPr>
        <w:drawing>
          <wp:inline distT="0" distB="0" distL="0" distR="0" wp14:anchorId="74889EEA" wp14:editId="181C4BCE">
            <wp:extent cx="5525770" cy="2847975"/>
            <wp:effectExtent l="0" t="0" r="0" b="9525"/>
            <wp:docPr id="46" name="Picture 46" descr="Figure 24 Health costs per person of diabetes patient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24 Health costs per person of diabetes patient groups&#10;"/>
                    <pic:cNvPicPr/>
                  </pic:nvPicPr>
                  <pic:blipFill>
                    <a:blip r:embed="rId55"/>
                    <a:stretch>
                      <a:fillRect/>
                    </a:stretch>
                  </pic:blipFill>
                  <pic:spPr>
                    <a:xfrm>
                      <a:off x="0" y="0"/>
                      <a:ext cx="5528195" cy="2849225"/>
                    </a:xfrm>
                    <a:prstGeom prst="rect">
                      <a:avLst/>
                    </a:prstGeom>
                  </pic:spPr>
                </pic:pic>
              </a:graphicData>
            </a:graphic>
          </wp:inline>
        </w:drawing>
      </w:r>
    </w:p>
    <w:p w14:paraId="41F3739B" w14:textId="5DEAF45B" w:rsidR="00140F39" w:rsidRDefault="00B872FE" w:rsidP="00140F39">
      <w:pPr>
        <w:pStyle w:val="USSource"/>
      </w:pPr>
      <w:bookmarkStart w:id="113" w:name="_Hlk85701495"/>
      <w:r>
        <w:t>Source:</w:t>
      </w:r>
      <w:r w:rsidR="00A90C60">
        <w:t xml:space="preserve"> </w:t>
      </w:r>
      <w:r w:rsidR="00A90C60" w:rsidRPr="00A90C60">
        <w:rPr>
          <w:rFonts w:cs="Calibri"/>
        </w:rPr>
        <w:t xml:space="preserve">PwC </w:t>
      </w:r>
      <w:r w:rsidR="00A90C60">
        <w:rPr>
          <w:rFonts w:cs="Calibri"/>
        </w:rPr>
        <w:t>(</w:t>
      </w:r>
      <w:r w:rsidR="00A90C60" w:rsidRPr="00A90C60">
        <w:rPr>
          <w:rFonts w:cs="Calibri"/>
        </w:rPr>
        <w:t>2021)</w:t>
      </w:r>
    </w:p>
    <w:bookmarkEnd w:id="113"/>
    <w:p w14:paraId="72B7F3E7" w14:textId="6400AFA4" w:rsidR="00D22B62" w:rsidRDefault="00D22B62" w:rsidP="00D22B62">
      <w:pPr>
        <w:pStyle w:val="USBodyText"/>
      </w:pPr>
      <w:r>
        <w:t xml:space="preserve">Economic costs were </w:t>
      </w:r>
      <w:r w:rsidR="00A90C60">
        <w:t xml:space="preserve">estimated </w:t>
      </w:r>
      <w:r>
        <w:t xml:space="preserve">for the value of lives lost early, the value of reduced productivity and the </w:t>
      </w:r>
      <w:r w:rsidR="003274F4">
        <w:t>value of disability impacts of diabetes.</w:t>
      </w:r>
      <w:r w:rsidR="00A90C60">
        <w:t xml:space="preserve"> </w:t>
      </w:r>
      <w:r w:rsidR="003274F4">
        <w:t xml:space="preserve">Relative impact scores were used to </w:t>
      </w:r>
      <w:r w:rsidR="00A60A61">
        <w:t xml:space="preserve">weight economic costs for each of the patient groups. </w:t>
      </w:r>
    </w:p>
    <w:p w14:paraId="0533C92F" w14:textId="7463482B" w:rsidR="00D03014" w:rsidRDefault="00D03014" w:rsidP="00D22B62">
      <w:pPr>
        <w:pStyle w:val="USBodyText"/>
      </w:pPr>
      <w:r>
        <w:t xml:space="preserve">The total annual cost of type 2 diabetes in New Zealand was estimated to be </w:t>
      </w:r>
      <w:r w:rsidR="00A90C60">
        <w:t>NZ</w:t>
      </w:r>
      <w:r>
        <w:t>$2.1 billion</w:t>
      </w:r>
      <w:r w:rsidR="00327AEC">
        <w:t>, or 0.67 percent of GDP</w:t>
      </w:r>
      <w:r w:rsidR="003318FB">
        <w:t>. This cost was projected to increase 63 percent to $3.5 billion by 2040</w:t>
      </w:r>
      <w:r w:rsidR="00383C94">
        <w:t>.</w:t>
      </w:r>
      <w:r w:rsidR="003318FB">
        <w:t xml:space="preserve"> The </w:t>
      </w:r>
      <w:r w:rsidR="00181856">
        <w:t>bulk of costs were direct public health system cost</w:t>
      </w:r>
      <w:r w:rsidR="00FA0DCB">
        <w:t xml:space="preserve">s, but </w:t>
      </w:r>
      <w:r w:rsidR="00E078CF">
        <w:t xml:space="preserve">economic costs to individuals and their families were </w:t>
      </w:r>
      <w:r w:rsidR="00D108E5">
        <w:t>also substantial (see Figure below).</w:t>
      </w:r>
    </w:p>
    <w:p w14:paraId="39F882AD" w14:textId="1DB46287" w:rsidR="00BD0D80" w:rsidRDefault="00BD0D80" w:rsidP="00BD0D80">
      <w:pPr>
        <w:pStyle w:val="FigureCaption"/>
      </w:pPr>
      <w:bookmarkStart w:id="114" w:name="_Toc98760556"/>
      <w:r w:rsidRPr="00E84337">
        <w:t>Figure </w:t>
      </w:r>
      <w:r w:rsidRPr="00E84337">
        <w:fldChar w:fldCharType="begin"/>
      </w:r>
      <w:r w:rsidRPr="00E84337">
        <w:instrText>SEQ Figure \* ARABIC</w:instrText>
      </w:r>
      <w:r w:rsidRPr="00E84337">
        <w:fldChar w:fldCharType="separate"/>
      </w:r>
      <w:r w:rsidR="002C631E">
        <w:rPr>
          <w:noProof/>
        </w:rPr>
        <w:t>25</w:t>
      </w:r>
      <w:r w:rsidRPr="00E84337">
        <w:fldChar w:fldCharType="end"/>
      </w:r>
      <w:r>
        <w:t xml:space="preserve"> Total annual costs of </w:t>
      </w:r>
      <w:r w:rsidR="003A32A6">
        <w:t>type 2 diabetes in New Zealand</w:t>
      </w:r>
      <w:bookmarkEnd w:id="114"/>
    </w:p>
    <w:p w14:paraId="0F69480A" w14:textId="1EE504C4" w:rsidR="00D108E5" w:rsidRDefault="00BD0D80" w:rsidP="00D22B62">
      <w:pPr>
        <w:pStyle w:val="USBodyText"/>
      </w:pPr>
      <w:r>
        <w:rPr>
          <w:noProof/>
        </w:rPr>
        <w:drawing>
          <wp:inline distT="0" distB="0" distL="0" distR="0" wp14:anchorId="52F4A240" wp14:editId="3661F376">
            <wp:extent cx="5467350" cy="2752725"/>
            <wp:effectExtent l="0" t="0" r="0" b="9525"/>
            <wp:docPr id="9" name="Picture 9" descr="Figure 25 Total annual costs of type 2 diabetes in New Zeal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5 Total annual costs of type 2 diabetes in New Zealand&#10;&#10;"/>
                    <pic:cNvPicPr/>
                  </pic:nvPicPr>
                  <pic:blipFill>
                    <a:blip r:embed="rId56"/>
                    <a:stretch>
                      <a:fillRect/>
                    </a:stretch>
                  </pic:blipFill>
                  <pic:spPr>
                    <a:xfrm>
                      <a:off x="0" y="0"/>
                      <a:ext cx="5468757" cy="2753433"/>
                    </a:xfrm>
                    <a:prstGeom prst="rect">
                      <a:avLst/>
                    </a:prstGeom>
                  </pic:spPr>
                </pic:pic>
              </a:graphicData>
            </a:graphic>
          </wp:inline>
        </w:drawing>
      </w:r>
    </w:p>
    <w:p w14:paraId="0DB68D71" w14:textId="77777777" w:rsidR="002675A8" w:rsidRDefault="003A32A6" w:rsidP="002675A8">
      <w:pPr>
        <w:pStyle w:val="USSource"/>
      </w:pPr>
      <w:r w:rsidRPr="003A32A6">
        <w:t xml:space="preserve">Source: PwC </w:t>
      </w:r>
      <w:r>
        <w:t>2</w:t>
      </w:r>
      <w:r w:rsidRPr="003A32A6">
        <w:t>021</w:t>
      </w:r>
    </w:p>
    <w:p w14:paraId="3A602280" w14:textId="2A23ECBD" w:rsidR="00383C94" w:rsidRDefault="00383C94" w:rsidP="00626BAB">
      <w:pPr>
        <w:pStyle w:val="USBodyText"/>
      </w:pPr>
      <w:r>
        <w:lastRenderedPageBreak/>
        <w:t xml:space="preserve">Specifically, the </w:t>
      </w:r>
      <w:r w:rsidR="00DF14BE">
        <w:t>publicly funded health care costs associated with Type 2 diabetes were estimated at $1.0</w:t>
      </w:r>
      <w:r w:rsidR="00A6646E">
        <w:t xml:space="preserve"> billion and were projected to almost double to $1.857 billion</w:t>
      </w:r>
      <w:r w:rsidR="00626BAB">
        <w:t xml:space="preserve"> over 20 years.</w:t>
      </w:r>
    </w:p>
    <w:p w14:paraId="57F3AB36" w14:textId="76BD7103" w:rsidR="006234E7" w:rsidRDefault="006234E7" w:rsidP="0005646B">
      <w:pPr>
        <w:pStyle w:val="Heading3"/>
      </w:pPr>
      <w:bookmarkStart w:id="115" w:name="_Hlk85095932"/>
      <w:r>
        <w:t>Osteoarthritis</w:t>
      </w:r>
    </w:p>
    <w:p w14:paraId="50997803" w14:textId="16D68C90" w:rsidR="006234E7" w:rsidRDefault="001654CA" w:rsidP="006234E7">
      <w:pPr>
        <w:pStyle w:val="USBodyText"/>
      </w:pPr>
      <w:r w:rsidRPr="000F425B">
        <w:rPr>
          <w:rFonts w:cs="Calibri"/>
          <w:b/>
          <w:bCs/>
        </w:rPr>
        <w:t>Wilson and Abbott (2019)</w:t>
      </w:r>
      <w:r w:rsidR="003670E9" w:rsidRPr="004979A6">
        <w:rPr>
          <w:b/>
          <w:bCs/>
        </w:rPr>
        <w:t xml:space="preserve"> </w:t>
      </w:r>
      <w:r w:rsidR="00437579" w:rsidRPr="00437579">
        <w:t xml:space="preserve">used </w:t>
      </w:r>
      <w:r w:rsidR="009B167A">
        <w:t>a microsimulation model (</w:t>
      </w:r>
      <w:r w:rsidR="00437579" w:rsidRPr="00437579">
        <w:t>NZ-MOA</w:t>
      </w:r>
      <w:r w:rsidR="009B167A">
        <w:t>)</w:t>
      </w:r>
      <w:r w:rsidR="00437579" w:rsidRPr="00437579">
        <w:t xml:space="preserve"> of knee osteoarthritis in the New Zealand population </w:t>
      </w:r>
      <w:r w:rsidR="009B167A">
        <w:t xml:space="preserve">to </w:t>
      </w:r>
      <w:r w:rsidR="00437579" w:rsidRPr="00437579">
        <w:t xml:space="preserve">estimate the </w:t>
      </w:r>
      <w:r w:rsidR="00B01C84">
        <w:t xml:space="preserve">direct </w:t>
      </w:r>
      <w:r w:rsidR="00437579" w:rsidRPr="00437579">
        <w:t xml:space="preserve">healthcare costs and demand for total knee replacement (TKR) </w:t>
      </w:r>
      <w:r w:rsidR="009B167A">
        <w:t xml:space="preserve">over 25 years from 2013 to 2038 </w:t>
      </w:r>
      <w:r w:rsidR="00437579" w:rsidRPr="00437579">
        <w:t>associated with knee osteoarthritis and the contribution of obesity to these costs.</w:t>
      </w:r>
    </w:p>
    <w:p w14:paraId="34DCC722" w14:textId="2AD2AB24" w:rsidR="00B01C84" w:rsidRDefault="00B01C84" w:rsidP="00B01C84">
      <w:pPr>
        <w:pStyle w:val="USBodyText"/>
      </w:pPr>
      <w:r>
        <w:t xml:space="preserve">The direct health care costs of </w:t>
      </w:r>
      <w:r w:rsidR="00F97451">
        <w:t>osteoarthritis (</w:t>
      </w:r>
      <w:r>
        <w:t>OA</w:t>
      </w:r>
      <w:r w:rsidR="00F97451">
        <w:t>)</w:t>
      </w:r>
      <w:r>
        <w:t xml:space="preserve"> treatment were based on the provision of usual medical care, assumed to consist of GP consultations, analgesic medication, and referrals to physical therapy for some patients.</w:t>
      </w:r>
    </w:p>
    <w:p w14:paraId="0A45BE78" w14:textId="6F65460A" w:rsidR="00143A6F" w:rsidRDefault="00143A6F" w:rsidP="006234E7">
      <w:pPr>
        <w:pStyle w:val="USBodyText"/>
      </w:pPr>
      <w:r>
        <w:t>M</w:t>
      </w:r>
      <w:r w:rsidRPr="00143A6F">
        <w:t xml:space="preserve">odel outcomes </w:t>
      </w:r>
      <w:r>
        <w:t xml:space="preserve">were estimated </w:t>
      </w:r>
      <w:r w:rsidRPr="00143A6F">
        <w:t>under two scenarios: continu</w:t>
      </w:r>
      <w:r w:rsidR="00FC2C17">
        <w:t>ing</w:t>
      </w:r>
      <w:r w:rsidRPr="00143A6F">
        <w:t xml:space="preserve"> projected trends in population obesity and population obesity </w:t>
      </w:r>
      <w:r w:rsidR="00DF4066">
        <w:t xml:space="preserve">remaining at </w:t>
      </w:r>
      <w:r w:rsidRPr="00143A6F">
        <w:t>2013 levels.</w:t>
      </w:r>
    </w:p>
    <w:p w14:paraId="61D37BDC" w14:textId="6335FEC2" w:rsidR="003F3E9E" w:rsidRDefault="006D320B" w:rsidP="006234E7">
      <w:pPr>
        <w:pStyle w:val="USBodyText"/>
      </w:pPr>
      <w:r>
        <w:t>In 2013</w:t>
      </w:r>
      <w:r w:rsidR="006416E4">
        <w:t xml:space="preserve">, </w:t>
      </w:r>
      <w:r w:rsidRPr="006D320B">
        <w:t>5,070 patients had a first total joint replacement for knee OA</w:t>
      </w:r>
      <w:r w:rsidR="006416E4">
        <w:t xml:space="preserve"> resulting in a health system cost of </w:t>
      </w:r>
      <w:r w:rsidR="0051619C">
        <w:t>NZ</w:t>
      </w:r>
      <w:r w:rsidR="006416E4">
        <w:t xml:space="preserve">$199 million. </w:t>
      </w:r>
      <w:r w:rsidR="003F3E9E" w:rsidRPr="003F3E9E">
        <w:t xml:space="preserve">Annual TKR incidence was projected to increase to 9,040 over the </w:t>
      </w:r>
      <w:r w:rsidR="003F3E9E">
        <w:t>modelled period</w:t>
      </w:r>
      <w:r w:rsidR="006416E4">
        <w:t xml:space="preserve"> (increasing the rate from 174 t0 221 per 100,000 population)</w:t>
      </w:r>
      <w:r w:rsidR="0051619C">
        <w:t>,</w:t>
      </w:r>
      <w:r w:rsidR="006416E4">
        <w:t xml:space="preserve"> with associated h</w:t>
      </w:r>
      <w:r w:rsidR="003F3E9E" w:rsidRPr="003F3E9E">
        <w:t>ealth</w:t>
      </w:r>
      <w:r w:rsidR="006416E4">
        <w:t xml:space="preserve"> </w:t>
      </w:r>
      <w:r w:rsidR="003F3E9E" w:rsidRPr="003F3E9E">
        <w:t xml:space="preserve">care costs </w:t>
      </w:r>
      <w:r w:rsidR="003F3E9E">
        <w:t>estimated</w:t>
      </w:r>
      <w:r w:rsidR="003F3E9E" w:rsidRPr="003F3E9E">
        <w:t xml:space="preserve"> to increase to </w:t>
      </w:r>
      <w:r w:rsidR="0051619C">
        <w:t>NZ</w:t>
      </w:r>
      <w:r w:rsidR="003F3E9E" w:rsidRPr="003F3E9E">
        <w:t xml:space="preserve">$370 million in 2038. </w:t>
      </w:r>
      <w:r w:rsidR="00704E4C">
        <w:t>I</w:t>
      </w:r>
      <w:r w:rsidR="003F3E9E" w:rsidRPr="003F3E9E">
        <w:t xml:space="preserve">ncreases in population obesity rates </w:t>
      </w:r>
      <w:r w:rsidR="00704E4C">
        <w:t>contributed</w:t>
      </w:r>
      <w:r w:rsidR="003F3E9E" w:rsidRPr="003F3E9E">
        <w:t xml:space="preserve"> 25</w:t>
      </w:r>
      <w:r w:rsidR="00C8509D">
        <w:t xml:space="preserve"> percent of </w:t>
      </w:r>
      <w:r w:rsidR="00A8579D">
        <w:t xml:space="preserve">the increase in costs </w:t>
      </w:r>
      <w:r w:rsidR="003F3E9E" w:rsidRPr="003F3E9E">
        <w:t>and 47</w:t>
      </w:r>
      <w:r w:rsidR="00A8579D">
        <w:t xml:space="preserve"> percent of the increase in </w:t>
      </w:r>
      <w:r w:rsidR="003F3E9E" w:rsidRPr="003F3E9E">
        <w:t>TKR rates, respectively.</w:t>
      </w:r>
    </w:p>
    <w:p w14:paraId="7BB5CD67" w14:textId="77A69923" w:rsidR="00BB0B67" w:rsidRDefault="00BA1F5D" w:rsidP="00BB0B67">
      <w:pPr>
        <w:pStyle w:val="FigureCaption"/>
      </w:pPr>
      <w:bookmarkStart w:id="116" w:name="_Hlk92710585"/>
      <w:bookmarkStart w:id="117" w:name="_Toc98760557"/>
      <w:r w:rsidRPr="00E84337">
        <w:t>Figure </w:t>
      </w:r>
      <w:r w:rsidRPr="00E84337">
        <w:fldChar w:fldCharType="begin"/>
      </w:r>
      <w:r w:rsidRPr="00E84337">
        <w:instrText>SEQ Figure \* ARABIC</w:instrText>
      </w:r>
      <w:r w:rsidRPr="00E84337">
        <w:fldChar w:fldCharType="separate"/>
      </w:r>
      <w:r w:rsidR="002C631E">
        <w:rPr>
          <w:noProof/>
        </w:rPr>
        <w:t>26</w:t>
      </w:r>
      <w:r w:rsidRPr="00E84337">
        <w:fldChar w:fldCharType="end"/>
      </w:r>
      <w:r>
        <w:t xml:space="preserve"> </w:t>
      </w:r>
      <w:r w:rsidR="005F233C" w:rsidRPr="005F233C">
        <w:t xml:space="preserve">Projected </w:t>
      </w:r>
      <w:bookmarkEnd w:id="116"/>
      <w:r w:rsidR="005F233C" w:rsidRPr="005F233C">
        <w:t>health</w:t>
      </w:r>
      <w:r w:rsidR="005F233C">
        <w:t xml:space="preserve"> system</w:t>
      </w:r>
      <w:r w:rsidR="005F233C" w:rsidRPr="005F233C">
        <w:t xml:space="preserve"> costs of knee osteoarthritis in New Zealand, 2013–2038</w:t>
      </w:r>
      <w:bookmarkEnd w:id="117"/>
    </w:p>
    <w:p w14:paraId="4616AECE" w14:textId="790F3FC9" w:rsidR="00461FB5" w:rsidRDefault="00BB0B67" w:rsidP="006234E7">
      <w:pPr>
        <w:pStyle w:val="USBodyText"/>
      </w:pPr>
      <w:r>
        <w:rPr>
          <w:noProof/>
        </w:rPr>
        <w:drawing>
          <wp:inline distT="0" distB="0" distL="0" distR="0" wp14:anchorId="390FEFC9" wp14:editId="00AF8FC6">
            <wp:extent cx="5391150" cy="3364491"/>
            <wp:effectExtent l="0" t="0" r="0" b="7620"/>
            <wp:docPr id="45" name="Picture 45" descr="Figure 26 Projected health system costs of knee osteoarthritis in New Zealand, 2013–20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6 Projected health system costs of knee osteoarthritis in New Zealand, 2013–2038&#10;"/>
                    <pic:cNvPicPr/>
                  </pic:nvPicPr>
                  <pic:blipFill>
                    <a:blip r:embed="rId57"/>
                    <a:stretch>
                      <a:fillRect/>
                    </a:stretch>
                  </pic:blipFill>
                  <pic:spPr>
                    <a:xfrm>
                      <a:off x="0" y="0"/>
                      <a:ext cx="5394091" cy="3366326"/>
                    </a:xfrm>
                    <a:prstGeom prst="rect">
                      <a:avLst/>
                    </a:prstGeom>
                  </pic:spPr>
                </pic:pic>
              </a:graphicData>
            </a:graphic>
          </wp:inline>
        </w:drawing>
      </w:r>
    </w:p>
    <w:p w14:paraId="590EEA3E" w14:textId="4BEC3083" w:rsidR="00BB0B67" w:rsidRDefault="00BB0B67" w:rsidP="003C09C7">
      <w:pPr>
        <w:pStyle w:val="USSource"/>
      </w:pPr>
      <w:r>
        <w:t>Source:</w:t>
      </w:r>
      <w:r w:rsidR="00BA1F5D">
        <w:t xml:space="preserve"> </w:t>
      </w:r>
      <w:r w:rsidR="00BA1F5D" w:rsidRPr="00BA1F5D">
        <w:rPr>
          <w:rFonts w:cs="Calibri"/>
        </w:rPr>
        <w:t xml:space="preserve">Wilson and Abbott </w:t>
      </w:r>
      <w:r w:rsidR="00D62AEE">
        <w:rPr>
          <w:rFonts w:cs="Calibri"/>
        </w:rPr>
        <w:t>(</w:t>
      </w:r>
      <w:r w:rsidR="00BA1F5D" w:rsidRPr="00BA1F5D">
        <w:rPr>
          <w:rFonts w:cs="Calibri"/>
        </w:rPr>
        <w:t>2019)</w:t>
      </w:r>
    </w:p>
    <w:p w14:paraId="0B5B06F5" w14:textId="2460FF4E" w:rsidR="00A26558" w:rsidRPr="006234E7" w:rsidRDefault="00E61D80" w:rsidP="00781520">
      <w:pPr>
        <w:pStyle w:val="USBodyText"/>
      </w:pPr>
      <w:r>
        <w:lastRenderedPageBreak/>
        <w:t>While not a cost-of-illness study, a</w:t>
      </w:r>
      <w:r w:rsidR="00A26558">
        <w:t xml:space="preserve"> </w:t>
      </w:r>
      <w:r>
        <w:t>p</w:t>
      </w:r>
      <w:r w:rsidR="00A26558">
        <w:t xml:space="preserve">olicy </w:t>
      </w:r>
      <w:r w:rsidRPr="00BC28CA">
        <w:t>b</w:t>
      </w:r>
      <w:r w:rsidR="00A26558" w:rsidRPr="00BC28CA">
        <w:t>rief</w:t>
      </w:r>
      <w:r w:rsidR="00B50C7C" w:rsidRPr="00BC28CA">
        <w:t xml:space="preserve"> (Abbott, Wilson and Chua, 2020) on</w:t>
      </w:r>
      <w:r w:rsidR="00B50C7C">
        <w:t xml:space="preserve"> the MOA</w:t>
      </w:r>
      <w:r w:rsidR="00B73F4D">
        <w:t xml:space="preserve"> (Management of Osteoarthritis) trial indicated that </w:t>
      </w:r>
      <w:r w:rsidR="00E31C43">
        <w:t>the</w:t>
      </w:r>
      <w:r w:rsidR="00781520">
        <w:t xml:space="preserve"> most recommended treatment (exercise therapy) </w:t>
      </w:r>
      <w:r w:rsidR="00AF64AB">
        <w:t>could produce</w:t>
      </w:r>
      <w:r w:rsidR="00781520">
        <w:t xml:space="preserve"> cost savings compared with usual care. </w:t>
      </w:r>
      <w:r w:rsidR="00AF64AB">
        <w:t xml:space="preserve">This statement is based on a </w:t>
      </w:r>
      <w:r w:rsidR="00781520">
        <w:t xml:space="preserve">5-year follow-up </w:t>
      </w:r>
      <w:r w:rsidR="00AF64AB">
        <w:t xml:space="preserve">of the MOA trial and extrapolation of results to a </w:t>
      </w:r>
      <w:r w:rsidR="00781520">
        <w:t xml:space="preserve">national </w:t>
      </w:r>
      <w:r w:rsidR="00AF64AB">
        <w:t>programme</w:t>
      </w:r>
      <w:r w:rsidR="00781520">
        <w:t xml:space="preserve"> </w:t>
      </w:r>
      <w:r w:rsidR="00AF64AB">
        <w:t>estimated to offer a</w:t>
      </w:r>
      <w:r w:rsidR="00781520">
        <w:t xml:space="preserve"> net monetary benefit of $10,700 per capita, $24.1b over the lifetime of the adult population</w:t>
      </w:r>
      <w:r w:rsidR="00AF64AB">
        <w:t xml:space="preserve"> with osteoarthritis.</w:t>
      </w:r>
      <w:r w:rsidR="00AD1F7E">
        <w:t xml:space="preserve"> This evidence illustrates that, while significant savings can be achieved with cost-effective interventions, the potential for savings is often small relative to the total costs associated with long</w:t>
      </w:r>
      <w:r w:rsidR="003D2960">
        <w:t>-</w:t>
      </w:r>
      <w:r w:rsidR="00AD1F7E">
        <w:t>term conditions.</w:t>
      </w:r>
    </w:p>
    <w:bookmarkEnd w:id="115"/>
    <w:p w14:paraId="33143990" w14:textId="04DB98DB" w:rsidR="00933D47" w:rsidRDefault="00933D47" w:rsidP="0005646B">
      <w:pPr>
        <w:pStyle w:val="Heading3"/>
      </w:pPr>
      <w:r>
        <w:t>Rheumatic fever</w:t>
      </w:r>
    </w:p>
    <w:p w14:paraId="61D219EF" w14:textId="544C4D2C" w:rsidR="00F33033" w:rsidRDefault="00FA6693" w:rsidP="00F33033">
      <w:pPr>
        <w:pStyle w:val="USBodyText"/>
      </w:pPr>
      <w:r>
        <w:t xml:space="preserve">Although </w:t>
      </w:r>
      <w:r w:rsidR="00CB7A94" w:rsidRPr="004A10B3">
        <w:t xml:space="preserve">Bennet et al. </w:t>
      </w:r>
      <w:r w:rsidR="001654CA" w:rsidRPr="001654CA">
        <w:rPr>
          <w:rFonts w:cs="Calibri"/>
        </w:rPr>
        <w:t>(2021)</w:t>
      </w:r>
      <w:r w:rsidR="00556F0B">
        <w:t xml:space="preserve"> </w:t>
      </w:r>
      <w:r>
        <w:t xml:space="preserve">did not present cost estimates, their </w:t>
      </w:r>
      <w:r w:rsidR="00556F0B">
        <w:t>analy</w:t>
      </w:r>
      <w:r>
        <w:t>sis of</w:t>
      </w:r>
      <w:r w:rsidR="00556F0B">
        <w:t xml:space="preserve"> acute rheumatic fever</w:t>
      </w:r>
      <w:r w:rsidR="00A5208B">
        <w:t xml:space="preserve"> (ARF)</w:t>
      </w:r>
      <w:r w:rsidR="00556F0B">
        <w:t xml:space="preserve"> and rheumati</w:t>
      </w:r>
      <w:r w:rsidR="00A43E74">
        <w:t>c</w:t>
      </w:r>
      <w:r w:rsidR="00556F0B">
        <w:t xml:space="preserve"> heart disease</w:t>
      </w:r>
      <w:r w:rsidR="00A5208B">
        <w:t xml:space="preserve"> (RHD)</w:t>
      </w:r>
      <w:r w:rsidR="00556F0B">
        <w:t xml:space="preserve"> hospitalisations </w:t>
      </w:r>
      <w:r w:rsidR="009D65B0">
        <w:t xml:space="preserve">from </w:t>
      </w:r>
      <w:r w:rsidR="00556F0B">
        <w:t xml:space="preserve">2000 to 2018 </w:t>
      </w:r>
      <w:r>
        <w:t>as well as</w:t>
      </w:r>
      <w:r w:rsidR="00556F0B">
        <w:t xml:space="preserve"> RHD </w:t>
      </w:r>
      <w:r w:rsidR="00556F0B" w:rsidRPr="00556F0B">
        <w:t>and mortality from</w:t>
      </w:r>
      <w:r w:rsidR="00556F0B">
        <w:t xml:space="preserve"> 2000 to 2016 </w:t>
      </w:r>
      <w:r>
        <w:t>provides useful descriptive</w:t>
      </w:r>
      <w:r w:rsidR="006B7FB9">
        <w:t xml:space="preserve"> data on </w:t>
      </w:r>
      <w:r w:rsidR="00317344">
        <w:t>New Zealand trend</w:t>
      </w:r>
      <w:r w:rsidR="009D65B0">
        <w:t>s</w:t>
      </w:r>
      <w:r w:rsidR="00AD148B">
        <w:t xml:space="preserve">. </w:t>
      </w:r>
      <w:r w:rsidR="003A7DC7">
        <w:t xml:space="preserve">The study compares </w:t>
      </w:r>
      <w:r w:rsidR="00AD148B">
        <w:t xml:space="preserve">rates of </w:t>
      </w:r>
      <w:r w:rsidR="00556F0B">
        <w:t>initial ARF</w:t>
      </w:r>
      <w:r w:rsidR="0009688C">
        <w:t xml:space="preserve"> and initial RHD</w:t>
      </w:r>
      <w:r w:rsidR="00556F0B">
        <w:t xml:space="preserve"> hospitali</w:t>
      </w:r>
      <w:r w:rsidR="00AD148B">
        <w:t>s</w:t>
      </w:r>
      <w:r w:rsidR="00556F0B">
        <w:t>ations</w:t>
      </w:r>
      <w:r w:rsidR="00F33033">
        <w:t>, as well as RHD deaths</w:t>
      </w:r>
      <w:r w:rsidR="00556F0B">
        <w:t xml:space="preserve"> for Māori and Pacific </w:t>
      </w:r>
      <w:r w:rsidR="00AD148B">
        <w:t>people</w:t>
      </w:r>
      <w:r w:rsidR="0064748B">
        <w:t xml:space="preserve"> </w:t>
      </w:r>
      <w:r w:rsidR="003A7DC7">
        <w:t>and for</w:t>
      </w:r>
      <w:r w:rsidR="0064748B">
        <w:t xml:space="preserve"> people </w:t>
      </w:r>
      <w:r w:rsidR="00896320">
        <w:t>from high-deprivation areas</w:t>
      </w:r>
      <w:r w:rsidR="00AD148B">
        <w:t xml:space="preserve"> </w:t>
      </w:r>
      <w:r w:rsidR="003A7DC7">
        <w:t>to the rates of</w:t>
      </w:r>
      <w:r w:rsidR="0009688C">
        <w:t xml:space="preserve"> non-</w:t>
      </w:r>
      <w:r w:rsidR="0004371A">
        <w:t>Māori</w:t>
      </w:r>
      <w:r w:rsidR="0009688C">
        <w:t>, non-Pacific New Zealanders</w:t>
      </w:r>
      <w:r w:rsidR="0064748B">
        <w:t>, and people from less deprived areas</w:t>
      </w:r>
      <w:r w:rsidR="0009688C">
        <w:t xml:space="preserve">. </w:t>
      </w:r>
    </w:p>
    <w:p w14:paraId="19FEA1F8" w14:textId="5939C50F" w:rsidR="00A62644" w:rsidRDefault="00A62644" w:rsidP="00F33033">
      <w:pPr>
        <w:pStyle w:val="USBodyText"/>
      </w:pPr>
      <w:r w:rsidRPr="00A62644">
        <w:t>The study found that from 2000 to 2018, most (93.4</w:t>
      </w:r>
      <w:r w:rsidR="00230170">
        <w:t xml:space="preserve"> percent</w:t>
      </w:r>
      <w:r w:rsidRPr="00A62644">
        <w:t>) ARF cases were in people aged less than 30 years, with over 40 percent of these being people in the 10</w:t>
      </w:r>
      <w:r w:rsidR="003E0EDF" w:rsidRPr="00A62644">
        <w:t>-</w:t>
      </w:r>
      <w:r w:rsidRPr="00A62644">
        <w:t>to</w:t>
      </w:r>
      <w:r w:rsidR="003E0EDF" w:rsidRPr="00A62644">
        <w:t>-</w:t>
      </w:r>
      <w:r w:rsidRPr="00A62644">
        <w:t>14</w:t>
      </w:r>
      <w:r w:rsidR="003E0EDF" w:rsidRPr="00A62644">
        <w:t>-</w:t>
      </w:r>
      <w:r w:rsidRPr="00A62644">
        <w:t xml:space="preserve">year age group (see </w:t>
      </w:r>
      <w:r w:rsidR="003275E3">
        <w:fldChar w:fldCharType="begin"/>
      </w:r>
      <w:r w:rsidR="003275E3">
        <w:instrText xml:space="preserve"> REF _Ref85636691 \h </w:instrText>
      </w:r>
      <w:r w:rsidR="003275E3">
        <w:fldChar w:fldCharType="separate"/>
      </w:r>
      <w:r w:rsidR="002C631E" w:rsidRPr="00E84337">
        <w:t>Figure </w:t>
      </w:r>
      <w:r w:rsidR="002C631E">
        <w:rPr>
          <w:noProof/>
        </w:rPr>
        <w:t>27</w:t>
      </w:r>
      <w:r w:rsidR="003275E3">
        <w:fldChar w:fldCharType="end"/>
      </w:r>
      <w:r w:rsidRPr="00A62644">
        <w:t xml:space="preserve"> below).</w:t>
      </w:r>
    </w:p>
    <w:p w14:paraId="2DD435A6" w14:textId="27F1CF9B" w:rsidR="00931098" w:rsidRDefault="002F5E44" w:rsidP="00931098">
      <w:pPr>
        <w:pStyle w:val="FigureCaption"/>
      </w:pPr>
      <w:bookmarkStart w:id="118" w:name="_Ref85636691"/>
      <w:bookmarkStart w:id="119" w:name="_Toc98760558"/>
      <w:r w:rsidRPr="00E84337">
        <w:t>Figure </w:t>
      </w:r>
      <w:r w:rsidRPr="00E84337">
        <w:fldChar w:fldCharType="begin"/>
      </w:r>
      <w:r w:rsidRPr="00E84337">
        <w:instrText>SEQ Figure \* ARABIC</w:instrText>
      </w:r>
      <w:r w:rsidRPr="00E84337">
        <w:fldChar w:fldCharType="separate"/>
      </w:r>
      <w:r w:rsidR="002C631E">
        <w:rPr>
          <w:noProof/>
        </w:rPr>
        <w:t>27</w:t>
      </w:r>
      <w:r w:rsidRPr="00E84337">
        <w:fldChar w:fldCharType="end"/>
      </w:r>
      <w:bookmarkEnd w:id="118"/>
      <w:r>
        <w:t xml:space="preserve"> </w:t>
      </w:r>
      <w:r w:rsidR="009830C8" w:rsidRPr="009830C8">
        <w:t xml:space="preserve">Incidence of initial acute rheumatic fever </w:t>
      </w:r>
      <w:r w:rsidR="009830C8">
        <w:t xml:space="preserve">(ARF) </w:t>
      </w:r>
      <w:r w:rsidR="009830C8" w:rsidRPr="009830C8">
        <w:t>hospitali</w:t>
      </w:r>
      <w:r w:rsidR="009830C8">
        <w:t>s</w:t>
      </w:r>
      <w:r w:rsidR="009830C8" w:rsidRPr="009830C8">
        <w:t>ations</w:t>
      </w:r>
      <w:r w:rsidR="009830C8">
        <w:t xml:space="preserve"> </w:t>
      </w:r>
      <w:r w:rsidR="009830C8" w:rsidRPr="009830C8">
        <w:t>by age group and time period, New Zealand, 2000–2018</w:t>
      </w:r>
      <w:bookmarkEnd w:id="119"/>
    </w:p>
    <w:p w14:paraId="3EB4FF11" w14:textId="5A3DA77D" w:rsidR="00931098" w:rsidRDefault="00931098" w:rsidP="00F33033">
      <w:pPr>
        <w:pStyle w:val="USBodyText"/>
      </w:pPr>
      <w:r>
        <w:rPr>
          <w:noProof/>
        </w:rPr>
        <w:drawing>
          <wp:inline distT="0" distB="0" distL="0" distR="0" wp14:anchorId="45992352" wp14:editId="136976DD">
            <wp:extent cx="4876074" cy="2562225"/>
            <wp:effectExtent l="0" t="0" r="1270" b="0"/>
            <wp:docPr id="41" name="Picture 41" descr="Figure 27 Incidence of initial acute rheumatic fever (ARF) hospitalisations by age group and time period, New Zealand, 2000–20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7 Incidence of initial acute rheumatic fever (ARF) hospitalisations by age group and time period, New Zealand, 2000–2018&#10;&#10;"/>
                    <pic:cNvPicPr/>
                  </pic:nvPicPr>
                  <pic:blipFill>
                    <a:blip r:embed="rId58"/>
                    <a:stretch>
                      <a:fillRect/>
                    </a:stretch>
                  </pic:blipFill>
                  <pic:spPr>
                    <a:xfrm>
                      <a:off x="0" y="0"/>
                      <a:ext cx="4927722" cy="2589364"/>
                    </a:xfrm>
                    <a:prstGeom prst="rect">
                      <a:avLst/>
                    </a:prstGeom>
                  </pic:spPr>
                </pic:pic>
              </a:graphicData>
            </a:graphic>
          </wp:inline>
        </w:drawing>
      </w:r>
    </w:p>
    <w:p w14:paraId="0A4F3C6E" w14:textId="4BFA253F" w:rsidR="00931098" w:rsidRDefault="00931098" w:rsidP="008276D3">
      <w:pPr>
        <w:pStyle w:val="USSource"/>
      </w:pPr>
      <w:r>
        <w:t xml:space="preserve">Source: Bennet et al. </w:t>
      </w:r>
      <w:r w:rsidR="00256537">
        <w:t>(</w:t>
      </w:r>
      <w:r>
        <w:t>2021</w:t>
      </w:r>
      <w:r w:rsidR="00256537">
        <w:t>)</w:t>
      </w:r>
    </w:p>
    <w:p w14:paraId="0043BA51" w14:textId="6DF9FEA1" w:rsidR="00F060F8" w:rsidRPr="00F060F8" w:rsidRDefault="00EE16FD" w:rsidP="00EE16FD">
      <w:pPr>
        <w:pStyle w:val="USBodyText"/>
      </w:pPr>
      <w:r>
        <w:t xml:space="preserve">Approximately 93 percent </w:t>
      </w:r>
      <w:r w:rsidR="00F060F8" w:rsidRPr="00F060F8">
        <w:t xml:space="preserve">of initial ARF cases </w:t>
      </w:r>
      <w:r>
        <w:t>in people aged under 30 years were</w:t>
      </w:r>
      <w:r w:rsidR="00F060F8" w:rsidRPr="00F060F8">
        <w:t xml:space="preserve"> among Māori or Pacific </w:t>
      </w:r>
      <w:r>
        <w:t xml:space="preserve">people, with </w:t>
      </w:r>
      <w:r w:rsidR="00F060F8" w:rsidRPr="00F060F8">
        <w:t>Māori account</w:t>
      </w:r>
      <w:r>
        <w:t>ing</w:t>
      </w:r>
      <w:r w:rsidR="00F060F8" w:rsidRPr="00F060F8">
        <w:t xml:space="preserve"> for </w:t>
      </w:r>
      <w:r w:rsidR="005F785F">
        <w:t>49 percent of these and Pacific people accounting for 44 percent</w:t>
      </w:r>
      <w:r w:rsidR="00A62644">
        <w:t xml:space="preserve"> (see </w:t>
      </w:r>
      <w:r w:rsidR="00D4631D">
        <w:fldChar w:fldCharType="begin"/>
      </w:r>
      <w:r w:rsidR="00D4631D">
        <w:instrText xml:space="preserve"> REF _Ref85636782 \h </w:instrText>
      </w:r>
      <w:r w:rsidR="00D4631D">
        <w:fldChar w:fldCharType="separate"/>
      </w:r>
      <w:r w:rsidR="002C631E" w:rsidRPr="00E84337">
        <w:t>Figure </w:t>
      </w:r>
      <w:r w:rsidR="002C631E">
        <w:rPr>
          <w:noProof/>
        </w:rPr>
        <w:t>28</w:t>
      </w:r>
      <w:r w:rsidR="00D4631D">
        <w:fldChar w:fldCharType="end"/>
      </w:r>
      <w:r w:rsidR="00A62644">
        <w:t xml:space="preserve"> below)</w:t>
      </w:r>
      <w:r w:rsidR="005F785F">
        <w:t>.</w:t>
      </w:r>
    </w:p>
    <w:p w14:paraId="181104A2" w14:textId="3E865F77" w:rsidR="00004112" w:rsidRDefault="00F35E59" w:rsidP="00004112">
      <w:pPr>
        <w:pStyle w:val="FigureCaption"/>
      </w:pPr>
      <w:bookmarkStart w:id="120" w:name="_Ref85636782"/>
      <w:bookmarkStart w:id="121" w:name="_Toc98760559"/>
      <w:r w:rsidRPr="00E84337">
        <w:lastRenderedPageBreak/>
        <w:t>Figure </w:t>
      </w:r>
      <w:r w:rsidRPr="00E84337">
        <w:fldChar w:fldCharType="begin"/>
      </w:r>
      <w:r w:rsidRPr="00E84337">
        <w:instrText>SEQ Figure \* ARABIC</w:instrText>
      </w:r>
      <w:r w:rsidRPr="00E84337">
        <w:fldChar w:fldCharType="separate"/>
      </w:r>
      <w:r w:rsidR="002C631E">
        <w:rPr>
          <w:noProof/>
        </w:rPr>
        <w:t>28</w:t>
      </w:r>
      <w:r w:rsidRPr="00E84337">
        <w:fldChar w:fldCharType="end"/>
      </w:r>
      <w:bookmarkEnd w:id="120"/>
      <w:r>
        <w:t xml:space="preserve"> </w:t>
      </w:r>
      <w:r w:rsidR="005C3E85" w:rsidRPr="005C3E85">
        <w:t>Incidence of initial acute rheumatic fever</w:t>
      </w:r>
      <w:r w:rsidR="00D4631D">
        <w:t xml:space="preserve"> </w:t>
      </w:r>
      <w:r w:rsidR="00A651B2">
        <w:t>(ARF)</w:t>
      </w:r>
      <w:r w:rsidR="005C3E85" w:rsidRPr="005C3E85">
        <w:t xml:space="preserve"> hospitali</w:t>
      </w:r>
      <w:r w:rsidR="009830C8">
        <w:t>s</w:t>
      </w:r>
      <w:r w:rsidR="005C3E85" w:rsidRPr="005C3E85">
        <w:t>ations by major ethnic group and time period among persons &lt;30 years of age, New Zealand, 2000–2018</w:t>
      </w:r>
      <w:bookmarkEnd w:id="121"/>
    </w:p>
    <w:p w14:paraId="692A7933" w14:textId="535A6548" w:rsidR="00004112" w:rsidRDefault="00004112" w:rsidP="00D9187B">
      <w:pPr>
        <w:pStyle w:val="USBodyText"/>
        <w:keepNext/>
      </w:pPr>
      <w:r>
        <w:rPr>
          <w:noProof/>
        </w:rPr>
        <w:drawing>
          <wp:inline distT="0" distB="0" distL="0" distR="0" wp14:anchorId="4DA41F3A" wp14:editId="592F4AEF">
            <wp:extent cx="4710047" cy="2076450"/>
            <wp:effectExtent l="0" t="0" r="0" b="0"/>
            <wp:docPr id="40" name="Picture 40" descr="Figure 28 Incidence of initial acute rheumatic fever (ARF) hospitalisations by major ethnic group and time period among persons &lt;30 years of age, New Zealand, 2000–20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28 Incidence of initial acute rheumatic fever (ARF) hospitalisations by major ethnic group and time period among persons &lt;30 years of age, New Zealand, 2000–2018&#10;&#10;"/>
                    <pic:cNvPicPr/>
                  </pic:nvPicPr>
                  <pic:blipFill>
                    <a:blip r:embed="rId59"/>
                    <a:stretch>
                      <a:fillRect/>
                    </a:stretch>
                  </pic:blipFill>
                  <pic:spPr>
                    <a:xfrm>
                      <a:off x="0" y="0"/>
                      <a:ext cx="4716022" cy="2079084"/>
                    </a:xfrm>
                    <a:prstGeom prst="rect">
                      <a:avLst/>
                    </a:prstGeom>
                  </pic:spPr>
                </pic:pic>
              </a:graphicData>
            </a:graphic>
          </wp:inline>
        </w:drawing>
      </w:r>
    </w:p>
    <w:p w14:paraId="4DEC57FE" w14:textId="0C2F85E7" w:rsidR="005C3E85" w:rsidRDefault="005C3E85" w:rsidP="008276D3">
      <w:pPr>
        <w:pStyle w:val="USSource"/>
      </w:pPr>
      <w:bookmarkStart w:id="122" w:name="_Hlk85021043"/>
      <w:r>
        <w:t xml:space="preserve">Source: Bennet et al. </w:t>
      </w:r>
      <w:r w:rsidR="00A46839">
        <w:t>(</w:t>
      </w:r>
      <w:r>
        <w:t>2021</w:t>
      </w:r>
      <w:r w:rsidR="00A46839">
        <w:t>)</w:t>
      </w:r>
    </w:p>
    <w:p w14:paraId="68EEEE8E" w14:textId="58C513FF" w:rsidR="00793A76" w:rsidRDefault="000D76DF" w:rsidP="00F33033">
      <w:pPr>
        <w:pStyle w:val="USBodyText"/>
      </w:pPr>
      <w:r>
        <w:t xml:space="preserve">The study found that between </w:t>
      </w:r>
      <w:r w:rsidR="00793A76" w:rsidRPr="00793A76">
        <w:t>2000</w:t>
      </w:r>
      <w:r>
        <w:t xml:space="preserve"> and </w:t>
      </w:r>
      <w:r w:rsidR="00793A76" w:rsidRPr="00793A76">
        <w:t xml:space="preserve">2018, </w:t>
      </w:r>
      <w:r>
        <w:t xml:space="preserve">there was </w:t>
      </w:r>
      <w:r w:rsidR="00793A76" w:rsidRPr="00793A76">
        <w:t>a total of 12,094 hospitali</w:t>
      </w:r>
      <w:r>
        <w:t>s</w:t>
      </w:r>
      <w:r w:rsidR="00793A76" w:rsidRPr="00793A76">
        <w:t>ations with a principal diagnosis of RHD</w:t>
      </w:r>
      <w:r>
        <w:t>, with a significant increasing trend</w:t>
      </w:r>
      <w:r w:rsidR="006C2477">
        <w:t xml:space="preserve"> and a range of</w:t>
      </w:r>
      <w:r w:rsidR="00EB3161">
        <w:t xml:space="preserve"> annual RHD hospita</w:t>
      </w:r>
      <w:r w:rsidR="00793A76" w:rsidRPr="00793A76">
        <w:t>li</w:t>
      </w:r>
      <w:r w:rsidR="00EB3161">
        <w:t>s</w:t>
      </w:r>
      <w:r w:rsidR="00793A76" w:rsidRPr="00793A76">
        <w:t>ation rates from 4.1 to 10.0 cases</w:t>
      </w:r>
      <w:r w:rsidR="00EB3161">
        <w:t xml:space="preserve"> per </w:t>
      </w:r>
      <w:r w:rsidR="00793A76" w:rsidRPr="00793A76">
        <w:t>100,000 population</w:t>
      </w:r>
      <w:r w:rsidR="00EB3161">
        <w:t xml:space="preserve"> </w:t>
      </w:r>
      <w:r w:rsidR="00EB3161" w:rsidRPr="00EB3161">
        <w:t xml:space="preserve">(see </w:t>
      </w:r>
      <w:r w:rsidR="00FE19C0">
        <w:fldChar w:fldCharType="begin"/>
      </w:r>
      <w:r w:rsidR="00FE19C0">
        <w:instrText xml:space="preserve"> REF _Ref85636866 \h </w:instrText>
      </w:r>
      <w:r w:rsidR="00FE19C0">
        <w:fldChar w:fldCharType="separate"/>
      </w:r>
      <w:r w:rsidR="002C631E" w:rsidRPr="00E84337">
        <w:t>Figure </w:t>
      </w:r>
      <w:r w:rsidR="002C631E">
        <w:rPr>
          <w:noProof/>
        </w:rPr>
        <w:t>29</w:t>
      </w:r>
      <w:r w:rsidR="00FE19C0">
        <w:fldChar w:fldCharType="end"/>
      </w:r>
      <w:r w:rsidR="00EB3161" w:rsidRPr="00EB3161">
        <w:t xml:space="preserve"> below)</w:t>
      </w:r>
      <w:r w:rsidR="00EB3161">
        <w:t>.</w:t>
      </w:r>
    </w:p>
    <w:p w14:paraId="4D8F176E" w14:textId="5CCB5271" w:rsidR="00D9187B" w:rsidRDefault="00FE19C0" w:rsidP="00D9187B">
      <w:pPr>
        <w:pStyle w:val="FigureCaption"/>
      </w:pPr>
      <w:bookmarkStart w:id="123" w:name="_Ref85636866"/>
      <w:bookmarkStart w:id="124" w:name="_Toc98760560"/>
      <w:bookmarkEnd w:id="122"/>
      <w:r w:rsidRPr="00E84337">
        <w:t>Figure </w:t>
      </w:r>
      <w:r w:rsidRPr="00E84337">
        <w:fldChar w:fldCharType="begin"/>
      </w:r>
      <w:r w:rsidRPr="00E84337">
        <w:instrText>SEQ Figure \* ARABIC</w:instrText>
      </w:r>
      <w:r w:rsidRPr="00E84337">
        <w:fldChar w:fldCharType="separate"/>
      </w:r>
      <w:r w:rsidR="002C631E">
        <w:rPr>
          <w:noProof/>
        </w:rPr>
        <w:t>29</w:t>
      </w:r>
      <w:r w:rsidRPr="00E84337">
        <w:fldChar w:fldCharType="end"/>
      </w:r>
      <w:bookmarkEnd w:id="123"/>
      <w:r>
        <w:t xml:space="preserve"> </w:t>
      </w:r>
      <w:r w:rsidR="00EC7C94" w:rsidRPr="00EC7C94">
        <w:t xml:space="preserve">New Zealand annual incidence rates of initial RHD </w:t>
      </w:r>
      <w:r w:rsidRPr="00EC7C94">
        <w:t>hospitali</w:t>
      </w:r>
      <w:r>
        <w:t>s</w:t>
      </w:r>
      <w:r w:rsidRPr="00EC7C94">
        <w:t>ations</w:t>
      </w:r>
      <w:r w:rsidR="00EC7C94" w:rsidRPr="00EC7C94">
        <w:t>, all ages, 2000–2018</w:t>
      </w:r>
      <w:bookmarkEnd w:id="124"/>
    </w:p>
    <w:p w14:paraId="041B5F40" w14:textId="122F1B7D" w:rsidR="00D9187B" w:rsidRDefault="00D9187B" w:rsidP="00F33033">
      <w:pPr>
        <w:pStyle w:val="USBodyText"/>
      </w:pPr>
      <w:r>
        <w:rPr>
          <w:noProof/>
        </w:rPr>
        <w:drawing>
          <wp:inline distT="0" distB="0" distL="0" distR="0" wp14:anchorId="6AA1B157" wp14:editId="126E19DE">
            <wp:extent cx="4891750" cy="2371725"/>
            <wp:effectExtent l="0" t="0" r="4445" b="0"/>
            <wp:docPr id="42" name="Picture 42" descr="Figure 29 New Zealand annual incidence rates of initial RHD hospitalisations, all ages, 2000–20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9 New Zealand annual incidence rates of initial RHD hospitalisations, all ages, 2000–2018&#10;&#10;"/>
                    <pic:cNvPicPr/>
                  </pic:nvPicPr>
                  <pic:blipFill>
                    <a:blip r:embed="rId60"/>
                    <a:stretch>
                      <a:fillRect/>
                    </a:stretch>
                  </pic:blipFill>
                  <pic:spPr>
                    <a:xfrm>
                      <a:off x="0" y="0"/>
                      <a:ext cx="4897880" cy="2374697"/>
                    </a:xfrm>
                    <a:prstGeom prst="rect">
                      <a:avLst/>
                    </a:prstGeom>
                  </pic:spPr>
                </pic:pic>
              </a:graphicData>
            </a:graphic>
          </wp:inline>
        </w:drawing>
      </w:r>
    </w:p>
    <w:p w14:paraId="32759D3C" w14:textId="661468DB" w:rsidR="00004112" w:rsidRDefault="00D9187B" w:rsidP="008276D3">
      <w:pPr>
        <w:pStyle w:val="USSource"/>
      </w:pPr>
      <w:r w:rsidRPr="00D9187B">
        <w:t xml:space="preserve">Source: Bennet et al. </w:t>
      </w:r>
      <w:r w:rsidR="00A46839">
        <w:t>(</w:t>
      </w:r>
      <w:r w:rsidRPr="00D9187B">
        <w:t>2021</w:t>
      </w:r>
      <w:r w:rsidR="00A46839">
        <w:t>)</w:t>
      </w:r>
      <w:r>
        <w:t xml:space="preserve"> </w:t>
      </w:r>
    </w:p>
    <w:p w14:paraId="36E68292" w14:textId="615056F9" w:rsidR="00933D47" w:rsidRDefault="004B16FF" w:rsidP="00933D47">
      <w:pPr>
        <w:pStyle w:val="USBodyText"/>
      </w:pPr>
      <w:r w:rsidRPr="00A45F0A">
        <w:rPr>
          <w:rFonts w:cs="Calibri"/>
          <w:b/>
          <w:bCs/>
        </w:rPr>
        <w:t xml:space="preserve">Milne et al. </w:t>
      </w:r>
      <w:r w:rsidR="00EA1658" w:rsidRPr="00A45F0A">
        <w:rPr>
          <w:rFonts w:cs="Calibri"/>
          <w:b/>
          <w:bCs/>
        </w:rPr>
        <w:t>(</w:t>
      </w:r>
      <w:r w:rsidRPr="00A45F0A">
        <w:rPr>
          <w:rFonts w:cs="Calibri"/>
          <w:b/>
          <w:bCs/>
        </w:rPr>
        <w:t>2012)</w:t>
      </w:r>
      <w:r w:rsidR="00933D47">
        <w:t xml:space="preserve"> </w:t>
      </w:r>
      <w:r w:rsidR="003B7194">
        <w:t>used data on h</w:t>
      </w:r>
      <w:r w:rsidR="003B7194" w:rsidRPr="003B7194">
        <w:t xml:space="preserve">ospital admissions </w:t>
      </w:r>
      <w:r w:rsidR="003B7194">
        <w:t>from</w:t>
      </w:r>
      <w:r w:rsidR="003B7194" w:rsidRPr="003B7194">
        <w:t xml:space="preserve"> 2000</w:t>
      </w:r>
      <w:r w:rsidR="003B7194">
        <w:t xml:space="preserve"> to </w:t>
      </w:r>
      <w:r w:rsidR="003B7194" w:rsidRPr="003B7194">
        <w:t xml:space="preserve">2009 with a principal diagnosis of </w:t>
      </w:r>
      <w:r w:rsidR="001751FA">
        <w:t>acute rheumatic fever</w:t>
      </w:r>
      <w:r w:rsidR="003B7194" w:rsidRPr="003B7194">
        <w:t xml:space="preserve"> or </w:t>
      </w:r>
      <w:r w:rsidR="001751FA">
        <w:t>rheumatic heart disease</w:t>
      </w:r>
      <w:r w:rsidR="003B7194" w:rsidRPr="003B7194">
        <w:t xml:space="preserve"> and deaths </w:t>
      </w:r>
      <w:r w:rsidR="001751FA">
        <w:t>from</w:t>
      </w:r>
      <w:r w:rsidR="003B7194" w:rsidRPr="003B7194">
        <w:t xml:space="preserve"> 2000</w:t>
      </w:r>
      <w:r w:rsidR="001751FA">
        <w:t xml:space="preserve"> to </w:t>
      </w:r>
      <w:r w:rsidR="003B7194" w:rsidRPr="003B7194">
        <w:t xml:space="preserve">2007 with </w:t>
      </w:r>
      <w:r w:rsidR="001751FA">
        <w:t>rheumatic heart disease</w:t>
      </w:r>
      <w:r w:rsidR="003B7194" w:rsidRPr="003B7194">
        <w:t xml:space="preserve"> as the underlying cause</w:t>
      </w:r>
      <w:r w:rsidR="000D580B">
        <w:t xml:space="preserve"> to estimate the annual mortality and cost of hospital admissions for acute rheumatic fever and rheumatic heart disease</w:t>
      </w:r>
      <w:r w:rsidR="003B7194" w:rsidRPr="003B7194">
        <w:t xml:space="preserve">. The cost of </w:t>
      </w:r>
      <w:r w:rsidR="000D580B">
        <w:t>hospitalisation</w:t>
      </w:r>
      <w:r w:rsidR="003B7194" w:rsidRPr="003B7194">
        <w:t xml:space="preserve"> was estimated </w:t>
      </w:r>
      <w:r w:rsidR="000D580B">
        <w:t>in 2009/2010 dollar</w:t>
      </w:r>
      <w:r w:rsidR="00D27F30">
        <w:t xml:space="preserve">s using DRG-specific </w:t>
      </w:r>
      <w:r w:rsidR="003B7194" w:rsidRPr="003B7194">
        <w:t>cost weight</w:t>
      </w:r>
      <w:r w:rsidR="00D27F30">
        <w:t>s</w:t>
      </w:r>
      <w:r w:rsidR="003B7194" w:rsidRPr="003B7194">
        <w:t xml:space="preserve"> </w:t>
      </w:r>
      <w:r w:rsidR="00D27F30">
        <w:t>and</w:t>
      </w:r>
      <w:r w:rsidR="003B7194" w:rsidRPr="003B7194">
        <w:t xml:space="preserve"> national price</w:t>
      </w:r>
      <w:r w:rsidR="00D27F30">
        <w:t xml:space="preserve"> for the same year</w:t>
      </w:r>
      <w:r w:rsidR="003B7194" w:rsidRPr="003B7194">
        <w:t xml:space="preserve">. </w:t>
      </w:r>
    </w:p>
    <w:p w14:paraId="3CCC35FB" w14:textId="4296BA26" w:rsidR="00152FC0" w:rsidRDefault="00152FC0" w:rsidP="00933D47">
      <w:pPr>
        <w:pStyle w:val="USBodyText"/>
      </w:pPr>
      <w:r w:rsidRPr="00152FC0">
        <w:lastRenderedPageBreak/>
        <w:t>The average annual cost of hospital admissions</w:t>
      </w:r>
      <w:r>
        <w:t xml:space="preserve"> for acute rheumatic fever and rheumatic heart disease</w:t>
      </w:r>
      <w:r w:rsidRPr="00152FC0">
        <w:t xml:space="preserve"> was </w:t>
      </w:r>
      <w:r w:rsidR="00EA1658">
        <w:t>NZ</w:t>
      </w:r>
      <w:r w:rsidRPr="00152FC0">
        <w:t>$12</w:t>
      </w:r>
      <w:r>
        <w:t xml:space="preserve"> m</w:t>
      </w:r>
      <w:r w:rsidRPr="00152FC0">
        <w:t>illion</w:t>
      </w:r>
      <w:r w:rsidR="006F1D49">
        <w:t>, with 28 percent of admissions and 71 percent of total cost attributable to h</w:t>
      </w:r>
      <w:r w:rsidRPr="00152FC0">
        <w:t>eart valve surgery</w:t>
      </w:r>
      <w:r w:rsidR="006F1D49">
        <w:t>.</w:t>
      </w:r>
      <w:r w:rsidRPr="00152FC0">
        <w:t xml:space="preserve"> Two-thirds of the cost </w:t>
      </w:r>
      <w:r w:rsidR="006F1D49">
        <w:t xml:space="preserve">associated with </w:t>
      </w:r>
      <w:r w:rsidR="00E73F23">
        <w:t xml:space="preserve">acute rheumatic fever and rheumatic heart disease </w:t>
      </w:r>
      <w:r w:rsidRPr="00152FC0">
        <w:t>occurs after the age of 30.</w:t>
      </w:r>
    </w:p>
    <w:p w14:paraId="52AD57CB" w14:textId="5947B705" w:rsidR="0050128E" w:rsidRDefault="0050128E" w:rsidP="0050128E">
      <w:pPr>
        <w:pStyle w:val="USBodyText"/>
      </w:pPr>
      <w:r>
        <w:t xml:space="preserve">The study found that there were 159 rheumatic heart disease deaths each year on average, resulting in a mean annual mortality rate of 4.4 per 100,000 </w:t>
      </w:r>
      <w:r w:rsidR="00C80862">
        <w:t>cases</w:t>
      </w:r>
      <w:r>
        <w:t xml:space="preserve">. Age-adjusted mortality </w:t>
      </w:r>
      <w:r w:rsidR="00C80862">
        <w:t>revealed a five to ten times higher mortality risk for</w:t>
      </w:r>
      <w:r>
        <w:t xml:space="preserve"> Māori and Pacific people than for non-Māori</w:t>
      </w:r>
      <w:r w:rsidR="00EB2259">
        <w:t xml:space="preserve">, </w:t>
      </w:r>
      <w:r w:rsidR="00C80862">
        <w:t>non-</w:t>
      </w:r>
      <w:r>
        <w:t>Pacific</w:t>
      </w:r>
      <w:r w:rsidR="00EB2259">
        <w:t xml:space="preserve"> people</w:t>
      </w:r>
      <w:r>
        <w:t xml:space="preserve">. The mean age at death </w:t>
      </w:r>
      <w:r w:rsidR="00C80862">
        <w:t>for</w:t>
      </w:r>
      <w:r w:rsidR="00152FC0">
        <w:t xml:space="preserve"> those who died of </w:t>
      </w:r>
      <w:r w:rsidR="00C80862">
        <w:t xml:space="preserve">rheumatic heart disease was </w:t>
      </w:r>
      <w:r>
        <w:t xml:space="preserve">56.4/58.4 </w:t>
      </w:r>
      <w:r w:rsidR="00152FC0">
        <w:t xml:space="preserve">(male/female) </w:t>
      </w:r>
      <w:r>
        <w:t xml:space="preserve">for Māori, 50.9/59.8 </w:t>
      </w:r>
      <w:r w:rsidR="00152FC0">
        <w:t xml:space="preserve">(male/female) </w:t>
      </w:r>
      <w:r>
        <w:t xml:space="preserve">for Pacific </w:t>
      </w:r>
      <w:r w:rsidR="00850065">
        <w:t>people</w:t>
      </w:r>
      <w:r>
        <w:t xml:space="preserve"> and 78.2/80.6</w:t>
      </w:r>
      <w:r w:rsidR="00152FC0">
        <w:t xml:space="preserve"> (male/female)</w:t>
      </w:r>
      <w:r>
        <w:t xml:space="preserve"> for non-Māori, non-Pacific </w:t>
      </w:r>
      <w:r w:rsidR="00152FC0">
        <w:t>people</w:t>
      </w:r>
      <w:r>
        <w:t>.</w:t>
      </w:r>
      <w:r w:rsidR="00521493">
        <w:t xml:space="preserve"> </w:t>
      </w:r>
    </w:p>
    <w:p w14:paraId="19A05D79" w14:textId="30B05F2C" w:rsidR="000F302D" w:rsidRDefault="003438F4" w:rsidP="0005646B">
      <w:pPr>
        <w:pStyle w:val="Heading3"/>
      </w:pPr>
      <w:r>
        <w:t>Stroke</w:t>
      </w:r>
    </w:p>
    <w:p w14:paraId="0F81FE0B" w14:textId="364BC838" w:rsidR="003438F4" w:rsidRDefault="003438F4" w:rsidP="000F302D">
      <w:pPr>
        <w:pStyle w:val="USBodyText"/>
      </w:pPr>
      <w:r>
        <w:t xml:space="preserve">In a report for the Stroke Foundation, </w:t>
      </w:r>
      <w:r w:rsidRPr="00FC0E94">
        <w:rPr>
          <w:b/>
        </w:rPr>
        <w:t xml:space="preserve">Hogan and </w:t>
      </w:r>
      <w:r w:rsidRPr="001E5A81">
        <w:rPr>
          <w:b/>
        </w:rPr>
        <w:t xml:space="preserve">Siddharth </w:t>
      </w:r>
      <w:r w:rsidR="001654CA" w:rsidRPr="001E5A81">
        <w:rPr>
          <w:rFonts w:cs="Calibri"/>
          <w:b/>
        </w:rPr>
        <w:t>(2018)</w:t>
      </w:r>
      <w:r>
        <w:t xml:space="preserve"> estimated the social and economic costs of stroke in New Zealand </w:t>
      </w:r>
      <w:r w:rsidR="00C94EF0">
        <w:t>from a societal perspective</w:t>
      </w:r>
      <w:r w:rsidR="00BB4404">
        <w:t xml:space="preserve">. </w:t>
      </w:r>
      <w:r w:rsidR="007834D7">
        <w:t>The study takes an incidence-based approach</w:t>
      </w:r>
      <w:r w:rsidR="008E78D7">
        <w:t xml:space="preserve">, </w:t>
      </w:r>
      <w:r w:rsidR="00BB4404">
        <w:t>based on the number of hospitalised strokes in 2014</w:t>
      </w:r>
      <w:r w:rsidR="00022E19">
        <w:t xml:space="preserve">, </w:t>
      </w:r>
      <w:r w:rsidR="008E78D7">
        <w:t>limited to the first five years after a stroke</w:t>
      </w:r>
      <w:r w:rsidR="006A6EB0">
        <w:t xml:space="preserve">, a compromise approach to avoid </w:t>
      </w:r>
      <w:r w:rsidR="003B472E">
        <w:t xml:space="preserve">necessarily </w:t>
      </w:r>
      <w:r w:rsidR="006A6EB0">
        <w:t>attributing longer</w:t>
      </w:r>
      <w:r w:rsidR="003D2960">
        <w:t>-</w:t>
      </w:r>
      <w:r w:rsidR="006A6EB0">
        <w:t xml:space="preserve">term effects to </w:t>
      </w:r>
      <w:r w:rsidR="003B472E">
        <w:t xml:space="preserve">a </w:t>
      </w:r>
      <w:r w:rsidR="006A6EB0">
        <w:t>stroke</w:t>
      </w:r>
      <w:r w:rsidR="003B472E">
        <w:t xml:space="preserve"> in the absence of sufficiently granular and linked data to </w:t>
      </w:r>
      <w:r w:rsidR="003308BA">
        <w:t>support long</w:t>
      </w:r>
      <w:r w:rsidR="000D62FD">
        <w:t>-</w:t>
      </w:r>
      <w:r w:rsidR="003308BA">
        <w:t>term cost attribution</w:t>
      </w:r>
      <w:r w:rsidR="008E78D7">
        <w:t>.</w:t>
      </w:r>
    </w:p>
    <w:p w14:paraId="105B498C" w14:textId="7007838A" w:rsidR="00C96CB3" w:rsidRDefault="00C96CB3" w:rsidP="000F302D">
      <w:pPr>
        <w:pStyle w:val="USBodyText"/>
      </w:pPr>
      <w:r>
        <w:t>In terms of health</w:t>
      </w:r>
      <w:r w:rsidR="00AE015A">
        <w:t xml:space="preserve"> and disability </w:t>
      </w:r>
      <w:r>
        <w:t xml:space="preserve">system costs, the study included </w:t>
      </w:r>
      <w:r w:rsidR="004F7C9D">
        <w:t xml:space="preserve">ambulance, ED, </w:t>
      </w:r>
      <w:r w:rsidR="009D4207">
        <w:t>first-</w:t>
      </w:r>
      <w:r w:rsidR="004F7C9D">
        <w:t xml:space="preserve">year inpatient costs, costs of secondary stroke prevention, </w:t>
      </w:r>
      <w:r w:rsidR="0035009C">
        <w:t xml:space="preserve">recurrent stroke costs, the cost of aged residential care for older stroke victims, </w:t>
      </w:r>
      <w:r w:rsidR="00D14F5E">
        <w:t xml:space="preserve">the </w:t>
      </w:r>
      <w:r w:rsidR="00AE015A">
        <w:t>cost of long</w:t>
      </w:r>
      <w:r w:rsidR="00FC0E94">
        <w:t>-</w:t>
      </w:r>
      <w:r w:rsidR="00AE015A">
        <w:t xml:space="preserve">term residential care for younger stroke victims, the </w:t>
      </w:r>
      <w:r w:rsidR="00D14F5E">
        <w:t>cost of community-based support services, and the cost of rehabilitation services.</w:t>
      </w:r>
    </w:p>
    <w:p w14:paraId="28B5FC26" w14:textId="496B19EB" w:rsidR="00AE015A" w:rsidRDefault="00AE015A" w:rsidP="000F302D">
      <w:pPr>
        <w:pStyle w:val="USBodyText"/>
      </w:pPr>
      <w:r>
        <w:t xml:space="preserve">Non-health and disability system costs included </w:t>
      </w:r>
      <w:r w:rsidR="00BB4404">
        <w:t>productivity losses</w:t>
      </w:r>
      <w:r w:rsidR="007E07F3">
        <w:t xml:space="preserve">, the burden for informal caregivers, the value of lost caregiving by the stroke victim, </w:t>
      </w:r>
      <w:r w:rsidR="00930AA4">
        <w:t>the value of life years lost prematurely and the value of lost quality of life</w:t>
      </w:r>
      <w:r w:rsidR="00D95565">
        <w:t>.</w:t>
      </w:r>
    </w:p>
    <w:p w14:paraId="690D34D6" w14:textId="3065B86D" w:rsidR="00DD3B74" w:rsidRDefault="00DD3B74" w:rsidP="000F302D">
      <w:pPr>
        <w:pStyle w:val="USBodyText"/>
      </w:pPr>
      <w:r>
        <w:t>The study found that on average</w:t>
      </w:r>
      <w:r w:rsidR="009D4207">
        <w:t>,</w:t>
      </w:r>
      <w:r>
        <w:t xml:space="preserve"> a </w:t>
      </w:r>
      <w:r w:rsidR="00B233F4">
        <w:t xml:space="preserve">hospitalised </w:t>
      </w:r>
      <w:r>
        <w:t xml:space="preserve">stroke in New Zealand is associated with an expected cost of </w:t>
      </w:r>
      <w:r w:rsidR="009D4207">
        <w:t>NZ</w:t>
      </w:r>
      <w:r>
        <w:t>$60</w:t>
      </w:r>
      <w:r w:rsidR="00B233F4">
        <w:t xml:space="preserve">,000 to </w:t>
      </w:r>
      <w:r w:rsidR="009D4207">
        <w:t>NZ</w:t>
      </w:r>
      <w:r w:rsidR="00B233F4">
        <w:t>$99,000 over five years</w:t>
      </w:r>
      <w:r w:rsidR="00444570">
        <w:t xml:space="preserve"> and that, based on 9,583 hospitalised strokes in 2014</w:t>
      </w:r>
      <w:r w:rsidR="0074164F">
        <w:t xml:space="preserve">, the total discounted cost over five years would be </w:t>
      </w:r>
      <w:r w:rsidR="002568EF">
        <w:t xml:space="preserve">approximately </w:t>
      </w:r>
      <w:r w:rsidR="009D4207">
        <w:t>NZ</w:t>
      </w:r>
      <w:r w:rsidR="002568EF">
        <w:t>$900</w:t>
      </w:r>
      <w:r w:rsidR="0074164F">
        <w:t xml:space="preserve"> million (</w:t>
      </w:r>
      <w:r w:rsidR="004B158D">
        <w:t xml:space="preserve">and still over half a billion dollars </w:t>
      </w:r>
      <w:r w:rsidR="009D4207">
        <w:t xml:space="preserve">of </w:t>
      </w:r>
      <w:r w:rsidR="004B158D">
        <w:t>quality of life and premature death costs are excluded)</w:t>
      </w:r>
      <w:r w:rsidR="0074164F">
        <w:t>.</w:t>
      </w:r>
      <w:r w:rsidR="00024A22">
        <w:t xml:space="preserve"> The two major cost categories are </w:t>
      </w:r>
      <w:r w:rsidR="009D4207">
        <w:t>first-</w:t>
      </w:r>
      <w:r w:rsidR="00024A22">
        <w:t>year inpatient costs and quality of life costs</w:t>
      </w:r>
      <w:r w:rsidR="00F357C7">
        <w:t>.</w:t>
      </w:r>
    </w:p>
    <w:p w14:paraId="4A54D809" w14:textId="34537EA8" w:rsidR="00F357C7" w:rsidRDefault="009D4207" w:rsidP="00F357C7">
      <w:pPr>
        <w:pStyle w:val="FigureCaption"/>
      </w:pPr>
      <w:bookmarkStart w:id="125" w:name="_Hlk93411583"/>
      <w:bookmarkStart w:id="126" w:name="_Toc98760561"/>
      <w:bookmarkStart w:id="127" w:name="_Hlk85744397"/>
      <w:r w:rsidRPr="00E84337">
        <w:lastRenderedPageBreak/>
        <w:t>Figure </w:t>
      </w:r>
      <w:r w:rsidRPr="00E84337">
        <w:fldChar w:fldCharType="begin"/>
      </w:r>
      <w:r w:rsidRPr="00E84337">
        <w:instrText>SEQ Figure \* ARABIC</w:instrText>
      </w:r>
      <w:r w:rsidRPr="00E84337">
        <w:fldChar w:fldCharType="separate"/>
      </w:r>
      <w:r w:rsidR="002C631E">
        <w:rPr>
          <w:noProof/>
        </w:rPr>
        <w:t>30</w:t>
      </w:r>
      <w:r w:rsidRPr="00E84337">
        <w:fldChar w:fldCharType="end"/>
      </w:r>
      <w:bookmarkEnd w:id="125"/>
      <w:r>
        <w:t xml:space="preserve"> </w:t>
      </w:r>
      <w:r w:rsidR="00F357C7">
        <w:t>Breakdown of the 5-year costs of an annual cohort of strokes in New Zealand</w:t>
      </w:r>
      <w:bookmarkEnd w:id="126"/>
    </w:p>
    <w:bookmarkEnd w:id="127"/>
    <w:p w14:paraId="781C1AD5" w14:textId="6D854718" w:rsidR="00F92D80" w:rsidRDefault="00F92D80" w:rsidP="000F302D">
      <w:pPr>
        <w:pStyle w:val="USBodyText"/>
      </w:pPr>
      <w:r>
        <w:rPr>
          <w:noProof/>
        </w:rPr>
        <w:drawing>
          <wp:inline distT="0" distB="0" distL="0" distR="0" wp14:anchorId="5182B95C" wp14:editId="10A50575">
            <wp:extent cx="4543425" cy="2714625"/>
            <wp:effectExtent l="0" t="0" r="9525" b="9525"/>
            <wp:docPr id="37" name="Picture 37" descr="Figure 30 Breakdown of the 5-year costs of an annual cohort of strokes in New Zea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30 Breakdown of the 5-year costs of an annual cohort of strokes in New Zealand&#10;"/>
                    <pic:cNvPicPr/>
                  </pic:nvPicPr>
                  <pic:blipFill>
                    <a:blip r:embed="rId61"/>
                    <a:stretch>
                      <a:fillRect/>
                    </a:stretch>
                  </pic:blipFill>
                  <pic:spPr>
                    <a:xfrm>
                      <a:off x="0" y="0"/>
                      <a:ext cx="4543425" cy="2714625"/>
                    </a:xfrm>
                    <a:prstGeom prst="rect">
                      <a:avLst/>
                    </a:prstGeom>
                  </pic:spPr>
                </pic:pic>
              </a:graphicData>
            </a:graphic>
          </wp:inline>
        </w:drawing>
      </w:r>
    </w:p>
    <w:p w14:paraId="2D055490" w14:textId="2147D73A" w:rsidR="00F357C7" w:rsidRDefault="00F357C7" w:rsidP="003E01E6">
      <w:pPr>
        <w:pStyle w:val="USSource"/>
      </w:pPr>
      <w:r>
        <w:t xml:space="preserve">Source: </w:t>
      </w:r>
      <w:r w:rsidR="009D4207" w:rsidRPr="009D4207">
        <w:rPr>
          <w:rFonts w:cs="Calibri"/>
        </w:rPr>
        <w:t xml:space="preserve">Hogan and Siddharth </w:t>
      </w:r>
      <w:r w:rsidR="009D4207">
        <w:rPr>
          <w:rFonts w:cs="Calibri"/>
        </w:rPr>
        <w:t>(</w:t>
      </w:r>
      <w:r w:rsidR="009D4207" w:rsidRPr="009D4207">
        <w:rPr>
          <w:rFonts w:cs="Calibri"/>
        </w:rPr>
        <w:t>2018)</w:t>
      </w:r>
    </w:p>
    <w:p w14:paraId="6F946FA6" w14:textId="23ED349B" w:rsidR="00022E19" w:rsidRDefault="00022E19" w:rsidP="000F302D">
      <w:pPr>
        <w:pStyle w:val="USBodyText"/>
      </w:pPr>
      <w:r>
        <w:t>The study notes that estimates are conservative due to:</w:t>
      </w:r>
    </w:p>
    <w:p w14:paraId="70A2942D" w14:textId="77D9FFC6" w:rsidR="00022E19" w:rsidRDefault="00022E19" w:rsidP="00022E19">
      <w:pPr>
        <w:pStyle w:val="USBullet1"/>
      </w:pPr>
      <w:r>
        <w:t>Conservative costing approaches</w:t>
      </w:r>
    </w:p>
    <w:p w14:paraId="187BA013" w14:textId="67777981" w:rsidR="00022E19" w:rsidRDefault="00FD3702" w:rsidP="00022E19">
      <w:pPr>
        <w:pStyle w:val="USBullet1"/>
      </w:pPr>
      <w:r>
        <w:t>Exclusion of non-hospitalised strokes</w:t>
      </w:r>
      <w:r w:rsidR="009D4207">
        <w:t>,</w:t>
      </w:r>
      <w:r>
        <w:t xml:space="preserve"> which may nevertheless be associated with both health system and private costs</w:t>
      </w:r>
    </w:p>
    <w:p w14:paraId="5718B6E1" w14:textId="1CECC2D5" w:rsidR="00980F0A" w:rsidRDefault="00980F0A" w:rsidP="00022E19">
      <w:pPr>
        <w:pStyle w:val="USBullet1"/>
      </w:pPr>
      <w:r>
        <w:t>Exclusion of quality of life and mortality costs for people aged 75 and over</w:t>
      </w:r>
    </w:p>
    <w:p w14:paraId="5A9BE838" w14:textId="235050B3" w:rsidR="00980F0A" w:rsidRDefault="00A42B5E" w:rsidP="00022E19">
      <w:pPr>
        <w:pStyle w:val="USBullet1"/>
      </w:pPr>
      <w:r>
        <w:t>Exclusion of all costs beyond the first five years</w:t>
      </w:r>
      <w:r w:rsidR="0045681E">
        <w:t>.</w:t>
      </w:r>
    </w:p>
    <w:p w14:paraId="1B1E65A2" w14:textId="6890D30F" w:rsidR="003E01E6" w:rsidRDefault="003E01E6" w:rsidP="00F3348D">
      <w:pPr>
        <w:pStyle w:val="USBodyText"/>
      </w:pPr>
      <w:r>
        <w:t xml:space="preserve">The 2018 report was updated in </w:t>
      </w:r>
      <w:r w:rsidRPr="000B36F2">
        <w:t>2020</w:t>
      </w:r>
      <w:r w:rsidRPr="00912F7C">
        <w:rPr>
          <w:b/>
          <w:bCs/>
        </w:rPr>
        <w:t xml:space="preserve"> </w:t>
      </w:r>
      <w:r w:rsidR="001654CA" w:rsidRPr="001654CA">
        <w:rPr>
          <w:rFonts w:cs="Calibri"/>
        </w:rPr>
        <w:t>(</w:t>
      </w:r>
      <w:r w:rsidR="001654CA" w:rsidRPr="000B36F2">
        <w:rPr>
          <w:rFonts w:cs="Calibri"/>
          <w:b/>
          <w:bCs/>
        </w:rPr>
        <w:t>Hogan and Siddharth 2020</w:t>
      </w:r>
      <w:r w:rsidR="001654CA" w:rsidRPr="001654CA">
        <w:rPr>
          <w:rFonts w:cs="Calibri"/>
        </w:rPr>
        <w:t>)</w:t>
      </w:r>
      <w:r>
        <w:t xml:space="preserve">. In the updated report, </w:t>
      </w:r>
      <w:r w:rsidR="008E58EC">
        <w:t xml:space="preserve">stroke costs were projected to 2023 and 5 yearly to 2038, </w:t>
      </w:r>
      <w:r w:rsidR="00C42DC4">
        <w:t xml:space="preserve">equity impacts were analysed to identify the </w:t>
      </w:r>
      <w:r w:rsidR="008E58EC">
        <w:t>disproportionate impact of</w:t>
      </w:r>
      <w:r w:rsidR="00C42DC4">
        <w:t xml:space="preserve"> </w:t>
      </w:r>
      <w:r w:rsidR="008E58EC">
        <w:t>stroke on Māori and Pacific</w:t>
      </w:r>
      <w:r w:rsidR="00C42DC4">
        <w:t xml:space="preserve"> people, and a new section was added on </w:t>
      </w:r>
      <w:r w:rsidR="008E58EC">
        <w:t>acute stroke services with a focus on thrombectomy</w:t>
      </w:r>
      <w:r w:rsidR="00F3348D">
        <w:t>, including v</w:t>
      </w:r>
      <w:r w:rsidR="008E58EC">
        <w:t>olumes and costs, projected through to 2038, and estimates of cost impact</w:t>
      </w:r>
      <w:r w:rsidR="00F3348D">
        <w:t>s associated with</w:t>
      </w:r>
      <w:r w:rsidR="008E58EC">
        <w:t xml:space="preserve"> increased thrombectomy rates.</w:t>
      </w:r>
    </w:p>
    <w:p w14:paraId="42F2E965" w14:textId="3891FE3C" w:rsidR="005A487A" w:rsidRDefault="005A487A" w:rsidP="00F3348D">
      <w:pPr>
        <w:pStyle w:val="USBodyText"/>
      </w:pPr>
      <w:r>
        <w:t>The updated report estimated that:</w:t>
      </w:r>
    </w:p>
    <w:p w14:paraId="7EA18E11" w14:textId="645487AE" w:rsidR="005A487A" w:rsidRDefault="005A487A" w:rsidP="005A487A">
      <w:pPr>
        <w:pStyle w:val="USBullet1"/>
      </w:pPr>
      <w:r>
        <w:t xml:space="preserve">An annual cohort of strokes in New Zealand based on the 2020 projected cohort was expected to incur over </w:t>
      </w:r>
      <w:r w:rsidR="00281B32">
        <w:t>NZ</w:t>
      </w:r>
      <w:r>
        <w:t xml:space="preserve">$1.3 billion in social and economic costs (including the value of lost quality of life and </w:t>
      </w:r>
      <w:r w:rsidR="00281B32">
        <w:t>life-</w:t>
      </w:r>
      <w:r>
        <w:t xml:space="preserve">years lost prematurely) over </w:t>
      </w:r>
      <w:r w:rsidR="00281B32">
        <w:t xml:space="preserve">the </w:t>
      </w:r>
      <w:r>
        <w:t xml:space="preserve">next five years (discounted to 2020). </w:t>
      </w:r>
    </w:p>
    <w:p w14:paraId="00577722" w14:textId="1C4F5AC5" w:rsidR="005A487A" w:rsidRDefault="005A487A" w:rsidP="005A487A">
      <w:pPr>
        <w:pStyle w:val="USBullet1"/>
      </w:pPr>
      <w:r>
        <w:t xml:space="preserve">The discounted expected cost of a stroke over five years was approximately </w:t>
      </w:r>
      <w:r w:rsidR="00B820B9">
        <w:t>NZ</w:t>
      </w:r>
      <w:r>
        <w:t xml:space="preserve">$105,000. </w:t>
      </w:r>
    </w:p>
    <w:p w14:paraId="53D3285A" w14:textId="48435C41" w:rsidR="005A487A" w:rsidRDefault="005A487A" w:rsidP="005A487A">
      <w:pPr>
        <w:pStyle w:val="USBullet1"/>
      </w:pPr>
      <w:r>
        <w:t xml:space="preserve">The cost of stroke to New Zealand in 2020 was approximately </w:t>
      </w:r>
      <w:r w:rsidR="00B820B9">
        <w:t>NZ</w:t>
      </w:r>
      <w:r>
        <w:t xml:space="preserve">$1.1 billion, projected to increase to </w:t>
      </w:r>
      <w:r w:rsidR="00B820B9">
        <w:t>NZ</w:t>
      </w:r>
      <w:r>
        <w:t>$1.7 billion by 2038.</w:t>
      </w:r>
    </w:p>
    <w:p w14:paraId="54CD20DA" w14:textId="77777777" w:rsidR="00CF2BC4" w:rsidRDefault="00CF2BC4">
      <w:pPr>
        <w:spacing w:after="160" w:line="259" w:lineRule="auto"/>
        <w:rPr>
          <w:rFonts w:eastAsiaTheme="majorEastAsia" w:cstheme="majorBidi"/>
          <w:b/>
          <w:color w:val="0094C5"/>
          <w:sz w:val="32"/>
          <w:szCs w:val="32"/>
        </w:rPr>
      </w:pPr>
      <w:r>
        <w:br w:type="page"/>
      </w:r>
    </w:p>
    <w:p w14:paraId="5719CDDF" w14:textId="0040E63B" w:rsidR="009C7EC7" w:rsidRDefault="009C7EC7" w:rsidP="002E10F0">
      <w:pPr>
        <w:pStyle w:val="Heading1"/>
      </w:pPr>
      <w:bookmarkStart w:id="128" w:name="_Ref85741105"/>
      <w:bookmarkStart w:id="129" w:name="_Toc98760529"/>
      <w:r>
        <w:lastRenderedPageBreak/>
        <w:t>International evidence</w:t>
      </w:r>
      <w:bookmarkEnd w:id="128"/>
      <w:bookmarkEnd w:id="129"/>
    </w:p>
    <w:p w14:paraId="367DD08C" w14:textId="3104CDB4" w:rsidR="009C7EC7" w:rsidRDefault="009C7EC7" w:rsidP="009C7EC7">
      <w:pPr>
        <w:pStyle w:val="USBodyText"/>
      </w:pPr>
      <w:r>
        <w:t xml:space="preserve">The international evidence search focused on </w:t>
      </w:r>
      <w:r w:rsidR="00025F04">
        <w:t xml:space="preserve">the most relevant </w:t>
      </w:r>
      <w:r w:rsidR="00001C86">
        <w:t>evidence to provide insights for the New Zealand context for</w:t>
      </w:r>
      <w:r w:rsidR="00FC0E94">
        <w:t xml:space="preserve"> conditions for which New Zealand </w:t>
      </w:r>
      <w:r w:rsidR="008A5D81">
        <w:t>cost-of-illness studies</w:t>
      </w:r>
      <w:r w:rsidR="00FC0E94">
        <w:t xml:space="preserve"> were not found</w:t>
      </w:r>
      <w:r w:rsidR="001D5D82">
        <w:t xml:space="preserve">. </w:t>
      </w:r>
      <w:r w:rsidR="00DB28F0">
        <w:t>Evidence from non-OECD countries was excluded.</w:t>
      </w:r>
    </w:p>
    <w:p w14:paraId="47BBAC08" w14:textId="32798412" w:rsidR="00A547F7" w:rsidRDefault="00A547F7" w:rsidP="0005646B">
      <w:pPr>
        <w:pStyle w:val="Heading3"/>
      </w:pPr>
      <w:r>
        <w:t>Alcohol</w:t>
      </w:r>
    </w:p>
    <w:p w14:paraId="17DEB07F" w14:textId="1DD932B2" w:rsidR="00720D2E" w:rsidRDefault="00560D37" w:rsidP="005C4906">
      <w:pPr>
        <w:pStyle w:val="USBodyText"/>
      </w:pPr>
      <w:r>
        <w:t xml:space="preserve">Although not a cost-of-illness study itself, </w:t>
      </w:r>
      <w:r w:rsidR="00A04D76" w:rsidRPr="00A04D76">
        <w:rPr>
          <w:rFonts w:cs="Calibri"/>
          <w:szCs w:val="24"/>
        </w:rPr>
        <w:t>Laramée et al. (2013)</w:t>
      </w:r>
      <w:r>
        <w:t xml:space="preserve"> conducted a systematic literature review t</w:t>
      </w:r>
      <w:r w:rsidR="00E525CF">
        <w:t>o identify publications reporting the economic burden of alcohol dependence in European count</w:t>
      </w:r>
      <w:r w:rsidR="00D95565">
        <w:t>r</w:t>
      </w:r>
      <w:r w:rsidR="00E525CF">
        <w:t xml:space="preserve">ies. </w:t>
      </w:r>
      <w:r w:rsidR="00EF171C">
        <w:t>The publication year of included studies</w:t>
      </w:r>
      <w:r w:rsidR="00B86538">
        <w:t xml:space="preserve"> </w:t>
      </w:r>
      <w:r w:rsidR="00EF171C">
        <w:t xml:space="preserve">ranged from </w:t>
      </w:r>
      <w:r w:rsidR="006460A2">
        <w:t xml:space="preserve">1968 to 2010. </w:t>
      </w:r>
      <w:r w:rsidR="005C4906">
        <w:t xml:space="preserve">Evidence reviewed indicated that alcohol dependence in Europe </w:t>
      </w:r>
      <w:r w:rsidR="008F72AA">
        <w:t>is associated with</w:t>
      </w:r>
      <w:r w:rsidR="005C4906">
        <w:t xml:space="preserve"> annual</w:t>
      </w:r>
      <w:r w:rsidR="008F72AA">
        <w:t xml:space="preserve"> </w:t>
      </w:r>
      <w:r w:rsidR="005C4906">
        <w:t xml:space="preserve">total direct costs at </w:t>
      </w:r>
      <w:r w:rsidR="008F72AA">
        <w:t xml:space="preserve">a </w:t>
      </w:r>
      <w:r w:rsidR="005C4906">
        <w:t xml:space="preserve">national level </w:t>
      </w:r>
      <w:r w:rsidR="008F72AA">
        <w:t>between</w:t>
      </w:r>
      <w:r w:rsidR="005C4906">
        <w:t xml:space="preserve"> €1 billion </w:t>
      </w:r>
      <w:r w:rsidR="008F72AA">
        <w:t xml:space="preserve">and </w:t>
      </w:r>
      <w:r w:rsidR="005C4906">
        <w:t>€7.8 billion 2012, or 0.04</w:t>
      </w:r>
      <w:r w:rsidR="00FA6AE8">
        <w:t xml:space="preserve"> to </w:t>
      </w:r>
      <w:r w:rsidR="005C4906">
        <w:t xml:space="preserve">0.31 </w:t>
      </w:r>
      <w:r w:rsidR="00FA6AE8">
        <w:t xml:space="preserve">percent </w:t>
      </w:r>
      <w:r w:rsidR="005C4906">
        <w:t>of a</w:t>
      </w:r>
      <w:r w:rsidR="00FA6AE8">
        <w:t xml:space="preserve"> </w:t>
      </w:r>
      <w:r w:rsidR="005C4906">
        <w:t>country’s annual GDP</w:t>
      </w:r>
      <w:r w:rsidR="00FA6AE8">
        <w:t>.</w:t>
      </w:r>
    </w:p>
    <w:p w14:paraId="1C1BEA51" w14:textId="43742AD5" w:rsidR="00663E01" w:rsidRDefault="005162C0" w:rsidP="005C4906">
      <w:pPr>
        <w:pStyle w:val="USBodyText"/>
      </w:pPr>
      <w:r>
        <w:t>A report for the Scottish Government (</w:t>
      </w:r>
      <w:r w:rsidR="00E24F51" w:rsidRPr="009F6E42">
        <w:rPr>
          <w:b/>
          <w:bCs/>
        </w:rPr>
        <w:t>Scottish Government Social Research</w:t>
      </w:r>
      <w:r w:rsidRPr="009F6E42">
        <w:rPr>
          <w:b/>
          <w:bCs/>
        </w:rPr>
        <w:t>, 2010</w:t>
      </w:r>
      <w:r>
        <w:t>)</w:t>
      </w:r>
      <w:r w:rsidR="00733BB9">
        <w:t xml:space="preserve"> estimated the societal costs of alcohol misuse in Scotland in 2007. Included costs comprised health care costs, </w:t>
      </w:r>
      <w:r w:rsidR="007F18CB">
        <w:t xml:space="preserve">social care costs, </w:t>
      </w:r>
      <w:r w:rsidR="0014132E">
        <w:t xml:space="preserve">criminal justice system </w:t>
      </w:r>
      <w:r w:rsidR="007F18CB">
        <w:t>cos</w:t>
      </w:r>
      <w:r w:rsidR="0014132E">
        <w:t>ts</w:t>
      </w:r>
      <w:r w:rsidR="007F18CB">
        <w:t xml:space="preserve">, productivity costs, and </w:t>
      </w:r>
      <w:r w:rsidR="00BC7F7B">
        <w:t>intangible costs of premature mortality.</w:t>
      </w:r>
      <w:r w:rsidR="006120EC">
        <w:t xml:space="preserve"> The </w:t>
      </w:r>
      <w:r w:rsidR="00663E01">
        <w:t xml:space="preserve">midpoint </w:t>
      </w:r>
      <w:r w:rsidR="006120EC">
        <w:t>cost</w:t>
      </w:r>
      <w:r w:rsidR="00663E01">
        <w:t xml:space="preserve"> estimates were:</w:t>
      </w:r>
    </w:p>
    <w:p w14:paraId="57C531B8" w14:textId="73162F8A" w:rsidR="00FA6AE8" w:rsidRDefault="006120EC" w:rsidP="00663E01">
      <w:pPr>
        <w:pStyle w:val="USBullet1"/>
      </w:pPr>
      <w:r>
        <w:t xml:space="preserve"> </w:t>
      </w:r>
      <w:r w:rsidR="00663E01" w:rsidRPr="00663E01">
        <w:t>£</w:t>
      </w:r>
      <w:r w:rsidR="00663E01">
        <w:t>267.8</w:t>
      </w:r>
      <w:r w:rsidR="00663E01" w:rsidRPr="00663E01">
        <w:t xml:space="preserve"> to health services </w:t>
      </w:r>
      <w:r w:rsidR="00D70EC0">
        <w:t xml:space="preserve">(with non-psychiatric </w:t>
      </w:r>
      <w:r w:rsidR="007F0E28">
        <w:t>inpatient days being the most significant component)</w:t>
      </w:r>
    </w:p>
    <w:p w14:paraId="12776933" w14:textId="7710F63A" w:rsidR="00663E01" w:rsidRDefault="00663E01" w:rsidP="00663E01">
      <w:pPr>
        <w:pStyle w:val="USBullet1"/>
      </w:pPr>
      <w:r w:rsidRPr="00663E01">
        <w:t>£</w:t>
      </w:r>
      <w:r>
        <w:t>230.5 to social care</w:t>
      </w:r>
      <w:r w:rsidR="0020444D">
        <w:t xml:space="preserve"> services (with most of this being social care services for children and families)</w:t>
      </w:r>
    </w:p>
    <w:p w14:paraId="432B3EB8" w14:textId="09245B3C" w:rsidR="007F0E28" w:rsidRDefault="007F0E28" w:rsidP="00663E01">
      <w:pPr>
        <w:pStyle w:val="USBullet1"/>
      </w:pPr>
      <w:r w:rsidRPr="007F0E28">
        <w:t>£</w:t>
      </w:r>
      <w:r w:rsidR="00FD676D">
        <w:t>727.1 in crime costs of alcohol-specific offences</w:t>
      </w:r>
    </w:p>
    <w:p w14:paraId="123E6305" w14:textId="04544C73" w:rsidR="00FD676D" w:rsidRDefault="00FD676D" w:rsidP="00663E01">
      <w:pPr>
        <w:pStyle w:val="USBullet1"/>
      </w:pPr>
      <w:r w:rsidRPr="00FD676D">
        <w:t>£</w:t>
      </w:r>
      <w:r w:rsidR="007173DA" w:rsidRPr="007173DA">
        <w:t>865.7</w:t>
      </w:r>
      <w:r w:rsidR="007173DA">
        <w:t xml:space="preserve"> in foregone productivity (including presenteeism, absenteeism, unemployment</w:t>
      </w:r>
      <w:r w:rsidR="002F7BB3">
        <w:t>, and lost production due to premature mortality</w:t>
      </w:r>
      <w:r w:rsidR="007173DA">
        <w:t>)</w:t>
      </w:r>
    </w:p>
    <w:p w14:paraId="0FAD9526" w14:textId="0C4D9877" w:rsidR="006339E6" w:rsidRDefault="006339E6" w:rsidP="00663E01">
      <w:pPr>
        <w:pStyle w:val="USBullet1"/>
      </w:pPr>
      <w:r w:rsidRPr="006339E6">
        <w:t>£</w:t>
      </w:r>
      <w:r w:rsidR="00EA44FA" w:rsidRPr="00EA44FA">
        <w:t>1,464.6</w:t>
      </w:r>
      <w:r w:rsidR="00EA44FA">
        <w:t xml:space="preserve"> in </w:t>
      </w:r>
      <w:r w:rsidR="00DB3148">
        <w:t xml:space="preserve">costs related to premature mortality (intangible social costs, lost unpaid </w:t>
      </w:r>
      <w:r w:rsidR="002F7BB3">
        <w:t>work</w:t>
      </w:r>
      <w:r w:rsidR="009F6B25">
        <w:t xml:space="preserve"> by non-participants in the workforce</w:t>
      </w:r>
      <w:r w:rsidR="002F7BB3">
        <w:t>)</w:t>
      </w:r>
    </w:p>
    <w:p w14:paraId="18C7714A" w14:textId="206683C2" w:rsidR="00D70EC0" w:rsidRDefault="009F6B25" w:rsidP="00E320CD">
      <w:pPr>
        <w:pStyle w:val="USBodyText"/>
      </w:pPr>
      <w:r>
        <w:t>Overall</w:t>
      </w:r>
      <w:r w:rsidR="00260D8F">
        <w:t>, alcohol misuse was estimated to cost Scottish society between £2.</w:t>
      </w:r>
      <w:r w:rsidR="00E320CD">
        <w:t xml:space="preserve">4 and </w:t>
      </w:r>
      <w:r w:rsidR="00260D8F">
        <w:t>£4</w:t>
      </w:r>
      <w:r w:rsidR="00E320CD">
        <w:t>.6 billion in 2007</w:t>
      </w:r>
      <w:r w:rsidR="00260D8F">
        <w:t xml:space="preserve"> at 2007/08 prices, with a mid-point of £3</w:t>
      </w:r>
      <w:r w:rsidR="00E320CD">
        <w:t>.6 billion.</w:t>
      </w:r>
    </w:p>
    <w:p w14:paraId="00A4FE91" w14:textId="16AC02B3" w:rsidR="00BE06DB" w:rsidRDefault="00C348B7" w:rsidP="00BE06DB">
      <w:pPr>
        <w:pStyle w:val="USBodyText"/>
      </w:pPr>
      <w:r w:rsidRPr="00D70559">
        <w:rPr>
          <w:rFonts w:cs="Calibri"/>
          <w:b/>
          <w:bCs/>
        </w:rPr>
        <w:t>Jones et al. (2010)</w:t>
      </w:r>
      <w:r w:rsidR="00850F44" w:rsidRPr="00D70559">
        <w:rPr>
          <w:b/>
          <w:bCs/>
        </w:rPr>
        <w:t xml:space="preserve"> </w:t>
      </w:r>
      <w:r w:rsidR="00850F44">
        <w:t xml:space="preserve">estimated the </w:t>
      </w:r>
      <w:r w:rsidR="00850F44" w:rsidRPr="00850F44">
        <w:t xml:space="preserve">economic and social costs of alcohol-related harm in Leeds </w:t>
      </w:r>
      <w:r w:rsidR="00850F44">
        <w:t xml:space="preserve">in </w:t>
      </w:r>
      <w:r w:rsidR="00850F44" w:rsidRPr="00850F44">
        <w:t>2008</w:t>
      </w:r>
      <w:r w:rsidR="00850F44">
        <w:t>/</w:t>
      </w:r>
      <w:r w:rsidR="00850F44" w:rsidRPr="00850F44">
        <w:t>09</w:t>
      </w:r>
      <w:r w:rsidR="00441C11">
        <w:t xml:space="preserve"> (population </w:t>
      </w:r>
      <w:r w:rsidR="00441C11" w:rsidRPr="00441C11">
        <w:t>646,500</w:t>
      </w:r>
      <w:r w:rsidR="00441C11">
        <w:t>)</w:t>
      </w:r>
      <w:r w:rsidR="0014132E">
        <w:t>. Costs included costs to the health system, social care costs, criminal justice system costs, social care costs, productivity costs</w:t>
      </w:r>
      <w:r w:rsidR="001C0C20">
        <w:t>, and wider social and economic costs such as alcohol-related litter, fire service attendances</w:t>
      </w:r>
      <w:r w:rsidR="00DD0678">
        <w:t>, school failure and reduced educational attainment.</w:t>
      </w:r>
    </w:p>
    <w:p w14:paraId="7F54D858" w14:textId="74E12495" w:rsidR="00D70EC0" w:rsidRDefault="0026654F" w:rsidP="00BE06DB">
      <w:pPr>
        <w:pStyle w:val="USBodyText"/>
      </w:pPr>
      <w:r>
        <w:t>T</w:t>
      </w:r>
      <w:r w:rsidR="00BE06DB" w:rsidRPr="00BE06DB">
        <w:t>he cost of alcohol</w:t>
      </w:r>
      <w:r>
        <w:t>-related harm</w:t>
      </w:r>
      <w:r w:rsidR="00BE06DB" w:rsidRPr="00BE06DB">
        <w:t xml:space="preserve"> in Leeds </w:t>
      </w:r>
      <w:r>
        <w:t>w</w:t>
      </w:r>
      <w:r w:rsidR="00BE06DB" w:rsidRPr="00BE06DB">
        <w:t xml:space="preserve">as estimated to be </w:t>
      </w:r>
      <w:r w:rsidRPr="0026654F">
        <w:t xml:space="preserve">£438.0 million </w:t>
      </w:r>
      <w:r>
        <w:t>in 2008/09</w:t>
      </w:r>
      <w:r w:rsidR="00AB5F74">
        <w:t xml:space="preserve"> with costs to </w:t>
      </w:r>
      <w:r w:rsidRPr="0026654F">
        <w:t xml:space="preserve">the </w:t>
      </w:r>
      <w:r w:rsidR="00AB5F74">
        <w:t>National Health Service (</w:t>
      </w:r>
      <w:r w:rsidRPr="0026654F">
        <w:t>NHS</w:t>
      </w:r>
      <w:r w:rsidR="00AB5F74">
        <w:t>)</w:t>
      </w:r>
      <w:r w:rsidRPr="0026654F">
        <w:t xml:space="preserve"> alone</w:t>
      </w:r>
      <w:r w:rsidR="00AB5F74">
        <w:t xml:space="preserve"> </w:t>
      </w:r>
      <w:r w:rsidRPr="0026654F">
        <w:t>in excess of £20 million</w:t>
      </w:r>
      <w:r w:rsidR="00AB5F74">
        <w:t>.</w:t>
      </w:r>
      <w:r w:rsidR="001A7331">
        <w:t xml:space="preserve"> </w:t>
      </w:r>
      <w:r w:rsidR="001A7331" w:rsidRPr="001A7331">
        <w:t>A total of 5,235 years of life were</w:t>
      </w:r>
      <w:r w:rsidR="001A7331">
        <w:t xml:space="preserve"> estimated to be</w:t>
      </w:r>
      <w:r w:rsidR="001A7331" w:rsidRPr="001A7331">
        <w:t xml:space="preserve"> lost due to premature mortality in Leeds yielding intangible or human costs between £92.3 million and £153.9 million, with a midpoint of £123.1 million.</w:t>
      </w:r>
    </w:p>
    <w:p w14:paraId="1EAEAA65" w14:textId="447D8DC9" w:rsidR="00A32EA5" w:rsidRDefault="00A32EA5" w:rsidP="00BE06DB">
      <w:pPr>
        <w:pStyle w:val="USBodyText"/>
      </w:pPr>
      <w:r w:rsidRPr="00A32EA5">
        <w:t>Of the total costs, 13</w:t>
      </w:r>
      <w:r>
        <w:t xml:space="preserve"> percent</w:t>
      </w:r>
      <w:r w:rsidRPr="00A32EA5">
        <w:t xml:space="preserve"> were </w:t>
      </w:r>
      <w:r>
        <w:t>attributed</w:t>
      </w:r>
      <w:r w:rsidRPr="00A32EA5">
        <w:t xml:space="preserve"> to expenditure on health and social care services, 29</w:t>
      </w:r>
      <w:r>
        <w:t xml:space="preserve"> percent were attributed</w:t>
      </w:r>
      <w:r w:rsidRPr="00A32EA5">
        <w:t xml:space="preserve"> to crime</w:t>
      </w:r>
      <w:r w:rsidR="001E6B7D">
        <w:t xml:space="preserve">, </w:t>
      </w:r>
      <w:r w:rsidRPr="00A32EA5">
        <w:t>27</w:t>
      </w:r>
      <w:r w:rsidR="001E6B7D">
        <w:t xml:space="preserve"> percent</w:t>
      </w:r>
      <w:r w:rsidRPr="00A32EA5">
        <w:t xml:space="preserve"> were </w:t>
      </w:r>
      <w:r w:rsidR="001E6B7D">
        <w:t>attributed</w:t>
      </w:r>
      <w:r w:rsidRPr="00A32EA5">
        <w:t xml:space="preserve"> to lost productivity and 31</w:t>
      </w:r>
      <w:r w:rsidR="001E6B7D">
        <w:t xml:space="preserve"> percent</w:t>
      </w:r>
      <w:r w:rsidRPr="00A32EA5">
        <w:t xml:space="preserve"> were </w:t>
      </w:r>
      <w:r w:rsidR="001E6B7D">
        <w:t>attributed</w:t>
      </w:r>
      <w:r w:rsidRPr="00A32EA5">
        <w:t xml:space="preserve"> to the wider social costs of alcohol misuse</w:t>
      </w:r>
      <w:r w:rsidR="00EE776F">
        <w:t xml:space="preserve"> (see </w:t>
      </w:r>
      <w:r w:rsidR="000D49A4">
        <w:fldChar w:fldCharType="begin"/>
      </w:r>
      <w:r w:rsidR="000D49A4">
        <w:instrText xml:space="preserve"> REF _Ref93412097 \h </w:instrText>
      </w:r>
      <w:r w:rsidR="000D49A4">
        <w:fldChar w:fldCharType="separate"/>
      </w:r>
      <w:r w:rsidR="002C631E" w:rsidRPr="00731CA6">
        <w:t>Figure </w:t>
      </w:r>
      <w:r w:rsidR="002C631E">
        <w:rPr>
          <w:noProof/>
        </w:rPr>
        <w:t>31</w:t>
      </w:r>
      <w:r w:rsidR="000D49A4">
        <w:fldChar w:fldCharType="end"/>
      </w:r>
      <w:r w:rsidR="00EE776F">
        <w:t xml:space="preserve"> below)</w:t>
      </w:r>
      <w:r w:rsidR="001E6B7D">
        <w:t>.</w:t>
      </w:r>
    </w:p>
    <w:p w14:paraId="0CCE1DC8" w14:textId="2FE66CAA" w:rsidR="004427B8" w:rsidRDefault="001F08DC" w:rsidP="004427B8">
      <w:pPr>
        <w:pStyle w:val="FigureCaption"/>
      </w:pPr>
      <w:bookmarkStart w:id="130" w:name="_Ref93412097"/>
      <w:bookmarkStart w:id="131" w:name="_Toc98760562"/>
      <w:r w:rsidRPr="00731CA6">
        <w:lastRenderedPageBreak/>
        <w:t>Figure </w:t>
      </w:r>
      <w:r w:rsidR="00443CD7">
        <w:fldChar w:fldCharType="begin"/>
      </w:r>
      <w:r w:rsidR="00443CD7">
        <w:instrText xml:space="preserve"> SEQ Figure \* ARABIC </w:instrText>
      </w:r>
      <w:r w:rsidR="00443CD7">
        <w:fldChar w:fldCharType="separate"/>
      </w:r>
      <w:r w:rsidR="002C631E">
        <w:rPr>
          <w:noProof/>
        </w:rPr>
        <w:t>31</w:t>
      </w:r>
      <w:r w:rsidR="00443CD7">
        <w:rPr>
          <w:noProof/>
        </w:rPr>
        <w:fldChar w:fldCharType="end"/>
      </w:r>
      <w:bookmarkEnd w:id="130"/>
      <w:r w:rsidR="00F64D95" w:rsidRPr="00F64D95">
        <w:t xml:space="preserve"> </w:t>
      </w:r>
      <w:r w:rsidR="001553E0">
        <w:t>Attribution of c</w:t>
      </w:r>
      <w:r w:rsidR="004427B8">
        <w:t>osts</w:t>
      </w:r>
      <w:r w:rsidR="0043072E">
        <w:t xml:space="preserve"> of alcohol-related harm </w:t>
      </w:r>
      <w:r w:rsidR="001553E0">
        <w:t>in Leeds, UK</w:t>
      </w:r>
      <w:bookmarkEnd w:id="131"/>
    </w:p>
    <w:p w14:paraId="7A3AAF04" w14:textId="4D78C0D9" w:rsidR="001553E0" w:rsidRDefault="001553E0" w:rsidP="001553E0">
      <w:pPr>
        <w:pStyle w:val="CaptionSubheading"/>
      </w:pPr>
      <w:r>
        <w:t>2008/09</w:t>
      </w:r>
    </w:p>
    <w:p w14:paraId="3266418C" w14:textId="0BF143A2" w:rsidR="004427B8" w:rsidRDefault="004427B8" w:rsidP="004427B8">
      <w:pPr>
        <w:pStyle w:val="FigureCaption"/>
      </w:pPr>
      <w:r>
        <w:rPr>
          <w:noProof/>
        </w:rPr>
        <w:drawing>
          <wp:inline distT="0" distB="0" distL="0" distR="0" wp14:anchorId="41BC6063" wp14:editId="5082A42C">
            <wp:extent cx="4990602" cy="2009775"/>
            <wp:effectExtent l="0" t="0" r="635" b="0"/>
            <wp:docPr id="3" name="Picture 3" descr="Figure 31 Attribution of costs of alcohol-related harm in Leeds, U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1 Attribution of costs of alcohol-related harm in Leeds, UK&#10;"/>
                    <pic:cNvPicPr/>
                  </pic:nvPicPr>
                  <pic:blipFill>
                    <a:blip r:embed="rId62"/>
                    <a:stretch>
                      <a:fillRect/>
                    </a:stretch>
                  </pic:blipFill>
                  <pic:spPr>
                    <a:xfrm>
                      <a:off x="0" y="0"/>
                      <a:ext cx="4995990" cy="2011945"/>
                    </a:xfrm>
                    <a:prstGeom prst="rect">
                      <a:avLst/>
                    </a:prstGeom>
                  </pic:spPr>
                </pic:pic>
              </a:graphicData>
            </a:graphic>
          </wp:inline>
        </w:drawing>
      </w:r>
    </w:p>
    <w:p w14:paraId="332E6638" w14:textId="4B80FD6E" w:rsidR="004427B8" w:rsidRDefault="004427B8" w:rsidP="004427B8">
      <w:pPr>
        <w:pStyle w:val="USSource"/>
      </w:pPr>
      <w:r>
        <w:t xml:space="preserve">Source: </w:t>
      </w:r>
      <w:r w:rsidRPr="004427B8">
        <w:rPr>
          <w:rFonts w:cs="Calibri"/>
        </w:rPr>
        <w:t>Jones et al. 2010</w:t>
      </w:r>
    </w:p>
    <w:p w14:paraId="26003F2E" w14:textId="2DB0C807" w:rsidR="00401B8F" w:rsidRDefault="00401B8F" w:rsidP="00401B8F">
      <w:pPr>
        <w:pStyle w:val="USBodyText"/>
      </w:pPr>
      <w:r>
        <w:t>A report from Northern Ireland (</w:t>
      </w:r>
      <w:r w:rsidR="00F41345">
        <w:rPr>
          <w:b/>
          <w:bCs/>
        </w:rPr>
        <w:t>McClure Walters</w:t>
      </w:r>
      <w:r w:rsidR="006223DC" w:rsidRPr="00FB3B12">
        <w:rPr>
          <w:b/>
          <w:bCs/>
        </w:rPr>
        <w:t>, 2010</w:t>
      </w:r>
      <w:r w:rsidR="006223DC">
        <w:t>)</w:t>
      </w:r>
      <w:r>
        <w:t xml:space="preserve"> </w:t>
      </w:r>
      <w:r w:rsidR="009C5366">
        <w:t>estimated</w:t>
      </w:r>
      <w:r w:rsidR="006223DC">
        <w:t xml:space="preserve"> the societal costs of alcohol misuse in Northern Ireland for 2008/09. Bottom-up gross costing </w:t>
      </w:r>
      <w:r w:rsidR="005F1FF3">
        <w:t>provided the basis of health system costs, while top-down methods were the primary method for estimating other costs. Results indicate that:</w:t>
      </w:r>
    </w:p>
    <w:p w14:paraId="5C91FC53" w14:textId="24623DF7" w:rsidR="005F1FF3" w:rsidRDefault="005F1FF3" w:rsidP="005F1FF3">
      <w:pPr>
        <w:pStyle w:val="USBullet1"/>
      </w:pPr>
      <w:r>
        <w:t xml:space="preserve">Health system costs </w:t>
      </w:r>
      <w:r w:rsidR="005419D3">
        <w:t>we</w:t>
      </w:r>
      <w:r>
        <w:t xml:space="preserve">re between </w:t>
      </w:r>
      <w:r w:rsidR="00BE1F51" w:rsidRPr="00BE1F51">
        <w:t>£</w:t>
      </w:r>
      <w:r w:rsidR="005419D3">
        <w:t>90</w:t>
      </w:r>
      <w:r w:rsidR="004C3B76">
        <w:t xml:space="preserve"> million</w:t>
      </w:r>
      <w:r w:rsidR="005419D3">
        <w:t xml:space="preserve"> and </w:t>
      </w:r>
      <w:r w:rsidR="00BE1F51" w:rsidRPr="00BE1F51">
        <w:t>£</w:t>
      </w:r>
      <w:r w:rsidR="005419D3">
        <w:t>158</w:t>
      </w:r>
      <w:r w:rsidR="004C3B76">
        <w:t xml:space="preserve"> million</w:t>
      </w:r>
      <w:r w:rsidR="005419D3">
        <w:t xml:space="preserve"> </w:t>
      </w:r>
    </w:p>
    <w:p w14:paraId="05491877" w14:textId="1228883B" w:rsidR="00BE1F51" w:rsidRDefault="00BE1F51" w:rsidP="005F1FF3">
      <w:pPr>
        <w:pStyle w:val="USBullet1"/>
      </w:pPr>
      <w:r>
        <w:t xml:space="preserve">Social care costs were between </w:t>
      </w:r>
      <w:r w:rsidRPr="00BE1F51">
        <w:t>£</w:t>
      </w:r>
      <w:r w:rsidR="004C3B76">
        <w:t xml:space="preserve">34 million and </w:t>
      </w:r>
      <w:r w:rsidR="004C3B76" w:rsidRPr="004C3B76">
        <w:t>£</w:t>
      </w:r>
      <w:r w:rsidR="004C3B76">
        <w:t>82 million</w:t>
      </w:r>
    </w:p>
    <w:p w14:paraId="3845A7C7" w14:textId="779CA0BA" w:rsidR="00C7372A" w:rsidRDefault="00C7372A" w:rsidP="005F1FF3">
      <w:pPr>
        <w:pStyle w:val="USBullet1"/>
      </w:pPr>
      <w:r>
        <w:t xml:space="preserve">Costs to the fire service and police were between </w:t>
      </w:r>
      <w:r w:rsidRPr="00C7372A">
        <w:t>£</w:t>
      </w:r>
      <w:r>
        <w:t>168</w:t>
      </w:r>
      <w:r w:rsidR="003A56E5">
        <w:t xml:space="preserve"> million</w:t>
      </w:r>
      <w:r>
        <w:t xml:space="preserve"> and </w:t>
      </w:r>
      <w:r w:rsidRPr="00C7372A">
        <w:t>£</w:t>
      </w:r>
      <w:r>
        <w:t>279</w:t>
      </w:r>
      <w:r w:rsidR="003A56E5">
        <w:t xml:space="preserve"> million</w:t>
      </w:r>
    </w:p>
    <w:p w14:paraId="7535B71E" w14:textId="1F912C1A" w:rsidR="00C7372A" w:rsidRDefault="00C7372A" w:rsidP="005F1FF3">
      <w:pPr>
        <w:pStyle w:val="USBullet1"/>
      </w:pPr>
      <w:r>
        <w:t xml:space="preserve">Costs to </w:t>
      </w:r>
      <w:r w:rsidR="00023157">
        <w:t xml:space="preserve">the justice system were between </w:t>
      </w:r>
      <w:r w:rsidR="00023157" w:rsidRPr="00023157">
        <w:t>£</w:t>
      </w:r>
      <w:r w:rsidR="00023157">
        <w:t xml:space="preserve">64 </w:t>
      </w:r>
      <w:r w:rsidR="003A56E5">
        <w:t xml:space="preserve">million </w:t>
      </w:r>
      <w:r w:rsidR="00023157">
        <w:t xml:space="preserve">and </w:t>
      </w:r>
      <w:r w:rsidR="00023157" w:rsidRPr="00023157">
        <w:t>£</w:t>
      </w:r>
      <w:r w:rsidR="00023157">
        <w:t>104</w:t>
      </w:r>
      <w:r w:rsidR="003A56E5">
        <w:t xml:space="preserve"> million</w:t>
      </w:r>
    </w:p>
    <w:p w14:paraId="67168177" w14:textId="062A6FB1" w:rsidR="00023157" w:rsidRDefault="00023157" w:rsidP="005F1FF3">
      <w:pPr>
        <w:pStyle w:val="USBullet1"/>
      </w:pPr>
      <w:r>
        <w:t xml:space="preserve">The value of lost productivity </w:t>
      </w:r>
      <w:r w:rsidR="00FB3B12">
        <w:t xml:space="preserve">was between </w:t>
      </w:r>
      <w:r w:rsidR="00FB3B12" w:rsidRPr="00FB3B12">
        <w:t>£</w:t>
      </w:r>
      <w:r w:rsidR="00FB3B12">
        <w:t xml:space="preserve">145 </w:t>
      </w:r>
      <w:r w:rsidR="003A56E5">
        <w:t xml:space="preserve">million </w:t>
      </w:r>
      <w:r w:rsidR="00FB3B12">
        <w:t xml:space="preserve">and </w:t>
      </w:r>
      <w:r w:rsidR="00FB3B12" w:rsidRPr="00FB3B12">
        <w:t>£</w:t>
      </w:r>
      <w:r w:rsidR="00FB3B12">
        <w:t>258</w:t>
      </w:r>
      <w:r w:rsidR="003A56E5">
        <w:t xml:space="preserve"> million</w:t>
      </w:r>
    </w:p>
    <w:p w14:paraId="17F2B655" w14:textId="7B04AC46" w:rsidR="00153ABF" w:rsidRDefault="00153ABF" w:rsidP="00BA128C">
      <w:pPr>
        <w:pStyle w:val="USBodyText"/>
      </w:pPr>
      <w:r>
        <w:t xml:space="preserve">A Portuguese study </w:t>
      </w:r>
      <w:r w:rsidRPr="00153ABF">
        <w:rPr>
          <w:rFonts w:cs="Calibri"/>
        </w:rPr>
        <w:t>(</w:t>
      </w:r>
      <w:r w:rsidRPr="00153ABF">
        <w:rPr>
          <w:rFonts w:cs="Calibri"/>
          <w:b/>
          <w:bCs/>
        </w:rPr>
        <w:t>Cortez-Pinto et al. 2010</w:t>
      </w:r>
      <w:r w:rsidRPr="00153ABF">
        <w:rPr>
          <w:rFonts w:cs="Calibri"/>
        </w:rPr>
        <w:t>)</w:t>
      </w:r>
      <w:r>
        <w:t xml:space="preserve"> estimated the burden and costs of diseases attributable to alcohol consumption</w:t>
      </w:r>
      <w:r w:rsidR="001217A1">
        <w:t>.</w:t>
      </w:r>
    </w:p>
    <w:p w14:paraId="431F5378" w14:textId="50A9EBFD" w:rsidR="001217A1" w:rsidRPr="00A547F7" w:rsidRDefault="001217A1" w:rsidP="00BA128C">
      <w:pPr>
        <w:pStyle w:val="USBodyText"/>
      </w:pPr>
      <w:r>
        <w:t>Based on</w:t>
      </w:r>
      <w:r w:rsidRPr="001217A1">
        <w:t xml:space="preserve"> the sum of death and disability DALYs, liver diseases represented the main </w:t>
      </w:r>
      <w:r>
        <w:t>contributor to</w:t>
      </w:r>
      <w:r w:rsidRPr="001217A1">
        <w:t xml:space="preserve"> the burden attributable to alcohol with 31.5</w:t>
      </w:r>
      <w:r>
        <w:t xml:space="preserve"> percent</w:t>
      </w:r>
      <w:r w:rsidRPr="001217A1">
        <w:t xml:space="preserve"> of total DALYs, followed by traffic accidents (28.2</w:t>
      </w:r>
      <w:r>
        <w:t xml:space="preserve"> percent</w:t>
      </w:r>
      <w:r w:rsidRPr="001217A1">
        <w:t>) and cancer (19.2</w:t>
      </w:r>
      <w:r>
        <w:t xml:space="preserve"> percent</w:t>
      </w:r>
      <w:r w:rsidRPr="001217A1">
        <w:t>).</w:t>
      </w:r>
      <w:r w:rsidR="000873D0">
        <w:t xml:space="preserve"> The study estimated that, </w:t>
      </w:r>
      <w:r w:rsidR="00C23DCA">
        <w:t xml:space="preserve">the cost of </w:t>
      </w:r>
      <w:r w:rsidR="000873D0">
        <w:t>hos</w:t>
      </w:r>
      <w:r w:rsidR="006774FA">
        <w:t xml:space="preserve">pital-based health services for alcohol-related ill health </w:t>
      </w:r>
      <w:r w:rsidR="00C23DCA">
        <w:t>was equivalent to</w:t>
      </w:r>
      <w:r w:rsidR="006774FA">
        <w:t xml:space="preserve"> </w:t>
      </w:r>
      <w:r w:rsidR="000873D0" w:rsidRPr="000873D0">
        <w:t>0.13</w:t>
      </w:r>
      <w:r w:rsidR="006774FA">
        <w:t xml:space="preserve"> percent</w:t>
      </w:r>
      <w:r w:rsidR="000873D0" w:rsidRPr="000873D0">
        <w:t xml:space="preserve"> of </w:t>
      </w:r>
      <w:r w:rsidR="006774FA">
        <w:t>GDP</w:t>
      </w:r>
      <w:r w:rsidR="000873D0" w:rsidRPr="000873D0">
        <w:t xml:space="preserve"> and 1.25</w:t>
      </w:r>
      <w:r w:rsidR="006774FA">
        <w:t xml:space="preserve"> percent</w:t>
      </w:r>
      <w:r w:rsidR="000873D0" w:rsidRPr="000873D0">
        <w:t xml:space="preserve"> of total health expenditure</w:t>
      </w:r>
      <w:r w:rsidR="006774FA">
        <w:t xml:space="preserve"> in Portugal.</w:t>
      </w:r>
    </w:p>
    <w:p w14:paraId="4FB4AD6D" w14:textId="17F5B208" w:rsidR="002F1706" w:rsidRDefault="00570156" w:rsidP="0005646B">
      <w:pPr>
        <w:pStyle w:val="Heading3"/>
      </w:pPr>
      <w:r>
        <w:t>Tobacco</w:t>
      </w:r>
    </w:p>
    <w:p w14:paraId="7F9F3724" w14:textId="3E997A76" w:rsidR="002F1706" w:rsidRDefault="002F1706" w:rsidP="002F1706">
      <w:pPr>
        <w:pStyle w:val="USBodyText"/>
      </w:pPr>
      <w:r w:rsidRPr="0085317A">
        <w:rPr>
          <w:rFonts w:cs="Calibri"/>
          <w:b/>
          <w:bCs/>
          <w:szCs w:val="24"/>
        </w:rPr>
        <w:t>Goodchild, Nargis, and Tursan d’Espaignet (2018)</w:t>
      </w:r>
      <w:r>
        <w:t xml:space="preserve"> used a </w:t>
      </w:r>
      <w:r w:rsidR="006748A9">
        <w:t>cost-of-illness</w:t>
      </w:r>
      <w:r>
        <w:t xml:space="preserve"> approach to estimate the global economic costs of smoking-attributable diseases in 2012, using data from 152 countries representing 97 percent of the world’s tobacco smokers. </w:t>
      </w:r>
    </w:p>
    <w:p w14:paraId="1A13617B" w14:textId="2DDE9BB5" w:rsidR="002F1706" w:rsidRDefault="002F1706" w:rsidP="002F1706">
      <w:pPr>
        <w:pStyle w:val="USBodyText"/>
      </w:pPr>
      <w:r>
        <w:t>Total health expenditure was obtained from the WHO Global Health Expenditure database and the smoking attributable fraction was extracted from published studies. The study estimated that the amount of health care expenditure due to smoking-attributable diseases amounted to US$422 billion in 2012, representing 5.7 percent of health expenditure globally</w:t>
      </w:r>
      <w:r w:rsidR="005F6F19">
        <w:t>.</w:t>
      </w:r>
    </w:p>
    <w:p w14:paraId="748F79D5" w14:textId="77777777" w:rsidR="002F1706" w:rsidRPr="006322F6" w:rsidRDefault="002F1706" w:rsidP="002F1706">
      <w:pPr>
        <w:pStyle w:val="USBodyText"/>
      </w:pPr>
      <w:r>
        <w:lastRenderedPageBreak/>
        <w:t>Productivity losses were estimated using the human capital approach. Adding productivity losses to the cost estimate generated an estimate of total economic cost equal to US$1436 billion in 2012 or 1.8% of the world’s annual gross domestic product (GDP). In high income countries, smoking was found to be associated with total costs amounting to 2.2 percent of those countries’ GDP.</w:t>
      </w:r>
    </w:p>
    <w:p w14:paraId="58FA1693" w14:textId="77777777" w:rsidR="006A1C56" w:rsidRDefault="006A1C56" w:rsidP="006A1C56">
      <w:pPr>
        <w:pStyle w:val="Heading3"/>
      </w:pPr>
      <w:r>
        <w:t>Cardiovascular diseases</w:t>
      </w:r>
    </w:p>
    <w:p w14:paraId="0D40F054" w14:textId="77777777" w:rsidR="006A1C56" w:rsidRDefault="006A1C56" w:rsidP="006A1C56">
      <w:pPr>
        <w:pStyle w:val="USBodyText"/>
      </w:pPr>
      <w:r>
        <w:t>One global report on the economic burden of heart failure in 2012 (</w:t>
      </w:r>
      <w:r w:rsidRPr="00646902">
        <w:rPr>
          <w:b/>
          <w:bCs/>
        </w:rPr>
        <w:t>Cook et al. 2014</w:t>
      </w:r>
      <w:r>
        <w:t>) used World Bank data to interpolate the economic cost of heart failure in 2012 for countries where no published data existed. 197 countries were included in the analysis, covering 98.7 percent of the global population. Costs were derived from previously published studies, administrative data, and other reports, with some estimates dating back as far as 1990 (the only New Zealand study included) and the most recent being 2012 estimates. Costs were expressed as percentages of each country’s total health expenditure (public and private) and in US dollars.</w:t>
      </w:r>
    </w:p>
    <w:p w14:paraId="0F5081B6" w14:textId="77777777" w:rsidR="006A1C56" w:rsidRPr="00646902" w:rsidRDefault="006A1C56" w:rsidP="006A1C56">
      <w:pPr>
        <w:pStyle w:val="USBodyText"/>
      </w:pPr>
      <w:r>
        <w:t>The overall economic cost of HF in 2012 was estimated to be 1.32 percent of total health system expenditure on average across all countries, or 1.42 percent for high income countries. Global per capita spending on heart failure was estimated at approximately $23.81 per annum based on 2012 expenditure. Total global expenditure on heart failure was estimated at $108 billion per annum, with direct costs accounting for approximately 60 percent ($65 billion) and indirect costs accounting for approximately 40 percent ($43 billion).</w:t>
      </w:r>
    </w:p>
    <w:p w14:paraId="1E8CE9A1" w14:textId="1D392429" w:rsidR="006A1C56" w:rsidRDefault="006A1C56" w:rsidP="006A1C56">
      <w:pPr>
        <w:pStyle w:val="USBodyText"/>
      </w:pPr>
      <w:r>
        <w:t xml:space="preserve">A study of the social burden of three major diseases in Japan </w:t>
      </w:r>
      <w:r w:rsidRPr="00850AA4">
        <w:rPr>
          <w:rFonts w:cs="Calibri"/>
        </w:rPr>
        <w:t>(</w:t>
      </w:r>
      <w:r w:rsidRPr="00850AA4">
        <w:rPr>
          <w:rFonts w:cs="Calibri"/>
          <w:b/>
          <w:bCs/>
        </w:rPr>
        <w:t>Hirata et al. 2021</w:t>
      </w:r>
      <w:r w:rsidRPr="00850AA4">
        <w:rPr>
          <w:rFonts w:cs="Calibri"/>
        </w:rPr>
        <w:t>)</w:t>
      </w:r>
      <w:r>
        <w:t xml:space="preserve"> included heart disease along with cancer and cerebrovascular diseases and analysed health system costs along with morbidity and mortality costs, and formal and informal long</w:t>
      </w:r>
      <w:r w:rsidR="000D62FD">
        <w:t>-</w:t>
      </w:r>
      <w:r>
        <w:t>term care costs. Health system costs were estimated using bottom-up gross costing; formal care costs were extracted from administrative databases; and average wages were used to estimate morbidity, mortality, and informal care costs.</w:t>
      </w:r>
    </w:p>
    <w:p w14:paraId="1EEB760B" w14:textId="33805479" w:rsidR="006A1C56" w:rsidRDefault="006A1C56" w:rsidP="006A1C56">
      <w:pPr>
        <w:pStyle w:val="USBodyText"/>
      </w:pPr>
      <w:r>
        <w:t xml:space="preserve">The study found that cardiovascular diseases were associated with a lower economic burden than either cancers or cerebrovascular diseases (see </w:t>
      </w:r>
      <w:r>
        <w:fldChar w:fldCharType="begin"/>
      </w:r>
      <w:r>
        <w:instrText xml:space="preserve"> REF _Ref93563501 \h </w:instrText>
      </w:r>
      <w:r>
        <w:fldChar w:fldCharType="separate"/>
      </w:r>
      <w:r w:rsidR="002C631E" w:rsidRPr="00E84337">
        <w:t>Figure </w:t>
      </w:r>
      <w:r w:rsidR="002C631E">
        <w:rPr>
          <w:noProof/>
        </w:rPr>
        <w:t>32</w:t>
      </w:r>
      <w:r>
        <w:fldChar w:fldCharType="end"/>
      </w:r>
      <w:r>
        <w:t xml:space="preserve"> below).</w:t>
      </w:r>
    </w:p>
    <w:p w14:paraId="4A1C5272" w14:textId="709C9D2B" w:rsidR="006A1C56" w:rsidRDefault="006A1C56" w:rsidP="006A1C56">
      <w:pPr>
        <w:pStyle w:val="FigureCaption"/>
      </w:pPr>
      <w:bookmarkStart w:id="132" w:name="_Ref93563501"/>
      <w:bookmarkStart w:id="133" w:name="_Toc98760563"/>
      <w:r w:rsidRPr="00E84337">
        <w:lastRenderedPageBreak/>
        <w:t>Figure </w:t>
      </w:r>
      <w:r w:rsidRPr="00E84337">
        <w:fldChar w:fldCharType="begin"/>
      </w:r>
      <w:r w:rsidRPr="00E84337">
        <w:instrText>SEQ Figure \* ARABIC</w:instrText>
      </w:r>
      <w:r w:rsidRPr="00E84337">
        <w:fldChar w:fldCharType="separate"/>
      </w:r>
      <w:r w:rsidR="002C631E">
        <w:rPr>
          <w:noProof/>
        </w:rPr>
        <w:t>32</w:t>
      </w:r>
      <w:r w:rsidRPr="00E84337">
        <w:fldChar w:fldCharType="end"/>
      </w:r>
      <w:bookmarkEnd w:id="132"/>
      <w:r>
        <w:t xml:space="preserve"> Total annual costs in Japan of 3 major diseases</w:t>
      </w:r>
      <w:bookmarkEnd w:id="133"/>
    </w:p>
    <w:p w14:paraId="3B93C012" w14:textId="77777777" w:rsidR="006A1C56" w:rsidRDefault="006A1C56" w:rsidP="006A1C56">
      <w:pPr>
        <w:pStyle w:val="USBodyText"/>
        <w:keepNext/>
      </w:pPr>
      <w:r>
        <w:rPr>
          <w:noProof/>
        </w:rPr>
        <w:drawing>
          <wp:inline distT="0" distB="0" distL="0" distR="0" wp14:anchorId="28B1FAAB" wp14:editId="3512F59A">
            <wp:extent cx="5152598" cy="2962275"/>
            <wp:effectExtent l="0" t="0" r="0" b="0"/>
            <wp:docPr id="47" name="Picture 47" descr="Figure 32 Total annual costs in Japan of 3 major disea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32 Total annual costs in Japan of 3 major diseases&#10;&#10;"/>
                    <pic:cNvPicPr/>
                  </pic:nvPicPr>
                  <pic:blipFill>
                    <a:blip r:embed="rId63"/>
                    <a:stretch>
                      <a:fillRect/>
                    </a:stretch>
                  </pic:blipFill>
                  <pic:spPr>
                    <a:xfrm>
                      <a:off x="0" y="0"/>
                      <a:ext cx="5158641" cy="2965749"/>
                    </a:xfrm>
                    <a:prstGeom prst="rect">
                      <a:avLst/>
                    </a:prstGeom>
                  </pic:spPr>
                </pic:pic>
              </a:graphicData>
            </a:graphic>
          </wp:inline>
        </w:drawing>
      </w:r>
    </w:p>
    <w:p w14:paraId="2E3C5885" w14:textId="3B176F0C" w:rsidR="006A1C56" w:rsidRPr="000C4D84" w:rsidRDefault="006A1C56" w:rsidP="006A1C56">
      <w:pPr>
        <w:pStyle w:val="USSource"/>
      </w:pPr>
      <w:r w:rsidRPr="000C4D84">
        <w:t>Source: Hirata et al. 2021</w:t>
      </w:r>
    </w:p>
    <w:p w14:paraId="5C1CA1F5" w14:textId="77777777" w:rsidR="006A1C56" w:rsidRDefault="006A1C56" w:rsidP="006A1C56">
      <w:pPr>
        <w:pStyle w:val="USBodyText"/>
      </w:pPr>
      <w:r>
        <w:t>The total annual economic cost of cardiovascular diseases in Japan was estimated to be JPY 5,159 billion per annum, with direct medical costs accounting for 30 percent of total costs.</w:t>
      </w:r>
    </w:p>
    <w:p w14:paraId="517E2452" w14:textId="6FA4864F" w:rsidR="006A1C56" w:rsidRDefault="006A1C56" w:rsidP="006A1C56">
      <w:pPr>
        <w:pStyle w:val="USBodyText"/>
      </w:pPr>
      <w:r>
        <w:t xml:space="preserve">A Danish study </w:t>
      </w:r>
      <w:r w:rsidRPr="009C0719">
        <w:rPr>
          <w:rFonts w:cs="Calibri"/>
        </w:rPr>
        <w:t>(</w:t>
      </w:r>
      <w:r w:rsidRPr="009C0719">
        <w:rPr>
          <w:rFonts w:cs="Calibri"/>
          <w:b/>
          <w:bCs/>
        </w:rPr>
        <w:t>Bundgaard et al. 2019</w:t>
      </w:r>
      <w:r w:rsidRPr="009C0719">
        <w:rPr>
          <w:rFonts w:cs="Calibri"/>
        </w:rPr>
        <w:t>)</w:t>
      </w:r>
      <w:r>
        <w:t xml:space="preserve"> used national registries to analyse the societal costs associated with heart failure using the excess cost approach. </w:t>
      </w:r>
      <w:r w:rsidRPr="008972BA">
        <w:t xml:space="preserve">A total of 176 067 </w:t>
      </w:r>
      <w:r>
        <w:t xml:space="preserve">heart failure </w:t>
      </w:r>
      <w:r w:rsidRPr="008972BA">
        <w:t>patients</w:t>
      </w:r>
      <w:r>
        <w:t xml:space="preserve"> from 1998 to 2016 were matched.</w:t>
      </w:r>
    </w:p>
    <w:p w14:paraId="6F444257" w14:textId="77777777" w:rsidR="006A1C56" w:rsidRDefault="006A1C56" w:rsidP="006A1C56">
      <w:pPr>
        <w:pStyle w:val="USBodyText"/>
      </w:pPr>
      <w:r>
        <w:t xml:space="preserve">The study found that health care costs were highest in the year of diagnosis, with an average cost per patient of </w:t>
      </w:r>
      <w:r w:rsidRPr="009D3C45">
        <w:t>€17</w:t>
      </w:r>
      <w:r>
        <w:t>,</w:t>
      </w:r>
      <w:r w:rsidRPr="009D3C45">
        <w:t xml:space="preserve">039 </w:t>
      </w:r>
      <w:r>
        <w:t xml:space="preserve">(2016 prices) </w:t>
      </w:r>
      <w:r w:rsidRPr="009D3C45">
        <w:t xml:space="preserve">in total annual direct and indirect </w:t>
      </w:r>
      <w:r>
        <w:t xml:space="preserve">costs that year, compared with only </w:t>
      </w:r>
      <w:r w:rsidRPr="00726ACA">
        <w:t>€5</w:t>
      </w:r>
      <w:r>
        <w:t>,</w:t>
      </w:r>
      <w:r w:rsidRPr="00726ACA">
        <w:t>936</w:t>
      </w:r>
      <w:r>
        <w:t xml:space="preserve"> for the matched controls, for a difference of 70 percent of total costs were direct medical costs. Relatively low indirect costs (productivity loss) were related to the high average age of heart failure patients, however indirect costs also included transfers (subsistence allowance, social security, social assistance, etc). The majority of direct costs for the heart failure patients were attributed to inpatient admissions</w:t>
      </w:r>
    </w:p>
    <w:p w14:paraId="5EAF9D7F" w14:textId="616E1E77" w:rsidR="00084573" w:rsidRDefault="00084573" w:rsidP="0005646B">
      <w:pPr>
        <w:pStyle w:val="Heading3"/>
      </w:pPr>
      <w:r>
        <w:t>Chronic kidney disease</w:t>
      </w:r>
      <w:r w:rsidR="00D66790">
        <w:t xml:space="preserve"> (CKD)</w:t>
      </w:r>
    </w:p>
    <w:p w14:paraId="7C55D44C" w14:textId="7920AD7C" w:rsidR="00084573" w:rsidRDefault="00841E09" w:rsidP="005C1A68">
      <w:pPr>
        <w:pStyle w:val="USBodyText"/>
      </w:pPr>
      <w:r>
        <w:t xml:space="preserve">A US study </w:t>
      </w:r>
      <w:r w:rsidR="001654CA" w:rsidRPr="001654CA">
        <w:rPr>
          <w:rFonts w:cs="Calibri"/>
        </w:rPr>
        <w:t>(</w:t>
      </w:r>
      <w:r w:rsidR="001654CA" w:rsidRPr="004D7904">
        <w:rPr>
          <w:rFonts w:cs="Calibri"/>
          <w:b/>
          <w:bCs/>
        </w:rPr>
        <w:t>Vupputuri et al. 2014</w:t>
      </w:r>
      <w:r w:rsidR="001654CA" w:rsidRPr="001654CA">
        <w:rPr>
          <w:rFonts w:cs="Calibri"/>
        </w:rPr>
        <w:t>)</w:t>
      </w:r>
      <w:r w:rsidR="00B6242A">
        <w:t xml:space="preserve"> </w:t>
      </w:r>
      <w:r>
        <w:t>conducted a retrospective cohort analysis of over 25,000 members at Kaiser Permanente who had type 2 diabetes</w:t>
      </w:r>
      <w:r w:rsidR="00CE3ADF">
        <w:t xml:space="preserve"> and at least one serum creatinine measurement in 2005. </w:t>
      </w:r>
      <w:r w:rsidR="004D754F">
        <w:t xml:space="preserve">Only health care costs were estimated. </w:t>
      </w:r>
      <w:r w:rsidR="005C1A68">
        <w:t>The study found that across all stages of CKD, those who progressed to a higher stage of CKD from baseline had 2 to 4 times higher annual health care costs than those whose CKD did not progress</w:t>
      </w:r>
      <w:r w:rsidR="00354EC9">
        <w:t>.</w:t>
      </w:r>
    </w:p>
    <w:p w14:paraId="52932E39" w14:textId="7FFE9FF7" w:rsidR="0024209B" w:rsidRDefault="0024209B" w:rsidP="00354EC9">
      <w:pPr>
        <w:pStyle w:val="USBodyText"/>
      </w:pPr>
      <w:r>
        <w:t xml:space="preserve">Annual costs associated with CKD were estimated at </w:t>
      </w:r>
      <w:r w:rsidR="00354EC9">
        <w:t xml:space="preserve">$10,721 to $62,091 ($US, 2010) per person, depending on stage and progression (see </w:t>
      </w:r>
      <w:r w:rsidR="00354EC9">
        <w:fldChar w:fldCharType="begin"/>
      </w:r>
      <w:r w:rsidR="00354EC9">
        <w:instrText xml:space="preserve"> REF _Ref92806390 \h </w:instrText>
      </w:r>
      <w:r w:rsidR="00354EC9">
        <w:fldChar w:fldCharType="separate"/>
      </w:r>
      <w:r w:rsidR="002C631E" w:rsidRPr="00E84337">
        <w:t>Figure </w:t>
      </w:r>
      <w:r w:rsidR="002C631E">
        <w:rPr>
          <w:noProof/>
        </w:rPr>
        <w:t>33</w:t>
      </w:r>
      <w:r w:rsidR="00354EC9">
        <w:fldChar w:fldCharType="end"/>
      </w:r>
      <w:r w:rsidR="00354EC9">
        <w:t xml:space="preserve"> below).</w:t>
      </w:r>
    </w:p>
    <w:p w14:paraId="3807A833" w14:textId="1DA79FB6" w:rsidR="00B6242A" w:rsidRDefault="00B6242A" w:rsidP="00B6242A">
      <w:pPr>
        <w:pStyle w:val="FigureCaption"/>
      </w:pPr>
      <w:bookmarkStart w:id="134" w:name="_Ref92806390"/>
      <w:bookmarkStart w:id="135" w:name="_Toc98760564"/>
      <w:bookmarkStart w:id="136" w:name="_Hlk93563445"/>
      <w:r w:rsidRPr="00E84337">
        <w:lastRenderedPageBreak/>
        <w:t>Figure </w:t>
      </w:r>
      <w:r w:rsidRPr="00E84337">
        <w:fldChar w:fldCharType="begin"/>
      </w:r>
      <w:r w:rsidRPr="00E84337">
        <w:instrText>SEQ Figure \* ARABIC</w:instrText>
      </w:r>
      <w:r w:rsidRPr="00E84337">
        <w:fldChar w:fldCharType="separate"/>
      </w:r>
      <w:r w:rsidR="002C631E">
        <w:rPr>
          <w:noProof/>
        </w:rPr>
        <w:t>33</w:t>
      </w:r>
      <w:r w:rsidRPr="00E84337">
        <w:fldChar w:fldCharType="end"/>
      </w:r>
      <w:bookmarkEnd w:id="134"/>
      <w:r>
        <w:t xml:space="preserve"> Annual per person health care cost implications of CKD progression</w:t>
      </w:r>
      <w:bookmarkEnd w:id="135"/>
    </w:p>
    <w:bookmarkEnd w:id="136"/>
    <w:p w14:paraId="666F5F7E" w14:textId="033F4735" w:rsidR="00B6242A" w:rsidRDefault="00B6242A" w:rsidP="00F56F3A">
      <w:pPr>
        <w:pStyle w:val="CaptionSubheading"/>
      </w:pPr>
      <w:r>
        <w:t>$US, 2010</w:t>
      </w:r>
    </w:p>
    <w:p w14:paraId="7CC52340" w14:textId="5B3EBE23" w:rsidR="00C35875" w:rsidRDefault="00C35875" w:rsidP="00C35875">
      <w:pPr>
        <w:pStyle w:val="USBodyText"/>
      </w:pPr>
      <w:r>
        <w:rPr>
          <w:noProof/>
        </w:rPr>
        <w:drawing>
          <wp:inline distT="0" distB="0" distL="0" distR="0" wp14:anchorId="047AB2CC" wp14:editId="656B43DE">
            <wp:extent cx="5181600" cy="3174308"/>
            <wp:effectExtent l="0" t="0" r="0" b="7620"/>
            <wp:docPr id="7" name="Picture 7" descr="Figure 33 Annual per person health care cost implications of CKD progre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3 Annual per person health care cost implications of CKD progression&#10;"/>
                    <pic:cNvPicPr/>
                  </pic:nvPicPr>
                  <pic:blipFill>
                    <a:blip r:embed="rId64"/>
                    <a:stretch>
                      <a:fillRect/>
                    </a:stretch>
                  </pic:blipFill>
                  <pic:spPr>
                    <a:xfrm>
                      <a:off x="0" y="0"/>
                      <a:ext cx="5194000" cy="3181904"/>
                    </a:xfrm>
                    <a:prstGeom prst="rect">
                      <a:avLst/>
                    </a:prstGeom>
                  </pic:spPr>
                </pic:pic>
              </a:graphicData>
            </a:graphic>
          </wp:inline>
        </w:drawing>
      </w:r>
    </w:p>
    <w:p w14:paraId="111138A2" w14:textId="060CD065" w:rsidR="00C35875" w:rsidRDefault="00C35875" w:rsidP="00F56F3A">
      <w:pPr>
        <w:pStyle w:val="USSource"/>
      </w:pPr>
      <w:r>
        <w:t xml:space="preserve">Source: </w:t>
      </w:r>
      <w:r w:rsidR="00B6242A" w:rsidRPr="00B6242A">
        <w:rPr>
          <w:rFonts w:cs="Calibri"/>
        </w:rPr>
        <w:t xml:space="preserve">Vupputuri et al. </w:t>
      </w:r>
      <w:r w:rsidR="0052046B">
        <w:rPr>
          <w:rFonts w:cs="Calibri"/>
        </w:rPr>
        <w:t>(</w:t>
      </w:r>
      <w:r w:rsidR="00B6242A" w:rsidRPr="00B6242A">
        <w:rPr>
          <w:rFonts w:cs="Calibri"/>
        </w:rPr>
        <w:t>2014</w:t>
      </w:r>
      <w:r w:rsidR="0052046B">
        <w:t>)</w:t>
      </w:r>
    </w:p>
    <w:p w14:paraId="3B1C0C6E" w14:textId="1FBDC94B" w:rsidR="00731777" w:rsidRDefault="00EF465A" w:rsidP="00E62366">
      <w:pPr>
        <w:pStyle w:val="USBodyText"/>
      </w:pPr>
      <w:r>
        <w:t xml:space="preserve">Another </w:t>
      </w:r>
      <w:r w:rsidR="00E62366">
        <w:t xml:space="preserve">study </w:t>
      </w:r>
      <w:r w:rsidR="00BA1FC1" w:rsidRPr="00BA1FC1">
        <w:rPr>
          <w:rFonts w:cs="Calibri"/>
        </w:rPr>
        <w:t>(</w:t>
      </w:r>
      <w:r w:rsidR="00BA1FC1" w:rsidRPr="004D7904">
        <w:rPr>
          <w:rFonts w:cs="Calibri"/>
          <w:b/>
          <w:bCs/>
        </w:rPr>
        <w:t>Kent et al. 2015</w:t>
      </w:r>
      <w:r w:rsidR="00BA1FC1" w:rsidRPr="00BA1FC1">
        <w:rPr>
          <w:rFonts w:cs="Calibri"/>
        </w:rPr>
        <w:t>)</w:t>
      </w:r>
      <w:r w:rsidR="00BA1FC1">
        <w:t xml:space="preserve"> </w:t>
      </w:r>
      <w:r w:rsidR="00E62366">
        <w:t>dr</w:t>
      </w:r>
      <w:r w:rsidR="00402DAD">
        <w:t>ew</w:t>
      </w:r>
      <w:r w:rsidR="00E62366">
        <w:t xml:space="preserve"> on a</w:t>
      </w:r>
      <w:r w:rsidR="00457F9D">
        <w:t xml:space="preserve">n international cohort of </w:t>
      </w:r>
      <w:r w:rsidR="00D930A2">
        <w:t xml:space="preserve">7,246 </w:t>
      </w:r>
      <w:r w:rsidR="00457F9D">
        <w:t>patients from</w:t>
      </w:r>
      <w:r w:rsidR="00C30AA3">
        <w:t xml:space="preserve"> </w:t>
      </w:r>
      <w:r w:rsidR="00D930A2">
        <w:t>Europe</w:t>
      </w:r>
      <w:r w:rsidR="00D23141">
        <w:t xml:space="preserve">, North America and Australasia associated with the </w:t>
      </w:r>
      <w:r w:rsidR="00C2551B" w:rsidRPr="00C2551B">
        <w:t>Study of Heart and Renal Protection (SHARP) randomi</w:t>
      </w:r>
      <w:r w:rsidR="006A6F3C">
        <w:t>s</w:t>
      </w:r>
      <w:r w:rsidR="00C2551B" w:rsidRPr="00C2551B">
        <w:t>ed trial</w:t>
      </w:r>
      <w:r w:rsidR="00402DAD">
        <w:t>. Between 2003 and 2006</w:t>
      </w:r>
      <w:r w:rsidR="001B1668">
        <w:t>, patients from 18 countries were randomised and followed for a median of 4.9 years</w:t>
      </w:r>
      <w:r w:rsidR="000A1D03">
        <w:t xml:space="preserve"> until the study ended in 2010. The study</w:t>
      </w:r>
      <w:r w:rsidR="000F637C">
        <w:t xml:space="preserve"> collected information on </w:t>
      </w:r>
      <w:r w:rsidR="009A3FFD" w:rsidRPr="009A3FFD">
        <w:t>kidney disease progression, serious adverse events and hospital care use in a cohort of patients with moderate-to-severe CKD</w:t>
      </w:r>
      <w:r w:rsidR="00303612">
        <w:t xml:space="preserve"> and analysed the impact on hospital costs</w:t>
      </w:r>
      <w:r w:rsidR="00CD313E">
        <w:t xml:space="preserve"> (inpatient and outpatient)</w:t>
      </w:r>
      <w:r w:rsidR="009A3FFD" w:rsidRPr="009A3FFD">
        <w:t>.</w:t>
      </w:r>
      <w:r w:rsidR="005D1E2B">
        <w:t xml:space="preserve"> Bottom-up gross-costing methods were used to estimate costs.</w:t>
      </w:r>
      <w:r w:rsidR="00945BD9" w:rsidRPr="00945BD9">
        <w:t xml:space="preserve"> All costs were reported in </w:t>
      </w:r>
      <w:r w:rsidR="0022687B">
        <w:t>2011</w:t>
      </w:r>
      <w:r w:rsidR="00945BD9" w:rsidRPr="00945BD9">
        <w:t xml:space="preserve"> </w:t>
      </w:r>
      <w:r w:rsidR="0022687B">
        <w:t>prices</w:t>
      </w:r>
      <w:r w:rsidR="00945BD9" w:rsidRPr="00945BD9">
        <w:t>.</w:t>
      </w:r>
    </w:p>
    <w:p w14:paraId="22907356" w14:textId="77777777" w:rsidR="00945BD9" w:rsidRDefault="004D7904" w:rsidP="00E62366">
      <w:pPr>
        <w:pStyle w:val="USBodyText"/>
      </w:pPr>
      <w:r>
        <w:t xml:space="preserve">The study found that </w:t>
      </w:r>
      <w:r w:rsidR="00C80604">
        <w:t>t</w:t>
      </w:r>
      <w:r w:rsidR="00C80604" w:rsidRPr="00C80604">
        <w:t>he average annual cost of hospital care (including routine dialysis costs) was £9,977</w:t>
      </w:r>
      <w:r w:rsidR="00C80604">
        <w:t xml:space="preserve">. Costs ranged </w:t>
      </w:r>
      <w:r w:rsidR="00C80604" w:rsidRPr="00C80604">
        <w:t xml:space="preserve">from £1,055 </w:t>
      </w:r>
      <w:r w:rsidR="00C80604">
        <w:t>for patients at</w:t>
      </w:r>
      <w:r w:rsidR="00C80604" w:rsidRPr="00C80604">
        <w:t xml:space="preserve"> CKD stages 1-3B </w:t>
      </w:r>
      <w:r w:rsidR="00C80604">
        <w:t>to</w:t>
      </w:r>
      <w:r w:rsidR="00C80604" w:rsidRPr="00C80604">
        <w:t xml:space="preserve"> £12,952 for those with CKD stage 5 </w:t>
      </w:r>
      <w:r w:rsidR="00C80604">
        <w:t xml:space="preserve">and </w:t>
      </w:r>
      <w:r w:rsidR="00C80604" w:rsidRPr="00C80604">
        <w:t xml:space="preserve">not on RRT, </w:t>
      </w:r>
      <w:r w:rsidR="00C80604">
        <w:t xml:space="preserve">and </w:t>
      </w:r>
      <w:r w:rsidR="00C80604" w:rsidRPr="00C80604">
        <w:t>£20,511for those on maintenance dialysis.</w:t>
      </w:r>
      <w:r w:rsidR="00C80604">
        <w:t xml:space="preserve"> A substantial portion of costs were associated with </w:t>
      </w:r>
      <w:r w:rsidR="00945BD9">
        <w:t xml:space="preserve">the additional complexity of CKD occurring comorbidly with diabetes or vascular disease: </w:t>
      </w:r>
      <w:r w:rsidR="00CE7853" w:rsidRPr="00CE7853">
        <w:t>CKD patients without diabetes or vascular disease incurred annual hospital costs ranging from £403 to £525</w:t>
      </w:r>
      <w:r w:rsidR="00CE7853">
        <w:t>, depending on the stage of disease</w:t>
      </w:r>
      <w:r w:rsidR="00CE7853" w:rsidRPr="00CE7853">
        <w:t xml:space="preserve">. </w:t>
      </w:r>
    </w:p>
    <w:p w14:paraId="44D2F6ED" w14:textId="77777777" w:rsidR="00945BD9" w:rsidRDefault="00CE7853" w:rsidP="00945BD9">
      <w:pPr>
        <w:pStyle w:val="USBodyText"/>
      </w:pPr>
      <w:r>
        <w:t xml:space="preserve">Results comparing treatment groups (dialysis versus transplantation) </w:t>
      </w:r>
      <w:r w:rsidR="00FC6811">
        <w:t>indicated that p</w:t>
      </w:r>
      <w:r w:rsidRPr="00CE7853">
        <w:t xml:space="preserve">atients </w:t>
      </w:r>
      <w:r>
        <w:t xml:space="preserve">on kidney dialysis </w:t>
      </w:r>
      <w:r w:rsidRPr="00CE7853">
        <w:t xml:space="preserve">incurred annual hospital costs of £18,986 in the year </w:t>
      </w:r>
      <w:r>
        <w:t>that dialysis was initiated</w:t>
      </w:r>
      <w:r w:rsidRPr="00CE7853">
        <w:t xml:space="preserve"> and £23,326 annually thereafter</w:t>
      </w:r>
      <w:r>
        <w:t xml:space="preserve"> while p</w:t>
      </w:r>
      <w:r w:rsidRPr="00CE7853">
        <w:t xml:space="preserve">atients with a functioning kidney transplant incurred </w:t>
      </w:r>
      <w:r w:rsidR="00FC6811">
        <w:t xml:space="preserve">higher costs in the year of transplantation (compared with initiation of dialysis) </w:t>
      </w:r>
      <w:r w:rsidRPr="00CE7853">
        <w:t xml:space="preserve">£24,602 </w:t>
      </w:r>
      <w:r w:rsidR="00FC6811">
        <w:t>but lower costs thereafter (</w:t>
      </w:r>
      <w:r w:rsidRPr="00CE7853">
        <w:t>£1,148 annually</w:t>
      </w:r>
      <w:r w:rsidR="00FC6811">
        <w:t>)</w:t>
      </w:r>
      <w:r w:rsidRPr="00CE7853">
        <w:t>. Non-fatal major vascular events increased annual costs in the year of the event by £6,133 (5,608-6,658) for patients on dialysis and by £4,350 (3,819-4,880) for patients not on dialysis, and were associated with increased costs, though to a lesser extent, in subsequent years.</w:t>
      </w:r>
      <w:r w:rsidR="00532FF7">
        <w:t xml:space="preserve"> </w:t>
      </w:r>
    </w:p>
    <w:p w14:paraId="2A5C1536" w14:textId="6EE43BB1" w:rsidR="006D187A" w:rsidRPr="00BD73F5" w:rsidRDefault="00694E25" w:rsidP="0005646B">
      <w:pPr>
        <w:pStyle w:val="Heading3"/>
      </w:pPr>
      <w:r>
        <w:lastRenderedPageBreak/>
        <w:t>Chronic obstructive pulmonary disease (COPD)</w:t>
      </w:r>
    </w:p>
    <w:p w14:paraId="2192F235" w14:textId="12DC1D26" w:rsidR="004619E6" w:rsidRDefault="006D187A" w:rsidP="004619E6">
      <w:pPr>
        <w:pStyle w:val="USBodyText"/>
      </w:pPr>
      <w:r>
        <w:t xml:space="preserve">A report on the global economic burden of COPD </w:t>
      </w:r>
      <w:r w:rsidR="001654CA" w:rsidRPr="001654CA">
        <w:rPr>
          <w:rFonts w:cs="Calibri"/>
        </w:rPr>
        <w:t>(</w:t>
      </w:r>
      <w:r w:rsidR="001654CA" w:rsidRPr="00945BD9">
        <w:rPr>
          <w:rFonts w:cs="Calibri"/>
          <w:b/>
          <w:bCs/>
        </w:rPr>
        <w:t>Ehteshami-Afshar et al. 2016</w:t>
      </w:r>
      <w:r w:rsidR="004619E6" w:rsidRPr="004619E6">
        <w:rPr>
          <w:b/>
          <w:bCs/>
        </w:rPr>
        <w:t>)</w:t>
      </w:r>
      <w:r w:rsidR="004619E6">
        <w:t xml:space="preserve"> comprised a review of international literature and summarised the findings in terms of direct costs, cost components, and indirect costs. Evidence for the review consisted of 16 reports (7 from North America, 8 from Europe, and 1 from South-East Asia) published between January 2008 and January 2015. All costs were presented in US dollars for 2014. </w:t>
      </w:r>
    </w:p>
    <w:p w14:paraId="44A11B6C" w14:textId="0DE1011A" w:rsidR="00033608" w:rsidRDefault="004619E6" w:rsidP="004619E6">
      <w:pPr>
        <w:pStyle w:val="USBodyText"/>
      </w:pPr>
      <w:r>
        <w:t xml:space="preserve">The study found that the approaches to estimating direct costs varied significantly, making </w:t>
      </w:r>
      <w:r w:rsidR="0052046B">
        <w:t xml:space="preserve">a </w:t>
      </w:r>
      <w:r>
        <w:t>comparison</w:t>
      </w:r>
      <w:r w:rsidR="00A07E3F">
        <w:t xml:space="preserve"> of results fraught.</w:t>
      </w:r>
      <w:r w:rsidR="00F67139">
        <w:t xml:space="preserve"> In particular, COPD is associated with a significant number of comorbid conditions</w:t>
      </w:r>
      <w:r w:rsidR="0052046B">
        <w:t>,</w:t>
      </w:r>
      <w:r w:rsidR="00F67139">
        <w:t xml:space="preserve"> but </w:t>
      </w:r>
      <w:r w:rsidR="00364BFD">
        <w:t xml:space="preserve">studies did not account fully for these in cost estimation, resulting in probable underestimation. </w:t>
      </w:r>
      <w:r w:rsidR="00833884">
        <w:t>Studies that used the excess cost approach described in</w:t>
      </w:r>
      <w:r w:rsidR="005F6152">
        <w:t xml:space="preserve"> Section</w:t>
      </w:r>
      <w:r w:rsidR="00833884">
        <w:t xml:space="preserve"> </w:t>
      </w:r>
      <w:r w:rsidR="005F6152">
        <w:fldChar w:fldCharType="begin"/>
      </w:r>
      <w:r w:rsidR="005F6152">
        <w:instrText xml:space="preserve"> REF _Ref85738547 \r \h </w:instrText>
      </w:r>
      <w:r w:rsidR="005F6152">
        <w:fldChar w:fldCharType="separate"/>
      </w:r>
      <w:r w:rsidR="002C631E">
        <w:t>5.2.2</w:t>
      </w:r>
      <w:r w:rsidR="005F6152">
        <w:fldChar w:fldCharType="end"/>
      </w:r>
      <w:r w:rsidR="00671D8F">
        <w:t xml:space="preserve">, on the other hand, </w:t>
      </w:r>
      <w:r w:rsidR="00875E7C">
        <w:t>tend to overestimate the costs attributable to the condition as much of the comorbidity cost may be attributed to COPD</w:t>
      </w:r>
      <w:r w:rsidR="00AE1C41">
        <w:t xml:space="preserve">. </w:t>
      </w:r>
    </w:p>
    <w:p w14:paraId="3A0C34D4" w14:textId="17E59B60" w:rsidR="00AD7EC8" w:rsidRDefault="00AE1C41" w:rsidP="004619E6">
      <w:pPr>
        <w:pStyle w:val="USBodyText"/>
      </w:pPr>
      <w:r>
        <w:t>One study reviewed (a US study)</w:t>
      </w:r>
      <w:r w:rsidR="00995219">
        <w:t xml:space="preserve"> used statistical adjustment to account for comorbidities</w:t>
      </w:r>
      <w:r w:rsidR="00F07EB1">
        <w:t xml:space="preserve"> in an excess cost-based analysis</w:t>
      </w:r>
      <w:r w:rsidR="007B40D3">
        <w:t>,</w:t>
      </w:r>
      <w:r w:rsidR="00F07EB1">
        <w:t xml:space="preserve"> and this adjustment reduced the excess costs associated with COPD from US$</w:t>
      </w:r>
      <w:r w:rsidR="007B70B1">
        <w:t>6,213 per person per year to US$536 per person per year.</w:t>
      </w:r>
      <w:r w:rsidR="00600521">
        <w:t xml:space="preserve"> In another study, the researchers decided to exclude patients with</w:t>
      </w:r>
      <w:r w:rsidR="00CD601D">
        <w:t xml:space="preserve"> major comorbidities due to the difficulties in distinguishing between COPD-attributable costs and </w:t>
      </w:r>
      <w:r w:rsidR="00370E72">
        <w:t>costs attributable to the major comorbid conditions.</w:t>
      </w:r>
    </w:p>
    <w:p w14:paraId="6C940C98" w14:textId="42FE04B4" w:rsidR="00370E72" w:rsidRDefault="00E80E3D" w:rsidP="004619E6">
      <w:pPr>
        <w:pStyle w:val="USBodyText"/>
      </w:pPr>
      <w:r>
        <w:t>European studies included found direct medical costs for COPD ranged from $679</w:t>
      </w:r>
      <w:r w:rsidR="00DA3AC0">
        <w:t xml:space="preserve"> to $2,8</w:t>
      </w:r>
      <w:r w:rsidR="00B533AE">
        <w:t>65</w:t>
      </w:r>
      <w:r w:rsidR="00DA3AC0">
        <w:t xml:space="preserve"> with similar variation in other cost categories. This was largely due to differences in the study population (different age groups</w:t>
      </w:r>
      <w:r w:rsidR="00E020DD">
        <w:t>, different health status) as well as methodological differences and health system differences.</w:t>
      </w:r>
      <w:r w:rsidR="00B13F5A">
        <w:t xml:space="preserve"> The authors also note that COPD remains underdiagnosed in many countries and that studies are based on diagnosed COPD</w:t>
      </w:r>
      <w:r w:rsidR="00DF1FEC">
        <w:t>. However</w:t>
      </w:r>
      <w:r w:rsidR="007B40D3">
        <w:t>,</w:t>
      </w:r>
      <w:r w:rsidR="00DF1FEC">
        <w:t xml:space="preserve"> they also note that one study identified that inpatient and outpatient visits were 1.5 times higher in the 12 months prior to a </w:t>
      </w:r>
      <w:r w:rsidR="00033608">
        <w:t xml:space="preserve">COPD diagnosis, but the attribution problem applies </w:t>
      </w:r>
      <w:r w:rsidR="00B01690">
        <w:t>to this result too.</w:t>
      </w:r>
    </w:p>
    <w:p w14:paraId="390583AE" w14:textId="1E6F0E96" w:rsidR="008025EB" w:rsidRDefault="008025EB" w:rsidP="00764DDE">
      <w:pPr>
        <w:pStyle w:val="USBodyText"/>
      </w:pPr>
      <w:r>
        <w:t xml:space="preserve">It is </w:t>
      </w:r>
      <w:r w:rsidR="004579D3">
        <w:t>unclear whether</w:t>
      </w:r>
      <w:r>
        <w:t xml:space="preserve"> studies analysing differences between severity stages are relatively unaffected by the comorbidity attribution problem</w:t>
      </w:r>
      <w:r w:rsidR="004579D3">
        <w:t xml:space="preserve">. However, several studies that reported costs across the </w:t>
      </w:r>
      <w:r w:rsidR="00764DDE">
        <w:t>Global Initiative for Chronic Obstructive Lung Disease (GOLD) severity stages found that costs among patients in the GOLD III/IV groups were</w:t>
      </w:r>
      <w:r w:rsidR="00085736">
        <w:t xml:space="preserve"> two to six times higher than for patients in the GOLD I/II groups. In these analyses</w:t>
      </w:r>
      <w:r w:rsidR="00371642">
        <w:t>, it was also the case that methodological differences led to wide variation in results.</w:t>
      </w:r>
    </w:p>
    <w:p w14:paraId="3F7DFD3A" w14:textId="2985EBAF" w:rsidR="009C5BEB" w:rsidRDefault="00C90442" w:rsidP="00764DDE">
      <w:pPr>
        <w:pStyle w:val="USBodyText"/>
      </w:pPr>
      <w:r>
        <w:t xml:space="preserve">A German study </w:t>
      </w:r>
      <w:r w:rsidRPr="00C90442">
        <w:rPr>
          <w:rFonts w:cs="Calibri"/>
        </w:rPr>
        <w:t>(</w:t>
      </w:r>
      <w:r w:rsidRPr="00C90442">
        <w:rPr>
          <w:rFonts w:cs="Calibri"/>
          <w:b/>
          <w:bCs/>
        </w:rPr>
        <w:t>Kirsch et al. 2019</w:t>
      </w:r>
      <w:r w:rsidRPr="00C90442">
        <w:rPr>
          <w:rFonts w:cs="Calibri"/>
        </w:rPr>
        <w:t>)</w:t>
      </w:r>
      <w:r>
        <w:t xml:space="preserve"> analysed health system claims data</w:t>
      </w:r>
      <w:r w:rsidR="0053269F">
        <w:t xml:space="preserve"> for patients enrolled in a COPD disease management plan</w:t>
      </w:r>
      <w:r w:rsidR="003C519A">
        <w:t xml:space="preserve">, including inpatient, outpatient, medication, medical aids, </w:t>
      </w:r>
      <w:r w:rsidR="00E06EFC">
        <w:t xml:space="preserve">and rehabilitation. Bottom-up gross costing methods were used to estimate costs. Indirect costs were estimated for patients aged </w:t>
      </w:r>
      <w:r w:rsidR="007F72BC">
        <w:t>under 65</w:t>
      </w:r>
      <w:r w:rsidR="008D4BA0">
        <w:t xml:space="preserve"> to provide a societal perspective. Productivity losses were calculated based on average wages and </w:t>
      </w:r>
      <w:r w:rsidR="00A44217">
        <w:t xml:space="preserve">absenteeism only. Early retirement also </w:t>
      </w:r>
      <w:r w:rsidR="00F6396B">
        <w:t xml:space="preserve">counted towards lost productivity. </w:t>
      </w:r>
    </w:p>
    <w:p w14:paraId="1F8A1FE9" w14:textId="68C15593" w:rsidR="005262AC" w:rsidRDefault="005262AC" w:rsidP="00184EC8">
      <w:pPr>
        <w:pStyle w:val="USBodyText"/>
      </w:pPr>
      <w:r>
        <w:t>Results were reported by GOLD grade</w:t>
      </w:r>
      <w:r w:rsidR="005E4757">
        <w:t xml:space="preserve"> and reported in </w:t>
      </w:r>
      <w:r w:rsidR="00F07135">
        <w:t>2018 Euros</w:t>
      </w:r>
      <w:r w:rsidR="00184EC8">
        <w:t xml:space="preserve">. More severe COPD was significantly associated with higher health service utilisation, work absence, and premature retirement. </w:t>
      </w:r>
      <w:r w:rsidR="00476201">
        <w:t>A</w:t>
      </w:r>
      <w:r w:rsidR="00184EC8">
        <w:t xml:space="preserve">nnual </w:t>
      </w:r>
      <w:r w:rsidR="00476201">
        <w:t xml:space="preserve">per patient direct </w:t>
      </w:r>
      <w:r w:rsidR="00184EC8">
        <w:t xml:space="preserve">costs for GOLD grade 1 to 4 </w:t>
      </w:r>
      <w:r w:rsidR="00476201">
        <w:t>were</w:t>
      </w:r>
      <w:r w:rsidR="00184EC8">
        <w:t xml:space="preserve"> €3809, €4284, €5548, and €8309</w:t>
      </w:r>
      <w:r w:rsidR="00476201">
        <w:t xml:space="preserve">. Annual per patient indirect costs </w:t>
      </w:r>
      <w:r w:rsidR="00476201" w:rsidRPr="00476201">
        <w:t xml:space="preserve">for GOLD grade 1 to 4 </w:t>
      </w:r>
      <w:r w:rsidR="00476201">
        <w:t>were</w:t>
      </w:r>
      <w:r w:rsidR="00184EC8">
        <w:t xml:space="preserve"> €11,784, €12,985, €15,805, and €19,402.</w:t>
      </w:r>
    </w:p>
    <w:p w14:paraId="7A125833" w14:textId="1A751653" w:rsidR="00A10B03" w:rsidRDefault="00A10B03" w:rsidP="0005646B">
      <w:pPr>
        <w:pStyle w:val="Heading3"/>
      </w:pPr>
      <w:r>
        <w:lastRenderedPageBreak/>
        <w:t>Gout</w:t>
      </w:r>
    </w:p>
    <w:p w14:paraId="607AE575" w14:textId="23A5B620" w:rsidR="00D557DA" w:rsidRDefault="00D557DA" w:rsidP="00A10B03">
      <w:pPr>
        <w:pStyle w:val="USBodyText"/>
      </w:pPr>
      <w:r>
        <w:t xml:space="preserve">A Taiwanese study </w:t>
      </w:r>
      <w:r w:rsidRPr="008B44AE">
        <w:rPr>
          <w:rFonts w:cs="Calibri"/>
          <w:b/>
          <w:bCs/>
        </w:rPr>
        <w:t>(Lee et al. 2018)</w:t>
      </w:r>
      <w:r w:rsidR="000643A7">
        <w:t xml:space="preserve"> compared the health care utilisation and costs of people with </w:t>
      </w:r>
      <w:r w:rsidR="009553CC">
        <w:t xml:space="preserve">a primary or secondary diagnosis of </w:t>
      </w:r>
      <w:r w:rsidR="000643A7">
        <w:t>gout to matched controls</w:t>
      </w:r>
      <w:r w:rsidR="0080571F">
        <w:t xml:space="preserve"> within one year if the index date (date of diagnosis)</w:t>
      </w:r>
      <w:r w:rsidR="008B44AE">
        <w:t>, defined as a health event with an initial diagnosis of gout for 2011, having had no prior health event recorded with a diagnosis of gout from 2008 to 2010.</w:t>
      </w:r>
    </w:p>
    <w:p w14:paraId="0B530A75" w14:textId="4ADD4749" w:rsidR="00C2635B" w:rsidRDefault="00C2635B" w:rsidP="00A10B03">
      <w:pPr>
        <w:pStyle w:val="USBodyText"/>
      </w:pPr>
      <w:r>
        <w:t xml:space="preserve">Gout patients were found to have more all-cause </w:t>
      </w:r>
      <w:r w:rsidR="002C3E25">
        <w:t xml:space="preserve">health services utilisation than matched controls, with approximately 50 percent more </w:t>
      </w:r>
      <w:r w:rsidR="00823908">
        <w:t>hospital attendances</w:t>
      </w:r>
      <w:r w:rsidR="007F6485">
        <w:t xml:space="preserve"> (based on the median)</w:t>
      </w:r>
      <w:r w:rsidR="00823908">
        <w:t>, the majority of these being outpatient visits (as opposed to inpatient admissions or ED visits).</w:t>
      </w:r>
      <w:r w:rsidR="00A033F8">
        <w:t xml:space="preserve"> Gout patients also had </w:t>
      </w:r>
      <w:r w:rsidR="00784E39">
        <w:t xml:space="preserve">approximately </w:t>
      </w:r>
      <w:r w:rsidR="00697731">
        <w:t xml:space="preserve">27 percent to </w:t>
      </w:r>
      <w:r w:rsidR="00784E39">
        <w:t xml:space="preserve">60 percent </w:t>
      </w:r>
      <w:r w:rsidR="00A033F8">
        <w:t xml:space="preserve">higher </w:t>
      </w:r>
      <w:r w:rsidR="00806F52">
        <w:t xml:space="preserve">annual </w:t>
      </w:r>
      <w:r w:rsidR="00A033F8">
        <w:t>health care costs on average compared with matched controls</w:t>
      </w:r>
      <w:r w:rsidR="00F968FF">
        <w:t xml:space="preserve"> (a mean of USD </w:t>
      </w:r>
      <w:r w:rsidR="00F968FF" w:rsidRPr="00F968FF">
        <w:t>$1</w:t>
      </w:r>
      <w:r w:rsidR="00F968FF">
        <w:t>,</w:t>
      </w:r>
      <w:r w:rsidR="00F968FF" w:rsidRPr="00F968FF">
        <w:t>684 versus $1</w:t>
      </w:r>
      <w:r w:rsidR="00F968FF">
        <w:t>,</w:t>
      </w:r>
      <w:r w:rsidR="00F968FF" w:rsidRPr="00F968FF">
        <w:t>33</w:t>
      </w:r>
      <w:r w:rsidR="00244911">
        <w:t xml:space="preserve">1 and </w:t>
      </w:r>
      <w:r w:rsidR="00F968FF">
        <w:t xml:space="preserve">median of </w:t>
      </w:r>
      <w:r w:rsidR="005D71C0">
        <w:t>USD</w:t>
      </w:r>
      <w:r w:rsidR="00CC2FE2">
        <w:t xml:space="preserve"> $716 versus $</w:t>
      </w:r>
      <w:r w:rsidR="00EA6DB3">
        <w:t>446)</w:t>
      </w:r>
      <w:r w:rsidR="003C6C8A">
        <w:t>.</w:t>
      </w:r>
    </w:p>
    <w:p w14:paraId="562939F6" w14:textId="0180FCAE" w:rsidR="00A10B03" w:rsidRDefault="00B55F12" w:rsidP="00A10B03">
      <w:pPr>
        <w:pStyle w:val="USBodyText"/>
      </w:pPr>
      <w:r>
        <w:t xml:space="preserve">A US study </w:t>
      </w:r>
      <w:r w:rsidR="00C348B7" w:rsidRPr="00C348B7">
        <w:rPr>
          <w:rFonts w:cs="Calibri"/>
        </w:rPr>
        <w:t>(</w:t>
      </w:r>
      <w:r w:rsidR="00C348B7" w:rsidRPr="00C348B7">
        <w:rPr>
          <w:rFonts w:cs="Calibri"/>
          <w:b/>
          <w:bCs/>
        </w:rPr>
        <w:t>Jackson et al. 2015</w:t>
      </w:r>
      <w:r w:rsidR="00C348B7" w:rsidRPr="00C348B7">
        <w:rPr>
          <w:rFonts w:cs="Calibri"/>
        </w:rPr>
        <w:t>)</w:t>
      </w:r>
      <w:r w:rsidR="00C348B7">
        <w:t xml:space="preserve"> </w:t>
      </w:r>
      <w:r>
        <w:t>on the healthcare utilisation and costs of patients with gout</w:t>
      </w:r>
      <w:r w:rsidR="00CA7B88">
        <w:t xml:space="preserve"> used administrative data from a large US health plan for 102,703 people with gout to identify</w:t>
      </w:r>
      <w:r w:rsidR="00393CB9">
        <w:t xml:space="preserve"> the frequency of gout flares, and the costs and resources associated with gout flares</w:t>
      </w:r>
      <w:r w:rsidR="00EF33F6">
        <w:t xml:space="preserve"> from 2009 to 2012</w:t>
      </w:r>
      <w:r w:rsidR="00393CB9">
        <w:t>.</w:t>
      </w:r>
    </w:p>
    <w:p w14:paraId="13F630A0" w14:textId="79730E58" w:rsidR="00C83BCC" w:rsidRDefault="00C83BCC" w:rsidP="00A10B03">
      <w:pPr>
        <w:pStyle w:val="USBodyText"/>
      </w:pPr>
      <w:r>
        <w:t xml:space="preserve">The study found that </w:t>
      </w:r>
      <w:r w:rsidR="00B00B29">
        <w:t xml:space="preserve">higher </w:t>
      </w:r>
      <w:r>
        <w:t xml:space="preserve">frequency of flares </w:t>
      </w:r>
      <w:r w:rsidR="00B00B29">
        <w:t xml:space="preserve">was associated with higher costs: The </w:t>
      </w:r>
      <w:r w:rsidR="00B00B29" w:rsidRPr="00B00B29">
        <w:t>average annual gout-related health</w:t>
      </w:r>
      <w:r w:rsidR="00B00B29">
        <w:t xml:space="preserve"> </w:t>
      </w:r>
      <w:r w:rsidR="00B00B29" w:rsidRPr="00B00B29">
        <w:t>care costs among patients with 3+ flares</w:t>
      </w:r>
      <w:r w:rsidR="00067542">
        <w:t xml:space="preserve"> were US</w:t>
      </w:r>
      <w:r w:rsidR="00B00B29" w:rsidRPr="00B00B29">
        <w:t>$4</w:t>
      </w:r>
      <w:r w:rsidR="00067542">
        <w:t>,</w:t>
      </w:r>
      <w:r w:rsidR="00B00B29" w:rsidRPr="00B00B29">
        <w:t xml:space="preserve">490 </w:t>
      </w:r>
      <w:r w:rsidR="00067542">
        <w:t xml:space="preserve">compared with US$2,939 for those with </w:t>
      </w:r>
      <w:r w:rsidR="000673C1">
        <w:t>two</w:t>
      </w:r>
      <w:r w:rsidR="00B00B29" w:rsidRPr="00B00B29">
        <w:t xml:space="preserve"> flares </w:t>
      </w:r>
      <w:r w:rsidR="00067542">
        <w:t xml:space="preserve">and </w:t>
      </w:r>
      <w:r w:rsidR="007559F2">
        <w:t>US$1,792 for those with</w:t>
      </w:r>
      <w:r w:rsidR="00B00B29" w:rsidRPr="00B00B29">
        <w:t xml:space="preserve"> </w:t>
      </w:r>
      <w:r w:rsidR="000673C1">
        <w:t>zero to one</w:t>
      </w:r>
      <w:r w:rsidR="00B00B29" w:rsidRPr="00B00B29">
        <w:t xml:space="preserve"> flare</w:t>
      </w:r>
      <w:r w:rsidR="002367DD">
        <w:t>.</w:t>
      </w:r>
    </w:p>
    <w:p w14:paraId="20C8E60E" w14:textId="6AC841DD" w:rsidR="00CB1881" w:rsidRDefault="00D95B59" w:rsidP="00A10B03">
      <w:pPr>
        <w:pStyle w:val="USBodyText"/>
      </w:pPr>
      <w:r>
        <w:t xml:space="preserve">A Dutch study </w:t>
      </w:r>
      <w:r w:rsidRPr="00D95B59">
        <w:rPr>
          <w:rFonts w:cs="Calibri"/>
        </w:rPr>
        <w:t>(</w:t>
      </w:r>
      <w:r w:rsidRPr="00D95B59">
        <w:rPr>
          <w:rFonts w:cs="Calibri"/>
          <w:b/>
          <w:bCs/>
        </w:rPr>
        <w:t>Spaetgens et al. 2015</w:t>
      </w:r>
      <w:r w:rsidRPr="00D95B59">
        <w:rPr>
          <w:rFonts w:cs="Calibri"/>
        </w:rPr>
        <w:t>)</w:t>
      </w:r>
      <w:r>
        <w:t xml:space="preserve"> </w:t>
      </w:r>
      <w:r w:rsidR="00976AE5">
        <w:t xml:space="preserve">applied micro-costing methods to identify the health care costs as well as informal care, home help, and productivity costs of 126 patients </w:t>
      </w:r>
      <w:r w:rsidR="00260800">
        <w:t>with longstanding</w:t>
      </w:r>
      <w:r w:rsidR="00976AE5">
        <w:t xml:space="preserve"> gout </w:t>
      </w:r>
      <w:r w:rsidR="00CC57E8">
        <w:t xml:space="preserve">under the care of a rheumatologist </w:t>
      </w:r>
      <w:r w:rsidR="00976AE5">
        <w:t xml:space="preserve">in the Netherlands in </w:t>
      </w:r>
      <w:r w:rsidR="0075435B">
        <w:t xml:space="preserve">2011/12. </w:t>
      </w:r>
      <w:r w:rsidR="00CB1881">
        <w:t xml:space="preserve">The average age of the same was 67 years. </w:t>
      </w:r>
      <w:r w:rsidR="0075435B">
        <w:t xml:space="preserve">Friction cost methods were used to estimate absenteeism and presenteeism-related productivity losses. </w:t>
      </w:r>
    </w:p>
    <w:p w14:paraId="40E4D30E" w14:textId="71C80085" w:rsidR="00D95B59" w:rsidRPr="00A10B03" w:rsidRDefault="0075435B" w:rsidP="00A10B03">
      <w:pPr>
        <w:pStyle w:val="USBodyText"/>
      </w:pPr>
      <w:r>
        <w:t xml:space="preserve">Total direct costs per person were estimated to be </w:t>
      </w:r>
      <w:r w:rsidR="00F40EEF">
        <w:rPr>
          <w:rFonts w:cs="Calibri"/>
        </w:rPr>
        <w:t>€</w:t>
      </w:r>
      <w:r>
        <w:t xml:space="preserve">5,647 on average, however this included the cost of home help and informal care by family and friends. Within the direct costs, health care costs amounted to </w:t>
      </w:r>
      <w:r w:rsidR="00F40EEF">
        <w:rPr>
          <w:rFonts w:cs="Calibri"/>
        </w:rPr>
        <w:t>€</w:t>
      </w:r>
      <w:r w:rsidR="00F40EEF">
        <w:t>2,470</w:t>
      </w:r>
      <w:r w:rsidR="00CD0F35">
        <w:t xml:space="preserve"> per person on average. When productivity losses were included, the total cost per person per year attributed to gout was </w:t>
      </w:r>
      <w:r w:rsidR="00CD0F35">
        <w:rPr>
          <w:rFonts w:cs="Calibri"/>
        </w:rPr>
        <w:t>€</w:t>
      </w:r>
      <w:r w:rsidR="00CD0F35">
        <w:t>10,894.</w:t>
      </w:r>
      <w:r w:rsidR="00E47B76" w:rsidRPr="00E47B76">
        <w:t xml:space="preserve"> </w:t>
      </w:r>
      <w:r w:rsidR="00E47B76">
        <w:t>Higher direct and indirect costs were associated with</w:t>
      </w:r>
      <w:r w:rsidR="00E47B76" w:rsidRPr="00E47B76">
        <w:t xml:space="preserve"> CVD, functional disability, and female sex</w:t>
      </w:r>
      <w:r w:rsidR="00E47B76">
        <w:t>.</w:t>
      </w:r>
    </w:p>
    <w:p w14:paraId="7BE391C6" w14:textId="79E55FC9" w:rsidR="007E0776" w:rsidRDefault="007E0776" w:rsidP="007E0776">
      <w:pPr>
        <w:pStyle w:val="Heading3"/>
      </w:pPr>
      <w:r>
        <w:t>HIV/AIDS</w:t>
      </w:r>
    </w:p>
    <w:p w14:paraId="4B890DFE" w14:textId="17C809E0" w:rsidR="007E0776" w:rsidRDefault="0050192A" w:rsidP="007E0776">
      <w:pPr>
        <w:pStyle w:val="USBodyText"/>
      </w:pPr>
      <w:r w:rsidRPr="00D71F13">
        <w:rPr>
          <w:rFonts w:cs="Calibri"/>
          <w:b/>
          <w:bCs/>
        </w:rPr>
        <w:t>Krentz, Vu, and Gill (2020)</w:t>
      </w:r>
      <w:r>
        <w:t xml:space="preserve"> analysed </w:t>
      </w:r>
      <w:r w:rsidR="002C7501">
        <w:t xml:space="preserve">the HIV-related </w:t>
      </w:r>
      <w:r>
        <w:t>drug, laboratory</w:t>
      </w:r>
      <w:r w:rsidR="004C7645">
        <w:t xml:space="preserve">, </w:t>
      </w:r>
      <w:r w:rsidR="004433D1">
        <w:t>outpatient,</w:t>
      </w:r>
      <w:r w:rsidR="004C7645">
        <w:t xml:space="preserve"> and inpatient costs for HIV infected patients from 2006 to 2017</w:t>
      </w:r>
      <w:r w:rsidR="002C7501">
        <w:t xml:space="preserve"> to identify the public health system costs of people with HIV/AIDS in Canada. Costs were compared against the previous costs incurred by the same population prior to HIV-infection diagnosis.</w:t>
      </w:r>
    </w:p>
    <w:p w14:paraId="6C9FC259" w14:textId="14048B6B" w:rsidR="00F6324C" w:rsidRDefault="00624EDE" w:rsidP="007E0776">
      <w:pPr>
        <w:pStyle w:val="USBodyText"/>
      </w:pPr>
      <w:r>
        <w:t>The study found that t</w:t>
      </w:r>
      <w:r w:rsidRPr="00624EDE">
        <w:t xml:space="preserve">he number of HIV-infected patients </w:t>
      </w:r>
      <w:r>
        <w:t>had</w:t>
      </w:r>
      <w:r w:rsidRPr="00624EDE">
        <w:t xml:space="preserve"> doubled from 2006 to 2017</w:t>
      </w:r>
      <w:r>
        <w:t xml:space="preserve"> while</w:t>
      </w:r>
      <w:r w:rsidRPr="00624EDE">
        <w:t xml:space="preserve"> total </w:t>
      </w:r>
      <w:r>
        <w:t xml:space="preserve">health care </w:t>
      </w:r>
      <w:r w:rsidRPr="00624EDE">
        <w:t>costs</w:t>
      </w:r>
      <w:r>
        <w:t xml:space="preserve"> had</w:t>
      </w:r>
      <w:r w:rsidRPr="00624EDE">
        <w:t xml:space="preserve"> </w:t>
      </w:r>
      <w:r>
        <w:t>more than double</w:t>
      </w:r>
      <w:r w:rsidRPr="00624EDE">
        <w:t>d from $12.4 to $30.1 million</w:t>
      </w:r>
      <w:r w:rsidR="00C55086">
        <w:t xml:space="preserve"> (all </w:t>
      </w:r>
      <w:r w:rsidR="00E76D6D">
        <w:t xml:space="preserve">costs </w:t>
      </w:r>
      <w:r w:rsidR="00C55086">
        <w:t xml:space="preserve">reported in 2014 </w:t>
      </w:r>
      <w:r w:rsidR="00E76D6D">
        <w:t xml:space="preserve">Canadian </w:t>
      </w:r>
      <w:r w:rsidR="00C55086">
        <w:t>dollars)</w:t>
      </w:r>
      <w:r w:rsidR="004A7B45">
        <w:t>. A</w:t>
      </w:r>
      <w:r w:rsidRPr="00624EDE">
        <w:t xml:space="preserve">ntiretroviral (ARV) drugs </w:t>
      </w:r>
      <w:r w:rsidR="004A7B45">
        <w:t>made up</w:t>
      </w:r>
      <w:r w:rsidRPr="00624EDE">
        <w:t xml:space="preserve"> 7</w:t>
      </w:r>
      <w:r w:rsidR="004A7B45">
        <w:t>9 percent</w:t>
      </w:r>
      <w:r w:rsidRPr="00624EDE">
        <w:t xml:space="preserve"> of costs </w:t>
      </w:r>
      <w:r w:rsidR="004A7B45">
        <w:t>in</w:t>
      </w:r>
      <w:r w:rsidRPr="00624EDE">
        <w:t xml:space="preserve"> 2017. Outpatient</w:t>
      </w:r>
      <w:r w:rsidR="004A7B45">
        <w:t xml:space="preserve"> and l</w:t>
      </w:r>
      <w:r w:rsidRPr="00624EDE">
        <w:t xml:space="preserve">aboratory costs declined </w:t>
      </w:r>
      <w:r w:rsidR="004A7B45">
        <w:t xml:space="preserve">in importance over the period </w:t>
      </w:r>
      <w:r w:rsidRPr="00624EDE">
        <w:t>from 12</w:t>
      </w:r>
      <w:r w:rsidR="004A7B45">
        <w:t xml:space="preserve"> percent</w:t>
      </w:r>
      <w:r w:rsidRPr="00624EDE">
        <w:t xml:space="preserve"> to 8.5</w:t>
      </w:r>
      <w:r w:rsidR="004A7B45">
        <w:t xml:space="preserve"> percent of total costs</w:t>
      </w:r>
      <w:r w:rsidRPr="00624EDE">
        <w:t xml:space="preserve">, while inpatient costs </w:t>
      </w:r>
      <w:r w:rsidR="004A7B45">
        <w:t xml:space="preserve">varied </w:t>
      </w:r>
      <w:r w:rsidR="00C55086">
        <w:t>from year to year</w:t>
      </w:r>
      <w:r w:rsidRPr="00624EDE">
        <w:t xml:space="preserve">. </w:t>
      </w:r>
      <w:r w:rsidR="00C55086">
        <w:t>The average cost per person per year</w:t>
      </w:r>
      <w:r w:rsidRPr="00624EDE">
        <w:t xml:space="preserve"> increased from $1</w:t>
      </w:r>
      <w:r w:rsidR="00C55086">
        <w:t>,</w:t>
      </w:r>
      <w:r w:rsidRPr="00624EDE">
        <w:t>316 in 2006 to $1</w:t>
      </w:r>
      <w:r w:rsidR="00C55086">
        <w:t>,</w:t>
      </w:r>
      <w:r w:rsidRPr="00624EDE">
        <w:t xml:space="preserve">712 in 2014, </w:t>
      </w:r>
      <w:r w:rsidR="009741E9">
        <w:t xml:space="preserve">before </w:t>
      </w:r>
      <w:r w:rsidRPr="00624EDE">
        <w:t>declining to $1</w:t>
      </w:r>
      <w:r w:rsidR="009741E9">
        <w:t>,</w:t>
      </w:r>
      <w:r w:rsidRPr="00624EDE">
        <w:t xml:space="preserve">446 in 2017. </w:t>
      </w:r>
      <w:r w:rsidR="009741E9">
        <w:t>The study also found that h</w:t>
      </w:r>
      <w:r w:rsidRPr="00624EDE">
        <w:t xml:space="preserve">igher costs were associated with CD4 counts </w:t>
      </w:r>
      <w:r w:rsidR="009741E9">
        <w:t>below</w:t>
      </w:r>
      <w:r w:rsidRPr="00624EDE">
        <w:t xml:space="preserve"> 200 cells/μL. </w:t>
      </w:r>
    </w:p>
    <w:p w14:paraId="49FDB6D9" w14:textId="1C136D60" w:rsidR="00A40C8E" w:rsidRDefault="00A40C8E" w:rsidP="00A40C8E">
      <w:pPr>
        <w:pStyle w:val="Heading3"/>
      </w:pPr>
      <w:r>
        <w:lastRenderedPageBreak/>
        <w:t>Osteoporosis</w:t>
      </w:r>
    </w:p>
    <w:p w14:paraId="4F43C521" w14:textId="21B6B432" w:rsidR="00EC5F77" w:rsidRDefault="00EC5F77" w:rsidP="00EC5F77">
      <w:pPr>
        <w:pStyle w:val="USBodyText"/>
      </w:pPr>
      <w:r>
        <w:t xml:space="preserve">One study was identified that provided cost-of-illness estimates for osteoporosis. </w:t>
      </w:r>
      <w:r w:rsidRPr="00EC5F77">
        <w:rPr>
          <w:rFonts w:cs="Calibri"/>
          <w:b/>
          <w:bCs/>
        </w:rPr>
        <w:t>Marcellusi et al. (2020)</w:t>
      </w:r>
      <w:r>
        <w:rPr>
          <w:b/>
          <w:bCs/>
        </w:rPr>
        <w:t xml:space="preserve"> </w:t>
      </w:r>
      <w:r w:rsidR="00D01F62">
        <w:t xml:space="preserve">estimated the </w:t>
      </w:r>
      <w:r w:rsidR="00D75A59">
        <w:t>health sys</w:t>
      </w:r>
      <w:r w:rsidR="00111121">
        <w:t>t</w:t>
      </w:r>
      <w:r w:rsidR="00D75A59">
        <w:t>em</w:t>
      </w:r>
      <w:r w:rsidR="00D01F62">
        <w:t xml:space="preserve"> </w:t>
      </w:r>
      <w:r w:rsidR="00111121">
        <w:t xml:space="preserve">and social security </w:t>
      </w:r>
      <w:r w:rsidR="00D01F62">
        <w:t xml:space="preserve">costs of osteoporosis in Italy using a bottom-up gross costing approach </w:t>
      </w:r>
      <w:r w:rsidR="00D75A59">
        <w:t>supplemented by</w:t>
      </w:r>
      <w:r w:rsidR="00D01F62">
        <w:t xml:space="preserve"> values derived from previously published literature</w:t>
      </w:r>
      <w:r w:rsidR="00111121">
        <w:t xml:space="preserve"> to derive indirect costs</w:t>
      </w:r>
      <w:r w:rsidR="006B3ECE">
        <w:t xml:space="preserve"> (social security costs</w:t>
      </w:r>
      <w:r w:rsidR="00DE79CD">
        <w:t>, including disability allowance and pensions</w:t>
      </w:r>
      <w:r w:rsidR="006B3ECE">
        <w:t>)</w:t>
      </w:r>
      <w:r w:rsidR="007355B6">
        <w:t>.</w:t>
      </w:r>
      <w:r w:rsidR="00F002F0">
        <w:t xml:space="preserve"> The reference year for the </w:t>
      </w:r>
      <w:r w:rsidR="00DE79CD">
        <w:t>model data was 2017</w:t>
      </w:r>
      <w:r w:rsidR="00743B9B">
        <w:t>.</w:t>
      </w:r>
    </w:p>
    <w:p w14:paraId="7E29149C" w14:textId="41D8179B" w:rsidR="00161A0E" w:rsidRDefault="00161A0E" w:rsidP="00EC5F77">
      <w:pPr>
        <w:pStyle w:val="USBodyText"/>
      </w:pPr>
      <w:r>
        <w:t>An average</w:t>
      </w:r>
      <w:r w:rsidRPr="00161A0E">
        <w:t xml:space="preserve"> annual economic burden of osteoporosis in Italy </w:t>
      </w:r>
      <w:r>
        <w:t xml:space="preserve">was estimated to be </w:t>
      </w:r>
      <w:r w:rsidRPr="00161A0E">
        <w:t>€2.2 billion</w:t>
      </w:r>
      <w:r w:rsidR="00743B9B">
        <w:t>,</w:t>
      </w:r>
      <w:r>
        <w:t xml:space="preserve"> with </w:t>
      </w:r>
      <w:r w:rsidRPr="00161A0E">
        <w:t xml:space="preserve">80 </w:t>
      </w:r>
      <w:r>
        <w:t>percent of this being the cost of inpatient hospital</w:t>
      </w:r>
      <w:r w:rsidR="00254AD4">
        <w:t>isation,</w:t>
      </w:r>
      <w:r w:rsidRPr="00161A0E">
        <w:t xml:space="preserve"> 16</w:t>
      </w:r>
      <w:r w:rsidR="00254AD4">
        <w:t xml:space="preserve"> percent being the cost of p</w:t>
      </w:r>
      <w:r w:rsidRPr="00161A0E">
        <w:t>harmacological treatments, 3</w:t>
      </w:r>
      <w:r w:rsidR="00254AD4">
        <w:t xml:space="preserve"> percent being the cost of outpatient care, and </w:t>
      </w:r>
      <w:r w:rsidRPr="00161A0E">
        <w:t>1</w:t>
      </w:r>
      <w:r w:rsidR="00254AD4">
        <w:t xml:space="preserve"> percent</w:t>
      </w:r>
      <w:r w:rsidRPr="00161A0E">
        <w:t xml:space="preserve"> </w:t>
      </w:r>
      <w:r w:rsidR="00254AD4">
        <w:t>being</w:t>
      </w:r>
      <w:r w:rsidRPr="00161A0E">
        <w:t xml:space="preserve"> social security costs. </w:t>
      </w:r>
      <w:r w:rsidR="004B1A21">
        <w:t xml:space="preserve">Just over half of </w:t>
      </w:r>
      <w:r w:rsidR="00D91611">
        <w:t xml:space="preserve">inpatient hospitalisations in this group were due to fractures. The highest annual cost of hospitalisation </w:t>
      </w:r>
      <w:r w:rsidR="00D87E3B">
        <w:t xml:space="preserve">was associated with patients aged 75+ whose hospitalisation costs were </w:t>
      </w:r>
      <w:r w:rsidR="008800F0">
        <w:t xml:space="preserve">nearly 20 percent higher than those of people aged 60 to 74 and </w:t>
      </w:r>
      <w:r w:rsidR="000C6051">
        <w:t xml:space="preserve">50 percent higher than those of people aged 45 to 60. </w:t>
      </w:r>
      <w:r w:rsidRPr="00161A0E">
        <w:t xml:space="preserve">The average </w:t>
      </w:r>
      <w:r w:rsidR="00254AD4">
        <w:t>annual</w:t>
      </w:r>
      <w:r w:rsidRPr="00161A0E">
        <w:t xml:space="preserve"> cost per patient was </w:t>
      </w:r>
      <w:r w:rsidR="00254AD4">
        <w:t>estimated to be</w:t>
      </w:r>
      <w:r w:rsidRPr="00161A0E">
        <w:t xml:space="preserve"> €</w:t>
      </w:r>
      <w:r w:rsidR="00254AD4">
        <w:t>8</w:t>
      </w:r>
      <w:r w:rsidRPr="00161A0E">
        <w:t>,69</w:t>
      </w:r>
      <w:r w:rsidR="000C73E9">
        <w:t xml:space="preserve">1, but the study noted that people with severe osteoporosis had significantly higher costs – this group estimated to have costs of </w:t>
      </w:r>
      <w:r w:rsidRPr="00161A0E">
        <w:t>€12,336</w:t>
      </w:r>
      <w:r w:rsidR="000C73E9">
        <w:t xml:space="preserve"> per person</w:t>
      </w:r>
      <w:r w:rsidRPr="00161A0E">
        <w:t xml:space="preserve"> </w:t>
      </w:r>
      <w:r w:rsidR="000C73E9">
        <w:t>(</w:t>
      </w:r>
      <w:r w:rsidRPr="00161A0E">
        <w:t>44</w:t>
      </w:r>
      <w:r w:rsidR="000C73E9">
        <w:t xml:space="preserve"> percent more than the general</w:t>
      </w:r>
      <w:r w:rsidRPr="00161A0E">
        <w:t xml:space="preserve"> osteoporosis p</w:t>
      </w:r>
      <w:r w:rsidR="000C73E9">
        <w:t>opulation</w:t>
      </w:r>
      <w:r w:rsidRPr="00161A0E">
        <w:t>).</w:t>
      </w:r>
    </w:p>
    <w:p w14:paraId="0C3A865B" w14:textId="10A07D3F" w:rsidR="00FF7F41" w:rsidRDefault="00FF7F41" w:rsidP="00FF7F41">
      <w:pPr>
        <w:pStyle w:val="Heading3"/>
      </w:pPr>
      <w:r>
        <w:t>Rheumatic fever</w:t>
      </w:r>
    </w:p>
    <w:p w14:paraId="09E86D87" w14:textId="68C06EF0" w:rsidR="00FF7F41" w:rsidRDefault="00194421" w:rsidP="00FF7F41">
      <w:pPr>
        <w:pStyle w:val="USBodyText"/>
      </w:pPr>
      <w:r>
        <w:t xml:space="preserve">An Australian study </w:t>
      </w:r>
      <w:r w:rsidRPr="00793DFC">
        <w:rPr>
          <w:rFonts w:cs="Calibri"/>
        </w:rPr>
        <w:t>(</w:t>
      </w:r>
      <w:r w:rsidR="009F2E86" w:rsidRPr="00793DFC">
        <w:rPr>
          <w:rFonts w:cs="Calibri"/>
        </w:rPr>
        <w:t>Cannon et al. 2018) s</w:t>
      </w:r>
      <w:r w:rsidR="009F2E86">
        <w:rPr>
          <w:rFonts w:cs="Calibri"/>
        </w:rPr>
        <w:t>ummarised in a report (</w:t>
      </w:r>
      <w:r w:rsidRPr="001C6F8B">
        <w:rPr>
          <w:rFonts w:cs="Calibri"/>
          <w:b/>
          <w:bCs/>
        </w:rPr>
        <w:t>Wyber et al. 2018</w:t>
      </w:r>
      <w:r w:rsidRPr="00194421">
        <w:rPr>
          <w:rFonts w:cs="Calibri"/>
        </w:rPr>
        <w:t>)</w:t>
      </w:r>
      <w:r w:rsidR="00210BAF">
        <w:t xml:space="preserve"> estimated projected </w:t>
      </w:r>
      <w:r w:rsidR="001C6F8B">
        <w:t xml:space="preserve">health care costs of </w:t>
      </w:r>
      <w:r w:rsidR="008B45DA">
        <w:t xml:space="preserve">acute rheumatic fever (ARF) and rheumatic heart disease (RHD) amongst Aboriginal and Torres Strait Islander people to 2031. </w:t>
      </w:r>
      <w:r w:rsidR="0034390A" w:rsidRPr="0034390A">
        <w:t>In Australia, 94</w:t>
      </w:r>
      <w:r w:rsidR="0034390A">
        <w:t xml:space="preserve"> percent</w:t>
      </w:r>
      <w:r w:rsidR="0034390A" w:rsidRPr="0034390A">
        <w:t xml:space="preserve"> of new ARF cases occur </w:t>
      </w:r>
      <w:r w:rsidR="0034390A">
        <w:t>in</w:t>
      </w:r>
      <w:r w:rsidR="0034390A" w:rsidRPr="0034390A">
        <w:t xml:space="preserve"> Aboriginal or Torres Strait Islander people</w:t>
      </w:r>
      <w:r w:rsidR="0034390A">
        <w:t>.</w:t>
      </w:r>
    </w:p>
    <w:p w14:paraId="7B70DEAA" w14:textId="6F349CFF" w:rsidR="00FE55B2" w:rsidRDefault="00FE55B2" w:rsidP="00FE55B2">
      <w:pPr>
        <w:pStyle w:val="USBodyText"/>
      </w:pPr>
      <w:r>
        <w:t xml:space="preserve">The study identified that 4,539 people were living with RHD or the effects of ARF in the </w:t>
      </w:r>
      <w:r w:rsidRPr="00FE55B2">
        <w:t>Aboriginal and Torres Strait Islander</w:t>
      </w:r>
      <w:r>
        <w:t xml:space="preserve"> populations in </w:t>
      </w:r>
      <w:r w:rsidR="00367DDF">
        <w:t xml:space="preserve">2016. </w:t>
      </w:r>
    </w:p>
    <w:p w14:paraId="21DBC8B7" w14:textId="4E30EFAB" w:rsidR="00367DDF" w:rsidRDefault="00367DDF" w:rsidP="00FE55B2">
      <w:pPr>
        <w:pStyle w:val="USBodyText"/>
      </w:pPr>
      <w:r>
        <w:t>Bottom</w:t>
      </w:r>
      <w:r w:rsidR="00707D93">
        <w:t>-</w:t>
      </w:r>
      <w:r>
        <w:t>up gross costing methods were used to identify the health care costs of people with RHD and ARF</w:t>
      </w:r>
      <w:r w:rsidR="00F31366">
        <w:t xml:space="preserve"> and, along with disease progression modelling, these costs were applied to a projected population developing RHD and ARF from 2016 to 2031.</w:t>
      </w:r>
    </w:p>
    <w:p w14:paraId="15AC3585" w14:textId="52F02F9C" w:rsidR="00FE55B2" w:rsidRDefault="00F31366" w:rsidP="004908FB">
      <w:pPr>
        <w:pStyle w:val="USBodyText"/>
      </w:pPr>
      <w:r>
        <w:t xml:space="preserve">The study found that if </w:t>
      </w:r>
      <w:r w:rsidR="00FE55B2">
        <w:t>no further</w:t>
      </w:r>
      <w:r>
        <w:t xml:space="preserve"> prevention</w:t>
      </w:r>
      <w:r w:rsidR="00FE55B2">
        <w:t xml:space="preserve"> action</w:t>
      </w:r>
      <w:r>
        <w:t xml:space="preserve"> is taken</w:t>
      </w:r>
      <w:r w:rsidR="00FE55B2">
        <w:t>, a further 10,212 Aboriginal</w:t>
      </w:r>
      <w:r>
        <w:t xml:space="preserve"> </w:t>
      </w:r>
      <w:r w:rsidR="00FE55B2">
        <w:t xml:space="preserve">and Torres Strait Islander people </w:t>
      </w:r>
      <w:r>
        <w:t xml:space="preserve">would </w:t>
      </w:r>
      <w:r w:rsidR="00FE55B2">
        <w:t xml:space="preserve">develop </w:t>
      </w:r>
      <w:r>
        <w:t>RHD or ARF</w:t>
      </w:r>
      <w:r w:rsidR="00FE55B2">
        <w:t xml:space="preserve"> by 2031</w:t>
      </w:r>
      <w:r w:rsidR="004908FB">
        <w:t>, including 4,885 projected to develop ARF and 5,326 people projected to develop RHD with no history of ARF</w:t>
      </w:r>
      <w:r w:rsidR="00FE55B2">
        <w:t>. Of these people:</w:t>
      </w:r>
    </w:p>
    <w:p w14:paraId="060B86CB" w14:textId="77777777" w:rsidR="003312C5" w:rsidRDefault="00FE55B2" w:rsidP="003312C5">
      <w:pPr>
        <w:pStyle w:val="USBullet1"/>
      </w:pPr>
      <w:r>
        <w:t>1,370 will need heart surgery</w:t>
      </w:r>
    </w:p>
    <w:p w14:paraId="334FA2F2" w14:textId="77777777" w:rsidR="003312C5" w:rsidRDefault="00FE55B2" w:rsidP="003312C5">
      <w:pPr>
        <w:pStyle w:val="USBullet1"/>
      </w:pPr>
      <w:r>
        <w:t>563 with RHD will die</w:t>
      </w:r>
    </w:p>
    <w:p w14:paraId="2258C6B9" w14:textId="0AE16108" w:rsidR="00FE55B2" w:rsidRDefault="00FE55B2" w:rsidP="003312C5">
      <w:pPr>
        <w:pStyle w:val="USBullet1"/>
      </w:pPr>
      <w:r>
        <w:t>$317 million will be spent on medical care</w:t>
      </w:r>
      <w:r w:rsidR="003312C5">
        <w:t xml:space="preserve"> for incident cases</w:t>
      </w:r>
    </w:p>
    <w:p w14:paraId="0BDB4A4C" w14:textId="1CA60F0F" w:rsidR="00FD7F1B" w:rsidRDefault="00FD7F1B" w:rsidP="003312C5">
      <w:pPr>
        <w:pStyle w:val="USBullet1"/>
      </w:pPr>
      <w:r>
        <w:t>$27 m</w:t>
      </w:r>
      <w:r w:rsidR="00B35A1A">
        <w:t>illion</w:t>
      </w:r>
      <w:r w:rsidR="00B62FD8">
        <w:t xml:space="preserve"> will be spent on medical care for the current population living with ARF or RHD</w:t>
      </w:r>
    </w:p>
    <w:p w14:paraId="1AA69AF6" w14:textId="70110292" w:rsidR="004709F2" w:rsidRDefault="00B62FD8" w:rsidP="00B62FD8">
      <w:pPr>
        <w:pStyle w:val="USBodyText"/>
      </w:pPr>
      <w:r>
        <w:t xml:space="preserve">In total </w:t>
      </w:r>
      <w:r w:rsidR="00FD7F1B">
        <w:t>$344</w:t>
      </w:r>
      <w:r w:rsidR="00B35A1A">
        <w:t xml:space="preserve"> </w:t>
      </w:r>
      <w:r w:rsidR="00FD7F1B">
        <w:t>m</w:t>
      </w:r>
      <w:r w:rsidR="00B35A1A">
        <w:t>illion</w:t>
      </w:r>
      <w:r w:rsidR="00FD7F1B">
        <w:t xml:space="preserve"> </w:t>
      </w:r>
      <w:r>
        <w:t xml:space="preserve">was the projected </w:t>
      </w:r>
      <w:r w:rsidR="00FD7F1B">
        <w:t xml:space="preserve">cost of health </w:t>
      </w:r>
      <w:r>
        <w:t>services for</w:t>
      </w:r>
      <w:r w:rsidR="00FD7F1B">
        <w:t xml:space="preserve"> ARF and RHD from 2016 to 2031</w:t>
      </w:r>
      <w:r>
        <w:t>.</w:t>
      </w:r>
    </w:p>
    <w:p w14:paraId="6D77A782" w14:textId="1F3BCF84" w:rsidR="001031CA" w:rsidRDefault="004709F2" w:rsidP="00B62FD8">
      <w:pPr>
        <w:pStyle w:val="USBodyText"/>
      </w:pPr>
      <w:r>
        <w:t xml:space="preserve">A South African study </w:t>
      </w:r>
      <w:r w:rsidRPr="004709F2">
        <w:rPr>
          <w:rFonts w:cs="Calibri"/>
        </w:rPr>
        <w:t>(</w:t>
      </w:r>
      <w:r w:rsidRPr="001031CA">
        <w:rPr>
          <w:rFonts w:cs="Calibri"/>
          <w:b/>
          <w:bCs/>
        </w:rPr>
        <w:t>Hellebo et al. 2021</w:t>
      </w:r>
      <w:r w:rsidRPr="004709F2">
        <w:rPr>
          <w:rFonts w:cs="Calibri"/>
        </w:rPr>
        <w:t>)</w:t>
      </w:r>
      <w:r w:rsidR="0089696C">
        <w:t xml:space="preserve"> </w:t>
      </w:r>
      <w:r>
        <w:t>analysed a randomly selected sample of 100 patient medical records</w:t>
      </w:r>
      <w:r w:rsidR="00827BAC">
        <w:t xml:space="preserve"> from the Global Rheumatic Heart Disease Registry (REMEDY study) to identify health system costs associated with </w:t>
      </w:r>
      <w:r w:rsidR="001031CA">
        <w:t xml:space="preserve">RHD. </w:t>
      </w:r>
      <w:r w:rsidR="00CC323E">
        <w:t>Bottom-up micro</w:t>
      </w:r>
      <w:r w:rsidR="006D65D2">
        <w:t>-</w:t>
      </w:r>
      <w:r w:rsidR="00CC323E">
        <w:t xml:space="preserve">costing methods </w:t>
      </w:r>
      <w:r w:rsidR="006D052A">
        <w:lastRenderedPageBreak/>
        <w:t>w</w:t>
      </w:r>
      <w:r w:rsidR="00CC323E">
        <w:t>ere used to estimate costs of hospital</w:t>
      </w:r>
      <w:r w:rsidR="00A328D0">
        <w:t>-</w:t>
      </w:r>
      <w:r w:rsidR="00CC323E">
        <w:t>based care</w:t>
      </w:r>
      <w:r w:rsidR="00DA182C">
        <w:t>. Including outpatient care, inpatient care, surgery, diagnostics and medication</w:t>
      </w:r>
      <w:r w:rsidR="00A328D0">
        <w:t>s in a tertiary hospital context.</w:t>
      </w:r>
    </w:p>
    <w:p w14:paraId="59336787" w14:textId="2426CC39" w:rsidR="00FD7F1B" w:rsidRDefault="001031CA" w:rsidP="001031CA">
      <w:pPr>
        <w:pStyle w:val="USBodyText"/>
      </w:pPr>
      <w:r>
        <w:t xml:space="preserve">The estimated total cost of tertiary-hospital-level health care for RHD was </w:t>
      </w:r>
      <w:r w:rsidR="001A4D78">
        <w:t>$</w:t>
      </w:r>
      <w:r>
        <w:t xml:space="preserve">2 million (2017 USD) </w:t>
      </w:r>
      <w:r w:rsidR="001346DA">
        <w:t>in</w:t>
      </w:r>
      <w:r>
        <w:t xml:space="preserve"> 2017</w:t>
      </w:r>
      <w:r w:rsidR="001346DA">
        <w:t xml:space="preserve">. Surgery costs accounted </w:t>
      </w:r>
      <w:r>
        <w:t>for 65</w:t>
      </w:r>
      <w:r w:rsidR="001346DA">
        <w:t xml:space="preserve"> percent of the total cost</w:t>
      </w:r>
      <w:r>
        <w:t xml:space="preserve">. </w:t>
      </w:r>
      <w:r w:rsidR="001346DA">
        <w:t>The average cost p</w:t>
      </w:r>
      <w:r>
        <w:t xml:space="preserve">er-patient </w:t>
      </w:r>
      <w:r w:rsidR="001A4D78">
        <w:t>amounted to</w:t>
      </w:r>
      <w:r>
        <w:t xml:space="preserve"> </w:t>
      </w:r>
      <w:r w:rsidR="001A4D78">
        <w:t>$</w:t>
      </w:r>
      <w:r>
        <w:t>3</w:t>
      </w:r>
      <w:r w:rsidR="001A4D78">
        <w:t>,</w:t>
      </w:r>
      <w:r>
        <w:t>900</w:t>
      </w:r>
      <w:r w:rsidR="001A4D78">
        <w:t>.</w:t>
      </w:r>
      <w:r w:rsidR="00FD7F1B">
        <w:tab/>
      </w:r>
    </w:p>
    <w:p w14:paraId="378DC6B7" w14:textId="7B2F25D8" w:rsidR="00624EDE" w:rsidRPr="007E0776" w:rsidRDefault="00624EDE" w:rsidP="007E0776">
      <w:pPr>
        <w:pStyle w:val="USBodyText"/>
      </w:pPr>
    </w:p>
    <w:p w14:paraId="4DA77D21" w14:textId="77777777" w:rsidR="007E0776" w:rsidRPr="007E0776" w:rsidRDefault="007E0776" w:rsidP="007E0776">
      <w:pPr>
        <w:pStyle w:val="USBodyText"/>
      </w:pPr>
    </w:p>
    <w:p w14:paraId="78C88B4A" w14:textId="77777777" w:rsidR="00BA4E0D" w:rsidRDefault="00BA4E0D">
      <w:pPr>
        <w:spacing w:after="160" w:line="259" w:lineRule="auto"/>
        <w:sectPr w:rsidR="00BA4E0D" w:rsidSect="00C130AE">
          <w:headerReference w:type="even" r:id="rId65"/>
          <w:headerReference w:type="default" r:id="rId66"/>
          <w:footerReference w:type="default" r:id="rId67"/>
          <w:headerReference w:type="first" r:id="rId68"/>
          <w:pgSz w:w="11907" w:h="16839" w:code="9"/>
          <w:pgMar w:top="1701" w:right="1418" w:bottom="1418" w:left="1418" w:header="851" w:footer="851" w:gutter="0"/>
          <w:pgNumType w:start="1"/>
          <w:cols w:space="708"/>
          <w:docGrid w:linePitch="360"/>
        </w:sectPr>
      </w:pPr>
    </w:p>
    <w:p w14:paraId="3B71E02D" w14:textId="6F0AF092" w:rsidR="00507578" w:rsidRDefault="000A17E9" w:rsidP="007C1AEF">
      <w:pPr>
        <w:pStyle w:val="Heading1"/>
        <w:tabs>
          <w:tab w:val="clear" w:pos="851"/>
          <w:tab w:val="num" w:pos="567"/>
        </w:tabs>
      </w:pPr>
      <w:bookmarkStart w:id="137" w:name="_Toc98760530"/>
      <w:r>
        <w:lastRenderedPageBreak/>
        <w:t>Summary of studies</w:t>
      </w:r>
      <w:bookmarkEnd w:id="137"/>
    </w:p>
    <w:p w14:paraId="258F45D8" w14:textId="13D0806D" w:rsidR="00E54F19" w:rsidRDefault="00A23062" w:rsidP="00A13DCA">
      <w:pPr>
        <w:pStyle w:val="USBodyText"/>
      </w:pPr>
      <w:r>
        <w:t>The table below summarises the</w:t>
      </w:r>
      <w:r w:rsidR="00A30847">
        <w:t xml:space="preserve"> included </w:t>
      </w:r>
      <w:r w:rsidR="006748A9">
        <w:t>cost-of-illness</w:t>
      </w:r>
      <w:r w:rsidR="00A30847">
        <w:t xml:space="preserve"> studies</w:t>
      </w:r>
      <w:r w:rsidR="009D5513">
        <w:t xml:space="preserve"> with summary results converted from the original currency to </w:t>
      </w:r>
      <w:r w:rsidR="005A4F4C">
        <w:t>New Zealand dollars using OECD purchasing power parities (PPP)</w:t>
      </w:r>
      <w:r w:rsidR="001B07FA">
        <w:t xml:space="preserve"> </w:t>
      </w:r>
      <w:r w:rsidR="00AB7A4E">
        <w:t xml:space="preserve">and inflated to 2021 New Zealand dollars using </w:t>
      </w:r>
      <w:r w:rsidR="00242A5D">
        <w:t>average annual inflation (CPI) since 2000 published by the Reserve Bank (</w:t>
      </w:r>
      <w:r w:rsidR="008B615E">
        <w:t>2.15 percent per annum)</w:t>
      </w:r>
      <w:r w:rsidR="001B07FA">
        <w:t>.</w:t>
      </w:r>
    </w:p>
    <w:p w14:paraId="3D2329BD" w14:textId="15D543F1" w:rsidR="00E02218" w:rsidRDefault="001F0FD8" w:rsidP="00A13DCA">
      <w:pPr>
        <w:pStyle w:val="TableCaption"/>
      </w:pPr>
      <w:bookmarkStart w:id="138" w:name="_Toc98760578"/>
      <w:r w:rsidRPr="00D1180A">
        <w:t xml:space="preserve">Table </w:t>
      </w:r>
      <w:r w:rsidR="00443CD7">
        <w:fldChar w:fldCharType="begin"/>
      </w:r>
      <w:r w:rsidR="00443CD7">
        <w:instrText xml:space="preserve"> SEQ Table \* ARABIC </w:instrText>
      </w:r>
      <w:r w:rsidR="00443CD7">
        <w:fldChar w:fldCharType="separate"/>
      </w:r>
      <w:r w:rsidR="002C631E">
        <w:rPr>
          <w:noProof/>
        </w:rPr>
        <w:t>14</w:t>
      </w:r>
      <w:r w:rsidR="00443CD7">
        <w:rPr>
          <w:noProof/>
        </w:rPr>
        <w:fldChar w:fldCharType="end"/>
      </w:r>
      <w:r>
        <w:t xml:space="preserve"> Summary of cost-of-illness studies</w:t>
      </w:r>
      <w:bookmarkEnd w:id="138"/>
    </w:p>
    <w:tbl>
      <w:tblPr>
        <w:tblStyle w:val="TableDefault"/>
        <w:tblpPr w:leftFromText="180" w:rightFromText="180" w:vertAnchor="text" w:tblpX="851" w:tblpY="1"/>
        <w:tblOverlap w:val="never"/>
        <w:tblW w:w="13743" w:type="dxa"/>
        <w:tblInd w:w="0"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Look w:val="0460" w:firstRow="1" w:lastRow="1" w:firstColumn="0" w:lastColumn="0" w:noHBand="0" w:noVBand="1"/>
      </w:tblPr>
      <w:tblGrid>
        <w:gridCol w:w="1693"/>
        <w:gridCol w:w="1135"/>
        <w:gridCol w:w="855"/>
        <w:gridCol w:w="995"/>
        <w:gridCol w:w="1833"/>
        <w:gridCol w:w="1270"/>
        <w:gridCol w:w="2545"/>
        <w:gridCol w:w="1564"/>
        <w:gridCol w:w="1853"/>
      </w:tblGrid>
      <w:tr w:rsidR="00B50AF9" w:rsidRPr="00731CA6" w14:paraId="21B4E931" w14:textId="77777777" w:rsidTr="00A46D00">
        <w:trPr>
          <w:cnfStyle w:val="100000000000" w:firstRow="1" w:lastRow="0" w:firstColumn="0" w:lastColumn="0" w:oddVBand="0" w:evenVBand="0" w:oddHBand="0" w:evenHBand="0" w:firstRowFirstColumn="0" w:firstRowLastColumn="0" w:lastRowFirstColumn="0" w:lastRowLastColumn="0"/>
          <w:cantSplit/>
        </w:trPr>
        <w:tc>
          <w:tcPr>
            <w:tcW w:w="616" w:type="pct"/>
          </w:tcPr>
          <w:p w14:paraId="04E3CF7B" w14:textId="77777777" w:rsidR="00F16F95" w:rsidRPr="006269D4" w:rsidRDefault="00F16F95" w:rsidP="00A13DCA">
            <w:pPr>
              <w:pStyle w:val="TSTableHeadingWhite-TopRow"/>
              <w:ind w:left="37"/>
              <w:rPr>
                <w:rFonts w:cs="Calibri"/>
                <w:sz w:val="16"/>
                <w:szCs w:val="16"/>
              </w:rPr>
            </w:pPr>
            <w:r w:rsidRPr="006269D4">
              <w:rPr>
                <w:rFonts w:cs="Calibri"/>
                <w:bCs/>
                <w:color w:val="FFFFFF" w:themeColor="background1"/>
                <w:sz w:val="16"/>
                <w:szCs w:val="16"/>
              </w:rPr>
              <w:t>Risk factor or condition</w:t>
            </w:r>
            <w:r>
              <w:rPr>
                <w:rFonts w:cs="Calibri"/>
                <w:bCs/>
                <w:color w:val="FFFFFF" w:themeColor="background1"/>
                <w:sz w:val="16"/>
                <w:szCs w:val="16"/>
              </w:rPr>
              <w:t xml:space="preserve"> </w:t>
            </w:r>
          </w:p>
        </w:tc>
        <w:tc>
          <w:tcPr>
            <w:tcW w:w="413" w:type="pct"/>
          </w:tcPr>
          <w:p w14:paraId="329B516A" w14:textId="77777777" w:rsidR="00F16F95" w:rsidRPr="006269D4" w:rsidRDefault="00F16F95" w:rsidP="00A13DCA">
            <w:pPr>
              <w:pStyle w:val="TSTableHeadingWhite-TopRow"/>
              <w:rPr>
                <w:rFonts w:cs="Calibri"/>
                <w:sz w:val="16"/>
                <w:szCs w:val="16"/>
              </w:rPr>
            </w:pPr>
            <w:r w:rsidRPr="006269D4">
              <w:rPr>
                <w:rFonts w:cs="Calibri"/>
                <w:bCs/>
                <w:color w:val="FFFFFF" w:themeColor="background1"/>
                <w:sz w:val="16"/>
                <w:szCs w:val="16"/>
              </w:rPr>
              <w:t>Reference</w:t>
            </w:r>
          </w:p>
        </w:tc>
        <w:tc>
          <w:tcPr>
            <w:tcW w:w="311" w:type="pct"/>
          </w:tcPr>
          <w:p w14:paraId="0B8F1E09" w14:textId="77777777" w:rsidR="00F16F95" w:rsidRPr="006269D4" w:rsidRDefault="00F16F95" w:rsidP="00A13DCA">
            <w:pPr>
              <w:pStyle w:val="TSTableHeadingWhite-TopRow"/>
              <w:rPr>
                <w:rFonts w:cs="Calibri"/>
                <w:sz w:val="16"/>
                <w:szCs w:val="16"/>
              </w:rPr>
            </w:pPr>
            <w:r w:rsidRPr="006269D4">
              <w:rPr>
                <w:rFonts w:cs="Calibri"/>
                <w:bCs/>
                <w:color w:val="FFFFFF" w:themeColor="background1"/>
                <w:sz w:val="16"/>
                <w:szCs w:val="16"/>
              </w:rPr>
              <w:t>Year of data</w:t>
            </w:r>
          </w:p>
        </w:tc>
        <w:tc>
          <w:tcPr>
            <w:tcW w:w="362" w:type="pct"/>
          </w:tcPr>
          <w:p w14:paraId="0C800089" w14:textId="03052613" w:rsidR="00F16F95" w:rsidRPr="006269D4" w:rsidRDefault="00F16F95" w:rsidP="00A13DCA">
            <w:pPr>
              <w:pStyle w:val="TSTableHeadingWhite-TopRow"/>
              <w:rPr>
                <w:rFonts w:cs="Calibri"/>
                <w:bCs/>
                <w:color w:val="FFFFFF" w:themeColor="background1"/>
                <w:sz w:val="16"/>
                <w:szCs w:val="16"/>
              </w:rPr>
            </w:pPr>
            <w:r w:rsidRPr="16D27A16">
              <w:rPr>
                <w:rFonts w:cs="Calibri"/>
                <w:color w:val="FFFFFF" w:themeColor="background2"/>
                <w:sz w:val="16"/>
                <w:szCs w:val="16"/>
              </w:rPr>
              <w:t xml:space="preserve">Year and currency of </w:t>
            </w:r>
            <w:r w:rsidR="00896320" w:rsidRPr="16D27A16">
              <w:rPr>
                <w:rFonts w:cs="Calibri"/>
                <w:color w:val="FFFFFF" w:themeColor="background2"/>
                <w:sz w:val="16"/>
                <w:szCs w:val="16"/>
              </w:rPr>
              <w:t>reported monetary</w:t>
            </w:r>
            <w:r w:rsidRPr="16D27A16">
              <w:rPr>
                <w:rFonts w:cs="Calibri"/>
                <w:color w:val="FFFFFF" w:themeColor="background2"/>
                <w:sz w:val="16"/>
                <w:szCs w:val="16"/>
              </w:rPr>
              <w:t xml:space="preserve"> values</w:t>
            </w:r>
          </w:p>
        </w:tc>
        <w:tc>
          <w:tcPr>
            <w:tcW w:w="667" w:type="pct"/>
          </w:tcPr>
          <w:p w14:paraId="25A14344" w14:textId="619152F9" w:rsidR="00F16F95" w:rsidRPr="006269D4" w:rsidRDefault="00F16F95" w:rsidP="00A13DCA">
            <w:pPr>
              <w:pStyle w:val="TSTableHeadingWhite-TopRow"/>
              <w:rPr>
                <w:rFonts w:cs="Calibri"/>
                <w:sz w:val="16"/>
                <w:szCs w:val="16"/>
              </w:rPr>
            </w:pPr>
            <w:r w:rsidRPr="16D27A16">
              <w:rPr>
                <w:rFonts w:cs="Calibri"/>
                <w:color w:val="FFFFFF" w:themeColor="background2"/>
                <w:sz w:val="16"/>
                <w:szCs w:val="16"/>
              </w:rPr>
              <w:t>Direct health system costs ($NZ</w:t>
            </w:r>
            <w:r w:rsidR="1CA2ADDB" w:rsidRPr="16D27A16">
              <w:rPr>
                <w:rFonts w:cs="Calibri"/>
                <w:color w:val="FFFFFF" w:themeColor="background2"/>
                <w:sz w:val="16"/>
                <w:szCs w:val="16"/>
              </w:rPr>
              <w:t xml:space="preserve"> 202</w:t>
            </w:r>
            <w:r w:rsidR="002B20B3">
              <w:rPr>
                <w:rFonts w:cs="Calibri"/>
                <w:color w:val="FFFFFF" w:themeColor="background2"/>
                <w:sz w:val="16"/>
                <w:szCs w:val="16"/>
              </w:rPr>
              <w:t>1</w:t>
            </w:r>
            <w:r w:rsidRPr="16D27A16">
              <w:rPr>
                <w:rFonts w:cs="Calibri"/>
                <w:color w:val="FFFFFF" w:themeColor="background2"/>
                <w:sz w:val="16"/>
                <w:szCs w:val="16"/>
              </w:rPr>
              <w:t>)</w:t>
            </w:r>
          </w:p>
        </w:tc>
        <w:tc>
          <w:tcPr>
            <w:tcW w:w="462" w:type="pct"/>
          </w:tcPr>
          <w:p w14:paraId="369E43B9" w14:textId="2E000CA3" w:rsidR="00F16F95" w:rsidRPr="00511D94" w:rsidRDefault="00F16F95" w:rsidP="00A13DCA">
            <w:pPr>
              <w:pStyle w:val="TSTableHeadingWhite-TopRow"/>
              <w:rPr>
                <w:rFonts w:cs="Calibri"/>
                <w:color w:val="FFFFFF" w:themeColor="background2"/>
                <w:sz w:val="16"/>
                <w:szCs w:val="16"/>
              </w:rPr>
            </w:pPr>
            <w:r w:rsidRPr="16D27A16">
              <w:rPr>
                <w:rFonts w:cs="Calibri"/>
                <w:color w:val="FFFFFF" w:themeColor="background2"/>
                <w:sz w:val="16"/>
                <w:szCs w:val="16"/>
              </w:rPr>
              <w:t>Indirect costs</w:t>
            </w:r>
            <w:r w:rsidR="00511D94">
              <w:rPr>
                <w:rFonts w:cs="Calibri"/>
                <w:color w:val="FFFFFF" w:themeColor="background2"/>
                <w:sz w:val="16"/>
                <w:szCs w:val="16"/>
              </w:rPr>
              <w:br/>
            </w:r>
            <w:r w:rsidRPr="16D27A16">
              <w:rPr>
                <w:rFonts w:cs="Calibri"/>
                <w:color w:val="FFFFFF" w:themeColor="background2"/>
                <w:sz w:val="16"/>
                <w:szCs w:val="16"/>
              </w:rPr>
              <w:t>($NZ</w:t>
            </w:r>
            <w:r w:rsidR="62DA28D9" w:rsidRPr="16D27A16">
              <w:rPr>
                <w:rFonts w:cs="Calibri"/>
                <w:color w:val="FFFFFF" w:themeColor="background2"/>
                <w:sz w:val="16"/>
                <w:szCs w:val="16"/>
              </w:rPr>
              <w:t xml:space="preserve"> 202</w:t>
            </w:r>
            <w:r w:rsidR="00AB7A4E">
              <w:rPr>
                <w:rFonts w:cs="Calibri"/>
                <w:color w:val="FFFFFF" w:themeColor="background2"/>
                <w:sz w:val="16"/>
                <w:szCs w:val="16"/>
              </w:rPr>
              <w:t>1</w:t>
            </w:r>
            <w:r w:rsidRPr="16D27A16">
              <w:rPr>
                <w:rFonts w:cs="Calibri"/>
                <w:color w:val="FFFFFF" w:themeColor="background2"/>
                <w:sz w:val="16"/>
                <w:szCs w:val="16"/>
              </w:rPr>
              <w:t>)</w:t>
            </w:r>
          </w:p>
        </w:tc>
        <w:tc>
          <w:tcPr>
            <w:tcW w:w="926" w:type="pct"/>
          </w:tcPr>
          <w:p w14:paraId="7098D6A3" w14:textId="29FCAECF" w:rsidR="00F16F95" w:rsidRPr="006269D4" w:rsidRDefault="00F16F95" w:rsidP="00A13DCA">
            <w:pPr>
              <w:pStyle w:val="TSTableHeadingWhite-TopRow"/>
              <w:rPr>
                <w:rFonts w:cs="Calibri"/>
                <w:bCs/>
                <w:color w:val="FFFFFF" w:themeColor="background1"/>
                <w:sz w:val="16"/>
                <w:szCs w:val="16"/>
              </w:rPr>
            </w:pPr>
            <w:r w:rsidRPr="16D27A16">
              <w:rPr>
                <w:rFonts w:cs="Calibri"/>
                <w:color w:val="FFFFFF" w:themeColor="background2"/>
                <w:sz w:val="16"/>
                <w:szCs w:val="16"/>
              </w:rPr>
              <w:t xml:space="preserve">Total societal </w:t>
            </w:r>
            <w:r w:rsidR="00896320" w:rsidRPr="16D27A16">
              <w:rPr>
                <w:rFonts w:cs="Calibri"/>
                <w:color w:val="FFFFFF" w:themeColor="background2"/>
                <w:sz w:val="16"/>
                <w:szCs w:val="16"/>
              </w:rPr>
              <w:t xml:space="preserve">cost </w:t>
            </w:r>
            <w:r w:rsidR="00317221">
              <w:rPr>
                <w:rFonts w:cs="Calibri"/>
                <w:color w:val="FFFFFF" w:themeColor="background2"/>
                <w:sz w:val="16"/>
                <w:szCs w:val="16"/>
              </w:rPr>
              <w:br/>
            </w:r>
            <w:r w:rsidR="00896320" w:rsidRPr="16D27A16">
              <w:rPr>
                <w:rFonts w:cs="Calibri"/>
                <w:color w:val="FFFFFF" w:themeColor="background2"/>
                <w:sz w:val="16"/>
                <w:szCs w:val="16"/>
              </w:rPr>
              <w:t>(</w:t>
            </w:r>
            <w:r w:rsidR="38A3E86B" w:rsidRPr="16D27A16">
              <w:rPr>
                <w:rFonts w:cs="Calibri"/>
                <w:color w:val="FFFFFF" w:themeColor="background2"/>
                <w:sz w:val="16"/>
                <w:szCs w:val="16"/>
              </w:rPr>
              <w:t>$NZ 202</w:t>
            </w:r>
            <w:r w:rsidR="009B585A">
              <w:rPr>
                <w:rFonts w:cs="Calibri"/>
                <w:color w:val="FFFFFF" w:themeColor="background2"/>
                <w:sz w:val="16"/>
                <w:szCs w:val="16"/>
              </w:rPr>
              <w:t>1</w:t>
            </w:r>
            <w:r w:rsidR="38A3E86B" w:rsidRPr="16D27A16">
              <w:rPr>
                <w:rFonts w:cs="Calibri"/>
                <w:color w:val="FFFFFF" w:themeColor="background2"/>
                <w:sz w:val="16"/>
                <w:szCs w:val="16"/>
              </w:rPr>
              <w:t>)</w:t>
            </w:r>
          </w:p>
        </w:tc>
        <w:tc>
          <w:tcPr>
            <w:tcW w:w="569" w:type="pct"/>
          </w:tcPr>
          <w:p w14:paraId="326F2187" w14:textId="77777777" w:rsidR="00F16F95" w:rsidRPr="006269D4" w:rsidRDefault="00F16F95" w:rsidP="00A13DCA">
            <w:pPr>
              <w:pStyle w:val="TSTableHeadingWhite-TopRow"/>
              <w:rPr>
                <w:rFonts w:cs="Calibri"/>
                <w:sz w:val="16"/>
                <w:szCs w:val="16"/>
              </w:rPr>
            </w:pPr>
            <w:r w:rsidRPr="006269D4">
              <w:rPr>
                <w:rFonts w:cs="Calibri"/>
                <w:bCs/>
                <w:color w:val="FFFFFF" w:themeColor="background1"/>
                <w:sz w:val="16"/>
                <w:szCs w:val="16"/>
              </w:rPr>
              <w:t>Approach</w:t>
            </w:r>
          </w:p>
        </w:tc>
        <w:tc>
          <w:tcPr>
            <w:tcW w:w="674" w:type="pct"/>
          </w:tcPr>
          <w:p w14:paraId="6C660AB0" w14:textId="77777777" w:rsidR="00F16F95" w:rsidRPr="006269D4" w:rsidRDefault="00F16F95" w:rsidP="00A13DCA">
            <w:pPr>
              <w:pStyle w:val="TSTableHeadingWhite-TopRow"/>
              <w:rPr>
                <w:rFonts w:cs="Calibri"/>
                <w:sz w:val="16"/>
                <w:szCs w:val="16"/>
              </w:rPr>
            </w:pPr>
            <w:r w:rsidRPr="006269D4">
              <w:rPr>
                <w:rFonts w:cs="Calibri"/>
                <w:bCs/>
                <w:color w:val="FFFFFF" w:themeColor="background1"/>
                <w:sz w:val="16"/>
                <w:szCs w:val="16"/>
              </w:rPr>
              <w:t>Perspective</w:t>
            </w:r>
          </w:p>
        </w:tc>
      </w:tr>
      <w:tr w:rsidR="00B50AF9" w:rsidRPr="00731CA6" w14:paraId="1E5C99B8" w14:textId="77777777" w:rsidTr="00A46D00">
        <w:trPr>
          <w:cantSplit/>
        </w:trPr>
        <w:tc>
          <w:tcPr>
            <w:tcW w:w="5000" w:type="pct"/>
            <w:gridSpan w:val="9"/>
          </w:tcPr>
          <w:p w14:paraId="6D70E05F" w14:textId="135CC1AE" w:rsidR="00F220E8" w:rsidRPr="00F220E8" w:rsidRDefault="00F220E8" w:rsidP="00A13DCA">
            <w:pPr>
              <w:pStyle w:val="TSBodyText"/>
              <w:rPr>
                <w:rFonts w:cs="Calibri"/>
                <w:b/>
                <w:bCs/>
                <w:sz w:val="20"/>
                <w:szCs w:val="20"/>
              </w:rPr>
            </w:pPr>
            <w:r w:rsidRPr="00F220E8">
              <w:rPr>
                <w:rFonts w:cs="Calibri"/>
                <w:b/>
                <w:bCs/>
                <w:sz w:val="20"/>
                <w:szCs w:val="20"/>
              </w:rPr>
              <w:t>New Zealand evidence</w:t>
            </w:r>
          </w:p>
        </w:tc>
      </w:tr>
      <w:tr w:rsidR="00B50AF9" w:rsidRPr="00731CA6" w14:paraId="6224E8A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3462BBF7" w14:textId="77777777" w:rsidR="00BE36F1" w:rsidRPr="006269D4" w:rsidRDefault="00BE36F1" w:rsidP="00A13DCA">
            <w:pPr>
              <w:pStyle w:val="TSBodyText"/>
              <w:rPr>
                <w:rFonts w:cs="Calibri"/>
                <w:sz w:val="16"/>
                <w:szCs w:val="16"/>
              </w:rPr>
            </w:pPr>
            <w:r w:rsidRPr="006269D4">
              <w:rPr>
                <w:rFonts w:cs="Calibri"/>
                <w:sz w:val="16"/>
                <w:szCs w:val="16"/>
              </w:rPr>
              <w:t>Physical inactivity</w:t>
            </w:r>
          </w:p>
        </w:tc>
        <w:tc>
          <w:tcPr>
            <w:tcW w:w="413" w:type="pct"/>
          </w:tcPr>
          <w:p w14:paraId="4AD1D14A" w14:textId="77777777" w:rsidR="00BE36F1" w:rsidRPr="006269D4" w:rsidRDefault="00BE36F1" w:rsidP="00A13DCA">
            <w:pPr>
              <w:pStyle w:val="TSBodyText"/>
              <w:rPr>
                <w:rFonts w:cs="Calibri"/>
                <w:sz w:val="16"/>
                <w:szCs w:val="16"/>
              </w:rPr>
            </w:pPr>
            <w:r w:rsidRPr="006269D4">
              <w:rPr>
                <w:rFonts w:cs="Calibri"/>
                <w:sz w:val="16"/>
                <w:szCs w:val="16"/>
              </w:rPr>
              <w:t>Market Economics 2013</w:t>
            </w:r>
          </w:p>
        </w:tc>
        <w:tc>
          <w:tcPr>
            <w:tcW w:w="311" w:type="pct"/>
          </w:tcPr>
          <w:p w14:paraId="6E56E690" w14:textId="77777777" w:rsidR="00BE36F1" w:rsidRPr="006269D4" w:rsidRDefault="00BE36F1" w:rsidP="00A13DCA">
            <w:pPr>
              <w:pStyle w:val="TSBodyText"/>
              <w:rPr>
                <w:rFonts w:cs="Calibri"/>
                <w:sz w:val="16"/>
                <w:szCs w:val="16"/>
              </w:rPr>
            </w:pPr>
            <w:r w:rsidRPr="006269D4">
              <w:rPr>
                <w:rFonts w:cs="Calibri"/>
                <w:sz w:val="16"/>
                <w:szCs w:val="16"/>
              </w:rPr>
              <w:t>2009-2010</w:t>
            </w:r>
          </w:p>
        </w:tc>
        <w:tc>
          <w:tcPr>
            <w:tcW w:w="362" w:type="pct"/>
          </w:tcPr>
          <w:p w14:paraId="16D8049F" w14:textId="310E50E0" w:rsidR="00BE36F1" w:rsidRPr="006269D4" w:rsidRDefault="00BE36F1" w:rsidP="00A13DCA">
            <w:pPr>
              <w:pStyle w:val="TSBodyText"/>
              <w:rPr>
                <w:rFonts w:cs="Calibri"/>
                <w:sz w:val="16"/>
                <w:szCs w:val="16"/>
              </w:rPr>
            </w:pPr>
            <w:r>
              <w:rPr>
                <w:rFonts w:cs="Calibri"/>
                <w:sz w:val="16"/>
                <w:szCs w:val="16"/>
              </w:rPr>
              <w:t xml:space="preserve">NZD </w:t>
            </w:r>
            <w:r w:rsidRPr="006269D4">
              <w:rPr>
                <w:rFonts w:cs="Calibri"/>
                <w:sz w:val="16"/>
                <w:szCs w:val="16"/>
              </w:rPr>
              <w:t>2010</w:t>
            </w:r>
          </w:p>
        </w:tc>
        <w:tc>
          <w:tcPr>
            <w:tcW w:w="667" w:type="pct"/>
          </w:tcPr>
          <w:p w14:paraId="78360739" w14:textId="41BA1808" w:rsidR="00BE36F1" w:rsidRPr="006269D4" w:rsidRDefault="00BE36F1" w:rsidP="00A13DCA">
            <w:pPr>
              <w:pStyle w:val="TSBodyText"/>
              <w:rPr>
                <w:rFonts w:cs="Calibri"/>
                <w:sz w:val="16"/>
                <w:szCs w:val="16"/>
              </w:rPr>
            </w:pPr>
            <w:r w:rsidRPr="006269D4">
              <w:rPr>
                <w:rFonts w:cs="Calibri"/>
                <w:sz w:val="16"/>
                <w:szCs w:val="16"/>
              </w:rPr>
              <w:t>$</w:t>
            </w:r>
            <w:r>
              <w:rPr>
                <w:rFonts w:cs="Calibri"/>
                <w:sz w:val="16"/>
                <w:szCs w:val="16"/>
              </w:rPr>
              <w:t>776</w:t>
            </w:r>
            <w:r w:rsidRPr="006269D4">
              <w:rPr>
                <w:rFonts w:cs="Calibri"/>
                <w:sz w:val="16"/>
                <w:szCs w:val="16"/>
              </w:rPr>
              <w:t>m</w:t>
            </w:r>
          </w:p>
        </w:tc>
        <w:tc>
          <w:tcPr>
            <w:tcW w:w="462" w:type="pct"/>
          </w:tcPr>
          <w:p w14:paraId="4BC01024" w14:textId="6AC6F1BB" w:rsidR="00BE36F1" w:rsidRPr="006269D4" w:rsidRDefault="00BE36F1" w:rsidP="00A13DCA">
            <w:pPr>
              <w:pStyle w:val="TSBodyText"/>
              <w:rPr>
                <w:rFonts w:cs="Calibri"/>
                <w:sz w:val="16"/>
                <w:szCs w:val="16"/>
              </w:rPr>
            </w:pPr>
            <w:r w:rsidRPr="006269D4">
              <w:rPr>
                <w:rFonts w:cs="Calibri"/>
                <w:sz w:val="16"/>
                <w:szCs w:val="16"/>
              </w:rPr>
              <w:t>$</w:t>
            </w:r>
            <w:r>
              <w:rPr>
                <w:rFonts w:cs="Calibri"/>
                <w:sz w:val="16"/>
                <w:szCs w:val="16"/>
              </w:rPr>
              <w:t>835</w:t>
            </w:r>
            <w:r w:rsidRPr="006269D4">
              <w:rPr>
                <w:rFonts w:cs="Calibri"/>
                <w:sz w:val="16"/>
                <w:szCs w:val="16"/>
              </w:rPr>
              <w:t>m</w:t>
            </w:r>
          </w:p>
        </w:tc>
        <w:tc>
          <w:tcPr>
            <w:tcW w:w="926" w:type="pct"/>
          </w:tcPr>
          <w:p w14:paraId="2238076D" w14:textId="1234978A" w:rsidR="00BE36F1" w:rsidRPr="006269D4" w:rsidRDefault="00BE36F1" w:rsidP="00A13DCA">
            <w:pPr>
              <w:pStyle w:val="TSBodyText"/>
              <w:rPr>
                <w:rFonts w:cs="Calibri"/>
                <w:sz w:val="16"/>
                <w:szCs w:val="16"/>
              </w:rPr>
            </w:pPr>
            <w:r w:rsidRPr="006269D4">
              <w:rPr>
                <w:rFonts w:cs="Calibri"/>
                <w:sz w:val="16"/>
                <w:szCs w:val="16"/>
              </w:rPr>
              <w:t>$1.</w:t>
            </w:r>
            <w:r>
              <w:rPr>
                <w:rFonts w:cs="Calibri"/>
                <w:sz w:val="16"/>
                <w:szCs w:val="16"/>
              </w:rPr>
              <w:t>6</w:t>
            </w:r>
            <w:r w:rsidRPr="006269D4">
              <w:rPr>
                <w:rFonts w:cs="Calibri"/>
                <w:sz w:val="16"/>
                <w:szCs w:val="16"/>
              </w:rPr>
              <w:t>b</w:t>
            </w:r>
          </w:p>
        </w:tc>
        <w:tc>
          <w:tcPr>
            <w:tcW w:w="569" w:type="pct"/>
          </w:tcPr>
          <w:p w14:paraId="5A81ABF9" w14:textId="77777777" w:rsidR="00BE36F1" w:rsidRPr="006269D4" w:rsidRDefault="00BE36F1" w:rsidP="00A13DCA">
            <w:pPr>
              <w:pStyle w:val="TSBodyText"/>
              <w:rPr>
                <w:rFonts w:cs="Calibri"/>
                <w:sz w:val="16"/>
                <w:szCs w:val="16"/>
              </w:rPr>
            </w:pPr>
            <w:r>
              <w:rPr>
                <w:rFonts w:cs="Calibri"/>
                <w:sz w:val="16"/>
                <w:szCs w:val="16"/>
              </w:rPr>
              <w:t>Prevalence based</w:t>
            </w:r>
          </w:p>
          <w:p w14:paraId="3BAF6552" w14:textId="18176813" w:rsidR="00BE36F1" w:rsidRPr="006269D4" w:rsidRDefault="00BE36F1" w:rsidP="00A13DCA">
            <w:pPr>
              <w:pStyle w:val="TSBodyText"/>
              <w:rPr>
                <w:rFonts w:cs="Calibri"/>
                <w:sz w:val="16"/>
                <w:szCs w:val="16"/>
              </w:rPr>
            </w:pPr>
            <w:r w:rsidRPr="006269D4">
              <w:rPr>
                <w:rFonts w:cs="Calibri"/>
                <w:sz w:val="16"/>
                <w:szCs w:val="16"/>
              </w:rPr>
              <w:t>Top</w:t>
            </w:r>
            <w:r>
              <w:rPr>
                <w:rFonts w:cs="Calibri"/>
                <w:sz w:val="16"/>
                <w:szCs w:val="16"/>
              </w:rPr>
              <w:t>-</w:t>
            </w:r>
            <w:r w:rsidRPr="006269D4">
              <w:rPr>
                <w:rFonts w:cs="Calibri"/>
                <w:sz w:val="16"/>
                <w:szCs w:val="16"/>
              </w:rPr>
              <w:t>down gross costing</w:t>
            </w:r>
          </w:p>
        </w:tc>
        <w:tc>
          <w:tcPr>
            <w:tcW w:w="674" w:type="pct"/>
          </w:tcPr>
          <w:p w14:paraId="52CEC9EA" w14:textId="77777777" w:rsidR="00BE36F1" w:rsidRPr="006269D4" w:rsidRDefault="00BE36F1" w:rsidP="00A13DCA">
            <w:pPr>
              <w:pStyle w:val="TSBodyText"/>
              <w:rPr>
                <w:rFonts w:cs="Calibri"/>
                <w:sz w:val="16"/>
                <w:szCs w:val="16"/>
              </w:rPr>
            </w:pPr>
            <w:r w:rsidRPr="006269D4">
              <w:rPr>
                <w:rFonts w:cs="Calibri"/>
                <w:sz w:val="16"/>
                <w:szCs w:val="16"/>
              </w:rPr>
              <w:t>Societal</w:t>
            </w:r>
          </w:p>
        </w:tc>
      </w:tr>
      <w:tr w:rsidR="00B50AF9" w:rsidRPr="00731CA6" w14:paraId="3000CFEF" w14:textId="77777777" w:rsidTr="00A46D00">
        <w:trPr>
          <w:cantSplit/>
        </w:trPr>
        <w:tc>
          <w:tcPr>
            <w:tcW w:w="616" w:type="pct"/>
          </w:tcPr>
          <w:p w14:paraId="3CFE35EB" w14:textId="77777777" w:rsidR="00BE36F1" w:rsidRPr="006269D4" w:rsidRDefault="00BE36F1" w:rsidP="00A13DCA">
            <w:pPr>
              <w:pStyle w:val="TSBodyText"/>
              <w:rPr>
                <w:rFonts w:cs="Calibri"/>
                <w:sz w:val="16"/>
                <w:szCs w:val="16"/>
              </w:rPr>
            </w:pPr>
            <w:r w:rsidRPr="006269D4">
              <w:rPr>
                <w:rFonts w:cs="Calibri"/>
                <w:sz w:val="16"/>
                <w:szCs w:val="16"/>
              </w:rPr>
              <w:t>Physical inactivity</w:t>
            </w:r>
          </w:p>
        </w:tc>
        <w:tc>
          <w:tcPr>
            <w:tcW w:w="413" w:type="pct"/>
          </w:tcPr>
          <w:p w14:paraId="7F675DBF" w14:textId="73FAEA41" w:rsidR="00BE36F1" w:rsidRPr="006269D4" w:rsidRDefault="00BE36F1" w:rsidP="00A13DCA">
            <w:pPr>
              <w:pStyle w:val="TSBodyText"/>
              <w:rPr>
                <w:rFonts w:cs="Calibri"/>
                <w:sz w:val="16"/>
                <w:szCs w:val="16"/>
              </w:rPr>
            </w:pPr>
            <w:r w:rsidRPr="006269D4">
              <w:rPr>
                <w:rFonts w:cs="Calibri"/>
                <w:sz w:val="16"/>
                <w:szCs w:val="16"/>
              </w:rPr>
              <w:t>Mizdrak et al. 2019</w:t>
            </w:r>
          </w:p>
        </w:tc>
        <w:tc>
          <w:tcPr>
            <w:tcW w:w="311" w:type="pct"/>
          </w:tcPr>
          <w:p w14:paraId="3B845F60" w14:textId="77777777" w:rsidR="00BE36F1" w:rsidRPr="006269D4" w:rsidRDefault="00BE36F1" w:rsidP="00A13DCA">
            <w:pPr>
              <w:pStyle w:val="TSBodyText"/>
              <w:rPr>
                <w:rFonts w:cs="Calibri"/>
                <w:sz w:val="16"/>
                <w:szCs w:val="16"/>
              </w:rPr>
            </w:pPr>
            <w:r w:rsidRPr="006269D4">
              <w:rPr>
                <w:rFonts w:cs="Calibri"/>
                <w:sz w:val="16"/>
                <w:szCs w:val="16"/>
              </w:rPr>
              <w:t>2003-2012</w:t>
            </w:r>
          </w:p>
        </w:tc>
        <w:tc>
          <w:tcPr>
            <w:tcW w:w="362" w:type="pct"/>
          </w:tcPr>
          <w:p w14:paraId="604BAA6F" w14:textId="7994B820" w:rsidR="00BE36F1" w:rsidRPr="006269D4" w:rsidRDefault="00BE36F1" w:rsidP="00A13DCA">
            <w:pPr>
              <w:pStyle w:val="TSBodyText"/>
              <w:rPr>
                <w:rFonts w:cs="Calibri"/>
                <w:sz w:val="16"/>
                <w:szCs w:val="16"/>
              </w:rPr>
            </w:pPr>
            <w:r>
              <w:rPr>
                <w:rFonts w:cs="Calibri"/>
                <w:sz w:val="16"/>
                <w:szCs w:val="16"/>
              </w:rPr>
              <w:t xml:space="preserve">NZD </w:t>
            </w:r>
            <w:r w:rsidRPr="006269D4">
              <w:rPr>
                <w:rFonts w:cs="Calibri"/>
                <w:sz w:val="16"/>
                <w:szCs w:val="16"/>
              </w:rPr>
              <w:t xml:space="preserve">2011 </w:t>
            </w:r>
          </w:p>
        </w:tc>
        <w:tc>
          <w:tcPr>
            <w:tcW w:w="667" w:type="pct"/>
          </w:tcPr>
          <w:p w14:paraId="51D645E1" w14:textId="315C0AC3" w:rsidR="00BE36F1" w:rsidRPr="006269D4" w:rsidRDefault="00BE36F1" w:rsidP="00A13DCA">
            <w:pPr>
              <w:pStyle w:val="TSBodyText"/>
              <w:rPr>
                <w:rFonts w:cs="Calibri"/>
                <w:sz w:val="16"/>
                <w:szCs w:val="16"/>
                <w:vertAlign w:val="superscript"/>
              </w:rPr>
            </w:pPr>
            <w:r w:rsidRPr="006269D4">
              <w:rPr>
                <w:rFonts w:cs="Calibri"/>
                <w:sz w:val="16"/>
                <w:szCs w:val="16"/>
              </w:rPr>
              <w:t>$</w:t>
            </w:r>
            <w:r>
              <w:rPr>
                <w:rFonts w:cs="Calibri"/>
                <w:sz w:val="16"/>
                <w:szCs w:val="16"/>
              </w:rPr>
              <w:t>15</w:t>
            </w:r>
            <w:r w:rsidRPr="006269D4">
              <w:rPr>
                <w:rFonts w:cs="Calibri"/>
                <w:sz w:val="16"/>
                <w:szCs w:val="16"/>
              </w:rPr>
              <w:t>7m to $2.</w:t>
            </w:r>
            <w:r>
              <w:rPr>
                <w:rFonts w:cs="Calibri"/>
                <w:sz w:val="16"/>
                <w:szCs w:val="16"/>
              </w:rPr>
              <w:t>6</w:t>
            </w:r>
            <w:r w:rsidRPr="006269D4">
              <w:rPr>
                <w:rFonts w:cs="Calibri"/>
                <w:sz w:val="16"/>
                <w:szCs w:val="16"/>
              </w:rPr>
              <w:t xml:space="preserve">b </w:t>
            </w:r>
          </w:p>
        </w:tc>
        <w:tc>
          <w:tcPr>
            <w:tcW w:w="462" w:type="pct"/>
          </w:tcPr>
          <w:p w14:paraId="2443B59C" w14:textId="77777777" w:rsidR="00BE36F1" w:rsidRPr="006269D4" w:rsidRDefault="00BE36F1" w:rsidP="00A13DCA">
            <w:pPr>
              <w:pStyle w:val="TSBodyText"/>
              <w:rPr>
                <w:rFonts w:cs="Calibri"/>
                <w:sz w:val="16"/>
                <w:szCs w:val="16"/>
              </w:rPr>
            </w:pPr>
          </w:p>
        </w:tc>
        <w:tc>
          <w:tcPr>
            <w:tcW w:w="926" w:type="pct"/>
          </w:tcPr>
          <w:p w14:paraId="549AF896" w14:textId="77777777" w:rsidR="00BE36F1" w:rsidRPr="006269D4" w:rsidRDefault="00BE36F1" w:rsidP="00A13DCA">
            <w:pPr>
              <w:pStyle w:val="TSBodyText"/>
              <w:rPr>
                <w:rFonts w:cs="Calibri"/>
                <w:sz w:val="16"/>
                <w:szCs w:val="16"/>
              </w:rPr>
            </w:pPr>
          </w:p>
        </w:tc>
        <w:tc>
          <w:tcPr>
            <w:tcW w:w="569" w:type="pct"/>
          </w:tcPr>
          <w:p w14:paraId="583F874E" w14:textId="77777777" w:rsidR="00BE36F1" w:rsidRDefault="00BE36F1" w:rsidP="00A13DCA">
            <w:pPr>
              <w:pStyle w:val="TSBodyText"/>
              <w:rPr>
                <w:rFonts w:cs="Calibri"/>
                <w:sz w:val="16"/>
                <w:szCs w:val="16"/>
              </w:rPr>
            </w:pPr>
            <w:r>
              <w:rPr>
                <w:rFonts w:cs="Calibri"/>
                <w:sz w:val="16"/>
                <w:szCs w:val="16"/>
              </w:rPr>
              <w:t>Incidence based</w:t>
            </w:r>
          </w:p>
          <w:p w14:paraId="18369BFF" w14:textId="77777777" w:rsidR="00BE36F1" w:rsidRPr="006269D4" w:rsidRDefault="00BE36F1" w:rsidP="00A13DCA">
            <w:pPr>
              <w:pStyle w:val="TSBodyText"/>
              <w:rPr>
                <w:rFonts w:cs="Calibri"/>
                <w:sz w:val="16"/>
                <w:szCs w:val="16"/>
              </w:rPr>
            </w:pPr>
            <w:r w:rsidRPr="006269D4">
              <w:rPr>
                <w:rFonts w:cs="Calibri"/>
                <w:sz w:val="16"/>
                <w:szCs w:val="16"/>
              </w:rPr>
              <w:t>Multi-state life table scenario modelling</w:t>
            </w:r>
          </w:p>
          <w:p w14:paraId="020B4541" w14:textId="0C4C84A2" w:rsidR="00BE36F1" w:rsidRPr="006269D4" w:rsidRDefault="00BE36F1" w:rsidP="00A13DCA">
            <w:pPr>
              <w:pStyle w:val="TSBodyText"/>
              <w:rPr>
                <w:rFonts w:cs="Calibri"/>
                <w:sz w:val="16"/>
                <w:szCs w:val="16"/>
              </w:rPr>
            </w:pPr>
            <w:r w:rsidRPr="006269D4">
              <w:rPr>
                <w:rFonts w:cs="Calibri"/>
                <w:sz w:val="16"/>
                <w:szCs w:val="16"/>
              </w:rPr>
              <w:t>Top</w:t>
            </w:r>
            <w:r>
              <w:rPr>
                <w:rFonts w:cs="Calibri"/>
                <w:sz w:val="16"/>
                <w:szCs w:val="16"/>
              </w:rPr>
              <w:t>-</w:t>
            </w:r>
            <w:r w:rsidRPr="006269D4">
              <w:rPr>
                <w:rFonts w:cs="Calibri"/>
                <w:sz w:val="16"/>
                <w:szCs w:val="16"/>
              </w:rPr>
              <w:t>down gross costing</w:t>
            </w:r>
          </w:p>
        </w:tc>
        <w:tc>
          <w:tcPr>
            <w:tcW w:w="674" w:type="pct"/>
          </w:tcPr>
          <w:p w14:paraId="056C8A43" w14:textId="77777777" w:rsidR="00BE36F1" w:rsidRPr="006269D4" w:rsidRDefault="00BE36F1" w:rsidP="00A13DCA">
            <w:pPr>
              <w:pStyle w:val="TSBodyText"/>
              <w:rPr>
                <w:rFonts w:cs="Calibri"/>
                <w:sz w:val="16"/>
                <w:szCs w:val="16"/>
              </w:rPr>
            </w:pPr>
            <w:r w:rsidRPr="006269D4">
              <w:rPr>
                <w:rFonts w:cs="Calibri"/>
                <w:sz w:val="16"/>
                <w:szCs w:val="16"/>
              </w:rPr>
              <w:t xml:space="preserve">Public health system </w:t>
            </w:r>
          </w:p>
        </w:tc>
      </w:tr>
      <w:tr w:rsidR="00B50AF9" w:rsidRPr="00731CA6" w14:paraId="322D2550"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2A35D903" w14:textId="77777777" w:rsidR="00BE36F1" w:rsidRPr="006269D4" w:rsidRDefault="00BE36F1" w:rsidP="00A13DCA">
            <w:pPr>
              <w:pStyle w:val="TSBodyText"/>
              <w:rPr>
                <w:rFonts w:cs="Calibri"/>
                <w:sz w:val="16"/>
                <w:szCs w:val="16"/>
              </w:rPr>
            </w:pPr>
            <w:r w:rsidRPr="006269D4">
              <w:rPr>
                <w:rFonts w:cs="Calibri"/>
                <w:sz w:val="16"/>
                <w:szCs w:val="16"/>
              </w:rPr>
              <w:t>Physical inactivity</w:t>
            </w:r>
          </w:p>
        </w:tc>
        <w:tc>
          <w:tcPr>
            <w:tcW w:w="413" w:type="pct"/>
          </w:tcPr>
          <w:p w14:paraId="6ED30079" w14:textId="2FC6AD81" w:rsidR="00BE36F1" w:rsidRPr="006269D4" w:rsidRDefault="00BE36F1" w:rsidP="00A13DCA">
            <w:pPr>
              <w:pStyle w:val="TSBodyText"/>
              <w:rPr>
                <w:rFonts w:cs="Calibri"/>
                <w:sz w:val="16"/>
                <w:szCs w:val="16"/>
              </w:rPr>
            </w:pPr>
            <w:r w:rsidRPr="006269D4">
              <w:rPr>
                <w:rFonts w:cs="Calibri"/>
                <w:sz w:val="16"/>
                <w:szCs w:val="16"/>
              </w:rPr>
              <w:t>Midzrak et al. 2021</w:t>
            </w:r>
          </w:p>
        </w:tc>
        <w:tc>
          <w:tcPr>
            <w:tcW w:w="311" w:type="pct"/>
          </w:tcPr>
          <w:p w14:paraId="2FC602E1" w14:textId="77777777" w:rsidR="00BE36F1" w:rsidRPr="006269D4" w:rsidRDefault="00BE36F1" w:rsidP="00A13DCA">
            <w:pPr>
              <w:pStyle w:val="TSBodyText"/>
              <w:rPr>
                <w:rFonts w:cs="Calibri"/>
                <w:sz w:val="16"/>
                <w:szCs w:val="16"/>
              </w:rPr>
            </w:pPr>
            <w:r w:rsidRPr="006269D4">
              <w:rPr>
                <w:rFonts w:cs="Calibri"/>
                <w:sz w:val="16"/>
                <w:szCs w:val="16"/>
              </w:rPr>
              <w:t>2003-2012</w:t>
            </w:r>
          </w:p>
        </w:tc>
        <w:tc>
          <w:tcPr>
            <w:tcW w:w="362" w:type="pct"/>
          </w:tcPr>
          <w:p w14:paraId="5A693699" w14:textId="36D304A4" w:rsidR="00BE36F1" w:rsidRPr="006269D4" w:rsidRDefault="00BE36F1" w:rsidP="00A13DCA">
            <w:pPr>
              <w:pStyle w:val="TSBodyText"/>
              <w:rPr>
                <w:rFonts w:cs="Calibri"/>
                <w:sz w:val="16"/>
                <w:szCs w:val="16"/>
              </w:rPr>
            </w:pPr>
            <w:r>
              <w:rPr>
                <w:rFonts w:cs="Calibri"/>
                <w:sz w:val="16"/>
                <w:szCs w:val="16"/>
              </w:rPr>
              <w:t xml:space="preserve">NZD </w:t>
            </w:r>
            <w:r w:rsidRPr="006269D4">
              <w:rPr>
                <w:rFonts w:cs="Calibri"/>
                <w:sz w:val="16"/>
                <w:szCs w:val="16"/>
              </w:rPr>
              <w:t>2011</w:t>
            </w:r>
          </w:p>
        </w:tc>
        <w:tc>
          <w:tcPr>
            <w:tcW w:w="667" w:type="pct"/>
          </w:tcPr>
          <w:p w14:paraId="116062A7" w14:textId="5EBC372E" w:rsidR="00BE36F1" w:rsidRPr="006269D4" w:rsidRDefault="00BE36F1" w:rsidP="00A13DCA">
            <w:pPr>
              <w:pStyle w:val="TSBodyText"/>
              <w:rPr>
                <w:rFonts w:cs="Calibri"/>
                <w:sz w:val="16"/>
                <w:szCs w:val="16"/>
              </w:rPr>
            </w:pPr>
            <w:r w:rsidRPr="006269D4">
              <w:rPr>
                <w:rFonts w:cs="Calibri"/>
                <w:sz w:val="16"/>
                <w:szCs w:val="16"/>
              </w:rPr>
              <w:t>$1.</w:t>
            </w:r>
            <w:r>
              <w:rPr>
                <w:rFonts w:cs="Calibri"/>
                <w:sz w:val="16"/>
                <w:szCs w:val="16"/>
              </w:rPr>
              <w:t>45</w:t>
            </w:r>
            <w:r w:rsidRPr="006269D4">
              <w:rPr>
                <w:rFonts w:cs="Calibri"/>
                <w:sz w:val="16"/>
                <w:szCs w:val="16"/>
              </w:rPr>
              <w:t>b to $</w:t>
            </w:r>
            <w:r>
              <w:rPr>
                <w:rFonts w:cs="Calibri"/>
                <w:sz w:val="16"/>
                <w:szCs w:val="16"/>
              </w:rPr>
              <w:t>3.1b</w:t>
            </w:r>
          </w:p>
        </w:tc>
        <w:tc>
          <w:tcPr>
            <w:tcW w:w="462" w:type="pct"/>
          </w:tcPr>
          <w:p w14:paraId="39B556B1" w14:textId="77777777" w:rsidR="00BE36F1" w:rsidRPr="006269D4" w:rsidRDefault="00BE36F1" w:rsidP="00A13DCA">
            <w:pPr>
              <w:pStyle w:val="TSBodyText"/>
              <w:rPr>
                <w:rFonts w:cs="Calibri"/>
                <w:sz w:val="16"/>
                <w:szCs w:val="16"/>
              </w:rPr>
            </w:pPr>
          </w:p>
        </w:tc>
        <w:tc>
          <w:tcPr>
            <w:tcW w:w="926" w:type="pct"/>
          </w:tcPr>
          <w:p w14:paraId="7CCB9CB6" w14:textId="77777777" w:rsidR="00BE36F1" w:rsidRPr="006269D4" w:rsidRDefault="00BE36F1" w:rsidP="00A13DCA">
            <w:pPr>
              <w:pStyle w:val="TSBodyText"/>
              <w:rPr>
                <w:rFonts w:cs="Calibri"/>
                <w:sz w:val="16"/>
                <w:szCs w:val="16"/>
              </w:rPr>
            </w:pPr>
          </w:p>
        </w:tc>
        <w:tc>
          <w:tcPr>
            <w:tcW w:w="569" w:type="pct"/>
          </w:tcPr>
          <w:p w14:paraId="2A47FF35" w14:textId="77777777" w:rsidR="00BE36F1" w:rsidRDefault="00BE36F1" w:rsidP="00A13DCA">
            <w:pPr>
              <w:pStyle w:val="TSBodyText"/>
              <w:rPr>
                <w:rFonts w:cs="Calibri"/>
                <w:sz w:val="16"/>
                <w:szCs w:val="16"/>
              </w:rPr>
            </w:pPr>
            <w:r>
              <w:rPr>
                <w:rFonts w:cs="Calibri"/>
                <w:sz w:val="16"/>
                <w:szCs w:val="16"/>
              </w:rPr>
              <w:t>Incidence based</w:t>
            </w:r>
          </w:p>
          <w:p w14:paraId="27166F4B" w14:textId="77777777" w:rsidR="00BE36F1" w:rsidRPr="006269D4" w:rsidRDefault="00BE36F1" w:rsidP="00A13DCA">
            <w:pPr>
              <w:pStyle w:val="TSBodyText"/>
              <w:rPr>
                <w:rFonts w:cs="Calibri"/>
                <w:sz w:val="16"/>
                <w:szCs w:val="16"/>
              </w:rPr>
            </w:pPr>
            <w:r w:rsidRPr="006269D4">
              <w:rPr>
                <w:rFonts w:cs="Calibri"/>
                <w:sz w:val="16"/>
                <w:szCs w:val="16"/>
              </w:rPr>
              <w:t>Multi-state life table scenario modelling</w:t>
            </w:r>
          </w:p>
          <w:p w14:paraId="22B85E53" w14:textId="735039DA" w:rsidR="00BE36F1" w:rsidRPr="006269D4" w:rsidRDefault="00BE36F1" w:rsidP="00A13DCA">
            <w:pPr>
              <w:pStyle w:val="TSBodyText"/>
              <w:rPr>
                <w:rFonts w:cs="Calibri"/>
                <w:sz w:val="16"/>
                <w:szCs w:val="16"/>
              </w:rPr>
            </w:pPr>
            <w:r w:rsidRPr="006269D4">
              <w:rPr>
                <w:rFonts w:cs="Calibri"/>
                <w:sz w:val="16"/>
                <w:szCs w:val="16"/>
              </w:rPr>
              <w:t>Top</w:t>
            </w:r>
            <w:r>
              <w:rPr>
                <w:rFonts w:cs="Calibri"/>
                <w:sz w:val="16"/>
                <w:szCs w:val="16"/>
              </w:rPr>
              <w:t>-</w:t>
            </w:r>
            <w:r w:rsidRPr="006269D4">
              <w:rPr>
                <w:rFonts w:cs="Calibri"/>
                <w:sz w:val="16"/>
                <w:szCs w:val="16"/>
              </w:rPr>
              <w:t>down gross costing</w:t>
            </w:r>
          </w:p>
        </w:tc>
        <w:tc>
          <w:tcPr>
            <w:tcW w:w="674" w:type="pct"/>
          </w:tcPr>
          <w:p w14:paraId="160753F9" w14:textId="77777777" w:rsidR="00BE36F1" w:rsidRPr="006269D4" w:rsidRDefault="00BE36F1" w:rsidP="00A13DCA">
            <w:pPr>
              <w:pStyle w:val="TSBodyText"/>
              <w:rPr>
                <w:rFonts w:cs="Calibri"/>
                <w:sz w:val="16"/>
                <w:szCs w:val="16"/>
              </w:rPr>
            </w:pPr>
            <w:r w:rsidRPr="006269D4">
              <w:rPr>
                <w:rFonts w:cs="Calibri"/>
                <w:sz w:val="16"/>
                <w:szCs w:val="16"/>
              </w:rPr>
              <w:t>Public health system</w:t>
            </w:r>
          </w:p>
        </w:tc>
      </w:tr>
      <w:tr w:rsidR="00B50AF9" w:rsidRPr="00731CA6" w14:paraId="5D9C812F" w14:textId="77777777" w:rsidTr="00A46D00">
        <w:trPr>
          <w:cantSplit/>
        </w:trPr>
        <w:tc>
          <w:tcPr>
            <w:tcW w:w="616" w:type="pct"/>
          </w:tcPr>
          <w:p w14:paraId="08FD4E33" w14:textId="77777777" w:rsidR="00BE36F1" w:rsidRPr="006269D4" w:rsidRDefault="00BE36F1" w:rsidP="00A13DCA">
            <w:pPr>
              <w:pStyle w:val="TSBodyText"/>
              <w:rPr>
                <w:rFonts w:cs="Calibri"/>
                <w:sz w:val="16"/>
                <w:szCs w:val="16"/>
              </w:rPr>
            </w:pPr>
            <w:r w:rsidRPr="006269D4">
              <w:rPr>
                <w:rFonts w:cs="Calibri"/>
                <w:sz w:val="16"/>
                <w:szCs w:val="16"/>
              </w:rPr>
              <w:t>Unhealthy diet</w:t>
            </w:r>
          </w:p>
        </w:tc>
        <w:tc>
          <w:tcPr>
            <w:tcW w:w="413" w:type="pct"/>
          </w:tcPr>
          <w:p w14:paraId="78ADAFB9" w14:textId="77777777" w:rsidR="00BE36F1" w:rsidRPr="006269D4" w:rsidRDefault="00BE36F1" w:rsidP="00A13DCA">
            <w:pPr>
              <w:pStyle w:val="TSBodyText"/>
              <w:rPr>
                <w:rFonts w:cs="Calibri"/>
                <w:sz w:val="16"/>
                <w:szCs w:val="16"/>
              </w:rPr>
            </w:pPr>
            <w:r w:rsidRPr="006269D4">
              <w:rPr>
                <w:rFonts w:cs="Calibri"/>
                <w:sz w:val="16"/>
                <w:szCs w:val="16"/>
              </w:rPr>
              <w:t>Ngheim et al. 2015a</w:t>
            </w:r>
          </w:p>
        </w:tc>
        <w:tc>
          <w:tcPr>
            <w:tcW w:w="311" w:type="pct"/>
          </w:tcPr>
          <w:p w14:paraId="3A3B4B10" w14:textId="77777777" w:rsidR="00BE36F1" w:rsidRPr="006269D4" w:rsidRDefault="00BE36F1" w:rsidP="00A13DCA">
            <w:pPr>
              <w:pStyle w:val="TSBodyText"/>
              <w:rPr>
                <w:rFonts w:cs="Calibri"/>
                <w:sz w:val="16"/>
                <w:szCs w:val="16"/>
              </w:rPr>
            </w:pPr>
            <w:r w:rsidRPr="006269D4">
              <w:rPr>
                <w:rFonts w:cs="Calibri"/>
                <w:sz w:val="16"/>
                <w:szCs w:val="16"/>
              </w:rPr>
              <w:t>2011</w:t>
            </w:r>
          </w:p>
        </w:tc>
        <w:tc>
          <w:tcPr>
            <w:tcW w:w="362" w:type="pct"/>
          </w:tcPr>
          <w:p w14:paraId="0FBB6C39" w14:textId="7249159E" w:rsidR="00BE36F1" w:rsidRPr="006269D4" w:rsidRDefault="00BE36F1" w:rsidP="00A13DCA">
            <w:pPr>
              <w:pStyle w:val="TSBodyText"/>
              <w:rPr>
                <w:rFonts w:cs="Calibri"/>
                <w:sz w:val="16"/>
                <w:szCs w:val="16"/>
              </w:rPr>
            </w:pPr>
            <w:r>
              <w:rPr>
                <w:rFonts w:cs="Calibri"/>
                <w:sz w:val="16"/>
                <w:szCs w:val="16"/>
              </w:rPr>
              <w:t xml:space="preserve">NZD </w:t>
            </w:r>
            <w:r w:rsidRPr="006269D4">
              <w:rPr>
                <w:rFonts w:cs="Calibri"/>
                <w:sz w:val="16"/>
                <w:szCs w:val="16"/>
              </w:rPr>
              <w:t xml:space="preserve">2011 </w:t>
            </w:r>
          </w:p>
        </w:tc>
        <w:tc>
          <w:tcPr>
            <w:tcW w:w="667" w:type="pct"/>
          </w:tcPr>
          <w:p w14:paraId="41738A69" w14:textId="77777777" w:rsidR="00BE36F1" w:rsidRDefault="00BE36F1" w:rsidP="00A13DCA">
            <w:pPr>
              <w:pStyle w:val="TSBodyText"/>
              <w:rPr>
                <w:rFonts w:cs="Calibri"/>
                <w:sz w:val="16"/>
                <w:szCs w:val="16"/>
              </w:rPr>
            </w:pPr>
            <w:r w:rsidRPr="006269D4">
              <w:rPr>
                <w:rFonts w:cs="Calibri"/>
                <w:sz w:val="16"/>
                <w:szCs w:val="16"/>
              </w:rPr>
              <w:t>$</w:t>
            </w:r>
            <w:r>
              <w:rPr>
                <w:rFonts w:cs="Calibri"/>
                <w:sz w:val="16"/>
                <w:szCs w:val="16"/>
              </w:rPr>
              <w:t>200</w:t>
            </w:r>
            <w:r w:rsidRPr="006269D4">
              <w:rPr>
                <w:rFonts w:cs="Calibri"/>
                <w:sz w:val="16"/>
                <w:szCs w:val="16"/>
              </w:rPr>
              <w:t>b</w:t>
            </w:r>
            <w:r>
              <w:rPr>
                <w:rFonts w:cs="Calibri"/>
                <w:sz w:val="16"/>
                <w:szCs w:val="16"/>
              </w:rPr>
              <w:t xml:space="preserve"> total</w:t>
            </w:r>
          </w:p>
          <w:p w14:paraId="24337E28" w14:textId="0891A4CE" w:rsidR="00BE36F1" w:rsidRPr="006269D4" w:rsidRDefault="00BE36F1" w:rsidP="00A13DCA">
            <w:pPr>
              <w:pStyle w:val="TSBodyText"/>
              <w:rPr>
                <w:rFonts w:cs="Calibri"/>
                <w:sz w:val="16"/>
                <w:szCs w:val="16"/>
              </w:rPr>
            </w:pPr>
            <w:r w:rsidRPr="00F40A5C">
              <w:rPr>
                <w:rFonts w:cs="Calibri"/>
                <w:sz w:val="16"/>
                <w:szCs w:val="16"/>
              </w:rPr>
              <w:t>$</w:t>
            </w:r>
            <w:r>
              <w:rPr>
                <w:rFonts w:cs="Calibri"/>
                <w:sz w:val="16"/>
                <w:szCs w:val="16"/>
              </w:rPr>
              <w:t>87200</w:t>
            </w:r>
            <w:r w:rsidRPr="00F40A5C">
              <w:rPr>
                <w:rFonts w:cs="Calibri"/>
                <w:sz w:val="16"/>
                <w:szCs w:val="16"/>
              </w:rPr>
              <w:t xml:space="preserve"> per adult in 2011</w:t>
            </w:r>
          </w:p>
        </w:tc>
        <w:tc>
          <w:tcPr>
            <w:tcW w:w="462" w:type="pct"/>
          </w:tcPr>
          <w:p w14:paraId="667B87E4" w14:textId="77777777" w:rsidR="00BE36F1" w:rsidRPr="006269D4" w:rsidRDefault="00BE36F1" w:rsidP="00A13DCA">
            <w:pPr>
              <w:pStyle w:val="TSBodyText"/>
              <w:rPr>
                <w:rFonts w:cs="Calibri"/>
                <w:sz w:val="16"/>
                <w:szCs w:val="16"/>
              </w:rPr>
            </w:pPr>
          </w:p>
        </w:tc>
        <w:tc>
          <w:tcPr>
            <w:tcW w:w="926" w:type="pct"/>
          </w:tcPr>
          <w:p w14:paraId="2C191AFC" w14:textId="77777777" w:rsidR="00BE36F1" w:rsidRPr="006269D4" w:rsidRDefault="00BE36F1" w:rsidP="00A13DCA">
            <w:pPr>
              <w:pStyle w:val="TSBodyText"/>
              <w:rPr>
                <w:rFonts w:cs="Calibri"/>
                <w:sz w:val="16"/>
                <w:szCs w:val="16"/>
              </w:rPr>
            </w:pPr>
          </w:p>
        </w:tc>
        <w:tc>
          <w:tcPr>
            <w:tcW w:w="569" w:type="pct"/>
          </w:tcPr>
          <w:p w14:paraId="5A2CF143" w14:textId="77777777" w:rsidR="00BE36F1" w:rsidRDefault="00BE36F1" w:rsidP="00A13DCA">
            <w:pPr>
              <w:pStyle w:val="TSBodyText"/>
              <w:rPr>
                <w:rFonts w:cs="Calibri"/>
                <w:sz w:val="16"/>
                <w:szCs w:val="16"/>
              </w:rPr>
            </w:pPr>
            <w:r>
              <w:rPr>
                <w:rFonts w:cs="Calibri"/>
                <w:sz w:val="16"/>
                <w:szCs w:val="16"/>
              </w:rPr>
              <w:t>Incidence based</w:t>
            </w:r>
          </w:p>
          <w:p w14:paraId="09308EA1" w14:textId="77777777" w:rsidR="00BE36F1" w:rsidRDefault="00BE36F1" w:rsidP="00A13DCA">
            <w:pPr>
              <w:pStyle w:val="TSBodyText"/>
              <w:rPr>
                <w:rFonts w:cs="Calibri"/>
                <w:sz w:val="16"/>
                <w:szCs w:val="16"/>
              </w:rPr>
            </w:pPr>
            <w:r w:rsidRPr="006269D4">
              <w:rPr>
                <w:rFonts w:cs="Calibri"/>
                <w:sz w:val="16"/>
                <w:szCs w:val="16"/>
              </w:rPr>
              <w:t>Markov macrosimulation modelling</w:t>
            </w:r>
          </w:p>
          <w:p w14:paraId="26DC708F" w14:textId="2822CE20" w:rsidR="00BE36F1" w:rsidRPr="006269D4" w:rsidRDefault="00BE36F1" w:rsidP="00A13DCA">
            <w:pPr>
              <w:pStyle w:val="TSBodyText"/>
              <w:rPr>
                <w:rFonts w:cs="Calibri"/>
                <w:sz w:val="16"/>
                <w:szCs w:val="16"/>
              </w:rPr>
            </w:pPr>
            <w:r w:rsidRPr="006269D4">
              <w:rPr>
                <w:rFonts w:cs="Calibri"/>
                <w:sz w:val="16"/>
                <w:szCs w:val="16"/>
              </w:rPr>
              <w:lastRenderedPageBreak/>
              <w:t>Top</w:t>
            </w:r>
            <w:r>
              <w:rPr>
                <w:rFonts w:cs="Calibri"/>
                <w:sz w:val="16"/>
                <w:szCs w:val="16"/>
              </w:rPr>
              <w:t>-</w:t>
            </w:r>
            <w:r w:rsidRPr="006269D4">
              <w:rPr>
                <w:rFonts w:cs="Calibri"/>
                <w:sz w:val="16"/>
                <w:szCs w:val="16"/>
              </w:rPr>
              <w:t>down gross costing</w:t>
            </w:r>
          </w:p>
        </w:tc>
        <w:tc>
          <w:tcPr>
            <w:tcW w:w="674" w:type="pct"/>
          </w:tcPr>
          <w:p w14:paraId="71D6EF05" w14:textId="77777777" w:rsidR="00BE36F1" w:rsidRPr="006269D4" w:rsidRDefault="00BE36F1" w:rsidP="00A13DCA">
            <w:pPr>
              <w:pStyle w:val="TSBodyText"/>
              <w:rPr>
                <w:rFonts w:cs="Calibri"/>
                <w:sz w:val="16"/>
                <w:szCs w:val="16"/>
              </w:rPr>
            </w:pPr>
            <w:r w:rsidRPr="006269D4">
              <w:rPr>
                <w:rFonts w:cs="Calibri"/>
                <w:sz w:val="16"/>
                <w:szCs w:val="16"/>
              </w:rPr>
              <w:lastRenderedPageBreak/>
              <w:t xml:space="preserve">Public health system </w:t>
            </w:r>
          </w:p>
        </w:tc>
      </w:tr>
      <w:tr w:rsidR="00B50AF9" w:rsidRPr="00731CA6" w14:paraId="2C271CF9"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6FF16259" w14:textId="09623193" w:rsidR="00BE36F1" w:rsidRPr="006269D4" w:rsidRDefault="00BE36F1" w:rsidP="00A13DCA">
            <w:pPr>
              <w:pStyle w:val="TSBodyText"/>
              <w:rPr>
                <w:rFonts w:cs="Calibri"/>
                <w:sz w:val="16"/>
                <w:szCs w:val="16"/>
              </w:rPr>
            </w:pPr>
            <w:r w:rsidRPr="003E5ACD">
              <w:rPr>
                <w:rFonts w:cs="Calibri"/>
                <w:sz w:val="16"/>
                <w:szCs w:val="16"/>
              </w:rPr>
              <w:t>Unhealthy diet</w:t>
            </w:r>
          </w:p>
        </w:tc>
        <w:tc>
          <w:tcPr>
            <w:tcW w:w="413" w:type="pct"/>
          </w:tcPr>
          <w:p w14:paraId="1A56EA18" w14:textId="6BF71D55" w:rsidR="00BE36F1" w:rsidRPr="006269D4" w:rsidRDefault="00BE36F1" w:rsidP="00A13DCA">
            <w:pPr>
              <w:pStyle w:val="TSBodyText"/>
              <w:rPr>
                <w:rFonts w:cs="Calibri"/>
                <w:sz w:val="16"/>
                <w:szCs w:val="16"/>
              </w:rPr>
            </w:pPr>
            <w:r>
              <w:rPr>
                <w:rFonts w:cs="Calibri"/>
                <w:sz w:val="16"/>
                <w:szCs w:val="16"/>
              </w:rPr>
              <w:t>Wilson 2016</w:t>
            </w:r>
          </w:p>
        </w:tc>
        <w:tc>
          <w:tcPr>
            <w:tcW w:w="311" w:type="pct"/>
          </w:tcPr>
          <w:p w14:paraId="135F54A4" w14:textId="1853CBAC" w:rsidR="00BE36F1" w:rsidRPr="006269D4" w:rsidRDefault="00BE36F1" w:rsidP="00A13DCA">
            <w:pPr>
              <w:pStyle w:val="TSBodyText"/>
              <w:rPr>
                <w:rFonts w:cs="Calibri"/>
                <w:sz w:val="16"/>
                <w:szCs w:val="16"/>
              </w:rPr>
            </w:pPr>
            <w:r>
              <w:rPr>
                <w:rFonts w:cs="Calibri"/>
                <w:sz w:val="16"/>
                <w:szCs w:val="16"/>
              </w:rPr>
              <w:t>2011</w:t>
            </w:r>
          </w:p>
        </w:tc>
        <w:tc>
          <w:tcPr>
            <w:tcW w:w="362" w:type="pct"/>
          </w:tcPr>
          <w:p w14:paraId="4B3EDAB7" w14:textId="4643B5AA" w:rsidR="00BE36F1" w:rsidRDefault="00BE36F1" w:rsidP="00A13DCA">
            <w:pPr>
              <w:pStyle w:val="TSBodyText"/>
              <w:rPr>
                <w:rFonts w:cs="Calibri"/>
                <w:sz w:val="16"/>
                <w:szCs w:val="16"/>
              </w:rPr>
            </w:pPr>
            <w:r>
              <w:rPr>
                <w:rFonts w:cs="Calibri"/>
                <w:sz w:val="16"/>
                <w:szCs w:val="16"/>
              </w:rPr>
              <w:t>NZD 2011</w:t>
            </w:r>
          </w:p>
        </w:tc>
        <w:tc>
          <w:tcPr>
            <w:tcW w:w="667" w:type="pct"/>
          </w:tcPr>
          <w:p w14:paraId="45596EBB" w14:textId="0FAD29BA" w:rsidR="00BE36F1" w:rsidRPr="006269D4" w:rsidRDefault="00BE36F1" w:rsidP="00A13DCA">
            <w:pPr>
              <w:pStyle w:val="TSBodyText"/>
              <w:rPr>
                <w:rFonts w:cs="Calibri"/>
                <w:sz w:val="16"/>
                <w:szCs w:val="16"/>
              </w:rPr>
            </w:pPr>
            <w:r w:rsidRPr="003E5ACD">
              <w:rPr>
                <w:rFonts w:cs="Calibri"/>
                <w:sz w:val="16"/>
                <w:szCs w:val="16"/>
              </w:rPr>
              <w:t>$1</w:t>
            </w:r>
            <w:r>
              <w:rPr>
                <w:rFonts w:cs="Calibri"/>
                <w:sz w:val="16"/>
                <w:szCs w:val="16"/>
              </w:rPr>
              <w:t>.56b potential savings from NZ reaching</w:t>
            </w:r>
            <w:r>
              <w:t xml:space="preserve"> </w:t>
            </w:r>
            <w:r w:rsidRPr="008D1D40">
              <w:rPr>
                <w:rFonts w:cs="Calibri"/>
                <w:sz w:val="16"/>
                <w:szCs w:val="16"/>
              </w:rPr>
              <w:t>UK Salt Reduction Targets for 2017</w:t>
            </w:r>
          </w:p>
        </w:tc>
        <w:tc>
          <w:tcPr>
            <w:tcW w:w="462" w:type="pct"/>
          </w:tcPr>
          <w:p w14:paraId="12F9C405" w14:textId="77777777" w:rsidR="00BE36F1" w:rsidRPr="006269D4" w:rsidRDefault="00BE36F1" w:rsidP="00A13DCA">
            <w:pPr>
              <w:pStyle w:val="TSBodyText"/>
              <w:rPr>
                <w:rFonts w:cs="Calibri"/>
                <w:sz w:val="16"/>
                <w:szCs w:val="16"/>
              </w:rPr>
            </w:pPr>
          </w:p>
        </w:tc>
        <w:tc>
          <w:tcPr>
            <w:tcW w:w="926" w:type="pct"/>
          </w:tcPr>
          <w:p w14:paraId="12E19D41" w14:textId="77777777" w:rsidR="00BE36F1" w:rsidRPr="006269D4" w:rsidRDefault="00BE36F1" w:rsidP="00A13DCA">
            <w:pPr>
              <w:pStyle w:val="TSBodyText"/>
              <w:rPr>
                <w:rFonts w:cs="Calibri"/>
                <w:sz w:val="16"/>
                <w:szCs w:val="16"/>
              </w:rPr>
            </w:pPr>
          </w:p>
        </w:tc>
        <w:tc>
          <w:tcPr>
            <w:tcW w:w="569" w:type="pct"/>
          </w:tcPr>
          <w:p w14:paraId="350EEE99" w14:textId="77777777" w:rsidR="00BE36F1" w:rsidRPr="00ED2343" w:rsidRDefault="00BE36F1" w:rsidP="00A13DCA">
            <w:pPr>
              <w:pStyle w:val="TSBodyText"/>
              <w:rPr>
                <w:rFonts w:cs="Calibri"/>
                <w:sz w:val="16"/>
                <w:szCs w:val="16"/>
              </w:rPr>
            </w:pPr>
            <w:r w:rsidRPr="00ED2343">
              <w:rPr>
                <w:rFonts w:cs="Calibri"/>
                <w:sz w:val="16"/>
                <w:szCs w:val="16"/>
              </w:rPr>
              <w:t>Incidence based</w:t>
            </w:r>
          </w:p>
          <w:p w14:paraId="18E434F5" w14:textId="77777777" w:rsidR="00BE36F1" w:rsidRPr="00ED2343" w:rsidRDefault="00BE36F1" w:rsidP="00A13DCA">
            <w:pPr>
              <w:pStyle w:val="TSBodyText"/>
              <w:rPr>
                <w:rFonts w:cs="Calibri"/>
                <w:sz w:val="16"/>
                <w:szCs w:val="16"/>
              </w:rPr>
            </w:pPr>
            <w:r w:rsidRPr="00ED2343">
              <w:rPr>
                <w:rFonts w:cs="Calibri"/>
                <w:sz w:val="16"/>
                <w:szCs w:val="16"/>
              </w:rPr>
              <w:t>Markov macrosimulation modelling</w:t>
            </w:r>
          </w:p>
          <w:p w14:paraId="745A8B3F" w14:textId="3C235DB6" w:rsidR="00BE36F1" w:rsidRDefault="00BE36F1" w:rsidP="00A13DCA">
            <w:pPr>
              <w:pStyle w:val="TSBodyText"/>
              <w:rPr>
                <w:rFonts w:cs="Calibri"/>
                <w:sz w:val="16"/>
                <w:szCs w:val="16"/>
              </w:rPr>
            </w:pPr>
            <w:r w:rsidRPr="00ED2343">
              <w:rPr>
                <w:rFonts w:cs="Calibri"/>
                <w:sz w:val="16"/>
                <w:szCs w:val="16"/>
              </w:rPr>
              <w:t>Top</w:t>
            </w:r>
            <w:r>
              <w:rPr>
                <w:rFonts w:cs="Calibri"/>
                <w:sz w:val="16"/>
                <w:szCs w:val="16"/>
              </w:rPr>
              <w:t>-</w:t>
            </w:r>
            <w:r w:rsidRPr="00ED2343">
              <w:rPr>
                <w:rFonts w:cs="Calibri"/>
                <w:sz w:val="16"/>
                <w:szCs w:val="16"/>
              </w:rPr>
              <w:t>down gross costing</w:t>
            </w:r>
          </w:p>
        </w:tc>
        <w:tc>
          <w:tcPr>
            <w:tcW w:w="674" w:type="pct"/>
          </w:tcPr>
          <w:p w14:paraId="509CD869" w14:textId="2FDDEF55" w:rsidR="00BE36F1" w:rsidRPr="006269D4" w:rsidRDefault="00BE36F1" w:rsidP="00A13DCA">
            <w:pPr>
              <w:pStyle w:val="TSBodyText"/>
              <w:rPr>
                <w:rFonts w:cs="Calibri"/>
                <w:sz w:val="16"/>
                <w:szCs w:val="16"/>
              </w:rPr>
            </w:pPr>
            <w:r w:rsidRPr="003660FD">
              <w:rPr>
                <w:rFonts w:cs="Calibri"/>
                <w:sz w:val="16"/>
                <w:szCs w:val="16"/>
              </w:rPr>
              <w:t>Public health system</w:t>
            </w:r>
          </w:p>
        </w:tc>
      </w:tr>
      <w:tr w:rsidR="00B50AF9" w:rsidRPr="00731CA6" w14:paraId="56C830D9" w14:textId="77777777" w:rsidTr="00A46D00">
        <w:trPr>
          <w:cantSplit/>
        </w:trPr>
        <w:tc>
          <w:tcPr>
            <w:tcW w:w="616" w:type="pct"/>
          </w:tcPr>
          <w:p w14:paraId="7651FBAB" w14:textId="7731828E" w:rsidR="00580522" w:rsidRDefault="00580522" w:rsidP="00A13DCA">
            <w:pPr>
              <w:pStyle w:val="TSBodyText"/>
              <w:rPr>
                <w:rFonts w:cs="Calibri"/>
                <w:sz w:val="16"/>
                <w:szCs w:val="16"/>
              </w:rPr>
            </w:pPr>
            <w:r>
              <w:rPr>
                <w:rFonts w:cs="Calibri"/>
                <w:sz w:val="16"/>
                <w:szCs w:val="16"/>
              </w:rPr>
              <w:t>Obesity</w:t>
            </w:r>
          </w:p>
        </w:tc>
        <w:tc>
          <w:tcPr>
            <w:tcW w:w="413" w:type="pct"/>
          </w:tcPr>
          <w:p w14:paraId="4230C4D5" w14:textId="77BDD3AC" w:rsidR="00580522" w:rsidRPr="00651CF9" w:rsidRDefault="00580522" w:rsidP="00A13DCA">
            <w:pPr>
              <w:pStyle w:val="TSBodyText"/>
              <w:rPr>
                <w:rFonts w:cs="Calibri"/>
                <w:sz w:val="16"/>
                <w:szCs w:val="16"/>
              </w:rPr>
            </w:pPr>
            <w:bookmarkStart w:id="139" w:name="_Hlk94104182"/>
            <w:r>
              <w:rPr>
                <w:rFonts w:cs="Calibri"/>
                <w:sz w:val="16"/>
                <w:szCs w:val="16"/>
              </w:rPr>
              <w:t>Barton and Love</w:t>
            </w:r>
            <w:r w:rsidR="003442A1">
              <w:rPr>
                <w:rFonts w:cs="Calibri"/>
                <w:sz w:val="16"/>
                <w:szCs w:val="16"/>
              </w:rPr>
              <w:t xml:space="preserve"> (Sapere)</w:t>
            </w:r>
            <w:r>
              <w:rPr>
                <w:rFonts w:cs="Calibri"/>
                <w:sz w:val="16"/>
                <w:szCs w:val="16"/>
              </w:rPr>
              <w:t xml:space="preserve"> 2021</w:t>
            </w:r>
            <w:bookmarkEnd w:id="139"/>
          </w:p>
        </w:tc>
        <w:tc>
          <w:tcPr>
            <w:tcW w:w="311" w:type="pct"/>
          </w:tcPr>
          <w:p w14:paraId="63FC0701" w14:textId="757FB9F0" w:rsidR="00580522" w:rsidRPr="006269D4" w:rsidRDefault="006175EF" w:rsidP="00A13DCA">
            <w:pPr>
              <w:pStyle w:val="TSBodyText"/>
              <w:rPr>
                <w:rFonts w:cs="Calibri"/>
                <w:sz w:val="16"/>
                <w:szCs w:val="16"/>
              </w:rPr>
            </w:pPr>
            <w:r>
              <w:rPr>
                <w:rFonts w:cs="Calibri"/>
                <w:sz w:val="16"/>
                <w:szCs w:val="16"/>
              </w:rPr>
              <w:t>2019</w:t>
            </w:r>
            <w:r w:rsidR="006756EC">
              <w:rPr>
                <w:rFonts w:cs="Calibri"/>
                <w:sz w:val="16"/>
                <w:szCs w:val="16"/>
              </w:rPr>
              <w:t xml:space="preserve"> and earlier data from previously publish</w:t>
            </w:r>
            <w:r w:rsidR="00E87672">
              <w:rPr>
                <w:rFonts w:cs="Calibri"/>
                <w:sz w:val="16"/>
                <w:szCs w:val="16"/>
              </w:rPr>
              <w:t>-</w:t>
            </w:r>
            <w:r w:rsidR="006756EC">
              <w:rPr>
                <w:rFonts w:cs="Calibri"/>
                <w:sz w:val="16"/>
                <w:szCs w:val="16"/>
              </w:rPr>
              <w:t>ed reports</w:t>
            </w:r>
          </w:p>
        </w:tc>
        <w:tc>
          <w:tcPr>
            <w:tcW w:w="362" w:type="pct"/>
          </w:tcPr>
          <w:p w14:paraId="56A59338" w14:textId="1B554F64" w:rsidR="00580522" w:rsidRDefault="006756EC" w:rsidP="00A13DCA">
            <w:pPr>
              <w:pStyle w:val="TSBodyText"/>
              <w:rPr>
                <w:rFonts w:cs="Calibri"/>
                <w:sz w:val="16"/>
                <w:szCs w:val="16"/>
              </w:rPr>
            </w:pPr>
            <w:r>
              <w:rPr>
                <w:rFonts w:cs="Calibri"/>
                <w:sz w:val="16"/>
                <w:szCs w:val="16"/>
              </w:rPr>
              <w:t>NZD 2021</w:t>
            </w:r>
            <w:r w:rsidR="00315AF8">
              <w:rPr>
                <w:rFonts w:cs="Calibri"/>
                <w:sz w:val="16"/>
                <w:szCs w:val="16"/>
              </w:rPr>
              <w:t>*</w:t>
            </w:r>
          </w:p>
        </w:tc>
        <w:tc>
          <w:tcPr>
            <w:tcW w:w="667" w:type="pct"/>
          </w:tcPr>
          <w:p w14:paraId="521B242B" w14:textId="77777777" w:rsidR="00580522" w:rsidRDefault="001D16A2" w:rsidP="00A13DCA">
            <w:pPr>
              <w:pStyle w:val="TSBodyText"/>
              <w:rPr>
                <w:rFonts w:cs="Calibri"/>
                <w:sz w:val="16"/>
                <w:szCs w:val="16"/>
              </w:rPr>
            </w:pPr>
            <w:r>
              <w:rPr>
                <w:rFonts w:cs="Calibri"/>
                <w:sz w:val="16"/>
                <w:szCs w:val="16"/>
              </w:rPr>
              <w:t>$2b</w:t>
            </w:r>
          </w:p>
          <w:p w14:paraId="290DADBA" w14:textId="400D1B75" w:rsidR="0066763A" w:rsidRPr="009C5DA2" w:rsidRDefault="0066763A" w:rsidP="00A13DCA">
            <w:pPr>
              <w:pStyle w:val="TSBodyText"/>
              <w:rPr>
                <w:rFonts w:cs="Calibri"/>
                <w:sz w:val="16"/>
                <w:szCs w:val="16"/>
              </w:rPr>
            </w:pPr>
            <w:r>
              <w:rPr>
                <w:rFonts w:cs="Calibri"/>
                <w:sz w:val="16"/>
                <w:szCs w:val="16"/>
              </w:rPr>
              <w:t>8% of health expenditure</w:t>
            </w:r>
          </w:p>
        </w:tc>
        <w:tc>
          <w:tcPr>
            <w:tcW w:w="462" w:type="pct"/>
          </w:tcPr>
          <w:p w14:paraId="0CCE7F02" w14:textId="1FE9DFC4" w:rsidR="00580522" w:rsidRPr="009C5DA2" w:rsidRDefault="001D16A2" w:rsidP="00A13DCA">
            <w:pPr>
              <w:pStyle w:val="TSBodyText"/>
              <w:rPr>
                <w:rFonts w:cs="Calibri"/>
                <w:sz w:val="16"/>
                <w:szCs w:val="16"/>
              </w:rPr>
            </w:pPr>
            <w:r>
              <w:rPr>
                <w:rFonts w:cs="Calibri"/>
                <w:sz w:val="16"/>
                <w:szCs w:val="16"/>
              </w:rPr>
              <w:t>$7b</w:t>
            </w:r>
          </w:p>
        </w:tc>
        <w:tc>
          <w:tcPr>
            <w:tcW w:w="926" w:type="pct"/>
          </w:tcPr>
          <w:p w14:paraId="23D070EC" w14:textId="77777777" w:rsidR="00580522" w:rsidRDefault="009966D9" w:rsidP="00A13DCA">
            <w:pPr>
              <w:pStyle w:val="TSBodyText"/>
              <w:rPr>
                <w:rFonts w:cs="Calibri"/>
                <w:sz w:val="16"/>
                <w:szCs w:val="16"/>
              </w:rPr>
            </w:pPr>
            <w:r>
              <w:rPr>
                <w:rFonts w:cs="Calibri"/>
                <w:sz w:val="16"/>
                <w:szCs w:val="16"/>
              </w:rPr>
              <w:t>$19b</w:t>
            </w:r>
          </w:p>
          <w:p w14:paraId="68EB194F" w14:textId="5A32203A" w:rsidR="0066763A" w:rsidRDefault="0066763A" w:rsidP="00A13DCA">
            <w:pPr>
              <w:pStyle w:val="TSBodyText"/>
              <w:rPr>
                <w:rFonts w:cs="Calibri"/>
                <w:sz w:val="16"/>
                <w:szCs w:val="16"/>
              </w:rPr>
            </w:pPr>
            <w:r>
              <w:rPr>
                <w:rFonts w:cs="Calibri"/>
                <w:sz w:val="16"/>
                <w:szCs w:val="16"/>
              </w:rPr>
              <w:t>3% of GDP</w:t>
            </w:r>
          </w:p>
        </w:tc>
        <w:tc>
          <w:tcPr>
            <w:tcW w:w="569" w:type="pct"/>
          </w:tcPr>
          <w:p w14:paraId="0AB5B892" w14:textId="77777777" w:rsidR="00580522" w:rsidRDefault="004D0A9D" w:rsidP="00A13DCA">
            <w:pPr>
              <w:pStyle w:val="TSBodyText"/>
              <w:rPr>
                <w:rFonts w:cs="Calibri"/>
                <w:sz w:val="16"/>
                <w:szCs w:val="16"/>
              </w:rPr>
            </w:pPr>
            <w:r>
              <w:rPr>
                <w:rFonts w:cs="Calibri"/>
                <w:sz w:val="16"/>
                <w:szCs w:val="16"/>
              </w:rPr>
              <w:t>Prevalence based</w:t>
            </w:r>
          </w:p>
          <w:p w14:paraId="1E36E4A3" w14:textId="241DC020" w:rsidR="004D0A9D" w:rsidRDefault="004D0A9D" w:rsidP="00A13DCA">
            <w:pPr>
              <w:pStyle w:val="TSBodyText"/>
              <w:rPr>
                <w:rFonts w:cs="Calibri"/>
                <w:sz w:val="16"/>
                <w:szCs w:val="16"/>
              </w:rPr>
            </w:pPr>
            <w:r>
              <w:rPr>
                <w:rFonts w:cs="Calibri"/>
                <w:sz w:val="16"/>
                <w:szCs w:val="16"/>
              </w:rPr>
              <w:t>Top-down mixed methods</w:t>
            </w:r>
          </w:p>
        </w:tc>
        <w:tc>
          <w:tcPr>
            <w:tcW w:w="674" w:type="pct"/>
          </w:tcPr>
          <w:p w14:paraId="3AEDFB23" w14:textId="0EF53AA6" w:rsidR="00580522" w:rsidRDefault="003442A1" w:rsidP="00A13DCA">
            <w:pPr>
              <w:pStyle w:val="TSBodyText"/>
              <w:rPr>
                <w:rFonts w:cs="Calibri"/>
                <w:sz w:val="16"/>
                <w:szCs w:val="16"/>
              </w:rPr>
            </w:pPr>
            <w:r>
              <w:rPr>
                <w:rFonts w:cs="Calibri"/>
                <w:sz w:val="16"/>
                <w:szCs w:val="16"/>
              </w:rPr>
              <w:t>Societal</w:t>
            </w:r>
          </w:p>
        </w:tc>
      </w:tr>
      <w:tr w:rsidR="00B50AF9" w:rsidRPr="00731CA6" w14:paraId="2D027C9F"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59D38CB5" w14:textId="77777777" w:rsidR="00817A46" w:rsidRPr="006269D4" w:rsidRDefault="00817A46" w:rsidP="00A13DCA">
            <w:pPr>
              <w:pStyle w:val="TSBodyText"/>
              <w:rPr>
                <w:rFonts w:cs="Calibri"/>
                <w:sz w:val="16"/>
                <w:szCs w:val="16"/>
              </w:rPr>
            </w:pPr>
            <w:r>
              <w:rPr>
                <w:rFonts w:cs="Calibri"/>
                <w:sz w:val="16"/>
                <w:szCs w:val="16"/>
              </w:rPr>
              <w:t>Obesity</w:t>
            </w:r>
          </w:p>
        </w:tc>
        <w:tc>
          <w:tcPr>
            <w:tcW w:w="413" w:type="pct"/>
          </w:tcPr>
          <w:p w14:paraId="23C9D06D" w14:textId="77777777" w:rsidR="00817A46" w:rsidRPr="006269D4" w:rsidRDefault="00817A46" w:rsidP="00A13DCA">
            <w:pPr>
              <w:pStyle w:val="TSBodyText"/>
              <w:rPr>
                <w:rFonts w:cs="Calibri"/>
                <w:sz w:val="16"/>
                <w:szCs w:val="16"/>
              </w:rPr>
            </w:pPr>
            <w:r w:rsidRPr="00651CF9">
              <w:rPr>
                <w:rFonts w:cs="Calibri"/>
                <w:sz w:val="16"/>
                <w:szCs w:val="16"/>
              </w:rPr>
              <w:t>Lal et al. 2012</w:t>
            </w:r>
          </w:p>
        </w:tc>
        <w:tc>
          <w:tcPr>
            <w:tcW w:w="311" w:type="pct"/>
          </w:tcPr>
          <w:p w14:paraId="104DA2D1" w14:textId="77777777" w:rsidR="00817A46" w:rsidRPr="006269D4" w:rsidRDefault="00817A46" w:rsidP="00A13DCA">
            <w:pPr>
              <w:pStyle w:val="TSBodyText"/>
              <w:rPr>
                <w:rFonts w:cs="Calibri"/>
                <w:sz w:val="16"/>
                <w:szCs w:val="16"/>
              </w:rPr>
            </w:pPr>
          </w:p>
        </w:tc>
        <w:tc>
          <w:tcPr>
            <w:tcW w:w="362" w:type="pct"/>
          </w:tcPr>
          <w:p w14:paraId="0D6BEEC4" w14:textId="77777777" w:rsidR="00817A46" w:rsidRPr="006269D4" w:rsidRDefault="00817A46" w:rsidP="00A13DCA">
            <w:pPr>
              <w:pStyle w:val="TSBodyText"/>
              <w:rPr>
                <w:rFonts w:cs="Calibri"/>
                <w:sz w:val="16"/>
                <w:szCs w:val="16"/>
              </w:rPr>
            </w:pPr>
            <w:r>
              <w:rPr>
                <w:rFonts w:cs="Calibri"/>
                <w:sz w:val="16"/>
                <w:szCs w:val="16"/>
              </w:rPr>
              <w:t>NZD 2006</w:t>
            </w:r>
          </w:p>
        </w:tc>
        <w:tc>
          <w:tcPr>
            <w:tcW w:w="667" w:type="pct"/>
          </w:tcPr>
          <w:p w14:paraId="5D20900A" w14:textId="77777777" w:rsidR="00817A46" w:rsidRPr="009C5DA2" w:rsidRDefault="00817A46" w:rsidP="00A13DCA">
            <w:pPr>
              <w:pStyle w:val="TSBodyText"/>
              <w:rPr>
                <w:rFonts w:cs="Calibri"/>
                <w:sz w:val="16"/>
                <w:szCs w:val="16"/>
              </w:rPr>
            </w:pPr>
            <w:r w:rsidRPr="009C5DA2">
              <w:rPr>
                <w:rFonts w:cs="Calibri"/>
                <w:sz w:val="16"/>
                <w:szCs w:val="16"/>
              </w:rPr>
              <w:t>$</w:t>
            </w:r>
            <w:r>
              <w:rPr>
                <w:rFonts w:cs="Calibri"/>
                <w:sz w:val="16"/>
                <w:szCs w:val="16"/>
              </w:rPr>
              <w:t>859</w:t>
            </w:r>
            <w:r w:rsidRPr="009C5DA2">
              <w:rPr>
                <w:rFonts w:cs="Calibri"/>
                <w:sz w:val="16"/>
                <w:szCs w:val="16"/>
              </w:rPr>
              <w:t>m</w:t>
            </w:r>
          </w:p>
          <w:p w14:paraId="02B1CB56" w14:textId="4542C964" w:rsidR="00817A46" w:rsidRPr="006269D4" w:rsidRDefault="00817A46" w:rsidP="00A13DCA">
            <w:pPr>
              <w:pStyle w:val="TSBodyText"/>
              <w:rPr>
                <w:rFonts w:cs="Calibri"/>
                <w:sz w:val="16"/>
                <w:szCs w:val="16"/>
              </w:rPr>
            </w:pPr>
            <w:r w:rsidRPr="009C5DA2">
              <w:rPr>
                <w:rFonts w:cs="Calibri"/>
                <w:sz w:val="16"/>
                <w:szCs w:val="16"/>
              </w:rPr>
              <w:t>4.4% of total health care expenditure</w:t>
            </w:r>
            <w:r w:rsidRPr="009C5DA2">
              <w:rPr>
                <w:rFonts w:cs="Calibri"/>
                <w:sz w:val="16"/>
                <w:szCs w:val="16"/>
              </w:rPr>
              <w:tab/>
            </w:r>
          </w:p>
        </w:tc>
        <w:tc>
          <w:tcPr>
            <w:tcW w:w="462" w:type="pct"/>
          </w:tcPr>
          <w:p w14:paraId="79D24A2D" w14:textId="3DBD274D" w:rsidR="00817A46" w:rsidRPr="006269D4" w:rsidRDefault="00817A46" w:rsidP="00A13DCA">
            <w:pPr>
              <w:pStyle w:val="TSBodyText"/>
              <w:rPr>
                <w:rFonts w:cs="Calibri"/>
                <w:sz w:val="16"/>
                <w:szCs w:val="16"/>
              </w:rPr>
            </w:pPr>
            <w:r w:rsidRPr="009C5DA2">
              <w:rPr>
                <w:rFonts w:cs="Calibri"/>
                <w:sz w:val="16"/>
                <w:szCs w:val="16"/>
              </w:rPr>
              <w:t>$</w:t>
            </w:r>
            <w:r>
              <w:rPr>
                <w:rFonts w:cs="Calibri"/>
                <w:sz w:val="16"/>
                <w:szCs w:val="16"/>
              </w:rPr>
              <w:t>135</w:t>
            </w:r>
            <w:r w:rsidRPr="009C5DA2">
              <w:rPr>
                <w:rFonts w:cs="Calibri"/>
                <w:sz w:val="16"/>
                <w:szCs w:val="16"/>
              </w:rPr>
              <w:t>m - $</w:t>
            </w:r>
            <w:r>
              <w:rPr>
                <w:rFonts w:cs="Calibri"/>
                <w:sz w:val="16"/>
                <w:szCs w:val="16"/>
              </w:rPr>
              <w:t>310</w:t>
            </w:r>
            <w:r w:rsidRPr="009C5DA2">
              <w:rPr>
                <w:rFonts w:cs="Calibri"/>
                <w:sz w:val="16"/>
                <w:szCs w:val="16"/>
              </w:rPr>
              <w:t>m</w:t>
            </w:r>
          </w:p>
        </w:tc>
        <w:tc>
          <w:tcPr>
            <w:tcW w:w="926" w:type="pct"/>
          </w:tcPr>
          <w:p w14:paraId="1374A4EF" w14:textId="4936BCAD" w:rsidR="00817A46" w:rsidRPr="006269D4" w:rsidRDefault="00817A46" w:rsidP="00A13DCA">
            <w:pPr>
              <w:pStyle w:val="TSBodyText"/>
              <w:rPr>
                <w:rFonts w:cs="Calibri"/>
                <w:sz w:val="16"/>
                <w:szCs w:val="16"/>
              </w:rPr>
            </w:pPr>
            <w:r>
              <w:rPr>
                <w:rFonts w:cs="Calibri"/>
                <w:sz w:val="16"/>
                <w:szCs w:val="16"/>
              </w:rPr>
              <w:t>$993m to $1168m</w:t>
            </w:r>
          </w:p>
        </w:tc>
        <w:tc>
          <w:tcPr>
            <w:tcW w:w="569" w:type="pct"/>
          </w:tcPr>
          <w:p w14:paraId="7CE8246F" w14:textId="77777777" w:rsidR="00817A46" w:rsidRPr="006269D4" w:rsidRDefault="00817A46" w:rsidP="00A13DCA">
            <w:pPr>
              <w:pStyle w:val="TSBodyText"/>
              <w:rPr>
                <w:rFonts w:cs="Calibri"/>
                <w:sz w:val="16"/>
                <w:szCs w:val="16"/>
              </w:rPr>
            </w:pPr>
            <w:r>
              <w:rPr>
                <w:rFonts w:cs="Calibri"/>
                <w:sz w:val="16"/>
                <w:szCs w:val="16"/>
              </w:rPr>
              <w:t>Prevalence based</w:t>
            </w:r>
          </w:p>
        </w:tc>
        <w:tc>
          <w:tcPr>
            <w:tcW w:w="674" w:type="pct"/>
          </w:tcPr>
          <w:p w14:paraId="70CABEB1" w14:textId="77777777" w:rsidR="00817A46" w:rsidRPr="006269D4" w:rsidRDefault="00817A46" w:rsidP="00A13DCA">
            <w:pPr>
              <w:pStyle w:val="TSBodyText"/>
              <w:rPr>
                <w:rFonts w:cs="Calibri"/>
                <w:sz w:val="16"/>
                <w:szCs w:val="16"/>
              </w:rPr>
            </w:pPr>
            <w:r>
              <w:rPr>
                <w:rFonts w:cs="Calibri"/>
                <w:sz w:val="16"/>
                <w:szCs w:val="16"/>
              </w:rPr>
              <w:t>Societal</w:t>
            </w:r>
          </w:p>
        </w:tc>
      </w:tr>
      <w:tr w:rsidR="00B50AF9" w:rsidRPr="00731CA6" w14:paraId="433AF9BF" w14:textId="77777777" w:rsidTr="00A46D00">
        <w:trPr>
          <w:cantSplit/>
        </w:trPr>
        <w:tc>
          <w:tcPr>
            <w:tcW w:w="616" w:type="pct"/>
          </w:tcPr>
          <w:p w14:paraId="53739E07" w14:textId="783FCEE6" w:rsidR="00F16F95" w:rsidRPr="006269D4" w:rsidRDefault="00F16F95" w:rsidP="00A13DCA">
            <w:pPr>
              <w:pStyle w:val="TSBodyText"/>
              <w:rPr>
                <w:rFonts w:cs="Calibri"/>
                <w:sz w:val="16"/>
                <w:szCs w:val="16"/>
              </w:rPr>
            </w:pPr>
            <w:r>
              <w:rPr>
                <w:rFonts w:cs="Calibri"/>
                <w:sz w:val="16"/>
                <w:szCs w:val="16"/>
              </w:rPr>
              <w:t>Multiple NCDs/ multimorbidity</w:t>
            </w:r>
          </w:p>
        </w:tc>
        <w:tc>
          <w:tcPr>
            <w:tcW w:w="413" w:type="pct"/>
          </w:tcPr>
          <w:p w14:paraId="15824A36" w14:textId="77777777" w:rsidR="00F16F95" w:rsidRPr="006269D4" w:rsidRDefault="00F16F95" w:rsidP="00A13DCA">
            <w:pPr>
              <w:pStyle w:val="TSBodyText"/>
              <w:rPr>
                <w:rFonts w:cs="Calibri"/>
                <w:sz w:val="16"/>
                <w:szCs w:val="16"/>
              </w:rPr>
            </w:pPr>
            <w:r>
              <w:rPr>
                <w:rFonts w:cs="Calibri"/>
                <w:sz w:val="16"/>
                <w:szCs w:val="16"/>
              </w:rPr>
              <w:t>Blakely et al. 2019</w:t>
            </w:r>
          </w:p>
        </w:tc>
        <w:tc>
          <w:tcPr>
            <w:tcW w:w="311" w:type="pct"/>
          </w:tcPr>
          <w:p w14:paraId="4265C106" w14:textId="77777777" w:rsidR="00F16F95" w:rsidRPr="006269D4" w:rsidRDefault="00F16F95" w:rsidP="00A13DCA">
            <w:pPr>
              <w:pStyle w:val="TSBodyText"/>
              <w:rPr>
                <w:rFonts w:cs="Calibri"/>
                <w:sz w:val="16"/>
                <w:szCs w:val="16"/>
              </w:rPr>
            </w:pPr>
            <w:r>
              <w:rPr>
                <w:rFonts w:cs="Calibri"/>
                <w:sz w:val="16"/>
                <w:szCs w:val="16"/>
              </w:rPr>
              <w:t>2007-2014</w:t>
            </w:r>
          </w:p>
        </w:tc>
        <w:tc>
          <w:tcPr>
            <w:tcW w:w="362" w:type="pct"/>
          </w:tcPr>
          <w:p w14:paraId="54AAE0FD" w14:textId="77777777" w:rsidR="00F16F95" w:rsidRPr="006269D4" w:rsidRDefault="00F16F95" w:rsidP="00A13DCA">
            <w:pPr>
              <w:pStyle w:val="TSBodyText"/>
              <w:rPr>
                <w:rFonts w:cs="Calibri"/>
                <w:sz w:val="16"/>
                <w:szCs w:val="16"/>
              </w:rPr>
            </w:pPr>
            <w:r>
              <w:rPr>
                <w:rFonts w:cs="Calibri"/>
                <w:sz w:val="16"/>
                <w:szCs w:val="16"/>
              </w:rPr>
              <w:t>USD 2016</w:t>
            </w:r>
          </w:p>
        </w:tc>
        <w:tc>
          <w:tcPr>
            <w:tcW w:w="667" w:type="pct"/>
          </w:tcPr>
          <w:p w14:paraId="3A8633A2" w14:textId="77777777" w:rsidR="00F16F95" w:rsidRPr="006269D4" w:rsidRDefault="00F16F95" w:rsidP="00A13DCA">
            <w:pPr>
              <w:pStyle w:val="TSBodyText"/>
              <w:rPr>
                <w:rFonts w:cs="Calibri"/>
                <w:sz w:val="16"/>
                <w:szCs w:val="16"/>
              </w:rPr>
            </w:pPr>
            <w:r>
              <w:rPr>
                <w:rFonts w:cs="Calibri"/>
                <w:sz w:val="16"/>
                <w:szCs w:val="16"/>
              </w:rPr>
              <w:t>Included NCDs account for 59% of all health system spending with nearly ¼ of this due to multi-morbidity</w:t>
            </w:r>
          </w:p>
        </w:tc>
        <w:tc>
          <w:tcPr>
            <w:tcW w:w="462" w:type="pct"/>
          </w:tcPr>
          <w:p w14:paraId="4977B301" w14:textId="77777777" w:rsidR="00F16F95" w:rsidRPr="006269D4" w:rsidRDefault="00F16F95" w:rsidP="00A13DCA">
            <w:pPr>
              <w:pStyle w:val="TSBodyText"/>
              <w:rPr>
                <w:rFonts w:cs="Calibri"/>
                <w:sz w:val="16"/>
                <w:szCs w:val="16"/>
              </w:rPr>
            </w:pPr>
          </w:p>
        </w:tc>
        <w:tc>
          <w:tcPr>
            <w:tcW w:w="926" w:type="pct"/>
          </w:tcPr>
          <w:p w14:paraId="101B0F73" w14:textId="77777777" w:rsidR="00F16F95" w:rsidRPr="006269D4" w:rsidRDefault="00F16F95" w:rsidP="00A13DCA">
            <w:pPr>
              <w:pStyle w:val="TSBodyText"/>
              <w:rPr>
                <w:rFonts w:cs="Calibri"/>
                <w:sz w:val="16"/>
                <w:szCs w:val="16"/>
              </w:rPr>
            </w:pPr>
          </w:p>
        </w:tc>
        <w:tc>
          <w:tcPr>
            <w:tcW w:w="569" w:type="pct"/>
          </w:tcPr>
          <w:p w14:paraId="792C5955" w14:textId="77777777" w:rsidR="00F16F95" w:rsidRDefault="00F16F95" w:rsidP="00A13DCA">
            <w:pPr>
              <w:pStyle w:val="TSBodyText"/>
              <w:rPr>
                <w:rFonts w:cs="Calibri"/>
                <w:sz w:val="16"/>
                <w:szCs w:val="16"/>
              </w:rPr>
            </w:pPr>
            <w:r w:rsidRPr="008654CA">
              <w:rPr>
                <w:rFonts w:cs="Calibri"/>
                <w:sz w:val="16"/>
                <w:szCs w:val="16"/>
              </w:rPr>
              <w:t>Prevalence based</w:t>
            </w:r>
          </w:p>
          <w:p w14:paraId="356C18AD" w14:textId="77777777" w:rsidR="00F16F95" w:rsidRDefault="00F16F95" w:rsidP="00A13DCA">
            <w:pPr>
              <w:pStyle w:val="TSBodyText"/>
              <w:rPr>
                <w:rFonts w:cs="Calibri"/>
                <w:sz w:val="16"/>
                <w:szCs w:val="16"/>
              </w:rPr>
            </w:pPr>
            <w:r>
              <w:rPr>
                <w:rFonts w:cs="Calibri"/>
                <w:sz w:val="16"/>
                <w:szCs w:val="16"/>
              </w:rPr>
              <w:t>Bottom-up gross costing</w:t>
            </w:r>
          </w:p>
          <w:p w14:paraId="0EFB7600" w14:textId="77777777" w:rsidR="00F16F95" w:rsidRPr="006269D4" w:rsidRDefault="00F16F95" w:rsidP="00A13DCA">
            <w:pPr>
              <w:pStyle w:val="TSBodyText"/>
              <w:rPr>
                <w:rFonts w:cs="Calibri"/>
                <w:sz w:val="16"/>
                <w:szCs w:val="16"/>
              </w:rPr>
            </w:pPr>
            <w:r>
              <w:rPr>
                <w:rFonts w:cs="Calibri"/>
                <w:sz w:val="16"/>
                <w:szCs w:val="16"/>
              </w:rPr>
              <w:t>Excess costs</w:t>
            </w:r>
          </w:p>
        </w:tc>
        <w:tc>
          <w:tcPr>
            <w:tcW w:w="674" w:type="pct"/>
          </w:tcPr>
          <w:p w14:paraId="5FEA869C" w14:textId="77777777" w:rsidR="00F16F95" w:rsidRPr="006269D4" w:rsidRDefault="00F16F95" w:rsidP="00A13DCA">
            <w:pPr>
              <w:pStyle w:val="TSBodyText"/>
              <w:rPr>
                <w:rFonts w:cs="Calibri"/>
                <w:sz w:val="16"/>
                <w:szCs w:val="16"/>
              </w:rPr>
            </w:pPr>
            <w:r>
              <w:rPr>
                <w:rFonts w:cs="Calibri"/>
                <w:sz w:val="16"/>
                <w:szCs w:val="16"/>
              </w:rPr>
              <w:t>Public health system</w:t>
            </w:r>
          </w:p>
        </w:tc>
      </w:tr>
      <w:tr w:rsidR="00B50AF9" w:rsidRPr="00731CA6" w14:paraId="00523329"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62B5C236" w14:textId="67A0C034" w:rsidR="00E73A81" w:rsidRDefault="00E73A81" w:rsidP="00A13DCA">
            <w:pPr>
              <w:pStyle w:val="TSBodyText"/>
              <w:rPr>
                <w:rFonts w:cs="Calibri"/>
                <w:sz w:val="16"/>
                <w:szCs w:val="16"/>
              </w:rPr>
            </w:pPr>
            <w:r>
              <w:rPr>
                <w:rFonts w:cs="Calibri"/>
                <w:sz w:val="16"/>
                <w:szCs w:val="16"/>
              </w:rPr>
              <w:t>Alzheimer’s and Dementia</w:t>
            </w:r>
          </w:p>
        </w:tc>
        <w:tc>
          <w:tcPr>
            <w:tcW w:w="413" w:type="pct"/>
          </w:tcPr>
          <w:p w14:paraId="71E87A70" w14:textId="59F66773" w:rsidR="00E73A81" w:rsidRDefault="00E73A81" w:rsidP="00A13DCA">
            <w:pPr>
              <w:pStyle w:val="TSBodyText"/>
              <w:rPr>
                <w:rFonts w:cs="Calibri"/>
                <w:sz w:val="16"/>
                <w:szCs w:val="16"/>
              </w:rPr>
            </w:pPr>
            <w:r>
              <w:rPr>
                <w:rFonts w:cs="Calibri"/>
                <w:sz w:val="16"/>
                <w:szCs w:val="16"/>
              </w:rPr>
              <w:t>Ma’u at al. 2021</w:t>
            </w:r>
          </w:p>
        </w:tc>
        <w:tc>
          <w:tcPr>
            <w:tcW w:w="311" w:type="pct"/>
          </w:tcPr>
          <w:p w14:paraId="7EAE1F4F" w14:textId="5CEB8616" w:rsidR="00E73A81" w:rsidRDefault="00E73A81" w:rsidP="00A13DCA">
            <w:pPr>
              <w:pStyle w:val="TSBodyText"/>
              <w:rPr>
                <w:rFonts w:cs="Calibri"/>
                <w:sz w:val="16"/>
                <w:szCs w:val="16"/>
              </w:rPr>
            </w:pPr>
            <w:r>
              <w:rPr>
                <w:rFonts w:cs="Calibri"/>
                <w:sz w:val="16"/>
                <w:szCs w:val="16"/>
              </w:rPr>
              <w:t>2018-2020</w:t>
            </w:r>
          </w:p>
        </w:tc>
        <w:tc>
          <w:tcPr>
            <w:tcW w:w="362" w:type="pct"/>
          </w:tcPr>
          <w:p w14:paraId="78F40704" w14:textId="5283D5A1" w:rsidR="00E73A81" w:rsidRDefault="00E73A81" w:rsidP="00A13DCA">
            <w:pPr>
              <w:pStyle w:val="TSBodyText"/>
              <w:rPr>
                <w:rFonts w:cs="Calibri"/>
                <w:sz w:val="16"/>
                <w:szCs w:val="16"/>
              </w:rPr>
            </w:pPr>
            <w:r>
              <w:rPr>
                <w:rFonts w:cs="Calibri"/>
                <w:sz w:val="16"/>
                <w:szCs w:val="16"/>
              </w:rPr>
              <w:t xml:space="preserve">NZD 2020 </w:t>
            </w:r>
          </w:p>
        </w:tc>
        <w:tc>
          <w:tcPr>
            <w:tcW w:w="667" w:type="pct"/>
          </w:tcPr>
          <w:p w14:paraId="26A760F3" w14:textId="77777777" w:rsidR="00E73A81" w:rsidRDefault="00E73A81" w:rsidP="00A13DCA">
            <w:pPr>
              <w:pStyle w:val="TSBodyText"/>
              <w:rPr>
                <w:rFonts w:cs="Calibri"/>
                <w:sz w:val="16"/>
                <w:szCs w:val="16"/>
              </w:rPr>
            </w:pPr>
            <w:r>
              <w:rPr>
                <w:rFonts w:cs="Calibri"/>
                <w:sz w:val="16"/>
                <w:szCs w:val="16"/>
              </w:rPr>
              <w:t xml:space="preserve">Health care: </w:t>
            </w:r>
            <w:r w:rsidRPr="00EA2F07">
              <w:rPr>
                <w:rFonts w:cs="Calibri"/>
                <w:sz w:val="16"/>
                <w:szCs w:val="16"/>
              </w:rPr>
              <w:t>$</w:t>
            </w:r>
            <w:r>
              <w:rPr>
                <w:rFonts w:cs="Calibri"/>
                <w:sz w:val="16"/>
                <w:szCs w:val="16"/>
              </w:rPr>
              <w:t>280.1</w:t>
            </w:r>
            <w:r w:rsidRPr="00EA2F07">
              <w:rPr>
                <w:rFonts w:cs="Calibri"/>
                <w:sz w:val="16"/>
                <w:szCs w:val="16"/>
              </w:rPr>
              <w:t>m</w:t>
            </w:r>
          </w:p>
          <w:p w14:paraId="44BE2541" w14:textId="7E3F0D7C" w:rsidR="00E73A81" w:rsidRDefault="00E73A81" w:rsidP="00A13DCA">
            <w:pPr>
              <w:pStyle w:val="TSBodyText"/>
              <w:rPr>
                <w:rFonts w:cs="Calibri"/>
                <w:sz w:val="16"/>
                <w:szCs w:val="16"/>
              </w:rPr>
            </w:pPr>
            <w:r>
              <w:rPr>
                <w:rFonts w:cs="Calibri"/>
                <w:sz w:val="16"/>
                <w:szCs w:val="16"/>
              </w:rPr>
              <w:t>ARC: $1.233m</w:t>
            </w:r>
          </w:p>
        </w:tc>
        <w:tc>
          <w:tcPr>
            <w:tcW w:w="462" w:type="pct"/>
          </w:tcPr>
          <w:p w14:paraId="4DA811BE" w14:textId="53F54BA0" w:rsidR="00E73A81" w:rsidRPr="006269D4" w:rsidRDefault="00E73A81" w:rsidP="00A13DCA">
            <w:pPr>
              <w:pStyle w:val="TSBodyText"/>
              <w:rPr>
                <w:rFonts w:cs="Calibri"/>
                <w:sz w:val="16"/>
                <w:szCs w:val="16"/>
              </w:rPr>
            </w:pPr>
            <w:r>
              <w:rPr>
                <w:rFonts w:cs="Calibri"/>
                <w:sz w:val="16"/>
                <w:szCs w:val="16"/>
              </w:rPr>
              <w:t>Transfers: $1.908m</w:t>
            </w:r>
          </w:p>
        </w:tc>
        <w:tc>
          <w:tcPr>
            <w:tcW w:w="926" w:type="pct"/>
          </w:tcPr>
          <w:p w14:paraId="43BD8BC7" w14:textId="04632374" w:rsidR="00E73A81" w:rsidRPr="006269D4" w:rsidRDefault="00E73A81" w:rsidP="00A13DCA">
            <w:pPr>
              <w:pStyle w:val="TSBodyText"/>
              <w:rPr>
                <w:rFonts w:cs="Calibri"/>
                <w:sz w:val="16"/>
                <w:szCs w:val="16"/>
              </w:rPr>
            </w:pPr>
            <w:r w:rsidRPr="009D7A3C">
              <w:rPr>
                <w:rFonts w:cs="Calibri"/>
                <w:sz w:val="16"/>
                <w:szCs w:val="16"/>
              </w:rPr>
              <w:t>$2.</w:t>
            </w:r>
            <w:r>
              <w:rPr>
                <w:rFonts w:cs="Calibri"/>
                <w:sz w:val="16"/>
                <w:szCs w:val="16"/>
              </w:rPr>
              <w:t>51b</w:t>
            </w:r>
          </w:p>
        </w:tc>
        <w:tc>
          <w:tcPr>
            <w:tcW w:w="569" w:type="pct"/>
          </w:tcPr>
          <w:p w14:paraId="6A53C2F3" w14:textId="77777777" w:rsidR="00E73A81" w:rsidRDefault="00E73A81" w:rsidP="00A13DCA">
            <w:pPr>
              <w:pStyle w:val="TSBodyText"/>
              <w:rPr>
                <w:rFonts w:cs="Calibri"/>
                <w:sz w:val="16"/>
                <w:szCs w:val="16"/>
              </w:rPr>
            </w:pPr>
            <w:r>
              <w:rPr>
                <w:rFonts w:cs="Calibri"/>
                <w:sz w:val="16"/>
                <w:szCs w:val="16"/>
              </w:rPr>
              <w:t>Prevalence based</w:t>
            </w:r>
          </w:p>
          <w:p w14:paraId="59A81E65" w14:textId="2A6ACBC1" w:rsidR="00E73A81" w:rsidRPr="008654CA" w:rsidRDefault="00E73A81" w:rsidP="00A13DCA">
            <w:pPr>
              <w:pStyle w:val="TSBodyText"/>
              <w:rPr>
                <w:rFonts w:cs="Calibri"/>
                <w:sz w:val="16"/>
                <w:szCs w:val="16"/>
              </w:rPr>
            </w:pPr>
            <w:r>
              <w:rPr>
                <w:rFonts w:cs="Calibri"/>
                <w:sz w:val="16"/>
                <w:szCs w:val="16"/>
              </w:rPr>
              <w:t>Bottom-up gross costing</w:t>
            </w:r>
          </w:p>
        </w:tc>
        <w:tc>
          <w:tcPr>
            <w:tcW w:w="674" w:type="pct"/>
          </w:tcPr>
          <w:p w14:paraId="21A2DF03" w14:textId="5E177F08" w:rsidR="00E73A81" w:rsidRDefault="00E73A81" w:rsidP="00A13DCA">
            <w:pPr>
              <w:pStyle w:val="TSBodyText"/>
              <w:rPr>
                <w:rFonts w:cs="Calibri"/>
                <w:sz w:val="16"/>
                <w:szCs w:val="16"/>
              </w:rPr>
            </w:pPr>
            <w:r>
              <w:rPr>
                <w:rFonts w:cs="Calibri"/>
                <w:sz w:val="16"/>
                <w:szCs w:val="16"/>
              </w:rPr>
              <w:t>Societal</w:t>
            </w:r>
          </w:p>
        </w:tc>
      </w:tr>
      <w:tr w:rsidR="00B50AF9" w:rsidRPr="00731CA6" w14:paraId="5A9035EC" w14:textId="77777777" w:rsidTr="00A46D00">
        <w:trPr>
          <w:cantSplit/>
        </w:trPr>
        <w:tc>
          <w:tcPr>
            <w:tcW w:w="616" w:type="pct"/>
          </w:tcPr>
          <w:p w14:paraId="488BDD84" w14:textId="77777777" w:rsidR="00B24EE7" w:rsidRDefault="00B24EE7" w:rsidP="00A13DCA">
            <w:pPr>
              <w:pStyle w:val="TSBodyText"/>
              <w:rPr>
                <w:rFonts w:cs="Calibri"/>
                <w:sz w:val="16"/>
                <w:szCs w:val="16"/>
              </w:rPr>
            </w:pPr>
            <w:r>
              <w:rPr>
                <w:rFonts w:cs="Calibri"/>
                <w:sz w:val="16"/>
                <w:szCs w:val="16"/>
              </w:rPr>
              <w:t>Arthritis</w:t>
            </w:r>
          </w:p>
          <w:p w14:paraId="38BDF595" w14:textId="77777777" w:rsidR="00B24EE7" w:rsidRPr="006269D4" w:rsidRDefault="00B24EE7" w:rsidP="00A13DCA">
            <w:pPr>
              <w:pStyle w:val="TSBodyText"/>
              <w:rPr>
                <w:rFonts w:cs="Calibri"/>
                <w:sz w:val="16"/>
                <w:szCs w:val="16"/>
              </w:rPr>
            </w:pPr>
          </w:p>
        </w:tc>
        <w:tc>
          <w:tcPr>
            <w:tcW w:w="413" w:type="pct"/>
          </w:tcPr>
          <w:p w14:paraId="6A832CCB" w14:textId="004017E7" w:rsidR="00B24EE7" w:rsidRPr="006269D4" w:rsidRDefault="00B24EE7" w:rsidP="00A13DCA">
            <w:pPr>
              <w:pStyle w:val="TSBodyText"/>
              <w:rPr>
                <w:rFonts w:cs="Calibri"/>
                <w:sz w:val="16"/>
                <w:szCs w:val="16"/>
              </w:rPr>
            </w:pPr>
            <w:r>
              <w:rPr>
                <w:rFonts w:cs="Calibri"/>
                <w:sz w:val="16"/>
                <w:szCs w:val="16"/>
              </w:rPr>
              <w:t xml:space="preserve">Deloitte Access </w:t>
            </w:r>
            <w:r w:rsidR="00896320">
              <w:rPr>
                <w:rFonts w:cs="Calibri"/>
                <w:sz w:val="16"/>
                <w:szCs w:val="16"/>
              </w:rPr>
              <w:t>Economics 2018</w:t>
            </w:r>
          </w:p>
        </w:tc>
        <w:tc>
          <w:tcPr>
            <w:tcW w:w="311" w:type="pct"/>
          </w:tcPr>
          <w:p w14:paraId="455A5584" w14:textId="77777777" w:rsidR="00B24EE7" w:rsidRPr="006269D4" w:rsidRDefault="00B24EE7" w:rsidP="00A13DCA">
            <w:pPr>
              <w:pStyle w:val="TSBodyText"/>
              <w:rPr>
                <w:rFonts w:cs="Calibri"/>
                <w:sz w:val="16"/>
                <w:szCs w:val="16"/>
              </w:rPr>
            </w:pPr>
            <w:r>
              <w:rPr>
                <w:rFonts w:cs="Calibri"/>
                <w:sz w:val="16"/>
                <w:szCs w:val="16"/>
              </w:rPr>
              <w:t>2014/19</w:t>
            </w:r>
          </w:p>
        </w:tc>
        <w:tc>
          <w:tcPr>
            <w:tcW w:w="362" w:type="pct"/>
          </w:tcPr>
          <w:p w14:paraId="358F86C4" w14:textId="77777777" w:rsidR="00B24EE7" w:rsidRPr="006269D4" w:rsidRDefault="00B24EE7" w:rsidP="00A13DCA">
            <w:pPr>
              <w:pStyle w:val="TSBodyText"/>
              <w:rPr>
                <w:rFonts w:cs="Calibri"/>
                <w:sz w:val="16"/>
                <w:szCs w:val="16"/>
              </w:rPr>
            </w:pPr>
            <w:r>
              <w:rPr>
                <w:rFonts w:cs="Calibri"/>
                <w:sz w:val="16"/>
                <w:szCs w:val="16"/>
              </w:rPr>
              <w:t>NZD 2018</w:t>
            </w:r>
          </w:p>
        </w:tc>
        <w:tc>
          <w:tcPr>
            <w:tcW w:w="667" w:type="pct"/>
          </w:tcPr>
          <w:p w14:paraId="7BF89425" w14:textId="77777777" w:rsidR="00B24EE7" w:rsidRDefault="00B24EE7" w:rsidP="00A13DCA">
            <w:pPr>
              <w:pStyle w:val="TSBodyText"/>
              <w:rPr>
                <w:rFonts w:cs="Calibri"/>
                <w:sz w:val="16"/>
                <w:szCs w:val="16"/>
              </w:rPr>
            </w:pPr>
            <w:r w:rsidRPr="00881EFC">
              <w:rPr>
                <w:rFonts w:cs="Calibri"/>
                <w:sz w:val="16"/>
                <w:szCs w:val="16"/>
              </w:rPr>
              <w:t>$</w:t>
            </w:r>
            <w:r>
              <w:rPr>
                <w:rFonts w:cs="Calibri"/>
                <w:sz w:val="16"/>
                <w:szCs w:val="16"/>
              </w:rPr>
              <w:t>1.058b</w:t>
            </w:r>
          </w:p>
          <w:p w14:paraId="381B0977" w14:textId="0A585C03" w:rsidR="00B24EE7" w:rsidRPr="006269D4" w:rsidRDefault="00B24EE7" w:rsidP="00A13DCA">
            <w:pPr>
              <w:pStyle w:val="TSBodyText"/>
              <w:rPr>
                <w:rFonts w:cs="Calibri"/>
                <w:sz w:val="16"/>
                <w:szCs w:val="16"/>
              </w:rPr>
            </w:pPr>
            <w:r>
              <w:rPr>
                <w:rFonts w:cs="Calibri"/>
                <w:sz w:val="16"/>
                <w:szCs w:val="16"/>
              </w:rPr>
              <w:t>(32% hospital costs)</w:t>
            </w:r>
          </w:p>
        </w:tc>
        <w:tc>
          <w:tcPr>
            <w:tcW w:w="462" w:type="pct"/>
          </w:tcPr>
          <w:p w14:paraId="0046FC51" w14:textId="60752662" w:rsidR="00B24EE7" w:rsidRPr="006269D4" w:rsidRDefault="00B24EE7" w:rsidP="00A13DCA">
            <w:pPr>
              <w:pStyle w:val="TSBodyText"/>
              <w:rPr>
                <w:rFonts w:cs="Calibri"/>
                <w:sz w:val="16"/>
                <w:szCs w:val="16"/>
              </w:rPr>
            </w:pPr>
            <w:r>
              <w:rPr>
                <w:rFonts w:cs="Calibri"/>
                <w:sz w:val="16"/>
                <w:szCs w:val="16"/>
              </w:rPr>
              <w:t>$1.13b</w:t>
            </w:r>
          </w:p>
        </w:tc>
        <w:tc>
          <w:tcPr>
            <w:tcW w:w="926" w:type="pct"/>
          </w:tcPr>
          <w:p w14:paraId="3E4A59FC" w14:textId="1F494708" w:rsidR="00B24EE7" w:rsidRPr="006269D4" w:rsidRDefault="00B24EE7" w:rsidP="00A13DCA">
            <w:pPr>
              <w:pStyle w:val="TSBodyText"/>
              <w:rPr>
                <w:rFonts w:cs="Calibri"/>
                <w:sz w:val="16"/>
                <w:szCs w:val="16"/>
              </w:rPr>
            </w:pPr>
            <w:r w:rsidRPr="008704D8">
              <w:rPr>
                <w:rFonts w:cs="Calibri"/>
                <w:sz w:val="16"/>
                <w:szCs w:val="16"/>
              </w:rPr>
              <w:t>$</w:t>
            </w:r>
            <w:r>
              <w:rPr>
                <w:rFonts w:cs="Calibri"/>
                <w:sz w:val="16"/>
                <w:szCs w:val="16"/>
              </w:rPr>
              <w:t>13b</w:t>
            </w:r>
          </w:p>
        </w:tc>
        <w:tc>
          <w:tcPr>
            <w:tcW w:w="569" w:type="pct"/>
          </w:tcPr>
          <w:p w14:paraId="456AF8FB" w14:textId="77777777" w:rsidR="00B24EE7" w:rsidRDefault="00B24EE7" w:rsidP="00A13DCA">
            <w:pPr>
              <w:pStyle w:val="TSBodyText"/>
              <w:rPr>
                <w:rFonts w:cs="Calibri"/>
                <w:sz w:val="16"/>
                <w:szCs w:val="16"/>
              </w:rPr>
            </w:pPr>
            <w:r>
              <w:rPr>
                <w:rFonts w:cs="Calibri"/>
                <w:sz w:val="16"/>
                <w:szCs w:val="16"/>
              </w:rPr>
              <w:t>Prevalence-based</w:t>
            </w:r>
          </w:p>
          <w:p w14:paraId="33DE94A5" w14:textId="3E657615" w:rsidR="00B24EE7" w:rsidRDefault="00B24EE7" w:rsidP="00A13DCA">
            <w:pPr>
              <w:pStyle w:val="TSBodyText"/>
              <w:rPr>
                <w:rFonts w:cs="Calibri"/>
                <w:sz w:val="16"/>
                <w:szCs w:val="16"/>
              </w:rPr>
            </w:pPr>
            <w:r>
              <w:rPr>
                <w:rFonts w:cs="Calibri"/>
                <w:sz w:val="16"/>
                <w:szCs w:val="16"/>
              </w:rPr>
              <w:t>Top-down gross costing</w:t>
            </w:r>
          </w:p>
          <w:p w14:paraId="7CF94126" w14:textId="77777777" w:rsidR="00B24EE7" w:rsidRPr="006269D4" w:rsidRDefault="00B24EE7" w:rsidP="00A13DCA">
            <w:pPr>
              <w:pStyle w:val="TSBodyText"/>
              <w:rPr>
                <w:rFonts w:cs="Calibri"/>
                <w:sz w:val="16"/>
                <w:szCs w:val="16"/>
              </w:rPr>
            </w:pPr>
            <w:r>
              <w:rPr>
                <w:rFonts w:cs="Calibri"/>
                <w:sz w:val="16"/>
                <w:szCs w:val="16"/>
              </w:rPr>
              <w:t>Attributable costs</w:t>
            </w:r>
          </w:p>
        </w:tc>
        <w:tc>
          <w:tcPr>
            <w:tcW w:w="674" w:type="pct"/>
          </w:tcPr>
          <w:p w14:paraId="01454C63" w14:textId="77777777" w:rsidR="00B24EE7" w:rsidRPr="006269D4" w:rsidRDefault="00B24EE7" w:rsidP="00A13DCA">
            <w:pPr>
              <w:pStyle w:val="TSBodyText"/>
              <w:rPr>
                <w:rFonts w:cs="Calibri"/>
                <w:sz w:val="16"/>
                <w:szCs w:val="16"/>
              </w:rPr>
            </w:pPr>
            <w:r>
              <w:rPr>
                <w:rFonts w:cs="Calibri"/>
                <w:sz w:val="16"/>
                <w:szCs w:val="16"/>
              </w:rPr>
              <w:t>Societal</w:t>
            </w:r>
          </w:p>
        </w:tc>
      </w:tr>
      <w:tr w:rsidR="00B50AF9" w:rsidRPr="00731CA6" w14:paraId="74C2FFD0"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69719545" w14:textId="77777777" w:rsidR="00B24EE7" w:rsidRDefault="00B24EE7" w:rsidP="00A13DCA">
            <w:pPr>
              <w:pStyle w:val="TSBodyText"/>
              <w:rPr>
                <w:rFonts w:cs="Calibri"/>
                <w:sz w:val="16"/>
                <w:szCs w:val="16"/>
              </w:rPr>
            </w:pPr>
            <w:r>
              <w:rPr>
                <w:rFonts w:cs="Calibri"/>
                <w:sz w:val="16"/>
                <w:szCs w:val="16"/>
              </w:rPr>
              <w:t>Asthma</w:t>
            </w:r>
          </w:p>
          <w:p w14:paraId="45786B02" w14:textId="77777777" w:rsidR="00B24EE7" w:rsidRPr="006269D4" w:rsidRDefault="00B24EE7" w:rsidP="00A13DCA">
            <w:pPr>
              <w:pStyle w:val="TSBodyText"/>
              <w:rPr>
                <w:rFonts w:cs="Calibri"/>
                <w:sz w:val="16"/>
                <w:szCs w:val="16"/>
              </w:rPr>
            </w:pPr>
          </w:p>
        </w:tc>
        <w:tc>
          <w:tcPr>
            <w:tcW w:w="413" w:type="pct"/>
          </w:tcPr>
          <w:p w14:paraId="37ADF7A1" w14:textId="4D8A224F" w:rsidR="00B24EE7" w:rsidRPr="006269D4" w:rsidRDefault="00B24EE7" w:rsidP="00A13DCA">
            <w:pPr>
              <w:pStyle w:val="TSBodyText"/>
              <w:rPr>
                <w:rFonts w:cs="Calibri"/>
                <w:sz w:val="16"/>
                <w:szCs w:val="16"/>
              </w:rPr>
            </w:pPr>
            <w:r>
              <w:rPr>
                <w:rFonts w:cs="Calibri"/>
                <w:sz w:val="16"/>
                <w:szCs w:val="16"/>
              </w:rPr>
              <w:t>Telfar Barnard et al. 2015</w:t>
            </w:r>
          </w:p>
        </w:tc>
        <w:tc>
          <w:tcPr>
            <w:tcW w:w="311" w:type="pct"/>
          </w:tcPr>
          <w:p w14:paraId="2801B567" w14:textId="77777777" w:rsidR="00B24EE7" w:rsidRPr="006269D4" w:rsidRDefault="00B24EE7" w:rsidP="00A13DCA">
            <w:pPr>
              <w:pStyle w:val="TSBodyText"/>
              <w:rPr>
                <w:rFonts w:cs="Calibri"/>
                <w:sz w:val="16"/>
                <w:szCs w:val="16"/>
              </w:rPr>
            </w:pPr>
            <w:r>
              <w:rPr>
                <w:rFonts w:cs="Calibri"/>
                <w:sz w:val="16"/>
                <w:szCs w:val="16"/>
              </w:rPr>
              <w:t>2000-2013</w:t>
            </w:r>
          </w:p>
        </w:tc>
        <w:tc>
          <w:tcPr>
            <w:tcW w:w="362" w:type="pct"/>
          </w:tcPr>
          <w:p w14:paraId="6499090E" w14:textId="77777777" w:rsidR="00B24EE7" w:rsidRPr="006269D4" w:rsidRDefault="00B24EE7" w:rsidP="00A13DCA">
            <w:pPr>
              <w:pStyle w:val="TSBodyText"/>
              <w:rPr>
                <w:rFonts w:cs="Calibri"/>
                <w:sz w:val="16"/>
                <w:szCs w:val="16"/>
              </w:rPr>
            </w:pPr>
            <w:r>
              <w:rPr>
                <w:rFonts w:cs="Calibri"/>
                <w:sz w:val="16"/>
                <w:szCs w:val="16"/>
              </w:rPr>
              <w:t>NZD 2011</w:t>
            </w:r>
          </w:p>
        </w:tc>
        <w:tc>
          <w:tcPr>
            <w:tcW w:w="667" w:type="pct"/>
          </w:tcPr>
          <w:p w14:paraId="26DA5940" w14:textId="77777777" w:rsidR="00B24EE7" w:rsidRDefault="00B24EE7" w:rsidP="00A13DCA">
            <w:pPr>
              <w:pStyle w:val="TSBodyText"/>
              <w:rPr>
                <w:rFonts w:cs="Calibri"/>
                <w:sz w:val="16"/>
                <w:szCs w:val="16"/>
              </w:rPr>
            </w:pPr>
            <w:r>
              <w:rPr>
                <w:rFonts w:cs="Calibri"/>
                <w:sz w:val="16"/>
                <w:szCs w:val="16"/>
              </w:rPr>
              <w:t>ED and OP: $65m</w:t>
            </w:r>
          </w:p>
          <w:p w14:paraId="219EC3FE" w14:textId="77777777" w:rsidR="00B24EE7" w:rsidRDefault="00B24EE7" w:rsidP="00A13DCA">
            <w:pPr>
              <w:pStyle w:val="TSBodyText"/>
              <w:rPr>
                <w:rFonts w:cs="Calibri"/>
                <w:sz w:val="16"/>
                <w:szCs w:val="16"/>
              </w:rPr>
            </w:pPr>
            <w:r>
              <w:rPr>
                <w:rFonts w:cs="Calibri"/>
                <w:sz w:val="16"/>
                <w:szCs w:val="16"/>
              </w:rPr>
              <w:t>Inpatient: $21m</w:t>
            </w:r>
          </w:p>
          <w:p w14:paraId="62D1B5A6" w14:textId="77777777" w:rsidR="00B24EE7" w:rsidRDefault="00B24EE7" w:rsidP="00A13DCA">
            <w:pPr>
              <w:pStyle w:val="TSBodyText"/>
              <w:rPr>
                <w:rFonts w:cs="Calibri"/>
                <w:sz w:val="16"/>
                <w:szCs w:val="16"/>
              </w:rPr>
            </w:pPr>
            <w:r>
              <w:rPr>
                <w:rFonts w:cs="Calibri"/>
                <w:sz w:val="16"/>
                <w:szCs w:val="16"/>
              </w:rPr>
              <w:t>GP: $30m</w:t>
            </w:r>
          </w:p>
          <w:p w14:paraId="0398C6AE" w14:textId="60175997" w:rsidR="00B24EE7" w:rsidRPr="006269D4" w:rsidRDefault="00B24EE7" w:rsidP="00A13DCA">
            <w:pPr>
              <w:pStyle w:val="TSBodyText"/>
              <w:rPr>
                <w:rFonts w:cs="Calibri"/>
                <w:sz w:val="16"/>
                <w:szCs w:val="16"/>
              </w:rPr>
            </w:pPr>
            <w:r>
              <w:rPr>
                <w:rFonts w:cs="Calibri"/>
                <w:sz w:val="16"/>
                <w:szCs w:val="16"/>
              </w:rPr>
              <w:lastRenderedPageBreak/>
              <w:t>Prescriptions: $74m</w:t>
            </w:r>
          </w:p>
        </w:tc>
        <w:tc>
          <w:tcPr>
            <w:tcW w:w="462" w:type="pct"/>
          </w:tcPr>
          <w:p w14:paraId="316FBA25" w14:textId="77777777" w:rsidR="00B24EE7" w:rsidRDefault="00B24EE7" w:rsidP="00A13DCA">
            <w:pPr>
              <w:pStyle w:val="TSBodyText"/>
              <w:rPr>
                <w:rFonts w:cs="Calibri"/>
                <w:sz w:val="16"/>
                <w:szCs w:val="16"/>
              </w:rPr>
            </w:pPr>
            <w:r>
              <w:rPr>
                <w:rFonts w:cs="Calibri"/>
                <w:sz w:val="16"/>
                <w:szCs w:val="16"/>
              </w:rPr>
              <w:lastRenderedPageBreak/>
              <w:t>Productivity: $17m</w:t>
            </w:r>
          </w:p>
          <w:p w14:paraId="1218A639" w14:textId="2644EAEB" w:rsidR="00B24EE7" w:rsidRPr="006269D4" w:rsidRDefault="00B24EE7" w:rsidP="00A13DCA">
            <w:pPr>
              <w:pStyle w:val="TSBodyText"/>
              <w:rPr>
                <w:rFonts w:cs="Calibri"/>
                <w:sz w:val="16"/>
                <w:szCs w:val="16"/>
              </w:rPr>
            </w:pPr>
            <w:r>
              <w:rPr>
                <w:rFonts w:cs="Calibri"/>
                <w:sz w:val="16"/>
                <w:szCs w:val="16"/>
              </w:rPr>
              <w:t>YLDs: $531m</w:t>
            </w:r>
          </w:p>
        </w:tc>
        <w:tc>
          <w:tcPr>
            <w:tcW w:w="926" w:type="pct"/>
          </w:tcPr>
          <w:p w14:paraId="56AD940D" w14:textId="1FE09C73" w:rsidR="00B24EE7" w:rsidRPr="006269D4" w:rsidRDefault="00B24EE7" w:rsidP="00A13DCA">
            <w:pPr>
              <w:pStyle w:val="TSBodyText"/>
              <w:rPr>
                <w:rFonts w:cs="Calibri"/>
                <w:sz w:val="16"/>
                <w:szCs w:val="16"/>
              </w:rPr>
            </w:pPr>
            <w:r>
              <w:rPr>
                <w:rFonts w:cs="Calibri"/>
                <w:sz w:val="16"/>
                <w:szCs w:val="16"/>
              </w:rPr>
              <w:t>$990m</w:t>
            </w:r>
          </w:p>
        </w:tc>
        <w:tc>
          <w:tcPr>
            <w:tcW w:w="569" w:type="pct"/>
          </w:tcPr>
          <w:p w14:paraId="5C158B2A" w14:textId="77777777" w:rsidR="00B24EE7" w:rsidRDefault="00B24EE7" w:rsidP="00A13DCA">
            <w:pPr>
              <w:pStyle w:val="TSBodyText"/>
              <w:rPr>
                <w:rFonts w:cs="Calibri"/>
                <w:sz w:val="16"/>
                <w:szCs w:val="16"/>
              </w:rPr>
            </w:pPr>
            <w:r>
              <w:rPr>
                <w:rFonts w:cs="Calibri"/>
                <w:sz w:val="16"/>
                <w:szCs w:val="16"/>
              </w:rPr>
              <w:t>Prevalence based</w:t>
            </w:r>
          </w:p>
          <w:p w14:paraId="4188BF4C" w14:textId="785E41D6" w:rsidR="00B24EE7" w:rsidRPr="006269D4" w:rsidRDefault="00B24EE7" w:rsidP="00A13DCA">
            <w:pPr>
              <w:pStyle w:val="TSBodyText"/>
              <w:rPr>
                <w:rFonts w:cs="Calibri"/>
                <w:sz w:val="16"/>
                <w:szCs w:val="16"/>
              </w:rPr>
            </w:pPr>
            <w:r>
              <w:rPr>
                <w:rFonts w:cs="Calibri"/>
                <w:sz w:val="16"/>
                <w:szCs w:val="16"/>
              </w:rPr>
              <w:t>Bottom-up gross costing</w:t>
            </w:r>
          </w:p>
        </w:tc>
        <w:tc>
          <w:tcPr>
            <w:tcW w:w="674" w:type="pct"/>
          </w:tcPr>
          <w:p w14:paraId="361F95CF" w14:textId="77777777" w:rsidR="00B24EE7" w:rsidRPr="006269D4" w:rsidRDefault="00B24EE7" w:rsidP="00A13DCA">
            <w:pPr>
              <w:pStyle w:val="TSBodyText"/>
              <w:rPr>
                <w:rFonts w:cs="Calibri"/>
                <w:sz w:val="16"/>
                <w:szCs w:val="16"/>
              </w:rPr>
            </w:pPr>
            <w:r w:rsidRPr="006C4B23">
              <w:rPr>
                <w:rFonts w:cs="Calibri"/>
                <w:sz w:val="16"/>
                <w:szCs w:val="16"/>
              </w:rPr>
              <w:t>Societal</w:t>
            </w:r>
          </w:p>
        </w:tc>
      </w:tr>
      <w:tr w:rsidR="00B50AF9" w:rsidRPr="00731CA6" w14:paraId="667741E8" w14:textId="77777777" w:rsidTr="00A46D00">
        <w:trPr>
          <w:cantSplit/>
        </w:trPr>
        <w:tc>
          <w:tcPr>
            <w:tcW w:w="616" w:type="pct"/>
          </w:tcPr>
          <w:p w14:paraId="77DCB1B1" w14:textId="77777777" w:rsidR="00B24EE7" w:rsidRPr="006269D4" w:rsidRDefault="00B24EE7" w:rsidP="00A13DCA">
            <w:pPr>
              <w:pStyle w:val="TSBodyText"/>
              <w:rPr>
                <w:rFonts w:cs="Calibri"/>
                <w:sz w:val="16"/>
                <w:szCs w:val="16"/>
              </w:rPr>
            </w:pPr>
            <w:r>
              <w:rPr>
                <w:rFonts w:cs="Calibri"/>
                <w:sz w:val="16"/>
                <w:szCs w:val="16"/>
              </w:rPr>
              <w:t>Asthma</w:t>
            </w:r>
          </w:p>
        </w:tc>
        <w:tc>
          <w:tcPr>
            <w:tcW w:w="413" w:type="pct"/>
          </w:tcPr>
          <w:p w14:paraId="6899B920" w14:textId="77777777" w:rsidR="00B24EE7" w:rsidRPr="006269D4" w:rsidRDefault="00B24EE7" w:rsidP="00A13DCA">
            <w:pPr>
              <w:pStyle w:val="TSBodyText"/>
              <w:rPr>
                <w:rFonts w:cs="Calibri"/>
                <w:sz w:val="16"/>
                <w:szCs w:val="16"/>
              </w:rPr>
            </w:pPr>
            <w:r>
              <w:rPr>
                <w:rFonts w:cs="Calibri"/>
                <w:sz w:val="16"/>
                <w:szCs w:val="16"/>
              </w:rPr>
              <w:t>Carswell et al. 2015</w:t>
            </w:r>
          </w:p>
        </w:tc>
        <w:tc>
          <w:tcPr>
            <w:tcW w:w="311" w:type="pct"/>
          </w:tcPr>
          <w:p w14:paraId="6C5FFB21" w14:textId="77777777" w:rsidR="00B24EE7" w:rsidRPr="006269D4" w:rsidRDefault="00B24EE7" w:rsidP="00A13DCA">
            <w:pPr>
              <w:pStyle w:val="TSBodyText"/>
              <w:rPr>
                <w:rFonts w:cs="Calibri"/>
                <w:sz w:val="16"/>
                <w:szCs w:val="16"/>
              </w:rPr>
            </w:pPr>
          </w:p>
        </w:tc>
        <w:tc>
          <w:tcPr>
            <w:tcW w:w="362" w:type="pct"/>
          </w:tcPr>
          <w:p w14:paraId="39322084" w14:textId="1F9D32A5" w:rsidR="00B24EE7" w:rsidRPr="006269D4" w:rsidRDefault="00B24EE7" w:rsidP="00A13DCA">
            <w:pPr>
              <w:pStyle w:val="TSBodyText"/>
              <w:rPr>
                <w:rFonts w:cs="Calibri"/>
                <w:sz w:val="16"/>
                <w:szCs w:val="16"/>
              </w:rPr>
            </w:pPr>
            <w:r>
              <w:rPr>
                <w:rFonts w:cs="Calibri"/>
                <w:sz w:val="16"/>
                <w:szCs w:val="16"/>
              </w:rPr>
              <w:t>NZD 2013</w:t>
            </w:r>
          </w:p>
        </w:tc>
        <w:tc>
          <w:tcPr>
            <w:tcW w:w="667" w:type="pct"/>
          </w:tcPr>
          <w:p w14:paraId="531647C9" w14:textId="25755899" w:rsidR="00B24EE7" w:rsidRPr="006269D4" w:rsidRDefault="00B24EE7" w:rsidP="00A13DCA">
            <w:pPr>
              <w:pStyle w:val="TSBodyText"/>
              <w:rPr>
                <w:rFonts w:cs="Calibri"/>
                <w:sz w:val="16"/>
                <w:szCs w:val="16"/>
              </w:rPr>
            </w:pPr>
            <w:r>
              <w:rPr>
                <w:rFonts w:cs="Calibri"/>
                <w:sz w:val="16"/>
                <w:szCs w:val="16"/>
              </w:rPr>
              <w:t>$9m</w:t>
            </w:r>
          </w:p>
        </w:tc>
        <w:tc>
          <w:tcPr>
            <w:tcW w:w="462" w:type="pct"/>
          </w:tcPr>
          <w:p w14:paraId="18CCD013" w14:textId="7581D4CA" w:rsidR="00B24EE7" w:rsidRPr="006269D4" w:rsidRDefault="00B24EE7" w:rsidP="00A13DCA">
            <w:pPr>
              <w:pStyle w:val="TSBodyText"/>
              <w:rPr>
                <w:rFonts w:cs="Calibri"/>
                <w:sz w:val="16"/>
                <w:szCs w:val="16"/>
              </w:rPr>
            </w:pPr>
            <w:r>
              <w:rPr>
                <w:rFonts w:cs="Calibri"/>
                <w:sz w:val="16"/>
                <w:szCs w:val="16"/>
              </w:rPr>
              <w:t>$2.5m</w:t>
            </w:r>
          </w:p>
        </w:tc>
        <w:tc>
          <w:tcPr>
            <w:tcW w:w="926" w:type="pct"/>
          </w:tcPr>
          <w:p w14:paraId="04572B84" w14:textId="2C36EC24" w:rsidR="00B24EE7" w:rsidRPr="006269D4" w:rsidRDefault="00B24EE7" w:rsidP="00A13DCA">
            <w:pPr>
              <w:pStyle w:val="TSBodyText"/>
              <w:rPr>
                <w:rFonts w:cs="Calibri"/>
                <w:sz w:val="16"/>
                <w:szCs w:val="16"/>
              </w:rPr>
            </w:pPr>
            <w:r>
              <w:rPr>
                <w:rFonts w:cs="Calibri"/>
                <w:sz w:val="16"/>
                <w:szCs w:val="16"/>
              </w:rPr>
              <w:t>$11m</w:t>
            </w:r>
          </w:p>
        </w:tc>
        <w:tc>
          <w:tcPr>
            <w:tcW w:w="569" w:type="pct"/>
          </w:tcPr>
          <w:p w14:paraId="1F2D2CCA" w14:textId="77777777" w:rsidR="00B24EE7" w:rsidRDefault="00B24EE7" w:rsidP="00A13DCA">
            <w:pPr>
              <w:pStyle w:val="TSBodyText"/>
              <w:rPr>
                <w:rFonts w:cs="Calibri"/>
                <w:sz w:val="16"/>
                <w:szCs w:val="16"/>
              </w:rPr>
            </w:pPr>
            <w:r w:rsidRPr="00FA5F27">
              <w:rPr>
                <w:rFonts w:cs="Calibri"/>
                <w:sz w:val="16"/>
                <w:szCs w:val="16"/>
              </w:rPr>
              <w:t>Prevalence based</w:t>
            </w:r>
          </w:p>
          <w:p w14:paraId="231BFFF3" w14:textId="77777777" w:rsidR="00B24EE7" w:rsidRDefault="00B24EE7" w:rsidP="00A13DCA">
            <w:pPr>
              <w:pStyle w:val="TSBodyText"/>
              <w:rPr>
                <w:rFonts w:cs="Calibri"/>
                <w:sz w:val="16"/>
                <w:szCs w:val="16"/>
              </w:rPr>
            </w:pPr>
            <w:r>
              <w:rPr>
                <w:rFonts w:cs="Calibri"/>
                <w:sz w:val="16"/>
                <w:szCs w:val="16"/>
              </w:rPr>
              <w:t>Survey-based study</w:t>
            </w:r>
          </w:p>
          <w:p w14:paraId="0436DA75" w14:textId="77777777" w:rsidR="00B24EE7" w:rsidRPr="006269D4" w:rsidRDefault="00B24EE7" w:rsidP="00A13DCA">
            <w:pPr>
              <w:pStyle w:val="TSBodyText"/>
              <w:rPr>
                <w:rFonts w:cs="Calibri"/>
                <w:sz w:val="16"/>
                <w:szCs w:val="16"/>
              </w:rPr>
            </w:pPr>
            <w:r>
              <w:rPr>
                <w:rFonts w:cs="Calibri"/>
                <w:sz w:val="16"/>
                <w:szCs w:val="16"/>
              </w:rPr>
              <w:t>Gross costing</w:t>
            </w:r>
          </w:p>
        </w:tc>
        <w:tc>
          <w:tcPr>
            <w:tcW w:w="674" w:type="pct"/>
          </w:tcPr>
          <w:p w14:paraId="4767716D" w14:textId="77777777" w:rsidR="00B24EE7" w:rsidRPr="006269D4" w:rsidRDefault="00B24EE7" w:rsidP="00A13DCA">
            <w:pPr>
              <w:pStyle w:val="TSBodyText"/>
              <w:rPr>
                <w:rFonts w:cs="Calibri"/>
                <w:sz w:val="16"/>
                <w:szCs w:val="16"/>
              </w:rPr>
            </w:pPr>
            <w:r>
              <w:rPr>
                <w:rFonts w:cs="Calibri"/>
                <w:sz w:val="16"/>
                <w:szCs w:val="16"/>
              </w:rPr>
              <w:t>Societal</w:t>
            </w:r>
          </w:p>
        </w:tc>
      </w:tr>
      <w:tr w:rsidR="00B50AF9" w:rsidRPr="00731CA6" w14:paraId="60A71B2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08283CEC" w14:textId="77777777" w:rsidR="00B24EE7" w:rsidRPr="006269D4" w:rsidRDefault="00B24EE7" w:rsidP="00A13DCA">
            <w:pPr>
              <w:pStyle w:val="TSBodyText"/>
              <w:rPr>
                <w:rFonts w:cs="Calibri"/>
                <w:sz w:val="16"/>
                <w:szCs w:val="16"/>
              </w:rPr>
            </w:pPr>
            <w:r>
              <w:rPr>
                <w:rFonts w:cs="Calibri"/>
                <w:sz w:val="16"/>
                <w:szCs w:val="16"/>
              </w:rPr>
              <w:t>Asthma</w:t>
            </w:r>
          </w:p>
        </w:tc>
        <w:tc>
          <w:tcPr>
            <w:tcW w:w="413" w:type="pct"/>
          </w:tcPr>
          <w:p w14:paraId="0AB5E2D5" w14:textId="5F49D387" w:rsidR="00B24EE7" w:rsidRPr="006269D4" w:rsidRDefault="00B24EE7" w:rsidP="00A13DCA">
            <w:pPr>
              <w:pStyle w:val="TSBodyText"/>
              <w:rPr>
                <w:rFonts w:cs="Calibri"/>
                <w:sz w:val="16"/>
                <w:szCs w:val="16"/>
              </w:rPr>
            </w:pPr>
            <w:r w:rsidRPr="00E22A40">
              <w:rPr>
                <w:rFonts w:cs="Calibri"/>
                <w:sz w:val="16"/>
              </w:rPr>
              <w:t>Telfar Barnard and Zhang 2019</w:t>
            </w:r>
          </w:p>
        </w:tc>
        <w:tc>
          <w:tcPr>
            <w:tcW w:w="311" w:type="pct"/>
          </w:tcPr>
          <w:p w14:paraId="7ECBC896" w14:textId="77777777" w:rsidR="00B24EE7" w:rsidRPr="006269D4" w:rsidRDefault="00B24EE7" w:rsidP="00A13DCA">
            <w:pPr>
              <w:pStyle w:val="TSBodyText"/>
              <w:rPr>
                <w:rFonts w:cs="Calibri"/>
                <w:sz w:val="16"/>
                <w:szCs w:val="16"/>
              </w:rPr>
            </w:pPr>
            <w:r>
              <w:rPr>
                <w:rFonts w:cs="Calibri"/>
                <w:sz w:val="16"/>
                <w:szCs w:val="16"/>
              </w:rPr>
              <w:t>2000-2016</w:t>
            </w:r>
          </w:p>
        </w:tc>
        <w:tc>
          <w:tcPr>
            <w:tcW w:w="362" w:type="pct"/>
          </w:tcPr>
          <w:p w14:paraId="6ADB2012" w14:textId="77777777" w:rsidR="00B24EE7" w:rsidRPr="006269D4" w:rsidRDefault="00B24EE7" w:rsidP="00A13DCA">
            <w:pPr>
              <w:pStyle w:val="TSBodyText"/>
              <w:rPr>
                <w:rFonts w:cs="Calibri"/>
                <w:sz w:val="16"/>
                <w:szCs w:val="16"/>
              </w:rPr>
            </w:pPr>
            <w:r>
              <w:rPr>
                <w:rFonts w:cs="Calibri"/>
                <w:sz w:val="16"/>
                <w:szCs w:val="16"/>
              </w:rPr>
              <w:t>NZD 2015</w:t>
            </w:r>
          </w:p>
        </w:tc>
        <w:tc>
          <w:tcPr>
            <w:tcW w:w="667" w:type="pct"/>
          </w:tcPr>
          <w:p w14:paraId="7A941B3E" w14:textId="77777777" w:rsidR="00B24EE7" w:rsidRDefault="00B24EE7" w:rsidP="00A13DCA">
            <w:pPr>
              <w:pStyle w:val="TSBodyText"/>
              <w:rPr>
                <w:rFonts w:cs="Calibri"/>
                <w:sz w:val="16"/>
                <w:szCs w:val="16"/>
              </w:rPr>
            </w:pPr>
            <w:r>
              <w:rPr>
                <w:rFonts w:cs="Calibri"/>
                <w:sz w:val="16"/>
                <w:szCs w:val="16"/>
              </w:rPr>
              <w:t>ED and OP: $139m</w:t>
            </w:r>
          </w:p>
          <w:p w14:paraId="1EE60F9D" w14:textId="77777777" w:rsidR="00B24EE7" w:rsidRDefault="00B24EE7" w:rsidP="00A13DCA">
            <w:pPr>
              <w:pStyle w:val="TSBodyText"/>
              <w:rPr>
                <w:rFonts w:cs="Calibri"/>
                <w:sz w:val="16"/>
                <w:szCs w:val="16"/>
              </w:rPr>
            </w:pPr>
            <w:r>
              <w:rPr>
                <w:rFonts w:cs="Calibri"/>
                <w:sz w:val="16"/>
                <w:szCs w:val="16"/>
              </w:rPr>
              <w:t>Inpatient: $19m</w:t>
            </w:r>
          </w:p>
          <w:p w14:paraId="7AF1B7B3" w14:textId="77777777" w:rsidR="00B24EE7" w:rsidRDefault="00B24EE7" w:rsidP="00A13DCA">
            <w:pPr>
              <w:pStyle w:val="TSBodyText"/>
              <w:rPr>
                <w:rFonts w:cs="Calibri"/>
                <w:sz w:val="16"/>
                <w:szCs w:val="16"/>
              </w:rPr>
            </w:pPr>
            <w:r>
              <w:rPr>
                <w:rFonts w:cs="Calibri"/>
                <w:sz w:val="16"/>
                <w:szCs w:val="16"/>
              </w:rPr>
              <w:t>GP: $25m</w:t>
            </w:r>
          </w:p>
          <w:p w14:paraId="6DBD17DD" w14:textId="7AD4E4F9" w:rsidR="00B24EE7" w:rsidRPr="006269D4" w:rsidRDefault="00B24EE7" w:rsidP="00A13DCA">
            <w:pPr>
              <w:pStyle w:val="TSBodyText"/>
              <w:rPr>
                <w:rFonts w:cs="Calibri"/>
                <w:sz w:val="16"/>
                <w:szCs w:val="16"/>
              </w:rPr>
            </w:pPr>
            <w:r>
              <w:rPr>
                <w:rFonts w:cs="Calibri"/>
                <w:sz w:val="16"/>
                <w:szCs w:val="16"/>
              </w:rPr>
              <w:t>Prescriptions: $43m</w:t>
            </w:r>
          </w:p>
        </w:tc>
        <w:tc>
          <w:tcPr>
            <w:tcW w:w="462" w:type="pct"/>
          </w:tcPr>
          <w:p w14:paraId="73FD5279" w14:textId="77777777" w:rsidR="00B24EE7" w:rsidRPr="00DA2DC1" w:rsidRDefault="00B24EE7" w:rsidP="00A13DCA">
            <w:pPr>
              <w:pStyle w:val="TSBodyText"/>
              <w:rPr>
                <w:rFonts w:cs="Calibri"/>
                <w:sz w:val="16"/>
                <w:szCs w:val="16"/>
              </w:rPr>
            </w:pPr>
            <w:r w:rsidRPr="00DA2DC1">
              <w:rPr>
                <w:rFonts w:cs="Calibri"/>
                <w:sz w:val="16"/>
                <w:szCs w:val="16"/>
              </w:rPr>
              <w:t>Productivity: $</w:t>
            </w:r>
            <w:r>
              <w:rPr>
                <w:rFonts w:cs="Calibri"/>
                <w:sz w:val="16"/>
                <w:szCs w:val="16"/>
              </w:rPr>
              <w:t>50</w:t>
            </w:r>
            <w:r w:rsidRPr="00DA2DC1">
              <w:rPr>
                <w:rFonts w:cs="Calibri"/>
                <w:sz w:val="16"/>
                <w:szCs w:val="16"/>
              </w:rPr>
              <w:t>m</w:t>
            </w:r>
          </w:p>
          <w:p w14:paraId="3BFAEDDF" w14:textId="5851E99C" w:rsidR="00B24EE7" w:rsidRPr="006269D4" w:rsidRDefault="00B24EE7" w:rsidP="00A13DCA">
            <w:pPr>
              <w:pStyle w:val="TSBodyText"/>
              <w:rPr>
                <w:rFonts w:cs="Calibri"/>
                <w:sz w:val="16"/>
                <w:szCs w:val="16"/>
              </w:rPr>
            </w:pPr>
            <w:r w:rsidRPr="00DA2DC1">
              <w:rPr>
                <w:rFonts w:cs="Calibri"/>
                <w:sz w:val="16"/>
                <w:szCs w:val="16"/>
              </w:rPr>
              <w:t>YLDs: $</w:t>
            </w:r>
            <w:r>
              <w:rPr>
                <w:rFonts w:cs="Calibri"/>
                <w:sz w:val="16"/>
                <w:szCs w:val="16"/>
              </w:rPr>
              <w:t>610m</w:t>
            </w:r>
          </w:p>
        </w:tc>
        <w:tc>
          <w:tcPr>
            <w:tcW w:w="926" w:type="pct"/>
          </w:tcPr>
          <w:p w14:paraId="248449D9" w14:textId="03C10DA8" w:rsidR="00B24EE7" w:rsidRPr="006269D4" w:rsidRDefault="00B24EE7" w:rsidP="00A13DCA">
            <w:pPr>
              <w:pStyle w:val="TSBodyText"/>
              <w:rPr>
                <w:rFonts w:cs="Calibri"/>
                <w:sz w:val="16"/>
                <w:szCs w:val="16"/>
              </w:rPr>
            </w:pPr>
            <w:r>
              <w:rPr>
                <w:rFonts w:cs="Calibri"/>
                <w:sz w:val="16"/>
                <w:szCs w:val="16"/>
              </w:rPr>
              <w:t>$1.156b</w:t>
            </w:r>
          </w:p>
        </w:tc>
        <w:tc>
          <w:tcPr>
            <w:tcW w:w="569" w:type="pct"/>
          </w:tcPr>
          <w:p w14:paraId="0211C867" w14:textId="77777777" w:rsidR="00B24EE7" w:rsidRDefault="00B24EE7" w:rsidP="00A13DCA">
            <w:pPr>
              <w:pStyle w:val="TSBodyText"/>
              <w:rPr>
                <w:rFonts w:cs="Calibri"/>
                <w:sz w:val="16"/>
                <w:szCs w:val="16"/>
              </w:rPr>
            </w:pPr>
            <w:r>
              <w:rPr>
                <w:rFonts w:cs="Calibri"/>
                <w:sz w:val="16"/>
                <w:szCs w:val="16"/>
              </w:rPr>
              <w:t>Prevalence based</w:t>
            </w:r>
          </w:p>
          <w:p w14:paraId="7F41BE3A" w14:textId="2CB9A3D8" w:rsidR="00B24EE7" w:rsidRPr="006269D4" w:rsidRDefault="00B24EE7" w:rsidP="00A13DCA">
            <w:pPr>
              <w:pStyle w:val="TSBodyText"/>
              <w:rPr>
                <w:rFonts w:cs="Calibri"/>
                <w:sz w:val="16"/>
                <w:szCs w:val="16"/>
              </w:rPr>
            </w:pPr>
            <w:r w:rsidRPr="000C0788">
              <w:rPr>
                <w:rFonts w:cs="Calibri"/>
                <w:sz w:val="16"/>
                <w:szCs w:val="16"/>
              </w:rPr>
              <w:t>Bottom</w:t>
            </w:r>
            <w:r>
              <w:rPr>
                <w:rFonts w:cs="Calibri"/>
                <w:sz w:val="16"/>
                <w:szCs w:val="16"/>
              </w:rPr>
              <w:t>-</w:t>
            </w:r>
            <w:r w:rsidRPr="000C0788">
              <w:rPr>
                <w:rFonts w:cs="Calibri"/>
                <w:sz w:val="16"/>
                <w:szCs w:val="16"/>
              </w:rPr>
              <w:t>up gross costing</w:t>
            </w:r>
          </w:p>
        </w:tc>
        <w:tc>
          <w:tcPr>
            <w:tcW w:w="674" w:type="pct"/>
          </w:tcPr>
          <w:p w14:paraId="182BBAB9" w14:textId="77777777" w:rsidR="00B24EE7" w:rsidRPr="006269D4" w:rsidRDefault="00B24EE7" w:rsidP="00A13DCA">
            <w:pPr>
              <w:pStyle w:val="TSBodyText"/>
              <w:rPr>
                <w:rFonts w:cs="Calibri"/>
                <w:sz w:val="16"/>
                <w:szCs w:val="16"/>
              </w:rPr>
            </w:pPr>
            <w:r>
              <w:rPr>
                <w:rFonts w:cs="Calibri"/>
                <w:sz w:val="16"/>
                <w:szCs w:val="16"/>
              </w:rPr>
              <w:t>Societal</w:t>
            </w:r>
          </w:p>
        </w:tc>
      </w:tr>
      <w:tr w:rsidR="00B50AF9" w:rsidRPr="00731CA6" w14:paraId="05165437" w14:textId="77777777" w:rsidTr="00A46D00">
        <w:trPr>
          <w:cantSplit/>
        </w:trPr>
        <w:tc>
          <w:tcPr>
            <w:tcW w:w="616" w:type="pct"/>
          </w:tcPr>
          <w:p w14:paraId="05C9A01B" w14:textId="77777777" w:rsidR="00B24EE7" w:rsidRPr="006269D4" w:rsidRDefault="00B24EE7" w:rsidP="00A13DCA">
            <w:pPr>
              <w:pStyle w:val="TSBodyText"/>
              <w:rPr>
                <w:rFonts w:cs="Calibri"/>
                <w:sz w:val="16"/>
                <w:szCs w:val="16"/>
              </w:rPr>
            </w:pPr>
            <w:r>
              <w:rPr>
                <w:rFonts w:cs="Calibri"/>
                <w:sz w:val="16"/>
                <w:szCs w:val="16"/>
              </w:rPr>
              <w:t>Asthma</w:t>
            </w:r>
          </w:p>
        </w:tc>
        <w:tc>
          <w:tcPr>
            <w:tcW w:w="413" w:type="pct"/>
          </w:tcPr>
          <w:p w14:paraId="230FE5BB" w14:textId="77777777" w:rsidR="00B24EE7" w:rsidRPr="006269D4" w:rsidRDefault="00B24EE7" w:rsidP="00A13DCA">
            <w:pPr>
              <w:pStyle w:val="TSBodyText"/>
              <w:rPr>
                <w:rFonts w:cs="Calibri"/>
                <w:sz w:val="16"/>
                <w:szCs w:val="16"/>
              </w:rPr>
            </w:pPr>
            <w:r>
              <w:rPr>
                <w:rFonts w:cs="Calibri"/>
                <w:sz w:val="16"/>
                <w:szCs w:val="16"/>
              </w:rPr>
              <w:t>Schlichting et al. 2021</w:t>
            </w:r>
          </w:p>
        </w:tc>
        <w:tc>
          <w:tcPr>
            <w:tcW w:w="311" w:type="pct"/>
          </w:tcPr>
          <w:p w14:paraId="33ECFA12" w14:textId="77777777" w:rsidR="00B24EE7" w:rsidRPr="006269D4" w:rsidRDefault="00B24EE7" w:rsidP="00A13DCA">
            <w:pPr>
              <w:pStyle w:val="TSBodyText"/>
              <w:rPr>
                <w:rFonts w:cs="Calibri"/>
                <w:sz w:val="16"/>
                <w:szCs w:val="16"/>
              </w:rPr>
            </w:pPr>
            <w:r>
              <w:rPr>
                <w:rFonts w:cs="Calibri"/>
                <w:sz w:val="16"/>
                <w:szCs w:val="16"/>
              </w:rPr>
              <w:t>2010-2019</w:t>
            </w:r>
          </w:p>
        </w:tc>
        <w:tc>
          <w:tcPr>
            <w:tcW w:w="362" w:type="pct"/>
          </w:tcPr>
          <w:p w14:paraId="254254CA" w14:textId="77777777" w:rsidR="00B24EE7" w:rsidRPr="006269D4" w:rsidRDefault="00B24EE7" w:rsidP="00A13DCA">
            <w:pPr>
              <w:pStyle w:val="TSBodyText"/>
              <w:rPr>
                <w:rFonts w:cs="Calibri"/>
                <w:sz w:val="16"/>
                <w:szCs w:val="16"/>
              </w:rPr>
            </w:pPr>
            <w:r>
              <w:rPr>
                <w:rFonts w:cs="Calibri"/>
                <w:sz w:val="16"/>
                <w:szCs w:val="16"/>
              </w:rPr>
              <w:t>NZD 2019</w:t>
            </w:r>
          </w:p>
        </w:tc>
        <w:tc>
          <w:tcPr>
            <w:tcW w:w="667" w:type="pct"/>
          </w:tcPr>
          <w:p w14:paraId="44CA50D4" w14:textId="77777777" w:rsidR="00B24EE7" w:rsidRDefault="00B24EE7" w:rsidP="00A13DCA">
            <w:pPr>
              <w:pStyle w:val="TSBodyText"/>
              <w:rPr>
                <w:rFonts w:cs="Calibri"/>
                <w:sz w:val="16"/>
                <w:szCs w:val="16"/>
              </w:rPr>
            </w:pPr>
            <w:r>
              <w:rPr>
                <w:rFonts w:cs="Calibri"/>
                <w:sz w:val="16"/>
                <w:szCs w:val="16"/>
              </w:rPr>
              <w:t>Total: $172m</w:t>
            </w:r>
          </w:p>
          <w:p w14:paraId="42C85207" w14:textId="6B366D0E" w:rsidR="00B24EE7" w:rsidRPr="006269D4" w:rsidRDefault="00B24EE7" w:rsidP="00A13DCA">
            <w:pPr>
              <w:pStyle w:val="TSBodyText"/>
              <w:rPr>
                <w:rFonts w:cs="Calibri"/>
                <w:sz w:val="16"/>
                <w:szCs w:val="16"/>
              </w:rPr>
            </w:pPr>
            <w:r>
              <w:rPr>
                <w:rFonts w:cs="Calibri"/>
                <w:sz w:val="16"/>
                <w:szCs w:val="16"/>
              </w:rPr>
              <w:t>H</w:t>
            </w:r>
            <w:r w:rsidRPr="00663F18">
              <w:rPr>
                <w:rFonts w:cs="Calibri"/>
                <w:sz w:val="16"/>
                <w:szCs w:val="16"/>
              </w:rPr>
              <w:t>ospitalisation</w:t>
            </w:r>
            <w:r>
              <w:rPr>
                <w:rFonts w:cs="Calibri"/>
                <w:sz w:val="16"/>
                <w:szCs w:val="16"/>
              </w:rPr>
              <w:t xml:space="preserve">s: </w:t>
            </w:r>
            <w:r w:rsidRPr="00663F18">
              <w:rPr>
                <w:rFonts w:cs="Calibri"/>
                <w:sz w:val="16"/>
                <w:szCs w:val="16"/>
              </w:rPr>
              <w:t>$1</w:t>
            </w:r>
            <w:r>
              <w:rPr>
                <w:rFonts w:cs="Calibri"/>
                <w:sz w:val="16"/>
                <w:szCs w:val="16"/>
              </w:rPr>
              <w:t>07</w:t>
            </w:r>
            <w:r w:rsidRPr="00663F18">
              <w:rPr>
                <w:rFonts w:cs="Calibri"/>
                <w:sz w:val="16"/>
                <w:szCs w:val="16"/>
              </w:rPr>
              <w:t xml:space="preserve"> m </w:t>
            </w:r>
            <w:r>
              <w:rPr>
                <w:rFonts w:cs="Calibri"/>
                <w:sz w:val="16"/>
                <w:szCs w:val="16"/>
              </w:rPr>
              <w:t>P</w:t>
            </w:r>
            <w:r w:rsidRPr="00663F18">
              <w:rPr>
                <w:rFonts w:cs="Calibri"/>
                <w:sz w:val="16"/>
                <w:szCs w:val="16"/>
              </w:rPr>
              <w:t>rescriptions</w:t>
            </w:r>
            <w:r>
              <w:rPr>
                <w:rFonts w:cs="Calibri"/>
                <w:sz w:val="16"/>
                <w:szCs w:val="16"/>
              </w:rPr>
              <w:t xml:space="preserve">: </w:t>
            </w:r>
            <w:r w:rsidRPr="00663F18">
              <w:rPr>
                <w:rFonts w:cs="Calibri"/>
                <w:sz w:val="16"/>
                <w:szCs w:val="16"/>
              </w:rPr>
              <w:t>$6</w:t>
            </w:r>
            <w:r>
              <w:rPr>
                <w:rFonts w:cs="Calibri"/>
                <w:sz w:val="16"/>
                <w:szCs w:val="16"/>
              </w:rPr>
              <w:t>5</w:t>
            </w:r>
            <w:r w:rsidRPr="00663F18">
              <w:rPr>
                <w:rFonts w:cs="Calibri"/>
                <w:sz w:val="16"/>
                <w:szCs w:val="16"/>
              </w:rPr>
              <w:t xml:space="preserve"> million</w:t>
            </w:r>
          </w:p>
        </w:tc>
        <w:tc>
          <w:tcPr>
            <w:tcW w:w="462" w:type="pct"/>
          </w:tcPr>
          <w:p w14:paraId="19FFC19E" w14:textId="77777777" w:rsidR="00B24EE7" w:rsidRPr="006269D4" w:rsidRDefault="00B24EE7" w:rsidP="00A13DCA">
            <w:pPr>
              <w:pStyle w:val="TSBodyText"/>
              <w:rPr>
                <w:rFonts w:cs="Calibri"/>
                <w:sz w:val="16"/>
                <w:szCs w:val="16"/>
              </w:rPr>
            </w:pPr>
          </w:p>
        </w:tc>
        <w:tc>
          <w:tcPr>
            <w:tcW w:w="926" w:type="pct"/>
          </w:tcPr>
          <w:p w14:paraId="03B39388" w14:textId="77777777" w:rsidR="00B24EE7" w:rsidRPr="006269D4" w:rsidRDefault="00B24EE7" w:rsidP="00A13DCA">
            <w:pPr>
              <w:pStyle w:val="TSBodyText"/>
              <w:rPr>
                <w:rFonts w:cs="Calibri"/>
                <w:sz w:val="16"/>
                <w:szCs w:val="16"/>
              </w:rPr>
            </w:pPr>
          </w:p>
        </w:tc>
        <w:tc>
          <w:tcPr>
            <w:tcW w:w="569" w:type="pct"/>
          </w:tcPr>
          <w:p w14:paraId="1B2F86AD" w14:textId="77777777" w:rsidR="00B24EE7" w:rsidRDefault="00B24EE7" w:rsidP="00A13DCA">
            <w:pPr>
              <w:pStyle w:val="TSBodyText"/>
              <w:rPr>
                <w:rFonts w:cs="Calibri"/>
                <w:sz w:val="16"/>
                <w:szCs w:val="16"/>
              </w:rPr>
            </w:pPr>
            <w:r>
              <w:rPr>
                <w:rFonts w:cs="Calibri"/>
                <w:sz w:val="16"/>
                <w:szCs w:val="16"/>
              </w:rPr>
              <w:t>Prevalence based</w:t>
            </w:r>
          </w:p>
          <w:p w14:paraId="094E4C27" w14:textId="617980B6" w:rsidR="00B24EE7" w:rsidRPr="006269D4" w:rsidRDefault="00B24EE7" w:rsidP="00A13DCA">
            <w:pPr>
              <w:pStyle w:val="TSBodyText"/>
              <w:rPr>
                <w:rFonts w:cs="Calibri"/>
                <w:sz w:val="16"/>
                <w:szCs w:val="16"/>
              </w:rPr>
            </w:pPr>
            <w:r w:rsidRPr="00D91748">
              <w:rPr>
                <w:rFonts w:cs="Calibri"/>
                <w:sz w:val="16"/>
                <w:szCs w:val="16"/>
              </w:rPr>
              <w:t>Bottom</w:t>
            </w:r>
            <w:r>
              <w:rPr>
                <w:rFonts w:cs="Calibri"/>
                <w:sz w:val="16"/>
                <w:szCs w:val="16"/>
              </w:rPr>
              <w:t>-</w:t>
            </w:r>
            <w:r w:rsidRPr="00D91748">
              <w:rPr>
                <w:rFonts w:cs="Calibri"/>
                <w:sz w:val="16"/>
                <w:szCs w:val="16"/>
              </w:rPr>
              <w:t>up gross costing</w:t>
            </w:r>
          </w:p>
        </w:tc>
        <w:tc>
          <w:tcPr>
            <w:tcW w:w="674" w:type="pct"/>
          </w:tcPr>
          <w:p w14:paraId="1BCC3B94" w14:textId="77777777" w:rsidR="00B24EE7" w:rsidRPr="006269D4" w:rsidRDefault="00B24EE7" w:rsidP="00A13DCA">
            <w:pPr>
              <w:pStyle w:val="TSBodyText"/>
              <w:rPr>
                <w:rFonts w:cs="Calibri"/>
                <w:sz w:val="16"/>
                <w:szCs w:val="16"/>
              </w:rPr>
            </w:pPr>
            <w:r>
              <w:rPr>
                <w:rFonts w:cs="Calibri"/>
                <w:sz w:val="16"/>
                <w:szCs w:val="16"/>
              </w:rPr>
              <w:t>Public health system (hospitalisations and prescriptions only)</w:t>
            </w:r>
          </w:p>
        </w:tc>
      </w:tr>
      <w:tr w:rsidR="00B50AF9" w:rsidRPr="00731CA6" w14:paraId="37A03C21"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44A98557" w14:textId="77777777" w:rsidR="00F16F95" w:rsidRPr="00E81261" w:rsidRDefault="00F16F95" w:rsidP="00A13DCA">
            <w:pPr>
              <w:pStyle w:val="TSBodyText"/>
              <w:rPr>
                <w:rFonts w:cs="Calibri"/>
                <w:sz w:val="16"/>
                <w:szCs w:val="16"/>
              </w:rPr>
            </w:pPr>
            <w:r>
              <w:rPr>
                <w:rFonts w:cs="Calibri"/>
                <w:sz w:val="16"/>
                <w:szCs w:val="16"/>
              </w:rPr>
              <w:t>Cancer (</w:t>
            </w:r>
            <w:r w:rsidRPr="00E81261">
              <w:rPr>
                <w:rFonts w:cs="Calibri"/>
                <w:sz w:val="16"/>
                <w:szCs w:val="16"/>
              </w:rPr>
              <w:t>Breast</w:t>
            </w:r>
            <w:r>
              <w:rPr>
                <w:rFonts w:cs="Calibri"/>
                <w:sz w:val="16"/>
                <w:szCs w:val="16"/>
              </w:rPr>
              <w:t>)</w:t>
            </w:r>
          </w:p>
        </w:tc>
        <w:tc>
          <w:tcPr>
            <w:tcW w:w="413" w:type="pct"/>
          </w:tcPr>
          <w:p w14:paraId="366D3FC2" w14:textId="77777777" w:rsidR="00F16F95" w:rsidRPr="00E81261" w:rsidRDefault="00F16F95" w:rsidP="00A13DCA">
            <w:pPr>
              <w:pStyle w:val="TSBodyText"/>
              <w:rPr>
                <w:rFonts w:cs="Calibri"/>
                <w:sz w:val="16"/>
                <w:szCs w:val="16"/>
              </w:rPr>
            </w:pPr>
            <w:r w:rsidRPr="00E81261">
              <w:rPr>
                <w:rFonts w:cs="Calibri"/>
                <w:sz w:val="16"/>
                <w:szCs w:val="16"/>
              </w:rPr>
              <w:t>Lao et al. 2021</w:t>
            </w:r>
          </w:p>
        </w:tc>
        <w:tc>
          <w:tcPr>
            <w:tcW w:w="311" w:type="pct"/>
          </w:tcPr>
          <w:p w14:paraId="1833D78F" w14:textId="77777777" w:rsidR="00F16F95" w:rsidRPr="006269D4" w:rsidRDefault="00F16F95" w:rsidP="00A13DCA">
            <w:pPr>
              <w:pStyle w:val="TSBodyText"/>
              <w:rPr>
                <w:rFonts w:cs="Calibri"/>
                <w:sz w:val="16"/>
                <w:szCs w:val="16"/>
              </w:rPr>
            </w:pPr>
            <w:r>
              <w:rPr>
                <w:rFonts w:cs="Calibri"/>
                <w:sz w:val="16"/>
                <w:szCs w:val="16"/>
              </w:rPr>
              <w:t>2010-2018</w:t>
            </w:r>
          </w:p>
        </w:tc>
        <w:tc>
          <w:tcPr>
            <w:tcW w:w="362" w:type="pct"/>
          </w:tcPr>
          <w:p w14:paraId="17E159E0" w14:textId="4EAF7E06" w:rsidR="00F16F95" w:rsidRPr="006269D4" w:rsidRDefault="00640DB7" w:rsidP="00A13DCA">
            <w:pPr>
              <w:pStyle w:val="TSBodyText"/>
              <w:rPr>
                <w:rFonts w:cs="Calibri"/>
                <w:sz w:val="16"/>
                <w:szCs w:val="16"/>
              </w:rPr>
            </w:pPr>
            <w:r>
              <w:rPr>
                <w:rFonts w:cs="Calibri"/>
                <w:sz w:val="16"/>
                <w:szCs w:val="16"/>
              </w:rPr>
              <w:t xml:space="preserve">NZD </w:t>
            </w:r>
            <w:r w:rsidR="00F16F95">
              <w:rPr>
                <w:rFonts w:cs="Calibri"/>
                <w:sz w:val="16"/>
                <w:szCs w:val="16"/>
              </w:rPr>
              <w:t xml:space="preserve">2019/20 </w:t>
            </w:r>
          </w:p>
        </w:tc>
        <w:tc>
          <w:tcPr>
            <w:tcW w:w="667" w:type="pct"/>
          </w:tcPr>
          <w:p w14:paraId="3B41A072" w14:textId="6873CB30" w:rsidR="00F16F95" w:rsidRPr="006269D4" w:rsidRDefault="00DA1E0D" w:rsidP="00A13DCA">
            <w:pPr>
              <w:pStyle w:val="TSBodyText"/>
              <w:rPr>
                <w:rFonts w:cs="Calibri"/>
                <w:sz w:val="16"/>
                <w:szCs w:val="16"/>
              </w:rPr>
            </w:pPr>
            <w:r w:rsidRPr="00DA1E0D">
              <w:rPr>
                <w:rFonts w:cs="Calibri"/>
                <w:sz w:val="16"/>
                <w:szCs w:val="16"/>
              </w:rPr>
              <w:t>$24,317 to $70,607 PPPY (age dependent)</w:t>
            </w:r>
          </w:p>
        </w:tc>
        <w:tc>
          <w:tcPr>
            <w:tcW w:w="462" w:type="pct"/>
          </w:tcPr>
          <w:p w14:paraId="5FB5067C" w14:textId="77777777" w:rsidR="00F16F95" w:rsidRPr="006269D4" w:rsidRDefault="00F16F95" w:rsidP="00A13DCA">
            <w:pPr>
              <w:pStyle w:val="TSBodyText"/>
              <w:rPr>
                <w:rFonts w:cs="Calibri"/>
                <w:sz w:val="16"/>
                <w:szCs w:val="16"/>
              </w:rPr>
            </w:pPr>
          </w:p>
        </w:tc>
        <w:tc>
          <w:tcPr>
            <w:tcW w:w="926" w:type="pct"/>
          </w:tcPr>
          <w:p w14:paraId="3EC6B16B" w14:textId="77777777" w:rsidR="00F16F95" w:rsidRPr="006269D4" w:rsidRDefault="00F16F95" w:rsidP="00A13DCA">
            <w:pPr>
              <w:pStyle w:val="TSBodyText"/>
              <w:rPr>
                <w:rFonts w:cs="Calibri"/>
                <w:sz w:val="16"/>
                <w:szCs w:val="16"/>
              </w:rPr>
            </w:pPr>
          </w:p>
        </w:tc>
        <w:tc>
          <w:tcPr>
            <w:tcW w:w="569" w:type="pct"/>
          </w:tcPr>
          <w:p w14:paraId="67911EB3" w14:textId="4B8960FD" w:rsidR="00F16F95" w:rsidRDefault="00F16F95" w:rsidP="00A13DCA">
            <w:pPr>
              <w:pStyle w:val="TSBodyText"/>
              <w:rPr>
                <w:rFonts w:cs="Calibri"/>
                <w:sz w:val="16"/>
                <w:szCs w:val="16"/>
              </w:rPr>
            </w:pPr>
            <w:r>
              <w:rPr>
                <w:rFonts w:cs="Calibri"/>
                <w:sz w:val="16"/>
                <w:szCs w:val="16"/>
              </w:rPr>
              <w:t>Incide</w:t>
            </w:r>
            <w:r w:rsidRPr="007B3A3A">
              <w:rPr>
                <w:rFonts w:cs="Calibri"/>
                <w:sz w:val="16"/>
                <w:szCs w:val="16"/>
              </w:rPr>
              <w:t>nce based</w:t>
            </w:r>
            <w:r>
              <w:rPr>
                <w:rFonts w:cs="Calibri"/>
                <w:sz w:val="16"/>
                <w:szCs w:val="16"/>
              </w:rPr>
              <w:t xml:space="preserve"> (8</w:t>
            </w:r>
            <w:r w:rsidR="00FB436F">
              <w:rPr>
                <w:rFonts w:cs="Calibri"/>
                <w:sz w:val="16"/>
                <w:szCs w:val="16"/>
              </w:rPr>
              <w:t>-</w:t>
            </w:r>
            <w:r>
              <w:rPr>
                <w:rFonts w:cs="Calibri"/>
                <w:sz w:val="16"/>
                <w:szCs w:val="16"/>
              </w:rPr>
              <w:t>year time horizon)</w:t>
            </w:r>
          </w:p>
          <w:p w14:paraId="4553A825" w14:textId="49743740" w:rsidR="00F16F95" w:rsidRPr="006269D4" w:rsidRDefault="00F16F95" w:rsidP="00A13DCA">
            <w:pPr>
              <w:pStyle w:val="TSBodyText"/>
              <w:rPr>
                <w:rFonts w:cs="Calibri"/>
                <w:sz w:val="16"/>
                <w:szCs w:val="16"/>
              </w:rPr>
            </w:pPr>
            <w:r w:rsidRPr="007B3A3A">
              <w:rPr>
                <w:rFonts w:cs="Calibri"/>
                <w:sz w:val="16"/>
                <w:szCs w:val="16"/>
              </w:rPr>
              <w:t>Bottom</w:t>
            </w:r>
            <w:r w:rsidR="00FB436F">
              <w:rPr>
                <w:rFonts w:cs="Calibri"/>
                <w:sz w:val="16"/>
                <w:szCs w:val="16"/>
              </w:rPr>
              <w:t>-</w:t>
            </w:r>
            <w:r w:rsidRPr="007B3A3A">
              <w:rPr>
                <w:rFonts w:cs="Calibri"/>
                <w:sz w:val="16"/>
                <w:szCs w:val="16"/>
              </w:rPr>
              <w:t>up gross costing</w:t>
            </w:r>
          </w:p>
        </w:tc>
        <w:tc>
          <w:tcPr>
            <w:tcW w:w="674" w:type="pct"/>
          </w:tcPr>
          <w:p w14:paraId="35667B98" w14:textId="77777777" w:rsidR="00F16F95" w:rsidRPr="006269D4" w:rsidRDefault="00F16F95" w:rsidP="00A13DCA">
            <w:pPr>
              <w:pStyle w:val="TSBodyText"/>
              <w:rPr>
                <w:rFonts w:cs="Calibri"/>
                <w:sz w:val="16"/>
                <w:szCs w:val="16"/>
              </w:rPr>
            </w:pPr>
            <w:r>
              <w:rPr>
                <w:rFonts w:cs="Calibri"/>
                <w:sz w:val="16"/>
                <w:szCs w:val="16"/>
              </w:rPr>
              <w:t>Public health system</w:t>
            </w:r>
          </w:p>
        </w:tc>
      </w:tr>
      <w:tr w:rsidR="00B50AF9" w:rsidRPr="00731CA6" w14:paraId="0FDF6D4E" w14:textId="77777777" w:rsidTr="00A46D00">
        <w:trPr>
          <w:cantSplit/>
        </w:trPr>
        <w:tc>
          <w:tcPr>
            <w:tcW w:w="616" w:type="pct"/>
          </w:tcPr>
          <w:p w14:paraId="192F8386" w14:textId="77777777" w:rsidR="00FF63AC" w:rsidRPr="006269D4" w:rsidRDefault="00FF63AC" w:rsidP="00A13DCA">
            <w:pPr>
              <w:pStyle w:val="TSBodyText"/>
              <w:rPr>
                <w:rFonts w:cs="Calibri"/>
                <w:sz w:val="16"/>
                <w:szCs w:val="16"/>
              </w:rPr>
            </w:pPr>
            <w:r>
              <w:rPr>
                <w:rFonts w:cs="Calibri"/>
                <w:sz w:val="16"/>
                <w:szCs w:val="16"/>
              </w:rPr>
              <w:t>Cancer</w:t>
            </w:r>
          </w:p>
        </w:tc>
        <w:tc>
          <w:tcPr>
            <w:tcW w:w="413" w:type="pct"/>
          </w:tcPr>
          <w:p w14:paraId="4ED574BC" w14:textId="77777777" w:rsidR="00FF63AC" w:rsidRPr="006269D4" w:rsidRDefault="00FF63AC" w:rsidP="00A13DCA">
            <w:pPr>
              <w:pStyle w:val="TSBodyText"/>
              <w:rPr>
                <w:rFonts w:cs="Calibri"/>
                <w:sz w:val="16"/>
                <w:szCs w:val="16"/>
              </w:rPr>
            </w:pPr>
            <w:r>
              <w:rPr>
                <w:rFonts w:cs="Calibri"/>
                <w:sz w:val="16"/>
                <w:szCs w:val="16"/>
              </w:rPr>
              <w:t>Blakely et al. 2015</w:t>
            </w:r>
          </w:p>
        </w:tc>
        <w:tc>
          <w:tcPr>
            <w:tcW w:w="311" w:type="pct"/>
          </w:tcPr>
          <w:p w14:paraId="6DEC2DF4" w14:textId="77777777" w:rsidR="00FF63AC" w:rsidRPr="006269D4" w:rsidRDefault="00FF63AC" w:rsidP="00A13DCA">
            <w:pPr>
              <w:pStyle w:val="TSBodyText"/>
              <w:rPr>
                <w:rFonts w:cs="Calibri"/>
                <w:sz w:val="16"/>
                <w:szCs w:val="16"/>
              </w:rPr>
            </w:pPr>
            <w:r>
              <w:rPr>
                <w:rFonts w:cs="Calibri"/>
                <w:sz w:val="16"/>
                <w:szCs w:val="16"/>
              </w:rPr>
              <w:t>2006-2011</w:t>
            </w:r>
          </w:p>
        </w:tc>
        <w:tc>
          <w:tcPr>
            <w:tcW w:w="362" w:type="pct"/>
          </w:tcPr>
          <w:p w14:paraId="18ABEBCB" w14:textId="70838E16" w:rsidR="00FF63AC" w:rsidRPr="006269D4" w:rsidRDefault="00FF63AC" w:rsidP="00A13DCA">
            <w:pPr>
              <w:pStyle w:val="TSBodyText"/>
              <w:rPr>
                <w:rFonts w:cs="Calibri"/>
                <w:sz w:val="16"/>
                <w:szCs w:val="16"/>
              </w:rPr>
            </w:pPr>
            <w:r>
              <w:rPr>
                <w:rFonts w:cs="Calibri"/>
                <w:sz w:val="16"/>
                <w:szCs w:val="16"/>
              </w:rPr>
              <w:t xml:space="preserve">NZD 2011 </w:t>
            </w:r>
          </w:p>
        </w:tc>
        <w:tc>
          <w:tcPr>
            <w:tcW w:w="667" w:type="pct"/>
          </w:tcPr>
          <w:p w14:paraId="0B0868E3" w14:textId="77777777" w:rsidR="00FF63AC" w:rsidRDefault="00FF63AC" w:rsidP="00A13DCA">
            <w:pPr>
              <w:pStyle w:val="TSBodyText"/>
              <w:rPr>
                <w:rFonts w:cs="Calibri"/>
                <w:sz w:val="16"/>
                <w:szCs w:val="16"/>
              </w:rPr>
            </w:pPr>
            <w:r>
              <w:rPr>
                <w:rFonts w:cs="Calibri"/>
                <w:sz w:val="16"/>
                <w:szCs w:val="16"/>
              </w:rPr>
              <w:t xml:space="preserve">$1.089b </w:t>
            </w:r>
          </w:p>
          <w:p w14:paraId="03C54080" w14:textId="5CAC74DA" w:rsidR="00FF63AC" w:rsidRPr="006269D4" w:rsidRDefault="00FF63AC" w:rsidP="00A13DCA">
            <w:pPr>
              <w:pStyle w:val="TSBodyText"/>
              <w:rPr>
                <w:rFonts w:cs="Calibri"/>
                <w:sz w:val="16"/>
                <w:szCs w:val="16"/>
              </w:rPr>
            </w:pPr>
            <w:r>
              <w:rPr>
                <w:rFonts w:cs="Calibri"/>
                <w:sz w:val="16"/>
                <w:szCs w:val="16"/>
              </w:rPr>
              <w:t>6.5% of Vote: Health 2011/12</w:t>
            </w:r>
          </w:p>
        </w:tc>
        <w:tc>
          <w:tcPr>
            <w:tcW w:w="462" w:type="pct"/>
          </w:tcPr>
          <w:p w14:paraId="41481BFB" w14:textId="77777777" w:rsidR="00FF63AC" w:rsidRPr="006269D4" w:rsidRDefault="00FF63AC" w:rsidP="00A13DCA">
            <w:pPr>
              <w:pStyle w:val="TSBodyText"/>
              <w:rPr>
                <w:rFonts w:cs="Calibri"/>
                <w:sz w:val="16"/>
                <w:szCs w:val="16"/>
              </w:rPr>
            </w:pPr>
          </w:p>
        </w:tc>
        <w:tc>
          <w:tcPr>
            <w:tcW w:w="926" w:type="pct"/>
          </w:tcPr>
          <w:p w14:paraId="06664FD8" w14:textId="77777777" w:rsidR="00FF63AC" w:rsidRPr="006269D4" w:rsidRDefault="00FF63AC" w:rsidP="00A13DCA">
            <w:pPr>
              <w:pStyle w:val="TSBodyText"/>
              <w:rPr>
                <w:rFonts w:cs="Calibri"/>
                <w:sz w:val="16"/>
                <w:szCs w:val="16"/>
              </w:rPr>
            </w:pPr>
          </w:p>
        </w:tc>
        <w:tc>
          <w:tcPr>
            <w:tcW w:w="569" w:type="pct"/>
          </w:tcPr>
          <w:p w14:paraId="1E11B4EA" w14:textId="77777777" w:rsidR="00FF63AC" w:rsidRDefault="00FF63AC" w:rsidP="00A13DCA">
            <w:pPr>
              <w:pStyle w:val="TSBodyText"/>
              <w:rPr>
                <w:rFonts w:cs="Calibri"/>
                <w:sz w:val="16"/>
                <w:szCs w:val="16"/>
              </w:rPr>
            </w:pPr>
            <w:r>
              <w:rPr>
                <w:rFonts w:cs="Calibri"/>
                <w:sz w:val="16"/>
                <w:szCs w:val="16"/>
              </w:rPr>
              <w:t>Prevalence based</w:t>
            </w:r>
          </w:p>
          <w:p w14:paraId="28562543" w14:textId="77777777" w:rsidR="00FF63AC" w:rsidRDefault="00FF63AC" w:rsidP="00A13DCA">
            <w:pPr>
              <w:pStyle w:val="TSBodyText"/>
              <w:rPr>
                <w:rFonts w:cs="Calibri"/>
                <w:sz w:val="16"/>
                <w:szCs w:val="16"/>
              </w:rPr>
            </w:pPr>
            <w:r>
              <w:rPr>
                <w:rFonts w:cs="Calibri"/>
                <w:sz w:val="16"/>
                <w:szCs w:val="16"/>
              </w:rPr>
              <w:t>Excess cost approach</w:t>
            </w:r>
          </w:p>
          <w:p w14:paraId="0BE05449" w14:textId="77777777" w:rsidR="00FF63AC" w:rsidRPr="006269D4" w:rsidRDefault="00FF63AC" w:rsidP="00A13DCA">
            <w:pPr>
              <w:pStyle w:val="TSBodyText"/>
              <w:rPr>
                <w:rFonts w:cs="Calibri"/>
                <w:sz w:val="16"/>
                <w:szCs w:val="16"/>
              </w:rPr>
            </w:pPr>
            <w:r>
              <w:rPr>
                <w:rFonts w:cs="Calibri"/>
                <w:sz w:val="16"/>
                <w:szCs w:val="16"/>
              </w:rPr>
              <w:t>Bottom-up gross costing</w:t>
            </w:r>
          </w:p>
        </w:tc>
        <w:tc>
          <w:tcPr>
            <w:tcW w:w="674" w:type="pct"/>
          </w:tcPr>
          <w:p w14:paraId="380E18EF" w14:textId="77777777" w:rsidR="00FF63AC" w:rsidRPr="006269D4" w:rsidRDefault="00FF63AC" w:rsidP="00A13DCA">
            <w:pPr>
              <w:pStyle w:val="TSBodyText"/>
              <w:rPr>
                <w:rFonts w:cs="Calibri"/>
                <w:sz w:val="16"/>
                <w:szCs w:val="16"/>
              </w:rPr>
            </w:pPr>
            <w:r>
              <w:rPr>
                <w:rFonts w:cs="Calibri"/>
                <w:sz w:val="16"/>
                <w:szCs w:val="16"/>
              </w:rPr>
              <w:t>Public health system</w:t>
            </w:r>
          </w:p>
        </w:tc>
      </w:tr>
      <w:tr w:rsidR="00B50AF9" w:rsidRPr="00731CA6" w14:paraId="5B18294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4C0F5AD9" w14:textId="372C49B6" w:rsidR="003648CE" w:rsidRDefault="003648CE" w:rsidP="00A13DCA">
            <w:pPr>
              <w:pStyle w:val="TSBodyText"/>
              <w:rPr>
                <w:rFonts w:cs="Calibri"/>
                <w:sz w:val="16"/>
                <w:szCs w:val="16"/>
              </w:rPr>
            </w:pPr>
            <w:r w:rsidRPr="00170C7B">
              <w:rPr>
                <w:rFonts w:cs="Calibri"/>
                <w:sz w:val="17"/>
                <w:szCs w:val="17"/>
              </w:rPr>
              <w:t>Chronic kidney disease</w:t>
            </w:r>
          </w:p>
        </w:tc>
        <w:tc>
          <w:tcPr>
            <w:tcW w:w="413" w:type="pct"/>
          </w:tcPr>
          <w:p w14:paraId="041D2641" w14:textId="39148ABB" w:rsidR="003648CE" w:rsidRDefault="003648CE" w:rsidP="00A13DCA">
            <w:pPr>
              <w:pStyle w:val="TSBodyText"/>
              <w:rPr>
                <w:rFonts w:cs="Calibri"/>
                <w:sz w:val="16"/>
                <w:szCs w:val="16"/>
              </w:rPr>
            </w:pPr>
            <w:r>
              <w:rPr>
                <w:rFonts w:cs="Calibri"/>
                <w:sz w:val="17"/>
                <w:szCs w:val="17"/>
              </w:rPr>
              <w:t>Hogan and Tuano</w:t>
            </w:r>
            <w:r w:rsidRPr="00170C7B">
              <w:rPr>
                <w:rFonts w:cs="Calibri"/>
                <w:sz w:val="17"/>
                <w:szCs w:val="17"/>
              </w:rPr>
              <w:t xml:space="preserve"> 2021</w:t>
            </w:r>
          </w:p>
        </w:tc>
        <w:tc>
          <w:tcPr>
            <w:tcW w:w="311" w:type="pct"/>
          </w:tcPr>
          <w:p w14:paraId="6D5142E8" w14:textId="641B09F0" w:rsidR="003648CE" w:rsidRDefault="003648CE" w:rsidP="00A13DCA">
            <w:pPr>
              <w:pStyle w:val="TSBodyText"/>
              <w:rPr>
                <w:rFonts w:cs="Calibri"/>
                <w:sz w:val="16"/>
                <w:szCs w:val="16"/>
              </w:rPr>
            </w:pPr>
            <w:r w:rsidRPr="00170C7B">
              <w:rPr>
                <w:rFonts w:cs="Calibri"/>
                <w:sz w:val="17"/>
                <w:szCs w:val="17"/>
              </w:rPr>
              <w:t>2014-2020</w:t>
            </w:r>
          </w:p>
        </w:tc>
        <w:tc>
          <w:tcPr>
            <w:tcW w:w="362" w:type="pct"/>
          </w:tcPr>
          <w:p w14:paraId="6180C06E" w14:textId="7C592C80" w:rsidR="003648CE" w:rsidRDefault="003648CE" w:rsidP="00A13DCA">
            <w:pPr>
              <w:pStyle w:val="TSBodyText"/>
              <w:rPr>
                <w:rFonts w:cs="Calibri"/>
                <w:sz w:val="16"/>
                <w:szCs w:val="16"/>
              </w:rPr>
            </w:pPr>
            <w:r>
              <w:rPr>
                <w:rFonts w:cs="Calibri"/>
                <w:sz w:val="17"/>
                <w:szCs w:val="17"/>
              </w:rPr>
              <w:t xml:space="preserve">NZD </w:t>
            </w:r>
            <w:r w:rsidRPr="00170C7B">
              <w:rPr>
                <w:rFonts w:cs="Calibri"/>
                <w:sz w:val="17"/>
                <w:szCs w:val="17"/>
              </w:rPr>
              <w:t xml:space="preserve">2021 </w:t>
            </w:r>
          </w:p>
        </w:tc>
        <w:tc>
          <w:tcPr>
            <w:tcW w:w="667" w:type="pct"/>
          </w:tcPr>
          <w:p w14:paraId="2363296F" w14:textId="040D356C" w:rsidR="003648CE" w:rsidRDefault="003648CE" w:rsidP="00A13DCA">
            <w:pPr>
              <w:pStyle w:val="TSBodyText"/>
              <w:rPr>
                <w:rFonts w:cs="Calibri"/>
                <w:sz w:val="16"/>
                <w:szCs w:val="16"/>
              </w:rPr>
            </w:pPr>
            <w:r w:rsidRPr="00170C7B">
              <w:rPr>
                <w:rFonts w:cs="Calibri"/>
                <w:sz w:val="17"/>
                <w:szCs w:val="17"/>
              </w:rPr>
              <w:t>$502,854 per person lifetime savings associated with renal transplant vs dialysis</w:t>
            </w:r>
          </w:p>
        </w:tc>
        <w:tc>
          <w:tcPr>
            <w:tcW w:w="462" w:type="pct"/>
          </w:tcPr>
          <w:p w14:paraId="2E394943" w14:textId="77777777" w:rsidR="003648CE" w:rsidRDefault="003648CE" w:rsidP="00A13DCA">
            <w:pPr>
              <w:pStyle w:val="TSBodyText"/>
              <w:rPr>
                <w:rFonts w:cs="Calibri"/>
                <w:sz w:val="16"/>
                <w:szCs w:val="16"/>
              </w:rPr>
            </w:pPr>
          </w:p>
        </w:tc>
        <w:tc>
          <w:tcPr>
            <w:tcW w:w="926" w:type="pct"/>
          </w:tcPr>
          <w:p w14:paraId="66BC632F" w14:textId="77777777" w:rsidR="003648CE" w:rsidRPr="00D40435" w:rsidRDefault="003648CE" w:rsidP="00A13DCA">
            <w:pPr>
              <w:pStyle w:val="TSBodyText"/>
              <w:rPr>
                <w:rFonts w:cs="Calibri"/>
                <w:sz w:val="16"/>
                <w:szCs w:val="16"/>
              </w:rPr>
            </w:pPr>
          </w:p>
        </w:tc>
        <w:tc>
          <w:tcPr>
            <w:tcW w:w="569" w:type="pct"/>
          </w:tcPr>
          <w:p w14:paraId="6435E5BA" w14:textId="09C71AB9" w:rsidR="003648CE" w:rsidRDefault="003648CE" w:rsidP="00A13DCA">
            <w:pPr>
              <w:pStyle w:val="TSBodyText"/>
              <w:rPr>
                <w:rFonts w:cs="Calibri"/>
                <w:sz w:val="16"/>
                <w:szCs w:val="16"/>
              </w:rPr>
            </w:pPr>
            <w:r w:rsidRPr="00170C7B">
              <w:rPr>
                <w:rFonts w:cs="Calibri"/>
                <w:sz w:val="17"/>
                <w:szCs w:val="17"/>
              </w:rPr>
              <w:t>Incidence-based cohort model</w:t>
            </w:r>
          </w:p>
        </w:tc>
        <w:tc>
          <w:tcPr>
            <w:tcW w:w="674" w:type="pct"/>
          </w:tcPr>
          <w:p w14:paraId="02BB00BE" w14:textId="3658DE4F" w:rsidR="003648CE" w:rsidRDefault="003648CE" w:rsidP="00A13DCA">
            <w:pPr>
              <w:pStyle w:val="TSBodyText"/>
              <w:rPr>
                <w:rFonts w:cs="Calibri"/>
                <w:sz w:val="16"/>
                <w:szCs w:val="16"/>
              </w:rPr>
            </w:pPr>
            <w:r w:rsidRPr="00170C7B">
              <w:rPr>
                <w:rFonts w:cs="Calibri"/>
                <w:sz w:val="17"/>
                <w:szCs w:val="17"/>
              </w:rPr>
              <w:t>Public health system</w:t>
            </w:r>
          </w:p>
        </w:tc>
      </w:tr>
      <w:tr w:rsidR="00B50AF9" w:rsidRPr="00731CA6" w14:paraId="08B56EE5" w14:textId="77777777" w:rsidTr="00A46D00">
        <w:trPr>
          <w:cantSplit/>
        </w:trPr>
        <w:tc>
          <w:tcPr>
            <w:tcW w:w="616" w:type="pct"/>
          </w:tcPr>
          <w:p w14:paraId="01FD8DF0" w14:textId="77777777" w:rsidR="00FF63AC" w:rsidRDefault="00FF63AC" w:rsidP="00A13DCA">
            <w:pPr>
              <w:pStyle w:val="TSBodyText"/>
              <w:rPr>
                <w:rFonts w:cs="Calibri"/>
                <w:sz w:val="16"/>
                <w:szCs w:val="16"/>
              </w:rPr>
            </w:pPr>
            <w:r>
              <w:rPr>
                <w:rFonts w:cs="Calibri"/>
                <w:sz w:val="16"/>
                <w:szCs w:val="16"/>
              </w:rPr>
              <w:t>Diabetes</w:t>
            </w:r>
          </w:p>
        </w:tc>
        <w:tc>
          <w:tcPr>
            <w:tcW w:w="413" w:type="pct"/>
          </w:tcPr>
          <w:p w14:paraId="773AEF20" w14:textId="77777777" w:rsidR="00FF63AC" w:rsidRDefault="00FF63AC" w:rsidP="00A13DCA">
            <w:pPr>
              <w:pStyle w:val="TSBodyText"/>
              <w:rPr>
                <w:rFonts w:cs="Calibri"/>
                <w:sz w:val="16"/>
                <w:szCs w:val="16"/>
              </w:rPr>
            </w:pPr>
            <w:r>
              <w:rPr>
                <w:rFonts w:cs="Calibri"/>
                <w:sz w:val="16"/>
                <w:szCs w:val="16"/>
              </w:rPr>
              <w:t>PwC 2021</w:t>
            </w:r>
          </w:p>
        </w:tc>
        <w:tc>
          <w:tcPr>
            <w:tcW w:w="311" w:type="pct"/>
          </w:tcPr>
          <w:p w14:paraId="2AF48EA6" w14:textId="77777777" w:rsidR="00FF63AC" w:rsidRDefault="00FF63AC" w:rsidP="00A13DCA">
            <w:pPr>
              <w:pStyle w:val="TSBodyText"/>
              <w:rPr>
                <w:rFonts w:cs="Calibri"/>
                <w:sz w:val="16"/>
                <w:szCs w:val="16"/>
              </w:rPr>
            </w:pPr>
            <w:r>
              <w:rPr>
                <w:rFonts w:cs="Calibri"/>
                <w:sz w:val="16"/>
                <w:szCs w:val="16"/>
              </w:rPr>
              <w:t>2014-2019</w:t>
            </w:r>
          </w:p>
        </w:tc>
        <w:tc>
          <w:tcPr>
            <w:tcW w:w="362" w:type="pct"/>
          </w:tcPr>
          <w:p w14:paraId="03112FA1" w14:textId="52FDC859" w:rsidR="00FF63AC" w:rsidRDefault="00FF63AC" w:rsidP="00A13DCA">
            <w:pPr>
              <w:pStyle w:val="TSBodyText"/>
              <w:rPr>
                <w:rFonts w:cs="Calibri"/>
                <w:sz w:val="16"/>
                <w:szCs w:val="16"/>
              </w:rPr>
            </w:pPr>
            <w:r>
              <w:rPr>
                <w:rFonts w:cs="Calibri"/>
                <w:sz w:val="16"/>
                <w:szCs w:val="16"/>
              </w:rPr>
              <w:t xml:space="preserve">NZD 2020 </w:t>
            </w:r>
          </w:p>
        </w:tc>
        <w:tc>
          <w:tcPr>
            <w:tcW w:w="667" w:type="pct"/>
          </w:tcPr>
          <w:p w14:paraId="3C58AEFE" w14:textId="77777777" w:rsidR="00FF63AC" w:rsidRDefault="00FF63AC" w:rsidP="00A13DCA">
            <w:pPr>
              <w:pStyle w:val="TSBodyText"/>
              <w:rPr>
                <w:rFonts w:cs="Calibri"/>
                <w:sz w:val="16"/>
                <w:szCs w:val="16"/>
              </w:rPr>
            </w:pPr>
            <w:r>
              <w:rPr>
                <w:rFonts w:cs="Calibri"/>
                <w:sz w:val="16"/>
                <w:szCs w:val="16"/>
              </w:rPr>
              <w:t>$1.0b</w:t>
            </w:r>
          </w:p>
          <w:p w14:paraId="17D34662" w14:textId="313E12C7" w:rsidR="00FF63AC" w:rsidRDefault="00FF63AC" w:rsidP="00A13DCA">
            <w:pPr>
              <w:pStyle w:val="TSBodyText"/>
              <w:rPr>
                <w:rFonts w:cs="Calibri"/>
                <w:sz w:val="16"/>
                <w:szCs w:val="16"/>
              </w:rPr>
            </w:pPr>
            <w:r>
              <w:rPr>
                <w:rFonts w:cs="Calibri"/>
                <w:sz w:val="16"/>
                <w:szCs w:val="16"/>
              </w:rPr>
              <w:t>Projected to rise to $1.897 by 2040</w:t>
            </w:r>
          </w:p>
        </w:tc>
        <w:tc>
          <w:tcPr>
            <w:tcW w:w="462" w:type="pct"/>
          </w:tcPr>
          <w:p w14:paraId="1F3FD354" w14:textId="77777777" w:rsidR="00FF63AC" w:rsidRDefault="00FF63AC" w:rsidP="00A13DCA">
            <w:pPr>
              <w:pStyle w:val="TSBodyText"/>
              <w:rPr>
                <w:rFonts w:cs="Calibri"/>
                <w:sz w:val="16"/>
                <w:szCs w:val="16"/>
              </w:rPr>
            </w:pPr>
          </w:p>
        </w:tc>
        <w:tc>
          <w:tcPr>
            <w:tcW w:w="926" w:type="pct"/>
          </w:tcPr>
          <w:p w14:paraId="36FE8C1B" w14:textId="77777777" w:rsidR="00FF63AC" w:rsidRDefault="00FF63AC" w:rsidP="00A13DCA">
            <w:pPr>
              <w:pStyle w:val="TSBodyText"/>
              <w:rPr>
                <w:rFonts w:cs="Calibri"/>
                <w:sz w:val="16"/>
                <w:szCs w:val="16"/>
              </w:rPr>
            </w:pPr>
            <w:r w:rsidRPr="00D40435">
              <w:rPr>
                <w:rFonts w:cs="Calibri"/>
                <w:sz w:val="16"/>
                <w:szCs w:val="16"/>
              </w:rPr>
              <w:t>$2.1 b</w:t>
            </w:r>
          </w:p>
          <w:p w14:paraId="5E51C013" w14:textId="77777777" w:rsidR="00FF63AC" w:rsidRDefault="00FF63AC" w:rsidP="00A13DCA">
            <w:pPr>
              <w:pStyle w:val="TSBodyText"/>
              <w:rPr>
                <w:rFonts w:cs="Calibri"/>
                <w:sz w:val="16"/>
                <w:szCs w:val="16"/>
              </w:rPr>
            </w:pPr>
            <w:r>
              <w:rPr>
                <w:rFonts w:cs="Calibri"/>
                <w:sz w:val="16"/>
                <w:szCs w:val="16"/>
              </w:rPr>
              <w:t>0.67% of GDP</w:t>
            </w:r>
          </w:p>
          <w:p w14:paraId="74315725" w14:textId="014271B2" w:rsidR="00FF63AC" w:rsidRPr="009D7A3C" w:rsidRDefault="00FF63AC" w:rsidP="00A13DCA">
            <w:pPr>
              <w:pStyle w:val="TSBodyText"/>
              <w:rPr>
                <w:rFonts w:cs="Calibri"/>
                <w:sz w:val="16"/>
                <w:szCs w:val="16"/>
              </w:rPr>
            </w:pPr>
            <w:r>
              <w:rPr>
                <w:rFonts w:cs="Calibri"/>
                <w:sz w:val="16"/>
                <w:szCs w:val="16"/>
              </w:rPr>
              <w:t>Projected to increase to $3.6b by 2040</w:t>
            </w:r>
          </w:p>
        </w:tc>
        <w:tc>
          <w:tcPr>
            <w:tcW w:w="569" w:type="pct"/>
          </w:tcPr>
          <w:p w14:paraId="23E928F8" w14:textId="77777777" w:rsidR="00FF63AC" w:rsidRDefault="00FF63AC" w:rsidP="00A13DCA">
            <w:pPr>
              <w:pStyle w:val="TSBodyText"/>
              <w:rPr>
                <w:rFonts w:cs="Calibri"/>
                <w:sz w:val="16"/>
                <w:szCs w:val="16"/>
              </w:rPr>
            </w:pPr>
            <w:r>
              <w:rPr>
                <w:rFonts w:cs="Calibri"/>
                <w:sz w:val="16"/>
                <w:szCs w:val="16"/>
              </w:rPr>
              <w:t>Prevalence based</w:t>
            </w:r>
          </w:p>
          <w:p w14:paraId="42D575C1" w14:textId="77777777" w:rsidR="00FF63AC" w:rsidRDefault="00FF63AC" w:rsidP="00A13DCA">
            <w:pPr>
              <w:pStyle w:val="TSBodyText"/>
              <w:rPr>
                <w:rFonts w:cs="Calibri"/>
                <w:sz w:val="16"/>
                <w:szCs w:val="16"/>
              </w:rPr>
            </w:pPr>
            <w:r>
              <w:rPr>
                <w:rFonts w:cs="Calibri"/>
                <w:sz w:val="16"/>
                <w:szCs w:val="16"/>
              </w:rPr>
              <w:t>Top-down</w:t>
            </w:r>
            <w:r w:rsidRPr="00402735">
              <w:rPr>
                <w:rFonts w:cs="Calibri"/>
                <w:sz w:val="16"/>
                <w:szCs w:val="16"/>
              </w:rPr>
              <w:t xml:space="preserve"> gross costing</w:t>
            </w:r>
          </w:p>
        </w:tc>
        <w:tc>
          <w:tcPr>
            <w:tcW w:w="674" w:type="pct"/>
          </w:tcPr>
          <w:p w14:paraId="121347C8" w14:textId="77777777" w:rsidR="00FF63AC" w:rsidRDefault="00FF63AC" w:rsidP="00A13DCA">
            <w:pPr>
              <w:pStyle w:val="TSBodyText"/>
              <w:rPr>
                <w:rFonts w:cs="Calibri"/>
                <w:sz w:val="16"/>
                <w:szCs w:val="16"/>
              </w:rPr>
            </w:pPr>
            <w:r>
              <w:rPr>
                <w:rFonts w:cs="Calibri"/>
                <w:sz w:val="16"/>
                <w:szCs w:val="16"/>
              </w:rPr>
              <w:t>Societal</w:t>
            </w:r>
          </w:p>
        </w:tc>
      </w:tr>
      <w:tr w:rsidR="00B50AF9" w:rsidRPr="00731CA6" w14:paraId="280E79F9"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353CDCA8" w14:textId="08DD333F" w:rsidR="001A3707" w:rsidRPr="00170C7B" w:rsidRDefault="001A3707" w:rsidP="00A13DCA">
            <w:pPr>
              <w:pStyle w:val="TSBodyText"/>
              <w:rPr>
                <w:rFonts w:cs="Calibri"/>
                <w:sz w:val="17"/>
                <w:szCs w:val="17"/>
              </w:rPr>
            </w:pPr>
            <w:r>
              <w:rPr>
                <w:rFonts w:cs="Calibri"/>
                <w:sz w:val="17"/>
                <w:szCs w:val="17"/>
              </w:rPr>
              <w:t>Osteoarthritis</w:t>
            </w:r>
          </w:p>
        </w:tc>
        <w:tc>
          <w:tcPr>
            <w:tcW w:w="413" w:type="pct"/>
          </w:tcPr>
          <w:p w14:paraId="7AE9EFF2" w14:textId="48464D56" w:rsidR="001A3707" w:rsidRPr="00170C7B" w:rsidRDefault="001A3707" w:rsidP="00A13DCA">
            <w:pPr>
              <w:pStyle w:val="TSBodyText"/>
              <w:rPr>
                <w:rFonts w:cs="Calibri"/>
                <w:sz w:val="17"/>
                <w:szCs w:val="17"/>
              </w:rPr>
            </w:pPr>
            <w:r>
              <w:rPr>
                <w:rFonts w:cs="Calibri"/>
                <w:sz w:val="17"/>
                <w:szCs w:val="17"/>
              </w:rPr>
              <w:t>Wilson and Abbott 2019</w:t>
            </w:r>
          </w:p>
        </w:tc>
        <w:tc>
          <w:tcPr>
            <w:tcW w:w="311" w:type="pct"/>
          </w:tcPr>
          <w:p w14:paraId="7BA70BB9" w14:textId="77777777" w:rsidR="001A3707" w:rsidRPr="00170C7B" w:rsidRDefault="001A3707" w:rsidP="00A13DCA">
            <w:pPr>
              <w:pStyle w:val="TSBodyText"/>
              <w:rPr>
                <w:rFonts w:cs="Calibri"/>
                <w:sz w:val="17"/>
                <w:szCs w:val="17"/>
              </w:rPr>
            </w:pPr>
            <w:r>
              <w:rPr>
                <w:rFonts w:cs="Calibri"/>
                <w:sz w:val="17"/>
                <w:szCs w:val="17"/>
              </w:rPr>
              <w:t>2013</w:t>
            </w:r>
          </w:p>
        </w:tc>
        <w:tc>
          <w:tcPr>
            <w:tcW w:w="362" w:type="pct"/>
          </w:tcPr>
          <w:p w14:paraId="5279BF4D" w14:textId="396B7CBD" w:rsidR="001A3707" w:rsidRPr="00170C7B" w:rsidRDefault="001A3707" w:rsidP="00A13DCA">
            <w:pPr>
              <w:pStyle w:val="TSBodyText"/>
              <w:rPr>
                <w:rFonts w:cs="Calibri"/>
                <w:sz w:val="17"/>
                <w:szCs w:val="17"/>
              </w:rPr>
            </w:pPr>
            <w:r>
              <w:rPr>
                <w:rFonts w:cs="Calibri"/>
                <w:sz w:val="17"/>
                <w:szCs w:val="17"/>
              </w:rPr>
              <w:t xml:space="preserve">NZD 2018 </w:t>
            </w:r>
          </w:p>
        </w:tc>
        <w:tc>
          <w:tcPr>
            <w:tcW w:w="667" w:type="pct"/>
          </w:tcPr>
          <w:p w14:paraId="5B97A041" w14:textId="77777777" w:rsidR="001A3707" w:rsidRDefault="001A3707" w:rsidP="00A13DCA">
            <w:pPr>
              <w:pStyle w:val="TSBodyText"/>
              <w:rPr>
                <w:rFonts w:cs="Calibri"/>
                <w:sz w:val="17"/>
                <w:szCs w:val="17"/>
              </w:rPr>
            </w:pPr>
            <w:r w:rsidRPr="002B6086">
              <w:rPr>
                <w:rFonts w:cs="Calibri"/>
                <w:sz w:val="17"/>
                <w:szCs w:val="17"/>
              </w:rPr>
              <w:t>$</w:t>
            </w:r>
            <w:r>
              <w:rPr>
                <w:rFonts w:cs="Calibri"/>
                <w:sz w:val="17"/>
                <w:szCs w:val="17"/>
              </w:rPr>
              <w:t>212m cost of first total knee replacement for OA patients</w:t>
            </w:r>
          </w:p>
          <w:p w14:paraId="3933CA21" w14:textId="62EBD74C" w:rsidR="001A3707" w:rsidRPr="00170C7B" w:rsidRDefault="001A3707" w:rsidP="00A13DCA">
            <w:pPr>
              <w:pStyle w:val="TSBodyText"/>
              <w:rPr>
                <w:rFonts w:cs="Calibri"/>
                <w:sz w:val="17"/>
                <w:szCs w:val="17"/>
              </w:rPr>
            </w:pPr>
            <w:r>
              <w:rPr>
                <w:rFonts w:cs="Calibri"/>
                <w:sz w:val="17"/>
                <w:szCs w:val="17"/>
              </w:rPr>
              <w:lastRenderedPageBreak/>
              <w:t>Projected to increase to $394m by 2038</w:t>
            </w:r>
          </w:p>
        </w:tc>
        <w:tc>
          <w:tcPr>
            <w:tcW w:w="462" w:type="pct"/>
          </w:tcPr>
          <w:p w14:paraId="12DE1A33" w14:textId="77777777" w:rsidR="001A3707" w:rsidRPr="00170C7B" w:rsidRDefault="001A3707" w:rsidP="00A13DCA">
            <w:pPr>
              <w:pStyle w:val="TSBodyText"/>
              <w:rPr>
                <w:rFonts w:cs="Calibri"/>
                <w:sz w:val="17"/>
                <w:szCs w:val="17"/>
              </w:rPr>
            </w:pPr>
          </w:p>
        </w:tc>
        <w:tc>
          <w:tcPr>
            <w:tcW w:w="926" w:type="pct"/>
          </w:tcPr>
          <w:p w14:paraId="6D9FD192" w14:textId="77777777" w:rsidR="001A3707" w:rsidRPr="00170C7B" w:rsidRDefault="001A3707" w:rsidP="00A13DCA">
            <w:pPr>
              <w:pStyle w:val="TSBodyText"/>
              <w:rPr>
                <w:rFonts w:cs="Calibri"/>
                <w:sz w:val="17"/>
                <w:szCs w:val="17"/>
              </w:rPr>
            </w:pPr>
          </w:p>
        </w:tc>
        <w:tc>
          <w:tcPr>
            <w:tcW w:w="569" w:type="pct"/>
          </w:tcPr>
          <w:p w14:paraId="2737ACFA" w14:textId="77777777" w:rsidR="001A3707" w:rsidRPr="00170C7B" w:rsidRDefault="001A3707" w:rsidP="00A13DCA">
            <w:pPr>
              <w:pStyle w:val="TSBodyText"/>
              <w:rPr>
                <w:rFonts w:cs="Calibri"/>
                <w:sz w:val="17"/>
                <w:szCs w:val="17"/>
              </w:rPr>
            </w:pPr>
            <w:r>
              <w:rPr>
                <w:rFonts w:cs="Calibri"/>
                <w:sz w:val="17"/>
                <w:szCs w:val="17"/>
              </w:rPr>
              <w:t xml:space="preserve">Incidence-based cohort </w:t>
            </w:r>
            <w:r>
              <w:rPr>
                <w:rFonts w:cs="Calibri"/>
                <w:sz w:val="17"/>
                <w:szCs w:val="17"/>
              </w:rPr>
              <w:lastRenderedPageBreak/>
              <w:t>microsimulation model</w:t>
            </w:r>
          </w:p>
        </w:tc>
        <w:tc>
          <w:tcPr>
            <w:tcW w:w="674" w:type="pct"/>
          </w:tcPr>
          <w:p w14:paraId="1DF3ABB1" w14:textId="77777777" w:rsidR="001A3707" w:rsidRPr="00170C7B" w:rsidRDefault="001A3707" w:rsidP="00A13DCA">
            <w:pPr>
              <w:pStyle w:val="TSBodyText"/>
              <w:rPr>
                <w:rFonts w:cs="Calibri"/>
                <w:sz w:val="17"/>
                <w:szCs w:val="17"/>
              </w:rPr>
            </w:pPr>
            <w:r>
              <w:rPr>
                <w:rFonts w:cs="Calibri"/>
                <w:sz w:val="17"/>
                <w:szCs w:val="17"/>
              </w:rPr>
              <w:lastRenderedPageBreak/>
              <w:t>Public health system</w:t>
            </w:r>
          </w:p>
        </w:tc>
      </w:tr>
      <w:tr w:rsidR="00B50AF9" w:rsidRPr="00731CA6" w14:paraId="12093D83" w14:textId="77777777" w:rsidTr="00A46D00">
        <w:trPr>
          <w:cantSplit/>
        </w:trPr>
        <w:tc>
          <w:tcPr>
            <w:tcW w:w="616" w:type="pct"/>
          </w:tcPr>
          <w:p w14:paraId="4E6A02AC" w14:textId="77777777" w:rsidR="001A3707" w:rsidRDefault="001A3707" w:rsidP="00A13DCA">
            <w:pPr>
              <w:pStyle w:val="TSBodyText"/>
              <w:rPr>
                <w:rFonts w:cs="Calibri"/>
                <w:sz w:val="17"/>
                <w:szCs w:val="17"/>
              </w:rPr>
            </w:pPr>
            <w:r>
              <w:rPr>
                <w:rFonts w:cs="Calibri"/>
                <w:sz w:val="17"/>
                <w:szCs w:val="17"/>
              </w:rPr>
              <w:t>Rheumatic fever</w:t>
            </w:r>
          </w:p>
        </w:tc>
        <w:tc>
          <w:tcPr>
            <w:tcW w:w="413" w:type="pct"/>
          </w:tcPr>
          <w:p w14:paraId="53F569AF" w14:textId="77777777" w:rsidR="001A3707" w:rsidRDefault="001A3707" w:rsidP="00A13DCA">
            <w:pPr>
              <w:pStyle w:val="TSBodyText"/>
              <w:rPr>
                <w:rFonts w:cs="Calibri"/>
                <w:sz w:val="17"/>
                <w:szCs w:val="17"/>
              </w:rPr>
            </w:pPr>
            <w:r>
              <w:rPr>
                <w:rFonts w:cs="Calibri"/>
                <w:sz w:val="17"/>
                <w:szCs w:val="17"/>
              </w:rPr>
              <w:t>Milne et al. 2012</w:t>
            </w:r>
          </w:p>
        </w:tc>
        <w:tc>
          <w:tcPr>
            <w:tcW w:w="311" w:type="pct"/>
          </w:tcPr>
          <w:p w14:paraId="08E43951" w14:textId="77777777" w:rsidR="001A3707" w:rsidRDefault="001A3707" w:rsidP="00A13DCA">
            <w:pPr>
              <w:pStyle w:val="TSBodyText"/>
              <w:rPr>
                <w:rFonts w:cs="Calibri"/>
                <w:sz w:val="17"/>
                <w:szCs w:val="17"/>
              </w:rPr>
            </w:pPr>
            <w:r>
              <w:rPr>
                <w:rFonts w:cs="Calibri"/>
                <w:sz w:val="17"/>
                <w:szCs w:val="17"/>
              </w:rPr>
              <w:t>2000-2009</w:t>
            </w:r>
          </w:p>
        </w:tc>
        <w:tc>
          <w:tcPr>
            <w:tcW w:w="362" w:type="pct"/>
          </w:tcPr>
          <w:p w14:paraId="36778AA1" w14:textId="18919CB5" w:rsidR="001A3707" w:rsidRDefault="001A3707" w:rsidP="00A13DCA">
            <w:pPr>
              <w:pStyle w:val="TSBodyText"/>
              <w:rPr>
                <w:rFonts w:cs="Calibri"/>
                <w:sz w:val="17"/>
                <w:szCs w:val="17"/>
              </w:rPr>
            </w:pPr>
            <w:r>
              <w:rPr>
                <w:rFonts w:cs="Calibri"/>
                <w:sz w:val="17"/>
                <w:szCs w:val="17"/>
              </w:rPr>
              <w:t xml:space="preserve">NZD </w:t>
            </w:r>
            <w:r w:rsidRPr="008E6FB5">
              <w:rPr>
                <w:rFonts w:cs="Calibri"/>
                <w:sz w:val="17"/>
                <w:szCs w:val="17"/>
              </w:rPr>
              <w:t>2009/10</w:t>
            </w:r>
          </w:p>
          <w:p w14:paraId="230E10CA" w14:textId="717DBF5A" w:rsidR="001A3707" w:rsidRDefault="001A3707" w:rsidP="00A13DCA">
            <w:pPr>
              <w:pStyle w:val="TSBodyText"/>
              <w:rPr>
                <w:rFonts w:cs="Calibri"/>
                <w:sz w:val="17"/>
                <w:szCs w:val="17"/>
              </w:rPr>
            </w:pPr>
          </w:p>
        </w:tc>
        <w:tc>
          <w:tcPr>
            <w:tcW w:w="667" w:type="pct"/>
          </w:tcPr>
          <w:p w14:paraId="6DA6E81A" w14:textId="3DCA067C" w:rsidR="001A3707" w:rsidRPr="002B6086" w:rsidRDefault="001A3707" w:rsidP="00A13DCA">
            <w:pPr>
              <w:pStyle w:val="TSBodyText"/>
              <w:rPr>
                <w:rFonts w:cs="Calibri"/>
                <w:sz w:val="17"/>
                <w:szCs w:val="17"/>
              </w:rPr>
            </w:pPr>
            <w:r>
              <w:rPr>
                <w:rFonts w:cs="Calibri"/>
                <w:sz w:val="17"/>
                <w:szCs w:val="17"/>
              </w:rPr>
              <w:t>$15m per year hospital costs</w:t>
            </w:r>
          </w:p>
        </w:tc>
        <w:tc>
          <w:tcPr>
            <w:tcW w:w="462" w:type="pct"/>
          </w:tcPr>
          <w:p w14:paraId="37231BAA" w14:textId="77777777" w:rsidR="001A3707" w:rsidRPr="00170C7B" w:rsidRDefault="001A3707" w:rsidP="00A13DCA">
            <w:pPr>
              <w:pStyle w:val="TSBodyText"/>
              <w:rPr>
                <w:rFonts w:cs="Calibri"/>
                <w:sz w:val="17"/>
                <w:szCs w:val="17"/>
              </w:rPr>
            </w:pPr>
          </w:p>
        </w:tc>
        <w:tc>
          <w:tcPr>
            <w:tcW w:w="926" w:type="pct"/>
          </w:tcPr>
          <w:p w14:paraId="58E92A17" w14:textId="77777777" w:rsidR="001A3707" w:rsidRPr="00170C7B" w:rsidRDefault="001A3707" w:rsidP="00A13DCA">
            <w:pPr>
              <w:pStyle w:val="TSBodyText"/>
              <w:rPr>
                <w:rFonts w:cs="Calibri"/>
                <w:sz w:val="17"/>
                <w:szCs w:val="17"/>
              </w:rPr>
            </w:pPr>
          </w:p>
        </w:tc>
        <w:tc>
          <w:tcPr>
            <w:tcW w:w="569" w:type="pct"/>
          </w:tcPr>
          <w:p w14:paraId="04008C53" w14:textId="77777777" w:rsidR="001A3707" w:rsidRDefault="001A3707" w:rsidP="00A13DCA">
            <w:pPr>
              <w:pStyle w:val="TSBodyText"/>
              <w:rPr>
                <w:rFonts w:cs="Calibri"/>
                <w:sz w:val="17"/>
                <w:szCs w:val="17"/>
              </w:rPr>
            </w:pPr>
            <w:r>
              <w:rPr>
                <w:rFonts w:cs="Calibri"/>
                <w:sz w:val="17"/>
                <w:szCs w:val="17"/>
              </w:rPr>
              <w:t>Prevalence based</w:t>
            </w:r>
          </w:p>
          <w:p w14:paraId="24140912" w14:textId="77777777" w:rsidR="001A3707" w:rsidRDefault="001A3707" w:rsidP="00A13DCA">
            <w:pPr>
              <w:pStyle w:val="TSBodyText"/>
              <w:rPr>
                <w:rFonts w:cs="Calibri"/>
                <w:sz w:val="17"/>
                <w:szCs w:val="17"/>
              </w:rPr>
            </w:pPr>
            <w:r>
              <w:rPr>
                <w:rFonts w:cs="Calibri"/>
                <w:sz w:val="17"/>
                <w:szCs w:val="17"/>
              </w:rPr>
              <w:t>Bottom-up gross costing</w:t>
            </w:r>
          </w:p>
        </w:tc>
        <w:tc>
          <w:tcPr>
            <w:tcW w:w="674" w:type="pct"/>
          </w:tcPr>
          <w:p w14:paraId="2FACC4DE" w14:textId="77777777" w:rsidR="001A3707" w:rsidRDefault="001A3707" w:rsidP="00A13DCA">
            <w:pPr>
              <w:pStyle w:val="TSBodyText"/>
              <w:rPr>
                <w:rFonts w:cs="Calibri"/>
                <w:sz w:val="17"/>
                <w:szCs w:val="17"/>
              </w:rPr>
            </w:pPr>
            <w:r>
              <w:rPr>
                <w:rFonts w:cs="Calibri"/>
                <w:sz w:val="17"/>
                <w:szCs w:val="17"/>
              </w:rPr>
              <w:t>Public health system</w:t>
            </w:r>
          </w:p>
        </w:tc>
      </w:tr>
      <w:tr w:rsidR="00B50AF9" w:rsidRPr="00731CA6" w14:paraId="4D5E4595"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07897B4C" w14:textId="77777777" w:rsidR="001A3707" w:rsidRDefault="001A3707" w:rsidP="00A13DCA">
            <w:pPr>
              <w:pStyle w:val="TSBodyText"/>
              <w:rPr>
                <w:rFonts w:cs="Calibri"/>
                <w:sz w:val="17"/>
                <w:szCs w:val="17"/>
              </w:rPr>
            </w:pPr>
            <w:r>
              <w:rPr>
                <w:rFonts w:cs="Calibri"/>
                <w:sz w:val="17"/>
                <w:szCs w:val="17"/>
              </w:rPr>
              <w:t>Stroke</w:t>
            </w:r>
          </w:p>
        </w:tc>
        <w:tc>
          <w:tcPr>
            <w:tcW w:w="413" w:type="pct"/>
          </w:tcPr>
          <w:p w14:paraId="404BC8A2" w14:textId="77777777" w:rsidR="001A3707" w:rsidRDefault="001A3707" w:rsidP="00A13DCA">
            <w:pPr>
              <w:pStyle w:val="TSBodyText"/>
              <w:rPr>
                <w:rFonts w:cs="Calibri"/>
                <w:sz w:val="17"/>
                <w:szCs w:val="17"/>
              </w:rPr>
            </w:pPr>
            <w:r>
              <w:rPr>
                <w:rFonts w:cs="Calibri"/>
                <w:sz w:val="17"/>
                <w:szCs w:val="17"/>
              </w:rPr>
              <w:t>Hogan and Siddharth 2018</w:t>
            </w:r>
          </w:p>
        </w:tc>
        <w:tc>
          <w:tcPr>
            <w:tcW w:w="311" w:type="pct"/>
          </w:tcPr>
          <w:p w14:paraId="365CC745" w14:textId="77777777" w:rsidR="001A3707" w:rsidRDefault="001A3707" w:rsidP="00A13DCA">
            <w:pPr>
              <w:pStyle w:val="TSBodyText"/>
              <w:rPr>
                <w:rFonts w:cs="Calibri"/>
                <w:sz w:val="17"/>
                <w:szCs w:val="17"/>
              </w:rPr>
            </w:pPr>
            <w:r>
              <w:rPr>
                <w:rFonts w:cs="Calibri"/>
                <w:sz w:val="17"/>
                <w:szCs w:val="17"/>
              </w:rPr>
              <w:t>2014</w:t>
            </w:r>
          </w:p>
        </w:tc>
        <w:tc>
          <w:tcPr>
            <w:tcW w:w="362" w:type="pct"/>
          </w:tcPr>
          <w:p w14:paraId="2055626F" w14:textId="06273C1A" w:rsidR="001A3707" w:rsidRPr="008E6FB5" w:rsidRDefault="001A3707" w:rsidP="00A13DCA">
            <w:pPr>
              <w:pStyle w:val="TSBodyText"/>
              <w:rPr>
                <w:rFonts w:cs="Calibri"/>
                <w:sz w:val="17"/>
                <w:szCs w:val="17"/>
              </w:rPr>
            </w:pPr>
            <w:r>
              <w:rPr>
                <w:rFonts w:cs="Calibri"/>
                <w:sz w:val="17"/>
                <w:szCs w:val="17"/>
              </w:rPr>
              <w:t xml:space="preserve">NZD 2018 </w:t>
            </w:r>
          </w:p>
        </w:tc>
        <w:tc>
          <w:tcPr>
            <w:tcW w:w="667" w:type="pct"/>
          </w:tcPr>
          <w:p w14:paraId="06ADF0ED" w14:textId="77777777" w:rsidR="001A3707" w:rsidRDefault="001A3707" w:rsidP="00A13DCA">
            <w:pPr>
              <w:pStyle w:val="TSBodyText"/>
              <w:rPr>
                <w:rFonts w:cs="Calibri"/>
                <w:sz w:val="17"/>
                <w:szCs w:val="17"/>
              </w:rPr>
            </w:pPr>
          </w:p>
        </w:tc>
        <w:tc>
          <w:tcPr>
            <w:tcW w:w="462" w:type="pct"/>
          </w:tcPr>
          <w:p w14:paraId="5A007B34" w14:textId="77777777" w:rsidR="001A3707" w:rsidRPr="00170C7B" w:rsidRDefault="001A3707" w:rsidP="00A13DCA">
            <w:pPr>
              <w:pStyle w:val="TSBodyText"/>
              <w:rPr>
                <w:rFonts w:cs="Calibri"/>
                <w:sz w:val="17"/>
                <w:szCs w:val="17"/>
              </w:rPr>
            </w:pPr>
          </w:p>
        </w:tc>
        <w:tc>
          <w:tcPr>
            <w:tcW w:w="926" w:type="pct"/>
          </w:tcPr>
          <w:p w14:paraId="5F836230" w14:textId="431A4C39" w:rsidR="001A3707" w:rsidRPr="00170C7B" w:rsidRDefault="001A3707" w:rsidP="00A13DCA">
            <w:pPr>
              <w:pStyle w:val="TSBodyText"/>
              <w:rPr>
                <w:rFonts w:cs="Calibri"/>
                <w:sz w:val="17"/>
                <w:szCs w:val="17"/>
              </w:rPr>
            </w:pPr>
            <w:r w:rsidRPr="00333397">
              <w:rPr>
                <w:rFonts w:cs="Calibri"/>
                <w:sz w:val="17"/>
                <w:szCs w:val="17"/>
              </w:rPr>
              <w:t xml:space="preserve">5-year </w:t>
            </w:r>
            <w:r>
              <w:rPr>
                <w:rFonts w:cs="Calibri"/>
                <w:sz w:val="17"/>
                <w:szCs w:val="17"/>
              </w:rPr>
              <w:t>dis-coun</w:t>
            </w:r>
            <w:r w:rsidRPr="00333397">
              <w:rPr>
                <w:rFonts w:cs="Calibri"/>
                <w:sz w:val="17"/>
                <w:szCs w:val="17"/>
              </w:rPr>
              <w:t>ted cost of an annual stroke cohort</w:t>
            </w:r>
            <w:r>
              <w:rPr>
                <w:rFonts w:cs="Calibri"/>
                <w:sz w:val="17"/>
                <w:szCs w:val="17"/>
              </w:rPr>
              <w:t xml:space="preserve">: $959m </w:t>
            </w:r>
          </w:p>
        </w:tc>
        <w:tc>
          <w:tcPr>
            <w:tcW w:w="569" w:type="pct"/>
          </w:tcPr>
          <w:p w14:paraId="4E5AC5A5" w14:textId="77777777" w:rsidR="001A3707" w:rsidRDefault="001A3707" w:rsidP="00A13DCA">
            <w:pPr>
              <w:pStyle w:val="TSBodyText"/>
              <w:rPr>
                <w:rFonts w:cs="Calibri"/>
                <w:sz w:val="17"/>
                <w:szCs w:val="17"/>
              </w:rPr>
            </w:pPr>
            <w:r>
              <w:rPr>
                <w:rFonts w:cs="Calibri"/>
                <w:sz w:val="17"/>
                <w:szCs w:val="17"/>
              </w:rPr>
              <w:t>Incidence-based</w:t>
            </w:r>
          </w:p>
          <w:p w14:paraId="0B5D2E99" w14:textId="77777777" w:rsidR="001A3707" w:rsidRDefault="001A3707" w:rsidP="00A13DCA">
            <w:pPr>
              <w:pStyle w:val="TSBodyText"/>
              <w:rPr>
                <w:rFonts w:cs="Calibri"/>
                <w:sz w:val="17"/>
                <w:szCs w:val="17"/>
              </w:rPr>
            </w:pPr>
            <w:r>
              <w:rPr>
                <w:rFonts w:cs="Calibri"/>
                <w:sz w:val="17"/>
                <w:szCs w:val="17"/>
              </w:rPr>
              <w:t>Bottom-up gross costing</w:t>
            </w:r>
          </w:p>
        </w:tc>
        <w:tc>
          <w:tcPr>
            <w:tcW w:w="674" w:type="pct"/>
          </w:tcPr>
          <w:p w14:paraId="10D16D64" w14:textId="77777777" w:rsidR="001A3707" w:rsidRDefault="001A3707" w:rsidP="00A13DCA">
            <w:pPr>
              <w:pStyle w:val="TSBodyText"/>
              <w:rPr>
                <w:rFonts w:cs="Calibri"/>
                <w:sz w:val="17"/>
                <w:szCs w:val="17"/>
              </w:rPr>
            </w:pPr>
            <w:r>
              <w:rPr>
                <w:rFonts w:cs="Calibri"/>
                <w:sz w:val="17"/>
                <w:szCs w:val="17"/>
              </w:rPr>
              <w:t>Societal</w:t>
            </w:r>
          </w:p>
        </w:tc>
      </w:tr>
      <w:tr w:rsidR="00B50AF9" w:rsidRPr="00731CA6" w14:paraId="089EDD46" w14:textId="77777777" w:rsidTr="00A46D00">
        <w:trPr>
          <w:cantSplit/>
        </w:trPr>
        <w:tc>
          <w:tcPr>
            <w:tcW w:w="616" w:type="pct"/>
          </w:tcPr>
          <w:p w14:paraId="34A03E12" w14:textId="77777777" w:rsidR="001A3707" w:rsidRDefault="001A3707" w:rsidP="00A13DCA">
            <w:pPr>
              <w:pStyle w:val="TSBodyText"/>
              <w:rPr>
                <w:rFonts w:cs="Calibri"/>
                <w:sz w:val="17"/>
                <w:szCs w:val="17"/>
              </w:rPr>
            </w:pPr>
            <w:r>
              <w:rPr>
                <w:rFonts w:cs="Calibri"/>
                <w:sz w:val="17"/>
                <w:szCs w:val="17"/>
              </w:rPr>
              <w:t>Stroke</w:t>
            </w:r>
          </w:p>
        </w:tc>
        <w:tc>
          <w:tcPr>
            <w:tcW w:w="413" w:type="pct"/>
          </w:tcPr>
          <w:p w14:paraId="027A0352" w14:textId="77777777" w:rsidR="001A3707" w:rsidRDefault="001A3707" w:rsidP="00A13DCA">
            <w:pPr>
              <w:pStyle w:val="TSBodyText"/>
              <w:rPr>
                <w:rFonts w:cs="Calibri"/>
                <w:sz w:val="17"/>
                <w:szCs w:val="17"/>
              </w:rPr>
            </w:pPr>
            <w:r w:rsidRPr="00F37E1D">
              <w:rPr>
                <w:rFonts w:cs="Calibri"/>
                <w:sz w:val="17"/>
                <w:szCs w:val="17"/>
              </w:rPr>
              <w:t>Hogan and Siddharth 20</w:t>
            </w:r>
            <w:r>
              <w:rPr>
                <w:rFonts w:cs="Calibri"/>
                <w:sz w:val="17"/>
                <w:szCs w:val="17"/>
              </w:rPr>
              <w:t>20</w:t>
            </w:r>
          </w:p>
        </w:tc>
        <w:tc>
          <w:tcPr>
            <w:tcW w:w="311" w:type="pct"/>
          </w:tcPr>
          <w:p w14:paraId="1DDE1EE8" w14:textId="77777777" w:rsidR="001A3707" w:rsidRDefault="001A3707" w:rsidP="00A13DCA">
            <w:pPr>
              <w:pStyle w:val="TSBodyText"/>
              <w:rPr>
                <w:rFonts w:cs="Calibri"/>
                <w:sz w:val="17"/>
                <w:szCs w:val="17"/>
              </w:rPr>
            </w:pPr>
            <w:r>
              <w:rPr>
                <w:rFonts w:cs="Calibri"/>
                <w:sz w:val="17"/>
                <w:szCs w:val="17"/>
              </w:rPr>
              <w:t>2020</w:t>
            </w:r>
          </w:p>
        </w:tc>
        <w:tc>
          <w:tcPr>
            <w:tcW w:w="362" w:type="pct"/>
          </w:tcPr>
          <w:p w14:paraId="6D547403" w14:textId="52B687B2" w:rsidR="001A3707" w:rsidRPr="008E6FB5" w:rsidRDefault="001A3707" w:rsidP="00A13DCA">
            <w:pPr>
              <w:pStyle w:val="TSBodyText"/>
              <w:rPr>
                <w:rFonts w:cs="Calibri"/>
                <w:sz w:val="17"/>
                <w:szCs w:val="17"/>
              </w:rPr>
            </w:pPr>
            <w:r>
              <w:rPr>
                <w:rFonts w:cs="Calibri"/>
                <w:sz w:val="17"/>
                <w:szCs w:val="17"/>
              </w:rPr>
              <w:t xml:space="preserve">NZD 2020 </w:t>
            </w:r>
          </w:p>
        </w:tc>
        <w:tc>
          <w:tcPr>
            <w:tcW w:w="667" w:type="pct"/>
          </w:tcPr>
          <w:p w14:paraId="5BF37DBE" w14:textId="6E9D3437" w:rsidR="001A3707" w:rsidRDefault="001A3707" w:rsidP="00A13DCA">
            <w:pPr>
              <w:pStyle w:val="TSBodyText"/>
              <w:rPr>
                <w:rFonts w:cs="Calibri"/>
                <w:sz w:val="17"/>
                <w:szCs w:val="17"/>
              </w:rPr>
            </w:pPr>
            <w:r w:rsidRPr="00DD23BF">
              <w:rPr>
                <w:rFonts w:cs="Calibri"/>
                <w:sz w:val="17"/>
                <w:szCs w:val="17"/>
              </w:rPr>
              <w:t xml:space="preserve">5-year discounted cost </w:t>
            </w:r>
            <w:r>
              <w:rPr>
                <w:rFonts w:cs="Calibri"/>
                <w:sz w:val="17"/>
                <w:szCs w:val="17"/>
              </w:rPr>
              <w:t xml:space="preserve">for the 2020 </w:t>
            </w:r>
            <w:r w:rsidRPr="00DD23BF">
              <w:rPr>
                <w:rFonts w:cs="Calibri"/>
                <w:sz w:val="17"/>
                <w:szCs w:val="17"/>
              </w:rPr>
              <w:t>stroke</w:t>
            </w:r>
            <w:r>
              <w:rPr>
                <w:rFonts w:cs="Calibri"/>
                <w:sz w:val="17"/>
                <w:szCs w:val="17"/>
              </w:rPr>
              <w:t xml:space="preserve"> cohort</w:t>
            </w:r>
            <w:r w:rsidRPr="00DD23BF">
              <w:rPr>
                <w:rFonts w:cs="Calibri"/>
                <w:sz w:val="17"/>
                <w:szCs w:val="17"/>
              </w:rPr>
              <w:t xml:space="preserve">: </w:t>
            </w:r>
            <w:r>
              <w:rPr>
                <w:rFonts w:cs="Calibri"/>
                <w:sz w:val="17"/>
                <w:szCs w:val="17"/>
              </w:rPr>
              <w:t>$523.3m</w:t>
            </w:r>
          </w:p>
        </w:tc>
        <w:tc>
          <w:tcPr>
            <w:tcW w:w="462" w:type="pct"/>
          </w:tcPr>
          <w:p w14:paraId="272BB62B" w14:textId="77777777" w:rsidR="001A3707" w:rsidRPr="00170C7B" w:rsidRDefault="001A3707" w:rsidP="00A13DCA">
            <w:pPr>
              <w:pStyle w:val="TSBodyText"/>
              <w:rPr>
                <w:rFonts w:cs="Calibri"/>
                <w:sz w:val="17"/>
                <w:szCs w:val="17"/>
              </w:rPr>
            </w:pPr>
          </w:p>
        </w:tc>
        <w:tc>
          <w:tcPr>
            <w:tcW w:w="926" w:type="pct"/>
          </w:tcPr>
          <w:p w14:paraId="4CA08487" w14:textId="77777777" w:rsidR="001A3707" w:rsidRDefault="001A3707" w:rsidP="00A13DCA">
            <w:pPr>
              <w:pStyle w:val="TSBodyText"/>
              <w:rPr>
                <w:rFonts w:cs="Calibri"/>
                <w:sz w:val="17"/>
                <w:szCs w:val="17"/>
              </w:rPr>
            </w:pPr>
            <w:r>
              <w:rPr>
                <w:rFonts w:cs="Calibri"/>
                <w:sz w:val="17"/>
                <w:szCs w:val="17"/>
              </w:rPr>
              <w:t xml:space="preserve">5-year dis-counted cost of an annual stroke cohort: </w:t>
            </w:r>
            <w:r w:rsidRPr="00882BAC">
              <w:rPr>
                <w:rFonts w:cs="Calibri"/>
                <w:sz w:val="17"/>
                <w:szCs w:val="17"/>
              </w:rPr>
              <w:t>$1.3b</w:t>
            </w:r>
            <w:r>
              <w:rPr>
                <w:rFonts w:cs="Calibri"/>
                <w:sz w:val="17"/>
                <w:szCs w:val="17"/>
              </w:rPr>
              <w:t xml:space="preserve"> </w:t>
            </w:r>
          </w:p>
          <w:p w14:paraId="45091E3D" w14:textId="77777777" w:rsidR="001A3707" w:rsidRDefault="001A3707" w:rsidP="00A13DCA">
            <w:pPr>
              <w:pStyle w:val="TSBodyText"/>
              <w:rPr>
                <w:rFonts w:cs="Calibri"/>
                <w:sz w:val="17"/>
                <w:szCs w:val="17"/>
              </w:rPr>
            </w:pPr>
            <w:r>
              <w:rPr>
                <w:rFonts w:cs="Calibri"/>
                <w:sz w:val="17"/>
                <w:szCs w:val="17"/>
              </w:rPr>
              <w:t>Annual cost of stroke overall: $1.1b</w:t>
            </w:r>
          </w:p>
          <w:p w14:paraId="7D4BBF81" w14:textId="09D9D2EB" w:rsidR="001A3707" w:rsidRDefault="001A3707" w:rsidP="00A13DCA">
            <w:pPr>
              <w:pStyle w:val="TSBodyText"/>
              <w:rPr>
                <w:rFonts w:cs="Calibri"/>
                <w:sz w:val="17"/>
                <w:szCs w:val="17"/>
              </w:rPr>
            </w:pPr>
            <w:r>
              <w:rPr>
                <w:rFonts w:cs="Calibri"/>
                <w:sz w:val="17"/>
                <w:szCs w:val="17"/>
              </w:rPr>
              <w:t>Projected to $1.7b by 2038</w:t>
            </w:r>
          </w:p>
        </w:tc>
        <w:tc>
          <w:tcPr>
            <w:tcW w:w="569" w:type="pct"/>
          </w:tcPr>
          <w:p w14:paraId="5DFEA914" w14:textId="77777777" w:rsidR="001A3707" w:rsidRPr="00882BAC" w:rsidRDefault="001A3707" w:rsidP="00A13DCA">
            <w:pPr>
              <w:pStyle w:val="TSBodyText"/>
              <w:rPr>
                <w:rFonts w:cs="Calibri"/>
                <w:sz w:val="17"/>
                <w:szCs w:val="17"/>
              </w:rPr>
            </w:pPr>
            <w:r w:rsidRPr="00882BAC">
              <w:rPr>
                <w:rFonts w:cs="Calibri"/>
                <w:sz w:val="17"/>
                <w:szCs w:val="17"/>
              </w:rPr>
              <w:t>Incidence-</w:t>
            </w:r>
            <w:r>
              <w:rPr>
                <w:rFonts w:cs="Calibri"/>
                <w:sz w:val="17"/>
                <w:szCs w:val="17"/>
              </w:rPr>
              <w:t xml:space="preserve"> and prevalence </w:t>
            </w:r>
            <w:r w:rsidRPr="00882BAC">
              <w:rPr>
                <w:rFonts w:cs="Calibri"/>
                <w:sz w:val="17"/>
                <w:szCs w:val="17"/>
              </w:rPr>
              <w:t>based</w:t>
            </w:r>
          </w:p>
          <w:p w14:paraId="0DA94FCB" w14:textId="77777777" w:rsidR="001A3707" w:rsidRDefault="001A3707" w:rsidP="00A13DCA">
            <w:pPr>
              <w:pStyle w:val="TSBodyText"/>
              <w:rPr>
                <w:rFonts w:cs="Calibri"/>
                <w:sz w:val="17"/>
                <w:szCs w:val="17"/>
              </w:rPr>
            </w:pPr>
            <w:r w:rsidRPr="00882BAC">
              <w:rPr>
                <w:rFonts w:cs="Calibri"/>
                <w:sz w:val="17"/>
                <w:szCs w:val="17"/>
              </w:rPr>
              <w:t>Bottom-up gross costing</w:t>
            </w:r>
          </w:p>
        </w:tc>
        <w:tc>
          <w:tcPr>
            <w:tcW w:w="674" w:type="pct"/>
          </w:tcPr>
          <w:p w14:paraId="3366C4F6" w14:textId="77777777" w:rsidR="001A3707" w:rsidRDefault="001A3707" w:rsidP="00A13DCA">
            <w:pPr>
              <w:pStyle w:val="TSBodyText"/>
              <w:rPr>
                <w:rFonts w:cs="Calibri"/>
                <w:sz w:val="17"/>
                <w:szCs w:val="17"/>
              </w:rPr>
            </w:pPr>
            <w:r w:rsidRPr="00882BAC">
              <w:rPr>
                <w:rFonts w:cs="Calibri"/>
                <w:sz w:val="17"/>
                <w:szCs w:val="17"/>
              </w:rPr>
              <w:t>Societal</w:t>
            </w:r>
          </w:p>
        </w:tc>
      </w:tr>
      <w:tr w:rsidR="00B50AF9" w:rsidRPr="00731CA6" w14:paraId="54A36AD3"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5000" w:type="pct"/>
            <w:gridSpan w:val="9"/>
          </w:tcPr>
          <w:p w14:paraId="519B79FB" w14:textId="77777777" w:rsidR="00F16F95" w:rsidRPr="0019040E" w:rsidRDefault="00F16F95" w:rsidP="00A13DCA">
            <w:pPr>
              <w:pStyle w:val="TSBodyText"/>
              <w:rPr>
                <w:rFonts w:cs="Calibri"/>
                <w:b/>
                <w:bCs/>
                <w:sz w:val="20"/>
                <w:szCs w:val="20"/>
              </w:rPr>
            </w:pPr>
            <w:r w:rsidRPr="0019040E">
              <w:rPr>
                <w:rFonts w:cs="Calibri"/>
                <w:b/>
                <w:bCs/>
                <w:sz w:val="20"/>
                <w:szCs w:val="20"/>
              </w:rPr>
              <w:t>International evidence</w:t>
            </w:r>
          </w:p>
        </w:tc>
      </w:tr>
      <w:tr w:rsidR="00B50AF9" w:rsidRPr="00731CA6" w14:paraId="08EBC242" w14:textId="77777777" w:rsidTr="00A46D00">
        <w:trPr>
          <w:cantSplit/>
        </w:trPr>
        <w:tc>
          <w:tcPr>
            <w:tcW w:w="616" w:type="pct"/>
          </w:tcPr>
          <w:p w14:paraId="1C45F5EC" w14:textId="77777777" w:rsidR="0097782B" w:rsidRDefault="0097782B" w:rsidP="00A13DCA">
            <w:pPr>
              <w:pStyle w:val="TSBodyText"/>
              <w:rPr>
                <w:rFonts w:cs="Calibri"/>
                <w:sz w:val="16"/>
                <w:szCs w:val="16"/>
              </w:rPr>
            </w:pPr>
            <w:r>
              <w:rPr>
                <w:rFonts w:cs="Calibri"/>
                <w:sz w:val="16"/>
                <w:szCs w:val="16"/>
              </w:rPr>
              <w:t>Alcohol</w:t>
            </w:r>
          </w:p>
          <w:p w14:paraId="42F82D56" w14:textId="77777777" w:rsidR="0097782B" w:rsidRPr="006269D4" w:rsidRDefault="0097782B" w:rsidP="00A13DCA">
            <w:pPr>
              <w:pStyle w:val="TSBodyText"/>
              <w:rPr>
                <w:rFonts w:cs="Calibri"/>
                <w:sz w:val="16"/>
                <w:szCs w:val="16"/>
              </w:rPr>
            </w:pPr>
            <w:r>
              <w:rPr>
                <w:rFonts w:cs="Calibri"/>
                <w:sz w:val="16"/>
                <w:szCs w:val="16"/>
              </w:rPr>
              <w:t>(Scotland)</w:t>
            </w:r>
          </w:p>
        </w:tc>
        <w:tc>
          <w:tcPr>
            <w:tcW w:w="413" w:type="pct"/>
          </w:tcPr>
          <w:p w14:paraId="45F00479" w14:textId="7464941B" w:rsidR="0097782B" w:rsidRPr="006269D4" w:rsidRDefault="0097782B" w:rsidP="00A13DCA">
            <w:pPr>
              <w:pStyle w:val="TSBodyText"/>
              <w:rPr>
                <w:rFonts w:cs="Calibri"/>
                <w:sz w:val="16"/>
                <w:szCs w:val="16"/>
              </w:rPr>
            </w:pPr>
            <w:r>
              <w:rPr>
                <w:rFonts w:cs="Calibri"/>
                <w:sz w:val="16"/>
                <w:szCs w:val="16"/>
              </w:rPr>
              <w:t>Scottish Government Social Research 2010</w:t>
            </w:r>
          </w:p>
        </w:tc>
        <w:tc>
          <w:tcPr>
            <w:tcW w:w="311" w:type="pct"/>
          </w:tcPr>
          <w:p w14:paraId="23E873B2" w14:textId="77777777" w:rsidR="0097782B" w:rsidRPr="006269D4" w:rsidRDefault="0097782B" w:rsidP="00A13DCA">
            <w:pPr>
              <w:pStyle w:val="TSBodyText"/>
              <w:rPr>
                <w:rFonts w:cs="Calibri"/>
                <w:sz w:val="16"/>
                <w:szCs w:val="16"/>
              </w:rPr>
            </w:pPr>
            <w:r>
              <w:rPr>
                <w:rFonts w:cs="Calibri"/>
                <w:sz w:val="16"/>
                <w:szCs w:val="16"/>
              </w:rPr>
              <w:t>2007</w:t>
            </w:r>
          </w:p>
        </w:tc>
        <w:tc>
          <w:tcPr>
            <w:tcW w:w="362" w:type="pct"/>
          </w:tcPr>
          <w:p w14:paraId="27AB300F" w14:textId="254EC7B4" w:rsidR="0097782B" w:rsidRPr="006269D4" w:rsidRDefault="0097782B" w:rsidP="00A13DCA">
            <w:pPr>
              <w:pStyle w:val="TSBodyText"/>
              <w:rPr>
                <w:rFonts w:cs="Calibri"/>
                <w:sz w:val="16"/>
                <w:szCs w:val="16"/>
              </w:rPr>
            </w:pPr>
            <w:r w:rsidRPr="00B960C0">
              <w:rPr>
                <w:rFonts w:cs="Calibri"/>
                <w:sz w:val="16"/>
                <w:szCs w:val="16"/>
              </w:rPr>
              <w:t>GBP 2</w:t>
            </w:r>
            <w:r>
              <w:rPr>
                <w:rFonts w:cs="Calibri"/>
                <w:sz w:val="16"/>
                <w:szCs w:val="16"/>
              </w:rPr>
              <w:t>007</w:t>
            </w:r>
          </w:p>
        </w:tc>
        <w:tc>
          <w:tcPr>
            <w:tcW w:w="667" w:type="pct"/>
          </w:tcPr>
          <w:p w14:paraId="6D5F725C" w14:textId="6A892250" w:rsidR="0097782B" w:rsidRDefault="0097782B" w:rsidP="00A13DCA">
            <w:pPr>
              <w:pStyle w:val="TSBodyText"/>
              <w:rPr>
                <w:rFonts w:cs="Calibri"/>
                <w:sz w:val="16"/>
                <w:szCs w:val="16"/>
              </w:rPr>
            </w:pPr>
            <w:r>
              <w:rPr>
                <w:rFonts w:cs="Calibri"/>
                <w:sz w:val="16"/>
                <w:szCs w:val="16"/>
              </w:rPr>
              <w:t>$982</w:t>
            </w:r>
          </w:p>
        </w:tc>
        <w:tc>
          <w:tcPr>
            <w:tcW w:w="462" w:type="pct"/>
          </w:tcPr>
          <w:p w14:paraId="01B31522" w14:textId="6AE058FA" w:rsidR="0097782B" w:rsidRDefault="0097782B" w:rsidP="00A13DCA">
            <w:pPr>
              <w:pStyle w:val="TSBodyText"/>
              <w:rPr>
                <w:rFonts w:cs="Calibri"/>
                <w:sz w:val="16"/>
                <w:szCs w:val="16"/>
              </w:rPr>
            </w:pPr>
            <w:r>
              <w:rPr>
                <w:rFonts w:cs="Calibri"/>
                <w:sz w:val="16"/>
                <w:szCs w:val="16"/>
              </w:rPr>
              <w:t>$3175</w:t>
            </w:r>
          </w:p>
        </w:tc>
        <w:tc>
          <w:tcPr>
            <w:tcW w:w="926" w:type="pct"/>
          </w:tcPr>
          <w:p w14:paraId="4E3E676F" w14:textId="2958B6E6" w:rsidR="0097782B" w:rsidRDefault="0097782B" w:rsidP="00A13DCA">
            <w:pPr>
              <w:pStyle w:val="TSBodyText"/>
              <w:rPr>
                <w:rFonts w:cs="Calibri"/>
                <w:sz w:val="16"/>
                <w:szCs w:val="16"/>
              </w:rPr>
            </w:pPr>
            <w:r w:rsidRPr="00EB6516">
              <w:rPr>
                <w:rFonts w:cs="Calibri"/>
                <w:sz w:val="16"/>
                <w:szCs w:val="16"/>
              </w:rPr>
              <w:t>£</w:t>
            </w:r>
            <w:r>
              <w:rPr>
                <w:rFonts w:cs="Calibri"/>
                <w:sz w:val="16"/>
                <w:szCs w:val="16"/>
              </w:rPr>
              <w:t>8</w:t>
            </w:r>
            <w:r w:rsidRPr="00EB6516">
              <w:rPr>
                <w:rFonts w:cs="Calibri"/>
                <w:sz w:val="16"/>
                <w:szCs w:val="16"/>
              </w:rPr>
              <w:t>.</w:t>
            </w:r>
            <w:r>
              <w:rPr>
                <w:rFonts w:cs="Calibri"/>
                <w:sz w:val="16"/>
                <w:szCs w:val="16"/>
              </w:rPr>
              <w:t>8b</w:t>
            </w:r>
            <w:r w:rsidRPr="00EB6516">
              <w:rPr>
                <w:rFonts w:cs="Calibri"/>
                <w:sz w:val="16"/>
                <w:szCs w:val="16"/>
              </w:rPr>
              <w:t xml:space="preserve"> </w:t>
            </w:r>
            <w:r>
              <w:rPr>
                <w:rFonts w:cs="Calibri"/>
                <w:sz w:val="16"/>
                <w:szCs w:val="16"/>
              </w:rPr>
              <w:t>to</w:t>
            </w:r>
            <w:r w:rsidRPr="00EB6516">
              <w:rPr>
                <w:rFonts w:cs="Calibri"/>
                <w:sz w:val="16"/>
                <w:szCs w:val="16"/>
              </w:rPr>
              <w:t xml:space="preserve"> £</w:t>
            </w:r>
            <w:r>
              <w:rPr>
                <w:rFonts w:cs="Calibri"/>
                <w:sz w:val="16"/>
                <w:szCs w:val="16"/>
              </w:rPr>
              <w:t>16</w:t>
            </w:r>
            <w:r w:rsidRPr="00EB6516">
              <w:rPr>
                <w:rFonts w:cs="Calibri"/>
                <w:sz w:val="16"/>
                <w:szCs w:val="16"/>
              </w:rPr>
              <w:t>.</w:t>
            </w:r>
            <w:r>
              <w:rPr>
                <w:rFonts w:cs="Calibri"/>
                <w:sz w:val="16"/>
                <w:szCs w:val="16"/>
              </w:rPr>
              <w:t>9b</w:t>
            </w:r>
          </w:p>
        </w:tc>
        <w:tc>
          <w:tcPr>
            <w:tcW w:w="569" w:type="pct"/>
          </w:tcPr>
          <w:p w14:paraId="4B12DC00" w14:textId="77777777" w:rsidR="0097782B" w:rsidRDefault="0097782B" w:rsidP="00A13DCA">
            <w:pPr>
              <w:pStyle w:val="TSBodyText"/>
              <w:rPr>
                <w:rFonts w:cs="Calibri"/>
                <w:sz w:val="16"/>
                <w:szCs w:val="16"/>
              </w:rPr>
            </w:pPr>
            <w:r>
              <w:rPr>
                <w:rFonts w:cs="Calibri"/>
                <w:sz w:val="16"/>
                <w:szCs w:val="16"/>
              </w:rPr>
              <w:t>Prevalence-based</w:t>
            </w:r>
          </w:p>
          <w:p w14:paraId="2D8ED234" w14:textId="77777777" w:rsidR="0097782B" w:rsidRDefault="0097782B" w:rsidP="00A13DCA">
            <w:pPr>
              <w:pStyle w:val="TSBodyText"/>
              <w:rPr>
                <w:rFonts w:cs="Calibri"/>
                <w:sz w:val="16"/>
                <w:szCs w:val="16"/>
              </w:rPr>
            </w:pPr>
            <w:r>
              <w:rPr>
                <w:rFonts w:cs="Calibri"/>
                <w:sz w:val="16"/>
                <w:szCs w:val="16"/>
              </w:rPr>
              <w:t>Mixed methods (some top-down, some bottom-up) gross costing</w:t>
            </w:r>
          </w:p>
          <w:p w14:paraId="5B22E570" w14:textId="77777777" w:rsidR="0097782B" w:rsidRDefault="0097782B" w:rsidP="00A13DCA">
            <w:pPr>
              <w:pStyle w:val="TSBodyText"/>
              <w:rPr>
                <w:rFonts w:cs="Calibri"/>
                <w:sz w:val="16"/>
                <w:szCs w:val="16"/>
              </w:rPr>
            </w:pPr>
            <w:r>
              <w:rPr>
                <w:rFonts w:cs="Calibri"/>
                <w:sz w:val="16"/>
                <w:szCs w:val="16"/>
              </w:rPr>
              <w:t>Attributable costs</w:t>
            </w:r>
          </w:p>
        </w:tc>
        <w:tc>
          <w:tcPr>
            <w:tcW w:w="674" w:type="pct"/>
          </w:tcPr>
          <w:p w14:paraId="64C8DDA4" w14:textId="77777777" w:rsidR="0097782B" w:rsidRDefault="0097782B" w:rsidP="00A13DCA">
            <w:pPr>
              <w:pStyle w:val="TSBodyText"/>
              <w:rPr>
                <w:rFonts w:cs="Calibri"/>
                <w:sz w:val="16"/>
                <w:szCs w:val="16"/>
              </w:rPr>
            </w:pPr>
            <w:r>
              <w:rPr>
                <w:rFonts w:cs="Calibri"/>
                <w:sz w:val="16"/>
                <w:szCs w:val="16"/>
              </w:rPr>
              <w:t>Societal</w:t>
            </w:r>
          </w:p>
        </w:tc>
      </w:tr>
      <w:tr w:rsidR="00B50AF9" w:rsidRPr="00731CA6" w14:paraId="6592247D"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5788241C" w14:textId="77777777" w:rsidR="0097782B" w:rsidRDefault="0097782B" w:rsidP="00A13DCA">
            <w:pPr>
              <w:pStyle w:val="TSBodyText"/>
              <w:rPr>
                <w:rFonts w:cs="Calibri"/>
                <w:sz w:val="16"/>
                <w:szCs w:val="16"/>
              </w:rPr>
            </w:pPr>
            <w:r>
              <w:rPr>
                <w:rFonts w:cs="Calibri"/>
                <w:sz w:val="16"/>
                <w:szCs w:val="16"/>
              </w:rPr>
              <w:t>Alcohol</w:t>
            </w:r>
          </w:p>
          <w:p w14:paraId="1CDE209D" w14:textId="77777777" w:rsidR="0097782B" w:rsidRDefault="0097782B" w:rsidP="00A13DCA">
            <w:pPr>
              <w:pStyle w:val="TSBodyText"/>
              <w:rPr>
                <w:rFonts w:cs="Calibri"/>
                <w:sz w:val="16"/>
                <w:szCs w:val="16"/>
              </w:rPr>
            </w:pPr>
            <w:r>
              <w:rPr>
                <w:rFonts w:cs="Calibri"/>
                <w:sz w:val="16"/>
                <w:szCs w:val="16"/>
              </w:rPr>
              <w:t>(Leeds, UK)</w:t>
            </w:r>
          </w:p>
        </w:tc>
        <w:tc>
          <w:tcPr>
            <w:tcW w:w="413" w:type="pct"/>
          </w:tcPr>
          <w:p w14:paraId="1095E3BB" w14:textId="3BB2752F" w:rsidR="0097782B" w:rsidRDefault="0097782B" w:rsidP="00A13DCA">
            <w:pPr>
              <w:pStyle w:val="TSBodyText"/>
              <w:rPr>
                <w:rFonts w:cs="Calibri"/>
                <w:sz w:val="16"/>
                <w:szCs w:val="16"/>
              </w:rPr>
            </w:pPr>
            <w:r>
              <w:rPr>
                <w:rFonts w:cs="Calibri"/>
                <w:sz w:val="16"/>
                <w:szCs w:val="16"/>
              </w:rPr>
              <w:t>Jones et al. 2010</w:t>
            </w:r>
          </w:p>
        </w:tc>
        <w:tc>
          <w:tcPr>
            <w:tcW w:w="311" w:type="pct"/>
          </w:tcPr>
          <w:p w14:paraId="614E355A" w14:textId="77777777" w:rsidR="0097782B" w:rsidRPr="006269D4" w:rsidRDefault="0097782B" w:rsidP="00A13DCA">
            <w:pPr>
              <w:pStyle w:val="TSBodyText"/>
              <w:rPr>
                <w:rFonts w:cs="Calibri"/>
                <w:sz w:val="16"/>
                <w:szCs w:val="16"/>
              </w:rPr>
            </w:pPr>
            <w:r>
              <w:rPr>
                <w:rFonts w:cs="Calibri"/>
                <w:sz w:val="16"/>
                <w:szCs w:val="16"/>
              </w:rPr>
              <w:t>2008/09</w:t>
            </w:r>
          </w:p>
        </w:tc>
        <w:tc>
          <w:tcPr>
            <w:tcW w:w="362" w:type="pct"/>
          </w:tcPr>
          <w:p w14:paraId="7EBDE308" w14:textId="4197B76C" w:rsidR="0097782B" w:rsidRPr="006269D4" w:rsidRDefault="0097782B" w:rsidP="00A46D00">
            <w:pPr>
              <w:pStyle w:val="TSBodyText"/>
              <w:rPr>
                <w:rFonts w:cs="Calibri"/>
                <w:sz w:val="16"/>
                <w:szCs w:val="16"/>
              </w:rPr>
            </w:pPr>
            <w:r>
              <w:rPr>
                <w:rFonts w:cs="Calibri"/>
                <w:sz w:val="16"/>
                <w:szCs w:val="16"/>
              </w:rPr>
              <w:t>GBP 2008</w:t>
            </w:r>
          </w:p>
        </w:tc>
        <w:tc>
          <w:tcPr>
            <w:tcW w:w="667" w:type="pct"/>
          </w:tcPr>
          <w:p w14:paraId="55BB99C6" w14:textId="3E93FBAB" w:rsidR="0097782B" w:rsidRDefault="0097782B" w:rsidP="00A13DCA">
            <w:pPr>
              <w:pStyle w:val="TSBodyText"/>
              <w:rPr>
                <w:rFonts w:cs="Calibri"/>
                <w:sz w:val="16"/>
                <w:szCs w:val="16"/>
              </w:rPr>
            </w:pPr>
            <w:r>
              <w:rPr>
                <w:rFonts w:cs="Calibri"/>
                <w:sz w:val="16"/>
                <w:szCs w:val="16"/>
              </w:rPr>
              <w:t>$69m</w:t>
            </w:r>
          </w:p>
        </w:tc>
        <w:tc>
          <w:tcPr>
            <w:tcW w:w="462" w:type="pct"/>
          </w:tcPr>
          <w:p w14:paraId="1907221D" w14:textId="54C920BD" w:rsidR="0097782B" w:rsidRDefault="0097782B" w:rsidP="00A13DCA">
            <w:pPr>
              <w:pStyle w:val="TSBodyText"/>
              <w:rPr>
                <w:rFonts w:cs="Calibri"/>
                <w:sz w:val="16"/>
                <w:szCs w:val="16"/>
              </w:rPr>
            </w:pPr>
            <w:r>
              <w:rPr>
                <w:rFonts w:cs="Calibri"/>
                <w:sz w:val="16"/>
                <w:szCs w:val="16"/>
              </w:rPr>
              <w:t>$407</w:t>
            </w:r>
          </w:p>
        </w:tc>
        <w:tc>
          <w:tcPr>
            <w:tcW w:w="926" w:type="pct"/>
          </w:tcPr>
          <w:p w14:paraId="41B47C91" w14:textId="04693934" w:rsidR="0097782B" w:rsidRDefault="0097782B" w:rsidP="00A13DCA">
            <w:pPr>
              <w:pStyle w:val="TSBodyText"/>
              <w:rPr>
                <w:rFonts w:cs="Calibri"/>
                <w:sz w:val="16"/>
                <w:szCs w:val="16"/>
              </w:rPr>
            </w:pPr>
            <w:r>
              <w:rPr>
                <w:rFonts w:cs="Calibri"/>
                <w:sz w:val="16"/>
                <w:szCs w:val="16"/>
              </w:rPr>
              <w:t>$1510m</w:t>
            </w:r>
          </w:p>
        </w:tc>
        <w:tc>
          <w:tcPr>
            <w:tcW w:w="569" w:type="pct"/>
          </w:tcPr>
          <w:p w14:paraId="441B8BD6" w14:textId="77777777" w:rsidR="0097782B" w:rsidRPr="001E6ED4" w:rsidRDefault="0097782B" w:rsidP="00A13DCA">
            <w:pPr>
              <w:pStyle w:val="TSBodyText"/>
              <w:rPr>
                <w:rFonts w:cs="Calibri"/>
                <w:sz w:val="16"/>
                <w:szCs w:val="16"/>
              </w:rPr>
            </w:pPr>
            <w:r w:rsidRPr="001E6ED4">
              <w:rPr>
                <w:rFonts w:cs="Calibri"/>
                <w:sz w:val="16"/>
                <w:szCs w:val="16"/>
              </w:rPr>
              <w:t>Prevalence-based</w:t>
            </w:r>
          </w:p>
          <w:p w14:paraId="6FD05D51" w14:textId="77777777" w:rsidR="0097782B" w:rsidRPr="001E6ED4" w:rsidRDefault="0097782B" w:rsidP="00A13DCA">
            <w:pPr>
              <w:pStyle w:val="TSBodyText"/>
              <w:rPr>
                <w:rFonts w:cs="Calibri"/>
                <w:sz w:val="16"/>
                <w:szCs w:val="16"/>
              </w:rPr>
            </w:pPr>
            <w:r w:rsidRPr="001E6ED4">
              <w:rPr>
                <w:rFonts w:cs="Calibri"/>
                <w:sz w:val="16"/>
                <w:szCs w:val="16"/>
              </w:rPr>
              <w:t>Mixed methods (some top-down, some bottom-up) gross costing</w:t>
            </w:r>
          </w:p>
          <w:p w14:paraId="2798DEB1" w14:textId="77777777" w:rsidR="0097782B" w:rsidRDefault="0097782B" w:rsidP="00A13DCA">
            <w:pPr>
              <w:pStyle w:val="TSBodyText"/>
              <w:rPr>
                <w:rFonts w:cs="Calibri"/>
                <w:sz w:val="16"/>
                <w:szCs w:val="16"/>
              </w:rPr>
            </w:pPr>
            <w:r w:rsidRPr="001E6ED4">
              <w:rPr>
                <w:rFonts w:cs="Calibri"/>
                <w:sz w:val="16"/>
                <w:szCs w:val="16"/>
              </w:rPr>
              <w:t>Attributable costs</w:t>
            </w:r>
          </w:p>
        </w:tc>
        <w:tc>
          <w:tcPr>
            <w:tcW w:w="674" w:type="pct"/>
          </w:tcPr>
          <w:p w14:paraId="2EA4064B" w14:textId="77777777" w:rsidR="0097782B" w:rsidRDefault="0097782B" w:rsidP="00A13DCA">
            <w:pPr>
              <w:pStyle w:val="TSBodyText"/>
              <w:rPr>
                <w:rFonts w:cs="Calibri"/>
                <w:sz w:val="16"/>
                <w:szCs w:val="16"/>
              </w:rPr>
            </w:pPr>
            <w:r>
              <w:rPr>
                <w:rFonts w:cs="Calibri"/>
                <w:sz w:val="16"/>
                <w:szCs w:val="16"/>
              </w:rPr>
              <w:t>Societal</w:t>
            </w:r>
          </w:p>
        </w:tc>
      </w:tr>
      <w:tr w:rsidR="00B50AF9" w:rsidRPr="00731CA6" w14:paraId="64F47FEE" w14:textId="77777777" w:rsidTr="00A46D00">
        <w:trPr>
          <w:cantSplit/>
        </w:trPr>
        <w:tc>
          <w:tcPr>
            <w:tcW w:w="616" w:type="pct"/>
          </w:tcPr>
          <w:p w14:paraId="246C4645" w14:textId="0CA6A997" w:rsidR="005337E4" w:rsidRDefault="005337E4" w:rsidP="00A13DCA">
            <w:pPr>
              <w:pStyle w:val="TSBodyText"/>
              <w:rPr>
                <w:rFonts w:cs="Calibri"/>
                <w:sz w:val="16"/>
                <w:szCs w:val="16"/>
              </w:rPr>
            </w:pPr>
            <w:r>
              <w:rPr>
                <w:rFonts w:cs="Calibri"/>
                <w:sz w:val="16"/>
                <w:szCs w:val="16"/>
              </w:rPr>
              <w:t>Alcohol (Northern Ireland)</w:t>
            </w:r>
          </w:p>
        </w:tc>
        <w:tc>
          <w:tcPr>
            <w:tcW w:w="413" w:type="pct"/>
          </w:tcPr>
          <w:p w14:paraId="68D09AB5" w14:textId="70C4AFBD" w:rsidR="005337E4" w:rsidRDefault="005337E4" w:rsidP="00A13DCA">
            <w:pPr>
              <w:pStyle w:val="TSBodyText"/>
              <w:rPr>
                <w:rFonts w:cs="Calibri"/>
                <w:sz w:val="16"/>
                <w:szCs w:val="16"/>
              </w:rPr>
            </w:pPr>
            <w:r w:rsidRPr="003B3F53">
              <w:rPr>
                <w:rFonts w:cs="Calibri"/>
                <w:sz w:val="16"/>
                <w:szCs w:val="16"/>
              </w:rPr>
              <w:t>McClure Walters 2010</w:t>
            </w:r>
          </w:p>
        </w:tc>
        <w:tc>
          <w:tcPr>
            <w:tcW w:w="311" w:type="pct"/>
          </w:tcPr>
          <w:p w14:paraId="25CC0332" w14:textId="781D6FD1" w:rsidR="005337E4" w:rsidRDefault="005337E4" w:rsidP="00A13DCA">
            <w:pPr>
              <w:pStyle w:val="TSBodyText"/>
              <w:rPr>
                <w:rFonts w:cs="Calibri"/>
                <w:sz w:val="16"/>
                <w:szCs w:val="16"/>
              </w:rPr>
            </w:pPr>
            <w:r>
              <w:rPr>
                <w:rFonts w:cs="Calibri"/>
                <w:sz w:val="16"/>
                <w:szCs w:val="16"/>
              </w:rPr>
              <w:t>2008/09</w:t>
            </w:r>
          </w:p>
        </w:tc>
        <w:tc>
          <w:tcPr>
            <w:tcW w:w="362" w:type="pct"/>
          </w:tcPr>
          <w:p w14:paraId="1EA36F28" w14:textId="676CCB7F" w:rsidR="005337E4" w:rsidRDefault="005337E4" w:rsidP="00A13DCA">
            <w:pPr>
              <w:pStyle w:val="TSBodyText"/>
              <w:rPr>
                <w:rFonts w:cs="Calibri"/>
                <w:sz w:val="16"/>
                <w:szCs w:val="16"/>
              </w:rPr>
            </w:pPr>
            <w:r>
              <w:rPr>
                <w:rFonts w:cs="Calibri"/>
                <w:sz w:val="16"/>
                <w:szCs w:val="16"/>
              </w:rPr>
              <w:t>GBP 2009</w:t>
            </w:r>
          </w:p>
        </w:tc>
        <w:tc>
          <w:tcPr>
            <w:tcW w:w="667" w:type="pct"/>
          </w:tcPr>
          <w:p w14:paraId="7EEC0AC6" w14:textId="51BBE80C" w:rsidR="005337E4" w:rsidRDefault="005337E4" w:rsidP="00A13DCA">
            <w:pPr>
              <w:pStyle w:val="TSBodyText"/>
              <w:rPr>
                <w:rFonts w:cs="Calibri"/>
                <w:sz w:val="16"/>
                <w:szCs w:val="16"/>
              </w:rPr>
            </w:pPr>
            <w:r>
              <w:rPr>
                <w:rFonts w:cs="Calibri"/>
                <w:sz w:val="16"/>
                <w:szCs w:val="16"/>
              </w:rPr>
              <w:t>$241m-$423m</w:t>
            </w:r>
          </w:p>
        </w:tc>
        <w:tc>
          <w:tcPr>
            <w:tcW w:w="462" w:type="pct"/>
          </w:tcPr>
          <w:p w14:paraId="30C1F4A5" w14:textId="5F3132D1" w:rsidR="005337E4" w:rsidRDefault="005337E4" w:rsidP="00A13DCA">
            <w:pPr>
              <w:pStyle w:val="TSBodyText"/>
              <w:rPr>
                <w:rFonts w:cs="Calibri"/>
                <w:sz w:val="16"/>
                <w:szCs w:val="16"/>
              </w:rPr>
            </w:pPr>
            <w:r>
              <w:rPr>
                <w:rFonts w:cs="Calibri"/>
                <w:sz w:val="16"/>
                <w:szCs w:val="16"/>
              </w:rPr>
              <w:t>L</w:t>
            </w:r>
            <w:r w:rsidRPr="005A4D1E">
              <w:rPr>
                <w:rFonts w:cs="Calibri"/>
                <w:sz w:val="16"/>
                <w:szCs w:val="16"/>
              </w:rPr>
              <w:t>ost productivity</w:t>
            </w:r>
            <w:r>
              <w:rPr>
                <w:rFonts w:cs="Calibri"/>
                <w:sz w:val="16"/>
                <w:szCs w:val="16"/>
              </w:rPr>
              <w:t>:</w:t>
            </w:r>
            <w:r w:rsidRPr="005A4D1E">
              <w:rPr>
                <w:rFonts w:cs="Calibri"/>
                <w:sz w:val="16"/>
                <w:szCs w:val="16"/>
              </w:rPr>
              <w:t xml:space="preserve"> </w:t>
            </w:r>
            <w:r>
              <w:rPr>
                <w:rFonts w:cs="Calibri"/>
                <w:sz w:val="16"/>
                <w:szCs w:val="16"/>
              </w:rPr>
              <w:t xml:space="preserve">$388m-$690m </w:t>
            </w:r>
          </w:p>
          <w:p w14:paraId="40664571" w14:textId="77777777" w:rsidR="005337E4" w:rsidRDefault="005337E4" w:rsidP="00A13DCA">
            <w:pPr>
              <w:pStyle w:val="TSBodyText"/>
              <w:rPr>
                <w:rFonts w:cs="Calibri"/>
                <w:sz w:val="16"/>
                <w:szCs w:val="16"/>
              </w:rPr>
            </w:pPr>
          </w:p>
        </w:tc>
        <w:tc>
          <w:tcPr>
            <w:tcW w:w="926" w:type="pct"/>
          </w:tcPr>
          <w:p w14:paraId="1BD32114" w14:textId="77777777" w:rsidR="005337E4" w:rsidRDefault="005337E4" w:rsidP="00A13DCA">
            <w:pPr>
              <w:pStyle w:val="TSBodyText"/>
              <w:rPr>
                <w:rFonts w:cs="Calibri"/>
                <w:sz w:val="16"/>
                <w:szCs w:val="16"/>
              </w:rPr>
            </w:pPr>
            <w:r>
              <w:rPr>
                <w:rFonts w:cs="Calibri"/>
                <w:sz w:val="16"/>
                <w:szCs w:val="16"/>
              </w:rPr>
              <w:t>S</w:t>
            </w:r>
            <w:r w:rsidRPr="005A4D1E">
              <w:rPr>
                <w:rFonts w:cs="Calibri"/>
                <w:sz w:val="16"/>
                <w:szCs w:val="16"/>
              </w:rPr>
              <w:t>ocial care</w:t>
            </w:r>
            <w:r>
              <w:rPr>
                <w:rFonts w:cs="Calibri"/>
                <w:sz w:val="16"/>
                <w:szCs w:val="16"/>
              </w:rPr>
              <w:t>:</w:t>
            </w:r>
            <w:r w:rsidRPr="005A4D1E">
              <w:rPr>
                <w:rFonts w:cs="Calibri"/>
                <w:sz w:val="16"/>
                <w:szCs w:val="16"/>
              </w:rPr>
              <w:t xml:space="preserve"> </w:t>
            </w:r>
            <w:r w:rsidRPr="00A8009D">
              <w:rPr>
                <w:rFonts w:cs="Calibri"/>
                <w:sz w:val="16"/>
                <w:szCs w:val="16"/>
              </w:rPr>
              <w:t xml:space="preserve">$91m-$219 </w:t>
            </w:r>
          </w:p>
          <w:p w14:paraId="0DA8CC84" w14:textId="77777777" w:rsidR="005337E4" w:rsidRDefault="005337E4" w:rsidP="00A13DCA">
            <w:pPr>
              <w:pStyle w:val="TSBodyText"/>
              <w:rPr>
                <w:rFonts w:cs="Calibri"/>
                <w:sz w:val="16"/>
                <w:szCs w:val="16"/>
              </w:rPr>
            </w:pPr>
            <w:r>
              <w:rPr>
                <w:rFonts w:cs="Calibri"/>
                <w:sz w:val="16"/>
                <w:szCs w:val="16"/>
              </w:rPr>
              <w:t>Fire &amp; police: $450m- $747m</w:t>
            </w:r>
          </w:p>
          <w:p w14:paraId="2E82CF1A" w14:textId="1FBAAC09" w:rsidR="005337E4" w:rsidRDefault="005337E4" w:rsidP="00A13DCA">
            <w:pPr>
              <w:pStyle w:val="TSBodyText"/>
              <w:rPr>
                <w:rFonts w:cs="Calibri"/>
                <w:sz w:val="16"/>
                <w:szCs w:val="16"/>
              </w:rPr>
            </w:pPr>
            <w:r>
              <w:rPr>
                <w:rFonts w:cs="Calibri"/>
                <w:sz w:val="16"/>
                <w:szCs w:val="16"/>
              </w:rPr>
              <w:t>Justice: $171m-$278m</w:t>
            </w:r>
          </w:p>
        </w:tc>
        <w:tc>
          <w:tcPr>
            <w:tcW w:w="569" w:type="pct"/>
          </w:tcPr>
          <w:p w14:paraId="6B4FE41F" w14:textId="77E3C00D" w:rsidR="005337E4" w:rsidRPr="001E6ED4" w:rsidRDefault="009C5366" w:rsidP="00A13DCA">
            <w:pPr>
              <w:pStyle w:val="TSBodyText"/>
              <w:rPr>
                <w:rFonts w:cs="Calibri"/>
                <w:sz w:val="16"/>
                <w:szCs w:val="16"/>
              </w:rPr>
            </w:pPr>
            <w:r>
              <w:rPr>
                <w:rFonts w:cs="Calibri"/>
                <w:sz w:val="16"/>
                <w:szCs w:val="16"/>
              </w:rPr>
              <w:t xml:space="preserve">Bottom-up (health) and </w:t>
            </w:r>
            <w:r w:rsidR="00257CE3">
              <w:rPr>
                <w:rFonts w:cs="Calibri"/>
                <w:sz w:val="16"/>
                <w:szCs w:val="16"/>
              </w:rPr>
              <w:t>t</w:t>
            </w:r>
            <w:r w:rsidR="005337E4">
              <w:rPr>
                <w:rFonts w:cs="Calibri"/>
                <w:sz w:val="16"/>
                <w:szCs w:val="16"/>
              </w:rPr>
              <w:t>op-down macro-costing</w:t>
            </w:r>
          </w:p>
        </w:tc>
        <w:tc>
          <w:tcPr>
            <w:tcW w:w="674" w:type="pct"/>
          </w:tcPr>
          <w:p w14:paraId="72EF64A2" w14:textId="17D7682D" w:rsidR="005337E4" w:rsidRDefault="005337E4" w:rsidP="00A13DCA">
            <w:pPr>
              <w:pStyle w:val="TSBodyText"/>
              <w:rPr>
                <w:rFonts w:cs="Calibri"/>
                <w:sz w:val="16"/>
                <w:szCs w:val="16"/>
              </w:rPr>
            </w:pPr>
            <w:r>
              <w:rPr>
                <w:rFonts w:cs="Calibri"/>
                <w:sz w:val="16"/>
                <w:szCs w:val="16"/>
              </w:rPr>
              <w:t>Societal</w:t>
            </w:r>
          </w:p>
        </w:tc>
      </w:tr>
      <w:tr w:rsidR="00B50AF9" w:rsidRPr="00731CA6" w14:paraId="06E862A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0B962785" w14:textId="2312301C" w:rsidR="00B2428D" w:rsidRDefault="001355BC" w:rsidP="00A13DCA">
            <w:pPr>
              <w:pStyle w:val="TSBodyText"/>
              <w:rPr>
                <w:rFonts w:cs="Calibri"/>
                <w:sz w:val="16"/>
                <w:szCs w:val="16"/>
              </w:rPr>
            </w:pPr>
            <w:r>
              <w:rPr>
                <w:rFonts w:cs="Calibri"/>
                <w:sz w:val="16"/>
                <w:szCs w:val="16"/>
              </w:rPr>
              <w:t>Alcohol (Portugal)</w:t>
            </w:r>
          </w:p>
        </w:tc>
        <w:tc>
          <w:tcPr>
            <w:tcW w:w="413" w:type="pct"/>
          </w:tcPr>
          <w:p w14:paraId="1A76C66D" w14:textId="3D0BAF21" w:rsidR="00B2428D" w:rsidRPr="003B3F53" w:rsidRDefault="001355BC" w:rsidP="00A13DCA">
            <w:pPr>
              <w:pStyle w:val="TSBodyText"/>
              <w:rPr>
                <w:rFonts w:cs="Calibri"/>
                <w:sz w:val="16"/>
                <w:szCs w:val="16"/>
              </w:rPr>
            </w:pPr>
            <w:r>
              <w:rPr>
                <w:rFonts w:cs="Calibri"/>
                <w:sz w:val="16"/>
                <w:szCs w:val="16"/>
              </w:rPr>
              <w:t>Cortez Pinto et al. 2010</w:t>
            </w:r>
          </w:p>
        </w:tc>
        <w:tc>
          <w:tcPr>
            <w:tcW w:w="311" w:type="pct"/>
          </w:tcPr>
          <w:p w14:paraId="59A70469" w14:textId="7AEA87A6" w:rsidR="00B2428D" w:rsidRDefault="00F302D8" w:rsidP="00A13DCA">
            <w:pPr>
              <w:pStyle w:val="TSBodyText"/>
              <w:rPr>
                <w:rFonts w:cs="Calibri"/>
                <w:sz w:val="16"/>
                <w:szCs w:val="16"/>
              </w:rPr>
            </w:pPr>
            <w:r>
              <w:rPr>
                <w:rFonts w:cs="Calibri"/>
                <w:sz w:val="16"/>
                <w:szCs w:val="16"/>
              </w:rPr>
              <w:t>2005</w:t>
            </w:r>
          </w:p>
        </w:tc>
        <w:tc>
          <w:tcPr>
            <w:tcW w:w="362" w:type="pct"/>
          </w:tcPr>
          <w:p w14:paraId="77610E8D" w14:textId="2AC6C876" w:rsidR="00B2428D" w:rsidRDefault="005A10C2" w:rsidP="00A13DCA">
            <w:pPr>
              <w:pStyle w:val="TSBodyText"/>
              <w:rPr>
                <w:rFonts w:cs="Calibri"/>
                <w:sz w:val="16"/>
                <w:szCs w:val="16"/>
              </w:rPr>
            </w:pPr>
            <w:r>
              <w:rPr>
                <w:rFonts w:cs="Calibri"/>
                <w:sz w:val="16"/>
                <w:szCs w:val="16"/>
              </w:rPr>
              <w:t xml:space="preserve">Euro </w:t>
            </w:r>
            <w:r w:rsidR="008438BB">
              <w:rPr>
                <w:rFonts w:cs="Calibri"/>
                <w:sz w:val="16"/>
                <w:szCs w:val="16"/>
              </w:rPr>
              <w:t>2005</w:t>
            </w:r>
          </w:p>
        </w:tc>
        <w:tc>
          <w:tcPr>
            <w:tcW w:w="667" w:type="pct"/>
          </w:tcPr>
          <w:p w14:paraId="61783254" w14:textId="4D9AFC42" w:rsidR="00B2428D" w:rsidRDefault="008A2633" w:rsidP="00A13DCA">
            <w:pPr>
              <w:pStyle w:val="TSBodyText"/>
              <w:rPr>
                <w:rFonts w:cs="Calibri"/>
                <w:sz w:val="16"/>
                <w:szCs w:val="16"/>
              </w:rPr>
            </w:pPr>
            <w:r>
              <w:rPr>
                <w:rFonts w:cs="Calibri"/>
                <w:sz w:val="16"/>
                <w:szCs w:val="16"/>
              </w:rPr>
              <w:t>0.13% of GDP</w:t>
            </w:r>
          </w:p>
        </w:tc>
        <w:tc>
          <w:tcPr>
            <w:tcW w:w="462" w:type="pct"/>
          </w:tcPr>
          <w:p w14:paraId="5B2FAB23" w14:textId="77777777" w:rsidR="00B2428D" w:rsidRDefault="00B2428D" w:rsidP="00A13DCA">
            <w:pPr>
              <w:pStyle w:val="TSBodyText"/>
              <w:rPr>
                <w:rFonts w:cs="Calibri"/>
                <w:sz w:val="16"/>
                <w:szCs w:val="16"/>
              </w:rPr>
            </w:pPr>
          </w:p>
        </w:tc>
        <w:tc>
          <w:tcPr>
            <w:tcW w:w="926" w:type="pct"/>
          </w:tcPr>
          <w:p w14:paraId="4EC549C3" w14:textId="77777777" w:rsidR="00B2428D" w:rsidRDefault="00B2428D" w:rsidP="00A13DCA">
            <w:pPr>
              <w:pStyle w:val="TSBodyText"/>
              <w:rPr>
                <w:rFonts w:cs="Calibri"/>
                <w:sz w:val="16"/>
                <w:szCs w:val="16"/>
              </w:rPr>
            </w:pPr>
          </w:p>
        </w:tc>
        <w:tc>
          <w:tcPr>
            <w:tcW w:w="569" w:type="pct"/>
          </w:tcPr>
          <w:p w14:paraId="01AB94D6" w14:textId="18FDE5D2" w:rsidR="00B2428D" w:rsidRDefault="00CB39E1" w:rsidP="00A13DCA">
            <w:pPr>
              <w:pStyle w:val="TSBodyText"/>
              <w:rPr>
                <w:rFonts w:cs="Calibri"/>
                <w:sz w:val="16"/>
                <w:szCs w:val="16"/>
              </w:rPr>
            </w:pPr>
            <w:r>
              <w:rPr>
                <w:rFonts w:cs="Calibri"/>
                <w:sz w:val="16"/>
                <w:szCs w:val="16"/>
              </w:rPr>
              <w:t>Bottom-up gross costing</w:t>
            </w:r>
            <w:r w:rsidR="001A6A84">
              <w:rPr>
                <w:rFonts w:cs="Calibri"/>
                <w:sz w:val="16"/>
                <w:szCs w:val="16"/>
              </w:rPr>
              <w:t xml:space="preserve"> Alcohol </w:t>
            </w:r>
            <w:r w:rsidR="001A6A84">
              <w:rPr>
                <w:rFonts w:cs="Calibri"/>
                <w:sz w:val="16"/>
                <w:szCs w:val="16"/>
              </w:rPr>
              <w:lastRenderedPageBreak/>
              <w:t xml:space="preserve">attributable risk-based </w:t>
            </w:r>
          </w:p>
        </w:tc>
        <w:tc>
          <w:tcPr>
            <w:tcW w:w="674" w:type="pct"/>
          </w:tcPr>
          <w:p w14:paraId="2E7984CC" w14:textId="46D42F67" w:rsidR="00B2428D" w:rsidRDefault="00B9558F" w:rsidP="00A13DCA">
            <w:pPr>
              <w:pStyle w:val="TSBodyText"/>
              <w:rPr>
                <w:rFonts w:cs="Calibri"/>
                <w:sz w:val="16"/>
                <w:szCs w:val="16"/>
              </w:rPr>
            </w:pPr>
            <w:r>
              <w:rPr>
                <w:rFonts w:cs="Calibri"/>
                <w:sz w:val="16"/>
                <w:szCs w:val="16"/>
              </w:rPr>
              <w:lastRenderedPageBreak/>
              <w:t>Public health system (hospital costs only)</w:t>
            </w:r>
          </w:p>
        </w:tc>
      </w:tr>
      <w:tr w:rsidR="00B50AF9" w:rsidRPr="00731CA6" w14:paraId="5FB4A37E" w14:textId="77777777" w:rsidTr="00A46D00">
        <w:trPr>
          <w:cantSplit/>
        </w:trPr>
        <w:tc>
          <w:tcPr>
            <w:tcW w:w="616" w:type="pct"/>
          </w:tcPr>
          <w:p w14:paraId="328EC6EC" w14:textId="77777777" w:rsidR="0097782B" w:rsidRPr="006269D4" w:rsidRDefault="0097782B" w:rsidP="00A13DCA">
            <w:pPr>
              <w:pStyle w:val="TSBodyText"/>
              <w:rPr>
                <w:rFonts w:cs="Calibri"/>
                <w:sz w:val="16"/>
                <w:szCs w:val="16"/>
              </w:rPr>
            </w:pPr>
            <w:r w:rsidRPr="006269D4">
              <w:rPr>
                <w:rFonts w:cs="Calibri"/>
                <w:sz w:val="16"/>
                <w:szCs w:val="16"/>
              </w:rPr>
              <w:t>Tobacco</w:t>
            </w:r>
          </w:p>
          <w:p w14:paraId="2A721AB6" w14:textId="77777777" w:rsidR="0097782B" w:rsidRPr="006269D4" w:rsidRDefault="0097782B" w:rsidP="00A13DCA">
            <w:pPr>
              <w:pStyle w:val="TSBodyText"/>
              <w:rPr>
                <w:rFonts w:cs="Calibri"/>
                <w:sz w:val="16"/>
                <w:szCs w:val="16"/>
              </w:rPr>
            </w:pPr>
            <w:r w:rsidRPr="006269D4">
              <w:rPr>
                <w:rFonts w:cs="Calibri"/>
                <w:sz w:val="16"/>
                <w:szCs w:val="16"/>
              </w:rPr>
              <w:t>(Global)</w:t>
            </w:r>
            <w:r w:rsidRPr="006269D4">
              <w:rPr>
                <w:rFonts w:cs="Calibri"/>
                <w:sz w:val="16"/>
                <w:szCs w:val="16"/>
              </w:rPr>
              <w:tab/>
            </w:r>
          </w:p>
        </w:tc>
        <w:tc>
          <w:tcPr>
            <w:tcW w:w="413" w:type="pct"/>
          </w:tcPr>
          <w:p w14:paraId="76777CD3" w14:textId="35F387DE" w:rsidR="0097782B" w:rsidRPr="006269D4" w:rsidRDefault="0097782B" w:rsidP="00A13DCA">
            <w:pPr>
              <w:pStyle w:val="TSBodyText"/>
              <w:rPr>
                <w:rFonts w:cs="Calibri"/>
                <w:sz w:val="16"/>
                <w:szCs w:val="16"/>
              </w:rPr>
            </w:pPr>
            <w:r w:rsidRPr="006269D4">
              <w:rPr>
                <w:rFonts w:cs="Calibri"/>
                <w:sz w:val="16"/>
                <w:szCs w:val="16"/>
              </w:rPr>
              <w:t>Goodchild, Nargis, and Tursan d’</w:t>
            </w:r>
            <w:r>
              <w:rPr>
                <w:rFonts w:cs="Calibri"/>
                <w:sz w:val="16"/>
                <w:szCs w:val="16"/>
              </w:rPr>
              <w:t xml:space="preserve"> </w:t>
            </w:r>
            <w:r w:rsidRPr="006269D4">
              <w:rPr>
                <w:rFonts w:cs="Calibri"/>
                <w:sz w:val="16"/>
                <w:szCs w:val="16"/>
              </w:rPr>
              <w:t>Espaignet 2018</w:t>
            </w:r>
          </w:p>
          <w:p w14:paraId="60FC9A25" w14:textId="77777777" w:rsidR="0097782B" w:rsidRPr="006269D4" w:rsidRDefault="0097782B" w:rsidP="00A13DCA">
            <w:pPr>
              <w:pStyle w:val="TSBodyText"/>
              <w:rPr>
                <w:rFonts w:cs="Calibri"/>
                <w:sz w:val="16"/>
                <w:szCs w:val="16"/>
              </w:rPr>
            </w:pPr>
          </w:p>
        </w:tc>
        <w:tc>
          <w:tcPr>
            <w:tcW w:w="311" w:type="pct"/>
          </w:tcPr>
          <w:p w14:paraId="55B26212" w14:textId="77777777" w:rsidR="0097782B" w:rsidRPr="006269D4" w:rsidRDefault="0097782B" w:rsidP="00A13DCA">
            <w:pPr>
              <w:pStyle w:val="TSBodyText"/>
              <w:rPr>
                <w:rFonts w:cs="Calibri"/>
                <w:sz w:val="16"/>
                <w:szCs w:val="16"/>
              </w:rPr>
            </w:pPr>
          </w:p>
        </w:tc>
        <w:tc>
          <w:tcPr>
            <w:tcW w:w="362" w:type="pct"/>
          </w:tcPr>
          <w:p w14:paraId="37692435" w14:textId="5ABF8EC1" w:rsidR="0097782B" w:rsidRPr="006269D4" w:rsidRDefault="0097782B" w:rsidP="00A13DCA">
            <w:pPr>
              <w:pStyle w:val="TSBodyText"/>
              <w:rPr>
                <w:rFonts w:cs="Calibri"/>
                <w:sz w:val="16"/>
                <w:szCs w:val="16"/>
              </w:rPr>
            </w:pPr>
            <w:r>
              <w:rPr>
                <w:rFonts w:cs="Calibri"/>
                <w:sz w:val="16"/>
                <w:szCs w:val="16"/>
              </w:rPr>
              <w:t>USD 2012</w:t>
            </w:r>
          </w:p>
        </w:tc>
        <w:tc>
          <w:tcPr>
            <w:tcW w:w="667" w:type="pct"/>
          </w:tcPr>
          <w:p w14:paraId="262D6EC4" w14:textId="77777777" w:rsidR="0097782B" w:rsidRPr="006269D4" w:rsidRDefault="0097782B" w:rsidP="00A13DCA">
            <w:pPr>
              <w:pStyle w:val="TSBodyText"/>
              <w:rPr>
                <w:rFonts w:cs="Calibri"/>
                <w:sz w:val="16"/>
                <w:szCs w:val="16"/>
              </w:rPr>
            </w:pPr>
            <w:r w:rsidRPr="006269D4">
              <w:rPr>
                <w:rFonts w:cs="Calibri"/>
                <w:sz w:val="16"/>
                <w:szCs w:val="16"/>
              </w:rPr>
              <w:t>$</w:t>
            </w:r>
            <w:r>
              <w:rPr>
                <w:rFonts w:cs="Calibri"/>
                <w:sz w:val="16"/>
                <w:szCs w:val="16"/>
              </w:rPr>
              <w:t>631</w:t>
            </w:r>
          </w:p>
          <w:p w14:paraId="021E4D35" w14:textId="37FF1CAF" w:rsidR="0097782B" w:rsidRPr="006269D4" w:rsidRDefault="0097782B" w:rsidP="00A13DCA">
            <w:pPr>
              <w:pStyle w:val="TSBodyText"/>
              <w:rPr>
                <w:rFonts w:cs="Calibri"/>
                <w:sz w:val="16"/>
                <w:szCs w:val="16"/>
              </w:rPr>
            </w:pPr>
            <w:r w:rsidRPr="006269D4">
              <w:rPr>
                <w:rFonts w:cs="Calibri"/>
                <w:sz w:val="16"/>
                <w:szCs w:val="16"/>
              </w:rPr>
              <w:t xml:space="preserve">5.7% of health </w:t>
            </w:r>
            <w:r>
              <w:rPr>
                <w:rFonts w:cs="Calibri"/>
                <w:sz w:val="16"/>
                <w:szCs w:val="16"/>
              </w:rPr>
              <w:t>spending</w:t>
            </w:r>
            <w:r w:rsidRPr="006269D4">
              <w:rPr>
                <w:rFonts w:cs="Calibri"/>
                <w:sz w:val="16"/>
                <w:szCs w:val="16"/>
              </w:rPr>
              <w:t xml:space="preserve"> globally, 6.5% for high income countries</w:t>
            </w:r>
          </w:p>
        </w:tc>
        <w:tc>
          <w:tcPr>
            <w:tcW w:w="462" w:type="pct"/>
          </w:tcPr>
          <w:p w14:paraId="50FC4A5A" w14:textId="77777777" w:rsidR="0097782B" w:rsidRDefault="0097782B" w:rsidP="00A13DCA">
            <w:pPr>
              <w:pStyle w:val="TSBodyText"/>
              <w:rPr>
                <w:rFonts w:cs="Calibri"/>
                <w:sz w:val="16"/>
                <w:szCs w:val="16"/>
              </w:rPr>
            </w:pPr>
            <w:r>
              <w:rPr>
                <w:rFonts w:cs="Calibri"/>
                <w:sz w:val="16"/>
                <w:szCs w:val="16"/>
              </w:rPr>
              <w:t>$1516b</w:t>
            </w:r>
          </w:p>
          <w:p w14:paraId="79BD444B" w14:textId="77777777" w:rsidR="0097782B" w:rsidRPr="006269D4" w:rsidRDefault="0097782B" w:rsidP="00A13DCA">
            <w:pPr>
              <w:pStyle w:val="TSBodyText"/>
              <w:rPr>
                <w:rFonts w:cs="Calibri"/>
                <w:sz w:val="16"/>
                <w:szCs w:val="16"/>
              </w:rPr>
            </w:pPr>
          </w:p>
          <w:p w14:paraId="653C3B85" w14:textId="77777777" w:rsidR="0097782B" w:rsidRPr="006269D4" w:rsidRDefault="0097782B" w:rsidP="00A13DCA">
            <w:pPr>
              <w:pStyle w:val="TSBodyText"/>
              <w:rPr>
                <w:rFonts w:cs="Calibri"/>
                <w:sz w:val="16"/>
                <w:szCs w:val="16"/>
              </w:rPr>
            </w:pPr>
          </w:p>
        </w:tc>
        <w:tc>
          <w:tcPr>
            <w:tcW w:w="926" w:type="pct"/>
          </w:tcPr>
          <w:p w14:paraId="1A89065A" w14:textId="77777777" w:rsidR="0097782B" w:rsidRDefault="0097782B" w:rsidP="00A13DCA">
            <w:pPr>
              <w:pStyle w:val="TSBodyText"/>
              <w:rPr>
                <w:rFonts w:cs="Calibri"/>
                <w:sz w:val="16"/>
                <w:szCs w:val="16"/>
              </w:rPr>
            </w:pPr>
            <w:r>
              <w:rPr>
                <w:rFonts w:cs="Calibri"/>
                <w:sz w:val="16"/>
                <w:szCs w:val="16"/>
              </w:rPr>
              <w:t>$2146b</w:t>
            </w:r>
          </w:p>
          <w:p w14:paraId="15C56E0F" w14:textId="77777777" w:rsidR="0097782B" w:rsidRDefault="0097782B" w:rsidP="00A13DCA">
            <w:pPr>
              <w:pStyle w:val="TSBodyText"/>
              <w:rPr>
                <w:rFonts w:cs="Calibri"/>
                <w:sz w:val="16"/>
                <w:szCs w:val="16"/>
              </w:rPr>
            </w:pPr>
          </w:p>
          <w:p w14:paraId="521BF43D" w14:textId="77777777" w:rsidR="0097782B" w:rsidRPr="006269D4" w:rsidRDefault="0097782B" w:rsidP="00A13DCA">
            <w:pPr>
              <w:pStyle w:val="TSBodyText"/>
              <w:rPr>
                <w:rFonts w:cs="Calibri"/>
                <w:sz w:val="16"/>
                <w:szCs w:val="16"/>
              </w:rPr>
            </w:pPr>
            <w:r w:rsidRPr="006269D4">
              <w:rPr>
                <w:rFonts w:cs="Calibri"/>
                <w:sz w:val="16"/>
                <w:szCs w:val="16"/>
              </w:rPr>
              <w:t>1.8% of GDP globally,</w:t>
            </w:r>
          </w:p>
          <w:p w14:paraId="47094C4E" w14:textId="1575AA3F" w:rsidR="0097782B" w:rsidRPr="006269D4" w:rsidRDefault="0097782B" w:rsidP="00A13DCA">
            <w:pPr>
              <w:pStyle w:val="TSBodyText"/>
              <w:rPr>
                <w:rFonts w:cs="Calibri"/>
                <w:sz w:val="16"/>
                <w:szCs w:val="16"/>
              </w:rPr>
            </w:pPr>
            <w:r w:rsidRPr="006269D4">
              <w:rPr>
                <w:rFonts w:cs="Calibri"/>
                <w:sz w:val="16"/>
                <w:szCs w:val="16"/>
              </w:rPr>
              <w:t>2.2% for high income countries</w:t>
            </w:r>
          </w:p>
        </w:tc>
        <w:tc>
          <w:tcPr>
            <w:tcW w:w="569" w:type="pct"/>
          </w:tcPr>
          <w:p w14:paraId="4AC1383B" w14:textId="77777777" w:rsidR="0097782B" w:rsidRDefault="0097782B" w:rsidP="00A13DCA">
            <w:pPr>
              <w:pStyle w:val="TSBodyText"/>
              <w:rPr>
                <w:rFonts w:cs="Calibri"/>
                <w:sz w:val="16"/>
                <w:szCs w:val="16"/>
              </w:rPr>
            </w:pPr>
            <w:r>
              <w:rPr>
                <w:rFonts w:cs="Calibri"/>
                <w:sz w:val="16"/>
                <w:szCs w:val="16"/>
              </w:rPr>
              <w:t>Meta analysis</w:t>
            </w:r>
          </w:p>
          <w:p w14:paraId="71971ED9" w14:textId="77777777" w:rsidR="0097782B" w:rsidRPr="006269D4" w:rsidRDefault="0097782B" w:rsidP="00A13DCA">
            <w:pPr>
              <w:pStyle w:val="TSBodyText"/>
              <w:rPr>
                <w:rFonts w:cs="Calibri"/>
                <w:sz w:val="16"/>
                <w:szCs w:val="16"/>
              </w:rPr>
            </w:pPr>
            <w:r>
              <w:rPr>
                <w:rFonts w:cs="Calibri"/>
                <w:sz w:val="16"/>
                <w:szCs w:val="16"/>
              </w:rPr>
              <w:t xml:space="preserve">Attributable costs </w:t>
            </w:r>
          </w:p>
        </w:tc>
        <w:tc>
          <w:tcPr>
            <w:tcW w:w="674" w:type="pct"/>
          </w:tcPr>
          <w:p w14:paraId="4D876EDB" w14:textId="77777777" w:rsidR="0097782B" w:rsidRPr="006269D4" w:rsidRDefault="0097782B" w:rsidP="00A13DCA">
            <w:pPr>
              <w:pStyle w:val="TSBodyText"/>
              <w:rPr>
                <w:rFonts w:cs="Calibri"/>
                <w:sz w:val="16"/>
                <w:szCs w:val="16"/>
              </w:rPr>
            </w:pPr>
            <w:r>
              <w:rPr>
                <w:rFonts w:cs="Calibri"/>
                <w:sz w:val="16"/>
                <w:szCs w:val="16"/>
              </w:rPr>
              <w:t>Societal</w:t>
            </w:r>
          </w:p>
        </w:tc>
      </w:tr>
      <w:tr w:rsidR="00B50AF9" w:rsidRPr="00731CA6" w14:paraId="38D01F71"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5624E011" w14:textId="35009A6B" w:rsidR="0097782B" w:rsidRDefault="0097782B" w:rsidP="00A13DCA">
            <w:pPr>
              <w:pStyle w:val="TSBodyText"/>
              <w:rPr>
                <w:rFonts w:cs="Calibri"/>
                <w:sz w:val="16"/>
                <w:szCs w:val="16"/>
              </w:rPr>
            </w:pPr>
            <w:r>
              <w:rPr>
                <w:rFonts w:cs="Calibri"/>
                <w:sz w:val="16"/>
                <w:szCs w:val="16"/>
              </w:rPr>
              <w:t xml:space="preserve">Cardiovascular diseases – </w:t>
            </w:r>
          </w:p>
          <w:p w14:paraId="50469631" w14:textId="2B9033ED" w:rsidR="0097782B" w:rsidRDefault="0097782B" w:rsidP="00A13DCA">
            <w:pPr>
              <w:pStyle w:val="TSBodyText"/>
              <w:rPr>
                <w:rFonts w:cs="Calibri"/>
                <w:sz w:val="16"/>
                <w:szCs w:val="16"/>
              </w:rPr>
            </w:pPr>
            <w:r>
              <w:rPr>
                <w:rFonts w:cs="Calibri"/>
                <w:sz w:val="16"/>
                <w:szCs w:val="16"/>
              </w:rPr>
              <w:t>Heart failure (Global)</w:t>
            </w:r>
          </w:p>
        </w:tc>
        <w:tc>
          <w:tcPr>
            <w:tcW w:w="413" w:type="pct"/>
          </w:tcPr>
          <w:p w14:paraId="3EFCA8BF" w14:textId="05598673" w:rsidR="0097782B" w:rsidRDefault="0097782B" w:rsidP="00A13DCA">
            <w:pPr>
              <w:pStyle w:val="TSBodyText"/>
              <w:rPr>
                <w:rFonts w:cs="Calibri"/>
                <w:sz w:val="16"/>
                <w:szCs w:val="16"/>
              </w:rPr>
            </w:pPr>
            <w:r>
              <w:rPr>
                <w:rFonts w:cs="Calibri"/>
                <w:sz w:val="16"/>
                <w:szCs w:val="16"/>
              </w:rPr>
              <w:t>Cook et al. 2014</w:t>
            </w:r>
          </w:p>
        </w:tc>
        <w:tc>
          <w:tcPr>
            <w:tcW w:w="311" w:type="pct"/>
          </w:tcPr>
          <w:p w14:paraId="7DE28425" w14:textId="051EFBAF" w:rsidR="0097782B" w:rsidRDefault="0097782B" w:rsidP="00A13DCA">
            <w:pPr>
              <w:pStyle w:val="TSBodyText"/>
              <w:rPr>
                <w:rFonts w:cs="Calibri"/>
                <w:sz w:val="16"/>
                <w:szCs w:val="16"/>
              </w:rPr>
            </w:pPr>
            <w:r>
              <w:rPr>
                <w:rFonts w:cs="Calibri"/>
                <w:sz w:val="16"/>
                <w:szCs w:val="16"/>
              </w:rPr>
              <w:t>1990-2013</w:t>
            </w:r>
          </w:p>
        </w:tc>
        <w:tc>
          <w:tcPr>
            <w:tcW w:w="362" w:type="pct"/>
          </w:tcPr>
          <w:p w14:paraId="75F47AB2" w14:textId="10AA2379" w:rsidR="0097782B" w:rsidRDefault="0097782B" w:rsidP="00A13DCA">
            <w:pPr>
              <w:pStyle w:val="TSBodyText"/>
              <w:rPr>
                <w:rFonts w:cs="Calibri"/>
                <w:sz w:val="16"/>
                <w:szCs w:val="16"/>
              </w:rPr>
            </w:pPr>
            <w:r>
              <w:rPr>
                <w:rFonts w:cs="Calibri"/>
                <w:sz w:val="16"/>
                <w:szCs w:val="16"/>
              </w:rPr>
              <w:t>USD 2012</w:t>
            </w:r>
          </w:p>
        </w:tc>
        <w:tc>
          <w:tcPr>
            <w:tcW w:w="667" w:type="pct"/>
          </w:tcPr>
          <w:p w14:paraId="3F13F739" w14:textId="480C3ED9" w:rsidR="0097782B" w:rsidRDefault="0097782B" w:rsidP="00A13DCA">
            <w:pPr>
              <w:pStyle w:val="TSBodyText"/>
              <w:rPr>
                <w:rFonts w:cs="Calibri"/>
                <w:sz w:val="16"/>
                <w:szCs w:val="16"/>
              </w:rPr>
            </w:pPr>
            <w:r>
              <w:rPr>
                <w:rFonts w:cs="Calibri"/>
                <w:sz w:val="16"/>
                <w:szCs w:val="16"/>
              </w:rPr>
              <w:t>$97b per annum globally</w:t>
            </w:r>
          </w:p>
        </w:tc>
        <w:tc>
          <w:tcPr>
            <w:tcW w:w="462" w:type="pct"/>
          </w:tcPr>
          <w:p w14:paraId="7C002995" w14:textId="12A81B4A" w:rsidR="0097782B" w:rsidRDefault="0097782B" w:rsidP="00A13DCA">
            <w:pPr>
              <w:pStyle w:val="TSBodyText"/>
              <w:rPr>
                <w:rFonts w:cs="Calibri"/>
                <w:sz w:val="16"/>
                <w:szCs w:val="16"/>
              </w:rPr>
            </w:pPr>
            <w:r>
              <w:rPr>
                <w:rFonts w:cs="Calibri"/>
                <w:sz w:val="16"/>
                <w:szCs w:val="16"/>
              </w:rPr>
              <w:t>$64b per annum globally</w:t>
            </w:r>
          </w:p>
        </w:tc>
        <w:tc>
          <w:tcPr>
            <w:tcW w:w="926" w:type="pct"/>
          </w:tcPr>
          <w:p w14:paraId="2D483E34" w14:textId="64DA6B3C" w:rsidR="0097782B" w:rsidRDefault="0097782B" w:rsidP="00A13DCA">
            <w:pPr>
              <w:pStyle w:val="TSBodyText"/>
              <w:rPr>
                <w:rFonts w:cs="Calibri"/>
                <w:sz w:val="16"/>
                <w:szCs w:val="16"/>
              </w:rPr>
            </w:pPr>
            <w:r w:rsidRPr="005C1F2E">
              <w:rPr>
                <w:rFonts w:cs="Calibri"/>
                <w:sz w:val="16"/>
                <w:szCs w:val="16"/>
              </w:rPr>
              <w:t>$1</w:t>
            </w:r>
            <w:r>
              <w:rPr>
                <w:rFonts w:cs="Calibri"/>
                <w:sz w:val="16"/>
                <w:szCs w:val="16"/>
              </w:rPr>
              <w:t xml:space="preserve">61b </w:t>
            </w:r>
            <w:r w:rsidRPr="005C1F2E">
              <w:rPr>
                <w:rFonts w:cs="Calibri"/>
                <w:sz w:val="16"/>
                <w:szCs w:val="16"/>
              </w:rPr>
              <w:t>per annum</w:t>
            </w:r>
            <w:r>
              <w:rPr>
                <w:rFonts w:cs="Calibri"/>
                <w:sz w:val="16"/>
                <w:szCs w:val="16"/>
              </w:rPr>
              <w:t xml:space="preserve"> globally</w:t>
            </w:r>
          </w:p>
        </w:tc>
        <w:tc>
          <w:tcPr>
            <w:tcW w:w="569" w:type="pct"/>
          </w:tcPr>
          <w:p w14:paraId="7CD1B9D7" w14:textId="77777777" w:rsidR="0097782B" w:rsidRDefault="0097782B" w:rsidP="00A13DCA">
            <w:pPr>
              <w:pStyle w:val="TSBodyText"/>
              <w:rPr>
                <w:rFonts w:cs="Calibri"/>
                <w:sz w:val="16"/>
                <w:szCs w:val="16"/>
              </w:rPr>
            </w:pPr>
            <w:r>
              <w:rPr>
                <w:rFonts w:cs="Calibri"/>
                <w:sz w:val="16"/>
                <w:szCs w:val="16"/>
              </w:rPr>
              <w:t>Meta analysis</w:t>
            </w:r>
          </w:p>
          <w:p w14:paraId="47871B25" w14:textId="14D358C8" w:rsidR="0097782B" w:rsidRPr="00BD1863" w:rsidRDefault="0097782B" w:rsidP="00A13DCA">
            <w:pPr>
              <w:pStyle w:val="TSBodyText"/>
              <w:rPr>
                <w:rFonts w:cs="Calibri"/>
                <w:sz w:val="16"/>
                <w:szCs w:val="16"/>
              </w:rPr>
            </w:pPr>
            <w:r>
              <w:rPr>
                <w:rFonts w:cs="Calibri"/>
                <w:sz w:val="16"/>
                <w:szCs w:val="16"/>
              </w:rPr>
              <w:t>Attributable costs</w:t>
            </w:r>
          </w:p>
        </w:tc>
        <w:tc>
          <w:tcPr>
            <w:tcW w:w="674" w:type="pct"/>
          </w:tcPr>
          <w:p w14:paraId="25293482" w14:textId="0B01A4E3" w:rsidR="0097782B" w:rsidRDefault="0097782B" w:rsidP="00A13DCA">
            <w:pPr>
              <w:pStyle w:val="TSBodyText"/>
              <w:rPr>
                <w:rFonts w:cs="Calibri"/>
                <w:sz w:val="16"/>
                <w:szCs w:val="16"/>
              </w:rPr>
            </w:pPr>
            <w:r>
              <w:rPr>
                <w:rFonts w:cs="Calibri"/>
                <w:sz w:val="16"/>
                <w:szCs w:val="16"/>
              </w:rPr>
              <w:t>Societal</w:t>
            </w:r>
          </w:p>
        </w:tc>
      </w:tr>
      <w:tr w:rsidR="00B50AF9" w:rsidRPr="00731CA6" w14:paraId="63254B3A" w14:textId="77777777" w:rsidTr="00A46D00">
        <w:trPr>
          <w:cantSplit/>
        </w:trPr>
        <w:tc>
          <w:tcPr>
            <w:tcW w:w="616" w:type="pct"/>
          </w:tcPr>
          <w:p w14:paraId="6FBBEF62" w14:textId="7330D71B" w:rsidR="0097782B" w:rsidRDefault="0097782B" w:rsidP="00A13DCA">
            <w:pPr>
              <w:pStyle w:val="TSBodyText"/>
              <w:rPr>
                <w:rFonts w:cs="Calibri"/>
                <w:sz w:val="16"/>
                <w:szCs w:val="16"/>
              </w:rPr>
            </w:pPr>
            <w:r>
              <w:rPr>
                <w:rFonts w:cs="Calibri"/>
                <w:sz w:val="16"/>
                <w:szCs w:val="16"/>
              </w:rPr>
              <w:t>Cardiovascular diseases</w:t>
            </w:r>
          </w:p>
          <w:p w14:paraId="6920EEDD" w14:textId="5EF7EF22" w:rsidR="0097782B" w:rsidRPr="006269D4" w:rsidRDefault="0097782B" w:rsidP="00A13DCA">
            <w:pPr>
              <w:pStyle w:val="TSBodyText"/>
              <w:rPr>
                <w:rFonts w:cs="Calibri"/>
                <w:sz w:val="16"/>
                <w:szCs w:val="16"/>
              </w:rPr>
            </w:pPr>
            <w:r>
              <w:rPr>
                <w:rFonts w:cs="Calibri"/>
                <w:sz w:val="16"/>
                <w:szCs w:val="16"/>
              </w:rPr>
              <w:t>(Japan)</w:t>
            </w:r>
          </w:p>
        </w:tc>
        <w:tc>
          <w:tcPr>
            <w:tcW w:w="413" w:type="pct"/>
          </w:tcPr>
          <w:p w14:paraId="2F787252" w14:textId="0711BF3A" w:rsidR="0097782B" w:rsidRPr="006269D4" w:rsidRDefault="0097782B" w:rsidP="00A13DCA">
            <w:pPr>
              <w:pStyle w:val="TSBodyText"/>
              <w:rPr>
                <w:rFonts w:cs="Calibri"/>
                <w:sz w:val="16"/>
                <w:szCs w:val="16"/>
              </w:rPr>
            </w:pPr>
            <w:r>
              <w:rPr>
                <w:rFonts w:cs="Calibri"/>
                <w:sz w:val="16"/>
                <w:szCs w:val="16"/>
              </w:rPr>
              <w:t>Hirata et al. 2021</w:t>
            </w:r>
          </w:p>
        </w:tc>
        <w:tc>
          <w:tcPr>
            <w:tcW w:w="311" w:type="pct"/>
          </w:tcPr>
          <w:p w14:paraId="3AC68C0E" w14:textId="1ECBF2A9" w:rsidR="0097782B" w:rsidRPr="006269D4" w:rsidRDefault="0097782B" w:rsidP="00A13DCA">
            <w:pPr>
              <w:pStyle w:val="TSBodyText"/>
              <w:rPr>
                <w:rFonts w:cs="Calibri"/>
                <w:sz w:val="16"/>
                <w:szCs w:val="16"/>
              </w:rPr>
            </w:pPr>
            <w:r>
              <w:rPr>
                <w:rFonts w:cs="Calibri"/>
                <w:sz w:val="16"/>
                <w:szCs w:val="16"/>
              </w:rPr>
              <w:t>2007-2017</w:t>
            </w:r>
          </w:p>
        </w:tc>
        <w:tc>
          <w:tcPr>
            <w:tcW w:w="362" w:type="pct"/>
          </w:tcPr>
          <w:p w14:paraId="6DF7CDE0" w14:textId="069EDB79" w:rsidR="0097782B" w:rsidRDefault="0097782B" w:rsidP="00A13DCA">
            <w:pPr>
              <w:pStyle w:val="TSBodyText"/>
              <w:rPr>
                <w:rFonts w:cs="Calibri"/>
                <w:sz w:val="16"/>
                <w:szCs w:val="16"/>
              </w:rPr>
            </w:pPr>
            <w:r>
              <w:rPr>
                <w:rFonts w:cs="Calibri"/>
                <w:sz w:val="16"/>
                <w:szCs w:val="16"/>
              </w:rPr>
              <w:t>JPY 2017</w:t>
            </w:r>
          </w:p>
        </w:tc>
        <w:tc>
          <w:tcPr>
            <w:tcW w:w="667" w:type="pct"/>
          </w:tcPr>
          <w:p w14:paraId="56A1ED94" w14:textId="77A0642F" w:rsidR="0097782B" w:rsidRDefault="0097782B" w:rsidP="00A13DCA">
            <w:pPr>
              <w:pStyle w:val="TSBodyText"/>
              <w:rPr>
                <w:rFonts w:cs="Calibri"/>
                <w:sz w:val="16"/>
                <w:szCs w:val="16"/>
              </w:rPr>
            </w:pPr>
            <w:r>
              <w:rPr>
                <w:rFonts w:cs="Calibri"/>
                <w:sz w:val="16"/>
                <w:szCs w:val="16"/>
              </w:rPr>
              <w:t>$24b per annum</w:t>
            </w:r>
            <w:r w:rsidRPr="00D463BA">
              <w:rPr>
                <w:rFonts w:cs="Calibri"/>
                <w:sz w:val="16"/>
                <w:szCs w:val="16"/>
              </w:rPr>
              <w:t xml:space="preserve"> </w:t>
            </w:r>
          </w:p>
        </w:tc>
        <w:tc>
          <w:tcPr>
            <w:tcW w:w="462" w:type="pct"/>
          </w:tcPr>
          <w:p w14:paraId="1D24337D" w14:textId="5AB8FB83" w:rsidR="0097782B" w:rsidRDefault="0097782B" w:rsidP="00A13DCA">
            <w:pPr>
              <w:pStyle w:val="TSBodyText"/>
              <w:rPr>
                <w:rFonts w:cs="Calibri"/>
                <w:sz w:val="16"/>
                <w:szCs w:val="16"/>
              </w:rPr>
            </w:pPr>
            <w:r>
              <w:rPr>
                <w:rFonts w:cs="Calibri"/>
                <w:sz w:val="16"/>
                <w:szCs w:val="16"/>
              </w:rPr>
              <w:t>$36.5b per annum</w:t>
            </w:r>
          </w:p>
        </w:tc>
        <w:tc>
          <w:tcPr>
            <w:tcW w:w="926" w:type="pct"/>
          </w:tcPr>
          <w:p w14:paraId="10D80B65" w14:textId="5A4AA909" w:rsidR="0097782B" w:rsidRDefault="0097782B" w:rsidP="00A13DCA">
            <w:pPr>
              <w:pStyle w:val="TSBodyText"/>
              <w:rPr>
                <w:rFonts w:cs="Calibri"/>
                <w:sz w:val="16"/>
                <w:szCs w:val="16"/>
              </w:rPr>
            </w:pPr>
            <w:r>
              <w:rPr>
                <w:rFonts w:cs="Calibri"/>
                <w:sz w:val="16"/>
                <w:szCs w:val="16"/>
              </w:rPr>
              <w:t>$70.48b per annum</w:t>
            </w:r>
          </w:p>
        </w:tc>
        <w:tc>
          <w:tcPr>
            <w:tcW w:w="569" w:type="pct"/>
          </w:tcPr>
          <w:p w14:paraId="4B39D205" w14:textId="06629459" w:rsidR="0097782B" w:rsidRDefault="0097782B" w:rsidP="00A13DCA">
            <w:pPr>
              <w:pStyle w:val="TSBodyText"/>
              <w:rPr>
                <w:rFonts w:cs="Calibri"/>
                <w:sz w:val="16"/>
                <w:szCs w:val="16"/>
              </w:rPr>
            </w:pPr>
            <w:r w:rsidRPr="00BD1863">
              <w:rPr>
                <w:rFonts w:cs="Calibri"/>
                <w:sz w:val="16"/>
                <w:szCs w:val="16"/>
              </w:rPr>
              <w:t>Prevalence-based</w:t>
            </w:r>
            <w:r>
              <w:rPr>
                <w:rFonts w:cs="Calibri"/>
                <w:sz w:val="16"/>
                <w:szCs w:val="16"/>
              </w:rPr>
              <w:t xml:space="preserve"> bottom-up gross costing</w:t>
            </w:r>
          </w:p>
        </w:tc>
        <w:tc>
          <w:tcPr>
            <w:tcW w:w="674" w:type="pct"/>
          </w:tcPr>
          <w:p w14:paraId="043AE9BB" w14:textId="3AA995CB" w:rsidR="0097782B" w:rsidRDefault="0097782B" w:rsidP="00A13DCA">
            <w:pPr>
              <w:pStyle w:val="TSBodyText"/>
              <w:rPr>
                <w:rFonts w:cs="Calibri"/>
                <w:sz w:val="16"/>
                <w:szCs w:val="16"/>
              </w:rPr>
            </w:pPr>
            <w:r>
              <w:rPr>
                <w:rFonts w:cs="Calibri"/>
                <w:sz w:val="16"/>
                <w:szCs w:val="16"/>
              </w:rPr>
              <w:t>Societal</w:t>
            </w:r>
          </w:p>
        </w:tc>
      </w:tr>
      <w:tr w:rsidR="00B50AF9" w:rsidRPr="00731CA6" w14:paraId="58CD926F"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56DE8126" w14:textId="6839EF95" w:rsidR="004915F7" w:rsidRDefault="004915F7" w:rsidP="00A13DCA">
            <w:pPr>
              <w:pStyle w:val="TSBodyText"/>
              <w:rPr>
                <w:rFonts w:cs="Calibri"/>
                <w:sz w:val="16"/>
                <w:szCs w:val="16"/>
              </w:rPr>
            </w:pPr>
            <w:r>
              <w:rPr>
                <w:rFonts w:cs="Calibri"/>
                <w:sz w:val="16"/>
                <w:szCs w:val="16"/>
              </w:rPr>
              <w:t>Cardio-vascular diseases (Denmark)</w:t>
            </w:r>
          </w:p>
        </w:tc>
        <w:tc>
          <w:tcPr>
            <w:tcW w:w="413" w:type="pct"/>
          </w:tcPr>
          <w:p w14:paraId="310D71C9" w14:textId="11A91C8C" w:rsidR="004915F7" w:rsidRDefault="004915F7" w:rsidP="00A13DCA">
            <w:pPr>
              <w:pStyle w:val="TSBodyText"/>
              <w:rPr>
                <w:rFonts w:cs="Calibri"/>
                <w:sz w:val="16"/>
                <w:szCs w:val="16"/>
              </w:rPr>
            </w:pPr>
            <w:r>
              <w:rPr>
                <w:rFonts w:cs="Calibri"/>
                <w:sz w:val="16"/>
                <w:szCs w:val="16"/>
              </w:rPr>
              <w:t>Bundagaard et al. 2019</w:t>
            </w:r>
          </w:p>
        </w:tc>
        <w:tc>
          <w:tcPr>
            <w:tcW w:w="311" w:type="pct"/>
          </w:tcPr>
          <w:p w14:paraId="6BD303D5" w14:textId="1FB8E32E" w:rsidR="004915F7" w:rsidRDefault="004915F7" w:rsidP="00A13DCA">
            <w:pPr>
              <w:pStyle w:val="TSBodyText"/>
              <w:rPr>
                <w:rFonts w:cs="Calibri"/>
                <w:sz w:val="16"/>
                <w:szCs w:val="16"/>
              </w:rPr>
            </w:pPr>
            <w:r>
              <w:rPr>
                <w:rFonts w:cs="Calibri"/>
                <w:sz w:val="16"/>
                <w:szCs w:val="16"/>
              </w:rPr>
              <w:t>2019</w:t>
            </w:r>
          </w:p>
        </w:tc>
        <w:tc>
          <w:tcPr>
            <w:tcW w:w="362" w:type="pct"/>
          </w:tcPr>
          <w:p w14:paraId="1946FE17" w14:textId="12F017A8" w:rsidR="004915F7" w:rsidRDefault="004915F7" w:rsidP="00A13DCA">
            <w:pPr>
              <w:pStyle w:val="TSBodyText"/>
              <w:rPr>
                <w:rFonts w:cs="Calibri"/>
                <w:sz w:val="16"/>
                <w:szCs w:val="16"/>
              </w:rPr>
            </w:pPr>
            <w:r>
              <w:rPr>
                <w:rFonts w:cs="Calibri"/>
                <w:sz w:val="16"/>
                <w:szCs w:val="16"/>
              </w:rPr>
              <w:t>Euro 2016</w:t>
            </w:r>
          </w:p>
        </w:tc>
        <w:tc>
          <w:tcPr>
            <w:tcW w:w="667" w:type="pct"/>
          </w:tcPr>
          <w:p w14:paraId="538E67A2" w14:textId="5B4DEFE4" w:rsidR="004915F7" w:rsidRDefault="004915F7" w:rsidP="00A13DCA">
            <w:pPr>
              <w:pStyle w:val="TSBodyText"/>
              <w:rPr>
                <w:rFonts w:cs="Calibri"/>
                <w:sz w:val="16"/>
                <w:szCs w:val="16"/>
              </w:rPr>
            </w:pPr>
            <w:r>
              <w:rPr>
                <w:rFonts w:cs="Calibri"/>
                <w:sz w:val="16"/>
                <w:szCs w:val="16"/>
              </w:rPr>
              <w:t>$13,490 PPPY excess cost</w:t>
            </w:r>
          </w:p>
        </w:tc>
        <w:tc>
          <w:tcPr>
            <w:tcW w:w="462" w:type="pct"/>
          </w:tcPr>
          <w:p w14:paraId="192AA34C" w14:textId="038D093B" w:rsidR="004915F7" w:rsidRDefault="004915F7" w:rsidP="00A13DCA">
            <w:pPr>
              <w:pStyle w:val="TSBodyText"/>
              <w:rPr>
                <w:rFonts w:cs="Calibri"/>
                <w:sz w:val="16"/>
                <w:szCs w:val="16"/>
              </w:rPr>
            </w:pPr>
            <w:r>
              <w:rPr>
                <w:rFonts w:cs="Calibri"/>
                <w:sz w:val="16"/>
                <w:szCs w:val="16"/>
              </w:rPr>
              <w:t>$6,146 PPPY excess cost</w:t>
            </w:r>
          </w:p>
        </w:tc>
        <w:tc>
          <w:tcPr>
            <w:tcW w:w="926" w:type="pct"/>
          </w:tcPr>
          <w:p w14:paraId="13C74E3D" w14:textId="477231B3" w:rsidR="004915F7" w:rsidRDefault="004915F7" w:rsidP="00A13DCA">
            <w:pPr>
              <w:pStyle w:val="TSBodyText"/>
              <w:rPr>
                <w:rFonts w:cs="Calibri"/>
                <w:sz w:val="16"/>
                <w:szCs w:val="16"/>
              </w:rPr>
            </w:pPr>
            <w:r>
              <w:rPr>
                <w:rFonts w:cs="Calibri"/>
                <w:sz w:val="16"/>
                <w:szCs w:val="16"/>
              </w:rPr>
              <w:t>$19,636 PPPY excess total cost</w:t>
            </w:r>
          </w:p>
        </w:tc>
        <w:tc>
          <w:tcPr>
            <w:tcW w:w="569" w:type="pct"/>
          </w:tcPr>
          <w:p w14:paraId="60113367" w14:textId="31C03508" w:rsidR="004915F7" w:rsidRPr="00BD1863" w:rsidRDefault="004915F7" w:rsidP="00A13DCA">
            <w:pPr>
              <w:pStyle w:val="TSBodyText"/>
              <w:rPr>
                <w:rFonts w:cs="Calibri"/>
                <w:sz w:val="16"/>
                <w:szCs w:val="16"/>
              </w:rPr>
            </w:pPr>
            <w:r>
              <w:rPr>
                <w:rFonts w:cs="Calibri"/>
                <w:sz w:val="16"/>
                <w:szCs w:val="16"/>
              </w:rPr>
              <w:t>Bottom-up gross costing Excess costs</w:t>
            </w:r>
          </w:p>
        </w:tc>
        <w:tc>
          <w:tcPr>
            <w:tcW w:w="674" w:type="pct"/>
          </w:tcPr>
          <w:p w14:paraId="0EEDEDEF" w14:textId="2884CCDF" w:rsidR="004915F7" w:rsidRDefault="004915F7" w:rsidP="00A13DCA">
            <w:pPr>
              <w:pStyle w:val="TSBodyText"/>
              <w:rPr>
                <w:rFonts w:cs="Calibri"/>
                <w:sz w:val="16"/>
                <w:szCs w:val="16"/>
              </w:rPr>
            </w:pPr>
            <w:r>
              <w:rPr>
                <w:rFonts w:cs="Calibri"/>
                <w:sz w:val="16"/>
                <w:szCs w:val="16"/>
              </w:rPr>
              <w:t>Societal</w:t>
            </w:r>
          </w:p>
        </w:tc>
      </w:tr>
      <w:tr w:rsidR="00B50AF9" w:rsidRPr="00731CA6" w14:paraId="7B0EB6BD" w14:textId="77777777" w:rsidTr="00A46D00">
        <w:trPr>
          <w:cantSplit/>
        </w:trPr>
        <w:tc>
          <w:tcPr>
            <w:tcW w:w="616" w:type="pct"/>
          </w:tcPr>
          <w:p w14:paraId="2FF1141B" w14:textId="77777777" w:rsidR="004915F7" w:rsidRPr="006269D4" w:rsidRDefault="004915F7" w:rsidP="00A13DCA">
            <w:pPr>
              <w:pStyle w:val="TSBodyText"/>
              <w:rPr>
                <w:rFonts w:cs="Calibri"/>
                <w:sz w:val="16"/>
                <w:szCs w:val="16"/>
              </w:rPr>
            </w:pPr>
            <w:r w:rsidRPr="006269D4">
              <w:rPr>
                <w:rFonts w:cs="Calibri"/>
                <w:sz w:val="16"/>
                <w:szCs w:val="16"/>
              </w:rPr>
              <w:t>Chronic kidney disease</w:t>
            </w:r>
          </w:p>
          <w:p w14:paraId="4E9D28E6" w14:textId="77777777" w:rsidR="004915F7" w:rsidRPr="006269D4" w:rsidRDefault="004915F7" w:rsidP="00A13DCA">
            <w:pPr>
              <w:pStyle w:val="TSBodyText"/>
              <w:rPr>
                <w:rFonts w:cs="Calibri"/>
                <w:sz w:val="16"/>
                <w:szCs w:val="16"/>
              </w:rPr>
            </w:pPr>
            <w:r w:rsidRPr="006269D4">
              <w:rPr>
                <w:rFonts w:cs="Calibri"/>
                <w:sz w:val="16"/>
                <w:szCs w:val="16"/>
              </w:rPr>
              <w:t>(US)</w:t>
            </w:r>
          </w:p>
        </w:tc>
        <w:tc>
          <w:tcPr>
            <w:tcW w:w="413" w:type="pct"/>
          </w:tcPr>
          <w:p w14:paraId="7E36D844" w14:textId="5C1AA5DA" w:rsidR="004915F7" w:rsidRPr="006269D4" w:rsidRDefault="004915F7" w:rsidP="00A13DCA">
            <w:pPr>
              <w:pStyle w:val="TSBodyText"/>
              <w:rPr>
                <w:rFonts w:cs="Calibri"/>
                <w:sz w:val="16"/>
                <w:szCs w:val="16"/>
              </w:rPr>
            </w:pPr>
            <w:r w:rsidRPr="006269D4">
              <w:rPr>
                <w:rFonts w:cs="Calibri"/>
                <w:sz w:val="16"/>
                <w:szCs w:val="16"/>
              </w:rPr>
              <w:t>Vupputuri et al.</w:t>
            </w:r>
            <w:r w:rsidR="00751C55">
              <w:rPr>
                <w:rFonts w:cs="Calibri"/>
                <w:sz w:val="16"/>
                <w:szCs w:val="16"/>
              </w:rPr>
              <w:t xml:space="preserve"> </w:t>
            </w:r>
            <w:r w:rsidRPr="006269D4">
              <w:rPr>
                <w:rFonts w:cs="Calibri"/>
                <w:sz w:val="16"/>
                <w:szCs w:val="16"/>
              </w:rPr>
              <w:t>2014</w:t>
            </w:r>
          </w:p>
          <w:p w14:paraId="1913AB4E" w14:textId="77777777" w:rsidR="004915F7" w:rsidRPr="006269D4" w:rsidRDefault="004915F7" w:rsidP="00A13DCA">
            <w:pPr>
              <w:pStyle w:val="TSBodyText"/>
              <w:rPr>
                <w:rFonts w:cs="Calibri"/>
                <w:sz w:val="16"/>
                <w:szCs w:val="16"/>
              </w:rPr>
            </w:pPr>
          </w:p>
        </w:tc>
        <w:tc>
          <w:tcPr>
            <w:tcW w:w="311" w:type="pct"/>
          </w:tcPr>
          <w:p w14:paraId="229F99E4" w14:textId="77777777" w:rsidR="004915F7" w:rsidRPr="006269D4" w:rsidRDefault="004915F7" w:rsidP="00A13DCA">
            <w:pPr>
              <w:pStyle w:val="TSBodyText"/>
              <w:rPr>
                <w:rFonts w:cs="Calibri"/>
                <w:sz w:val="16"/>
                <w:szCs w:val="16"/>
              </w:rPr>
            </w:pPr>
            <w:r w:rsidRPr="006269D4">
              <w:rPr>
                <w:rFonts w:cs="Calibri"/>
                <w:sz w:val="16"/>
                <w:szCs w:val="16"/>
              </w:rPr>
              <w:t>2010</w:t>
            </w:r>
          </w:p>
        </w:tc>
        <w:tc>
          <w:tcPr>
            <w:tcW w:w="362" w:type="pct"/>
          </w:tcPr>
          <w:p w14:paraId="5FDF8F66" w14:textId="5378F487" w:rsidR="004915F7" w:rsidRPr="006269D4" w:rsidRDefault="004915F7" w:rsidP="00A13DCA">
            <w:pPr>
              <w:pStyle w:val="TSBodyText"/>
              <w:rPr>
                <w:rFonts w:cs="Calibri"/>
                <w:sz w:val="16"/>
                <w:szCs w:val="16"/>
              </w:rPr>
            </w:pPr>
            <w:r w:rsidRPr="006269D4">
              <w:rPr>
                <w:rFonts w:cs="Calibri"/>
                <w:sz w:val="16"/>
                <w:szCs w:val="16"/>
              </w:rPr>
              <w:t>USD</w:t>
            </w:r>
            <w:r>
              <w:rPr>
                <w:rFonts w:cs="Calibri"/>
                <w:sz w:val="16"/>
                <w:szCs w:val="16"/>
              </w:rPr>
              <w:t xml:space="preserve"> 2010</w:t>
            </w:r>
          </w:p>
        </w:tc>
        <w:tc>
          <w:tcPr>
            <w:tcW w:w="667" w:type="pct"/>
          </w:tcPr>
          <w:p w14:paraId="1E8D3883" w14:textId="54311195" w:rsidR="004915F7" w:rsidRPr="006269D4" w:rsidRDefault="004915F7" w:rsidP="00A13DCA">
            <w:pPr>
              <w:pStyle w:val="TSBodyText"/>
              <w:rPr>
                <w:rFonts w:cs="Calibri"/>
                <w:sz w:val="16"/>
                <w:szCs w:val="16"/>
              </w:rPr>
            </w:pPr>
            <w:r w:rsidRPr="006269D4">
              <w:rPr>
                <w:rFonts w:cs="Calibri"/>
                <w:sz w:val="16"/>
                <w:szCs w:val="16"/>
              </w:rPr>
              <w:t>$1</w:t>
            </w:r>
            <w:r>
              <w:rPr>
                <w:rFonts w:cs="Calibri"/>
                <w:sz w:val="16"/>
                <w:szCs w:val="16"/>
              </w:rPr>
              <w:t>8</w:t>
            </w:r>
            <w:r w:rsidRPr="006269D4">
              <w:rPr>
                <w:rFonts w:cs="Calibri"/>
                <w:sz w:val="16"/>
                <w:szCs w:val="16"/>
              </w:rPr>
              <w:t>,</w:t>
            </w:r>
            <w:r>
              <w:rPr>
                <w:rFonts w:cs="Calibri"/>
                <w:sz w:val="16"/>
                <w:szCs w:val="16"/>
              </w:rPr>
              <w:t>802</w:t>
            </w:r>
            <w:r w:rsidRPr="006269D4">
              <w:rPr>
                <w:rFonts w:cs="Calibri"/>
                <w:sz w:val="16"/>
                <w:szCs w:val="16"/>
              </w:rPr>
              <w:t xml:space="preserve"> to $</w:t>
            </w:r>
            <w:r>
              <w:rPr>
                <w:rFonts w:cs="Calibri"/>
                <w:sz w:val="16"/>
                <w:szCs w:val="16"/>
              </w:rPr>
              <w:t>108</w:t>
            </w:r>
            <w:r w:rsidRPr="006269D4">
              <w:rPr>
                <w:rFonts w:cs="Calibri"/>
                <w:sz w:val="16"/>
                <w:szCs w:val="16"/>
              </w:rPr>
              <w:t>,</w:t>
            </w:r>
            <w:r>
              <w:rPr>
                <w:rFonts w:cs="Calibri"/>
                <w:sz w:val="16"/>
                <w:szCs w:val="16"/>
              </w:rPr>
              <w:t>8</w:t>
            </w:r>
            <w:r w:rsidRPr="006269D4">
              <w:rPr>
                <w:rFonts w:cs="Calibri"/>
                <w:sz w:val="16"/>
                <w:szCs w:val="16"/>
              </w:rPr>
              <w:t>9</w:t>
            </w:r>
            <w:r>
              <w:rPr>
                <w:rFonts w:cs="Calibri"/>
                <w:sz w:val="16"/>
                <w:szCs w:val="16"/>
              </w:rPr>
              <w:t>0</w:t>
            </w:r>
            <w:r w:rsidRPr="006269D4">
              <w:rPr>
                <w:rFonts w:cs="Calibri"/>
                <w:sz w:val="16"/>
                <w:szCs w:val="16"/>
              </w:rPr>
              <w:t xml:space="preserve"> </w:t>
            </w:r>
            <w:r>
              <w:rPr>
                <w:rFonts w:cs="Calibri"/>
                <w:sz w:val="16"/>
                <w:szCs w:val="16"/>
              </w:rPr>
              <w:t>PPPY</w:t>
            </w:r>
          </w:p>
        </w:tc>
        <w:tc>
          <w:tcPr>
            <w:tcW w:w="462" w:type="pct"/>
          </w:tcPr>
          <w:p w14:paraId="2ABDC81E" w14:textId="77777777" w:rsidR="004915F7" w:rsidRPr="006269D4" w:rsidRDefault="004915F7" w:rsidP="00A13DCA">
            <w:pPr>
              <w:pStyle w:val="TSBodyText"/>
              <w:rPr>
                <w:rFonts w:cs="Calibri"/>
                <w:sz w:val="16"/>
                <w:szCs w:val="16"/>
              </w:rPr>
            </w:pPr>
          </w:p>
        </w:tc>
        <w:tc>
          <w:tcPr>
            <w:tcW w:w="926" w:type="pct"/>
          </w:tcPr>
          <w:p w14:paraId="4DB2E829" w14:textId="77777777" w:rsidR="004915F7" w:rsidRPr="006269D4" w:rsidRDefault="004915F7" w:rsidP="00A13DCA">
            <w:pPr>
              <w:pStyle w:val="TSBodyText"/>
              <w:rPr>
                <w:rFonts w:cs="Calibri"/>
                <w:sz w:val="16"/>
                <w:szCs w:val="16"/>
              </w:rPr>
            </w:pPr>
          </w:p>
        </w:tc>
        <w:tc>
          <w:tcPr>
            <w:tcW w:w="569" w:type="pct"/>
          </w:tcPr>
          <w:p w14:paraId="63814EC0" w14:textId="77777777" w:rsidR="004915F7" w:rsidRDefault="004915F7" w:rsidP="00A13DCA">
            <w:pPr>
              <w:pStyle w:val="TSBodyText"/>
              <w:rPr>
                <w:rFonts w:cs="Calibri"/>
                <w:sz w:val="16"/>
                <w:szCs w:val="16"/>
              </w:rPr>
            </w:pPr>
            <w:r w:rsidRPr="006269D4">
              <w:rPr>
                <w:rFonts w:cs="Calibri"/>
                <w:sz w:val="16"/>
                <w:szCs w:val="16"/>
              </w:rPr>
              <w:t>Retrospective cohort analysis</w:t>
            </w:r>
          </w:p>
          <w:p w14:paraId="72B6FE21" w14:textId="6A562A9B" w:rsidR="004915F7" w:rsidRDefault="004915F7" w:rsidP="00A13DCA">
            <w:pPr>
              <w:pStyle w:val="TSBodyText"/>
              <w:rPr>
                <w:rFonts w:cs="Calibri"/>
                <w:sz w:val="16"/>
                <w:szCs w:val="16"/>
              </w:rPr>
            </w:pPr>
            <w:r>
              <w:rPr>
                <w:rFonts w:cs="Calibri"/>
                <w:sz w:val="16"/>
                <w:szCs w:val="16"/>
              </w:rPr>
              <w:t>Bottom-up gross costing</w:t>
            </w:r>
          </w:p>
          <w:p w14:paraId="714024C8" w14:textId="77777777" w:rsidR="004915F7" w:rsidRPr="006269D4" w:rsidRDefault="004915F7" w:rsidP="00A13DCA">
            <w:pPr>
              <w:pStyle w:val="TSBodyText"/>
              <w:rPr>
                <w:rFonts w:cs="Calibri"/>
                <w:sz w:val="16"/>
                <w:szCs w:val="16"/>
              </w:rPr>
            </w:pPr>
            <w:r>
              <w:rPr>
                <w:rFonts w:cs="Calibri"/>
                <w:sz w:val="16"/>
                <w:szCs w:val="16"/>
              </w:rPr>
              <w:t>Excess costs</w:t>
            </w:r>
          </w:p>
        </w:tc>
        <w:tc>
          <w:tcPr>
            <w:tcW w:w="674" w:type="pct"/>
          </w:tcPr>
          <w:p w14:paraId="44D002F8" w14:textId="77777777" w:rsidR="004915F7" w:rsidRPr="006269D4" w:rsidRDefault="004915F7" w:rsidP="00A13DCA">
            <w:pPr>
              <w:pStyle w:val="TSBodyText"/>
              <w:rPr>
                <w:rFonts w:cs="Calibri"/>
                <w:sz w:val="16"/>
                <w:szCs w:val="16"/>
              </w:rPr>
            </w:pPr>
            <w:r w:rsidRPr="006269D4">
              <w:rPr>
                <w:rFonts w:cs="Calibri"/>
                <w:sz w:val="16"/>
                <w:szCs w:val="16"/>
              </w:rPr>
              <w:t>Health system (public + private)</w:t>
            </w:r>
          </w:p>
        </w:tc>
      </w:tr>
      <w:tr w:rsidR="00B50AF9" w:rsidRPr="00731CA6" w14:paraId="0908FAC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7E8557E8" w14:textId="77777777" w:rsidR="004915F7" w:rsidRDefault="004915F7" w:rsidP="00A13DCA">
            <w:pPr>
              <w:pStyle w:val="TSBodyText"/>
              <w:spacing w:before="0" w:line="240" w:lineRule="atLeast"/>
              <w:rPr>
                <w:rFonts w:cs="Calibri"/>
                <w:sz w:val="16"/>
                <w:szCs w:val="16"/>
              </w:rPr>
            </w:pPr>
            <w:r w:rsidRPr="006269D4">
              <w:rPr>
                <w:rFonts w:cs="Calibri"/>
                <w:sz w:val="16"/>
                <w:szCs w:val="16"/>
              </w:rPr>
              <w:t>Chronic kidney disease</w:t>
            </w:r>
          </w:p>
          <w:p w14:paraId="5C8A6B2C" w14:textId="77777777" w:rsidR="004915F7" w:rsidRPr="006269D4" w:rsidRDefault="004915F7" w:rsidP="00A13DCA">
            <w:pPr>
              <w:pStyle w:val="TSBodyText"/>
              <w:spacing w:before="0" w:line="240" w:lineRule="atLeast"/>
              <w:rPr>
                <w:rFonts w:cs="Calibri"/>
                <w:sz w:val="16"/>
                <w:szCs w:val="16"/>
              </w:rPr>
            </w:pPr>
            <w:r>
              <w:rPr>
                <w:rFonts w:cs="Calibri"/>
                <w:sz w:val="16"/>
                <w:szCs w:val="16"/>
              </w:rPr>
              <w:t>(multi-country)</w:t>
            </w:r>
          </w:p>
        </w:tc>
        <w:tc>
          <w:tcPr>
            <w:tcW w:w="413" w:type="pct"/>
          </w:tcPr>
          <w:p w14:paraId="453E559E" w14:textId="19CBA388" w:rsidR="004915F7" w:rsidRPr="006269D4" w:rsidRDefault="004915F7" w:rsidP="00A13DCA">
            <w:pPr>
              <w:pStyle w:val="TSBodyText"/>
              <w:spacing w:before="0" w:line="240" w:lineRule="atLeast"/>
              <w:rPr>
                <w:rFonts w:cs="Calibri"/>
                <w:sz w:val="16"/>
                <w:szCs w:val="16"/>
              </w:rPr>
            </w:pPr>
            <w:r w:rsidRPr="006269D4">
              <w:rPr>
                <w:rFonts w:cs="Calibri"/>
                <w:sz w:val="16"/>
                <w:szCs w:val="16"/>
              </w:rPr>
              <w:t>Kent et al. 2015</w:t>
            </w:r>
          </w:p>
        </w:tc>
        <w:tc>
          <w:tcPr>
            <w:tcW w:w="311" w:type="pct"/>
          </w:tcPr>
          <w:p w14:paraId="0367780D" w14:textId="77777777" w:rsidR="004915F7" w:rsidRPr="006269D4" w:rsidRDefault="004915F7" w:rsidP="00A13DCA">
            <w:pPr>
              <w:pStyle w:val="TSBodyText"/>
              <w:rPr>
                <w:rFonts w:cs="Calibri"/>
                <w:sz w:val="16"/>
                <w:szCs w:val="16"/>
              </w:rPr>
            </w:pPr>
            <w:r>
              <w:rPr>
                <w:rFonts w:cs="Calibri"/>
                <w:sz w:val="16"/>
                <w:szCs w:val="16"/>
              </w:rPr>
              <w:t>2003-2010</w:t>
            </w:r>
          </w:p>
        </w:tc>
        <w:tc>
          <w:tcPr>
            <w:tcW w:w="362" w:type="pct"/>
          </w:tcPr>
          <w:p w14:paraId="3375428C" w14:textId="0D1468AC" w:rsidR="004915F7" w:rsidRPr="006269D4" w:rsidRDefault="004915F7" w:rsidP="00A13DCA">
            <w:pPr>
              <w:pStyle w:val="TSBodyText"/>
              <w:rPr>
                <w:rFonts w:cs="Calibri"/>
                <w:sz w:val="16"/>
                <w:szCs w:val="16"/>
              </w:rPr>
            </w:pPr>
            <w:r>
              <w:rPr>
                <w:rFonts w:cs="Calibri"/>
                <w:sz w:val="16"/>
                <w:szCs w:val="16"/>
              </w:rPr>
              <w:t xml:space="preserve">GBP 2010/11 </w:t>
            </w:r>
          </w:p>
        </w:tc>
        <w:tc>
          <w:tcPr>
            <w:tcW w:w="667" w:type="pct"/>
          </w:tcPr>
          <w:p w14:paraId="3486B4B3" w14:textId="363E7C4A" w:rsidR="004915F7" w:rsidRPr="006269D4" w:rsidRDefault="004915F7" w:rsidP="00A13DCA">
            <w:pPr>
              <w:pStyle w:val="TSBodyText"/>
              <w:rPr>
                <w:rFonts w:cs="Calibri"/>
                <w:sz w:val="16"/>
                <w:szCs w:val="16"/>
              </w:rPr>
            </w:pPr>
            <w:r>
              <w:rPr>
                <w:rFonts w:cs="Calibri"/>
                <w:sz w:val="16"/>
                <w:szCs w:val="16"/>
              </w:rPr>
              <w:t>$27,036 PPPY</w:t>
            </w:r>
          </w:p>
        </w:tc>
        <w:tc>
          <w:tcPr>
            <w:tcW w:w="462" w:type="pct"/>
          </w:tcPr>
          <w:p w14:paraId="2ECF0794" w14:textId="77777777" w:rsidR="004915F7" w:rsidRPr="006269D4" w:rsidRDefault="004915F7" w:rsidP="00A13DCA">
            <w:pPr>
              <w:pStyle w:val="TSBodyText"/>
              <w:rPr>
                <w:rFonts w:cs="Calibri"/>
                <w:sz w:val="16"/>
                <w:szCs w:val="16"/>
              </w:rPr>
            </w:pPr>
          </w:p>
        </w:tc>
        <w:tc>
          <w:tcPr>
            <w:tcW w:w="926" w:type="pct"/>
          </w:tcPr>
          <w:p w14:paraId="5762765B" w14:textId="77777777" w:rsidR="004915F7" w:rsidRPr="006269D4" w:rsidRDefault="004915F7" w:rsidP="00A13DCA">
            <w:pPr>
              <w:pStyle w:val="TSBodyText"/>
              <w:rPr>
                <w:rFonts w:cs="Calibri"/>
                <w:sz w:val="16"/>
                <w:szCs w:val="16"/>
              </w:rPr>
            </w:pPr>
          </w:p>
        </w:tc>
        <w:tc>
          <w:tcPr>
            <w:tcW w:w="569" w:type="pct"/>
          </w:tcPr>
          <w:p w14:paraId="776366BC" w14:textId="77777777" w:rsidR="004915F7" w:rsidRDefault="004915F7" w:rsidP="00A13DCA">
            <w:pPr>
              <w:pStyle w:val="TSBodyText"/>
              <w:rPr>
                <w:rFonts w:cs="Calibri"/>
                <w:sz w:val="16"/>
                <w:szCs w:val="16"/>
              </w:rPr>
            </w:pPr>
            <w:r>
              <w:rPr>
                <w:rFonts w:cs="Calibri"/>
                <w:sz w:val="16"/>
                <w:szCs w:val="16"/>
              </w:rPr>
              <w:t>RCT-based costing study</w:t>
            </w:r>
          </w:p>
          <w:p w14:paraId="3B6926CB" w14:textId="77777777" w:rsidR="004915F7" w:rsidRDefault="004915F7" w:rsidP="00A13DCA">
            <w:pPr>
              <w:pStyle w:val="TSBodyText"/>
              <w:rPr>
                <w:rFonts w:cs="Calibri"/>
                <w:sz w:val="16"/>
                <w:szCs w:val="16"/>
              </w:rPr>
            </w:pPr>
            <w:r>
              <w:rPr>
                <w:rFonts w:cs="Calibri"/>
                <w:sz w:val="16"/>
                <w:szCs w:val="16"/>
              </w:rPr>
              <w:t>Top-down gross costing</w:t>
            </w:r>
          </w:p>
          <w:p w14:paraId="4C02142F" w14:textId="77777777" w:rsidR="004915F7" w:rsidRPr="006269D4" w:rsidRDefault="004915F7" w:rsidP="00A13DCA">
            <w:pPr>
              <w:pStyle w:val="TSBodyText"/>
              <w:rPr>
                <w:rFonts w:cs="Calibri"/>
                <w:sz w:val="16"/>
                <w:szCs w:val="16"/>
              </w:rPr>
            </w:pPr>
            <w:r>
              <w:rPr>
                <w:rFonts w:cs="Calibri"/>
                <w:sz w:val="16"/>
                <w:szCs w:val="16"/>
              </w:rPr>
              <w:t>Attributable costs</w:t>
            </w:r>
          </w:p>
        </w:tc>
        <w:tc>
          <w:tcPr>
            <w:tcW w:w="674" w:type="pct"/>
          </w:tcPr>
          <w:p w14:paraId="06CD3222" w14:textId="77777777" w:rsidR="004915F7" w:rsidRPr="006269D4" w:rsidRDefault="004915F7" w:rsidP="00A13DCA">
            <w:pPr>
              <w:pStyle w:val="TSBodyText"/>
              <w:rPr>
                <w:rFonts w:cs="Calibri"/>
                <w:sz w:val="16"/>
                <w:szCs w:val="16"/>
              </w:rPr>
            </w:pPr>
            <w:r>
              <w:rPr>
                <w:rFonts w:cs="Calibri"/>
                <w:sz w:val="16"/>
                <w:szCs w:val="16"/>
              </w:rPr>
              <w:t>Public health system (hospital costs only)</w:t>
            </w:r>
          </w:p>
        </w:tc>
      </w:tr>
      <w:tr w:rsidR="00B50AF9" w:rsidRPr="00731CA6" w14:paraId="3927C1EE" w14:textId="77777777" w:rsidTr="00A46D00">
        <w:trPr>
          <w:cantSplit/>
        </w:trPr>
        <w:tc>
          <w:tcPr>
            <w:tcW w:w="616" w:type="pct"/>
          </w:tcPr>
          <w:p w14:paraId="38894F27" w14:textId="77777777" w:rsidR="004915F7" w:rsidRDefault="004915F7" w:rsidP="00A13DCA">
            <w:pPr>
              <w:pStyle w:val="TSBodyText"/>
              <w:spacing w:before="0" w:line="240" w:lineRule="atLeast"/>
              <w:rPr>
                <w:rFonts w:cs="Calibri"/>
                <w:sz w:val="16"/>
                <w:szCs w:val="16"/>
              </w:rPr>
            </w:pPr>
            <w:r>
              <w:rPr>
                <w:rFonts w:cs="Calibri"/>
                <w:sz w:val="16"/>
                <w:szCs w:val="16"/>
              </w:rPr>
              <w:t>COPD</w:t>
            </w:r>
          </w:p>
          <w:p w14:paraId="06AE611D" w14:textId="77777777" w:rsidR="004915F7" w:rsidRPr="006269D4" w:rsidRDefault="004915F7" w:rsidP="00A13DCA">
            <w:pPr>
              <w:pStyle w:val="TSBodyText"/>
              <w:spacing w:before="0" w:line="240" w:lineRule="atLeast"/>
              <w:rPr>
                <w:rFonts w:cs="Calibri"/>
                <w:sz w:val="16"/>
                <w:szCs w:val="16"/>
              </w:rPr>
            </w:pPr>
            <w:r>
              <w:rPr>
                <w:rFonts w:cs="Calibri"/>
                <w:sz w:val="16"/>
                <w:szCs w:val="16"/>
              </w:rPr>
              <w:t>(Global)</w:t>
            </w:r>
          </w:p>
        </w:tc>
        <w:tc>
          <w:tcPr>
            <w:tcW w:w="413" w:type="pct"/>
          </w:tcPr>
          <w:p w14:paraId="6AD0561F" w14:textId="77777777" w:rsidR="004915F7" w:rsidRPr="006269D4" w:rsidRDefault="004915F7" w:rsidP="00A13DCA">
            <w:pPr>
              <w:pStyle w:val="TSBodyText"/>
              <w:spacing w:before="0" w:line="240" w:lineRule="atLeast"/>
              <w:rPr>
                <w:rFonts w:cs="Calibri"/>
                <w:sz w:val="16"/>
                <w:szCs w:val="16"/>
              </w:rPr>
            </w:pPr>
            <w:r>
              <w:rPr>
                <w:rFonts w:cs="Calibri"/>
                <w:sz w:val="16"/>
                <w:szCs w:val="16"/>
              </w:rPr>
              <w:t>Ehsteshami-Afshar et al. 2016</w:t>
            </w:r>
          </w:p>
        </w:tc>
        <w:tc>
          <w:tcPr>
            <w:tcW w:w="311" w:type="pct"/>
          </w:tcPr>
          <w:p w14:paraId="5584D321" w14:textId="77777777" w:rsidR="004915F7" w:rsidRDefault="004915F7" w:rsidP="00A13DCA">
            <w:pPr>
              <w:pStyle w:val="TSBodyText"/>
              <w:rPr>
                <w:rFonts w:cs="Calibri"/>
                <w:sz w:val="16"/>
                <w:szCs w:val="16"/>
              </w:rPr>
            </w:pPr>
            <w:r>
              <w:rPr>
                <w:rFonts w:cs="Calibri"/>
                <w:sz w:val="16"/>
                <w:szCs w:val="16"/>
              </w:rPr>
              <w:t>2001-2009</w:t>
            </w:r>
          </w:p>
        </w:tc>
        <w:tc>
          <w:tcPr>
            <w:tcW w:w="362" w:type="pct"/>
          </w:tcPr>
          <w:p w14:paraId="37EFB404" w14:textId="46ED30FA" w:rsidR="004915F7" w:rsidRDefault="004915F7" w:rsidP="00A13DCA">
            <w:pPr>
              <w:pStyle w:val="TSBodyText"/>
              <w:rPr>
                <w:rFonts w:cs="Calibri"/>
                <w:sz w:val="16"/>
                <w:szCs w:val="16"/>
              </w:rPr>
            </w:pPr>
            <w:r>
              <w:rPr>
                <w:rFonts w:cs="Calibri"/>
                <w:sz w:val="16"/>
                <w:szCs w:val="16"/>
              </w:rPr>
              <w:t>USD (year not stated)</w:t>
            </w:r>
          </w:p>
        </w:tc>
        <w:tc>
          <w:tcPr>
            <w:tcW w:w="667" w:type="pct"/>
          </w:tcPr>
          <w:p w14:paraId="01D9C29E" w14:textId="3DD98E16" w:rsidR="004915F7" w:rsidRDefault="004915F7" w:rsidP="00A13DCA">
            <w:pPr>
              <w:pStyle w:val="TSBodyText"/>
              <w:rPr>
                <w:rFonts w:cs="Calibri"/>
                <w:sz w:val="16"/>
                <w:szCs w:val="16"/>
              </w:rPr>
            </w:pPr>
            <w:r>
              <w:rPr>
                <w:rFonts w:cs="Calibri"/>
                <w:sz w:val="16"/>
                <w:szCs w:val="16"/>
              </w:rPr>
              <w:t>$1,400-$5,920 PPPY</w:t>
            </w:r>
          </w:p>
        </w:tc>
        <w:tc>
          <w:tcPr>
            <w:tcW w:w="462" w:type="pct"/>
          </w:tcPr>
          <w:p w14:paraId="1A0BCD9D" w14:textId="2202B54A" w:rsidR="004915F7" w:rsidRPr="006269D4" w:rsidRDefault="004915F7" w:rsidP="00A13DCA">
            <w:pPr>
              <w:pStyle w:val="TSBodyText"/>
              <w:rPr>
                <w:rFonts w:cs="Calibri"/>
                <w:sz w:val="16"/>
                <w:szCs w:val="16"/>
              </w:rPr>
            </w:pPr>
            <w:r>
              <w:rPr>
                <w:rFonts w:cs="Calibri"/>
                <w:sz w:val="16"/>
                <w:szCs w:val="16"/>
              </w:rPr>
              <w:t xml:space="preserve">$256-$7,757 PPPY </w:t>
            </w:r>
          </w:p>
        </w:tc>
        <w:tc>
          <w:tcPr>
            <w:tcW w:w="926" w:type="pct"/>
          </w:tcPr>
          <w:p w14:paraId="51DBCBF0" w14:textId="77777777" w:rsidR="004915F7" w:rsidRPr="006269D4" w:rsidRDefault="004915F7" w:rsidP="00A13DCA">
            <w:pPr>
              <w:pStyle w:val="TSBodyText"/>
              <w:rPr>
                <w:rFonts w:cs="Calibri"/>
                <w:sz w:val="16"/>
                <w:szCs w:val="16"/>
              </w:rPr>
            </w:pPr>
          </w:p>
        </w:tc>
        <w:tc>
          <w:tcPr>
            <w:tcW w:w="569" w:type="pct"/>
          </w:tcPr>
          <w:p w14:paraId="782BA71A" w14:textId="77777777" w:rsidR="004915F7" w:rsidRDefault="004915F7" w:rsidP="00A13DCA">
            <w:pPr>
              <w:pStyle w:val="TSBodyText"/>
              <w:rPr>
                <w:rFonts w:cs="Calibri"/>
                <w:sz w:val="16"/>
                <w:szCs w:val="16"/>
              </w:rPr>
            </w:pPr>
            <w:r>
              <w:rPr>
                <w:rFonts w:cs="Calibri"/>
                <w:sz w:val="16"/>
                <w:szCs w:val="16"/>
              </w:rPr>
              <w:t>Literature review</w:t>
            </w:r>
          </w:p>
          <w:p w14:paraId="3DB68662" w14:textId="77777777" w:rsidR="004915F7" w:rsidRDefault="004915F7" w:rsidP="00A13DCA">
            <w:pPr>
              <w:pStyle w:val="TSBodyText"/>
              <w:rPr>
                <w:rFonts w:cs="Calibri"/>
                <w:sz w:val="16"/>
                <w:szCs w:val="16"/>
              </w:rPr>
            </w:pPr>
            <w:r>
              <w:rPr>
                <w:rFonts w:cs="Calibri"/>
                <w:sz w:val="16"/>
                <w:szCs w:val="16"/>
              </w:rPr>
              <w:t>Attributable costs and excess costs</w:t>
            </w:r>
          </w:p>
        </w:tc>
        <w:tc>
          <w:tcPr>
            <w:tcW w:w="674" w:type="pct"/>
          </w:tcPr>
          <w:p w14:paraId="1E4E33D9" w14:textId="77777777" w:rsidR="004915F7" w:rsidRDefault="004915F7" w:rsidP="00A13DCA">
            <w:pPr>
              <w:pStyle w:val="TSBodyText"/>
              <w:rPr>
                <w:rFonts w:cs="Calibri"/>
                <w:sz w:val="16"/>
                <w:szCs w:val="16"/>
              </w:rPr>
            </w:pPr>
            <w:r>
              <w:rPr>
                <w:rFonts w:cs="Calibri"/>
                <w:sz w:val="16"/>
                <w:szCs w:val="16"/>
              </w:rPr>
              <w:t>Societal</w:t>
            </w:r>
          </w:p>
        </w:tc>
      </w:tr>
      <w:tr w:rsidR="00B50AF9" w:rsidRPr="00731CA6" w14:paraId="6CBDC4A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7AA4CF4F" w14:textId="77777777" w:rsidR="005746DF" w:rsidRDefault="005746DF" w:rsidP="00A13DCA">
            <w:pPr>
              <w:pStyle w:val="TSBodyText"/>
              <w:spacing w:before="0" w:line="240" w:lineRule="atLeast"/>
              <w:rPr>
                <w:rFonts w:cs="Calibri"/>
                <w:sz w:val="16"/>
                <w:szCs w:val="16"/>
              </w:rPr>
            </w:pPr>
            <w:r>
              <w:rPr>
                <w:rFonts w:cs="Calibri"/>
                <w:sz w:val="16"/>
                <w:szCs w:val="16"/>
              </w:rPr>
              <w:t>COPD</w:t>
            </w:r>
          </w:p>
          <w:p w14:paraId="5BB32E93" w14:textId="1FB20E53" w:rsidR="005746DF" w:rsidRDefault="005746DF" w:rsidP="00A13DCA">
            <w:pPr>
              <w:pStyle w:val="TSBodyText"/>
              <w:spacing w:before="0" w:line="240" w:lineRule="atLeast"/>
              <w:rPr>
                <w:rFonts w:cs="Calibri"/>
                <w:sz w:val="16"/>
                <w:szCs w:val="16"/>
              </w:rPr>
            </w:pPr>
            <w:r>
              <w:rPr>
                <w:rFonts w:cs="Calibri"/>
                <w:sz w:val="16"/>
                <w:szCs w:val="16"/>
              </w:rPr>
              <w:t>(Germany)</w:t>
            </w:r>
          </w:p>
        </w:tc>
        <w:tc>
          <w:tcPr>
            <w:tcW w:w="413" w:type="pct"/>
          </w:tcPr>
          <w:p w14:paraId="040EB405" w14:textId="0CDC4D1D" w:rsidR="005746DF" w:rsidRDefault="005746DF" w:rsidP="00A13DCA">
            <w:pPr>
              <w:pStyle w:val="TSBodyText"/>
              <w:spacing w:before="0" w:line="240" w:lineRule="atLeast"/>
              <w:rPr>
                <w:rFonts w:cs="Calibri"/>
                <w:sz w:val="16"/>
                <w:szCs w:val="16"/>
              </w:rPr>
            </w:pPr>
            <w:r>
              <w:rPr>
                <w:rFonts w:cs="Calibri"/>
                <w:sz w:val="16"/>
                <w:szCs w:val="16"/>
              </w:rPr>
              <w:t>Kirsch et al. 2019</w:t>
            </w:r>
          </w:p>
        </w:tc>
        <w:tc>
          <w:tcPr>
            <w:tcW w:w="311" w:type="pct"/>
          </w:tcPr>
          <w:p w14:paraId="431CC589" w14:textId="7A870588" w:rsidR="005746DF" w:rsidRDefault="005746DF" w:rsidP="00A13DCA">
            <w:pPr>
              <w:pStyle w:val="TSBodyText"/>
              <w:rPr>
                <w:rFonts w:cs="Calibri"/>
                <w:sz w:val="16"/>
                <w:szCs w:val="16"/>
              </w:rPr>
            </w:pPr>
            <w:r>
              <w:rPr>
                <w:rFonts w:cs="Calibri"/>
                <w:sz w:val="16"/>
                <w:szCs w:val="16"/>
              </w:rPr>
              <w:t>Not stated</w:t>
            </w:r>
          </w:p>
        </w:tc>
        <w:tc>
          <w:tcPr>
            <w:tcW w:w="362" w:type="pct"/>
          </w:tcPr>
          <w:p w14:paraId="41D2E892" w14:textId="28EC34DC" w:rsidR="005746DF" w:rsidRDefault="005746DF" w:rsidP="00A13DCA">
            <w:pPr>
              <w:pStyle w:val="TSBodyText"/>
              <w:rPr>
                <w:rFonts w:cs="Calibri"/>
                <w:sz w:val="16"/>
                <w:szCs w:val="16"/>
              </w:rPr>
            </w:pPr>
            <w:r>
              <w:rPr>
                <w:rFonts w:cs="Calibri"/>
                <w:sz w:val="16"/>
                <w:szCs w:val="16"/>
              </w:rPr>
              <w:t>Euros 2018</w:t>
            </w:r>
          </w:p>
        </w:tc>
        <w:tc>
          <w:tcPr>
            <w:tcW w:w="667" w:type="pct"/>
          </w:tcPr>
          <w:p w14:paraId="5330EDAC" w14:textId="424DDFA5" w:rsidR="005746DF" w:rsidRPr="00772F0B" w:rsidRDefault="005746DF" w:rsidP="00A13DCA">
            <w:pPr>
              <w:pStyle w:val="TSBodyText"/>
              <w:rPr>
                <w:rFonts w:cs="Calibri"/>
                <w:sz w:val="16"/>
                <w:szCs w:val="16"/>
              </w:rPr>
            </w:pPr>
            <w:r w:rsidRPr="00772F0B">
              <w:rPr>
                <w:rFonts w:cs="Calibri"/>
                <w:sz w:val="16"/>
                <w:szCs w:val="16"/>
              </w:rPr>
              <w:t xml:space="preserve">GOLD grade 1 to 4 costs PPPY were </w:t>
            </w:r>
            <w:r w:rsidR="007119A0" w:rsidRPr="00772F0B">
              <w:rPr>
                <w:rFonts w:cs="Calibri"/>
                <w:sz w:val="16"/>
                <w:szCs w:val="16"/>
              </w:rPr>
              <w:t>$8</w:t>
            </w:r>
            <w:r w:rsidR="00CF334D" w:rsidRPr="00772F0B">
              <w:rPr>
                <w:rFonts w:cs="Calibri"/>
                <w:sz w:val="16"/>
                <w:szCs w:val="16"/>
              </w:rPr>
              <w:t>,</w:t>
            </w:r>
            <w:r w:rsidR="007119A0" w:rsidRPr="00772F0B">
              <w:rPr>
                <w:rFonts w:cs="Calibri"/>
                <w:sz w:val="16"/>
                <w:szCs w:val="16"/>
              </w:rPr>
              <w:t>115</w:t>
            </w:r>
            <w:r w:rsidRPr="00772F0B">
              <w:rPr>
                <w:rFonts w:cs="Calibri"/>
                <w:sz w:val="16"/>
                <w:szCs w:val="16"/>
              </w:rPr>
              <w:t xml:space="preserve">, </w:t>
            </w:r>
            <w:r w:rsidR="004578A6">
              <w:rPr>
                <w:rFonts w:cs="Calibri"/>
                <w:sz w:val="16"/>
                <w:szCs w:val="16"/>
              </w:rPr>
              <w:t>$</w:t>
            </w:r>
            <w:r w:rsidR="00CF334D" w:rsidRPr="00772F0B">
              <w:rPr>
                <w:rFonts w:cs="Calibri"/>
                <w:sz w:val="16"/>
                <w:szCs w:val="16"/>
              </w:rPr>
              <w:t>9,127</w:t>
            </w:r>
            <w:r w:rsidRPr="00772F0B">
              <w:rPr>
                <w:rFonts w:cs="Calibri"/>
                <w:sz w:val="16"/>
                <w:szCs w:val="16"/>
              </w:rPr>
              <w:t xml:space="preserve">, </w:t>
            </w:r>
            <w:r w:rsidR="00753927">
              <w:rPr>
                <w:rFonts w:cs="Calibri"/>
                <w:sz w:val="16"/>
                <w:szCs w:val="16"/>
              </w:rPr>
              <w:t>$</w:t>
            </w:r>
            <w:r w:rsidR="00CF334D" w:rsidRPr="00772F0B">
              <w:rPr>
                <w:rFonts w:cs="Calibri"/>
                <w:sz w:val="16"/>
                <w:szCs w:val="16"/>
              </w:rPr>
              <w:t>11,820</w:t>
            </w:r>
            <w:r w:rsidRPr="00772F0B">
              <w:rPr>
                <w:rFonts w:cs="Calibri"/>
                <w:sz w:val="16"/>
                <w:szCs w:val="16"/>
              </w:rPr>
              <w:t xml:space="preserve">, and </w:t>
            </w:r>
            <w:r w:rsidR="00753927">
              <w:rPr>
                <w:rFonts w:cs="Calibri"/>
                <w:sz w:val="16"/>
                <w:szCs w:val="16"/>
              </w:rPr>
              <w:t>$</w:t>
            </w:r>
            <w:r w:rsidR="00493663" w:rsidRPr="00772F0B">
              <w:rPr>
                <w:rFonts w:cs="Calibri"/>
                <w:sz w:val="16"/>
                <w:szCs w:val="16"/>
              </w:rPr>
              <w:t>17,703</w:t>
            </w:r>
          </w:p>
        </w:tc>
        <w:tc>
          <w:tcPr>
            <w:tcW w:w="462" w:type="pct"/>
          </w:tcPr>
          <w:p w14:paraId="171AC803" w14:textId="70BAF862" w:rsidR="005746DF" w:rsidRPr="00772F0B" w:rsidRDefault="005746DF" w:rsidP="00A13DCA">
            <w:pPr>
              <w:pStyle w:val="TSBodyText"/>
              <w:rPr>
                <w:rFonts w:cs="Calibri"/>
                <w:sz w:val="16"/>
                <w:szCs w:val="16"/>
              </w:rPr>
            </w:pPr>
            <w:r w:rsidRPr="00772F0B">
              <w:rPr>
                <w:rFonts w:cs="Calibri"/>
                <w:sz w:val="16"/>
                <w:szCs w:val="16"/>
              </w:rPr>
              <w:t xml:space="preserve">GOLD grade 1 to 4 costs PPPY were </w:t>
            </w:r>
            <w:r w:rsidR="00416276" w:rsidRPr="00772F0B">
              <w:rPr>
                <w:rFonts w:cs="Calibri"/>
                <w:sz w:val="16"/>
                <w:szCs w:val="16"/>
              </w:rPr>
              <w:t>$</w:t>
            </w:r>
            <w:r w:rsidR="009C02F6" w:rsidRPr="00772F0B">
              <w:rPr>
                <w:rFonts w:cs="Calibri"/>
                <w:sz w:val="16"/>
                <w:szCs w:val="16"/>
              </w:rPr>
              <w:t>25,107</w:t>
            </w:r>
            <w:r w:rsidRPr="00772F0B">
              <w:rPr>
                <w:rFonts w:cs="Calibri"/>
                <w:sz w:val="16"/>
                <w:szCs w:val="16"/>
              </w:rPr>
              <w:t xml:space="preserve">, </w:t>
            </w:r>
            <w:r w:rsidR="00416276" w:rsidRPr="00772F0B">
              <w:rPr>
                <w:rFonts w:cs="Calibri"/>
                <w:sz w:val="16"/>
                <w:szCs w:val="16"/>
              </w:rPr>
              <w:t>$</w:t>
            </w:r>
            <w:r w:rsidR="009C02F6" w:rsidRPr="00772F0B">
              <w:rPr>
                <w:rFonts w:cs="Calibri"/>
                <w:sz w:val="16"/>
                <w:szCs w:val="16"/>
              </w:rPr>
              <w:t>27,666</w:t>
            </w:r>
            <w:r w:rsidRPr="00772F0B">
              <w:rPr>
                <w:rFonts w:cs="Calibri"/>
                <w:sz w:val="16"/>
                <w:szCs w:val="16"/>
              </w:rPr>
              <w:t xml:space="preserve">, </w:t>
            </w:r>
            <w:r w:rsidR="00416276" w:rsidRPr="00772F0B">
              <w:rPr>
                <w:rFonts w:cs="Calibri"/>
                <w:sz w:val="16"/>
                <w:szCs w:val="16"/>
              </w:rPr>
              <w:lastRenderedPageBreak/>
              <w:t>$33674</w:t>
            </w:r>
            <w:r w:rsidRPr="00772F0B">
              <w:rPr>
                <w:rFonts w:cs="Calibri"/>
                <w:sz w:val="16"/>
                <w:szCs w:val="16"/>
              </w:rPr>
              <w:t xml:space="preserve">, and </w:t>
            </w:r>
            <w:r w:rsidR="00416276" w:rsidRPr="00772F0B">
              <w:rPr>
                <w:rFonts w:cs="Calibri"/>
                <w:sz w:val="16"/>
                <w:szCs w:val="16"/>
              </w:rPr>
              <w:t>$</w:t>
            </w:r>
            <w:r w:rsidR="00772F0B" w:rsidRPr="00772F0B">
              <w:rPr>
                <w:rFonts w:cs="Calibri"/>
                <w:sz w:val="16"/>
                <w:szCs w:val="16"/>
              </w:rPr>
              <w:t>41,338</w:t>
            </w:r>
          </w:p>
        </w:tc>
        <w:tc>
          <w:tcPr>
            <w:tcW w:w="926" w:type="pct"/>
          </w:tcPr>
          <w:p w14:paraId="7977DD79" w14:textId="77777777" w:rsidR="005746DF" w:rsidRPr="004915F7" w:rsidRDefault="005746DF" w:rsidP="00A13DCA">
            <w:pPr>
              <w:pStyle w:val="TSBodyText"/>
              <w:rPr>
                <w:rFonts w:cs="Calibri"/>
                <w:sz w:val="16"/>
                <w:szCs w:val="16"/>
                <w:highlight w:val="yellow"/>
              </w:rPr>
            </w:pPr>
          </w:p>
        </w:tc>
        <w:tc>
          <w:tcPr>
            <w:tcW w:w="569" w:type="pct"/>
          </w:tcPr>
          <w:p w14:paraId="0678689E" w14:textId="021FE8A0" w:rsidR="005746DF" w:rsidRDefault="005746DF" w:rsidP="00A13DCA">
            <w:pPr>
              <w:pStyle w:val="TSBodyText"/>
              <w:rPr>
                <w:rFonts w:cs="Calibri"/>
                <w:sz w:val="16"/>
                <w:szCs w:val="16"/>
              </w:rPr>
            </w:pPr>
            <w:r>
              <w:rPr>
                <w:rFonts w:cs="Calibri"/>
                <w:sz w:val="16"/>
                <w:szCs w:val="16"/>
              </w:rPr>
              <w:t>Bottom-up gross costing</w:t>
            </w:r>
          </w:p>
        </w:tc>
        <w:tc>
          <w:tcPr>
            <w:tcW w:w="674" w:type="pct"/>
          </w:tcPr>
          <w:p w14:paraId="54521A0A" w14:textId="1D2BF155" w:rsidR="005746DF" w:rsidRDefault="005746DF" w:rsidP="00A13DCA">
            <w:pPr>
              <w:pStyle w:val="TSBodyText"/>
              <w:rPr>
                <w:rFonts w:cs="Calibri"/>
                <w:sz w:val="16"/>
                <w:szCs w:val="16"/>
              </w:rPr>
            </w:pPr>
            <w:r>
              <w:rPr>
                <w:rFonts w:cs="Calibri"/>
                <w:sz w:val="16"/>
                <w:szCs w:val="16"/>
              </w:rPr>
              <w:t>Societal</w:t>
            </w:r>
          </w:p>
        </w:tc>
      </w:tr>
      <w:tr w:rsidR="00B50AF9" w:rsidRPr="00731CA6" w14:paraId="23612BA6" w14:textId="77777777" w:rsidTr="00A46D00">
        <w:trPr>
          <w:cantSplit/>
        </w:trPr>
        <w:tc>
          <w:tcPr>
            <w:tcW w:w="616" w:type="pct"/>
          </w:tcPr>
          <w:p w14:paraId="567DA8F1" w14:textId="50D6E0AD" w:rsidR="00760D11" w:rsidRDefault="00760D11" w:rsidP="00A13DCA">
            <w:pPr>
              <w:pStyle w:val="TSBodyText"/>
              <w:spacing w:before="0" w:line="240" w:lineRule="atLeast"/>
              <w:rPr>
                <w:rFonts w:cs="Calibri"/>
                <w:sz w:val="16"/>
                <w:szCs w:val="16"/>
              </w:rPr>
            </w:pPr>
            <w:r>
              <w:rPr>
                <w:rFonts w:cs="Calibri"/>
                <w:sz w:val="16"/>
                <w:szCs w:val="16"/>
              </w:rPr>
              <w:t>Gout (Taiwan)</w:t>
            </w:r>
          </w:p>
        </w:tc>
        <w:tc>
          <w:tcPr>
            <w:tcW w:w="413" w:type="pct"/>
          </w:tcPr>
          <w:p w14:paraId="2DC70649" w14:textId="4CBCF536" w:rsidR="00760D11" w:rsidRPr="00760D11" w:rsidRDefault="00760D11" w:rsidP="00A13DCA">
            <w:pPr>
              <w:pStyle w:val="TSBodyText"/>
              <w:spacing w:before="0" w:line="240" w:lineRule="atLeast"/>
              <w:rPr>
                <w:rFonts w:cs="Calibri"/>
                <w:sz w:val="16"/>
                <w:szCs w:val="16"/>
              </w:rPr>
            </w:pPr>
            <w:r w:rsidRPr="00760D11">
              <w:rPr>
                <w:rFonts w:cs="Calibri"/>
                <w:sz w:val="16"/>
                <w:szCs w:val="16"/>
              </w:rPr>
              <w:t>Lee et al.</w:t>
            </w:r>
            <w:r w:rsidR="00751C55">
              <w:rPr>
                <w:rFonts w:cs="Calibri"/>
                <w:sz w:val="16"/>
                <w:szCs w:val="16"/>
              </w:rPr>
              <w:t xml:space="preserve"> </w:t>
            </w:r>
            <w:r w:rsidRPr="00760D11">
              <w:rPr>
                <w:rFonts w:cs="Calibri"/>
                <w:sz w:val="16"/>
                <w:szCs w:val="16"/>
              </w:rPr>
              <w:t>2018</w:t>
            </w:r>
          </w:p>
        </w:tc>
        <w:tc>
          <w:tcPr>
            <w:tcW w:w="311" w:type="pct"/>
          </w:tcPr>
          <w:p w14:paraId="4748E51A" w14:textId="798853A3" w:rsidR="00760D11" w:rsidRPr="00760D11" w:rsidRDefault="00760D11" w:rsidP="00A13DCA">
            <w:pPr>
              <w:pStyle w:val="TSBodyText"/>
              <w:rPr>
                <w:rFonts w:cs="Calibri"/>
                <w:sz w:val="16"/>
                <w:szCs w:val="16"/>
              </w:rPr>
            </w:pPr>
            <w:r w:rsidRPr="00760D11">
              <w:rPr>
                <w:rFonts w:cs="Calibri"/>
                <w:sz w:val="16"/>
                <w:szCs w:val="16"/>
              </w:rPr>
              <w:t>2008-2010</w:t>
            </w:r>
          </w:p>
        </w:tc>
        <w:tc>
          <w:tcPr>
            <w:tcW w:w="362" w:type="pct"/>
          </w:tcPr>
          <w:p w14:paraId="5289F454" w14:textId="7DFD7FE2" w:rsidR="00760D11" w:rsidRDefault="00760D11" w:rsidP="00A13DCA">
            <w:pPr>
              <w:pStyle w:val="TSBodyText"/>
              <w:rPr>
                <w:rFonts w:cs="Calibri"/>
                <w:sz w:val="16"/>
                <w:szCs w:val="16"/>
              </w:rPr>
            </w:pPr>
            <w:r>
              <w:rPr>
                <w:rFonts w:cs="Calibri"/>
                <w:sz w:val="16"/>
                <w:szCs w:val="16"/>
              </w:rPr>
              <w:t>USD 2011</w:t>
            </w:r>
          </w:p>
        </w:tc>
        <w:tc>
          <w:tcPr>
            <w:tcW w:w="667" w:type="pct"/>
          </w:tcPr>
          <w:p w14:paraId="116F2B36" w14:textId="0120020F" w:rsidR="00760D11" w:rsidRPr="00F5184A" w:rsidRDefault="00760D11" w:rsidP="00A13DCA">
            <w:pPr>
              <w:pStyle w:val="TSBodyText"/>
              <w:rPr>
                <w:rFonts w:cs="Calibri"/>
                <w:sz w:val="16"/>
                <w:szCs w:val="16"/>
              </w:rPr>
            </w:pPr>
            <w:r>
              <w:rPr>
                <w:rFonts w:cs="Calibri"/>
                <w:sz w:val="16"/>
                <w:szCs w:val="16"/>
              </w:rPr>
              <w:t>$2,637 average (mean) cost compared with $2,084 for matched controls</w:t>
            </w:r>
          </w:p>
        </w:tc>
        <w:tc>
          <w:tcPr>
            <w:tcW w:w="462" w:type="pct"/>
          </w:tcPr>
          <w:p w14:paraId="70D97149" w14:textId="77777777" w:rsidR="00760D11" w:rsidRDefault="00760D11" w:rsidP="00A13DCA">
            <w:pPr>
              <w:pStyle w:val="TSBodyText"/>
              <w:rPr>
                <w:rFonts w:cs="Calibri"/>
                <w:sz w:val="16"/>
                <w:szCs w:val="16"/>
              </w:rPr>
            </w:pPr>
          </w:p>
        </w:tc>
        <w:tc>
          <w:tcPr>
            <w:tcW w:w="926" w:type="pct"/>
          </w:tcPr>
          <w:p w14:paraId="60DBDFF9" w14:textId="77777777" w:rsidR="00760D11" w:rsidRPr="006269D4" w:rsidRDefault="00760D11" w:rsidP="00A13DCA">
            <w:pPr>
              <w:pStyle w:val="TSBodyText"/>
              <w:rPr>
                <w:rFonts w:cs="Calibri"/>
                <w:sz w:val="16"/>
                <w:szCs w:val="16"/>
              </w:rPr>
            </w:pPr>
          </w:p>
        </w:tc>
        <w:tc>
          <w:tcPr>
            <w:tcW w:w="569" w:type="pct"/>
          </w:tcPr>
          <w:p w14:paraId="6E2C475E" w14:textId="77777777" w:rsidR="00760D11" w:rsidRPr="006D79E0" w:rsidRDefault="00760D11" w:rsidP="00A13DCA">
            <w:pPr>
              <w:pStyle w:val="TSBodyText"/>
              <w:rPr>
                <w:rFonts w:cs="Calibri"/>
                <w:sz w:val="16"/>
                <w:szCs w:val="16"/>
              </w:rPr>
            </w:pPr>
          </w:p>
        </w:tc>
        <w:tc>
          <w:tcPr>
            <w:tcW w:w="674" w:type="pct"/>
          </w:tcPr>
          <w:p w14:paraId="33BAE147" w14:textId="43FB9DCA" w:rsidR="00760D11" w:rsidRDefault="00760D11" w:rsidP="00A13DCA">
            <w:pPr>
              <w:pStyle w:val="TSBodyText"/>
              <w:rPr>
                <w:rFonts w:cs="Calibri"/>
                <w:sz w:val="16"/>
                <w:szCs w:val="16"/>
              </w:rPr>
            </w:pPr>
            <w:r>
              <w:rPr>
                <w:rFonts w:cs="Calibri"/>
                <w:sz w:val="16"/>
                <w:szCs w:val="16"/>
              </w:rPr>
              <w:t>Public health system</w:t>
            </w:r>
          </w:p>
        </w:tc>
      </w:tr>
      <w:tr w:rsidR="00B50AF9" w:rsidRPr="00731CA6" w14:paraId="32D7AB1A"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68761013" w14:textId="78226408" w:rsidR="006E537B" w:rsidRDefault="006E537B" w:rsidP="00A13DCA">
            <w:pPr>
              <w:pStyle w:val="TSBodyText"/>
              <w:spacing w:before="0" w:line="240" w:lineRule="atLeast"/>
              <w:rPr>
                <w:rFonts w:cs="Calibri"/>
                <w:sz w:val="16"/>
                <w:szCs w:val="16"/>
              </w:rPr>
            </w:pPr>
            <w:r>
              <w:rPr>
                <w:rFonts w:cs="Calibri"/>
                <w:sz w:val="16"/>
                <w:szCs w:val="16"/>
              </w:rPr>
              <w:t>Gout (US)</w:t>
            </w:r>
          </w:p>
        </w:tc>
        <w:tc>
          <w:tcPr>
            <w:tcW w:w="413" w:type="pct"/>
          </w:tcPr>
          <w:p w14:paraId="14538CA3" w14:textId="4965FD4D" w:rsidR="006E537B" w:rsidRDefault="006E537B" w:rsidP="00A13DCA">
            <w:pPr>
              <w:pStyle w:val="TSBodyText"/>
              <w:spacing w:before="0" w:line="240" w:lineRule="atLeast"/>
              <w:rPr>
                <w:rFonts w:cs="Calibri"/>
                <w:sz w:val="16"/>
                <w:szCs w:val="16"/>
              </w:rPr>
            </w:pPr>
            <w:r>
              <w:rPr>
                <w:rFonts w:cs="Calibri"/>
                <w:sz w:val="16"/>
                <w:szCs w:val="16"/>
              </w:rPr>
              <w:t>Jackson et al. 2015</w:t>
            </w:r>
          </w:p>
        </w:tc>
        <w:tc>
          <w:tcPr>
            <w:tcW w:w="311" w:type="pct"/>
          </w:tcPr>
          <w:p w14:paraId="6446F39F" w14:textId="628DA9EA" w:rsidR="006E537B" w:rsidRDefault="006E537B" w:rsidP="00A13DCA">
            <w:pPr>
              <w:pStyle w:val="TSBodyText"/>
              <w:rPr>
                <w:rFonts w:cs="Calibri"/>
                <w:sz w:val="16"/>
                <w:szCs w:val="16"/>
              </w:rPr>
            </w:pPr>
            <w:r>
              <w:rPr>
                <w:rFonts w:cs="Calibri"/>
                <w:sz w:val="16"/>
                <w:szCs w:val="16"/>
              </w:rPr>
              <w:t>2009-2012</w:t>
            </w:r>
          </w:p>
        </w:tc>
        <w:tc>
          <w:tcPr>
            <w:tcW w:w="362" w:type="pct"/>
          </w:tcPr>
          <w:p w14:paraId="10FD13A0" w14:textId="652B2A90" w:rsidR="006E537B" w:rsidRDefault="006E537B" w:rsidP="00A13DCA">
            <w:pPr>
              <w:pStyle w:val="TSBodyText"/>
              <w:rPr>
                <w:rFonts w:cs="Calibri"/>
                <w:sz w:val="16"/>
                <w:szCs w:val="16"/>
              </w:rPr>
            </w:pPr>
            <w:r>
              <w:rPr>
                <w:rFonts w:cs="Calibri"/>
                <w:sz w:val="16"/>
                <w:szCs w:val="16"/>
              </w:rPr>
              <w:t>USD 2011</w:t>
            </w:r>
          </w:p>
        </w:tc>
        <w:tc>
          <w:tcPr>
            <w:tcW w:w="667" w:type="pct"/>
          </w:tcPr>
          <w:p w14:paraId="57E69413" w14:textId="720FDF6F" w:rsidR="006E537B" w:rsidRDefault="00F5184A" w:rsidP="00A13DCA">
            <w:pPr>
              <w:pStyle w:val="TSBodyText"/>
              <w:rPr>
                <w:rFonts w:cs="Calibri"/>
                <w:sz w:val="16"/>
                <w:szCs w:val="16"/>
              </w:rPr>
            </w:pPr>
            <w:r w:rsidRPr="00F5184A">
              <w:rPr>
                <w:rFonts w:cs="Calibri"/>
                <w:sz w:val="16"/>
                <w:szCs w:val="16"/>
              </w:rPr>
              <w:t xml:space="preserve">$2,806 to $7,031 </w:t>
            </w:r>
            <w:r w:rsidR="006E537B">
              <w:rPr>
                <w:rFonts w:cs="Calibri"/>
                <w:sz w:val="16"/>
                <w:szCs w:val="16"/>
              </w:rPr>
              <w:t>PPPY depending on flare frequency</w:t>
            </w:r>
          </w:p>
        </w:tc>
        <w:tc>
          <w:tcPr>
            <w:tcW w:w="462" w:type="pct"/>
          </w:tcPr>
          <w:p w14:paraId="43CB8A86" w14:textId="77777777" w:rsidR="006E537B" w:rsidRDefault="006E537B" w:rsidP="00A13DCA">
            <w:pPr>
              <w:pStyle w:val="TSBodyText"/>
              <w:rPr>
                <w:rFonts w:cs="Calibri"/>
                <w:sz w:val="16"/>
                <w:szCs w:val="16"/>
              </w:rPr>
            </w:pPr>
          </w:p>
        </w:tc>
        <w:tc>
          <w:tcPr>
            <w:tcW w:w="926" w:type="pct"/>
          </w:tcPr>
          <w:p w14:paraId="728E068D" w14:textId="77777777" w:rsidR="006E537B" w:rsidRPr="006269D4" w:rsidRDefault="006E537B" w:rsidP="00A13DCA">
            <w:pPr>
              <w:pStyle w:val="TSBodyText"/>
              <w:rPr>
                <w:rFonts w:cs="Calibri"/>
                <w:sz w:val="16"/>
                <w:szCs w:val="16"/>
              </w:rPr>
            </w:pPr>
          </w:p>
        </w:tc>
        <w:tc>
          <w:tcPr>
            <w:tcW w:w="569" w:type="pct"/>
          </w:tcPr>
          <w:p w14:paraId="36D12EA6" w14:textId="77777777" w:rsidR="006E537B" w:rsidRPr="006D79E0" w:rsidRDefault="006E537B" w:rsidP="00A13DCA">
            <w:pPr>
              <w:pStyle w:val="TSBodyText"/>
              <w:rPr>
                <w:rFonts w:cs="Calibri"/>
                <w:sz w:val="16"/>
                <w:szCs w:val="16"/>
              </w:rPr>
            </w:pPr>
            <w:r w:rsidRPr="006D79E0">
              <w:rPr>
                <w:rFonts w:cs="Calibri"/>
                <w:sz w:val="16"/>
                <w:szCs w:val="16"/>
              </w:rPr>
              <w:t>Retrospective cohort analysis</w:t>
            </w:r>
          </w:p>
          <w:p w14:paraId="4D9E4130" w14:textId="43EB54AC" w:rsidR="006E537B" w:rsidRDefault="006E537B" w:rsidP="00A13DCA">
            <w:pPr>
              <w:pStyle w:val="TSBodyText"/>
              <w:rPr>
                <w:rFonts w:cs="Calibri"/>
                <w:sz w:val="16"/>
                <w:szCs w:val="16"/>
              </w:rPr>
            </w:pPr>
            <w:r w:rsidRPr="006D79E0">
              <w:rPr>
                <w:rFonts w:cs="Calibri"/>
                <w:sz w:val="16"/>
                <w:szCs w:val="16"/>
              </w:rPr>
              <w:t>Bottom</w:t>
            </w:r>
            <w:r w:rsidR="00FB436F">
              <w:rPr>
                <w:rFonts w:cs="Calibri"/>
                <w:sz w:val="16"/>
                <w:szCs w:val="16"/>
              </w:rPr>
              <w:t>-</w:t>
            </w:r>
            <w:r w:rsidRPr="006D79E0">
              <w:rPr>
                <w:rFonts w:cs="Calibri"/>
                <w:sz w:val="16"/>
                <w:szCs w:val="16"/>
              </w:rPr>
              <w:t>up gross costing</w:t>
            </w:r>
          </w:p>
        </w:tc>
        <w:tc>
          <w:tcPr>
            <w:tcW w:w="674" w:type="pct"/>
          </w:tcPr>
          <w:p w14:paraId="4B37B2EA" w14:textId="2641E2D1" w:rsidR="006E537B" w:rsidRDefault="006E537B" w:rsidP="00A13DCA">
            <w:pPr>
              <w:pStyle w:val="TSBodyText"/>
              <w:rPr>
                <w:rFonts w:cs="Calibri"/>
                <w:sz w:val="16"/>
                <w:szCs w:val="16"/>
              </w:rPr>
            </w:pPr>
            <w:r>
              <w:rPr>
                <w:rFonts w:cs="Calibri"/>
                <w:sz w:val="16"/>
                <w:szCs w:val="16"/>
              </w:rPr>
              <w:t>Health plan</w:t>
            </w:r>
          </w:p>
        </w:tc>
      </w:tr>
      <w:tr w:rsidR="00B50AF9" w:rsidRPr="00731CA6" w14:paraId="3F086AF1" w14:textId="77777777" w:rsidTr="00A46D00">
        <w:trPr>
          <w:cantSplit/>
        </w:trPr>
        <w:tc>
          <w:tcPr>
            <w:tcW w:w="616" w:type="pct"/>
          </w:tcPr>
          <w:p w14:paraId="3F7786A4" w14:textId="011D2ADD" w:rsidR="009F1038" w:rsidRDefault="009F1038" w:rsidP="00A13DCA">
            <w:pPr>
              <w:pStyle w:val="TSBodyText"/>
              <w:spacing w:before="0" w:line="240" w:lineRule="atLeast"/>
              <w:rPr>
                <w:rFonts w:cs="Calibri"/>
                <w:sz w:val="16"/>
                <w:szCs w:val="16"/>
              </w:rPr>
            </w:pPr>
            <w:r>
              <w:rPr>
                <w:rFonts w:cs="Calibri"/>
                <w:sz w:val="16"/>
                <w:szCs w:val="16"/>
              </w:rPr>
              <w:t>Gout (Netherlands)</w:t>
            </w:r>
          </w:p>
        </w:tc>
        <w:tc>
          <w:tcPr>
            <w:tcW w:w="413" w:type="pct"/>
          </w:tcPr>
          <w:p w14:paraId="67751A97" w14:textId="3A00BD2B" w:rsidR="009F1038" w:rsidRDefault="009F1038" w:rsidP="00A13DCA">
            <w:pPr>
              <w:pStyle w:val="TSBodyText"/>
              <w:spacing w:before="0" w:line="240" w:lineRule="atLeast"/>
              <w:rPr>
                <w:rFonts w:cs="Calibri"/>
                <w:sz w:val="16"/>
                <w:szCs w:val="16"/>
              </w:rPr>
            </w:pPr>
            <w:r>
              <w:rPr>
                <w:rFonts w:cs="Calibri"/>
                <w:sz w:val="16"/>
                <w:szCs w:val="16"/>
              </w:rPr>
              <w:t>Spaetgens et al. 2015</w:t>
            </w:r>
          </w:p>
        </w:tc>
        <w:tc>
          <w:tcPr>
            <w:tcW w:w="311" w:type="pct"/>
          </w:tcPr>
          <w:p w14:paraId="128A0AF8" w14:textId="6BD1B175" w:rsidR="009F1038" w:rsidRDefault="009F1038" w:rsidP="00A13DCA">
            <w:pPr>
              <w:pStyle w:val="TSBodyText"/>
              <w:rPr>
                <w:rFonts w:cs="Calibri"/>
                <w:sz w:val="16"/>
                <w:szCs w:val="16"/>
              </w:rPr>
            </w:pPr>
            <w:r>
              <w:rPr>
                <w:rFonts w:cs="Calibri"/>
                <w:sz w:val="16"/>
                <w:szCs w:val="16"/>
              </w:rPr>
              <w:t>2011-2012</w:t>
            </w:r>
          </w:p>
        </w:tc>
        <w:tc>
          <w:tcPr>
            <w:tcW w:w="362" w:type="pct"/>
          </w:tcPr>
          <w:p w14:paraId="54D38616" w14:textId="58BC7357" w:rsidR="009F1038" w:rsidRDefault="009F1038" w:rsidP="00A13DCA">
            <w:pPr>
              <w:pStyle w:val="TSBodyText"/>
              <w:rPr>
                <w:rFonts w:cs="Calibri"/>
                <w:sz w:val="16"/>
                <w:szCs w:val="16"/>
              </w:rPr>
            </w:pPr>
            <w:r>
              <w:rPr>
                <w:rFonts w:cs="Calibri"/>
                <w:sz w:val="16"/>
                <w:szCs w:val="16"/>
              </w:rPr>
              <w:t>Euro 2014</w:t>
            </w:r>
          </w:p>
        </w:tc>
        <w:tc>
          <w:tcPr>
            <w:tcW w:w="667" w:type="pct"/>
          </w:tcPr>
          <w:p w14:paraId="51CBEA75" w14:textId="20555D09" w:rsidR="009F1038" w:rsidRDefault="009F1038" w:rsidP="00A13DCA">
            <w:pPr>
              <w:pStyle w:val="TSBodyText"/>
              <w:rPr>
                <w:rFonts w:cs="Calibri"/>
                <w:sz w:val="16"/>
                <w:szCs w:val="16"/>
              </w:rPr>
            </w:pPr>
            <w:r w:rsidRPr="00CF3D6B">
              <w:rPr>
                <w:rFonts w:cs="Calibri"/>
                <w:sz w:val="16"/>
                <w:szCs w:val="16"/>
              </w:rPr>
              <w:t xml:space="preserve">$4,591 </w:t>
            </w:r>
            <w:r>
              <w:rPr>
                <w:rFonts w:cs="Calibri"/>
                <w:sz w:val="16"/>
                <w:szCs w:val="16"/>
              </w:rPr>
              <w:t xml:space="preserve">PPPY </w:t>
            </w:r>
          </w:p>
        </w:tc>
        <w:tc>
          <w:tcPr>
            <w:tcW w:w="462" w:type="pct"/>
          </w:tcPr>
          <w:p w14:paraId="110DFB35" w14:textId="77777777" w:rsidR="009F1038" w:rsidRDefault="009F1038" w:rsidP="00A13DCA">
            <w:pPr>
              <w:pStyle w:val="TSBodyText"/>
              <w:rPr>
                <w:rFonts w:cs="Calibri"/>
                <w:sz w:val="16"/>
                <w:szCs w:val="16"/>
              </w:rPr>
            </w:pPr>
            <w:r>
              <w:rPr>
                <w:rFonts w:cs="Calibri"/>
                <w:sz w:val="16"/>
                <w:szCs w:val="16"/>
              </w:rPr>
              <w:t>$9,752 PPPY</w:t>
            </w:r>
          </w:p>
          <w:p w14:paraId="16EE7CFF" w14:textId="0CC1E652" w:rsidR="009F1038" w:rsidRDefault="009F1038" w:rsidP="00A13DCA">
            <w:pPr>
              <w:pStyle w:val="TSBodyText"/>
              <w:rPr>
                <w:rFonts w:cs="Calibri"/>
                <w:sz w:val="16"/>
                <w:szCs w:val="16"/>
              </w:rPr>
            </w:pPr>
          </w:p>
        </w:tc>
        <w:tc>
          <w:tcPr>
            <w:tcW w:w="926" w:type="pct"/>
          </w:tcPr>
          <w:p w14:paraId="606ACA10" w14:textId="77777777" w:rsidR="009F1038" w:rsidRDefault="009F1038" w:rsidP="00A13DCA">
            <w:pPr>
              <w:pStyle w:val="TSBodyText"/>
              <w:rPr>
                <w:rFonts w:cs="Calibri"/>
                <w:sz w:val="16"/>
                <w:szCs w:val="16"/>
              </w:rPr>
            </w:pPr>
            <w:r>
              <w:rPr>
                <w:rFonts w:cs="Calibri"/>
                <w:sz w:val="16"/>
                <w:szCs w:val="16"/>
              </w:rPr>
              <w:t>$20</w:t>
            </w:r>
            <w:r w:rsidRPr="00277179">
              <w:rPr>
                <w:rFonts w:cs="Calibri"/>
                <w:sz w:val="16"/>
                <w:szCs w:val="16"/>
              </w:rPr>
              <w:t>,</w:t>
            </w:r>
            <w:r>
              <w:rPr>
                <w:rFonts w:cs="Calibri"/>
                <w:sz w:val="16"/>
                <w:szCs w:val="16"/>
              </w:rPr>
              <w:t>2</w:t>
            </w:r>
            <w:r w:rsidRPr="00277179">
              <w:rPr>
                <w:rFonts w:cs="Calibri"/>
                <w:sz w:val="16"/>
                <w:szCs w:val="16"/>
              </w:rPr>
              <w:t>4</w:t>
            </w:r>
            <w:r>
              <w:rPr>
                <w:rFonts w:cs="Calibri"/>
                <w:sz w:val="16"/>
                <w:szCs w:val="16"/>
              </w:rPr>
              <w:t>7</w:t>
            </w:r>
            <w:r w:rsidRPr="00277179">
              <w:rPr>
                <w:rFonts w:cs="Calibri"/>
                <w:sz w:val="16"/>
                <w:szCs w:val="16"/>
              </w:rPr>
              <w:t xml:space="preserve"> PPPY</w:t>
            </w:r>
          </w:p>
          <w:p w14:paraId="563E0B17" w14:textId="7BD6AF49" w:rsidR="009F1038" w:rsidRPr="006269D4" w:rsidRDefault="009F1038" w:rsidP="00A13DCA">
            <w:pPr>
              <w:pStyle w:val="TSBodyText"/>
              <w:rPr>
                <w:rFonts w:cs="Calibri"/>
                <w:sz w:val="16"/>
                <w:szCs w:val="16"/>
              </w:rPr>
            </w:pPr>
            <w:r>
              <w:rPr>
                <w:rFonts w:cs="Calibri"/>
                <w:sz w:val="16"/>
                <w:szCs w:val="16"/>
              </w:rPr>
              <w:t>(incl. home help and informal care)</w:t>
            </w:r>
          </w:p>
        </w:tc>
        <w:tc>
          <w:tcPr>
            <w:tcW w:w="569" w:type="pct"/>
          </w:tcPr>
          <w:p w14:paraId="253C63FF" w14:textId="4DA57679" w:rsidR="009F1038" w:rsidRPr="006D79E0" w:rsidRDefault="009F1038" w:rsidP="00A13DCA">
            <w:pPr>
              <w:pStyle w:val="TSBodyText"/>
              <w:rPr>
                <w:rFonts w:cs="Calibri"/>
                <w:sz w:val="16"/>
                <w:szCs w:val="16"/>
              </w:rPr>
            </w:pPr>
            <w:r>
              <w:rPr>
                <w:rFonts w:cs="Calibri"/>
                <w:sz w:val="16"/>
                <w:szCs w:val="16"/>
              </w:rPr>
              <w:t>Bottom-up micro-costing</w:t>
            </w:r>
          </w:p>
        </w:tc>
        <w:tc>
          <w:tcPr>
            <w:tcW w:w="674" w:type="pct"/>
          </w:tcPr>
          <w:p w14:paraId="18D50408" w14:textId="42340CB9" w:rsidR="009F1038" w:rsidRDefault="009F1038" w:rsidP="00A13DCA">
            <w:pPr>
              <w:pStyle w:val="TSBodyText"/>
              <w:rPr>
                <w:rFonts w:cs="Calibri"/>
                <w:sz w:val="16"/>
                <w:szCs w:val="16"/>
              </w:rPr>
            </w:pPr>
            <w:r>
              <w:rPr>
                <w:rFonts w:cs="Calibri"/>
                <w:sz w:val="16"/>
                <w:szCs w:val="16"/>
              </w:rPr>
              <w:t>Societal</w:t>
            </w:r>
          </w:p>
        </w:tc>
      </w:tr>
      <w:tr w:rsidR="00B50AF9" w:rsidRPr="00731CA6" w14:paraId="58B95EB7"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5CD03C39" w14:textId="60823137" w:rsidR="007257F7" w:rsidRDefault="007257F7" w:rsidP="00A13DCA">
            <w:pPr>
              <w:pStyle w:val="TSBodyText"/>
              <w:spacing w:before="0" w:line="240" w:lineRule="atLeast"/>
              <w:rPr>
                <w:rFonts w:cs="Calibri"/>
                <w:sz w:val="16"/>
                <w:szCs w:val="16"/>
              </w:rPr>
            </w:pPr>
            <w:r>
              <w:rPr>
                <w:rFonts w:cs="Calibri"/>
                <w:sz w:val="16"/>
                <w:szCs w:val="16"/>
              </w:rPr>
              <w:t>HIV/AIDS</w:t>
            </w:r>
          </w:p>
        </w:tc>
        <w:tc>
          <w:tcPr>
            <w:tcW w:w="413" w:type="pct"/>
          </w:tcPr>
          <w:p w14:paraId="3BA33CAF" w14:textId="6DCEA1DA" w:rsidR="007257F7" w:rsidRDefault="007257F7" w:rsidP="00A13DCA">
            <w:pPr>
              <w:pStyle w:val="TSBodyText"/>
              <w:spacing w:before="0" w:line="240" w:lineRule="atLeast"/>
              <w:rPr>
                <w:rFonts w:cs="Calibri"/>
                <w:sz w:val="16"/>
                <w:szCs w:val="16"/>
              </w:rPr>
            </w:pPr>
            <w:r>
              <w:rPr>
                <w:rFonts w:cs="Calibri"/>
                <w:sz w:val="16"/>
                <w:szCs w:val="16"/>
              </w:rPr>
              <w:t>Krentz, Vu and Gill, 2019</w:t>
            </w:r>
          </w:p>
        </w:tc>
        <w:tc>
          <w:tcPr>
            <w:tcW w:w="311" w:type="pct"/>
          </w:tcPr>
          <w:p w14:paraId="005BE796" w14:textId="07D5F56D" w:rsidR="007257F7" w:rsidRDefault="007257F7" w:rsidP="00A13DCA">
            <w:pPr>
              <w:pStyle w:val="TSBodyText"/>
              <w:rPr>
                <w:rFonts w:cs="Calibri"/>
                <w:sz w:val="16"/>
                <w:szCs w:val="16"/>
              </w:rPr>
            </w:pPr>
            <w:r>
              <w:rPr>
                <w:rFonts w:cs="Calibri"/>
                <w:sz w:val="16"/>
                <w:szCs w:val="16"/>
              </w:rPr>
              <w:t>2006-2017</w:t>
            </w:r>
          </w:p>
        </w:tc>
        <w:tc>
          <w:tcPr>
            <w:tcW w:w="362" w:type="pct"/>
          </w:tcPr>
          <w:p w14:paraId="60D00915" w14:textId="73562E91" w:rsidR="007257F7" w:rsidRDefault="007257F7" w:rsidP="00A13DCA">
            <w:pPr>
              <w:pStyle w:val="TSBodyText"/>
              <w:rPr>
                <w:rFonts w:cs="Calibri"/>
                <w:sz w:val="16"/>
                <w:szCs w:val="16"/>
              </w:rPr>
            </w:pPr>
            <w:r>
              <w:rPr>
                <w:rFonts w:cs="Calibri"/>
                <w:sz w:val="16"/>
                <w:szCs w:val="16"/>
              </w:rPr>
              <w:t>Cdn2014</w:t>
            </w:r>
          </w:p>
        </w:tc>
        <w:tc>
          <w:tcPr>
            <w:tcW w:w="667" w:type="pct"/>
          </w:tcPr>
          <w:p w14:paraId="27F94F30" w14:textId="58B1EC16" w:rsidR="007257F7" w:rsidRDefault="001A3CC1" w:rsidP="00A13DCA">
            <w:pPr>
              <w:pStyle w:val="TSBodyText"/>
              <w:rPr>
                <w:rFonts w:cs="Calibri"/>
                <w:sz w:val="16"/>
                <w:szCs w:val="16"/>
              </w:rPr>
            </w:pPr>
            <w:r w:rsidRPr="001A3CC1">
              <w:rPr>
                <w:rFonts w:cs="Calibri"/>
                <w:sz w:val="16"/>
                <w:szCs w:val="16"/>
              </w:rPr>
              <w:t>$</w:t>
            </w:r>
            <w:r w:rsidR="00FC0362">
              <w:rPr>
                <w:rFonts w:cs="Calibri"/>
                <w:sz w:val="16"/>
                <w:szCs w:val="16"/>
              </w:rPr>
              <w:t>2,488</w:t>
            </w:r>
            <w:r w:rsidRPr="001A3CC1">
              <w:rPr>
                <w:rFonts w:cs="Calibri"/>
                <w:sz w:val="16"/>
                <w:szCs w:val="16"/>
              </w:rPr>
              <w:t xml:space="preserve"> PPPM (2017)</w:t>
            </w:r>
          </w:p>
        </w:tc>
        <w:tc>
          <w:tcPr>
            <w:tcW w:w="462" w:type="pct"/>
          </w:tcPr>
          <w:p w14:paraId="225F9D29" w14:textId="77777777" w:rsidR="007257F7" w:rsidRDefault="007257F7" w:rsidP="00A13DCA">
            <w:pPr>
              <w:pStyle w:val="TSBodyText"/>
              <w:rPr>
                <w:rFonts w:cs="Calibri"/>
                <w:sz w:val="16"/>
                <w:szCs w:val="16"/>
              </w:rPr>
            </w:pPr>
          </w:p>
        </w:tc>
        <w:tc>
          <w:tcPr>
            <w:tcW w:w="926" w:type="pct"/>
          </w:tcPr>
          <w:p w14:paraId="491CF4A0" w14:textId="3A0C7ADC" w:rsidR="007257F7" w:rsidRPr="005C1F2E" w:rsidRDefault="007257F7" w:rsidP="00A13DCA">
            <w:pPr>
              <w:pStyle w:val="TSBodyText"/>
              <w:rPr>
                <w:rFonts w:cs="Calibri"/>
                <w:sz w:val="16"/>
                <w:szCs w:val="16"/>
              </w:rPr>
            </w:pPr>
          </w:p>
        </w:tc>
        <w:tc>
          <w:tcPr>
            <w:tcW w:w="569" w:type="pct"/>
          </w:tcPr>
          <w:p w14:paraId="76E189F2" w14:textId="77777777" w:rsidR="007257F7" w:rsidRDefault="007257F7" w:rsidP="00A13DCA">
            <w:pPr>
              <w:pStyle w:val="TSBodyText"/>
              <w:rPr>
                <w:rFonts w:cs="Calibri"/>
                <w:sz w:val="16"/>
                <w:szCs w:val="16"/>
              </w:rPr>
            </w:pPr>
          </w:p>
        </w:tc>
        <w:tc>
          <w:tcPr>
            <w:tcW w:w="674" w:type="pct"/>
          </w:tcPr>
          <w:p w14:paraId="4575F15D" w14:textId="656E2B0A" w:rsidR="007257F7" w:rsidRDefault="007257F7" w:rsidP="00A13DCA">
            <w:pPr>
              <w:pStyle w:val="TSBodyText"/>
              <w:rPr>
                <w:rFonts w:cs="Calibri"/>
                <w:sz w:val="16"/>
                <w:szCs w:val="16"/>
              </w:rPr>
            </w:pPr>
            <w:r>
              <w:rPr>
                <w:rFonts w:cs="Calibri"/>
                <w:sz w:val="16"/>
                <w:szCs w:val="16"/>
              </w:rPr>
              <w:t>Health system</w:t>
            </w:r>
          </w:p>
        </w:tc>
      </w:tr>
      <w:tr w:rsidR="00B50AF9" w:rsidRPr="00731CA6" w14:paraId="3C817529" w14:textId="77777777" w:rsidTr="00A46D00">
        <w:trPr>
          <w:cantSplit/>
        </w:trPr>
        <w:tc>
          <w:tcPr>
            <w:tcW w:w="616" w:type="pct"/>
          </w:tcPr>
          <w:p w14:paraId="45572C6B" w14:textId="10DA9A49" w:rsidR="007257F7" w:rsidRDefault="007257F7" w:rsidP="00A13DCA">
            <w:pPr>
              <w:pStyle w:val="TSBodyText"/>
              <w:spacing w:before="0" w:line="240" w:lineRule="atLeast"/>
              <w:rPr>
                <w:rFonts w:cs="Calibri"/>
                <w:sz w:val="16"/>
                <w:szCs w:val="16"/>
              </w:rPr>
            </w:pPr>
            <w:r>
              <w:rPr>
                <w:rFonts w:cs="Calibri"/>
                <w:sz w:val="16"/>
                <w:szCs w:val="16"/>
              </w:rPr>
              <w:t>Osteo-porosis (Italy)</w:t>
            </w:r>
          </w:p>
        </w:tc>
        <w:tc>
          <w:tcPr>
            <w:tcW w:w="413" w:type="pct"/>
          </w:tcPr>
          <w:p w14:paraId="3C4FE30E" w14:textId="0D54DE15" w:rsidR="007257F7" w:rsidRDefault="007257F7" w:rsidP="00A13DCA">
            <w:pPr>
              <w:pStyle w:val="TSBodyText"/>
              <w:spacing w:before="0" w:line="240" w:lineRule="atLeast"/>
              <w:rPr>
                <w:rFonts w:cs="Calibri"/>
                <w:sz w:val="16"/>
                <w:szCs w:val="16"/>
              </w:rPr>
            </w:pPr>
            <w:r>
              <w:rPr>
                <w:rFonts w:cs="Calibri"/>
                <w:sz w:val="16"/>
                <w:szCs w:val="16"/>
              </w:rPr>
              <w:t>Marcellusi et al. 2020</w:t>
            </w:r>
          </w:p>
        </w:tc>
        <w:tc>
          <w:tcPr>
            <w:tcW w:w="311" w:type="pct"/>
          </w:tcPr>
          <w:p w14:paraId="5FC67649" w14:textId="3AB55F50" w:rsidR="007257F7" w:rsidRDefault="007257F7" w:rsidP="00A13DCA">
            <w:pPr>
              <w:pStyle w:val="TSBodyText"/>
              <w:rPr>
                <w:rFonts w:cs="Calibri"/>
                <w:sz w:val="16"/>
                <w:szCs w:val="16"/>
              </w:rPr>
            </w:pPr>
            <w:r>
              <w:rPr>
                <w:rFonts w:cs="Calibri"/>
                <w:sz w:val="16"/>
                <w:szCs w:val="16"/>
              </w:rPr>
              <w:t>2017</w:t>
            </w:r>
          </w:p>
        </w:tc>
        <w:tc>
          <w:tcPr>
            <w:tcW w:w="362" w:type="pct"/>
          </w:tcPr>
          <w:p w14:paraId="5BB4C56E" w14:textId="617C32D6" w:rsidR="007257F7" w:rsidRDefault="007257F7" w:rsidP="00A13DCA">
            <w:pPr>
              <w:pStyle w:val="TSBodyText"/>
              <w:rPr>
                <w:rFonts w:cs="Calibri"/>
                <w:sz w:val="16"/>
                <w:szCs w:val="16"/>
              </w:rPr>
            </w:pPr>
            <w:r w:rsidRPr="00101AD5">
              <w:rPr>
                <w:rFonts w:cs="Calibri"/>
                <w:sz w:val="16"/>
                <w:szCs w:val="16"/>
              </w:rPr>
              <w:t xml:space="preserve">Euro </w:t>
            </w:r>
            <w:r>
              <w:rPr>
                <w:rFonts w:cs="Calibri"/>
                <w:sz w:val="16"/>
                <w:szCs w:val="16"/>
              </w:rPr>
              <w:t>2017</w:t>
            </w:r>
          </w:p>
        </w:tc>
        <w:tc>
          <w:tcPr>
            <w:tcW w:w="667" w:type="pct"/>
          </w:tcPr>
          <w:p w14:paraId="4106F0EA" w14:textId="46116FCD" w:rsidR="007257F7" w:rsidRDefault="004C2C83" w:rsidP="00A13DCA">
            <w:pPr>
              <w:pStyle w:val="TSBodyText"/>
              <w:rPr>
                <w:rFonts w:cs="Calibri"/>
                <w:sz w:val="16"/>
                <w:szCs w:val="16"/>
              </w:rPr>
            </w:pPr>
            <w:r w:rsidRPr="004C2C83">
              <w:rPr>
                <w:rFonts w:cs="Calibri"/>
                <w:sz w:val="16"/>
                <w:szCs w:val="16"/>
              </w:rPr>
              <w:t>$3.1 billion inpatient costs per annum (80% of total fiscal costs)</w:t>
            </w:r>
          </w:p>
        </w:tc>
        <w:tc>
          <w:tcPr>
            <w:tcW w:w="462" w:type="pct"/>
          </w:tcPr>
          <w:p w14:paraId="425526B0" w14:textId="77777777" w:rsidR="007257F7" w:rsidRDefault="007257F7" w:rsidP="00A13DCA">
            <w:pPr>
              <w:pStyle w:val="TSBodyText"/>
              <w:rPr>
                <w:rFonts w:cs="Calibri"/>
                <w:sz w:val="16"/>
                <w:szCs w:val="16"/>
              </w:rPr>
            </w:pPr>
          </w:p>
        </w:tc>
        <w:tc>
          <w:tcPr>
            <w:tcW w:w="926" w:type="pct"/>
          </w:tcPr>
          <w:p w14:paraId="57B9F412" w14:textId="1E2442B2" w:rsidR="007257F7" w:rsidRPr="005C1F2E" w:rsidRDefault="00A17814" w:rsidP="00A13DCA">
            <w:pPr>
              <w:pStyle w:val="TSBodyText"/>
              <w:rPr>
                <w:rFonts w:cs="Calibri"/>
                <w:sz w:val="16"/>
                <w:szCs w:val="16"/>
              </w:rPr>
            </w:pPr>
            <w:r w:rsidRPr="00A17814">
              <w:rPr>
                <w:rFonts w:cs="Calibri"/>
                <w:sz w:val="16"/>
                <w:szCs w:val="16"/>
              </w:rPr>
              <w:t>$3.8 billion per annum (including health system and social security)</w:t>
            </w:r>
          </w:p>
        </w:tc>
        <w:tc>
          <w:tcPr>
            <w:tcW w:w="569" w:type="pct"/>
          </w:tcPr>
          <w:p w14:paraId="595B9CD9" w14:textId="500D9624" w:rsidR="007257F7" w:rsidRDefault="007257F7" w:rsidP="00A13DCA">
            <w:pPr>
              <w:pStyle w:val="TSBodyText"/>
              <w:rPr>
                <w:rFonts w:cs="Calibri"/>
                <w:sz w:val="16"/>
                <w:szCs w:val="16"/>
              </w:rPr>
            </w:pPr>
            <w:r>
              <w:rPr>
                <w:rFonts w:cs="Calibri"/>
                <w:sz w:val="16"/>
                <w:szCs w:val="16"/>
              </w:rPr>
              <w:t>Prevalence-based</w:t>
            </w:r>
          </w:p>
          <w:p w14:paraId="13D530FB" w14:textId="08950E8B" w:rsidR="007257F7" w:rsidRDefault="007257F7" w:rsidP="00A13DCA">
            <w:pPr>
              <w:pStyle w:val="TSBodyText"/>
              <w:rPr>
                <w:rFonts w:cs="Calibri"/>
                <w:sz w:val="16"/>
                <w:szCs w:val="16"/>
              </w:rPr>
            </w:pPr>
            <w:r>
              <w:rPr>
                <w:rFonts w:cs="Calibri"/>
                <w:sz w:val="16"/>
                <w:szCs w:val="16"/>
              </w:rPr>
              <w:t>Bottom-up gross costing</w:t>
            </w:r>
          </w:p>
        </w:tc>
        <w:tc>
          <w:tcPr>
            <w:tcW w:w="674" w:type="pct"/>
          </w:tcPr>
          <w:p w14:paraId="74C4C9DF" w14:textId="5F5A7BB2" w:rsidR="007257F7" w:rsidRDefault="007257F7" w:rsidP="00A13DCA">
            <w:pPr>
              <w:pStyle w:val="TSBodyText"/>
              <w:rPr>
                <w:rFonts w:cs="Calibri"/>
                <w:sz w:val="16"/>
                <w:szCs w:val="16"/>
              </w:rPr>
            </w:pPr>
            <w:r>
              <w:rPr>
                <w:rFonts w:cs="Calibri"/>
                <w:sz w:val="16"/>
                <w:szCs w:val="16"/>
              </w:rPr>
              <w:t>Health system + social security (disability allowance and pensions)</w:t>
            </w:r>
          </w:p>
        </w:tc>
      </w:tr>
      <w:tr w:rsidR="00B50AF9" w:rsidRPr="00731CA6" w14:paraId="7039FEBD" w14:textId="77777777" w:rsidTr="00A46D00">
        <w:trPr>
          <w:cnfStyle w:val="000000010000" w:firstRow="0" w:lastRow="0" w:firstColumn="0" w:lastColumn="0" w:oddVBand="0" w:evenVBand="0" w:oddHBand="0" w:evenHBand="1" w:firstRowFirstColumn="0" w:firstRowLastColumn="0" w:lastRowFirstColumn="0" w:lastRowLastColumn="0"/>
          <w:cantSplit/>
        </w:trPr>
        <w:tc>
          <w:tcPr>
            <w:tcW w:w="616" w:type="pct"/>
          </w:tcPr>
          <w:p w14:paraId="747071AB" w14:textId="77777777" w:rsidR="00573AD2" w:rsidRDefault="00573AD2" w:rsidP="00A13DCA">
            <w:pPr>
              <w:pStyle w:val="TSBodyText"/>
              <w:spacing w:before="0" w:line="240" w:lineRule="atLeast"/>
              <w:rPr>
                <w:rFonts w:cs="Calibri"/>
                <w:sz w:val="16"/>
                <w:szCs w:val="16"/>
              </w:rPr>
            </w:pPr>
            <w:r>
              <w:rPr>
                <w:rFonts w:cs="Calibri"/>
                <w:sz w:val="16"/>
                <w:szCs w:val="16"/>
              </w:rPr>
              <w:t xml:space="preserve">Rheumatic fever </w:t>
            </w:r>
          </w:p>
          <w:p w14:paraId="0FB3B0A3" w14:textId="564BABF9" w:rsidR="00573AD2" w:rsidRDefault="00573AD2" w:rsidP="00A13DCA">
            <w:pPr>
              <w:pStyle w:val="TSBodyText"/>
              <w:spacing w:before="0" w:line="240" w:lineRule="atLeast"/>
              <w:rPr>
                <w:rFonts w:cs="Calibri"/>
                <w:sz w:val="16"/>
                <w:szCs w:val="16"/>
              </w:rPr>
            </w:pPr>
            <w:r>
              <w:rPr>
                <w:rFonts w:cs="Calibri"/>
                <w:sz w:val="16"/>
                <w:szCs w:val="16"/>
              </w:rPr>
              <w:t>(Australia)</w:t>
            </w:r>
          </w:p>
        </w:tc>
        <w:tc>
          <w:tcPr>
            <w:tcW w:w="413" w:type="pct"/>
          </w:tcPr>
          <w:p w14:paraId="7B8C2777" w14:textId="1BBE88E1" w:rsidR="00573AD2" w:rsidRDefault="00573AD2" w:rsidP="00A13DCA">
            <w:pPr>
              <w:pStyle w:val="TSBodyText"/>
              <w:spacing w:before="0" w:line="240" w:lineRule="atLeast"/>
              <w:rPr>
                <w:rFonts w:cs="Calibri"/>
                <w:sz w:val="16"/>
                <w:szCs w:val="16"/>
              </w:rPr>
            </w:pPr>
            <w:r>
              <w:rPr>
                <w:rFonts w:cs="Calibri"/>
                <w:sz w:val="16"/>
                <w:szCs w:val="16"/>
              </w:rPr>
              <w:t>Wyber et al. 2018</w:t>
            </w:r>
          </w:p>
        </w:tc>
        <w:tc>
          <w:tcPr>
            <w:tcW w:w="311" w:type="pct"/>
          </w:tcPr>
          <w:p w14:paraId="4AD300A8" w14:textId="40D99D04" w:rsidR="00573AD2" w:rsidRDefault="000412F7" w:rsidP="00A13DCA">
            <w:pPr>
              <w:pStyle w:val="TSBodyText"/>
              <w:rPr>
                <w:rFonts w:cs="Calibri"/>
                <w:sz w:val="16"/>
                <w:szCs w:val="16"/>
              </w:rPr>
            </w:pPr>
            <w:r>
              <w:rPr>
                <w:rFonts w:cs="Calibri"/>
                <w:sz w:val="16"/>
                <w:szCs w:val="16"/>
              </w:rPr>
              <w:t>2014-2016</w:t>
            </w:r>
          </w:p>
        </w:tc>
        <w:tc>
          <w:tcPr>
            <w:tcW w:w="362" w:type="pct"/>
          </w:tcPr>
          <w:p w14:paraId="1BCD13C3" w14:textId="30786144" w:rsidR="00573AD2" w:rsidRPr="00101AD5" w:rsidRDefault="00573AD2" w:rsidP="00A13DCA">
            <w:pPr>
              <w:pStyle w:val="TSBodyText"/>
              <w:rPr>
                <w:rFonts w:cs="Calibri"/>
                <w:sz w:val="16"/>
                <w:szCs w:val="16"/>
              </w:rPr>
            </w:pPr>
            <w:r>
              <w:rPr>
                <w:rFonts w:cs="Calibri"/>
                <w:sz w:val="16"/>
                <w:szCs w:val="16"/>
              </w:rPr>
              <w:t>AUD 201</w:t>
            </w:r>
            <w:r w:rsidR="00FD7F1B">
              <w:rPr>
                <w:rFonts w:cs="Calibri"/>
                <w:sz w:val="16"/>
                <w:szCs w:val="16"/>
              </w:rPr>
              <w:t>5</w:t>
            </w:r>
          </w:p>
        </w:tc>
        <w:tc>
          <w:tcPr>
            <w:tcW w:w="667" w:type="pct"/>
          </w:tcPr>
          <w:p w14:paraId="27D65923" w14:textId="269B4888" w:rsidR="00332719" w:rsidRPr="00332719" w:rsidRDefault="00332719" w:rsidP="00A13DCA">
            <w:pPr>
              <w:pStyle w:val="TSBodyText"/>
              <w:rPr>
                <w:rFonts w:cs="Calibri"/>
                <w:sz w:val="16"/>
                <w:szCs w:val="16"/>
              </w:rPr>
            </w:pPr>
            <w:r w:rsidRPr="00332719">
              <w:rPr>
                <w:rFonts w:cs="Calibri"/>
                <w:sz w:val="16"/>
                <w:szCs w:val="16"/>
              </w:rPr>
              <w:t>$</w:t>
            </w:r>
            <w:r w:rsidR="00A10F99">
              <w:rPr>
                <w:rFonts w:cs="Calibri"/>
                <w:sz w:val="16"/>
                <w:szCs w:val="16"/>
              </w:rPr>
              <w:t>33</w:t>
            </w:r>
            <w:r w:rsidRPr="00332719">
              <w:rPr>
                <w:rFonts w:cs="Calibri"/>
                <w:sz w:val="16"/>
                <w:szCs w:val="16"/>
              </w:rPr>
              <w:t xml:space="preserve"> m</w:t>
            </w:r>
          </w:p>
          <w:p w14:paraId="0C00C5F7" w14:textId="1217D27D" w:rsidR="00573AD2" w:rsidRDefault="00332719" w:rsidP="00A13DCA">
            <w:pPr>
              <w:pStyle w:val="TSBodyText"/>
              <w:rPr>
                <w:rFonts w:cs="Calibri"/>
                <w:sz w:val="16"/>
                <w:szCs w:val="16"/>
              </w:rPr>
            </w:pPr>
            <w:r>
              <w:rPr>
                <w:rFonts w:cs="Calibri"/>
                <w:sz w:val="16"/>
                <w:szCs w:val="16"/>
              </w:rPr>
              <w:t>(</w:t>
            </w:r>
            <w:r w:rsidR="006C54A5">
              <w:rPr>
                <w:rFonts w:cs="Calibri"/>
                <w:sz w:val="16"/>
                <w:szCs w:val="16"/>
              </w:rPr>
              <w:t xml:space="preserve">future health care costs of current </w:t>
            </w:r>
            <w:r w:rsidR="00D84AFA">
              <w:rPr>
                <w:rFonts w:cs="Calibri"/>
                <w:sz w:val="16"/>
                <w:szCs w:val="16"/>
              </w:rPr>
              <w:t>ARF and RHD</w:t>
            </w:r>
            <w:r w:rsidR="006C54A5">
              <w:rPr>
                <w:rFonts w:cs="Calibri"/>
                <w:sz w:val="16"/>
                <w:szCs w:val="16"/>
              </w:rPr>
              <w:t xml:space="preserve"> population</w:t>
            </w:r>
            <w:r w:rsidR="00D84AFA">
              <w:rPr>
                <w:rFonts w:cs="Calibri"/>
                <w:sz w:val="16"/>
                <w:szCs w:val="16"/>
              </w:rPr>
              <w:t>)</w:t>
            </w:r>
          </w:p>
          <w:p w14:paraId="257BD471" w14:textId="6E39D50A" w:rsidR="00E772FA" w:rsidRPr="0050122C" w:rsidRDefault="00E772FA" w:rsidP="00A13DCA">
            <w:pPr>
              <w:pStyle w:val="TSBodyText"/>
              <w:rPr>
                <w:rFonts w:cs="Calibri"/>
                <w:sz w:val="16"/>
                <w:szCs w:val="16"/>
              </w:rPr>
            </w:pPr>
            <w:r>
              <w:rPr>
                <w:rFonts w:cs="Calibri"/>
                <w:sz w:val="16"/>
                <w:szCs w:val="16"/>
              </w:rPr>
              <w:t>$</w:t>
            </w:r>
            <w:r w:rsidR="00A10F99">
              <w:rPr>
                <w:rFonts w:cs="Calibri"/>
                <w:sz w:val="16"/>
                <w:szCs w:val="16"/>
              </w:rPr>
              <w:t>421</w:t>
            </w:r>
            <w:r>
              <w:rPr>
                <w:rFonts w:cs="Calibri"/>
                <w:sz w:val="16"/>
                <w:szCs w:val="16"/>
              </w:rPr>
              <w:t xml:space="preserve">m </w:t>
            </w:r>
            <w:r w:rsidR="006C54A5">
              <w:rPr>
                <w:rFonts w:cs="Calibri"/>
                <w:sz w:val="16"/>
                <w:szCs w:val="16"/>
              </w:rPr>
              <w:t xml:space="preserve">(cost of health care for </w:t>
            </w:r>
            <w:r w:rsidR="00EE107C">
              <w:rPr>
                <w:rFonts w:cs="Calibri"/>
                <w:sz w:val="16"/>
                <w:szCs w:val="16"/>
              </w:rPr>
              <w:t>new cases of ARF and RHD from 2016 to</w:t>
            </w:r>
            <w:r w:rsidR="006C54A5">
              <w:rPr>
                <w:rFonts w:cs="Calibri"/>
                <w:sz w:val="16"/>
                <w:szCs w:val="16"/>
              </w:rPr>
              <w:t xml:space="preserve"> 2031</w:t>
            </w:r>
            <w:r w:rsidR="00EE107C">
              <w:rPr>
                <w:rFonts w:cs="Calibri"/>
                <w:sz w:val="16"/>
                <w:szCs w:val="16"/>
              </w:rPr>
              <w:t>)</w:t>
            </w:r>
          </w:p>
        </w:tc>
        <w:tc>
          <w:tcPr>
            <w:tcW w:w="462" w:type="pct"/>
          </w:tcPr>
          <w:p w14:paraId="1A91BA29" w14:textId="77777777" w:rsidR="00573AD2" w:rsidRDefault="00573AD2" w:rsidP="00A13DCA">
            <w:pPr>
              <w:pStyle w:val="TSBodyText"/>
              <w:rPr>
                <w:rFonts w:cs="Calibri"/>
                <w:sz w:val="16"/>
                <w:szCs w:val="16"/>
              </w:rPr>
            </w:pPr>
          </w:p>
        </w:tc>
        <w:tc>
          <w:tcPr>
            <w:tcW w:w="926" w:type="pct"/>
          </w:tcPr>
          <w:p w14:paraId="639F78D4" w14:textId="77777777" w:rsidR="00573AD2" w:rsidRPr="00A416AB" w:rsidRDefault="00573AD2" w:rsidP="00A13DCA">
            <w:pPr>
              <w:pStyle w:val="TSBodyText"/>
              <w:rPr>
                <w:rFonts w:cs="Calibri"/>
                <w:sz w:val="16"/>
                <w:szCs w:val="16"/>
              </w:rPr>
            </w:pPr>
          </w:p>
        </w:tc>
        <w:tc>
          <w:tcPr>
            <w:tcW w:w="569" w:type="pct"/>
          </w:tcPr>
          <w:p w14:paraId="2A58678A" w14:textId="77777777" w:rsidR="00573AD2" w:rsidRDefault="00DA0D7B" w:rsidP="00A13DCA">
            <w:pPr>
              <w:pStyle w:val="TSBodyText"/>
              <w:rPr>
                <w:rFonts w:cs="Calibri"/>
                <w:sz w:val="16"/>
                <w:szCs w:val="16"/>
              </w:rPr>
            </w:pPr>
            <w:r>
              <w:rPr>
                <w:rFonts w:cs="Calibri"/>
                <w:sz w:val="16"/>
                <w:szCs w:val="16"/>
              </w:rPr>
              <w:t>Prevalence and incidence-based disease trajectory model</w:t>
            </w:r>
          </w:p>
          <w:p w14:paraId="77EB5738" w14:textId="52EB86A6" w:rsidR="008A6746" w:rsidRDefault="008A6746" w:rsidP="00A13DCA">
            <w:pPr>
              <w:pStyle w:val="TSBodyText"/>
              <w:rPr>
                <w:rFonts w:cs="Calibri"/>
                <w:sz w:val="16"/>
                <w:szCs w:val="16"/>
              </w:rPr>
            </w:pPr>
            <w:r>
              <w:rPr>
                <w:rFonts w:cs="Calibri"/>
                <w:sz w:val="16"/>
                <w:szCs w:val="16"/>
              </w:rPr>
              <w:t>Bottom-up gross costing</w:t>
            </w:r>
          </w:p>
        </w:tc>
        <w:tc>
          <w:tcPr>
            <w:tcW w:w="674" w:type="pct"/>
          </w:tcPr>
          <w:p w14:paraId="1A7E095D" w14:textId="6FCC29E0" w:rsidR="00573AD2" w:rsidRDefault="00EE107C" w:rsidP="00A13DCA">
            <w:pPr>
              <w:pStyle w:val="TSBodyText"/>
              <w:rPr>
                <w:rFonts w:cs="Calibri"/>
                <w:sz w:val="16"/>
                <w:szCs w:val="16"/>
              </w:rPr>
            </w:pPr>
            <w:r>
              <w:rPr>
                <w:rFonts w:cs="Calibri"/>
                <w:sz w:val="16"/>
                <w:szCs w:val="16"/>
              </w:rPr>
              <w:t>Public health system</w:t>
            </w:r>
          </w:p>
        </w:tc>
      </w:tr>
      <w:tr w:rsidR="00B50AF9" w:rsidRPr="00731CA6" w14:paraId="31E702E8" w14:textId="77777777" w:rsidTr="00A46D00">
        <w:trPr>
          <w:cnfStyle w:val="010000000000" w:firstRow="0" w:lastRow="1" w:firstColumn="0" w:lastColumn="0" w:oddVBand="0" w:evenVBand="0" w:oddHBand="0" w:evenHBand="0" w:firstRowFirstColumn="0" w:firstRowLastColumn="0" w:lastRowFirstColumn="0" w:lastRowLastColumn="0"/>
          <w:cantSplit/>
        </w:trPr>
        <w:tc>
          <w:tcPr>
            <w:tcW w:w="616" w:type="pct"/>
          </w:tcPr>
          <w:p w14:paraId="72DAAA99" w14:textId="4442AB41" w:rsidR="00C9662E" w:rsidRDefault="00C9662E" w:rsidP="00A13DCA">
            <w:pPr>
              <w:pStyle w:val="TSBodyText"/>
              <w:spacing w:before="0" w:line="240" w:lineRule="atLeast"/>
              <w:rPr>
                <w:rFonts w:cs="Calibri"/>
                <w:sz w:val="16"/>
                <w:szCs w:val="16"/>
              </w:rPr>
            </w:pPr>
            <w:r>
              <w:rPr>
                <w:rFonts w:cs="Calibri"/>
                <w:sz w:val="16"/>
                <w:szCs w:val="16"/>
              </w:rPr>
              <w:t>Rheumatic fever (South Africa)</w:t>
            </w:r>
          </w:p>
        </w:tc>
        <w:tc>
          <w:tcPr>
            <w:tcW w:w="413" w:type="pct"/>
          </w:tcPr>
          <w:p w14:paraId="49CF92F0" w14:textId="5FABD290" w:rsidR="00C9662E" w:rsidRDefault="00C9662E" w:rsidP="00A13DCA">
            <w:pPr>
              <w:pStyle w:val="TSBodyText"/>
              <w:spacing w:before="0" w:line="240" w:lineRule="atLeast"/>
              <w:rPr>
                <w:rFonts w:cs="Calibri"/>
                <w:sz w:val="16"/>
                <w:szCs w:val="16"/>
              </w:rPr>
            </w:pPr>
            <w:r>
              <w:rPr>
                <w:rFonts w:cs="Calibri"/>
                <w:sz w:val="16"/>
                <w:szCs w:val="16"/>
              </w:rPr>
              <w:t>Hellebo et al. 2021</w:t>
            </w:r>
          </w:p>
        </w:tc>
        <w:tc>
          <w:tcPr>
            <w:tcW w:w="311" w:type="pct"/>
          </w:tcPr>
          <w:p w14:paraId="3B44E3DE" w14:textId="5DB9D0CD" w:rsidR="00C9662E" w:rsidRDefault="00C9662E" w:rsidP="00A13DCA">
            <w:pPr>
              <w:pStyle w:val="TSBodyText"/>
              <w:rPr>
                <w:rFonts w:cs="Calibri"/>
                <w:sz w:val="16"/>
                <w:szCs w:val="16"/>
              </w:rPr>
            </w:pPr>
            <w:r>
              <w:rPr>
                <w:rFonts w:cs="Calibri"/>
                <w:sz w:val="16"/>
                <w:szCs w:val="16"/>
              </w:rPr>
              <w:t>2017</w:t>
            </w:r>
          </w:p>
        </w:tc>
        <w:tc>
          <w:tcPr>
            <w:tcW w:w="362" w:type="pct"/>
          </w:tcPr>
          <w:p w14:paraId="5CE69DF4" w14:textId="3C8C374B" w:rsidR="00C9662E" w:rsidRDefault="00C9662E" w:rsidP="00A13DCA">
            <w:pPr>
              <w:pStyle w:val="TSBodyText"/>
              <w:rPr>
                <w:rFonts w:cs="Calibri"/>
                <w:sz w:val="16"/>
                <w:szCs w:val="16"/>
              </w:rPr>
            </w:pPr>
            <w:r>
              <w:rPr>
                <w:rFonts w:cs="Calibri"/>
                <w:sz w:val="16"/>
                <w:szCs w:val="16"/>
              </w:rPr>
              <w:t>USD 2017</w:t>
            </w:r>
          </w:p>
        </w:tc>
        <w:tc>
          <w:tcPr>
            <w:tcW w:w="667" w:type="pct"/>
          </w:tcPr>
          <w:p w14:paraId="6A320485" w14:textId="73863D4D" w:rsidR="00C9662E" w:rsidRDefault="00C9662E" w:rsidP="00A13DCA">
            <w:pPr>
              <w:pStyle w:val="TSBodyText"/>
              <w:rPr>
                <w:rFonts w:cs="Calibri"/>
                <w:sz w:val="16"/>
                <w:szCs w:val="16"/>
              </w:rPr>
            </w:pPr>
            <w:r>
              <w:rPr>
                <w:rFonts w:cs="Calibri"/>
                <w:sz w:val="16"/>
                <w:szCs w:val="16"/>
              </w:rPr>
              <w:t>$</w:t>
            </w:r>
            <w:r w:rsidR="00505F2F">
              <w:rPr>
                <w:rFonts w:cs="Calibri"/>
                <w:sz w:val="16"/>
                <w:szCs w:val="16"/>
              </w:rPr>
              <w:t>3</w:t>
            </w:r>
            <w:r>
              <w:rPr>
                <w:rFonts w:cs="Calibri"/>
                <w:sz w:val="16"/>
                <w:szCs w:val="16"/>
              </w:rPr>
              <w:t xml:space="preserve"> m tertiary hospital costs only for 100 patients per annum</w:t>
            </w:r>
          </w:p>
          <w:p w14:paraId="16467F79" w14:textId="0A280FF6" w:rsidR="00C9662E" w:rsidRPr="00332719" w:rsidRDefault="00C9662E" w:rsidP="00A13DCA">
            <w:pPr>
              <w:pStyle w:val="TSBodyText"/>
              <w:rPr>
                <w:rFonts w:cs="Calibri"/>
                <w:sz w:val="16"/>
                <w:szCs w:val="16"/>
              </w:rPr>
            </w:pPr>
            <w:r>
              <w:rPr>
                <w:rFonts w:cs="Calibri"/>
                <w:sz w:val="16"/>
                <w:szCs w:val="16"/>
              </w:rPr>
              <w:t>$</w:t>
            </w:r>
            <w:r w:rsidR="00505F2F">
              <w:rPr>
                <w:rFonts w:cs="Calibri"/>
                <w:sz w:val="16"/>
                <w:szCs w:val="16"/>
              </w:rPr>
              <w:t>6,0</w:t>
            </w:r>
            <w:r>
              <w:rPr>
                <w:rFonts w:cs="Calibri"/>
                <w:sz w:val="16"/>
                <w:szCs w:val="16"/>
              </w:rPr>
              <w:t>00 PPPY</w:t>
            </w:r>
          </w:p>
        </w:tc>
        <w:tc>
          <w:tcPr>
            <w:tcW w:w="462" w:type="pct"/>
          </w:tcPr>
          <w:p w14:paraId="2994F2AA" w14:textId="77777777" w:rsidR="00C9662E" w:rsidRDefault="00C9662E" w:rsidP="00A13DCA">
            <w:pPr>
              <w:pStyle w:val="TSBodyText"/>
              <w:rPr>
                <w:rFonts w:cs="Calibri"/>
                <w:sz w:val="16"/>
                <w:szCs w:val="16"/>
              </w:rPr>
            </w:pPr>
          </w:p>
        </w:tc>
        <w:tc>
          <w:tcPr>
            <w:tcW w:w="926" w:type="pct"/>
          </w:tcPr>
          <w:p w14:paraId="522E35F4" w14:textId="77777777" w:rsidR="00C9662E" w:rsidRPr="00A416AB" w:rsidRDefault="00C9662E" w:rsidP="00A13DCA">
            <w:pPr>
              <w:pStyle w:val="TSBodyText"/>
              <w:rPr>
                <w:rFonts w:cs="Calibri"/>
                <w:sz w:val="16"/>
                <w:szCs w:val="16"/>
              </w:rPr>
            </w:pPr>
          </w:p>
        </w:tc>
        <w:tc>
          <w:tcPr>
            <w:tcW w:w="569" w:type="pct"/>
          </w:tcPr>
          <w:p w14:paraId="51D8B572" w14:textId="3DF91141" w:rsidR="00C9662E" w:rsidRDefault="00C9662E" w:rsidP="00A13DCA">
            <w:pPr>
              <w:pStyle w:val="TSBodyText"/>
              <w:rPr>
                <w:rFonts w:cs="Calibri"/>
                <w:sz w:val="16"/>
                <w:szCs w:val="16"/>
              </w:rPr>
            </w:pPr>
            <w:r>
              <w:rPr>
                <w:rFonts w:cs="Calibri"/>
                <w:sz w:val="16"/>
                <w:szCs w:val="16"/>
              </w:rPr>
              <w:t>Bottom-up micro</w:t>
            </w:r>
            <w:r w:rsidR="00505F2F">
              <w:rPr>
                <w:rFonts w:cs="Calibri"/>
                <w:sz w:val="16"/>
                <w:szCs w:val="16"/>
              </w:rPr>
              <w:t>-</w:t>
            </w:r>
            <w:r>
              <w:rPr>
                <w:rFonts w:cs="Calibri"/>
                <w:sz w:val="16"/>
                <w:szCs w:val="16"/>
              </w:rPr>
              <w:t>costing</w:t>
            </w:r>
          </w:p>
        </w:tc>
        <w:tc>
          <w:tcPr>
            <w:tcW w:w="674" w:type="pct"/>
          </w:tcPr>
          <w:p w14:paraId="01B5AE29" w14:textId="22761155" w:rsidR="00C9662E" w:rsidRDefault="00C9662E" w:rsidP="00A13DCA">
            <w:pPr>
              <w:pStyle w:val="TSBodyText"/>
              <w:rPr>
                <w:rFonts w:cs="Calibri"/>
                <w:sz w:val="16"/>
                <w:szCs w:val="16"/>
              </w:rPr>
            </w:pPr>
            <w:r>
              <w:rPr>
                <w:rFonts w:cs="Calibri"/>
                <w:sz w:val="16"/>
                <w:szCs w:val="16"/>
              </w:rPr>
              <w:t>Health system</w:t>
            </w:r>
          </w:p>
        </w:tc>
      </w:tr>
    </w:tbl>
    <w:p w14:paraId="3CA4C18A" w14:textId="77777777" w:rsidR="00D33BAD" w:rsidRDefault="00D33BAD" w:rsidP="00037B14">
      <w:pPr>
        <w:pStyle w:val="USSource"/>
        <w:keepNext/>
        <w:spacing w:before="0" w:after="0"/>
        <w:rPr>
          <w:b/>
          <w:bCs/>
        </w:rPr>
      </w:pPr>
      <w:bookmarkStart w:id="140" w:name="_Toc85638928"/>
      <w:bookmarkStart w:id="141" w:name="_Toc85639002"/>
      <w:bookmarkStart w:id="142" w:name="_Toc85641115"/>
      <w:bookmarkStart w:id="143" w:name="_Toc85638929"/>
      <w:bookmarkStart w:id="144" w:name="_Toc85639003"/>
      <w:bookmarkStart w:id="145" w:name="_Toc85641116"/>
      <w:bookmarkStart w:id="146" w:name="_Toc85638930"/>
      <w:bookmarkStart w:id="147" w:name="_Toc85639004"/>
      <w:bookmarkStart w:id="148" w:name="_Toc85641117"/>
      <w:bookmarkEnd w:id="140"/>
      <w:bookmarkEnd w:id="141"/>
      <w:bookmarkEnd w:id="142"/>
      <w:bookmarkEnd w:id="143"/>
      <w:bookmarkEnd w:id="144"/>
      <w:bookmarkEnd w:id="145"/>
      <w:bookmarkEnd w:id="146"/>
      <w:bookmarkEnd w:id="147"/>
      <w:bookmarkEnd w:id="148"/>
      <w:r w:rsidRPr="006E45F3">
        <w:rPr>
          <w:b/>
          <w:bCs/>
        </w:rPr>
        <w:lastRenderedPageBreak/>
        <w:t xml:space="preserve">Notes: </w:t>
      </w:r>
    </w:p>
    <w:p w14:paraId="17A18ECC" w14:textId="19F361DD" w:rsidR="00D33BAD" w:rsidRDefault="00D33BAD" w:rsidP="00037B14">
      <w:pPr>
        <w:pStyle w:val="USSource"/>
        <w:keepNext/>
        <w:spacing w:before="0" w:after="0"/>
      </w:pPr>
      <w:r w:rsidRPr="00D33BAD">
        <w:t>Studies are listed in the order they appear in the report.</w:t>
      </w:r>
      <w:r w:rsidR="001F0FD8">
        <w:t xml:space="preserve"> See section 6 on </w:t>
      </w:r>
      <w:r w:rsidR="00592F5F">
        <w:t>considerations for comparing</w:t>
      </w:r>
      <w:r w:rsidR="001F0FD8">
        <w:t xml:space="preserve"> cost-of-illness estimates.</w:t>
      </w:r>
    </w:p>
    <w:p w14:paraId="71C1B32B" w14:textId="484BC537" w:rsidR="00315AF8" w:rsidRPr="00D33BAD" w:rsidRDefault="00315AF8" w:rsidP="00037B14">
      <w:pPr>
        <w:pStyle w:val="USSource"/>
        <w:keepNext/>
        <w:spacing w:before="0" w:after="0"/>
      </w:pPr>
      <w:r>
        <w:t>*</w:t>
      </w:r>
      <w:r w:rsidRPr="00315AF8">
        <w:t xml:space="preserve"> Barton and Love (Sapere) 2021</w:t>
      </w:r>
      <w:r w:rsidR="00D361EA">
        <w:t>: Values are published as 2021 New Zealand dollars and have not been converted for this table.</w:t>
      </w:r>
    </w:p>
    <w:p w14:paraId="2BEFDC69" w14:textId="17FF1A72" w:rsidR="00D33BAD" w:rsidRPr="00D33BAD" w:rsidRDefault="00D33BAD" w:rsidP="00037B14">
      <w:pPr>
        <w:pStyle w:val="USSource"/>
        <w:keepNext/>
        <w:spacing w:before="0" w:after="0"/>
      </w:pPr>
      <w:r w:rsidRPr="00D33BAD">
        <w:t xml:space="preserve">RCT: Randomised controlled trial; </w:t>
      </w:r>
      <w:r w:rsidR="000E0975">
        <w:t xml:space="preserve">PPPM: Per person per month; </w:t>
      </w:r>
      <w:r w:rsidRPr="00D33BAD">
        <w:t>PPPY: Per person per year; YLDs: Years lost to disability; ARC: publicly funded Aged Residential Care</w:t>
      </w:r>
    </w:p>
    <w:p w14:paraId="2BE779BE" w14:textId="7B6B32E1" w:rsidR="00D33BAD" w:rsidRPr="00D33BAD" w:rsidRDefault="00D33BAD" w:rsidP="00037B14">
      <w:pPr>
        <w:pStyle w:val="USSource"/>
        <w:keepNext/>
        <w:spacing w:before="0" w:after="0"/>
      </w:pPr>
      <w:r w:rsidRPr="00D33BAD">
        <w:t>Indirect costs may include: Productivity costs (absenteeism, presenteeism, reduced employment), informal caregiver costs</w:t>
      </w:r>
      <w:r w:rsidR="005F28E9">
        <w:t>. Total costs include direct health system costs and any indirect and intan</w:t>
      </w:r>
      <w:r w:rsidR="007A0000">
        <w:t>gible costs (</w:t>
      </w:r>
      <w:r w:rsidRPr="00D33BAD">
        <w:t>reduced quality of life, disability</w:t>
      </w:r>
      <w:r w:rsidR="007A0000">
        <w:t xml:space="preserve">, morbidity and </w:t>
      </w:r>
      <w:r w:rsidRPr="00D33BAD">
        <w:t>mortality costs</w:t>
      </w:r>
      <w:r w:rsidR="007A0000">
        <w:t>) included in the study</w:t>
      </w:r>
      <w:r w:rsidRPr="00D33BAD">
        <w:t>.</w:t>
      </w:r>
    </w:p>
    <w:p w14:paraId="220546D8" w14:textId="77777777" w:rsidR="00D33BAD" w:rsidRPr="00D33BAD" w:rsidRDefault="00D33BAD" w:rsidP="00037B14">
      <w:pPr>
        <w:pStyle w:val="USSource"/>
      </w:pPr>
      <w:r w:rsidRPr="00D33BAD">
        <w:t>Source: NZIER</w:t>
      </w:r>
    </w:p>
    <w:p w14:paraId="119FD022" w14:textId="77777777" w:rsidR="00370154" w:rsidRDefault="00370154">
      <w:pPr>
        <w:spacing w:after="160" w:line="259" w:lineRule="auto"/>
        <w:sectPr w:rsidR="00370154" w:rsidSect="00FB1D28">
          <w:pgSz w:w="16839" w:h="11907" w:orient="landscape" w:code="9"/>
          <w:pgMar w:top="1418" w:right="1701" w:bottom="1418" w:left="1418" w:header="851" w:footer="851" w:gutter="0"/>
          <w:cols w:space="708"/>
          <w:docGrid w:linePitch="360"/>
        </w:sectPr>
      </w:pPr>
    </w:p>
    <w:p w14:paraId="047BE530" w14:textId="7E87D6D7" w:rsidR="004B269E" w:rsidRDefault="004B269E" w:rsidP="002E10F0">
      <w:pPr>
        <w:pStyle w:val="Heading1"/>
      </w:pPr>
      <w:bookmarkStart w:id="149" w:name="_Toc98760531"/>
      <w:r>
        <w:lastRenderedPageBreak/>
        <w:t>References</w:t>
      </w:r>
      <w:bookmarkEnd w:id="149"/>
    </w:p>
    <w:p w14:paraId="4267A344" w14:textId="7C4A5D00" w:rsidR="00E31C43" w:rsidRDefault="00E31C43" w:rsidP="00F94A1C">
      <w:pPr>
        <w:pStyle w:val="Bibliography"/>
      </w:pPr>
      <w:r w:rsidRPr="00E31C43">
        <w:t>Abbott, J. H., Wilson, R., &amp; Chua, J. (2020). Management of Osteoarthritis in the NZ Public Health System (MOA Working Papers No. 01.1/2020). Centre for Musculoskeletal Outcomes Research. Retrieved from http://hdl.handle.net/10523/10422</w:t>
      </w:r>
    </w:p>
    <w:p w14:paraId="528FD317" w14:textId="15B03406" w:rsidR="002123BA" w:rsidRDefault="002123BA" w:rsidP="002123BA">
      <w:pPr>
        <w:pStyle w:val="Bibliography"/>
      </w:pPr>
      <w:r>
        <w:t>Barton, Ben, and Tom Love. n.d. ‘Economic Impact of Excess Weight in Aotearoa’, 37.</w:t>
      </w:r>
    </w:p>
    <w:p w14:paraId="72A1FE22" w14:textId="77777777" w:rsidR="002123BA" w:rsidRDefault="002123BA" w:rsidP="002123BA">
      <w:pPr>
        <w:pStyle w:val="Bibliography"/>
      </w:pPr>
      <w:r>
        <w:t xml:space="preserve">Bennett, Julie, Jane Zhang, William Leung, Susan Jack, Jane Oliver, Rachel Webb, Nigel Wilson, Dianne Sika-Paotonu, Matire Harwood, and Michael G. Baker. 2021. ‘Rising Ethnic Inequalities in Acute Rheumatic Fever and Rheumatic Heart Disease, New Zealand, 2000-2018’. </w:t>
      </w:r>
      <w:r>
        <w:rPr>
          <w:i/>
          <w:iCs/>
        </w:rPr>
        <w:t>Emerging Infectious Diseases</w:t>
      </w:r>
      <w:r>
        <w:t xml:space="preserve"> 27 (1). https://doi.org/10.3201/eid2701.191791.</w:t>
      </w:r>
    </w:p>
    <w:p w14:paraId="4B9F43F4" w14:textId="77777777" w:rsidR="002123BA" w:rsidRDefault="002123BA" w:rsidP="002123BA">
      <w:pPr>
        <w:pStyle w:val="Bibliography"/>
      </w:pPr>
      <w:r>
        <w:t xml:space="preserve">Blakely, Tony, June Atkinson, Giorgi Kvizhinadze, Nick Wilson, Anna Davies, and Philip Clarke. 2015. ‘Patterns of Cancer Care Costs in a Country With Detailed Individual Data’. </w:t>
      </w:r>
      <w:r>
        <w:rPr>
          <w:i/>
          <w:iCs/>
        </w:rPr>
        <w:t>Medical Care</w:t>
      </w:r>
      <w:r>
        <w:t xml:space="preserve"> 53 (4): 302–9. https://doi.org/10.1097/MLR.0000000000000330.</w:t>
      </w:r>
    </w:p>
    <w:p w14:paraId="37FECD2B" w14:textId="77777777" w:rsidR="002123BA" w:rsidRDefault="002123BA" w:rsidP="002123BA">
      <w:pPr>
        <w:pStyle w:val="Bibliography"/>
      </w:pPr>
      <w:r>
        <w:t xml:space="preserve">Blakely, Tony, Rachel Foster, Nicholas Wilson, and Roy Costilla. 2012. </w:t>
      </w:r>
      <w:r>
        <w:rPr>
          <w:i/>
          <w:iCs/>
        </w:rPr>
        <w:t>Burden of Disease Epidemiology, Equity and Cost-Effectiveness (BODE</w:t>
      </w:r>
      <w:r>
        <w:rPr>
          <w:i/>
          <w:iCs/>
          <w:vertAlign w:val="superscript"/>
        </w:rPr>
        <w:t>3</w:t>
      </w:r>
      <w:r>
        <w:rPr>
          <w:i/>
          <w:iCs/>
        </w:rPr>
        <w:t>) Study Protocol</w:t>
      </w:r>
      <w:r>
        <w:t>. Wellington, N.Z.: Dept. of Public Health, University of Otago, Wellington.</w:t>
      </w:r>
    </w:p>
    <w:p w14:paraId="4511C92E" w14:textId="77777777" w:rsidR="002123BA" w:rsidRDefault="002123BA" w:rsidP="002123BA">
      <w:pPr>
        <w:pStyle w:val="Bibliography"/>
      </w:pPr>
      <w:r>
        <w:t xml:space="preserve">Blakely, Tony, Giorgi Kvizhinadze, June Atkinson, Joseph Dieleman, and Philip Clarke. 2019. ‘Health System Costs for Individual and Comorbid Noncommunicable Diseases: An Analysis of Publicly Funded Health Events from New Zealand’. </w:t>
      </w:r>
      <w:r>
        <w:rPr>
          <w:i/>
          <w:iCs/>
        </w:rPr>
        <w:t>PLOS Medicine</w:t>
      </w:r>
      <w:r>
        <w:t xml:space="preserve"> 16 (1): e1002716. https://doi.org/10.1371/journal.pmed.1002716.</w:t>
      </w:r>
    </w:p>
    <w:p w14:paraId="565FCC64" w14:textId="77777777" w:rsidR="002123BA" w:rsidRDefault="002123BA" w:rsidP="002123BA">
      <w:pPr>
        <w:pStyle w:val="Bibliography"/>
      </w:pPr>
      <w:r>
        <w:t xml:space="preserve">Brodszky, Valentin, Zsuzsanna Beretzky, Petra Baji, Fanni Rencz, Márta Péntek, Alexandru Rotar, Konstantin Tachkov, Susanne Mayer, Judit Simon, and Maciej Niewada. 2019. ‘Cost-of-Illness Studies in Nine Central and Eastern European Countries’. </w:t>
      </w:r>
      <w:r>
        <w:rPr>
          <w:i/>
          <w:iCs/>
        </w:rPr>
        <w:t>The European Journal of Health Economics</w:t>
      </w:r>
      <w:r>
        <w:t xml:space="preserve"> 20 (1): 155–72.</w:t>
      </w:r>
    </w:p>
    <w:p w14:paraId="3430FAA3" w14:textId="77777777" w:rsidR="002123BA" w:rsidRDefault="002123BA" w:rsidP="002123BA">
      <w:pPr>
        <w:pStyle w:val="Bibliography"/>
      </w:pPr>
      <w:r>
        <w:t xml:space="preserve">Bundgaard, Johan S., Ulrik M. Mogensen, Stefan Christensen, Uffe Ploug, Rasmus Rørth, Rikke Ibsen, Jakob Kjellberg, and Lars Køber. 2019. ‘The Economic Burden of Heart Failure in Denmark from 1998 to 2016’. </w:t>
      </w:r>
      <w:r>
        <w:rPr>
          <w:i/>
          <w:iCs/>
        </w:rPr>
        <w:t>European Journal of Heart Failure</w:t>
      </w:r>
      <w:r>
        <w:t xml:space="preserve"> 21 (12): 1526–31. https://doi.org/10.1002/ejhf.1577.</w:t>
      </w:r>
    </w:p>
    <w:p w14:paraId="560BFEAE" w14:textId="77777777" w:rsidR="002123BA" w:rsidRDefault="002123BA" w:rsidP="002123BA">
      <w:pPr>
        <w:pStyle w:val="Bibliography"/>
      </w:pPr>
      <w:r>
        <w:t>Carswell, Alexandra C, Niamh F Hammond, Wan N Ab-Halim, Olivia P Badcock, TA Brownlee, Sarah MJ Bush, Samuel CD Clark, et al. 2015. ‘Costs of Childhood Hospitalisation for Asthma’.</w:t>
      </w:r>
    </w:p>
    <w:p w14:paraId="25362D48" w14:textId="77777777" w:rsidR="002123BA" w:rsidRDefault="002123BA" w:rsidP="002123BA">
      <w:pPr>
        <w:pStyle w:val="Bibliography"/>
      </w:pPr>
      <w:r>
        <w:t xml:space="preserve">Choi, Hye Sook, Chin Kook Rhee, Yong Bum Park, Kwang Ha Yoo, and Seong Yong Lim. 2019. ‘Metabolic Syndrome in Early Chronic Obstructive Pulmonary Disease: Gender Differences and Impact on Exacerbation and Medical Costs’. </w:t>
      </w:r>
      <w:r>
        <w:rPr>
          <w:i/>
          <w:iCs/>
        </w:rPr>
        <w:t>International Journal of Chronic Obstructive Pulmonary Disease</w:t>
      </w:r>
      <w:r>
        <w:t xml:space="preserve"> 14: 2873–83. https://doi.org/10.2147/COPD.S228497.</w:t>
      </w:r>
    </w:p>
    <w:p w14:paraId="2A73F55B" w14:textId="77777777" w:rsidR="002123BA" w:rsidRDefault="002123BA" w:rsidP="002123BA">
      <w:pPr>
        <w:pStyle w:val="Bibliography"/>
      </w:pPr>
      <w:r>
        <w:t xml:space="preserve">Choi, Hyeon-Jin, and Eun-Whan Lee. 2019. ‘Methodology of Estimating Socioeconomic Burden of Disease Using National Health Insurance (NHI) Data’. In </w:t>
      </w:r>
      <w:r>
        <w:rPr>
          <w:i/>
          <w:iCs/>
        </w:rPr>
        <w:t>Evaluation of Health Services</w:t>
      </w:r>
      <w:r>
        <w:t>. IntechOpen.</w:t>
      </w:r>
    </w:p>
    <w:p w14:paraId="3D986180" w14:textId="77777777" w:rsidR="002123BA" w:rsidRDefault="002123BA" w:rsidP="002123BA">
      <w:pPr>
        <w:pStyle w:val="Bibliography"/>
      </w:pPr>
      <w:r>
        <w:t xml:space="preserve">Cortez-Pinto, Helena, Miguel Gouveia, Luís dos Santos Pinheiro, João Costa, Margarida Borges, and António Vaz Carneiro. 2010. ‘The Burden of Disease and the Cost of Illness Attributable to Alcohol Drinking--Results of a National Study’. </w:t>
      </w:r>
      <w:r>
        <w:rPr>
          <w:i/>
          <w:iCs/>
        </w:rPr>
        <w:t>Alcoholism, Clinical and Experimental Research</w:t>
      </w:r>
      <w:r>
        <w:t xml:space="preserve"> 34 (8): 1442–49. https://doi.org/10.1111/j.1530-0277.2010.01229.x.</w:t>
      </w:r>
    </w:p>
    <w:p w14:paraId="19E1433E" w14:textId="77777777" w:rsidR="002123BA" w:rsidRDefault="002123BA" w:rsidP="002123BA">
      <w:pPr>
        <w:pStyle w:val="Bibliography"/>
      </w:pPr>
      <w:r>
        <w:t xml:space="preserve">Deen, Frederieke S. van der, Nick Wilson, Christine L. Cleghorn, Giorgi Kvizhinadze, Linda J. Cobiac, Nhung Nghiem, and Tony Blakely. 2018. ‘Impact of Five Tobacco Endgame Strategies on Future Smoking Prevalence, Population Health and Health System Costs: Two Modelling Studies to Inform the Tobacco Endgame’. </w:t>
      </w:r>
      <w:r>
        <w:rPr>
          <w:i/>
          <w:iCs/>
        </w:rPr>
        <w:t>Tobacco Control</w:t>
      </w:r>
      <w:r>
        <w:t xml:space="preserve"> 27 (3): 278–86. https://doi.org/10.1136/tobaccocontrol-2016-053585.</w:t>
      </w:r>
    </w:p>
    <w:p w14:paraId="71DD6FE5" w14:textId="77777777" w:rsidR="002123BA" w:rsidRDefault="002123BA" w:rsidP="002123BA">
      <w:pPr>
        <w:pStyle w:val="Bibliography"/>
      </w:pPr>
      <w:r>
        <w:lastRenderedPageBreak/>
        <w:t>Deloitte Access Economics. 2018. ‘The Economic Cost of Arthritis in New Zealand in 2018’. A report for Arthritis New Zealand. https://www.arthritis.org.nz/wp-content/uploads/Economic-Cost-of-Arthritis-in-New-Zealand-2018.pdf.</w:t>
      </w:r>
    </w:p>
    <w:p w14:paraId="571AA43E" w14:textId="77777777" w:rsidR="002123BA" w:rsidRDefault="002123BA" w:rsidP="002123BA">
      <w:pPr>
        <w:pStyle w:val="Bibliography"/>
      </w:pPr>
      <w:r>
        <w:t xml:space="preserve">Department of Health. 2012. </w:t>
      </w:r>
      <w:r>
        <w:rPr>
          <w:i/>
          <w:iCs/>
        </w:rPr>
        <w:t>Long Term Conditions Compendium of Information</w:t>
      </w:r>
      <w:r>
        <w:t>. Third. United Kingdom: Department of Health.</w:t>
      </w:r>
    </w:p>
    <w:p w14:paraId="341BC8B3" w14:textId="77777777" w:rsidR="002123BA" w:rsidRDefault="002123BA" w:rsidP="002123BA">
      <w:pPr>
        <w:pStyle w:val="Bibliography"/>
      </w:pPr>
      <w:r>
        <w:t>E Ma’u, S Cullum, S Yates, G Cheung, V Burholt, M Dudley, R Krishnamurthi, and N Kerse. 2021. ‘Dementia Economic Impact Report 2020’. University of Auckland. https://cdn.alzheimers.org.nz/wp-content/uploads/2021/09/Dementia-Economic-Impact-Report-2020.pdf.</w:t>
      </w:r>
    </w:p>
    <w:p w14:paraId="28EF3D44" w14:textId="77777777" w:rsidR="002123BA" w:rsidRDefault="002123BA" w:rsidP="002123BA">
      <w:pPr>
        <w:pStyle w:val="Bibliography"/>
      </w:pPr>
      <w:r>
        <w:t xml:space="preserve">Ehteshami-Afshar, S., J. M. FitzGerald, M. M. Doyle-Waters, and M. Sadatsafavi. 2016. ‘The Global Economic Burden of Asthma and Chronic Obstructive Pulmonary Disease’. </w:t>
      </w:r>
      <w:r>
        <w:rPr>
          <w:i/>
          <w:iCs/>
        </w:rPr>
        <w:t>The International Journal of Tuberculosis and Lung Disease: The Official Journal of the International Union Against Tuberculosis and Lung Disease</w:t>
      </w:r>
      <w:r>
        <w:t xml:space="preserve"> 20 (1): 11–23. https://doi.org/10.5588/ijtld.15.0472.</w:t>
      </w:r>
    </w:p>
    <w:p w14:paraId="7D0E230E" w14:textId="77777777" w:rsidR="002123BA" w:rsidRDefault="002123BA" w:rsidP="002123BA">
      <w:pPr>
        <w:pStyle w:val="Bibliography"/>
      </w:pPr>
      <w:r>
        <w:t>GACD. n.d. ‘Key Facts and Figures’. GACD. Accessed 22 October 2021. https://www.gacd.org/about/what-we-do/what-are-ncds/key-facts-and-figures.</w:t>
      </w:r>
    </w:p>
    <w:p w14:paraId="2263C99F" w14:textId="77777777" w:rsidR="002123BA" w:rsidRDefault="002123BA" w:rsidP="002123BA">
      <w:pPr>
        <w:pStyle w:val="Bibliography"/>
      </w:pPr>
      <w:r>
        <w:t xml:space="preserve">Goodchild, Mark, Nigar Nargis, and Edouard Tursan d’Espaignet. 2018. ‘Global Economic Cost of Smoking-Attributable Diseases’. </w:t>
      </w:r>
      <w:r>
        <w:rPr>
          <w:i/>
          <w:iCs/>
        </w:rPr>
        <w:t>Tobacco Control</w:t>
      </w:r>
      <w:r>
        <w:t xml:space="preserve"> 27 (1): 58–64. https://doi.org/10.1136/tobaccocontrol-2016-053305.</w:t>
      </w:r>
    </w:p>
    <w:p w14:paraId="693AA436" w14:textId="77777777" w:rsidR="002123BA" w:rsidRDefault="002123BA" w:rsidP="002123BA">
      <w:pPr>
        <w:pStyle w:val="Bibliography"/>
      </w:pPr>
      <w:r>
        <w:t>Health and Disability System Review. 2020. ‘Health and Disability System Review - Final Report - Pūrongo Whakamutunga’. Wellington: HDSR. https://systemreview.health.govt.nz/assets/Uploads/hdsr/health-disability-system-review-final-report.pdf.</w:t>
      </w:r>
    </w:p>
    <w:p w14:paraId="09BAA874" w14:textId="77777777" w:rsidR="002123BA" w:rsidRDefault="002123BA" w:rsidP="002123BA">
      <w:pPr>
        <w:pStyle w:val="Bibliography"/>
      </w:pPr>
      <w:r>
        <w:t>Health Quality &amp; Safety Commission. 2021a. ‘Bula Sautu – A Window on Quality 2021: Pacific Health in the Year of COVID-19’. Wellington: Health Quality &amp; Safety Commission.</w:t>
      </w:r>
    </w:p>
    <w:p w14:paraId="58DD0EC8" w14:textId="77777777" w:rsidR="002123BA" w:rsidRDefault="002123BA" w:rsidP="002123BA">
      <w:pPr>
        <w:pStyle w:val="Bibliography"/>
      </w:pPr>
      <w:r>
        <w:t>———. 2021b. ‘Gout: Key Findings 2019’. 2021. https://www.hqsc.govt.nz/assets/Health-Quality-Evaluation/Atlas/Gout/Infographic_gout_Mar_2021.pdf.</w:t>
      </w:r>
    </w:p>
    <w:p w14:paraId="338CE1AE" w14:textId="77777777" w:rsidR="002123BA" w:rsidRDefault="002123BA" w:rsidP="002123BA">
      <w:pPr>
        <w:pStyle w:val="Bibliography"/>
      </w:pPr>
      <w:r>
        <w:t xml:space="preserve">Hellebo, Assegid G., Liesl J. Zuhlke, David A. Watkins, and Olufunke Alaba. 2021. ‘Health System Costs of Rheumatic Heart Disease Care in South Africa’. </w:t>
      </w:r>
      <w:r>
        <w:rPr>
          <w:i/>
          <w:iCs/>
        </w:rPr>
        <w:t>BMC Public Health</w:t>
      </w:r>
      <w:r>
        <w:t xml:space="preserve"> 21 (1): 1303. https://doi.org/10.1186/s12889-021-11314-6.</w:t>
      </w:r>
    </w:p>
    <w:p w14:paraId="3EBA8D94" w14:textId="77777777" w:rsidR="002123BA" w:rsidRDefault="002123BA" w:rsidP="002123BA">
      <w:pPr>
        <w:pStyle w:val="Bibliography"/>
      </w:pPr>
      <w:r>
        <w:t xml:space="preserve">Hirata, Koki, Kunichika Matsumoto, Ryo Onishi, and Tomonori Hasegawa. 2021. ‘Changing Social Burden of Japan’s Three Major Diseases Including Long-Term Care Due to Aging’. </w:t>
      </w:r>
      <w:r>
        <w:rPr>
          <w:i/>
          <w:iCs/>
        </w:rPr>
        <w:t>Public Administration and Policy</w:t>
      </w:r>
      <w:r>
        <w:t xml:space="preserve"> 24 (2): 152–64. https://doi.org/10.1108/PAP-04-2021-0025.</w:t>
      </w:r>
    </w:p>
    <w:p w14:paraId="15D6378B" w14:textId="77777777" w:rsidR="002123BA" w:rsidRDefault="002123BA" w:rsidP="002123BA">
      <w:pPr>
        <w:pStyle w:val="Bibliography"/>
      </w:pPr>
      <w:r>
        <w:t>Hogan, Sarah, and Prince Siddharth. 2018. ‘The Social and Economic Costs of Stroke in New Zealand’. A rpeort for the Stroke Foundation. Wellington: NZIER.</w:t>
      </w:r>
    </w:p>
    <w:p w14:paraId="561D7BA1" w14:textId="77777777" w:rsidR="002123BA" w:rsidRDefault="002123BA" w:rsidP="002123BA">
      <w:pPr>
        <w:pStyle w:val="Bibliography"/>
      </w:pPr>
      <w:r>
        <w:t>———. 2020. ‘The Social and Economic Costs of Stroke in New Zealand - 2020 Update’. A rpeort for the Stroke Foundation. Wellington: NZIER. https://nzier.org.nz/publication/the-social-and-economic-costs-of-stroke-in-new-zealand-2020-update.</w:t>
      </w:r>
    </w:p>
    <w:p w14:paraId="441CA8CE" w14:textId="77777777" w:rsidR="002123BA" w:rsidRDefault="002123BA" w:rsidP="002123BA">
      <w:pPr>
        <w:pStyle w:val="Bibliography"/>
      </w:pPr>
      <w:r>
        <w:t xml:space="preserve">Howden-Chapman, Philippa, Anna Matheson, Julian Crane, Helen Viggers, Malcolm Cunningham, Tony Blakely, Chris Cunningham, et al. 2007. ‘Effect of Insulating Existing Houses on Health Inequality: Cluster Randomised Study in the Community’. </w:t>
      </w:r>
      <w:r>
        <w:rPr>
          <w:i/>
          <w:iCs/>
        </w:rPr>
        <w:t>BMJ (Clinical Research Ed.)</w:t>
      </w:r>
      <w:r>
        <w:t xml:space="preserve"> 334 (7591): 460. https://doi.org/10.1136/bmj.39070.573032.80.</w:t>
      </w:r>
    </w:p>
    <w:p w14:paraId="1A84AE18" w14:textId="77777777" w:rsidR="002123BA" w:rsidRDefault="002123BA" w:rsidP="002123BA">
      <w:pPr>
        <w:pStyle w:val="Bibliography"/>
      </w:pPr>
      <w:r>
        <w:t>IHME. 2015. ‘New Zealand’. Institute for Health Metrics and Evaluation. 9 September 2015. http://www.healthdata.org/new-zealand.</w:t>
      </w:r>
    </w:p>
    <w:p w14:paraId="6F179E97" w14:textId="77777777" w:rsidR="002123BA" w:rsidRDefault="002123BA" w:rsidP="002123BA">
      <w:pPr>
        <w:pStyle w:val="Bibliography"/>
      </w:pPr>
      <w:r>
        <w:t xml:space="preserve">Jackson, Robert, Aki Shiozawa, Erin K. Buysman, Aylin Altan, Stephanie Korrer, and Hyon Choi. 2015. ‘Flare Frequency, Healthcare Resource Utilisation and Costs among Patients with Gout in a Managed Care Setting: A Retrospective Medical Claims-Based Analysis’. </w:t>
      </w:r>
      <w:r>
        <w:rPr>
          <w:i/>
          <w:iCs/>
        </w:rPr>
        <w:t>BMJ Open</w:t>
      </w:r>
      <w:r>
        <w:t xml:space="preserve"> 5 (6): e007214. https://doi.org/10.1136/bmjopen-2014-007214.</w:t>
      </w:r>
    </w:p>
    <w:p w14:paraId="782BF8D1" w14:textId="77777777" w:rsidR="002123BA" w:rsidRDefault="002123BA" w:rsidP="002123BA">
      <w:pPr>
        <w:pStyle w:val="Bibliography"/>
      </w:pPr>
      <w:r>
        <w:t xml:space="preserve">Jo, Changik. 2014. ‘Cost-of-Illness Studies: Concepts, Scopes, and Methods’. </w:t>
      </w:r>
      <w:r>
        <w:rPr>
          <w:i/>
          <w:iCs/>
        </w:rPr>
        <w:t>Clinical and Molecular Hepatology</w:t>
      </w:r>
      <w:r>
        <w:t xml:space="preserve"> 20 (4): 327–37. https://doi.org/10.3350/cmh.2014.20.4.327.</w:t>
      </w:r>
    </w:p>
    <w:p w14:paraId="49F574C5" w14:textId="77777777" w:rsidR="002123BA" w:rsidRDefault="002123BA" w:rsidP="002123BA">
      <w:pPr>
        <w:pStyle w:val="Bibliography"/>
      </w:pPr>
      <w:r>
        <w:t>Jones, Lisa, Geoff Bates, Ellie McCoy, Claire Tiffany, Clare Perkins, and Mark Bellis. n.d. ‘The Economic and Social Costs of Alcohol-Related Harm in Leeds 2008-09’, 76.</w:t>
      </w:r>
    </w:p>
    <w:p w14:paraId="688D735E" w14:textId="77777777" w:rsidR="002123BA" w:rsidRDefault="002123BA" w:rsidP="002123BA">
      <w:pPr>
        <w:pStyle w:val="Bibliography"/>
      </w:pPr>
      <w:r>
        <w:lastRenderedPageBreak/>
        <w:t xml:space="preserve">Kent, Seamus, Iryna Schlackow, Jingky Lozano-Kühne, Christina Reith, Jonathan Emberson, Richard Haynes, Alastair Gray, et al. 2015. ‘What Is the Impact of Chronic Kidney Disease Stage and Cardiovascular Disease on the Annual Cost of Hospital Care in Moderate-to-Severe Kidney Disease?’ </w:t>
      </w:r>
      <w:r>
        <w:rPr>
          <w:i/>
          <w:iCs/>
        </w:rPr>
        <w:t>BMC Nephrology</w:t>
      </w:r>
      <w:r>
        <w:t xml:space="preserve"> 16 (1): 65. https://doi.org/10.1186/s12882-015-0054-0.</w:t>
      </w:r>
    </w:p>
    <w:p w14:paraId="158FDA22" w14:textId="77777777" w:rsidR="002123BA" w:rsidRDefault="002123BA" w:rsidP="002123BA">
      <w:pPr>
        <w:pStyle w:val="Bibliography"/>
      </w:pPr>
      <w:r>
        <w:t xml:space="preserve">Kirsch, Florian, Anja Schramm, Larissa Schwarzkopf, Johanna I. Lutter, Boglárka Szentes, Manuel Huber, and Reiner Leidl. 2019. ‘Direct and Indirect Costs of COPD Progression and Its Comorbidities in a Structured Disease Management Program: Results from the LQ-DMP Study’. </w:t>
      </w:r>
      <w:r>
        <w:rPr>
          <w:i/>
          <w:iCs/>
        </w:rPr>
        <w:t>Respiratory Research</w:t>
      </w:r>
      <w:r>
        <w:t xml:space="preserve"> 20 (1): 215. https://doi.org/10.1186/s12931-019-1179-7.</w:t>
      </w:r>
    </w:p>
    <w:p w14:paraId="4AAFFCEE" w14:textId="77777777" w:rsidR="002123BA" w:rsidRDefault="002123BA" w:rsidP="002123BA">
      <w:pPr>
        <w:pStyle w:val="Bibliography"/>
      </w:pPr>
      <w:r>
        <w:t xml:space="preserve">Krentz, H. B., Q. Vu, and M. J. Gill. 2020. ‘Updated Direct Costs of Medical Care for HIV-Infected Patients within a Regional Population from 2006 to 2017’. </w:t>
      </w:r>
      <w:r>
        <w:rPr>
          <w:i/>
          <w:iCs/>
        </w:rPr>
        <w:t>HIV Medicine</w:t>
      </w:r>
      <w:r>
        <w:t xml:space="preserve"> 21 (5): 289–98. https://doi.org/10.1111/hiv.12824.</w:t>
      </w:r>
    </w:p>
    <w:p w14:paraId="5C87013D" w14:textId="77777777" w:rsidR="002123BA" w:rsidRDefault="002123BA" w:rsidP="002123BA">
      <w:pPr>
        <w:pStyle w:val="Bibliography"/>
      </w:pPr>
      <w:r>
        <w:t>Lajoie, Julie. 2015. ‘Understanding the Measurement of Global Burden of Disease’. NCCID Project No. 147. National Collaborating Centre for Infectious Diseases. https://nccid.ca/publications/understanding-the-measurement-of-global-burden-of-disease/.</w:t>
      </w:r>
    </w:p>
    <w:p w14:paraId="424765A4" w14:textId="77777777" w:rsidR="002123BA" w:rsidRDefault="002123BA" w:rsidP="002123BA">
      <w:pPr>
        <w:pStyle w:val="Bibliography"/>
      </w:pPr>
      <w:r>
        <w:t xml:space="preserve">Lal, Anita, Marj Moodie, Toni Ashton, Mohammad Siahpush, and Boyd Swinburn. 2012. ‘Health Care and Lost Productivity Costs of Overweight and Obesity in New Zealand’. </w:t>
      </w:r>
      <w:r>
        <w:rPr>
          <w:i/>
          <w:iCs/>
        </w:rPr>
        <w:t>Australian and New Zealand Journal of Public Health</w:t>
      </w:r>
      <w:r>
        <w:t xml:space="preserve"> 36 (6): 550–56.</w:t>
      </w:r>
    </w:p>
    <w:p w14:paraId="48130E4F" w14:textId="77777777" w:rsidR="002123BA" w:rsidRDefault="002123BA" w:rsidP="002123BA">
      <w:pPr>
        <w:pStyle w:val="Bibliography"/>
      </w:pPr>
      <w:r>
        <w:t xml:space="preserve">Lao, Chunhuan, Mohana Mondal, Marion Kuper-Hommel, Ian Campbell, Michael P. Cameron, and Ross Lawrenson. 2021. ‘Breast Cancer Costs in New Zealand’s Public Health System’. </w:t>
      </w:r>
      <w:r>
        <w:rPr>
          <w:i/>
          <w:iCs/>
        </w:rPr>
        <w:t>The New Zealand Medical Journal</w:t>
      </w:r>
      <w:r>
        <w:t xml:space="preserve"> 134 (1545): 36–46.</w:t>
      </w:r>
    </w:p>
    <w:p w14:paraId="1E18BC5A" w14:textId="77777777" w:rsidR="002123BA" w:rsidRDefault="002123BA" w:rsidP="002123BA">
      <w:pPr>
        <w:pStyle w:val="Bibliography"/>
      </w:pPr>
      <w:r>
        <w:t xml:space="preserve">Laramée, Philippe, Jeanette Kusel, Saoirse Leonard, Henri-Jean Aubin, Clément François, and Jean-Bernard Daeppen. 2013. ‘The Economic Burden of Alcohol Dependence in Europe’. </w:t>
      </w:r>
      <w:r>
        <w:rPr>
          <w:i/>
          <w:iCs/>
        </w:rPr>
        <w:t>Alcohol and Alcoholism (Oxford, Oxfordshire)</w:t>
      </w:r>
      <w:r>
        <w:t xml:space="preserve"> 48 (3): 259–69. https://doi.org/10.1093/alcalc/agt004.</w:t>
      </w:r>
    </w:p>
    <w:p w14:paraId="35FE7F65" w14:textId="77777777" w:rsidR="002123BA" w:rsidRDefault="002123BA" w:rsidP="002123BA">
      <w:pPr>
        <w:pStyle w:val="Bibliography"/>
      </w:pPr>
      <w:r>
        <w:t xml:space="preserve">Lee, Yi-Yun, Chao-Hsiun Tang, Jin-Hua Chen, Li-Na Kuo, and Yu Ko. 2018. ‘Evaluation of Healthcare Costs and Utilization for Patients with Gout: A Population-Based Matched Cohort Study’. </w:t>
      </w:r>
      <w:r>
        <w:rPr>
          <w:i/>
          <w:iCs/>
        </w:rPr>
        <w:t>Current Medical Research and Opinion</w:t>
      </w:r>
      <w:r>
        <w:t xml:space="preserve"> 34 (4): 735–40. https://doi.org/10.1080/03007995.2017.1417826.</w:t>
      </w:r>
    </w:p>
    <w:p w14:paraId="7F6A1017" w14:textId="77777777" w:rsidR="002123BA" w:rsidRDefault="002123BA" w:rsidP="002123BA">
      <w:pPr>
        <w:pStyle w:val="Bibliography"/>
      </w:pPr>
      <w:r>
        <w:t xml:space="preserve">Lensberg, Benedikte R., Michael F. Drummond, Natalya Danchenko, Nicolas Despiégel, and Clément François. 2013. ‘Challenges in Measuring and Valuing Productivity Costs, and Their Relevance in Mood Disorders’. </w:t>
      </w:r>
      <w:r>
        <w:rPr>
          <w:i/>
          <w:iCs/>
        </w:rPr>
        <w:t>ClinicoEconomics and Outcomes Research: CEOR</w:t>
      </w:r>
      <w:r>
        <w:t xml:space="preserve"> 5: 565.</w:t>
      </w:r>
    </w:p>
    <w:p w14:paraId="22F850B9" w14:textId="77777777" w:rsidR="002123BA" w:rsidRDefault="002123BA" w:rsidP="002123BA">
      <w:pPr>
        <w:pStyle w:val="Bibliography"/>
      </w:pPr>
      <w:r>
        <w:t xml:space="preserve">Lopez, Alan D., Thomas N. Williams, Adeera Levin, Marcello Tonelli, Jasvinder A. Singh, Peter GJ Burney, Jürgen Rehm, Nora D. Volkow, George Koob, and Cleusa P. Ferri. 2014. ‘Remembering the Forgotten Non-Communicable Diseases’. </w:t>
      </w:r>
      <w:r>
        <w:rPr>
          <w:i/>
          <w:iCs/>
        </w:rPr>
        <w:t>BMC Medicine</w:t>
      </w:r>
      <w:r>
        <w:t xml:space="preserve"> 12 (1): 200. https://doi.org/10.1186/s12916-014-0200-8.</w:t>
      </w:r>
    </w:p>
    <w:p w14:paraId="2B3D812E" w14:textId="77777777" w:rsidR="002123BA" w:rsidRDefault="002123BA" w:rsidP="002123BA">
      <w:pPr>
        <w:pStyle w:val="Bibliography"/>
      </w:pPr>
      <w:r>
        <w:t xml:space="preserve">Marcellusi, Andrea, Maria Assunta Rotundo, Claudia Nardone, Paolo Sciattella, Simone Gazzillo, Maurizio Rossini, Mario Barbagallo, Amalia Antenori, Domenico Valle, and Francesco Saverio Mennini. 2020. ‘Osteoporosis: Economic Burden of Disease in Italy’. </w:t>
      </w:r>
      <w:r>
        <w:rPr>
          <w:i/>
          <w:iCs/>
        </w:rPr>
        <w:t>Clinical Drug Investigation</w:t>
      </w:r>
      <w:r>
        <w:t xml:space="preserve"> 40 (5): 449–58. https://doi.org/10.1007/s40261-020-00904-8.</w:t>
      </w:r>
    </w:p>
    <w:p w14:paraId="71918F7C" w14:textId="77777777" w:rsidR="002123BA" w:rsidRDefault="002123BA" w:rsidP="002123BA">
      <w:pPr>
        <w:pStyle w:val="Bibliography"/>
      </w:pPr>
      <w:r>
        <w:t>Market Economics. 2013. ‘The Costs of Physical Inactivity: Toward a Regional Full-Cost Accounting Perspective’. A Report Prepared for Auckland Council, Waikato Regional Council and the Wellington Regional Strategy Committee. https://www.waikatoregion.govt.nz/assets/PageFiles/25488/The_Costs_of_Physical_Inactivity.PDF.</w:t>
      </w:r>
    </w:p>
    <w:p w14:paraId="783A76B6" w14:textId="77777777" w:rsidR="002123BA" w:rsidRDefault="002123BA" w:rsidP="002123BA">
      <w:pPr>
        <w:pStyle w:val="Bibliography"/>
      </w:pPr>
      <w:r>
        <w:t xml:space="preserve">Mason, Kylie, and Barry Borman. 2016. ‘Burden of Disease from Second-Hand Smoke Exposure in New Zealand’. </w:t>
      </w:r>
      <w:r>
        <w:rPr>
          <w:i/>
          <w:iCs/>
        </w:rPr>
        <w:t>New Zealand Medical Journal</w:t>
      </w:r>
      <w:r>
        <w:t xml:space="preserve"> 129 (1432). https://www.nzma.org.nz/journal-articles/burden-of-disease-from-second-hand-smoke-exposure-in-new-zealand.</w:t>
      </w:r>
    </w:p>
    <w:p w14:paraId="75E92F42" w14:textId="77777777" w:rsidR="002123BA" w:rsidRDefault="002123BA" w:rsidP="002123BA">
      <w:pPr>
        <w:pStyle w:val="Bibliography"/>
      </w:pPr>
      <w:r>
        <w:t xml:space="preserve">Milne, Richard J., Diana Lennon, Joanna M. Stewart, Stephen Vander Hoorn, and Paul A. Scuffham. 2012. ‘Mortality and Hospitalisation Costs of Rheumatic Fever and Rheumatic Heart Disease in New Zealand’. </w:t>
      </w:r>
      <w:r>
        <w:rPr>
          <w:i/>
          <w:iCs/>
        </w:rPr>
        <w:t>Journal of Paediatrics and Child Health</w:t>
      </w:r>
      <w:r>
        <w:t xml:space="preserve"> 48 (8): 692–97. https://doi.org/10.1111/j.1440-1754.2012.02446.x.</w:t>
      </w:r>
    </w:p>
    <w:p w14:paraId="0DC6DCA8" w14:textId="77777777" w:rsidR="002123BA" w:rsidRDefault="002123BA" w:rsidP="002123BA">
      <w:pPr>
        <w:pStyle w:val="Bibliography"/>
      </w:pPr>
      <w:r>
        <w:lastRenderedPageBreak/>
        <w:t>Ministry of Health. 2009. ‘Report on New Zealand Cost-of-Illness Studies on Long-Term Conditions’. Wellington: Ministry of Health. https://www.health.govt.nz/publication/report-new-zealand-cost-illness-studies-long-term-conditions.</w:t>
      </w:r>
    </w:p>
    <w:p w14:paraId="210BDF3E" w14:textId="77777777" w:rsidR="002123BA" w:rsidRDefault="002123BA" w:rsidP="002123BA">
      <w:pPr>
        <w:pStyle w:val="Bibliography"/>
      </w:pPr>
      <w:r>
        <w:t xml:space="preserve">———. 2013. </w:t>
      </w:r>
      <w:r>
        <w:rPr>
          <w:i/>
          <w:iCs/>
        </w:rPr>
        <w:t>Health Loss in New Zealand: A Report from the New Zealand Burden of Diseases, Injuries and Risk Factors Study, 2006-2016</w:t>
      </w:r>
      <w:r>
        <w:t>. https://www.health.govt.nz/system/files/documents/publications/health-loss-in-new-zealand-final.pdf.</w:t>
      </w:r>
    </w:p>
    <w:p w14:paraId="5F800891" w14:textId="77777777" w:rsidR="002123BA" w:rsidRDefault="002123BA" w:rsidP="002123BA">
      <w:pPr>
        <w:pStyle w:val="Bibliography"/>
      </w:pPr>
      <w:r>
        <w:t xml:space="preserve">Mizdrak, Anja, Tony Blakely, Christine L. Cleghorn, and Linda J. Cobiac. 2019. ‘Potential of Active Transport to Improve Health, Reduce Healthcare Costs, and Reduce Greenhouse Gas Emissions: A Modelling Study’. </w:t>
      </w:r>
      <w:r>
        <w:rPr>
          <w:i/>
          <w:iCs/>
        </w:rPr>
        <w:t>PLOS ONE</w:t>
      </w:r>
      <w:r>
        <w:t xml:space="preserve"> 14 (7): e0219316. https://doi.org/10.1371/journal.pone.0219316.</w:t>
      </w:r>
    </w:p>
    <w:p w14:paraId="4DD5819C" w14:textId="77777777" w:rsidR="002123BA" w:rsidRDefault="002123BA" w:rsidP="002123BA">
      <w:pPr>
        <w:pStyle w:val="Bibliography"/>
      </w:pPr>
      <w:r>
        <w:t xml:space="preserve">Mizdrak, Anja, Ding Ding, Christine Cleghorn, Tony Blakely, and Justin Richards. 2021. ‘Hitting the Target but Missing the Point? Modelling Health and Economic Impacts of Different Approaches to Meeting the Global Action Plan for Physical Activity Target’. </w:t>
      </w:r>
      <w:r>
        <w:rPr>
          <w:i/>
          <w:iCs/>
        </w:rPr>
        <w:t>Sports Medicine</w:t>
      </w:r>
      <w:r>
        <w:t xml:space="preserve"> 51 (4): 815–23. https://doi.org/10.1007/s40279-020-01398-2.</w:t>
      </w:r>
    </w:p>
    <w:p w14:paraId="12DA1CD5" w14:textId="77777777" w:rsidR="002123BA" w:rsidRDefault="002123BA" w:rsidP="002123BA">
      <w:pPr>
        <w:pStyle w:val="Bibliography"/>
      </w:pPr>
      <w:r>
        <w:t xml:space="preserve">Nghiem, Nhung, Tony Blakely, Linda J. Cobiac, Amber L. Pearson, and Nick Wilson. 2015. ‘Health and Economic Impacts of Eight Different Dietary Salt Reduction Interventions’. </w:t>
      </w:r>
      <w:r>
        <w:rPr>
          <w:i/>
          <w:iCs/>
        </w:rPr>
        <w:t>PLOS ONE</w:t>
      </w:r>
      <w:r>
        <w:t xml:space="preserve"> 10 (4): e0123915. https://doi.org/10.1371/journal.pone.0123915.</w:t>
      </w:r>
    </w:p>
    <w:p w14:paraId="5490E514" w14:textId="77777777" w:rsidR="002123BA" w:rsidRDefault="002123BA" w:rsidP="002123BA">
      <w:pPr>
        <w:pStyle w:val="Bibliography"/>
      </w:pPr>
      <w:r>
        <w:t>Nghiem, Nhung, Nick Wilson, and Tony Blakely. 2015. ‘Online Report: Technical Background to the Cardiovascular Disease Model Used in the BODE3 Programme’.</w:t>
      </w:r>
    </w:p>
    <w:p w14:paraId="55B117F7" w14:textId="77777777" w:rsidR="002123BA" w:rsidRDefault="002123BA" w:rsidP="002123BA">
      <w:pPr>
        <w:pStyle w:val="Bibliography"/>
      </w:pPr>
      <w:r>
        <w:t xml:space="preserve">Nord, Erik. 2011. ‘Discounting Future Health Benefits: The Poverty of Consistency Arguments’. </w:t>
      </w:r>
      <w:r>
        <w:rPr>
          <w:i/>
          <w:iCs/>
        </w:rPr>
        <w:t>Health Economics</w:t>
      </w:r>
      <w:r>
        <w:t xml:space="preserve"> 20 (January): 16–26. https://doi.org/10.1002/hec.1687.</w:t>
      </w:r>
    </w:p>
    <w:p w14:paraId="05F1478F" w14:textId="77777777" w:rsidR="002123BA" w:rsidRDefault="002123BA" w:rsidP="002123BA">
      <w:pPr>
        <w:pStyle w:val="Bibliography"/>
      </w:pPr>
      <w:r>
        <w:t xml:space="preserve">Onukwugha, Eberechukwu, Jacquelyn McRae, Alex Kravetz, Stefan Varga, Rahul Khairnar, and C. Daniel Mullins. 2016. ‘Cost-of-Illness Studies: An Updated Review of Current Methods’. </w:t>
      </w:r>
      <w:r>
        <w:rPr>
          <w:i/>
          <w:iCs/>
        </w:rPr>
        <w:t>PharmacoEconomics</w:t>
      </w:r>
      <w:r>
        <w:t xml:space="preserve"> 34 (1): 43–58. https://doi.org/10.1007/s40273-015-0325-4.</w:t>
      </w:r>
    </w:p>
    <w:p w14:paraId="1452F0D9" w14:textId="77777777" w:rsidR="002123BA" w:rsidRDefault="002123BA" w:rsidP="002123BA">
      <w:pPr>
        <w:pStyle w:val="Bibliography"/>
      </w:pPr>
      <w:r>
        <w:t xml:space="preserve">Pike, Jamison, and Scott D. Grosse. 2018. ‘Friction Cost Estimates of Productivity Costs in Cost-of-Illness Studies in Comparison with Human Capital Estimates: A Review’. </w:t>
      </w:r>
      <w:r>
        <w:rPr>
          <w:i/>
          <w:iCs/>
        </w:rPr>
        <w:t>Applied Health Economics and Health Policy</w:t>
      </w:r>
      <w:r>
        <w:t xml:space="preserve"> 16 (6): 765–78. http://dx.doi.org.ezproxy.canterbury.ac.nz/10.1007/s40258-018-0416-4.</w:t>
      </w:r>
    </w:p>
    <w:p w14:paraId="4CEE7BA4" w14:textId="77777777" w:rsidR="002123BA" w:rsidRDefault="002123BA" w:rsidP="002123BA">
      <w:pPr>
        <w:pStyle w:val="Bibliography"/>
      </w:pPr>
      <w:r>
        <w:t>PwC. 2021. ‘The Economic and Social Cost of Type 2 Diabetes’. This study was conducted by PwC and funded by: Diabetes New Zealand; Edgar Diabetes and Obesity Research Centre (University of Otago); Healthier Lives – He Oranga Hauora National Science Challenge and Tony &amp; Heather Falkenstein.</w:t>
      </w:r>
    </w:p>
    <w:p w14:paraId="740A0F01" w14:textId="77777777" w:rsidR="002123BA" w:rsidRDefault="002123BA" w:rsidP="002123BA">
      <w:pPr>
        <w:pStyle w:val="Bibliography"/>
      </w:pPr>
      <w:r>
        <w:t xml:space="preserve">Rosser, R, and P Kind. 1978. ‘Scale of Valuations of States of Illness: Is There a Social Consensus? | International Journal of Epidemiology | Oxford Academic’. </w:t>
      </w:r>
      <w:r>
        <w:rPr>
          <w:i/>
          <w:iCs/>
        </w:rPr>
        <w:t>International Journal of Epidemiology</w:t>
      </w:r>
      <w:r>
        <w:t xml:space="preserve"> 7 (4). doi: 10.1093/ije/7.4.347.</w:t>
      </w:r>
    </w:p>
    <w:p w14:paraId="40EE7DB1" w14:textId="77777777" w:rsidR="002123BA" w:rsidRDefault="002123BA" w:rsidP="002123BA">
      <w:pPr>
        <w:pStyle w:val="Bibliography"/>
      </w:pPr>
      <w:r>
        <w:t xml:space="preserve">Schlichting, D, T Fadason, C Grant, and J O’Sullivan. 2021. ‘Childhood Asthma in New Zealand: The Impact of Ongoing Socioeconomic Disadvantage (2010–2019)’. </w:t>
      </w:r>
      <w:r>
        <w:rPr>
          <w:i/>
          <w:iCs/>
        </w:rPr>
        <w:t>New Zealand Medical Journal</w:t>
      </w:r>
      <w:r>
        <w:t xml:space="preserve"> 134 (1533). https://www.proquest.com/openview/905c8051372286893abd56115c4c5543/1?pq-origsite=gscholar&amp;cbl=1056335.</w:t>
      </w:r>
    </w:p>
    <w:p w14:paraId="1858D189" w14:textId="77777777" w:rsidR="002123BA" w:rsidRDefault="002123BA" w:rsidP="002123BA">
      <w:pPr>
        <w:pStyle w:val="Bibliography"/>
      </w:pPr>
      <w:r>
        <w:t xml:space="preserve">Sheridan, Nicolette F., Timothy W. Kenealy, Martin J. Connolly, Faith Mahony, P. Alan Barber, Mary Anne Boyd, Peter Carswell, et al. 2011. ‘Health Equity in the New Zealand Health Care System: A National Survey’. </w:t>
      </w:r>
      <w:r>
        <w:rPr>
          <w:i/>
          <w:iCs/>
        </w:rPr>
        <w:t>International Journal for Equity in Health</w:t>
      </w:r>
      <w:r>
        <w:t xml:space="preserve"> 10 (1): 45. https://doi.org/10.1186/1475-9276-10-45.</w:t>
      </w:r>
    </w:p>
    <w:p w14:paraId="226B2D45" w14:textId="77777777" w:rsidR="002123BA" w:rsidRDefault="002123BA" w:rsidP="002123BA">
      <w:pPr>
        <w:pStyle w:val="Bibliography"/>
      </w:pPr>
      <w:r>
        <w:t xml:space="preserve">Špacírová, Zuzana, David Epstein, Leticia García-Mochón, Joan Rovira, Antonio Olry de Labry Lima, and Jaime Espín. 2020. ‘A General Framework for Classifying Costing Methods for Economic Evaluation of Health Care’. </w:t>
      </w:r>
      <w:r>
        <w:rPr>
          <w:i/>
          <w:iCs/>
        </w:rPr>
        <w:t>The European Journal of Health Economics</w:t>
      </w:r>
      <w:r>
        <w:t xml:space="preserve"> 21 (4): 529–42.</w:t>
      </w:r>
    </w:p>
    <w:p w14:paraId="04B461E6" w14:textId="77777777" w:rsidR="002123BA" w:rsidRDefault="002123BA" w:rsidP="002123BA">
      <w:pPr>
        <w:pStyle w:val="Bibliography"/>
      </w:pPr>
      <w:r>
        <w:t xml:space="preserve">Špacírová, Zuzana, David Epstein, Leticia García-Mochón, Joan Rovira, Antonio Olry de Labry Lima, and Jaime Espín. 2020. ‘A General Framework for Classifying Costing Methods for Economic </w:t>
      </w:r>
      <w:r>
        <w:lastRenderedPageBreak/>
        <w:t xml:space="preserve">Evaluation of Health Care’. </w:t>
      </w:r>
      <w:r>
        <w:rPr>
          <w:i/>
          <w:iCs/>
        </w:rPr>
        <w:t>The European Journal of Health Economics</w:t>
      </w:r>
      <w:r>
        <w:t xml:space="preserve"> 21 (4): 529–42. https://doi.org/10.1007/s10198-019-01157-9.</w:t>
      </w:r>
    </w:p>
    <w:p w14:paraId="171C6004" w14:textId="77777777" w:rsidR="002123BA" w:rsidRDefault="002123BA" w:rsidP="002123BA">
      <w:pPr>
        <w:pStyle w:val="Bibliography"/>
      </w:pPr>
      <w:r>
        <w:t xml:space="preserve">Spaetgens, Bart, José M. A. Wijnands, Caroline van Durme, Sjef van der Linden, and Annelies Boonen. 2015. ‘Cost of Illness and Determinants of Costs among Patients with Gout’. </w:t>
      </w:r>
      <w:r>
        <w:rPr>
          <w:i/>
          <w:iCs/>
        </w:rPr>
        <w:t>The Journal of Rheumatology</w:t>
      </w:r>
      <w:r>
        <w:t xml:space="preserve"> 42 (2): 335–44. https://doi.org/10.3899/jrheum.140679.</w:t>
      </w:r>
    </w:p>
    <w:p w14:paraId="369C3A6B" w14:textId="77777777" w:rsidR="002123BA" w:rsidRDefault="002123BA" w:rsidP="002123BA">
      <w:pPr>
        <w:pStyle w:val="Bibliography"/>
      </w:pPr>
      <w:r>
        <w:t xml:space="preserve">Svensen, Georgina, Bridget Kool, and Sarah Buller. 2019. ‘The Burden of Alcohol-Related Presentations to a Busy Urban New Zealand Hospital Emergency Department’. </w:t>
      </w:r>
      <w:r>
        <w:rPr>
          <w:i/>
          <w:iCs/>
        </w:rPr>
        <w:t>The New Zealand Medical Journal</w:t>
      </w:r>
      <w:r>
        <w:t xml:space="preserve"> 132 (1504): 56–66.</w:t>
      </w:r>
    </w:p>
    <w:p w14:paraId="2279E0DB" w14:textId="77777777" w:rsidR="002123BA" w:rsidRDefault="002123BA" w:rsidP="002123BA">
      <w:pPr>
        <w:pStyle w:val="Bibliography"/>
      </w:pPr>
      <w:r>
        <w:t>Telfar Barnard, Lucy, Michael Baker, Nevil Pierse, Jane Zhang, and Asthma and Respiratory Foundation of New Zealand. 2015. ‘The Impact of Respiratory Disease in New Zealand: 2014 Update’.</w:t>
      </w:r>
    </w:p>
    <w:p w14:paraId="38B3FE10" w14:textId="77777777" w:rsidR="002123BA" w:rsidRDefault="002123BA" w:rsidP="002123BA">
      <w:pPr>
        <w:pStyle w:val="Bibliography"/>
      </w:pPr>
      <w:r>
        <w:t>Telfar Barnard, Lucy, and Jane Zhang. 2019. ‘The Impact of Respiratory Disease in New Zealand: 2018 Update’. This report was prepared for the Asthma and Respiratory Foundation NZ. https://www.asthmafoundation.org.nz/assets/images/NZ-Impact-Report-2018_FINAL.pdf.</w:t>
      </w:r>
    </w:p>
    <w:p w14:paraId="6C2670BF" w14:textId="77777777" w:rsidR="002123BA" w:rsidRDefault="002123BA" w:rsidP="002123BA">
      <w:pPr>
        <w:pStyle w:val="Bibliography"/>
      </w:pPr>
      <w:r>
        <w:t xml:space="preserve">Vupputuri, Suma, Teresa M. Kimes, Michael O. Calloway, Jennifer B. Christian, David Bruhn, Alan A. Martin, and Gregory A. Nichols. 2014. ‘The Economic Burden of Progressive Chronic Kidney Disease among Patients with Type 2 Diabetes’. </w:t>
      </w:r>
      <w:r>
        <w:rPr>
          <w:i/>
          <w:iCs/>
        </w:rPr>
        <w:t>Journal of Diabetes and Its Complications</w:t>
      </w:r>
      <w:r>
        <w:t xml:space="preserve"> 28 (1): 10–16. http://dx.doi.org.wcl.idm.oclc.org/10.1016/j.jdiacomp.2013.09.014.</w:t>
      </w:r>
    </w:p>
    <w:p w14:paraId="19C02D6D" w14:textId="77777777" w:rsidR="002123BA" w:rsidRDefault="002123BA" w:rsidP="002123BA">
      <w:pPr>
        <w:pStyle w:val="Bibliography"/>
      </w:pPr>
      <w:r>
        <w:t xml:space="preserve">Wilson, Nick, Nhung Nghiem, Helen Eyles, Cliona Ni Mhurchu, Emma Shields, Linda J. Cobiac, Christine L. Cleghorn, and Tony Blakely. 2016. ‘Modeling Health Gains and Cost Savings for Ten Dietary Salt Reduction Targets’. </w:t>
      </w:r>
      <w:r>
        <w:rPr>
          <w:i/>
          <w:iCs/>
        </w:rPr>
        <w:t>Nutrition Journal</w:t>
      </w:r>
      <w:r>
        <w:t xml:space="preserve"> 15 (1): 44. https://doi.org/10.1186/s12937-016-0161-1.</w:t>
      </w:r>
    </w:p>
    <w:p w14:paraId="7C9B6092" w14:textId="77777777" w:rsidR="002123BA" w:rsidRDefault="002123BA" w:rsidP="002123BA">
      <w:pPr>
        <w:pStyle w:val="Bibliography"/>
      </w:pPr>
      <w:r>
        <w:t xml:space="preserve">Wilson, Ross, and J. Haxby Abbott. 2019. ‘The Projected Burden of Knee Osteoarthritis in New Zealand: Healthcare Expenditure and Total Joint Replacement Provision’. </w:t>
      </w:r>
      <w:r>
        <w:rPr>
          <w:i/>
          <w:iCs/>
        </w:rPr>
        <w:t>The New Zealand Medical Journal</w:t>
      </w:r>
      <w:r>
        <w:t xml:space="preserve"> 132 (1503): 53–65.</w:t>
      </w:r>
    </w:p>
    <w:p w14:paraId="6FD4C728" w14:textId="77777777" w:rsidR="002123BA" w:rsidRDefault="002123BA" w:rsidP="002123BA">
      <w:pPr>
        <w:pStyle w:val="Bibliography"/>
      </w:pPr>
      <w:r>
        <w:t>World Health Organization. 2013. ‘Global Action Plan for the Prevention and Control of NCDs 2013-2020’. https://www.who.int/publications-detail-redirect/9789241506236.</w:t>
      </w:r>
    </w:p>
    <w:p w14:paraId="50E94F21" w14:textId="77777777" w:rsidR="002123BA" w:rsidRDefault="002123BA" w:rsidP="002123BA">
      <w:pPr>
        <w:pStyle w:val="Bibliography"/>
      </w:pPr>
      <w:r>
        <w:t>———. 2014. ‘Noncommunicable Diseases Global Monitoring Framework: Indicator Definitions and Specifications’. 2014. https://www.who.int/nmh/ncd-tools/indicators/GMF_Indicator_Definitions_Version_NOV2014.pdf.</w:t>
      </w:r>
    </w:p>
    <w:p w14:paraId="218D79BC" w14:textId="77777777" w:rsidR="002123BA" w:rsidRDefault="002123BA" w:rsidP="002123BA">
      <w:pPr>
        <w:pStyle w:val="Bibliography"/>
      </w:pPr>
      <w:r>
        <w:t>———. 2018. ‘Noncommunicable Diseases: Key Facts’. 2018. https://www.who.int/news-room/fact-sheets/detail/noncommunicable-diseases.</w:t>
      </w:r>
    </w:p>
    <w:p w14:paraId="4B83E57B" w14:textId="77777777" w:rsidR="002123BA" w:rsidRDefault="002123BA" w:rsidP="002123BA">
      <w:pPr>
        <w:pStyle w:val="Bibliography"/>
      </w:pPr>
      <w:r>
        <w:t>Wyber, Rosemary, Jeffery Cannon, Judith Katzenellenbogen, Catherine Halkon, Kate Harford, Catalina Lizama, and Caroline Wise. 2018. ‘Cost of Inaction on Rheumatic Heart Disease’, 22.</w:t>
      </w:r>
    </w:p>
    <w:p w14:paraId="1E0784C4" w14:textId="77777777" w:rsidR="002123BA" w:rsidRDefault="002123BA" w:rsidP="002123BA">
      <w:pPr>
        <w:pStyle w:val="Bibliography"/>
      </w:pPr>
      <w:r>
        <w:t xml:space="preserve">Zemedikun, Dawit T., Jesse Kigozi, Gwenllian Wynne-Jones, Alessandra Guariglia, and Tracy Roberts. 2021. ‘Methodological Considerations in the Assessment of Direct and Indirect Costs of Back Pain: A Systematic Scoping Review’. </w:t>
      </w:r>
      <w:r>
        <w:rPr>
          <w:i/>
          <w:iCs/>
        </w:rPr>
        <w:t>PloS One</w:t>
      </w:r>
      <w:r>
        <w:t xml:space="preserve"> 16 (5): e0251406.</w:t>
      </w:r>
    </w:p>
    <w:p w14:paraId="18A32EEA" w14:textId="76076B67" w:rsidR="004B269E" w:rsidRPr="004B269E" w:rsidRDefault="004B269E" w:rsidP="008453B2">
      <w:pPr>
        <w:spacing w:after="160" w:line="259" w:lineRule="auto"/>
      </w:pPr>
    </w:p>
    <w:sectPr w:rsidR="004B269E" w:rsidRPr="004B269E" w:rsidSect="00FB1D28">
      <w:pgSz w:w="11907" w:h="16839" w:code="9"/>
      <w:pgMar w:top="1701"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E7371" w14:textId="77777777" w:rsidR="00443CD7" w:rsidRPr="007F1F96" w:rsidRDefault="00443CD7" w:rsidP="00776D39">
      <w:pPr>
        <w:spacing w:after="0" w:line="240" w:lineRule="auto"/>
      </w:pPr>
      <w:r w:rsidRPr="007F1F96">
        <w:separator/>
      </w:r>
    </w:p>
  </w:endnote>
  <w:endnote w:type="continuationSeparator" w:id="0">
    <w:p w14:paraId="3D4DF9BC" w14:textId="77777777" w:rsidR="00443CD7" w:rsidRPr="007F1F96" w:rsidRDefault="00443CD7" w:rsidP="00776D39">
      <w:pPr>
        <w:spacing w:after="0" w:line="240" w:lineRule="auto"/>
      </w:pPr>
      <w:r w:rsidRPr="007F1F96">
        <w:continuationSeparator/>
      </w:r>
    </w:p>
  </w:endnote>
  <w:endnote w:type="continuationNotice" w:id="1">
    <w:p w14:paraId="07E556AB" w14:textId="77777777" w:rsidR="00443CD7" w:rsidRDefault="00443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LT 47 LightCn">
    <w:altName w:val="Calibri"/>
    <w:panose1 w:val="00000000000000000000"/>
    <w:charset w:val="00"/>
    <w:family w:val="swiss"/>
    <w:notTrueType/>
    <w:pitch w:val="default"/>
    <w:sig w:usb0="00000003" w:usb1="00000000" w:usb2="00000000" w:usb3="00000000" w:csb0="00000001" w:csb1="00000000"/>
  </w:font>
  <w:font w:name="BphmwkAdvTTb5929f4c">
    <w:altName w:val="Calibri"/>
    <w:panose1 w:val="00000000000000000000"/>
    <w:charset w:val="00"/>
    <w:family w:val="swiss"/>
    <w:notTrueType/>
    <w:pitch w:val="default"/>
    <w:sig w:usb0="00000003" w:usb1="00000000" w:usb2="00000000" w:usb3="00000000" w:csb0="00000001" w:csb1="00000000"/>
  </w:font>
  <w:font w:name="RhxdptAdvTTb5929f4c+20">
    <w:altName w:val="Calibri"/>
    <w:panose1 w:val="00000000000000000000"/>
    <w:charset w:val="00"/>
    <w:family w:val="swiss"/>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53A2" w14:textId="77777777" w:rsidR="00DA670E" w:rsidRDefault="00DA670E">
    <w:pPr>
      <w:pStyle w:val="Footer"/>
    </w:pPr>
    <w:r>
      <w:rPr>
        <w:noProof/>
      </w:rPr>
      <w:drawing>
        <wp:anchor distT="0" distB="0" distL="114300" distR="114300" simplePos="0" relativeHeight="251658240" behindDoc="0" locked="0" layoutInCell="1" allowOverlap="0" wp14:anchorId="68BC461F" wp14:editId="49299932">
          <wp:simplePos x="0" y="0"/>
          <wp:positionH relativeFrom="margin">
            <wp:posOffset>5517515</wp:posOffset>
          </wp:positionH>
          <wp:positionV relativeFrom="paragraph">
            <wp:posOffset>-50800</wp:posOffset>
          </wp:positionV>
          <wp:extent cx="468000" cy="428400"/>
          <wp:effectExtent l="0" t="0" r="825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468000" cy="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06C25974" w14:textId="77777777" w:rsidR="00DA670E" w:rsidRDefault="00DA67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B8BF0" w14:textId="77777777" w:rsidR="00DA670E" w:rsidRDefault="00DA670E" w:rsidP="003F1668">
    <w:pPr>
      <w:pStyle w:val="Footer"/>
    </w:pPr>
  </w:p>
  <w:p w14:paraId="30842A1D" w14:textId="77777777" w:rsidR="00DA670E" w:rsidRPr="00C84B04" w:rsidRDefault="00DA670E" w:rsidP="00FC1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C4B8" w14:textId="1982F5C7" w:rsidR="00DA670E" w:rsidRDefault="00DA670E" w:rsidP="00881555">
    <w:pPr>
      <w:pStyle w:val="USSingleSpacedParagraph"/>
      <w:spacing w:after="120"/>
    </w:pPr>
  </w:p>
  <w:p w14:paraId="231898D1" w14:textId="52674B7F" w:rsidR="00DA670E" w:rsidRDefault="00476EE5" w:rsidP="00881555">
    <w:pPr>
      <w:pStyle w:val="FooterInsidecover"/>
    </w:pPr>
    <w:r>
      <w:t xml:space="preserve">Registered office: </w:t>
    </w:r>
    <w:r w:rsidR="00DA670E">
      <w:t xml:space="preserve">Level 13, </w:t>
    </w:r>
    <w:r w:rsidR="008D12B3">
      <w:t>Public Trust Tower</w:t>
    </w:r>
    <w:r w:rsidR="00F337D4">
      <w:t xml:space="preserve">, </w:t>
    </w:r>
    <w:r w:rsidR="00DA670E">
      <w:t>22–28 Willeston St | PO Box 3479, Wellington 6140</w:t>
    </w:r>
  </w:p>
  <w:p w14:paraId="44AB2D51" w14:textId="7F301E69" w:rsidR="00F337D4" w:rsidRDefault="00F337D4" w:rsidP="00881555">
    <w:pPr>
      <w:pStyle w:val="FooterInsidecover"/>
    </w:pPr>
    <w:r>
      <w:t>Auckland office: Ground Floor, 70 Shortland St, Auckland</w:t>
    </w:r>
  </w:p>
  <w:p w14:paraId="01AB58D4" w14:textId="7E4AF581" w:rsidR="00DA670E" w:rsidRDefault="00DA670E" w:rsidP="00881555">
    <w:pPr>
      <w:pStyle w:val="FooterInsidecover"/>
    </w:pPr>
    <w:r>
      <w:t xml:space="preserve">Tel </w:t>
    </w:r>
    <w:r w:rsidR="001A4E54">
      <w:t xml:space="preserve">0800 220 090 or </w:t>
    </w:r>
    <w:r>
      <w:t xml:space="preserve">+64 4 472 </w:t>
    </w:r>
    <w:r w:rsidRPr="00DE7FA6">
      <w:t xml:space="preserve">1880 | </w:t>
    </w:r>
    <w:hyperlink r:id="rId1" w:history="1">
      <w:r w:rsidRPr="00DE7FA6">
        <w:t>econ@nzier.org.nz</w:t>
      </w:r>
    </w:hyperlink>
    <w:r w:rsidR="00F337D4" w:rsidRPr="00DE7FA6">
      <w:t xml:space="preserve"> | </w:t>
    </w:r>
    <w:hyperlink r:id="rId2" w:history="1">
      <w:r w:rsidR="00F337D4" w:rsidRPr="00DE7FA6">
        <w:t>www.nzier.org.nz</w:t>
      </w:r>
    </w:hyperlink>
    <w:r w:rsidR="00F337D4">
      <w:t xml:space="preserve"> </w:t>
    </w:r>
  </w:p>
  <w:p w14:paraId="257B7AC2" w14:textId="77777777" w:rsidR="00DA670E" w:rsidRDefault="00DA670E" w:rsidP="00881555">
    <w:pPr>
      <w:pStyle w:val="FooterInsidecover"/>
    </w:pPr>
  </w:p>
  <w:p w14:paraId="0D2131BC" w14:textId="16F048D0" w:rsidR="00DA670E" w:rsidRDefault="00DA670E" w:rsidP="00881555">
    <w:pPr>
      <w:pStyle w:val="FooterInsidecover"/>
    </w:pPr>
    <w:r>
      <w:t xml:space="preserve">© NZ Institute of Economic Research (Inc). Cover image © </w:t>
    </w:r>
    <w:r w:rsidR="001A4E54">
      <w:t>Dreamstime.com</w:t>
    </w:r>
  </w:p>
  <w:p w14:paraId="4D7DA7D4" w14:textId="77777777" w:rsidR="00DA670E" w:rsidRDefault="00DA670E" w:rsidP="00881555">
    <w:pPr>
      <w:pStyle w:val="FooterInsidecover"/>
    </w:pPr>
    <w:r>
      <w:t xml:space="preserve">NZIER’s standard terms of engagement for contract research can </w:t>
    </w:r>
    <w:r w:rsidRPr="00DE7FA6">
      <w:t xml:space="preserve">be found at </w:t>
    </w:r>
    <w:hyperlink r:id="rId3" w:history="1">
      <w:r w:rsidRPr="00DE7FA6">
        <w:t>www.nzier.org.nz</w:t>
      </w:r>
    </w:hyperlink>
    <w:r w:rsidRPr="00DE7FA6">
      <w:t>.</w:t>
    </w:r>
  </w:p>
  <w:p w14:paraId="689C4223" w14:textId="77777777" w:rsidR="00DA670E" w:rsidRDefault="00DA670E" w:rsidP="00881555">
    <w:pPr>
      <w:pStyle w:val="FooterInsidecover"/>
    </w:pPr>
  </w:p>
  <w:p w14:paraId="4DA2158D" w14:textId="21B960E3" w:rsidR="00DA670E" w:rsidRDefault="00F337D4" w:rsidP="00881555">
    <w:pPr>
      <w:pStyle w:val="FooterInsidecover"/>
    </w:pPr>
    <w:r>
      <w:rPr>
        <w:snapToGrid w:val="0"/>
        <w:sz w:val="15"/>
        <w:szCs w:val="15"/>
        <w:lang w:val="en-GB"/>
      </w:rPr>
      <w:t>While NZIER will use all reasonable endeavours in undertaking contract research and producing reports to ensure the information is as accurate as practicable, the Institute, its contributors, employees, and Board shall not be liable (whether in contract, tort (including negligence), equity or on any other basis) for any loss or damage sustained by any person relying on such work whatever the cause of such loss or damage.</w:t>
    </w:r>
  </w:p>
  <w:p w14:paraId="5E219E15" w14:textId="77777777" w:rsidR="00DA670E" w:rsidRPr="00C84B04" w:rsidRDefault="00DA670E" w:rsidP="00183CB7">
    <w:pPr>
      <w:pStyle w:val="Footer"/>
    </w:pPr>
    <w:r w:rsidRPr="00C84B04">
      <w:rPr>
        <w:noProof/>
      </w:rPr>
      <w:drawing>
        <wp:anchor distT="0" distB="0" distL="114300" distR="114300" simplePos="0" relativeHeight="251658244" behindDoc="1" locked="0" layoutInCell="1" allowOverlap="0" wp14:anchorId="2D522773" wp14:editId="7BAB6423">
          <wp:simplePos x="0" y="0"/>
          <wp:positionH relativeFrom="rightMargin">
            <wp:posOffset>-180340</wp:posOffset>
          </wp:positionH>
          <wp:positionV relativeFrom="paragraph">
            <wp:posOffset>27940</wp:posOffset>
          </wp:positionV>
          <wp:extent cx="522000" cy="4788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4"/>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5DECC" w14:textId="0F05C9CF" w:rsidR="00DA670E" w:rsidRPr="00C84B04" w:rsidRDefault="00DA670E" w:rsidP="00FC1A04">
    <w:pPr>
      <w:pStyle w:val="Footer"/>
    </w:pPr>
    <w:r w:rsidRPr="00C84B04">
      <w:rPr>
        <w:noProof/>
      </w:rPr>
      <w:drawing>
        <wp:anchor distT="0" distB="0" distL="114300" distR="114300" simplePos="0" relativeHeight="251656704" behindDoc="1" locked="0" layoutInCell="1" allowOverlap="0" wp14:anchorId="4133E24E" wp14:editId="10F1E8AC">
          <wp:simplePos x="0" y="0"/>
          <wp:positionH relativeFrom="rightMargin">
            <wp:posOffset>-180340</wp:posOffset>
          </wp:positionH>
          <wp:positionV relativeFrom="paragraph">
            <wp:posOffset>27940</wp:posOffset>
          </wp:positionV>
          <wp:extent cx="522000" cy="478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F3DE" w14:textId="77777777" w:rsidR="00DA670E" w:rsidRPr="00C84B04" w:rsidRDefault="00DA670E" w:rsidP="00FC1A04">
    <w:pPr>
      <w:pStyle w:val="Footer"/>
    </w:pPr>
    <w:r w:rsidRPr="00C84B04">
      <w:rPr>
        <w:noProof/>
      </w:rPr>
      <w:drawing>
        <wp:anchor distT="0" distB="0" distL="114300" distR="114300" simplePos="0" relativeHeight="251658752" behindDoc="1" locked="0" layoutInCell="1" allowOverlap="0" wp14:anchorId="3330199E" wp14:editId="1D9B916C">
          <wp:simplePos x="0" y="0"/>
          <wp:positionH relativeFrom="rightMargin">
            <wp:posOffset>-85090</wp:posOffset>
          </wp:positionH>
          <wp:positionV relativeFrom="paragraph">
            <wp:posOffset>8890</wp:posOffset>
          </wp:positionV>
          <wp:extent cx="522000" cy="4788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A5E89" w14:textId="77777777" w:rsidR="00443CD7" w:rsidRPr="00246B84" w:rsidRDefault="00443CD7" w:rsidP="00246B84">
      <w:pPr>
        <w:pStyle w:val="Footer"/>
      </w:pPr>
    </w:p>
  </w:footnote>
  <w:footnote w:type="continuationSeparator" w:id="0">
    <w:p w14:paraId="33177EA3" w14:textId="77777777" w:rsidR="00443CD7" w:rsidRPr="00246B84" w:rsidRDefault="00443CD7" w:rsidP="00246B84">
      <w:pPr>
        <w:pStyle w:val="Footer"/>
      </w:pPr>
    </w:p>
  </w:footnote>
  <w:footnote w:type="continuationNotice" w:id="1">
    <w:p w14:paraId="77F79F9E" w14:textId="77777777" w:rsidR="00443CD7" w:rsidRPr="00246B84" w:rsidRDefault="00443CD7" w:rsidP="00246B84">
      <w:pPr>
        <w:pStyle w:val="Footer"/>
      </w:pPr>
    </w:p>
  </w:footnote>
  <w:footnote w:id="2">
    <w:p w14:paraId="2011EE90" w14:textId="5CF18D75" w:rsidR="007C4595" w:rsidRDefault="007C4595">
      <w:pPr>
        <w:pStyle w:val="FootnoteText"/>
      </w:pPr>
      <w:r>
        <w:rPr>
          <w:rStyle w:val="FootnoteReference"/>
        </w:rPr>
        <w:footnoteRef/>
      </w:r>
      <w:r w:rsidR="00FB4BC5">
        <w:tab/>
        <w:t>All cost estimates for New Zealand studies are reported in New Zealand dollars unless otherwise stated.</w:t>
      </w:r>
    </w:p>
  </w:footnote>
  <w:footnote w:id="3">
    <w:p w14:paraId="290267AF" w14:textId="7A40D320" w:rsidR="00EF6845" w:rsidRDefault="00EF6845">
      <w:pPr>
        <w:pStyle w:val="FootnoteText"/>
      </w:pPr>
      <w:r w:rsidRPr="0042069F">
        <w:rPr>
          <w:rStyle w:val="FootnoteReference"/>
        </w:rPr>
        <w:footnoteRef/>
      </w:r>
      <w:r>
        <w:t xml:space="preserve"> </w:t>
      </w:r>
      <w:r>
        <w:tab/>
        <w:t xml:space="preserve">Auckland </w:t>
      </w:r>
      <w:r w:rsidR="00F754FC">
        <w:t>Council, Waikato Regional Council and the Wellington Regional Strategy Committee</w:t>
      </w:r>
      <w:r w:rsidR="005C35D1">
        <w:t>.</w:t>
      </w:r>
    </w:p>
  </w:footnote>
  <w:footnote w:id="4">
    <w:p w14:paraId="4E29E065" w14:textId="4858754C" w:rsidR="003D586B" w:rsidRDefault="003D586B" w:rsidP="00B5734E">
      <w:pPr>
        <w:pStyle w:val="FootnoteText"/>
      </w:pPr>
      <w:r w:rsidRPr="0042069F">
        <w:rPr>
          <w:rStyle w:val="FootnoteReference"/>
        </w:rPr>
        <w:footnoteRef/>
      </w:r>
      <w:r>
        <w:t xml:space="preserve"> </w:t>
      </w:r>
      <w:r w:rsidR="00F41A77">
        <w:tab/>
      </w:r>
      <w:r>
        <w:t>Law MR, Frost CD, Wald NJ. By how much does dietary salt reduction lower blood-pressure? 1. Analysis of observational data among populations. BMJ. 1991;302(6780):811–5.</w:t>
      </w:r>
    </w:p>
  </w:footnote>
  <w:footnote w:id="5">
    <w:p w14:paraId="7FBE8719" w14:textId="5E84DF0F" w:rsidR="00387E16" w:rsidRDefault="00387E16" w:rsidP="00B5734E">
      <w:pPr>
        <w:autoSpaceDE w:val="0"/>
        <w:autoSpaceDN w:val="0"/>
        <w:adjustRightInd w:val="0"/>
        <w:spacing w:after="0" w:line="240" w:lineRule="auto"/>
        <w:ind w:left="425" w:hanging="425"/>
      </w:pPr>
      <w:r w:rsidRPr="0042069F">
        <w:rPr>
          <w:rStyle w:val="FootnoteReference"/>
        </w:rPr>
        <w:footnoteRef/>
      </w:r>
      <w:r>
        <w:t xml:space="preserve"> </w:t>
      </w:r>
      <w:r w:rsidR="00F41A77">
        <w:tab/>
      </w:r>
      <w:r w:rsidR="00B5734E" w:rsidRPr="00B5734E">
        <w:rPr>
          <w:rFonts w:ascii="BphmwkAdvTTb5929f4c" w:hAnsi="BphmwkAdvTTb5929f4c" w:cs="BphmwkAdvTTb5929f4c"/>
          <w:sz w:val="15"/>
          <w:szCs w:val="15"/>
        </w:rPr>
        <w:t xml:space="preserve"> </w:t>
      </w:r>
      <w:r w:rsidR="00B5734E">
        <w:rPr>
          <w:rFonts w:ascii="BphmwkAdvTTb5929f4c" w:hAnsi="BphmwkAdvTTb5929f4c" w:cs="BphmwkAdvTTb5929f4c"/>
          <w:sz w:val="15"/>
          <w:szCs w:val="15"/>
        </w:rPr>
        <w:t>Lewington S, Clarke R, Qizilbash N, Peto R, Collins R. Age-specific relevance of usual blood pressure to vascular mortality: a meta-analysis of individual data for one million adults in 61 prospective studies. Lancet. 2002;360(9349): 1903</w:t>
      </w:r>
      <w:r w:rsidR="00B5734E">
        <w:rPr>
          <w:rFonts w:ascii="RhxdptAdvTTb5929f4c+20" w:hAnsi="RhxdptAdvTTb5929f4c+20" w:cs="RhxdptAdvTTb5929f4c+20"/>
          <w:sz w:val="15"/>
          <w:szCs w:val="15"/>
        </w:rPr>
        <w:t>–</w:t>
      </w:r>
      <w:r w:rsidR="00B5734E">
        <w:rPr>
          <w:rFonts w:ascii="BphmwkAdvTTb5929f4c" w:hAnsi="BphmwkAdvTTb5929f4c" w:cs="BphmwkAdvTTb5929f4c"/>
          <w:sz w:val="15"/>
          <w:szCs w:val="15"/>
        </w:rPr>
        <w:t>13.</w:t>
      </w:r>
    </w:p>
  </w:footnote>
  <w:footnote w:id="6">
    <w:p w14:paraId="0651E670" w14:textId="518881FE" w:rsidR="004B79BB" w:rsidRDefault="004B79BB">
      <w:pPr>
        <w:pStyle w:val="FootnoteText"/>
      </w:pPr>
      <w:r>
        <w:rPr>
          <w:rStyle w:val="FootnoteReference"/>
        </w:rPr>
        <w:footnoteRef/>
      </w:r>
      <w:r>
        <w:t xml:space="preserve"> </w:t>
      </w:r>
      <w:r>
        <w:tab/>
        <w:t>Quality-adjusted life year</w:t>
      </w:r>
    </w:p>
  </w:footnote>
  <w:footnote w:id="7">
    <w:p w14:paraId="3C026E3C" w14:textId="65AC75E5" w:rsidR="00FB4BC5" w:rsidRDefault="00FB4BC5">
      <w:pPr>
        <w:pStyle w:val="FootnoteText"/>
      </w:pPr>
      <w:r>
        <w:rPr>
          <w:rStyle w:val="FootnoteReference"/>
        </w:rPr>
        <w:footnoteRef/>
      </w:r>
      <w:r>
        <w:t xml:space="preserve"> </w:t>
      </w:r>
      <w:r>
        <w:tab/>
        <w:t>All cost estimates for New Zealand studies are reported in New Zealand dollars unless otherwise stated.</w:t>
      </w:r>
    </w:p>
  </w:footnote>
  <w:footnote w:id="8">
    <w:p w14:paraId="42D1E4F9" w14:textId="70A32123" w:rsidR="00C74C4A" w:rsidRDefault="00C74C4A">
      <w:pPr>
        <w:pStyle w:val="FootnoteText"/>
      </w:pPr>
      <w:r w:rsidRPr="0042069F">
        <w:rPr>
          <w:rStyle w:val="FootnoteReference"/>
        </w:rPr>
        <w:footnoteRef/>
      </w:r>
      <w:r>
        <w:t xml:space="preserve"> </w:t>
      </w:r>
      <w:r w:rsidR="00A90C60">
        <w:tab/>
      </w:r>
      <w:r w:rsidR="00CE3F1A">
        <w:t xml:space="preserve">Inclusion of lost tax revenue is questionable, particularly without the inclusion of </w:t>
      </w:r>
      <w:r w:rsidR="00113447">
        <w:t>fiscal costs such as health services costs that would have been incurred if individuals had not died prematurely</w:t>
      </w:r>
      <w:r w:rsidR="00114D6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9F645" w14:textId="72DCBCCB" w:rsidR="00DA670E" w:rsidRDefault="00DA670E">
    <w:pPr>
      <w:pStyle w:val="Header"/>
    </w:pPr>
  </w:p>
  <w:p w14:paraId="4B1966BE" w14:textId="77777777" w:rsidR="00DA670E" w:rsidRDefault="00DA670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14B8" w14:textId="7A45FEB7" w:rsidR="007C21B3" w:rsidRDefault="007C21B3" w:rsidP="001A6529">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4220" w14:textId="29B6E760" w:rsidR="007C21B3" w:rsidRDefault="007C2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40B1" w14:textId="6E227EA2" w:rsidR="00DA670E" w:rsidRDefault="00DA670E">
    <w:pPr>
      <w:pStyle w:val="Header"/>
    </w:pPr>
    <w:r>
      <w:rPr>
        <w:noProof/>
        <w:lang w:eastAsia="en-NZ"/>
      </w:rPr>
      <w:drawing>
        <wp:anchor distT="0" distB="0" distL="114300" distR="114300" simplePos="0" relativeHeight="251658243" behindDoc="0" locked="0" layoutInCell="1" allowOverlap="1" wp14:anchorId="7F596985" wp14:editId="49F8C36F">
          <wp:simplePos x="0" y="0"/>
          <wp:positionH relativeFrom="margin">
            <wp:posOffset>3456305</wp:posOffset>
          </wp:positionH>
          <wp:positionV relativeFrom="page">
            <wp:posOffset>360045</wp:posOffset>
          </wp:positionV>
          <wp:extent cx="2826000" cy="1065600"/>
          <wp:effectExtent l="0" t="0" r="0" b="127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26000" cy="106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CA1E4" w14:textId="52C17BF5" w:rsidR="007C21B3" w:rsidRDefault="007C21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2C4DB" w14:textId="63BD3E91" w:rsidR="00DA670E" w:rsidRDefault="00DA670E">
    <w:pPr>
      <w:pStyle w:val="Header"/>
    </w:pPr>
  </w:p>
  <w:p w14:paraId="0446B0A5" w14:textId="77777777" w:rsidR="00DA670E" w:rsidRDefault="00DA67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3B577" w14:textId="1943A299" w:rsidR="007C21B3" w:rsidRDefault="007C21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A2353" w14:textId="65091D53" w:rsidR="007C21B3" w:rsidRDefault="007C21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107B" w14:textId="16294173" w:rsidR="00DA670E" w:rsidRPr="001E757F" w:rsidRDefault="00DA670E" w:rsidP="001E75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63E2F" w14:textId="6E163556" w:rsidR="007C21B3" w:rsidRDefault="007C21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042F5" w14:textId="68D708C4" w:rsidR="007C21B3" w:rsidRDefault="007C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05DB"/>
    <w:multiLevelType w:val="multilevel"/>
    <w:tmpl w:val="EF6813DC"/>
    <w:lvl w:ilvl="0">
      <w:start w:val="1"/>
      <w:numFmt w:val="decimal"/>
      <w:pStyle w:val="TSNumber1"/>
      <w:lvlText w:val="%1"/>
      <w:lvlJc w:val="left"/>
      <w:pPr>
        <w:tabs>
          <w:tab w:val="num" w:pos="215"/>
        </w:tabs>
        <w:ind w:left="215" w:hanging="215"/>
      </w:pPr>
      <w:rPr>
        <w:rFonts w:hint="default"/>
      </w:rPr>
    </w:lvl>
    <w:lvl w:ilvl="1">
      <w:start w:val="1"/>
      <w:numFmt w:val="lowerLetter"/>
      <w:pStyle w:val="TSNumbera"/>
      <w:lvlText w:val="%2"/>
      <w:lvlJc w:val="left"/>
      <w:pPr>
        <w:tabs>
          <w:tab w:val="num" w:pos="425"/>
        </w:tabs>
        <w:ind w:left="425" w:hanging="210"/>
      </w:pPr>
      <w:rPr>
        <w:rFonts w:hint="default"/>
      </w:rPr>
    </w:lvl>
    <w:lvl w:ilvl="2">
      <w:start w:val="1"/>
      <w:numFmt w:val="lowerRoman"/>
      <w:pStyle w:val="TSNumberi"/>
      <w:lvlText w:val="%3"/>
      <w:lvlJc w:val="left"/>
      <w:pPr>
        <w:tabs>
          <w:tab w:val="num" w:pos="641"/>
        </w:tabs>
        <w:ind w:left="641" w:hanging="216"/>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9."/>
      <w:lvlJc w:val="left"/>
      <w:pPr>
        <w:ind w:left="-32767" w:firstLine="0"/>
      </w:pPr>
      <w:rPr>
        <w:rFonts w:hint="default"/>
      </w:rPr>
    </w:lvl>
  </w:abstractNum>
  <w:abstractNum w:abstractNumId="1" w15:restartNumberingAfterBreak="0">
    <w:nsid w:val="1F7F10F8"/>
    <w:multiLevelType w:val="multilevel"/>
    <w:tmpl w:val="D0C840B2"/>
    <w:lvl w:ilvl="0">
      <w:start w:val="1"/>
      <w:numFmt w:val="decimal"/>
      <w:pStyle w:val="USNotes"/>
      <w:lvlText w:val="%1"/>
      <w:lvlJc w:val="left"/>
      <w:pPr>
        <w:tabs>
          <w:tab w:val="num" w:pos="1066"/>
        </w:tabs>
        <w:ind w:left="1066" w:hanging="215"/>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 w15:restartNumberingAfterBreak="0">
    <w:nsid w:val="244179BB"/>
    <w:multiLevelType w:val="hybridMultilevel"/>
    <w:tmpl w:val="B3C40DB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CCC2705"/>
    <w:multiLevelType w:val="multilevel"/>
    <w:tmpl w:val="6E484DB2"/>
    <w:lvl w:ilvl="0">
      <w:start w:val="1"/>
      <w:numFmt w:val="upperLetter"/>
      <w:pStyle w:val="ApxHeading1"/>
      <w:suff w:val="space"/>
      <w:lvlText w:val="Appendix %1"/>
      <w:lvlJc w:val="left"/>
      <w:pPr>
        <w:ind w:left="0" w:firstLine="0"/>
      </w:pPr>
      <w:rPr>
        <w:rFonts w:hint="default"/>
      </w:rPr>
    </w:lvl>
    <w:lvl w:ilvl="1">
      <w:start w:val="1"/>
      <w:numFmt w:val="decimal"/>
      <w:pStyle w:val="ApxHeading2"/>
      <w:lvlText w:val="%1.%2"/>
      <w:lvlJc w:val="left"/>
      <w:pPr>
        <w:tabs>
          <w:tab w:val="num" w:pos="851"/>
        </w:tabs>
        <w:ind w:left="851" w:hanging="851"/>
      </w:pPr>
      <w:rPr>
        <w:rFonts w:hint="default"/>
      </w:rPr>
    </w:lvl>
    <w:lvl w:ilvl="2">
      <w:start w:val="1"/>
      <w:numFmt w:val="decimal"/>
      <w:pStyle w:val="Apx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41227B13"/>
    <w:multiLevelType w:val="multilevel"/>
    <w:tmpl w:val="4098597E"/>
    <w:lvl w:ilvl="0">
      <w:start w:val="1"/>
      <w:numFmt w:val="bullet"/>
      <w:pStyle w:val="TSMixedB2"/>
      <w:lvlText w:val=""/>
      <w:lvlJc w:val="left"/>
      <w:pPr>
        <w:tabs>
          <w:tab w:val="num" w:pos="425"/>
        </w:tabs>
        <w:ind w:left="425" w:hanging="210"/>
      </w:pPr>
      <w:rPr>
        <w:rFonts w:ascii="Symbol" w:hAnsi="Symbol" w:hint="default"/>
        <w:color w:val="0094C5"/>
        <w:sz w:val="16"/>
      </w:rPr>
    </w:lvl>
    <w:lvl w:ilvl="1">
      <w:start w:val="1"/>
      <w:numFmt w:val="bullet"/>
      <w:pStyle w:val="TSMixedB3"/>
      <w:lvlText w:val="-"/>
      <w:lvlJc w:val="left"/>
      <w:pPr>
        <w:tabs>
          <w:tab w:val="num" w:pos="641"/>
        </w:tabs>
        <w:ind w:left="641" w:hanging="216"/>
      </w:pPr>
      <w:rPr>
        <w:rFonts w:ascii="Courier New" w:hAnsi="Courier New" w:hint="default"/>
      </w:rPr>
    </w:lvl>
    <w:lvl w:ilvl="2">
      <w:start w:val="1"/>
      <w:numFmt w:val="none"/>
      <w:suff w:val="nothing"/>
      <w:lvlText w:val=""/>
      <w:lvlJc w:val="left"/>
      <w:pPr>
        <w:ind w:left="641"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none"/>
      <w:suff w:val="nothing"/>
      <w:lvlText w:val=""/>
      <w:lvlJc w:val="left"/>
      <w:pPr>
        <w:ind w:left="641" w:firstLine="0"/>
      </w:pPr>
      <w:rPr>
        <w:rFonts w:hint="default"/>
      </w:rPr>
    </w:lvl>
    <w:lvl w:ilvl="7">
      <w:start w:val="1"/>
      <w:numFmt w:val="none"/>
      <w:suff w:val="nothing"/>
      <w:lvlText w:val=""/>
      <w:lvlJc w:val="left"/>
      <w:pPr>
        <w:ind w:left="641" w:firstLine="0"/>
      </w:pPr>
      <w:rPr>
        <w:rFonts w:hint="default"/>
      </w:rPr>
    </w:lvl>
    <w:lvl w:ilvl="8">
      <w:start w:val="1"/>
      <w:numFmt w:val="none"/>
      <w:suff w:val="nothing"/>
      <w:lvlText w:val=""/>
      <w:lvlJc w:val="left"/>
      <w:pPr>
        <w:ind w:left="641" w:firstLine="0"/>
      </w:pPr>
      <w:rPr>
        <w:rFonts w:hint="default"/>
      </w:rPr>
    </w:lvl>
  </w:abstractNum>
  <w:abstractNum w:abstractNumId="5" w15:restartNumberingAfterBreak="0">
    <w:nsid w:val="557D6C2D"/>
    <w:multiLevelType w:val="multilevel"/>
    <w:tmpl w:val="34C01A80"/>
    <w:lvl w:ilvl="0">
      <w:start w:val="1"/>
      <w:numFmt w:val="bullet"/>
      <w:pStyle w:val="TSBullet1"/>
      <w:lvlText w:val=""/>
      <w:lvlJc w:val="left"/>
      <w:pPr>
        <w:tabs>
          <w:tab w:val="num" w:pos="215"/>
        </w:tabs>
        <w:ind w:left="215" w:hanging="215"/>
      </w:pPr>
      <w:rPr>
        <w:rFonts w:ascii="Symbol" w:hAnsi="Symbol" w:hint="default"/>
        <w:color w:val="0094C5"/>
      </w:rPr>
    </w:lvl>
    <w:lvl w:ilvl="1">
      <w:start w:val="1"/>
      <w:numFmt w:val="bullet"/>
      <w:pStyle w:val="TSBullet2"/>
      <w:lvlText w:val="−"/>
      <w:lvlJc w:val="left"/>
      <w:pPr>
        <w:tabs>
          <w:tab w:val="num" w:pos="425"/>
        </w:tabs>
        <w:ind w:left="425" w:hanging="210"/>
      </w:pPr>
      <w:rPr>
        <w:rFonts w:ascii="Arial" w:hAnsi="Arial" w:hint="default"/>
      </w:rPr>
    </w:lvl>
    <w:lvl w:ilvl="2">
      <w:start w:val="1"/>
      <w:numFmt w:val="bullet"/>
      <w:pStyle w:val="TSBullet3"/>
      <w:lvlText w:val="−"/>
      <w:lvlJc w:val="left"/>
      <w:pPr>
        <w:tabs>
          <w:tab w:val="num" w:pos="641"/>
        </w:tabs>
        <w:ind w:left="641" w:hanging="216"/>
      </w:pPr>
      <w:rPr>
        <w:rFonts w:ascii="Arial" w:hAnsi="Arial"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E41EEF"/>
    <w:multiLevelType w:val="multilevel"/>
    <w:tmpl w:val="469E944C"/>
    <w:lvl w:ilvl="0">
      <w:start w:val="1"/>
      <w:numFmt w:val="bullet"/>
      <w:pStyle w:val="USMixedB2"/>
      <w:lvlText w:val=""/>
      <w:lvlJc w:val="left"/>
      <w:pPr>
        <w:tabs>
          <w:tab w:val="num" w:pos="851"/>
        </w:tabs>
        <w:ind w:left="851" w:hanging="426"/>
      </w:pPr>
      <w:rPr>
        <w:rFonts w:ascii="Symbol" w:hAnsi="Symbol" w:hint="default"/>
        <w:color w:val="auto"/>
      </w:rPr>
    </w:lvl>
    <w:lvl w:ilvl="1">
      <w:start w:val="1"/>
      <w:numFmt w:val="bullet"/>
      <w:pStyle w:val="USMixedB3"/>
      <w:lvlText w:val="−"/>
      <w:lvlJc w:val="left"/>
      <w:pPr>
        <w:tabs>
          <w:tab w:val="num" w:pos="1276"/>
        </w:tabs>
        <w:ind w:left="1276" w:hanging="425"/>
      </w:pPr>
      <w:rPr>
        <w:rFonts w:ascii="Arial" w:hAnsi="Arial" w:hint="default"/>
      </w:rPr>
    </w:lvl>
    <w:lvl w:ilvl="2">
      <w:start w:val="1"/>
      <w:numFmt w:val="none"/>
      <w:suff w:val="nothing"/>
      <w:lvlText w:val=""/>
      <w:lvlJc w:val="left"/>
      <w:pPr>
        <w:ind w:left="170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D1E011B"/>
    <w:multiLevelType w:val="multilevel"/>
    <w:tmpl w:val="B7F6E602"/>
    <w:lvl w:ilvl="0">
      <w:start w:val="1"/>
      <w:numFmt w:val="bullet"/>
      <w:pStyle w:val="USBullet1"/>
      <w:lvlText w:val=""/>
      <w:lvlJc w:val="left"/>
      <w:pPr>
        <w:tabs>
          <w:tab w:val="num" w:pos="1276"/>
        </w:tabs>
        <w:ind w:left="1276" w:hanging="425"/>
      </w:pPr>
      <w:rPr>
        <w:rFonts w:ascii="Symbol" w:hAnsi="Symbol" w:hint="default"/>
        <w:color w:val="0094C5"/>
        <w:u w:color="0094C5"/>
      </w:rPr>
    </w:lvl>
    <w:lvl w:ilvl="1">
      <w:start w:val="1"/>
      <w:numFmt w:val="bullet"/>
      <w:pStyle w:val="USBullet2"/>
      <w:lvlText w:val="−"/>
      <w:lvlJc w:val="left"/>
      <w:pPr>
        <w:tabs>
          <w:tab w:val="num" w:pos="1701"/>
        </w:tabs>
        <w:ind w:left="1701" w:hanging="425"/>
      </w:pPr>
      <w:rPr>
        <w:rFonts w:ascii="Arial" w:hAnsi="Arial" w:hint="default"/>
      </w:rPr>
    </w:lvl>
    <w:lvl w:ilvl="2">
      <w:start w:val="1"/>
      <w:numFmt w:val="bullet"/>
      <w:pStyle w:val="USBullet3"/>
      <w:lvlText w:val="−"/>
      <w:lvlJc w:val="left"/>
      <w:pPr>
        <w:tabs>
          <w:tab w:val="num" w:pos="2126"/>
        </w:tabs>
        <w:ind w:left="2126" w:hanging="425"/>
      </w:pPr>
      <w:rPr>
        <w:rFonts w:ascii="Arial" w:hAnsi="Arial"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8" w15:restartNumberingAfterBreak="0">
    <w:nsid w:val="5D844993"/>
    <w:multiLevelType w:val="multilevel"/>
    <w:tmpl w:val="B2A87BA0"/>
    <w:lvl w:ilvl="0">
      <w:start w:val="1"/>
      <w:numFmt w:val="decimal"/>
      <w:pStyle w:val="USNumber1"/>
      <w:lvlText w:val="%1"/>
      <w:lvlJc w:val="left"/>
      <w:pPr>
        <w:tabs>
          <w:tab w:val="num" w:pos="1276"/>
        </w:tabs>
        <w:ind w:left="1276" w:hanging="425"/>
      </w:pPr>
      <w:rPr>
        <w:rFonts w:hint="default"/>
      </w:rPr>
    </w:lvl>
    <w:lvl w:ilvl="1">
      <w:start w:val="1"/>
      <w:numFmt w:val="lowerLetter"/>
      <w:pStyle w:val="USNumbera"/>
      <w:lvlText w:val="%2"/>
      <w:lvlJc w:val="left"/>
      <w:pPr>
        <w:tabs>
          <w:tab w:val="num" w:pos="1701"/>
        </w:tabs>
        <w:ind w:left="1701" w:hanging="425"/>
      </w:pPr>
      <w:rPr>
        <w:rFonts w:hint="default"/>
      </w:rPr>
    </w:lvl>
    <w:lvl w:ilvl="2">
      <w:start w:val="1"/>
      <w:numFmt w:val="lowerRoman"/>
      <w:pStyle w:val="USNumberi"/>
      <w:lvlText w:val="%3"/>
      <w:lvlJc w:val="left"/>
      <w:pPr>
        <w:tabs>
          <w:tab w:val="num" w:pos="2126"/>
        </w:tabs>
        <w:ind w:left="2126" w:hanging="425"/>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9" w15:restartNumberingAfterBreak="0">
    <w:nsid w:val="71257888"/>
    <w:multiLevelType w:val="multilevel"/>
    <w:tmpl w:val="0D561BD2"/>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561"/>
        </w:tabs>
        <w:ind w:left="156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7"/>
  </w:num>
  <w:num w:numId="2">
    <w:abstractNumId w:val="6"/>
  </w:num>
  <w:num w:numId="3">
    <w:abstractNumId w:val="8"/>
  </w:num>
  <w:num w:numId="4">
    <w:abstractNumId w:val="3"/>
  </w:num>
  <w:num w:numId="5">
    <w:abstractNumId w:val="1"/>
  </w:num>
  <w:num w:numId="6">
    <w:abstractNumId w:val="5"/>
  </w:num>
  <w:num w:numId="7">
    <w:abstractNumId w:val="4"/>
  </w:num>
  <w:num w:numId="8">
    <w:abstractNumId w:val="0"/>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efaultTabStop w:val="425"/>
  <w:defaultTableStyle w:val="TableDefault"/>
  <w:characterSpacingControl w:val="doNotCompress"/>
  <w:hdrShapeDefaults>
    <o:shapedefaults v:ext="edit" spidmax="2049"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0NjAxsDA0NzAzMDRQ0lEKTi0uzszPAykwMqgFAC1KRwYtAAAA"/>
    <w:docVar w:name="ContentsAppendix" w:val="1"/>
    <w:docVar w:name="ContentsAppendixLevel" w:val="1"/>
    <w:docVar w:name="ContentsCreated" w:val="1"/>
    <w:docVar w:name="ContentsFigure" w:val="1"/>
    <w:docVar w:name="ContentsMain" w:val="1"/>
    <w:docVar w:name="ContentsMainLevel" w:val="1"/>
    <w:docVar w:name="ContentsTable" w:val="1"/>
    <w:docVar w:name="DocumentStatus" w:val="DRAFT"/>
    <w:docVar w:name="IsA3Sections" w:val="False"/>
    <w:docVar w:name="IsfirstTb" w:val="True"/>
    <w:docVar w:name="IsInTable" w:val="False"/>
    <w:docVar w:name="rptAddress" w:val=" "/>
    <w:docVar w:name="rptAttention" w:val=" "/>
    <w:docVar w:name="rptAttentionTitle" w:val=" "/>
    <w:docVar w:name="rptAuthorName" w:val=" "/>
    <w:docVar w:name="rptAuthorName2" w:val=" "/>
    <w:docVar w:name="rptAuthorTitle" w:val=" "/>
    <w:docVar w:name="rptAuthorTitle2" w:val=" "/>
    <w:docVar w:name="rptByEmail" w:val=" "/>
    <w:docVar w:name="rptCC" w:val=" "/>
    <w:docVar w:name="rptChkByEmail" w:val="True"/>
    <w:docVar w:name="rptClosing" w:val=" "/>
    <w:docVar w:name="rptClosing0" w:val=" "/>
    <w:docVar w:name="rptCommercialInConfidence" w:val="Commercial In Confidence"/>
    <w:docVar w:name="rptCoverImage" w:val=" "/>
    <w:docVar w:name="rptDate" w:val="10 March 2014"/>
    <w:docVar w:name="rptDDI" w:val=" "/>
    <w:docVar w:name="rptDDI2" w:val=" "/>
    <w:docVar w:name="rptEmail" w:val=" "/>
    <w:docVar w:name="rptEmail2" w:val=" "/>
    <w:docVar w:name="rptEnclosures" w:val=" "/>
    <w:docVar w:name="rptFax" w:val=" "/>
    <w:docVar w:name="rptFax2" w:val=" "/>
    <w:docVar w:name="rptGreeting" w:val=" "/>
    <w:docVar w:name="rptGreeting0" w:val=" "/>
    <w:docVar w:name="rptGreetingText" w:val=" "/>
    <w:docVar w:name="rptInsertLogo" w:val="False"/>
    <w:docVar w:name="rptInsertSignature" w:val="True"/>
    <w:docVar w:name="rptLetterImageFile" w:val=" "/>
    <w:docVar w:name="rptLetterImageFile2" w:val=" "/>
    <w:docVar w:name="rptMobile" w:val=" "/>
    <w:docVar w:name="rptMobile2" w:val=" "/>
    <w:docVar w:name="rptOffice" w:val=" "/>
    <w:docVar w:name="rptOffice2" w:val=" "/>
    <w:docVar w:name="rptPrintPhysical" w:val="False"/>
    <w:docVar w:name="rptProposalDate" w:val=" "/>
    <w:docVar w:name="rptProposalSubtitle" w:val=" "/>
    <w:docVar w:name="rptProposalTitle" w:val=" "/>
    <w:docVar w:name="rptSalutation" w:val=" "/>
    <w:docVar w:name="rptSignOff" w:val=" "/>
    <w:docVar w:name="rptSignOff0" w:val=" "/>
    <w:docVar w:name="rptStatus" w:val=" "/>
    <w:docVar w:name="rptSubject" w:val=" "/>
    <w:docVar w:name="ShowDraft" w:val="True"/>
    <w:docVar w:name="ShowSaveDate" w:val="True"/>
  </w:docVars>
  <w:rsids>
    <w:rsidRoot w:val="0051281F"/>
    <w:rsid w:val="0000031E"/>
    <w:rsid w:val="000010B6"/>
    <w:rsid w:val="000010F7"/>
    <w:rsid w:val="000012B2"/>
    <w:rsid w:val="00001362"/>
    <w:rsid w:val="0000158E"/>
    <w:rsid w:val="00001739"/>
    <w:rsid w:val="00001C86"/>
    <w:rsid w:val="000028DA"/>
    <w:rsid w:val="0000313F"/>
    <w:rsid w:val="0000319E"/>
    <w:rsid w:val="00003511"/>
    <w:rsid w:val="00003BB7"/>
    <w:rsid w:val="00003D00"/>
    <w:rsid w:val="00004112"/>
    <w:rsid w:val="00005167"/>
    <w:rsid w:val="000054D1"/>
    <w:rsid w:val="00005577"/>
    <w:rsid w:val="00005686"/>
    <w:rsid w:val="00005CE4"/>
    <w:rsid w:val="0000687E"/>
    <w:rsid w:val="00006C82"/>
    <w:rsid w:val="00006DC6"/>
    <w:rsid w:val="00007816"/>
    <w:rsid w:val="00007B78"/>
    <w:rsid w:val="00010622"/>
    <w:rsid w:val="00010B57"/>
    <w:rsid w:val="00011581"/>
    <w:rsid w:val="00011638"/>
    <w:rsid w:val="00011ADC"/>
    <w:rsid w:val="000131AA"/>
    <w:rsid w:val="0001373C"/>
    <w:rsid w:val="00014308"/>
    <w:rsid w:val="000151BC"/>
    <w:rsid w:val="000152E6"/>
    <w:rsid w:val="000155DD"/>
    <w:rsid w:val="00016D93"/>
    <w:rsid w:val="00017144"/>
    <w:rsid w:val="00017352"/>
    <w:rsid w:val="0001792B"/>
    <w:rsid w:val="00017DA7"/>
    <w:rsid w:val="00020025"/>
    <w:rsid w:val="00020358"/>
    <w:rsid w:val="00020C8A"/>
    <w:rsid w:val="0002162B"/>
    <w:rsid w:val="00021D93"/>
    <w:rsid w:val="00021E29"/>
    <w:rsid w:val="000222E7"/>
    <w:rsid w:val="00022E19"/>
    <w:rsid w:val="00023157"/>
    <w:rsid w:val="00024A22"/>
    <w:rsid w:val="0002531D"/>
    <w:rsid w:val="00025609"/>
    <w:rsid w:val="00025939"/>
    <w:rsid w:val="00025F04"/>
    <w:rsid w:val="000261F7"/>
    <w:rsid w:val="0002632D"/>
    <w:rsid w:val="00026AE2"/>
    <w:rsid w:val="00026DBD"/>
    <w:rsid w:val="0002701A"/>
    <w:rsid w:val="000302FE"/>
    <w:rsid w:val="000312D1"/>
    <w:rsid w:val="00031854"/>
    <w:rsid w:val="00031955"/>
    <w:rsid w:val="000319A3"/>
    <w:rsid w:val="00033608"/>
    <w:rsid w:val="00033F0E"/>
    <w:rsid w:val="00034C27"/>
    <w:rsid w:val="00034D03"/>
    <w:rsid w:val="000353F8"/>
    <w:rsid w:val="00036BEE"/>
    <w:rsid w:val="000374ED"/>
    <w:rsid w:val="00037A3A"/>
    <w:rsid w:val="00037B14"/>
    <w:rsid w:val="000401C4"/>
    <w:rsid w:val="0004044B"/>
    <w:rsid w:val="00040694"/>
    <w:rsid w:val="00040D91"/>
    <w:rsid w:val="000412F7"/>
    <w:rsid w:val="00041336"/>
    <w:rsid w:val="00041DFB"/>
    <w:rsid w:val="00042072"/>
    <w:rsid w:val="00042444"/>
    <w:rsid w:val="00042A7F"/>
    <w:rsid w:val="00043146"/>
    <w:rsid w:val="0004371A"/>
    <w:rsid w:val="0004561A"/>
    <w:rsid w:val="00045E27"/>
    <w:rsid w:val="00045FF3"/>
    <w:rsid w:val="00046523"/>
    <w:rsid w:val="000469A4"/>
    <w:rsid w:val="00047154"/>
    <w:rsid w:val="00050840"/>
    <w:rsid w:val="0005124A"/>
    <w:rsid w:val="0005128C"/>
    <w:rsid w:val="0005137E"/>
    <w:rsid w:val="0005144B"/>
    <w:rsid w:val="000515ED"/>
    <w:rsid w:val="00051A32"/>
    <w:rsid w:val="00053191"/>
    <w:rsid w:val="00053EA9"/>
    <w:rsid w:val="000540AF"/>
    <w:rsid w:val="0005488C"/>
    <w:rsid w:val="00054938"/>
    <w:rsid w:val="00054D9E"/>
    <w:rsid w:val="00054EEE"/>
    <w:rsid w:val="00055333"/>
    <w:rsid w:val="00055A73"/>
    <w:rsid w:val="00055D9F"/>
    <w:rsid w:val="0005646B"/>
    <w:rsid w:val="00057221"/>
    <w:rsid w:val="00057295"/>
    <w:rsid w:val="000577B0"/>
    <w:rsid w:val="00060006"/>
    <w:rsid w:val="00061478"/>
    <w:rsid w:val="000619B4"/>
    <w:rsid w:val="00061EDD"/>
    <w:rsid w:val="0006200D"/>
    <w:rsid w:val="000628B4"/>
    <w:rsid w:val="0006300A"/>
    <w:rsid w:val="000632B2"/>
    <w:rsid w:val="000638E2"/>
    <w:rsid w:val="00063E66"/>
    <w:rsid w:val="000643A7"/>
    <w:rsid w:val="000643FE"/>
    <w:rsid w:val="0006468C"/>
    <w:rsid w:val="00064A82"/>
    <w:rsid w:val="00064D41"/>
    <w:rsid w:val="00065320"/>
    <w:rsid w:val="00065D75"/>
    <w:rsid w:val="00066DF8"/>
    <w:rsid w:val="000673C1"/>
    <w:rsid w:val="00067542"/>
    <w:rsid w:val="00067936"/>
    <w:rsid w:val="00067D5D"/>
    <w:rsid w:val="00067F84"/>
    <w:rsid w:val="00067FFA"/>
    <w:rsid w:val="00070D16"/>
    <w:rsid w:val="000716C4"/>
    <w:rsid w:val="00071702"/>
    <w:rsid w:val="0007232B"/>
    <w:rsid w:val="00072F3E"/>
    <w:rsid w:val="000736E4"/>
    <w:rsid w:val="00073BF6"/>
    <w:rsid w:val="000740DF"/>
    <w:rsid w:val="00074F80"/>
    <w:rsid w:val="00075613"/>
    <w:rsid w:val="00075E74"/>
    <w:rsid w:val="00075E8E"/>
    <w:rsid w:val="00076686"/>
    <w:rsid w:val="00076D75"/>
    <w:rsid w:val="00077839"/>
    <w:rsid w:val="00077D1C"/>
    <w:rsid w:val="000808D8"/>
    <w:rsid w:val="0008144E"/>
    <w:rsid w:val="000816F6"/>
    <w:rsid w:val="00081960"/>
    <w:rsid w:val="00082006"/>
    <w:rsid w:val="00082A7C"/>
    <w:rsid w:val="00082C78"/>
    <w:rsid w:val="000837A6"/>
    <w:rsid w:val="00083EB5"/>
    <w:rsid w:val="00084573"/>
    <w:rsid w:val="00085291"/>
    <w:rsid w:val="00085373"/>
    <w:rsid w:val="00085736"/>
    <w:rsid w:val="00085D9C"/>
    <w:rsid w:val="000862A0"/>
    <w:rsid w:val="000865BF"/>
    <w:rsid w:val="000867F2"/>
    <w:rsid w:val="00086ACF"/>
    <w:rsid w:val="00086D70"/>
    <w:rsid w:val="0008708A"/>
    <w:rsid w:val="000873D0"/>
    <w:rsid w:val="000873FC"/>
    <w:rsid w:val="00087449"/>
    <w:rsid w:val="0009078A"/>
    <w:rsid w:val="0009148E"/>
    <w:rsid w:val="0009228A"/>
    <w:rsid w:val="000925FB"/>
    <w:rsid w:val="00092F6C"/>
    <w:rsid w:val="00093344"/>
    <w:rsid w:val="0009338E"/>
    <w:rsid w:val="000936E9"/>
    <w:rsid w:val="00093F4A"/>
    <w:rsid w:val="000949AF"/>
    <w:rsid w:val="00094BC3"/>
    <w:rsid w:val="000954E0"/>
    <w:rsid w:val="00095759"/>
    <w:rsid w:val="000958B5"/>
    <w:rsid w:val="0009625E"/>
    <w:rsid w:val="000965DA"/>
    <w:rsid w:val="0009688C"/>
    <w:rsid w:val="00096CFB"/>
    <w:rsid w:val="00096D4C"/>
    <w:rsid w:val="00096D8D"/>
    <w:rsid w:val="00096F0C"/>
    <w:rsid w:val="000979C4"/>
    <w:rsid w:val="00097F3B"/>
    <w:rsid w:val="000A0514"/>
    <w:rsid w:val="000A066E"/>
    <w:rsid w:val="000A17E9"/>
    <w:rsid w:val="000A1D03"/>
    <w:rsid w:val="000A1F7E"/>
    <w:rsid w:val="000A292D"/>
    <w:rsid w:val="000A2C98"/>
    <w:rsid w:val="000A364D"/>
    <w:rsid w:val="000A3954"/>
    <w:rsid w:val="000A3CC1"/>
    <w:rsid w:val="000A425B"/>
    <w:rsid w:val="000A51DC"/>
    <w:rsid w:val="000A5230"/>
    <w:rsid w:val="000A524A"/>
    <w:rsid w:val="000A55E9"/>
    <w:rsid w:val="000A6B57"/>
    <w:rsid w:val="000A7419"/>
    <w:rsid w:val="000A7701"/>
    <w:rsid w:val="000B2011"/>
    <w:rsid w:val="000B223A"/>
    <w:rsid w:val="000B251C"/>
    <w:rsid w:val="000B32CC"/>
    <w:rsid w:val="000B36F2"/>
    <w:rsid w:val="000B5244"/>
    <w:rsid w:val="000B60D8"/>
    <w:rsid w:val="000B6302"/>
    <w:rsid w:val="000B75AD"/>
    <w:rsid w:val="000C05BA"/>
    <w:rsid w:val="000C0CB0"/>
    <w:rsid w:val="000C0FD1"/>
    <w:rsid w:val="000C11FA"/>
    <w:rsid w:val="000C2820"/>
    <w:rsid w:val="000C2C4C"/>
    <w:rsid w:val="000C3D9A"/>
    <w:rsid w:val="000C4164"/>
    <w:rsid w:val="000C42C6"/>
    <w:rsid w:val="000C475B"/>
    <w:rsid w:val="000C4B65"/>
    <w:rsid w:val="000C4D84"/>
    <w:rsid w:val="000C5447"/>
    <w:rsid w:val="000C56B0"/>
    <w:rsid w:val="000C5745"/>
    <w:rsid w:val="000C6051"/>
    <w:rsid w:val="000C62CA"/>
    <w:rsid w:val="000C6312"/>
    <w:rsid w:val="000C6655"/>
    <w:rsid w:val="000C67EB"/>
    <w:rsid w:val="000C7352"/>
    <w:rsid w:val="000C73E9"/>
    <w:rsid w:val="000C78CA"/>
    <w:rsid w:val="000C798F"/>
    <w:rsid w:val="000C7E21"/>
    <w:rsid w:val="000D005F"/>
    <w:rsid w:val="000D2007"/>
    <w:rsid w:val="000D2CB8"/>
    <w:rsid w:val="000D3344"/>
    <w:rsid w:val="000D3527"/>
    <w:rsid w:val="000D3545"/>
    <w:rsid w:val="000D3802"/>
    <w:rsid w:val="000D38B6"/>
    <w:rsid w:val="000D4279"/>
    <w:rsid w:val="000D49A4"/>
    <w:rsid w:val="000D5193"/>
    <w:rsid w:val="000D52E3"/>
    <w:rsid w:val="000D545E"/>
    <w:rsid w:val="000D580B"/>
    <w:rsid w:val="000D5F55"/>
    <w:rsid w:val="000D6056"/>
    <w:rsid w:val="000D619B"/>
    <w:rsid w:val="000D62FD"/>
    <w:rsid w:val="000D703F"/>
    <w:rsid w:val="000D729F"/>
    <w:rsid w:val="000D76DF"/>
    <w:rsid w:val="000E02DE"/>
    <w:rsid w:val="000E0975"/>
    <w:rsid w:val="000E0E71"/>
    <w:rsid w:val="000E1F52"/>
    <w:rsid w:val="000E2710"/>
    <w:rsid w:val="000E28A3"/>
    <w:rsid w:val="000E2BDF"/>
    <w:rsid w:val="000E2EA0"/>
    <w:rsid w:val="000E3006"/>
    <w:rsid w:val="000E3264"/>
    <w:rsid w:val="000E374F"/>
    <w:rsid w:val="000E43D7"/>
    <w:rsid w:val="000E4458"/>
    <w:rsid w:val="000E506B"/>
    <w:rsid w:val="000E562A"/>
    <w:rsid w:val="000E7259"/>
    <w:rsid w:val="000F01BA"/>
    <w:rsid w:val="000F0BCA"/>
    <w:rsid w:val="000F1528"/>
    <w:rsid w:val="000F15ED"/>
    <w:rsid w:val="000F184E"/>
    <w:rsid w:val="000F2277"/>
    <w:rsid w:val="000F302D"/>
    <w:rsid w:val="000F30EF"/>
    <w:rsid w:val="000F3136"/>
    <w:rsid w:val="000F356F"/>
    <w:rsid w:val="000F3D37"/>
    <w:rsid w:val="000F425B"/>
    <w:rsid w:val="000F42F5"/>
    <w:rsid w:val="000F4C76"/>
    <w:rsid w:val="000F4DDA"/>
    <w:rsid w:val="000F5A3F"/>
    <w:rsid w:val="000F5B6F"/>
    <w:rsid w:val="000F637C"/>
    <w:rsid w:val="000F6CF2"/>
    <w:rsid w:val="000F6D5A"/>
    <w:rsid w:val="00100340"/>
    <w:rsid w:val="00100811"/>
    <w:rsid w:val="00100BEE"/>
    <w:rsid w:val="00101109"/>
    <w:rsid w:val="00101AD5"/>
    <w:rsid w:val="00102CAE"/>
    <w:rsid w:val="00102D68"/>
    <w:rsid w:val="001031CA"/>
    <w:rsid w:val="001035EF"/>
    <w:rsid w:val="00103CC1"/>
    <w:rsid w:val="00103CDD"/>
    <w:rsid w:val="001047EE"/>
    <w:rsid w:val="00104C20"/>
    <w:rsid w:val="00105AF9"/>
    <w:rsid w:val="001062F5"/>
    <w:rsid w:val="001064B2"/>
    <w:rsid w:val="001068CE"/>
    <w:rsid w:val="00106BFC"/>
    <w:rsid w:val="00106CCC"/>
    <w:rsid w:val="00107449"/>
    <w:rsid w:val="00107690"/>
    <w:rsid w:val="00111121"/>
    <w:rsid w:val="0011152B"/>
    <w:rsid w:val="00111828"/>
    <w:rsid w:val="00111BF7"/>
    <w:rsid w:val="00111EF2"/>
    <w:rsid w:val="0011324F"/>
    <w:rsid w:val="00113447"/>
    <w:rsid w:val="0011346A"/>
    <w:rsid w:val="00113537"/>
    <w:rsid w:val="0011465F"/>
    <w:rsid w:val="00114A7E"/>
    <w:rsid w:val="00114A87"/>
    <w:rsid w:val="00114BB0"/>
    <w:rsid w:val="00114D6D"/>
    <w:rsid w:val="001151B1"/>
    <w:rsid w:val="001158D4"/>
    <w:rsid w:val="00116A79"/>
    <w:rsid w:val="00116BBC"/>
    <w:rsid w:val="001170AA"/>
    <w:rsid w:val="001211FC"/>
    <w:rsid w:val="001213D7"/>
    <w:rsid w:val="001217A1"/>
    <w:rsid w:val="00121913"/>
    <w:rsid w:val="00121B1D"/>
    <w:rsid w:val="0012207C"/>
    <w:rsid w:val="001220C9"/>
    <w:rsid w:val="00122AF7"/>
    <w:rsid w:val="00122CB2"/>
    <w:rsid w:val="00122EA1"/>
    <w:rsid w:val="00122ECA"/>
    <w:rsid w:val="00123215"/>
    <w:rsid w:val="001239D3"/>
    <w:rsid w:val="00124719"/>
    <w:rsid w:val="00124902"/>
    <w:rsid w:val="00124C02"/>
    <w:rsid w:val="00124DA3"/>
    <w:rsid w:val="001251B0"/>
    <w:rsid w:val="0012561E"/>
    <w:rsid w:val="001268D3"/>
    <w:rsid w:val="001274FB"/>
    <w:rsid w:val="00127CB3"/>
    <w:rsid w:val="001304E2"/>
    <w:rsid w:val="00131254"/>
    <w:rsid w:val="001317D3"/>
    <w:rsid w:val="00132037"/>
    <w:rsid w:val="00132486"/>
    <w:rsid w:val="00132860"/>
    <w:rsid w:val="001332A3"/>
    <w:rsid w:val="001336C8"/>
    <w:rsid w:val="00134075"/>
    <w:rsid w:val="001342FE"/>
    <w:rsid w:val="00134699"/>
    <w:rsid w:val="001346DA"/>
    <w:rsid w:val="00134D60"/>
    <w:rsid w:val="00134F55"/>
    <w:rsid w:val="001355BC"/>
    <w:rsid w:val="00135902"/>
    <w:rsid w:val="0013636D"/>
    <w:rsid w:val="00137AF4"/>
    <w:rsid w:val="00140F39"/>
    <w:rsid w:val="0014132E"/>
    <w:rsid w:val="00141529"/>
    <w:rsid w:val="001417EC"/>
    <w:rsid w:val="00141BE8"/>
    <w:rsid w:val="00142494"/>
    <w:rsid w:val="00142828"/>
    <w:rsid w:val="00143A12"/>
    <w:rsid w:val="00143A6F"/>
    <w:rsid w:val="001441B9"/>
    <w:rsid w:val="00144723"/>
    <w:rsid w:val="0014473F"/>
    <w:rsid w:val="001451A8"/>
    <w:rsid w:val="00145A84"/>
    <w:rsid w:val="001460E6"/>
    <w:rsid w:val="00146441"/>
    <w:rsid w:val="001464CA"/>
    <w:rsid w:val="00146817"/>
    <w:rsid w:val="00146A3A"/>
    <w:rsid w:val="00147937"/>
    <w:rsid w:val="00147BC6"/>
    <w:rsid w:val="00147D02"/>
    <w:rsid w:val="00150501"/>
    <w:rsid w:val="001505FD"/>
    <w:rsid w:val="001506B6"/>
    <w:rsid w:val="00150EA4"/>
    <w:rsid w:val="001512D4"/>
    <w:rsid w:val="00151368"/>
    <w:rsid w:val="00151654"/>
    <w:rsid w:val="00151C50"/>
    <w:rsid w:val="0015292F"/>
    <w:rsid w:val="0015293C"/>
    <w:rsid w:val="00152FC0"/>
    <w:rsid w:val="00153ABF"/>
    <w:rsid w:val="00154B65"/>
    <w:rsid w:val="001553E0"/>
    <w:rsid w:val="00155800"/>
    <w:rsid w:val="00156C1B"/>
    <w:rsid w:val="00156E4C"/>
    <w:rsid w:val="00156F81"/>
    <w:rsid w:val="00157095"/>
    <w:rsid w:val="00157578"/>
    <w:rsid w:val="00157D6F"/>
    <w:rsid w:val="001602F7"/>
    <w:rsid w:val="00160F24"/>
    <w:rsid w:val="001613B1"/>
    <w:rsid w:val="001615E3"/>
    <w:rsid w:val="00161A0E"/>
    <w:rsid w:val="00161F25"/>
    <w:rsid w:val="001621DC"/>
    <w:rsid w:val="00162395"/>
    <w:rsid w:val="00162A12"/>
    <w:rsid w:val="00163703"/>
    <w:rsid w:val="00163ED2"/>
    <w:rsid w:val="0016438D"/>
    <w:rsid w:val="001650D5"/>
    <w:rsid w:val="001651C3"/>
    <w:rsid w:val="001654CA"/>
    <w:rsid w:val="00166664"/>
    <w:rsid w:val="00166896"/>
    <w:rsid w:val="001668C5"/>
    <w:rsid w:val="00166CE5"/>
    <w:rsid w:val="00167186"/>
    <w:rsid w:val="00167938"/>
    <w:rsid w:val="00167C7B"/>
    <w:rsid w:val="00170A2B"/>
    <w:rsid w:val="00171D46"/>
    <w:rsid w:val="00172021"/>
    <w:rsid w:val="001724E7"/>
    <w:rsid w:val="001727AA"/>
    <w:rsid w:val="001727DA"/>
    <w:rsid w:val="001730A4"/>
    <w:rsid w:val="00173113"/>
    <w:rsid w:val="001732B4"/>
    <w:rsid w:val="00173464"/>
    <w:rsid w:val="00174036"/>
    <w:rsid w:val="0017422D"/>
    <w:rsid w:val="001746E6"/>
    <w:rsid w:val="001749B4"/>
    <w:rsid w:val="00175149"/>
    <w:rsid w:val="001751FA"/>
    <w:rsid w:val="0017532B"/>
    <w:rsid w:val="001753F6"/>
    <w:rsid w:val="001755D2"/>
    <w:rsid w:val="00175DFD"/>
    <w:rsid w:val="001763D5"/>
    <w:rsid w:val="00177F45"/>
    <w:rsid w:val="0018020C"/>
    <w:rsid w:val="0018056C"/>
    <w:rsid w:val="00180712"/>
    <w:rsid w:val="00180807"/>
    <w:rsid w:val="00180B6B"/>
    <w:rsid w:val="00180B8D"/>
    <w:rsid w:val="0018165D"/>
    <w:rsid w:val="00181856"/>
    <w:rsid w:val="0018197E"/>
    <w:rsid w:val="0018203D"/>
    <w:rsid w:val="00182EFA"/>
    <w:rsid w:val="00183BC3"/>
    <w:rsid w:val="00183CB7"/>
    <w:rsid w:val="001841DF"/>
    <w:rsid w:val="0018497F"/>
    <w:rsid w:val="00184E24"/>
    <w:rsid w:val="00184E26"/>
    <w:rsid w:val="00184EC8"/>
    <w:rsid w:val="00185909"/>
    <w:rsid w:val="00185D4C"/>
    <w:rsid w:val="00186746"/>
    <w:rsid w:val="00186781"/>
    <w:rsid w:val="00186E8C"/>
    <w:rsid w:val="00187A0F"/>
    <w:rsid w:val="00187A66"/>
    <w:rsid w:val="00190245"/>
    <w:rsid w:val="00190D61"/>
    <w:rsid w:val="00190DD3"/>
    <w:rsid w:val="00191378"/>
    <w:rsid w:val="001925B7"/>
    <w:rsid w:val="00192F68"/>
    <w:rsid w:val="00192F82"/>
    <w:rsid w:val="0019323F"/>
    <w:rsid w:val="0019355B"/>
    <w:rsid w:val="00193924"/>
    <w:rsid w:val="00194421"/>
    <w:rsid w:val="00194452"/>
    <w:rsid w:val="001950CD"/>
    <w:rsid w:val="001959A3"/>
    <w:rsid w:val="00196399"/>
    <w:rsid w:val="00196FD8"/>
    <w:rsid w:val="0019752C"/>
    <w:rsid w:val="00197582"/>
    <w:rsid w:val="00197C98"/>
    <w:rsid w:val="001A005E"/>
    <w:rsid w:val="001A012C"/>
    <w:rsid w:val="001A0CAE"/>
    <w:rsid w:val="001A0CB8"/>
    <w:rsid w:val="001A1270"/>
    <w:rsid w:val="001A14E3"/>
    <w:rsid w:val="001A14F2"/>
    <w:rsid w:val="001A1B65"/>
    <w:rsid w:val="001A1DB6"/>
    <w:rsid w:val="001A222D"/>
    <w:rsid w:val="001A2240"/>
    <w:rsid w:val="001A249C"/>
    <w:rsid w:val="001A2CF5"/>
    <w:rsid w:val="001A3707"/>
    <w:rsid w:val="001A3CC1"/>
    <w:rsid w:val="001A3DE0"/>
    <w:rsid w:val="001A3E91"/>
    <w:rsid w:val="001A3EBD"/>
    <w:rsid w:val="001A3EDE"/>
    <w:rsid w:val="001A42F7"/>
    <w:rsid w:val="001A4AA2"/>
    <w:rsid w:val="001A4B68"/>
    <w:rsid w:val="001A4D78"/>
    <w:rsid w:val="001A4E54"/>
    <w:rsid w:val="001A5540"/>
    <w:rsid w:val="001A60A4"/>
    <w:rsid w:val="001A6529"/>
    <w:rsid w:val="001A688A"/>
    <w:rsid w:val="001A6A84"/>
    <w:rsid w:val="001A6EC2"/>
    <w:rsid w:val="001A6FB1"/>
    <w:rsid w:val="001A7331"/>
    <w:rsid w:val="001A7F14"/>
    <w:rsid w:val="001B0287"/>
    <w:rsid w:val="001B07FA"/>
    <w:rsid w:val="001B0D49"/>
    <w:rsid w:val="001B1668"/>
    <w:rsid w:val="001B1B49"/>
    <w:rsid w:val="001B26FC"/>
    <w:rsid w:val="001B27D8"/>
    <w:rsid w:val="001B3134"/>
    <w:rsid w:val="001B3D7B"/>
    <w:rsid w:val="001B3FE7"/>
    <w:rsid w:val="001B5C1C"/>
    <w:rsid w:val="001B5EBB"/>
    <w:rsid w:val="001B681B"/>
    <w:rsid w:val="001B6A4D"/>
    <w:rsid w:val="001B789A"/>
    <w:rsid w:val="001C0653"/>
    <w:rsid w:val="001C0C20"/>
    <w:rsid w:val="001C0E70"/>
    <w:rsid w:val="001C1CB6"/>
    <w:rsid w:val="001C1DE9"/>
    <w:rsid w:val="001C2526"/>
    <w:rsid w:val="001C266A"/>
    <w:rsid w:val="001C2999"/>
    <w:rsid w:val="001C2E9C"/>
    <w:rsid w:val="001C3695"/>
    <w:rsid w:val="001C4105"/>
    <w:rsid w:val="001C413F"/>
    <w:rsid w:val="001C4637"/>
    <w:rsid w:val="001C51AC"/>
    <w:rsid w:val="001C5318"/>
    <w:rsid w:val="001C5646"/>
    <w:rsid w:val="001C6CD9"/>
    <w:rsid w:val="001C6F8B"/>
    <w:rsid w:val="001C7BF4"/>
    <w:rsid w:val="001C7DC4"/>
    <w:rsid w:val="001D0612"/>
    <w:rsid w:val="001D07E3"/>
    <w:rsid w:val="001D0C3D"/>
    <w:rsid w:val="001D16A2"/>
    <w:rsid w:val="001D22C5"/>
    <w:rsid w:val="001D24BD"/>
    <w:rsid w:val="001D2A69"/>
    <w:rsid w:val="001D3098"/>
    <w:rsid w:val="001D3DE5"/>
    <w:rsid w:val="001D458C"/>
    <w:rsid w:val="001D4FFF"/>
    <w:rsid w:val="001D5002"/>
    <w:rsid w:val="001D53C3"/>
    <w:rsid w:val="001D5729"/>
    <w:rsid w:val="001D5D82"/>
    <w:rsid w:val="001D6182"/>
    <w:rsid w:val="001D6531"/>
    <w:rsid w:val="001D6D9F"/>
    <w:rsid w:val="001D7570"/>
    <w:rsid w:val="001D782D"/>
    <w:rsid w:val="001D7B6F"/>
    <w:rsid w:val="001E12F1"/>
    <w:rsid w:val="001E1BF2"/>
    <w:rsid w:val="001E229F"/>
    <w:rsid w:val="001E2E13"/>
    <w:rsid w:val="001E3211"/>
    <w:rsid w:val="001E3CEC"/>
    <w:rsid w:val="001E3FCA"/>
    <w:rsid w:val="001E44F0"/>
    <w:rsid w:val="001E4CEA"/>
    <w:rsid w:val="001E5A81"/>
    <w:rsid w:val="001E5B1F"/>
    <w:rsid w:val="001E5FF3"/>
    <w:rsid w:val="001E68D7"/>
    <w:rsid w:val="001E6956"/>
    <w:rsid w:val="001E6B7D"/>
    <w:rsid w:val="001E757F"/>
    <w:rsid w:val="001E7A02"/>
    <w:rsid w:val="001E7C2C"/>
    <w:rsid w:val="001F08DC"/>
    <w:rsid w:val="001F0FD8"/>
    <w:rsid w:val="001F151B"/>
    <w:rsid w:val="001F15B9"/>
    <w:rsid w:val="001F19FE"/>
    <w:rsid w:val="001F2D8D"/>
    <w:rsid w:val="001F316B"/>
    <w:rsid w:val="001F31CB"/>
    <w:rsid w:val="001F323D"/>
    <w:rsid w:val="001F32FC"/>
    <w:rsid w:val="001F4130"/>
    <w:rsid w:val="001F41BF"/>
    <w:rsid w:val="001F49F3"/>
    <w:rsid w:val="001F56F7"/>
    <w:rsid w:val="001F5ABD"/>
    <w:rsid w:val="001F75EC"/>
    <w:rsid w:val="001F75F4"/>
    <w:rsid w:val="001F7861"/>
    <w:rsid w:val="001F7B77"/>
    <w:rsid w:val="0020054D"/>
    <w:rsid w:val="00201A6D"/>
    <w:rsid w:val="002023FE"/>
    <w:rsid w:val="002041D0"/>
    <w:rsid w:val="0020422A"/>
    <w:rsid w:val="0020444D"/>
    <w:rsid w:val="00204AB9"/>
    <w:rsid w:val="00204DC5"/>
    <w:rsid w:val="00204ED7"/>
    <w:rsid w:val="0020514D"/>
    <w:rsid w:val="00205157"/>
    <w:rsid w:val="002053A0"/>
    <w:rsid w:val="0020597D"/>
    <w:rsid w:val="00205C9E"/>
    <w:rsid w:val="0020626E"/>
    <w:rsid w:val="00206BC2"/>
    <w:rsid w:val="00206F44"/>
    <w:rsid w:val="00207311"/>
    <w:rsid w:val="00207749"/>
    <w:rsid w:val="0020795E"/>
    <w:rsid w:val="002079AC"/>
    <w:rsid w:val="002079AF"/>
    <w:rsid w:val="00210582"/>
    <w:rsid w:val="00210746"/>
    <w:rsid w:val="00210BAF"/>
    <w:rsid w:val="00212257"/>
    <w:rsid w:val="002122FE"/>
    <w:rsid w:val="002123BA"/>
    <w:rsid w:val="002126C1"/>
    <w:rsid w:val="00213318"/>
    <w:rsid w:val="00214D3B"/>
    <w:rsid w:val="0021518B"/>
    <w:rsid w:val="002151D0"/>
    <w:rsid w:val="00215571"/>
    <w:rsid w:val="00215960"/>
    <w:rsid w:val="00215ECF"/>
    <w:rsid w:val="00216053"/>
    <w:rsid w:val="0021644F"/>
    <w:rsid w:val="00216D2F"/>
    <w:rsid w:val="00217F57"/>
    <w:rsid w:val="00217FF0"/>
    <w:rsid w:val="002204BD"/>
    <w:rsid w:val="0022056B"/>
    <w:rsid w:val="00221669"/>
    <w:rsid w:val="00221FEA"/>
    <w:rsid w:val="00222B08"/>
    <w:rsid w:val="0022317E"/>
    <w:rsid w:val="00223778"/>
    <w:rsid w:val="0022418C"/>
    <w:rsid w:val="00225247"/>
    <w:rsid w:val="00225B93"/>
    <w:rsid w:val="00225D24"/>
    <w:rsid w:val="0022687B"/>
    <w:rsid w:val="0022693D"/>
    <w:rsid w:val="002276BE"/>
    <w:rsid w:val="00227959"/>
    <w:rsid w:val="00227D94"/>
    <w:rsid w:val="00230170"/>
    <w:rsid w:val="0023026F"/>
    <w:rsid w:val="00231313"/>
    <w:rsid w:val="002315B8"/>
    <w:rsid w:val="002315B9"/>
    <w:rsid w:val="00232234"/>
    <w:rsid w:val="002331C1"/>
    <w:rsid w:val="00233E59"/>
    <w:rsid w:val="00233E74"/>
    <w:rsid w:val="00234C40"/>
    <w:rsid w:val="00234FDA"/>
    <w:rsid w:val="002351EC"/>
    <w:rsid w:val="00235274"/>
    <w:rsid w:val="00235421"/>
    <w:rsid w:val="00235A9F"/>
    <w:rsid w:val="002367DD"/>
    <w:rsid w:val="00236CEC"/>
    <w:rsid w:val="002374E1"/>
    <w:rsid w:val="002401A5"/>
    <w:rsid w:val="00240904"/>
    <w:rsid w:val="0024105D"/>
    <w:rsid w:val="00241370"/>
    <w:rsid w:val="00241EB7"/>
    <w:rsid w:val="0024209B"/>
    <w:rsid w:val="00242816"/>
    <w:rsid w:val="00242A5D"/>
    <w:rsid w:val="00242EE3"/>
    <w:rsid w:val="00242FAB"/>
    <w:rsid w:val="00243612"/>
    <w:rsid w:val="00243AF7"/>
    <w:rsid w:val="00243FC5"/>
    <w:rsid w:val="00244911"/>
    <w:rsid w:val="002459A4"/>
    <w:rsid w:val="00246B70"/>
    <w:rsid w:val="00246B84"/>
    <w:rsid w:val="00246CD8"/>
    <w:rsid w:val="00246F8C"/>
    <w:rsid w:val="00247EEA"/>
    <w:rsid w:val="002508C0"/>
    <w:rsid w:val="00250F8A"/>
    <w:rsid w:val="00251461"/>
    <w:rsid w:val="002516B4"/>
    <w:rsid w:val="0025220D"/>
    <w:rsid w:val="002529F7"/>
    <w:rsid w:val="00252B8A"/>
    <w:rsid w:val="00253EE3"/>
    <w:rsid w:val="002549A1"/>
    <w:rsid w:val="00254AD4"/>
    <w:rsid w:val="00254ED2"/>
    <w:rsid w:val="0025599E"/>
    <w:rsid w:val="00256537"/>
    <w:rsid w:val="002568EF"/>
    <w:rsid w:val="00257495"/>
    <w:rsid w:val="0025783C"/>
    <w:rsid w:val="00257A6A"/>
    <w:rsid w:val="00257CE3"/>
    <w:rsid w:val="00260800"/>
    <w:rsid w:val="00260D8F"/>
    <w:rsid w:val="00260F5E"/>
    <w:rsid w:val="002611EC"/>
    <w:rsid w:val="00261BB8"/>
    <w:rsid w:val="002624DE"/>
    <w:rsid w:val="00264281"/>
    <w:rsid w:val="002649B6"/>
    <w:rsid w:val="00264D0E"/>
    <w:rsid w:val="0026505F"/>
    <w:rsid w:val="002650D3"/>
    <w:rsid w:val="0026555C"/>
    <w:rsid w:val="00266417"/>
    <w:rsid w:val="00266503"/>
    <w:rsid w:val="0026654F"/>
    <w:rsid w:val="00266855"/>
    <w:rsid w:val="00266B62"/>
    <w:rsid w:val="00266E9E"/>
    <w:rsid w:val="002675A8"/>
    <w:rsid w:val="00267BAF"/>
    <w:rsid w:val="00271055"/>
    <w:rsid w:val="002714BB"/>
    <w:rsid w:val="00271AA6"/>
    <w:rsid w:val="00271C83"/>
    <w:rsid w:val="00271EF3"/>
    <w:rsid w:val="00272622"/>
    <w:rsid w:val="00272AB5"/>
    <w:rsid w:val="00272D27"/>
    <w:rsid w:val="0027386A"/>
    <w:rsid w:val="00273D60"/>
    <w:rsid w:val="00274AB0"/>
    <w:rsid w:val="00275230"/>
    <w:rsid w:val="00277179"/>
    <w:rsid w:val="002775FB"/>
    <w:rsid w:val="00280AB2"/>
    <w:rsid w:val="00280C04"/>
    <w:rsid w:val="00280E27"/>
    <w:rsid w:val="00281664"/>
    <w:rsid w:val="002816AD"/>
    <w:rsid w:val="00281B32"/>
    <w:rsid w:val="00281F43"/>
    <w:rsid w:val="00282B83"/>
    <w:rsid w:val="00283413"/>
    <w:rsid w:val="00285165"/>
    <w:rsid w:val="002857D6"/>
    <w:rsid w:val="00285AB7"/>
    <w:rsid w:val="00285AC2"/>
    <w:rsid w:val="00285C62"/>
    <w:rsid w:val="002860F6"/>
    <w:rsid w:val="0028682A"/>
    <w:rsid w:val="00290448"/>
    <w:rsid w:val="002908FA"/>
    <w:rsid w:val="002909E6"/>
    <w:rsid w:val="00290F00"/>
    <w:rsid w:val="0029142C"/>
    <w:rsid w:val="00291D60"/>
    <w:rsid w:val="002926EA"/>
    <w:rsid w:val="0029326F"/>
    <w:rsid w:val="002936DC"/>
    <w:rsid w:val="00293AF9"/>
    <w:rsid w:val="0029475A"/>
    <w:rsid w:val="0029493E"/>
    <w:rsid w:val="00294A2B"/>
    <w:rsid w:val="00294E5D"/>
    <w:rsid w:val="00296AAD"/>
    <w:rsid w:val="00296EA8"/>
    <w:rsid w:val="0029730F"/>
    <w:rsid w:val="002979EB"/>
    <w:rsid w:val="002A0C67"/>
    <w:rsid w:val="002A0EB7"/>
    <w:rsid w:val="002A1362"/>
    <w:rsid w:val="002A1935"/>
    <w:rsid w:val="002A202A"/>
    <w:rsid w:val="002A219B"/>
    <w:rsid w:val="002A2422"/>
    <w:rsid w:val="002A2489"/>
    <w:rsid w:val="002A275A"/>
    <w:rsid w:val="002A30CE"/>
    <w:rsid w:val="002A3192"/>
    <w:rsid w:val="002A3AF1"/>
    <w:rsid w:val="002A3E46"/>
    <w:rsid w:val="002A4471"/>
    <w:rsid w:val="002A4492"/>
    <w:rsid w:val="002A487D"/>
    <w:rsid w:val="002A501B"/>
    <w:rsid w:val="002A5366"/>
    <w:rsid w:val="002A5424"/>
    <w:rsid w:val="002A5628"/>
    <w:rsid w:val="002A59DA"/>
    <w:rsid w:val="002A6354"/>
    <w:rsid w:val="002A6657"/>
    <w:rsid w:val="002A6788"/>
    <w:rsid w:val="002A6FE1"/>
    <w:rsid w:val="002A7C8B"/>
    <w:rsid w:val="002B0385"/>
    <w:rsid w:val="002B08FB"/>
    <w:rsid w:val="002B0E2E"/>
    <w:rsid w:val="002B1587"/>
    <w:rsid w:val="002B16A2"/>
    <w:rsid w:val="002B18C7"/>
    <w:rsid w:val="002B19E0"/>
    <w:rsid w:val="002B1BF5"/>
    <w:rsid w:val="002B20B3"/>
    <w:rsid w:val="002B20EA"/>
    <w:rsid w:val="002B24DC"/>
    <w:rsid w:val="002B2589"/>
    <w:rsid w:val="002B3945"/>
    <w:rsid w:val="002B490F"/>
    <w:rsid w:val="002B49A3"/>
    <w:rsid w:val="002B4F0D"/>
    <w:rsid w:val="002B50E2"/>
    <w:rsid w:val="002B52C2"/>
    <w:rsid w:val="002B534C"/>
    <w:rsid w:val="002B5956"/>
    <w:rsid w:val="002B747F"/>
    <w:rsid w:val="002B7C24"/>
    <w:rsid w:val="002B7EFB"/>
    <w:rsid w:val="002B7F4A"/>
    <w:rsid w:val="002B7FD0"/>
    <w:rsid w:val="002C0761"/>
    <w:rsid w:val="002C0B8A"/>
    <w:rsid w:val="002C1A0A"/>
    <w:rsid w:val="002C2268"/>
    <w:rsid w:val="002C22B4"/>
    <w:rsid w:val="002C22E6"/>
    <w:rsid w:val="002C2619"/>
    <w:rsid w:val="002C3311"/>
    <w:rsid w:val="002C394E"/>
    <w:rsid w:val="002C3E25"/>
    <w:rsid w:val="002C4C23"/>
    <w:rsid w:val="002C4F5E"/>
    <w:rsid w:val="002C631E"/>
    <w:rsid w:val="002C6BDE"/>
    <w:rsid w:val="002C6F64"/>
    <w:rsid w:val="002C7501"/>
    <w:rsid w:val="002C7627"/>
    <w:rsid w:val="002C7E8D"/>
    <w:rsid w:val="002C7EAC"/>
    <w:rsid w:val="002D17D7"/>
    <w:rsid w:val="002D1DDA"/>
    <w:rsid w:val="002D2A38"/>
    <w:rsid w:val="002D333A"/>
    <w:rsid w:val="002D35BC"/>
    <w:rsid w:val="002D3D62"/>
    <w:rsid w:val="002D4409"/>
    <w:rsid w:val="002D469B"/>
    <w:rsid w:val="002D5807"/>
    <w:rsid w:val="002D635D"/>
    <w:rsid w:val="002D7267"/>
    <w:rsid w:val="002D72FC"/>
    <w:rsid w:val="002E04C9"/>
    <w:rsid w:val="002E0CBA"/>
    <w:rsid w:val="002E0FB6"/>
    <w:rsid w:val="002E10F0"/>
    <w:rsid w:val="002E1121"/>
    <w:rsid w:val="002E2663"/>
    <w:rsid w:val="002E3AC4"/>
    <w:rsid w:val="002E406D"/>
    <w:rsid w:val="002E4A06"/>
    <w:rsid w:val="002E52E1"/>
    <w:rsid w:val="002E598F"/>
    <w:rsid w:val="002E5B0F"/>
    <w:rsid w:val="002E613A"/>
    <w:rsid w:val="002E6790"/>
    <w:rsid w:val="002E6831"/>
    <w:rsid w:val="002E6F32"/>
    <w:rsid w:val="002F00A3"/>
    <w:rsid w:val="002F07D7"/>
    <w:rsid w:val="002F1706"/>
    <w:rsid w:val="002F2531"/>
    <w:rsid w:val="002F26D6"/>
    <w:rsid w:val="002F35ED"/>
    <w:rsid w:val="002F36F6"/>
    <w:rsid w:val="002F3715"/>
    <w:rsid w:val="002F477D"/>
    <w:rsid w:val="002F4C8D"/>
    <w:rsid w:val="002F53C9"/>
    <w:rsid w:val="002F568B"/>
    <w:rsid w:val="002F58D5"/>
    <w:rsid w:val="002F5A8B"/>
    <w:rsid w:val="002F5E44"/>
    <w:rsid w:val="002F5F54"/>
    <w:rsid w:val="002F61AB"/>
    <w:rsid w:val="002F65F5"/>
    <w:rsid w:val="002F6788"/>
    <w:rsid w:val="002F6D4C"/>
    <w:rsid w:val="002F715D"/>
    <w:rsid w:val="002F7BB3"/>
    <w:rsid w:val="002F7CA3"/>
    <w:rsid w:val="00300439"/>
    <w:rsid w:val="00300909"/>
    <w:rsid w:val="00300C40"/>
    <w:rsid w:val="00300DB6"/>
    <w:rsid w:val="003013D9"/>
    <w:rsid w:val="00301B56"/>
    <w:rsid w:val="003022EB"/>
    <w:rsid w:val="00303612"/>
    <w:rsid w:val="00304125"/>
    <w:rsid w:val="00304679"/>
    <w:rsid w:val="00304C8B"/>
    <w:rsid w:val="0030509D"/>
    <w:rsid w:val="00305129"/>
    <w:rsid w:val="003051C6"/>
    <w:rsid w:val="003051E2"/>
    <w:rsid w:val="00305AC9"/>
    <w:rsid w:val="003066E3"/>
    <w:rsid w:val="00306789"/>
    <w:rsid w:val="00306D66"/>
    <w:rsid w:val="00306F77"/>
    <w:rsid w:val="0030708E"/>
    <w:rsid w:val="00307436"/>
    <w:rsid w:val="00307592"/>
    <w:rsid w:val="00307629"/>
    <w:rsid w:val="003079E0"/>
    <w:rsid w:val="003102B2"/>
    <w:rsid w:val="0031098B"/>
    <w:rsid w:val="00310A35"/>
    <w:rsid w:val="00311142"/>
    <w:rsid w:val="003115E7"/>
    <w:rsid w:val="00311A1B"/>
    <w:rsid w:val="0031201A"/>
    <w:rsid w:val="003121DA"/>
    <w:rsid w:val="00312398"/>
    <w:rsid w:val="0031371A"/>
    <w:rsid w:val="00313A02"/>
    <w:rsid w:val="00314311"/>
    <w:rsid w:val="003154AF"/>
    <w:rsid w:val="00315AF8"/>
    <w:rsid w:val="00315B86"/>
    <w:rsid w:val="00316CF5"/>
    <w:rsid w:val="00316F63"/>
    <w:rsid w:val="003171DA"/>
    <w:rsid w:val="00317221"/>
    <w:rsid w:val="00317344"/>
    <w:rsid w:val="00317514"/>
    <w:rsid w:val="003175CD"/>
    <w:rsid w:val="00317626"/>
    <w:rsid w:val="00317657"/>
    <w:rsid w:val="00317702"/>
    <w:rsid w:val="00317773"/>
    <w:rsid w:val="0031799E"/>
    <w:rsid w:val="00320739"/>
    <w:rsid w:val="0032129A"/>
    <w:rsid w:val="00321380"/>
    <w:rsid w:val="0032159C"/>
    <w:rsid w:val="00321686"/>
    <w:rsid w:val="00321C81"/>
    <w:rsid w:val="0032213B"/>
    <w:rsid w:val="0032249C"/>
    <w:rsid w:val="003224A0"/>
    <w:rsid w:val="00322676"/>
    <w:rsid w:val="00322D00"/>
    <w:rsid w:val="003232B3"/>
    <w:rsid w:val="003233D2"/>
    <w:rsid w:val="00323CE5"/>
    <w:rsid w:val="00324758"/>
    <w:rsid w:val="003248AD"/>
    <w:rsid w:val="003260CA"/>
    <w:rsid w:val="00326299"/>
    <w:rsid w:val="003263B2"/>
    <w:rsid w:val="00326C1B"/>
    <w:rsid w:val="003274F4"/>
    <w:rsid w:val="003275E3"/>
    <w:rsid w:val="00327AEC"/>
    <w:rsid w:val="00327FD2"/>
    <w:rsid w:val="003304CF"/>
    <w:rsid w:val="003307D8"/>
    <w:rsid w:val="003308BA"/>
    <w:rsid w:val="00330B4A"/>
    <w:rsid w:val="00331220"/>
    <w:rsid w:val="003312C5"/>
    <w:rsid w:val="0033133E"/>
    <w:rsid w:val="003318FB"/>
    <w:rsid w:val="00331918"/>
    <w:rsid w:val="00331DD7"/>
    <w:rsid w:val="00332719"/>
    <w:rsid w:val="003329AE"/>
    <w:rsid w:val="00332C64"/>
    <w:rsid w:val="003333FB"/>
    <w:rsid w:val="003334A5"/>
    <w:rsid w:val="003349F9"/>
    <w:rsid w:val="003352F4"/>
    <w:rsid w:val="0033534A"/>
    <w:rsid w:val="003358B2"/>
    <w:rsid w:val="003359F7"/>
    <w:rsid w:val="00335C88"/>
    <w:rsid w:val="00335FF8"/>
    <w:rsid w:val="00336E61"/>
    <w:rsid w:val="003371EA"/>
    <w:rsid w:val="00337247"/>
    <w:rsid w:val="003374B7"/>
    <w:rsid w:val="003378DB"/>
    <w:rsid w:val="00340816"/>
    <w:rsid w:val="00340D23"/>
    <w:rsid w:val="00341187"/>
    <w:rsid w:val="003411CB"/>
    <w:rsid w:val="0034169C"/>
    <w:rsid w:val="00341AD0"/>
    <w:rsid w:val="00341DA8"/>
    <w:rsid w:val="003427DD"/>
    <w:rsid w:val="0034329F"/>
    <w:rsid w:val="003438F4"/>
    <w:rsid w:val="0034390A"/>
    <w:rsid w:val="00343A36"/>
    <w:rsid w:val="003442A1"/>
    <w:rsid w:val="003443A1"/>
    <w:rsid w:val="003443C3"/>
    <w:rsid w:val="0034451B"/>
    <w:rsid w:val="003447CE"/>
    <w:rsid w:val="003447D2"/>
    <w:rsid w:val="00344CE2"/>
    <w:rsid w:val="0034525E"/>
    <w:rsid w:val="00345F47"/>
    <w:rsid w:val="003461FC"/>
    <w:rsid w:val="0034720F"/>
    <w:rsid w:val="0035009C"/>
    <w:rsid w:val="003503A8"/>
    <w:rsid w:val="0035073F"/>
    <w:rsid w:val="00350891"/>
    <w:rsid w:val="00350FAA"/>
    <w:rsid w:val="0035118A"/>
    <w:rsid w:val="003526E9"/>
    <w:rsid w:val="00352DC9"/>
    <w:rsid w:val="00352F4D"/>
    <w:rsid w:val="003532F9"/>
    <w:rsid w:val="00353840"/>
    <w:rsid w:val="003539E8"/>
    <w:rsid w:val="003539EC"/>
    <w:rsid w:val="00354EC9"/>
    <w:rsid w:val="003552CA"/>
    <w:rsid w:val="0035562C"/>
    <w:rsid w:val="00355EDB"/>
    <w:rsid w:val="00356907"/>
    <w:rsid w:val="0035747E"/>
    <w:rsid w:val="003576C6"/>
    <w:rsid w:val="003577C4"/>
    <w:rsid w:val="00357B39"/>
    <w:rsid w:val="00361162"/>
    <w:rsid w:val="00361C7C"/>
    <w:rsid w:val="00361D39"/>
    <w:rsid w:val="003636AA"/>
    <w:rsid w:val="00363788"/>
    <w:rsid w:val="003642AB"/>
    <w:rsid w:val="00364809"/>
    <w:rsid w:val="003648CE"/>
    <w:rsid w:val="0036495A"/>
    <w:rsid w:val="00364BFD"/>
    <w:rsid w:val="00365454"/>
    <w:rsid w:val="00365501"/>
    <w:rsid w:val="00365A46"/>
    <w:rsid w:val="003660FD"/>
    <w:rsid w:val="0036630C"/>
    <w:rsid w:val="00366471"/>
    <w:rsid w:val="003666E0"/>
    <w:rsid w:val="003670E9"/>
    <w:rsid w:val="0036725C"/>
    <w:rsid w:val="003677B5"/>
    <w:rsid w:val="003679F0"/>
    <w:rsid w:val="00367DDF"/>
    <w:rsid w:val="00370154"/>
    <w:rsid w:val="00370CA2"/>
    <w:rsid w:val="00370E72"/>
    <w:rsid w:val="00371642"/>
    <w:rsid w:val="003718FE"/>
    <w:rsid w:val="00371B0D"/>
    <w:rsid w:val="0037228C"/>
    <w:rsid w:val="00372E86"/>
    <w:rsid w:val="00373A77"/>
    <w:rsid w:val="00374223"/>
    <w:rsid w:val="0037480E"/>
    <w:rsid w:val="00374D06"/>
    <w:rsid w:val="0037523F"/>
    <w:rsid w:val="00375B55"/>
    <w:rsid w:val="00375C6D"/>
    <w:rsid w:val="003760DF"/>
    <w:rsid w:val="00376480"/>
    <w:rsid w:val="003767C7"/>
    <w:rsid w:val="00376A28"/>
    <w:rsid w:val="00376CA8"/>
    <w:rsid w:val="00377682"/>
    <w:rsid w:val="00377B69"/>
    <w:rsid w:val="0038021A"/>
    <w:rsid w:val="003809C5"/>
    <w:rsid w:val="00380A47"/>
    <w:rsid w:val="00380AAF"/>
    <w:rsid w:val="00380E66"/>
    <w:rsid w:val="00380E86"/>
    <w:rsid w:val="00381493"/>
    <w:rsid w:val="00381D88"/>
    <w:rsid w:val="003823EC"/>
    <w:rsid w:val="003826F4"/>
    <w:rsid w:val="00382CDC"/>
    <w:rsid w:val="003838A5"/>
    <w:rsid w:val="00383C94"/>
    <w:rsid w:val="003847F2"/>
    <w:rsid w:val="003849E2"/>
    <w:rsid w:val="00384DC2"/>
    <w:rsid w:val="00385636"/>
    <w:rsid w:val="00386ADE"/>
    <w:rsid w:val="00387E16"/>
    <w:rsid w:val="00387F49"/>
    <w:rsid w:val="003908BE"/>
    <w:rsid w:val="003909D5"/>
    <w:rsid w:val="00390A9A"/>
    <w:rsid w:val="00390D69"/>
    <w:rsid w:val="00390D89"/>
    <w:rsid w:val="00392331"/>
    <w:rsid w:val="0039302E"/>
    <w:rsid w:val="0039336F"/>
    <w:rsid w:val="003934D2"/>
    <w:rsid w:val="003935B6"/>
    <w:rsid w:val="00393CB9"/>
    <w:rsid w:val="00394809"/>
    <w:rsid w:val="003964BB"/>
    <w:rsid w:val="003964DF"/>
    <w:rsid w:val="00396BC9"/>
    <w:rsid w:val="00396C49"/>
    <w:rsid w:val="00396F24"/>
    <w:rsid w:val="00397668"/>
    <w:rsid w:val="00397F3B"/>
    <w:rsid w:val="003A02B5"/>
    <w:rsid w:val="003A11AB"/>
    <w:rsid w:val="003A1CA4"/>
    <w:rsid w:val="003A2C76"/>
    <w:rsid w:val="003A304C"/>
    <w:rsid w:val="003A32A6"/>
    <w:rsid w:val="003A3CFC"/>
    <w:rsid w:val="003A5682"/>
    <w:rsid w:val="003A56E5"/>
    <w:rsid w:val="003A616D"/>
    <w:rsid w:val="003A6739"/>
    <w:rsid w:val="003A70FA"/>
    <w:rsid w:val="003A7174"/>
    <w:rsid w:val="003A71F5"/>
    <w:rsid w:val="003A7DC7"/>
    <w:rsid w:val="003A7F2B"/>
    <w:rsid w:val="003B0A70"/>
    <w:rsid w:val="003B1392"/>
    <w:rsid w:val="003B1FB1"/>
    <w:rsid w:val="003B228E"/>
    <w:rsid w:val="003B26E8"/>
    <w:rsid w:val="003B305C"/>
    <w:rsid w:val="003B312E"/>
    <w:rsid w:val="003B340A"/>
    <w:rsid w:val="003B3974"/>
    <w:rsid w:val="003B3D0B"/>
    <w:rsid w:val="003B41AC"/>
    <w:rsid w:val="003B472E"/>
    <w:rsid w:val="003B4A3E"/>
    <w:rsid w:val="003B4C9B"/>
    <w:rsid w:val="003B509C"/>
    <w:rsid w:val="003B5342"/>
    <w:rsid w:val="003B574A"/>
    <w:rsid w:val="003B5DDA"/>
    <w:rsid w:val="003B6712"/>
    <w:rsid w:val="003B6B73"/>
    <w:rsid w:val="003B6EF7"/>
    <w:rsid w:val="003B70E5"/>
    <w:rsid w:val="003B713F"/>
    <w:rsid w:val="003B7194"/>
    <w:rsid w:val="003B732C"/>
    <w:rsid w:val="003B7923"/>
    <w:rsid w:val="003C09C7"/>
    <w:rsid w:val="003C0A27"/>
    <w:rsid w:val="003C137C"/>
    <w:rsid w:val="003C1B70"/>
    <w:rsid w:val="003C1BA2"/>
    <w:rsid w:val="003C2736"/>
    <w:rsid w:val="003C278A"/>
    <w:rsid w:val="003C297F"/>
    <w:rsid w:val="003C2F52"/>
    <w:rsid w:val="003C2FFE"/>
    <w:rsid w:val="003C45AC"/>
    <w:rsid w:val="003C4E89"/>
    <w:rsid w:val="003C4F0B"/>
    <w:rsid w:val="003C519A"/>
    <w:rsid w:val="003C5937"/>
    <w:rsid w:val="003C6C8A"/>
    <w:rsid w:val="003C797B"/>
    <w:rsid w:val="003D065D"/>
    <w:rsid w:val="003D0795"/>
    <w:rsid w:val="003D0EF6"/>
    <w:rsid w:val="003D11EE"/>
    <w:rsid w:val="003D1245"/>
    <w:rsid w:val="003D15E5"/>
    <w:rsid w:val="003D21D8"/>
    <w:rsid w:val="003D2656"/>
    <w:rsid w:val="003D2960"/>
    <w:rsid w:val="003D2B85"/>
    <w:rsid w:val="003D4164"/>
    <w:rsid w:val="003D55AF"/>
    <w:rsid w:val="003D56C6"/>
    <w:rsid w:val="003D5765"/>
    <w:rsid w:val="003D586B"/>
    <w:rsid w:val="003D6BC8"/>
    <w:rsid w:val="003D705B"/>
    <w:rsid w:val="003D70C6"/>
    <w:rsid w:val="003D7D71"/>
    <w:rsid w:val="003E01E6"/>
    <w:rsid w:val="003E0369"/>
    <w:rsid w:val="003E042D"/>
    <w:rsid w:val="003E0596"/>
    <w:rsid w:val="003E0EDF"/>
    <w:rsid w:val="003E12A7"/>
    <w:rsid w:val="003E183C"/>
    <w:rsid w:val="003E2105"/>
    <w:rsid w:val="003E2405"/>
    <w:rsid w:val="003E30E2"/>
    <w:rsid w:val="003E37A8"/>
    <w:rsid w:val="003E37AD"/>
    <w:rsid w:val="003E3A63"/>
    <w:rsid w:val="003E45AE"/>
    <w:rsid w:val="003E5ACD"/>
    <w:rsid w:val="003E5E33"/>
    <w:rsid w:val="003E633F"/>
    <w:rsid w:val="003E657F"/>
    <w:rsid w:val="003E66B3"/>
    <w:rsid w:val="003E6E75"/>
    <w:rsid w:val="003E7820"/>
    <w:rsid w:val="003E797A"/>
    <w:rsid w:val="003F0599"/>
    <w:rsid w:val="003F135C"/>
    <w:rsid w:val="003F1668"/>
    <w:rsid w:val="003F17B5"/>
    <w:rsid w:val="003F20BD"/>
    <w:rsid w:val="003F212D"/>
    <w:rsid w:val="003F2137"/>
    <w:rsid w:val="003F2272"/>
    <w:rsid w:val="003F2DDC"/>
    <w:rsid w:val="003F2FF1"/>
    <w:rsid w:val="003F3E9E"/>
    <w:rsid w:val="003F4636"/>
    <w:rsid w:val="003F4A13"/>
    <w:rsid w:val="003F4E32"/>
    <w:rsid w:val="003F55D7"/>
    <w:rsid w:val="003F62CF"/>
    <w:rsid w:val="003F65D8"/>
    <w:rsid w:val="003F6A70"/>
    <w:rsid w:val="003F6CB9"/>
    <w:rsid w:val="003F70DF"/>
    <w:rsid w:val="003F7697"/>
    <w:rsid w:val="003F7ECE"/>
    <w:rsid w:val="003F7F03"/>
    <w:rsid w:val="00400514"/>
    <w:rsid w:val="00400ABC"/>
    <w:rsid w:val="00401158"/>
    <w:rsid w:val="004012F7"/>
    <w:rsid w:val="00401778"/>
    <w:rsid w:val="00401A46"/>
    <w:rsid w:val="00401B8F"/>
    <w:rsid w:val="00401BF0"/>
    <w:rsid w:val="00402DAD"/>
    <w:rsid w:val="00403BD6"/>
    <w:rsid w:val="0040444D"/>
    <w:rsid w:val="0040492D"/>
    <w:rsid w:val="00404B0D"/>
    <w:rsid w:val="004051DC"/>
    <w:rsid w:val="00405611"/>
    <w:rsid w:val="004063F4"/>
    <w:rsid w:val="0040667D"/>
    <w:rsid w:val="00406775"/>
    <w:rsid w:val="00406778"/>
    <w:rsid w:val="00406CC6"/>
    <w:rsid w:val="00407293"/>
    <w:rsid w:val="00407731"/>
    <w:rsid w:val="00407B27"/>
    <w:rsid w:val="00407C64"/>
    <w:rsid w:val="00410021"/>
    <w:rsid w:val="00410845"/>
    <w:rsid w:val="00410E24"/>
    <w:rsid w:val="00410E30"/>
    <w:rsid w:val="00410F34"/>
    <w:rsid w:val="0041178B"/>
    <w:rsid w:val="00411A35"/>
    <w:rsid w:val="00412333"/>
    <w:rsid w:val="00415290"/>
    <w:rsid w:val="004158CF"/>
    <w:rsid w:val="0041612A"/>
    <w:rsid w:val="00416276"/>
    <w:rsid w:val="00416367"/>
    <w:rsid w:val="004168CB"/>
    <w:rsid w:val="00416EBB"/>
    <w:rsid w:val="00417400"/>
    <w:rsid w:val="0041768C"/>
    <w:rsid w:val="0042069F"/>
    <w:rsid w:val="00420B9A"/>
    <w:rsid w:val="004213DA"/>
    <w:rsid w:val="00421C4E"/>
    <w:rsid w:val="00422965"/>
    <w:rsid w:val="00422DE7"/>
    <w:rsid w:val="00423329"/>
    <w:rsid w:val="00423500"/>
    <w:rsid w:val="00423754"/>
    <w:rsid w:val="00423E95"/>
    <w:rsid w:val="00423F92"/>
    <w:rsid w:val="00424795"/>
    <w:rsid w:val="0042486F"/>
    <w:rsid w:val="00424BD8"/>
    <w:rsid w:val="00425163"/>
    <w:rsid w:val="0042560E"/>
    <w:rsid w:val="00425ECA"/>
    <w:rsid w:val="0042633E"/>
    <w:rsid w:val="00426F29"/>
    <w:rsid w:val="0042727C"/>
    <w:rsid w:val="004279C7"/>
    <w:rsid w:val="00427CD6"/>
    <w:rsid w:val="0043072E"/>
    <w:rsid w:val="004309A7"/>
    <w:rsid w:val="00430E55"/>
    <w:rsid w:val="00431540"/>
    <w:rsid w:val="00432007"/>
    <w:rsid w:val="00432345"/>
    <w:rsid w:val="00432390"/>
    <w:rsid w:val="0043332C"/>
    <w:rsid w:val="00433AC3"/>
    <w:rsid w:val="004344C2"/>
    <w:rsid w:val="0043538E"/>
    <w:rsid w:val="00435C85"/>
    <w:rsid w:val="00436F90"/>
    <w:rsid w:val="00437579"/>
    <w:rsid w:val="004401C7"/>
    <w:rsid w:val="004403DA"/>
    <w:rsid w:val="00440622"/>
    <w:rsid w:val="00440948"/>
    <w:rsid w:val="00441B1A"/>
    <w:rsid w:val="00441C11"/>
    <w:rsid w:val="0044211D"/>
    <w:rsid w:val="00442189"/>
    <w:rsid w:val="004427B8"/>
    <w:rsid w:val="00442BA9"/>
    <w:rsid w:val="00442CEE"/>
    <w:rsid w:val="004433D1"/>
    <w:rsid w:val="0044358E"/>
    <w:rsid w:val="00443919"/>
    <w:rsid w:val="00443BED"/>
    <w:rsid w:val="00443CD7"/>
    <w:rsid w:val="00443E9E"/>
    <w:rsid w:val="00443F33"/>
    <w:rsid w:val="00444570"/>
    <w:rsid w:val="004447EF"/>
    <w:rsid w:val="00444811"/>
    <w:rsid w:val="00444DED"/>
    <w:rsid w:val="00444F8D"/>
    <w:rsid w:val="0044500C"/>
    <w:rsid w:val="0044553F"/>
    <w:rsid w:val="00446040"/>
    <w:rsid w:val="00446680"/>
    <w:rsid w:val="0044706E"/>
    <w:rsid w:val="00447390"/>
    <w:rsid w:val="00447E6A"/>
    <w:rsid w:val="0045099E"/>
    <w:rsid w:val="004511C0"/>
    <w:rsid w:val="004514AE"/>
    <w:rsid w:val="00451DC4"/>
    <w:rsid w:val="00452993"/>
    <w:rsid w:val="00454492"/>
    <w:rsid w:val="0045451D"/>
    <w:rsid w:val="00454878"/>
    <w:rsid w:val="00454EE0"/>
    <w:rsid w:val="004551CF"/>
    <w:rsid w:val="004557B3"/>
    <w:rsid w:val="0045665F"/>
    <w:rsid w:val="0045681E"/>
    <w:rsid w:val="004569B0"/>
    <w:rsid w:val="00456CC5"/>
    <w:rsid w:val="0045713A"/>
    <w:rsid w:val="00457405"/>
    <w:rsid w:val="004578A6"/>
    <w:rsid w:val="004579D3"/>
    <w:rsid w:val="00457F9D"/>
    <w:rsid w:val="00460DCC"/>
    <w:rsid w:val="0046118A"/>
    <w:rsid w:val="004613FE"/>
    <w:rsid w:val="00461642"/>
    <w:rsid w:val="00461696"/>
    <w:rsid w:val="004619E6"/>
    <w:rsid w:val="00461FB5"/>
    <w:rsid w:val="00461FCB"/>
    <w:rsid w:val="004621AA"/>
    <w:rsid w:val="00462554"/>
    <w:rsid w:val="0046287D"/>
    <w:rsid w:val="00462A80"/>
    <w:rsid w:val="00462F8E"/>
    <w:rsid w:val="00463143"/>
    <w:rsid w:val="0046345E"/>
    <w:rsid w:val="00463544"/>
    <w:rsid w:val="004635BF"/>
    <w:rsid w:val="00463B50"/>
    <w:rsid w:val="00463B7C"/>
    <w:rsid w:val="00464AD9"/>
    <w:rsid w:val="004657FE"/>
    <w:rsid w:val="00465C2A"/>
    <w:rsid w:val="00466807"/>
    <w:rsid w:val="004709F2"/>
    <w:rsid w:val="00470C1C"/>
    <w:rsid w:val="00470CAC"/>
    <w:rsid w:val="00471A21"/>
    <w:rsid w:val="00471A53"/>
    <w:rsid w:val="00471AEE"/>
    <w:rsid w:val="00471C0A"/>
    <w:rsid w:val="00471CC9"/>
    <w:rsid w:val="0047213C"/>
    <w:rsid w:val="004726FD"/>
    <w:rsid w:val="0047275F"/>
    <w:rsid w:val="004729FD"/>
    <w:rsid w:val="00472D54"/>
    <w:rsid w:val="00472DD7"/>
    <w:rsid w:val="00472EB4"/>
    <w:rsid w:val="004730F3"/>
    <w:rsid w:val="004735EE"/>
    <w:rsid w:val="004741FA"/>
    <w:rsid w:val="0047420B"/>
    <w:rsid w:val="00474F42"/>
    <w:rsid w:val="0047577C"/>
    <w:rsid w:val="0047604F"/>
    <w:rsid w:val="004761CC"/>
    <w:rsid w:val="00476201"/>
    <w:rsid w:val="0047624C"/>
    <w:rsid w:val="00476E80"/>
    <w:rsid w:val="00476EE5"/>
    <w:rsid w:val="004770BD"/>
    <w:rsid w:val="00477282"/>
    <w:rsid w:val="00477461"/>
    <w:rsid w:val="00477F3F"/>
    <w:rsid w:val="0048058A"/>
    <w:rsid w:val="00480811"/>
    <w:rsid w:val="00481778"/>
    <w:rsid w:val="00481977"/>
    <w:rsid w:val="00481A60"/>
    <w:rsid w:val="0048226D"/>
    <w:rsid w:val="004824C0"/>
    <w:rsid w:val="00483632"/>
    <w:rsid w:val="00483710"/>
    <w:rsid w:val="00483774"/>
    <w:rsid w:val="00484D48"/>
    <w:rsid w:val="004852C6"/>
    <w:rsid w:val="004853B4"/>
    <w:rsid w:val="0048554F"/>
    <w:rsid w:val="00487511"/>
    <w:rsid w:val="0049033A"/>
    <w:rsid w:val="004908FB"/>
    <w:rsid w:val="00490A2D"/>
    <w:rsid w:val="00491097"/>
    <w:rsid w:val="004915F7"/>
    <w:rsid w:val="00492A8D"/>
    <w:rsid w:val="00492EFF"/>
    <w:rsid w:val="0049315D"/>
    <w:rsid w:val="004934C1"/>
    <w:rsid w:val="0049350A"/>
    <w:rsid w:val="00493663"/>
    <w:rsid w:val="004937C1"/>
    <w:rsid w:val="004938EA"/>
    <w:rsid w:val="00493A10"/>
    <w:rsid w:val="004940A3"/>
    <w:rsid w:val="004940E7"/>
    <w:rsid w:val="004948F6"/>
    <w:rsid w:val="00494CD1"/>
    <w:rsid w:val="00494D83"/>
    <w:rsid w:val="0049520E"/>
    <w:rsid w:val="004956C6"/>
    <w:rsid w:val="0049571D"/>
    <w:rsid w:val="0049580E"/>
    <w:rsid w:val="00496493"/>
    <w:rsid w:val="00496ABC"/>
    <w:rsid w:val="00496BA0"/>
    <w:rsid w:val="00496D62"/>
    <w:rsid w:val="0049701C"/>
    <w:rsid w:val="00497375"/>
    <w:rsid w:val="004973FE"/>
    <w:rsid w:val="0049792E"/>
    <w:rsid w:val="004979A6"/>
    <w:rsid w:val="004A0233"/>
    <w:rsid w:val="004A024E"/>
    <w:rsid w:val="004A0487"/>
    <w:rsid w:val="004A0883"/>
    <w:rsid w:val="004A0A62"/>
    <w:rsid w:val="004A1012"/>
    <w:rsid w:val="004A10B3"/>
    <w:rsid w:val="004A13C7"/>
    <w:rsid w:val="004A1848"/>
    <w:rsid w:val="004A1C8A"/>
    <w:rsid w:val="004A1F8F"/>
    <w:rsid w:val="004A23AD"/>
    <w:rsid w:val="004A2B71"/>
    <w:rsid w:val="004A2CE1"/>
    <w:rsid w:val="004A3155"/>
    <w:rsid w:val="004A38FA"/>
    <w:rsid w:val="004A3AFD"/>
    <w:rsid w:val="004A469B"/>
    <w:rsid w:val="004A6260"/>
    <w:rsid w:val="004A62E2"/>
    <w:rsid w:val="004A7B45"/>
    <w:rsid w:val="004B02BB"/>
    <w:rsid w:val="004B130D"/>
    <w:rsid w:val="004B13C6"/>
    <w:rsid w:val="004B1535"/>
    <w:rsid w:val="004B158D"/>
    <w:rsid w:val="004B16FF"/>
    <w:rsid w:val="004B1A21"/>
    <w:rsid w:val="004B269E"/>
    <w:rsid w:val="004B2BA1"/>
    <w:rsid w:val="004B412A"/>
    <w:rsid w:val="004B42CF"/>
    <w:rsid w:val="004B4E28"/>
    <w:rsid w:val="004B54C3"/>
    <w:rsid w:val="004B5C9E"/>
    <w:rsid w:val="004B5E93"/>
    <w:rsid w:val="004B6AB0"/>
    <w:rsid w:val="004B6ADF"/>
    <w:rsid w:val="004B742D"/>
    <w:rsid w:val="004B7761"/>
    <w:rsid w:val="004B7838"/>
    <w:rsid w:val="004B789B"/>
    <w:rsid w:val="004B78EC"/>
    <w:rsid w:val="004B79BB"/>
    <w:rsid w:val="004B7AA1"/>
    <w:rsid w:val="004B7B98"/>
    <w:rsid w:val="004B7F95"/>
    <w:rsid w:val="004C00AB"/>
    <w:rsid w:val="004C102D"/>
    <w:rsid w:val="004C285D"/>
    <w:rsid w:val="004C2C67"/>
    <w:rsid w:val="004C2C83"/>
    <w:rsid w:val="004C3B76"/>
    <w:rsid w:val="004C3BE9"/>
    <w:rsid w:val="004C3C22"/>
    <w:rsid w:val="004C5163"/>
    <w:rsid w:val="004C550E"/>
    <w:rsid w:val="004C5870"/>
    <w:rsid w:val="004C59F0"/>
    <w:rsid w:val="004C5A27"/>
    <w:rsid w:val="004C71BE"/>
    <w:rsid w:val="004C7645"/>
    <w:rsid w:val="004C786E"/>
    <w:rsid w:val="004C7E58"/>
    <w:rsid w:val="004C7FB7"/>
    <w:rsid w:val="004D084E"/>
    <w:rsid w:val="004D0A9D"/>
    <w:rsid w:val="004D0D8C"/>
    <w:rsid w:val="004D115B"/>
    <w:rsid w:val="004D1619"/>
    <w:rsid w:val="004D18C2"/>
    <w:rsid w:val="004D1E41"/>
    <w:rsid w:val="004D229F"/>
    <w:rsid w:val="004D2B10"/>
    <w:rsid w:val="004D2D9B"/>
    <w:rsid w:val="004D3921"/>
    <w:rsid w:val="004D3EEA"/>
    <w:rsid w:val="004D4A2C"/>
    <w:rsid w:val="004D53BA"/>
    <w:rsid w:val="004D5F15"/>
    <w:rsid w:val="004D67B1"/>
    <w:rsid w:val="004D6CE8"/>
    <w:rsid w:val="004D6D53"/>
    <w:rsid w:val="004D754F"/>
    <w:rsid w:val="004D781B"/>
    <w:rsid w:val="004D7904"/>
    <w:rsid w:val="004D7F8C"/>
    <w:rsid w:val="004E0BF1"/>
    <w:rsid w:val="004E21BB"/>
    <w:rsid w:val="004E21C5"/>
    <w:rsid w:val="004E29DF"/>
    <w:rsid w:val="004E2DDE"/>
    <w:rsid w:val="004E4430"/>
    <w:rsid w:val="004E4D09"/>
    <w:rsid w:val="004E4D97"/>
    <w:rsid w:val="004E6B46"/>
    <w:rsid w:val="004E6C47"/>
    <w:rsid w:val="004E6D9F"/>
    <w:rsid w:val="004E76B3"/>
    <w:rsid w:val="004E7BBA"/>
    <w:rsid w:val="004F0003"/>
    <w:rsid w:val="004F0B40"/>
    <w:rsid w:val="004F100F"/>
    <w:rsid w:val="004F13E0"/>
    <w:rsid w:val="004F160B"/>
    <w:rsid w:val="004F195B"/>
    <w:rsid w:val="004F1BA3"/>
    <w:rsid w:val="004F2E7F"/>
    <w:rsid w:val="004F385C"/>
    <w:rsid w:val="004F3AEC"/>
    <w:rsid w:val="004F3C7F"/>
    <w:rsid w:val="004F3F8C"/>
    <w:rsid w:val="004F3FF3"/>
    <w:rsid w:val="004F4A63"/>
    <w:rsid w:val="004F4D3F"/>
    <w:rsid w:val="004F4DC9"/>
    <w:rsid w:val="004F4DCE"/>
    <w:rsid w:val="004F5061"/>
    <w:rsid w:val="004F527C"/>
    <w:rsid w:val="004F57D5"/>
    <w:rsid w:val="004F5F64"/>
    <w:rsid w:val="004F6023"/>
    <w:rsid w:val="004F62F0"/>
    <w:rsid w:val="004F639E"/>
    <w:rsid w:val="004F66E7"/>
    <w:rsid w:val="004F69C3"/>
    <w:rsid w:val="004F7BE8"/>
    <w:rsid w:val="004F7C9D"/>
    <w:rsid w:val="0050018A"/>
    <w:rsid w:val="005002E3"/>
    <w:rsid w:val="00500681"/>
    <w:rsid w:val="00500923"/>
    <w:rsid w:val="005011E3"/>
    <w:rsid w:val="0050122C"/>
    <w:rsid w:val="0050128E"/>
    <w:rsid w:val="0050192A"/>
    <w:rsid w:val="00502573"/>
    <w:rsid w:val="005028B1"/>
    <w:rsid w:val="00503D0C"/>
    <w:rsid w:val="005041E6"/>
    <w:rsid w:val="00505F2F"/>
    <w:rsid w:val="005061E6"/>
    <w:rsid w:val="00506562"/>
    <w:rsid w:val="005066E4"/>
    <w:rsid w:val="0050694B"/>
    <w:rsid w:val="00506E99"/>
    <w:rsid w:val="00506FC8"/>
    <w:rsid w:val="005070AD"/>
    <w:rsid w:val="005072DD"/>
    <w:rsid w:val="00507578"/>
    <w:rsid w:val="00507AEA"/>
    <w:rsid w:val="005101E2"/>
    <w:rsid w:val="0051057B"/>
    <w:rsid w:val="00511628"/>
    <w:rsid w:val="00511D94"/>
    <w:rsid w:val="005125E4"/>
    <w:rsid w:val="0051265A"/>
    <w:rsid w:val="00512666"/>
    <w:rsid w:val="0051281F"/>
    <w:rsid w:val="00512DCE"/>
    <w:rsid w:val="00512F23"/>
    <w:rsid w:val="00513474"/>
    <w:rsid w:val="005137C3"/>
    <w:rsid w:val="00514CF6"/>
    <w:rsid w:val="00514DFB"/>
    <w:rsid w:val="00515663"/>
    <w:rsid w:val="00515D10"/>
    <w:rsid w:val="00515D31"/>
    <w:rsid w:val="00515DE2"/>
    <w:rsid w:val="0051619C"/>
    <w:rsid w:val="005162C0"/>
    <w:rsid w:val="00516752"/>
    <w:rsid w:val="00517B21"/>
    <w:rsid w:val="0052046B"/>
    <w:rsid w:val="005211AE"/>
    <w:rsid w:val="0052148F"/>
    <w:rsid w:val="00521493"/>
    <w:rsid w:val="00522431"/>
    <w:rsid w:val="0052252E"/>
    <w:rsid w:val="00522B64"/>
    <w:rsid w:val="00523D26"/>
    <w:rsid w:val="00523D5F"/>
    <w:rsid w:val="00524FD0"/>
    <w:rsid w:val="005250F2"/>
    <w:rsid w:val="005251E7"/>
    <w:rsid w:val="005257BA"/>
    <w:rsid w:val="00525B7C"/>
    <w:rsid w:val="005262AC"/>
    <w:rsid w:val="005264C2"/>
    <w:rsid w:val="00526739"/>
    <w:rsid w:val="00526E17"/>
    <w:rsid w:val="005274F6"/>
    <w:rsid w:val="005301B1"/>
    <w:rsid w:val="0053053C"/>
    <w:rsid w:val="00530C46"/>
    <w:rsid w:val="00530FC8"/>
    <w:rsid w:val="00531712"/>
    <w:rsid w:val="00531FF8"/>
    <w:rsid w:val="00532179"/>
    <w:rsid w:val="0053240A"/>
    <w:rsid w:val="0053269F"/>
    <w:rsid w:val="0053291F"/>
    <w:rsid w:val="00532D67"/>
    <w:rsid w:val="00532FF7"/>
    <w:rsid w:val="005330A4"/>
    <w:rsid w:val="00533664"/>
    <w:rsid w:val="005337E4"/>
    <w:rsid w:val="00534264"/>
    <w:rsid w:val="00534AC9"/>
    <w:rsid w:val="00534C9A"/>
    <w:rsid w:val="0053514F"/>
    <w:rsid w:val="005358AE"/>
    <w:rsid w:val="00535D8B"/>
    <w:rsid w:val="0053702F"/>
    <w:rsid w:val="00537059"/>
    <w:rsid w:val="00537335"/>
    <w:rsid w:val="00537C8D"/>
    <w:rsid w:val="0054007E"/>
    <w:rsid w:val="0054074C"/>
    <w:rsid w:val="00540780"/>
    <w:rsid w:val="00540B0A"/>
    <w:rsid w:val="00540D91"/>
    <w:rsid w:val="005418DC"/>
    <w:rsid w:val="005419D3"/>
    <w:rsid w:val="005425A3"/>
    <w:rsid w:val="00542EC8"/>
    <w:rsid w:val="00542ED1"/>
    <w:rsid w:val="00542F09"/>
    <w:rsid w:val="0054347E"/>
    <w:rsid w:val="00543576"/>
    <w:rsid w:val="00544D47"/>
    <w:rsid w:val="00544EBA"/>
    <w:rsid w:val="00546D07"/>
    <w:rsid w:val="005470B8"/>
    <w:rsid w:val="0054735B"/>
    <w:rsid w:val="00547486"/>
    <w:rsid w:val="00547863"/>
    <w:rsid w:val="00547FBC"/>
    <w:rsid w:val="005508C6"/>
    <w:rsid w:val="00550EC9"/>
    <w:rsid w:val="005515B4"/>
    <w:rsid w:val="0055266A"/>
    <w:rsid w:val="005528FE"/>
    <w:rsid w:val="00552BE5"/>
    <w:rsid w:val="005532B9"/>
    <w:rsid w:val="0055390E"/>
    <w:rsid w:val="00554E4C"/>
    <w:rsid w:val="00555496"/>
    <w:rsid w:val="00555BB4"/>
    <w:rsid w:val="00555FB3"/>
    <w:rsid w:val="0055639A"/>
    <w:rsid w:val="00556CE5"/>
    <w:rsid w:val="00556F0B"/>
    <w:rsid w:val="00557275"/>
    <w:rsid w:val="00557C18"/>
    <w:rsid w:val="00557F1F"/>
    <w:rsid w:val="005602FA"/>
    <w:rsid w:val="005609DF"/>
    <w:rsid w:val="00560D37"/>
    <w:rsid w:val="005611B2"/>
    <w:rsid w:val="0056120A"/>
    <w:rsid w:val="00562424"/>
    <w:rsid w:val="00562471"/>
    <w:rsid w:val="00562524"/>
    <w:rsid w:val="00562DFB"/>
    <w:rsid w:val="00563C0C"/>
    <w:rsid w:val="00564187"/>
    <w:rsid w:val="00565A4D"/>
    <w:rsid w:val="00565BFB"/>
    <w:rsid w:val="00565CFA"/>
    <w:rsid w:val="00565EA6"/>
    <w:rsid w:val="0056640C"/>
    <w:rsid w:val="005670D7"/>
    <w:rsid w:val="005677EC"/>
    <w:rsid w:val="00570156"/>
    <w:rsid w:val="005727E6"/>
    <w:rsid w:val="00573035"/>
    <w:rsid w:val="005733A6"/>
    <w:rsid w:val="00573AD2"/>
    <w:rsid w:val="00573AF0"/>
    <w:rsid w:val="00573C79"/>
    <w:rsid w:val="00574041"/>
    <w:rsid w:val="005746DF"/>
    <w:rsid w:val="0057486C"/>
    <w:rsid w:val="00574F7C"/>
    <w:rsid w:val="00575456"/>
    <w:rsid w:val="00575B54"/>
    <w:rsid w:val="00575F53"/>
    <w:rsid w:val="005766C8"/>
    <w:rsid w:val="00576B71"/>
    <w:rsid w:val="00576B9A"/>
    <w:rsid w:val="00576C33"/>
    <w:rsid w:val="00577082"/>
    <w:rsid w:val="00577D6B"/>
    <w:rsid w:val="0058046C"/>
    <w:rsid w:val="005804CF"/>
    <w:rsid w:val="00580522"/>
    <w:rsid w:val="005809AD"/>
    <w:rsid w:val="00580ABA"/>
    <w:rsid w:val="00580EEB"/>
    <w:rsid w:val="0058189A"/>
    <w:rsid w:val="005818BA"/>
    <w:rsid w:val="00582A52"/>
    <w:rsid w:val="00583F6D"/>
    <w:rsid w:val="005847E6"/>
    <w:rsid w:val="00584A8E"/>
    <w:rsid w:val="00584C00"/>
    <w:rsid w:val="00585088"/>
    <w:rsid w:val="005853E3"/>
    <w:rsid w:val="00585DAE"/>
    <w:rsid w:val="00586080"/>
    <w:rsid w:val="0058624B"/>
    <w:rsid w:val="00586943"/>
    <w:rsid w:val="00587348"/>
    <w:rsid w:val="005878A8"/>
    <w:rsid w:val="00587A8B"/>
    <w:rsid w:val="00587E20"/>
    <w:rsid w:val="00590C9C"/>
    <w:rsid w:val="0059234C"/>
    <w:rsid w:val="005925F4"/>
    <w:rsid w:val="00592F5F"/>
    <w:rsid w:val="00594B49"/>
    <w:rsid w:val="00594C5A"/>
    <w:rsid w:val="00594D65"/>
    <w:rsid w:val="00595233"/>
    <w:rsid w:val="00595848"/>
    <w:rsid w:val="005958AB"/>
    <w:rsid w:val="00595D0E"/>
    <w:rsid w:val="00596459"/>
    <w:rsid w:val="00596680"/>
    <w:rsid w:val="0059738E"/>
    <w:rsid w:val="00597931"/>
    <w:rsid w:val="00597CF7"/>
    <w:rsid w:val="00597F1B"/>
    <w:rsid w:val="005A01A8"/>
    <w:rsid w:val="005A0607"/>
    <w:rsid w:val="005A10C2"/>
    <w:rsid w:val="005A11ED"/>
    <w:rsid w:val="005A1552"/>
    <w:rsid w:val="005A1D8C"/>
    <w:rsid w:val="005A1FB0"/>
    <w:rsid w:val="005A28A0"/>
    <w:rsid w:val="005A3374"/>
    <w:rsid w:val="005A374B"/>
    <w:rsid w:val="005A3CDF"/>
    <w:rsid w:val="005A4002"/>
    <w:rsid w:val="005A4862"/>
    <w:rsid w:val="005A487A"/>
    <w:rsid w:val="005A4BCA"/>
    <w:rsid w:val="005A4F4C"/>
    <w:rsid w:val="005A6369"/>
    <w:rsid w:val="005A65A8"/>
    <w:rsid w:val="005A65C4"/>
    <w:rsid w:val="005A6656"/>
    <w:rsid w:val="005A66F2"/>
    <w:rsid w:val="005A707A"/>
    <w:rsid w:val="005A7799"/>
    <w:rsid w:val="005A77E7"/>
    <w:rsid w:val="005A7ABD"/>
    <w:rsid w:val="005B02AA"/>
    <w:rsid w:val="005B0950"/>
    <w:rsid w:val="005B0D94"/>
    <w:rsid w:val="005B1B84"/>
    <w:rsid w:val="005B1E19"/>
    <w:rsid w:val="005B246E"/>
    <w:rsid w:val="005B31F9"/>
    <w:rsid w:val="005B33C8"/>
    <w:rsid w:val="005B3680"/>
    <w:rsid w:val="005B381C"/>
    <w:rsid w:val="005B41CA"/>
    <w:rsid w:val="005B4550"/>
    <w:rsid w:val="005B47FF"/>
    <w:rsid w:val="005B4887"/>
    <w:rsid w:val="005B4AEE"/>
    <w:rsid w:val="005B5A6E"/>
    <w:rsid w:val="005B674A"/>
    <w:rsid w:val="005B7F8D"/>
    <w:rsid w:val="005C06EA"/>
    <w:rsid w:val="005C0BA9"/>
    <w:rsid w:val="005C0BB4"/>
    <w:rsid w:val="005C1040"/>
    <w:rsid w:val="005C1228"/>
    <w:rsid w:val="005C17A4"/>
    <w:rsid w:val="005C1A4F"/>
    <w:rsid w:val="005C1A68"/>
    <w:rsid w:val="005C2D01"/>
    <w:rsid w:val="005C35D1"/>
    <w:rsid w:val="005C3E85"/>
    <w:rsid w:val="005C4906"/>
    <w:rsid w:val="005C4AA2"/>
    <w:rsid w:val="005C4EC5"/>
    <w:rsid w:val="005C5199"/>
    <w:rsid w:val="005C52B6"/>
    <w:rsid w:val="005C5D1E"/>
    <w:rsid w:val="005C6DDD"/>
    <w:rsid w:val="005C6EE6"/>
    <w:rsid w:val="005C7517"/>
    <w:rsid w:val="005C75D8"/>
    <w:rsid w:val="005C7700"/>
    <w:rsid w:val="005C7B8B"/>
    <w:rsid w:val="005C7C74"/>
    <w:rsid w:val="005D05FB"/>
    <w:rsid w:val="005D12B7"/>
    <w:rsid w:val="005D1938"/>
    <w:rsid w:val="005D1E2B"/>
    <w:rsid w:val="005D200E"/>
    <w:rsid w:val="005D2493"/>
    <w:rsid w:val="005D2748"/>
    <w:rsid w:val="005D29E9"/>
    <w:rsid w:val="005D3272"/>
    <w:rsid w:val="005D44CF"/>
    <w:rsid w:val="005D44F3"/>
    <w:rsid w:val="005D4828"/>
    <w:rsid w:val="005D4A02"/>
    <w:rsid w:val="005D4B1C"/>
    <w:rsid w:val="005D4EAC"/>
    <w:rsid w:val="005D5C24"/>
    <w:rsid w:val="005D6021"/>
    <w:rsid w:val="005D6CD6"/>
    <w:rsid w:val="005D71C0"/>
    <w:rsid w:val="005D72EF"/>
    <w:rsid w:val="005E031E"/>
    <w:rsid w:val="005E0399"/>
    <w:rsid w:val="005E039A"/>
    <w:rsid w:val="005E0930"/>
    <w:rsid w:val="005E0C14"/>
    <w:rsid w:val="005E0F5A"/>
    <w:rsid w:val="005E11C1"/>
    <w:rsid w:val="005E145D"/>
    <w:rsid w:val="005E159B"/>
    <w:rsid w:val="005E15B0"/>
    <w:rsid w:val="005E1EBA"/>
    <w:rsid w:val="005E3955"/>
    <w:rsid w:val="005E396B"/>
    <w:rsid w:val="005E3F80"/>
    <w:rsid w:val="005E3FAC"/>
    <w:rsid w:val="005E4757"/>
    <w:rsid w:val="005E5784"/>
    <w:rsid w:val="005E61B4"/>
    <w:rsid w:val="005E6256"/>
    <w:rsid w:val="005E657A"/>
    <w:rsid w:val="005E6A3D"/>
    <w:rsid w:val="005E7D91"/>
    <w:rsid w:val="005E7F10"/>
    <w:rsid w:val="005F028C"/>
    <w:rsid w:val="005F08A1"/>
    <w:rsid w:val="005F0A0C"/>
    <w:rsid w:val="005F1DC0"/>
    <w:rsid w:val="005F1FF3"/>
    <w:rsid w:val="005F233C"/>
    <w:rsid w:val="005F2524"/>
    <w:rsid w:val="005F2547"/>
    <w:rsid w:val="005F28E9"/>
    <w:rsid w:val="005F2E61"/>
    <w:rsid w:val="005F3276"/>
    <w:rsid w:val="005F3394"/>
    <w:rsid w:val="005F3B6B"/>
    <w:rsid w:val="005F473A"/>
    <w:rsid w:val="005F477A"/>
    <w:rsid w:val="005F4BAC"/>
    <w:rsid w:val="005F53AE"/>
    <w:rsid w:val="005F602C"/>
    <w:rsid w:val="005F6152"/>
    <w:rsid w:val="005F6614"/>
    <w:rsid w:val="005F6F19"/>
    <w:rsid w:val="005F785F"/>
    <w:rsid w:val="005F7973"/>
    <w:rsid w:val="005F7FB2"/>
    <w:rsid w:val="00600270"/>
    <w:rsid w:val="00600521"/>
    <w:rsid w:val="006005B4"/>
    <w:rsid w:val="006008E2"/>
    <w:rsid w:val="00600EB5"/>
    <w:rsid w:val="00601C2E"/>
    <w:rsid w:val="00601CAD"/>
    <w:rsid w:val="00604475"/>
    <w:rsid w:val="00604DEF"/>
    <w:rsid w:val="00605771"/>
    <w:rsid w:val="00607AF2"/>
    <w:rsid w:val="00610026"/>
    <w:rsid w:val="00610502"/>
    <w:rsid w:val="00610EE2"/>
    <w:rsid w:val="00611054"/>
    <w:rsid w:val="00611156"/>
    <w:rsid w:val="006117C3"/>
    <w:rsid w:val="00611E51"/>
    <w:rsid w:val="006120EC"/>
    <w:rsid w:val="00612580"/>
    <w:rsid w:val="00612EA7"/>
    <w:rsid w:val="006139D7"/>
    <w:rsid w:val="00613A40"/>
    <w:rsid w:val="00614B41"/>
    <w:rsid w:val="00616764"/>
    <w:rsid w:val="00616E6F"/>
    <w:rsid w:val="00617436"/>
    <w:rsid w:val="006175EF"/>
    <w:rsid w:val="00617973"/>
    <w:rsid w:val="00617AF9"/>
    <w:rsid w:val="0062051B"/>
    <w:rsid w:val="00620C24"/>
    <w:rsid w:val="00620D97"/>
    <w:rsid w:val="00621058"/>
    <w:rsid w:val="006221E2"/>
    <w:rsid w:val="006223DC"/>
    <w:rsid w:val="00622B9E"/>
    <w:rsid w:val="00622BAC"/>
    <w:rsid w:val="00623294"/>
    <w:rsid w:val="006234E7"/>
    <w:rsid w:val="0062389D"/>
    <w:rsid w:val="00623B42"/>
    <w:rsid w:val="0062448E"/>
    <w:rsid w:val="00624B01"/>
    <w:rsid w:val="00624C26"/>
    <w:rsid w:val="00624EDE"/>
    <w:rsid w:val="00624EEB"/>
    <w:rsid w:val="00625303"/>
    <w:rsid w:val="00625307"/>
    <w:rsid w:val="006257D9"/>
    <w:rsid w:val="00625A7A"/>
    <w:rsid w:val="00626B4F"/>
    <w:rsid w:val="00626BAB"/>
    <w:rsid w:val="0062745D"/>
    <w:rsid w:val="00627512"/>
    <w:rsid w:val="006307A0"/>
    <w:rsid w:val="006307E6"/>
    <w:rsid w:val="00630A57"/>
    <w:rsid w:val="00631010"/>
    <w:rsid w:val="00631510"/>
    <w:rsid w:val="006319AC"/>
    <w:rsid w:val="006319FB"/>
    <w:rsid w:val="00632214"/>
    <w:rsid w:val="006322F6"/>
    <w:rsid w:val="006328CC"/>
    <w:rsid w:val="00632CAD"/>
    <w:rsid w:val="00632CCD"/>
    <w:rsid w:val="00632F16"/>
    <w:rsid w:val="00633079"/>
    <w:rsid w:val="00633360"/>
    <w:rsid w:val="006338D0"/>
    <w:rsid w:val="006339E6"/>
    <w:rsid w:val="00634E48"/>
    <w:rsid w:val="006359AF"/>
    <w:rsid w:val="00636023"/>
    <w:rsid w:val="0063644D"/>
    <w:rsid w:val="00636640"/>
    <w:rsid w:val="00636EBF"/>
    <w:rsid w:val="00640CA1"/>
    <w:rsid w:val="00640DB7"/>
    <w:rsid w:val="0064103D"/>
    <w:rsid w:val="006416E4"/>
    <w:rsid w:val="00641EE7"/>
    <w:rsid w:val="00642703"/>
    <w:rsid w:val="0064292B"/>
    <w:rsid w:val="00643076"/>
    <w:rsid w:val="00643212"/>
    <w:rsid w:val="00643999"/>
    <w:rsid w:val="00643F09"/>
    <w:rsid w:val="0064433C"/>
    <w:rsid w:val="0064444D"/>
    <w:rsid w:val="0064448B"/>
    <w:rsid w:val="00645C67"/>
    <w:rsid w:val="00645C79"/>
    <w:rsid w:val="00645E66"/>
    <w:rsid w:val="006460A2"/>
    <w:rsid w:val="006460FF"/>
    <w:rsid w:val="00646902"/>
    <w:rsid w:val="0064748B"/>
    <w:rsid w:val="00650642"/>
    <w:rsid w:val="00650F13"/>
    <w:rsid w:val="00650F1E"/>
    <w:rsid w:val="00651061"/>
    <w:rsid w:val="006518AE"/>
    <w:rsid w:val="00651B3C"/>
    <w:rsid w:val="00651D7A"/>
    <w:rsid w:val="0065244B"/>
    <w:rsid w:val="00652DF7"/>
    <w:rsid w:val="00653154"/>
    <w:rsid w:val="00653998"/>
    <w:rsid w:val="00654C12"/>
    <w:rsid w:val="0065549D"/>
    <w:rsid w:val="00655C7F"/>
    <w:rsid w:val="00657FCA"/>
    <w:rsid w:val="00660291"/>
    <w:rsid w:val="0066055F"/>
    <w:rsid w:val="00661284"/>
    <w:rsid w:val="00661503"/>
    <w:rsid w:val="00661D8D"/>
    <w:rsid w:val="00662C74"/>
    <w:rsid w:val="00663441"/>
    <w:rsid w:val="00663570"/>
    <w:rsid w:val="0066363A"/>
    <w:rsid w:val="00663823"/>
    <w:rsid w:val="006639C1"/>
    <w:rsid w:val="00663E01"/>
    <w:rsid w:val="00664687"/>
    <w:rsid w:val="00664A33"/>
    <w:rsid w:val="00664AEC"/>
    <w:rsid w:val="00664C0C"/>
    <w:rsid w:val="00664E80"/>
    <w:rsid w:val="006654FF"/>
    <w:rsid w:val="006658FB"/>
    <w:rsid w:val="0066614D"/>
    <w:rsid w:val="00666A87"/>
    <w:rsid w:val="006674CB"/>
    <w:rsid w:val="0066763A"/>
    <w:rsid w:val="006677FD"/>
    <w:rsid w:val="006679EF"/>
    <w:rsid w:val="00670193"/>
    <w:rsid w:val="0067028E"/>
    <w:rsid w:val="0067069A"/>
    <w:rsid w:val="0067081F"/>
    <w:rsid w:val="00670AA0"/>
    <w:rsid w:val="00671603"/>
    <w:rsid w:val="00671743"/>
    <w:rsid w:val="0067181E"/>
    <w:rsid w:val="00671D8F"/>
    <w:rsid w:val="0067265E"/>
    <w:rsid w:val="00672D2B"/>
    <w:rsid w:val="00672E8C"/>
    <w:rsid w:val="00672E9F"/>
    <w:rsid w:val="00672F2D"/>
    <w:rsid w:val="00672F5B"/>
    <w:rsid w:val="006730E0"/>
    <w:rsid w:val="00673C74"/>
    <w:rsid w:val="006741C3"/>
    <w:rsid w:val="006748A9"/>
    <w:rsid w:val="006748AD"/>
    <w:rsid w:val="006756EC"/>
    <w:rsid w:val="00675E8D"/>
    <w:rsid w:val="006765FD"/>
    <w:rsid w:val="0067747A"/>
    <w:rsid w:val="006774FA"/>
    <w:rsid w:val="00677549"/>
    <w:rsid w:val="0067757B"/>
    <w:rsid w:val="006779A6"/>
    <w:rsid w:val="00680391"/>
    <w:rsid w:val="00680E4F"/>
    <w:rsid w:val="00680F49"/>
    <w:rsid w:val="00680FC7"/>
    <w:rsid w:val="006814D7"/>
    <w:rsid w:val="006826A0"/>
    <w:rsid w:val="00682996"/>
    <w:rsid w:val="006839AA"/>
    <w:rsid w:val="00683D75"/>
    <w:rsid w:val="006845BF"/>
    <w:rsid w:val="00684639"/>
    <w:rsid w:val="00684EC0"/>
    <w:rsid w:val="00685002"/>
    <w:rsid w:val="0068517F"/>
    <w:rsid w:val="00685213"/>
    <w:rsid w:val="00685CE1"/>
    <w:rsid w:val="00686264"/>
    <w:rsid w:val="00686D89"/>
    <w:rsid w:val="00687F60"/>
    <w:rsid w:val="006900C7"/>
    <w:rsid w:val="0069094A"/>
    <w:rsid w:val="00690FA7"/>
    <w:rsid w:val="006915EE"/>
    <w:rsid w:val="0069190F"/>
    <w:rsid w:val="0069287D"/>
    <w:rsid w:val="0069298C"/>
    <w:rsid w:val="00693F93"/>
    <w:rsid w:val="00694329"/>
    <w:rsid w:val="00694436"/>
    <w:rsid w:val="006946FF"/>
    <w:rsid w:val="0069481C"/>
    <w:rsid w:val="00694E25"/>
    <w:rsid w:val="006956E8"/>
    <w:rsid w:val="0069722C"/>
    <w:rsid w:val="00697731"/>
    <w:rsid w:val="00697AF1"/>
    <w:rsid w:val="006A0C8E"/>
    <w:rsid w:val="006A0CBD"/>
    <w:rsid w:val="006A1430"/>
    <w:rsid w:val="006A18F7"/>
    <w:rsid w:val="006A1C56"/>
    <w:rsid w:val="006A2BA7"/>
    <w:rsid w:val="006A3250"/>
    <w:rsid w:val="006A3336"/>
    <w:rsid w:val="006A47C4"/>
    <w:rsid w:val="006A4F39"/>
    <w:rsid w:val="006A53CD"/>
    <w:rsid w:val="006A5779"/>
    <w:rsid w:val="006A5B05"/>
    <w:rsid w:val="006A64E7"/>
    <w:rsid w:val="006A6EB0"/>
    <w:rsid w:val="006A6F3C"/>
    <w:rsid w:val="006A71BC"/>
    <w:rsid w:val="006A761D"/>
    <w:rsid w:val="006A79D0"/>
    <w:rsid w:val="006A7DAC"/>
    <w:rsid w:val="006A7FA5"/>
    <w:rsid w:val="006B0715"/>
    <w:rsid w:val="006B0875"/>
    <w:rsid w:val="006B0E6B"/>
    <w:rsid w:val="006B1F3C"/>
    <w:rsid w:val="006B2397"/>
    <w:rsid w:val="006B2DF4"/>
    <w:rsid w:val="006B38E6"/>
    <w:rsid w:val="006B3ECE"/>
    <w:rsid w:val="006B4D9C"/>
    <w:rsid w:val="006B6D17"/>
    <w:rsid w:val="006B7867"/>
    <w:rsid w:val="006B7E97"/>
    <w:rsid w:val="006B7FB9"/>
    <w:rsid w:val="006C01ED"/>
    <w:rsid w:val="006C06DC"/>
    <w:rsid w:val="006C07C6"/>
    <w:rsid w:val="006C0823"/>
    <w:rsid w:val="006C08FE"/>
    <w:rsid w:val="006C0BB9"/>
    <w:rsid w:val="006C0D89"/>
    <w:rsid w:val="006C1E4C"/>
    <w:rsid w:val="006C2477"/>
    <w:rsid w:val="006C253B"/>
    <w:rsid w:val="006C337A"/>
    <w:rsid w:val="006C33F8"/>
    <w:rsid w:val="006C3829"/>
    <w:rsid w:val="006C38B5"/>
    <w:rsid w:val="006C3D80"/>
    <w:rsid w:val="006C4112"/>
    <w:rsid w:val="006C4449"/>
    <w:rsid w:val="006C44BD"/>
    <w:rsid w:val="006C4979"/>
    <w:rsid w:val="006C54A5"/>
    <w:rsid w:val="006C54CC"/>
    <w:rsid w:val="006C55E9"/>
    <w:rsid w:val="006C591D"/>
    <w:rsid w:val="006C5C90"/>
    <w:rsid w:val="006C66C0"/>
    <w:rsid w:val="006C6A6C"/>
    <w:rsid w:val="006C6F0C"/>
    <w:rsid w:val="006C7139"/>
    <w:rsid w:val="006C7213"/>
    <w:rsid w:val="006C7489"/>
    <w:rsid w:val="006C768A"/>
    <w:rsid w:val="006C7B81"/>
    <w:rsid w:val="006C7E98"/>
    <w:rsid w:val="006C7FB5"/>
    <w:rsid w:val="006D0273"/>
    <w:rsid w:val="006D052A"/>
    <w:rsid w:val="006D0B20"/>
    <w:rsid w:val="006D0BF3"/>
    <w:rsid w:val="006D0C99"/>
    <w:rsid w:val="006D0EF5"/>
    <w:rsid w:val="006D158B"/>
    <w:rsid w:val="006D187A"/>
    <w:rsid w:val="006D2194"/>
    <w:rsid w:val="006D248A"/>
    <w:rsid w:val="006D2A03"/>
    <w:rsid w:val="006D2C56"/>
    <w:rsid w:val="006D2F2A"/>
    <w:rsid w:val="006D320B"/>
    <w:rsid w:val="006D3560"/>
    <w:rsid w:val="006D4852"/>
    <w:rsid w:val="006D5709"/>
    <w:rsid w:val="006D5C9C"/>
    <w:rsid w:val="006D5CF5"/>
    <w:rsid w:val="006D5F58"/>
    <w:rsid w:val="006D65D2"/>
    <w:rsid w:val="006D6A61"/>
    <w:rsid w:val="006D6C17"/>
    <w:rsid w:val="006D6FC7"/>
    <w:rsid w:val="006D7002"/>
    <w:rsid w:val="006D700F"/>
    <w:rsid w:val="006D7073"/>
    <w:rsid w:val="006D7926"/>
    <w:rsid w:val="006D79E0"/>
    <w:rsid w:val="006E106F"/>
    <w:rsid w:val="006E1078"/>
    <w:rsid w:val="006E22AE"/>
    <w:rsid w:val="006E291C"/>
    <w:rsid w:val="006E2BFA"/>
    <w:rsid w:val="006E2DA2"/>
    <w:rsid w:val="006E34DA"/>
    <w:rsid w:val="006E35E9"/>
    <w:rsid w:val="006E3D1C"/>
    <w:rsid w:val="006E3DA0"/>
    <w:rsid w:val="006E3DDD"/>
    <w:rsid w:val="006E43E7"/>
    <w:rsid w:val="006E466B"/>
    <w:rsid w:val="006E4E7D"/>
    <w:rsid w:val="006E537B"/>
    <w:rsid w:val="006E55F5"/>
    <w:rsid w:val="006E5941"/>
    <w:rsid w:val="006E5D07"/>
    <w:rsid w:val="006E6186"/>
    <w:rsid w:val="006E6B98"/>
    <w:rsid w:val="006E76E2"/>
    <w:rsid w:val="006E79E0"/>
    <w:rsid w:val="006F0243"/>
    <w:rsid w:val="006F03C5"/>
    <w:rsid w:val="006F0D53"/>
    <w:rsid w:val="006F1600"/>
    <w:rsid w:val="006F1D49"/>
    <w:rsid w:val="006F1DAC"/>
    <w:rsid w:val="006F1DC7"/>
    <w:rsid w:val="006F1F84"/>
    <w:rsid w:val="006F2850"/>
    <w:rsid w:val="006F2EEF"/>
    <w:rsid w:val="006F30D7"/>
    <w:rsid w:val="006F3F0F"/>
    <w:rsid w:val="006F4934"/>
    <w:rsid w:val="006F4ACD"/>
    <w:rsid w:val="006F4FA0"/>
    <w:rsid w:val="006F503F"/>
    <w:rsid w:val="006F56E4"/>
    <w:rsid w:val="006F58C2"/>
    <w:rsid w:val="006F5B36"/>
    <w:rsid w:val="006F5E12"/>
    <w:rsid w:val="006F5FD7"/>
    <w:rsid w:val="006F6B91"/>
    <w:rsid w:val="006F6C57"/>
    <w:rsid w:val="006F6CEA"/>
    <w:rsid w:val="006F7D11"/>
    <w:rsid w:val="0070095D"/>
    <w:rsid w:val="00700C69"/>
    <w:rsid w:val="0070109C"/>
    <w:rsid w:val="007026FB"/>
    <w:rsid w:val="007031E7"/>
    <w:rsid w:val="0070467A"/>
    <w:rsid w:val="00704982"/>
    <w:rsid w:val="00704AD9"/>
    <w:rsid w:val="00704E4C"/>
    <w:rsid w:val="00705FC4"/>
    <w:rsid w:val="007060BC"/>
    <w:rsid w:val="00706742"/>
    <w:rsid w:val="007073B4"/>
    <w:rsid w:val="0070779E"/>
    <w:rsid w:val="007078D6"/>
    <w:rsid w:val="00707D93"/>
    <w:rsid w:val="00710019"/>
    <w:rsid w:val="00710225"/>
    <w:rsid w:val="007113C9"/>
    <w:rsid w:val="007116ED"/>
    <w:rsid w:val="007118FE"/>
    <w:rsid w:val="007119A0"/>
    <w:rsid w:val="007120E5"/>
    <w:rsid w:val="007129A5"/>
    <w:rsid w:val="00713198"/>
    <w:rsid w:val="00713859"/>
    <w:rsid w:val="0071420A"/>
    <w:rsid w:val="00714399"/>
    <w:rsid w:val="007148E3"/>
    <w:rsid w:val="00714C0D"/>
    <w:rsid w:val="0071572C"/>
    <w:rsid w:val="00715B73"/>
    <w:rsid w:val="00716052"/>
    <w:rsid w:val="0071654C"/>
    <w:rsid w:val="00716746"/>
    <w:rsid w:val="007168AE"/>
    <w:rsid w:val="00716C32"/>
    <w:rsid w:val="00716DF7"/>
    <w:rsid w:val="007170EE"/>
    <w:rsid w:val="007172A6"/>
    <w:rsid w:val="007173DA"/>
    <w:rsid w:val="00717676"/>
    <w:rsid w:val="00717683"/>
    <w:rsid w:val="007177F5"/>
    <w:rsid w:val="00717886"/>
    <w:rsid w:val="00717B53"/>
    <w:rsid w:val="00717B56"/>
    <w:rsid w:val="00717E74"/>
    <w:rsid w:val="0072021F"/>
    <w:rsid w:val="00720D2E"/>
    <w:rsid w:val="00721176"/>
    <w:rsid w:val="00722269"/>
    <w:rsid w:val="00722393"/>
    <w:rsid w:val="007223A4"/>
    <w:rsid w:val="00722675"/>
    <w:rsid w:val="00722E71"/>
    <w:rsid w:val="00723909"/>
    <w:rsid w:val="00724002"/>
    <w:rsid w:val="00724139"/>
    <w:rsid w:val="00724BA5"/>
    <w:rsid w:val="00724DBC"/>
    <w:rsid w:val="00724EA0"/>
    <w:rsid w:val="007257F7"/>
    <w:rsid w:val="00726576"/>
    <w:rsid w:val="00726ACA"/>
    <w:rsid w:val="007272E6"/>
    <w:rsid w:val="007273DB"/>
    <w:rsid w:val="007278F3"/>
    <w:rsid w:val="00727D7B"/>
    <w:rsid w:val="0073054C"/>
    <w:rsid w:val="00730FAF"/>
    <w:rsid w:val="0073130C"/>
    <w:rsid w:val="00731342"/>
    <w:rsid w:val="00731777"/>
    <w:rsid w:val="00731998"/>
    <w:rsid w:val="00731CA6"/>
    <w:rsid w:val="00731EB3"/>
    <w:rsid w:val="00732875"/>
    <w:rsid w:val="00733A0F"/>
    <w:rsid w:val="00733B67"/>
    <w:rsid w:val="00733BB9"/>
    <w:rsid w:val="00734A35"/>
    <w:rsid w:val="007355B6"/>
    <w:rsid w:val="00736702"/>
    <w:rsid w:val="007367E0"/>
    <w:rsid w:val="00737347"/>
    <w:rsid w:val="00737A4D"/>
    <w:rsid w:val="007405E0"/>
    <w:rsid w:val="00740D54"/>
    <w:rsid w:val="00741288"/>
    <w:rsid w:val="007414FF"/>
    <w:rsid w:val="007415E3"/>
    <w:rsid w:val="0074164F"/>
    <w:rsid w:val="00741F47"/>
    <w:rsid w:val="0074279D"/>
    <w:rsid w:val="007433AC"/>
    <w:rsid w:val="00743B9B"/>
    <w:rsid w:val="007441C8"/>
    <w:rsid w:val="00744532"/>
    <w:rsid w:val="00744D91"/>
    <w:rsid w:val="00744DB0"/>
    <w:rsid w:val="00745268"/>
    <w:rsid w:val="00745F0E"/>
    <w:rsid w:val="00746BAA"/>
    <w:rsid w:val="00747839"/>
    <w:rsid w:val="00747F5D"/>
    <w:rsid w:val="00750A7E"/>
    <w:rsid w:val="00751109"/>
    <w:rsid w:val="00751190"/>
    <w:rsid w:val="00751B3B"/>
    <w:rsid w:val="00751C55"/>
    <w:rsid w:val="00752027"/>
    <w:rsid w:val="00752698"/>
    <w:rsid w:val="00752953"/>
    <w:rsid w:val="007530AE"/>
    <w:rsid w:val="00753478"/>
    <w:rsid w:val="00753845"/>
    <w:rsid w:val="00753927"/>
    <w:rsid w:val="007539F1"/>
    <w:rsid w:val="0075435B"/>
    <w:rsid w:val="00754972"/>
    <w:rsid w:val="00754F6C"/>
    <w:rsid w:val="007559F2"/>
    <w:rsid w:val="00755A3E"/>
    <w:rsid w:val="007569E5"/>
    <w:rsid w:val="00756E16"/>
    <w:rsid w:val="0075757F"/>
    <w:rsid w:val="007577FA"/>
    <w:rsid w:val="00760435"/>
    <w:rsid w:val="00760D11"/>
    <w:rsid w:val="00760E43"/>
    <w:rsid w:val="00761A07"/>
    <w:rsid w:val="00761E25"/>
    <w:rsid w:val="00761EA0"/>
    <w:rsid w:val="00761FAE"/>
    <w:rsid w:val="00762938"/>
    <w:rsid w:val="00762E14"/>
    <w:rsid w:val="0076315B"/>
    <w:rsid w:val="007631C7"/>
    <w:rsid w:val="007635AE"/>
    <w:rsid w:val="00763C7C"/>
    <w:rsid w:val="0076484B"/>
    <w:rsid w:val="007649EE"/>
    <w:rsid w:val="00764D35"/>
    <w:rsid w:val="00764D86"/>
    <w:rsid w:val="00764DDE"/>
    <w:rsid w:val="0076549E"/>
    <w:rsid w:val="00766412"/>
    <w:rsid w:val="00766A32"/>
    <w:rsid w:val="00767A30"/>
    <w:rsid w:val="00767C67"/>
    <w:rsid w:val="00767F6B"/>
    <w:rsid w:val="00770193"/>
    <w:rsid w:val="0077059C"/>
    <w:rsid w:val="00771021"/>
    <w:rsid w:val="00771042"/>
    <w:rsid w:val="007717FE"/>
    <w:rsid w:val="00772D13"/>
    <w:rsid w:val="00772F0B"/>
    <w:rsid w:val="0077359C"/>
    <w:rsid w:val="0077440B"/>
    <w:rsid w:val="00774F54"/>
    <w:rsid w:val="00775BF0"/>
    <w:rsid w:val="00775E7D"/>
    <w:rsid w:val="00775EC3"/>
    <w:rsid w:val="00776835"/>
    <w:rsid w:val="00776C0A"/>
    <w:rsid w:val="00776D39"/>
    <w:rsid w:val="007772AA"/>
    <w:rsid w:val="00780A71"/>
    <w:rsid w:val="00780C4B"/>
    <w:rsid w:val="00780C78"/>
    <w:rsid w:val="00781520"/>
    <w:rsid w:val="0078197B"/>
    <w:rsid w:val="007819C8"/>
    <w:rsid w:val="007821A5"/>
    <w:rsid w:val="007828EA"/>
    <w:rsid w:val="0078313D"/>
    <w:rsid w:val="007831ED"/>
    <w:rsid w:val="007834D7"/>
    <w:rsid w:val="00783692"/>
    <w:rsid w:val="00783D42"/>
    <w:rsid w:val="007849B2"/>
    <w:rsid w:val="00784E39"/>
    <w:rsid w:val="00785C99"/>
    <w:rsid w:val="00786138"/>
    <w:rsid w:val="00787446"/>
    <w:rsid w:val="00787BC7"/>
    <w:rsid w:val="00787C21"/>
    <w:rsid w:val="007900B1"/>
    <w:rsid w:val="0079059F"/>
    <w:rsid w:val="00790664"/>
    <w:rsid w:val="00790E49"/>
    <w:rsid w:val="007911D1"/>
    <w:rsid w:val="00791846"/>
    <w:rsid w:val="00791C16"/>
    <w:rsid w:val="00793018"/>
    <w:rsid w:val="0079305F"/>
    <w:rsid w:val="0079316F"/>
    <w:rsid w:val="00793A76"/>
    <w:rsid w:val="00793DFC"/>
    <w:rsid w:val="007946E4"/>
    <w:rsid w:val="007949ED"/>
    <w:rsid w:val="00794A15"/>
    <w:rsid w:val="00794CF9"/>
    <w:rsid w:val="0079505A"/>
    <w:rsid w:val="00795C91"/>
    <w:rsid w:val="0079641A"/>
    <w:rsid w:val="0079649B"/>
    <w:rsid w:val="00796BD4"/>
    <w:rsid w:val="00796F30"/>
    <w:rsid w:val="007975E9"/>
    <w:rsid w:val="00797A6B"/>
    <w:rsid w:val="007A0000"/>
    <w:rsid w:val="007A0502"/>
    <w:rsid w:val="007A0757"/>
    <w:rsid w:val="007A0973"/>
    <w:rsid w:val="007A0D73"/>
    <w:rsid w:val="007A10F4"/>
    <w:rsid w:val="007A1587"/>
    <w:rsid w:val="007A15EA"/>
    <w:rsid w:val="007A167D"/>
    <w:rsid w:val="007A1D5F"/>
    <w:rsid w:val="007A28A6"/>
    <w:rsid w:val="007A2E9D"/>
    <w:rsid w:val="007A2F28"/>
    <w:rsid w:val="007A3B66"/>
    <w:rsid w:val="007A52D1"/>
    <w:rsid w:val="007A578C"/>
    <w:rsid w:val="007A5B49"/>
    <w:rsid w:val="007A68C3"/>
    <w:rsid w:val="007A74A3"/>
    <w:rsid w:val="007A79BF"/>
    <w:rsid w:val="007A7A78"/>
    <w:rsid w:val="007B1342"/>
    <w:rsid w:val="007B14FD"/>
    <w:rsid w:val="007B1651"/>
    <w:rsid w:val="007B1D1D"/>
    <w:rsid w:val="007B367C"/>
    <w:rsid w:val="007B40D3"/>
    <w:rsid w:val="007B46A1"/>
    <w:rsid w:val="007B515C"/>
    <w:rsid w:val="007B5C18"/>
    <w:rsid w:val="007B6BC9"/>
    <w:rsid w:val="007B6EB1"/>
    <w:rsid w:val="007B70B1"/>
    <w:rsid w:val="007B71D1"/>
    <w:rsid w:val="007C08C0"/>
    <w:rsid w:val="007C0A04"/>
    <w:rsid w:val="007C0F1E"/>
    <w:rsid w:val="007C0F6D"/>
    <w:rsid w:val="007C0FE9"/>
    <w:rsid w:val="007C1AEF"/>
    <w:rsid w:val="007C21B3"/>
    <w:rsid w:val="007C233B"/>
    <w:rsid w:val="007C2402"/>
    <w:rsid w:val="007C24E9"/>
    <w:rsid w:val="007C27E4"/>
    <w:rsid w:val="007C34CC"/>
    <w:rsid w:val="007C37F9"/>
    <w:rsid w:val="007C4033"/>
    <w:rsid w:val="007C43F3"/>
    <w:rsid w:val="007C4595"/>
    <w:rsid w:val="007C6F2C"/>
    <w:rsid w:val="007C7749"/>
    <w:rsid w:val="007C77FD"/>
    <w:rsid w:val="007D0959"/>
    <w:rsid w:val="007D125F"/>
    <w:rsid w:val="007D18D6"/>
    <w:rsid w:val="007D229C"/>
    <w:rsid w:val="007D2532"/>
    <w:rsid w:val="007D2743"/>
    <w:rsid w:val="007D2D3B"/>
    <w:rsid w:val="007D2EA6"/>
    <w:rsid w:val="007D3024"/>
    <w:rsid w:val="007D47A4"/>
    <w:rsid w:val="007D56A2"/>
    <w:rsid w:val="007D57C1"/>
    <w:rsid w:val="007D59A3"/>
    <w:rsid w:val="007D600A"/>
    <w:rsid w:val="007D6E2D"/>
    <w:rsid w:val="007D6F53"/>
    <w:rsid w:val="007D7260"/>
    <w:rsid w:val="007D7515"/>
    <w:rsid w:val="007D796E"/>
    <w:rsid w:val="007E0776"/>
    <w:rsid w:val="007E07F3"/>
    <w:rsid w:val="007E1102"/>
    <w:rsid w:val="007E176F"/>
    <w:rsid w:val="007E3850"/>
    <w:rsid w:val="007E444F"/>
    <w:rsid w:val="007E4F3E"/>
    <w:rsid w:val="007E5724"/>
    <w:rsid w:val="007E6338"/>
    <w:rsid w:val="007E66A1"/>
    <w:rsid w:val="007E6DAC"/>
    <w:rsid w:val="007E6DBA"/>
    <w:rsid w:val="007E778E"/>
    <w:rsid w:val="007E79C9"/>
    <w:rsid w:val="007E7A44"/>
    <w:rsid w:val="007E7BCE"/>
    <w:rsid w:val="007F0BE4"/>
    <w:rsid w:val="007F0DAF"/>
    <w:rsid w:val="007F0E28"/>
    <w:rsid w:val="007F18CB"/>
    <w:rsid w:val="007F1A57"/>
    <w:rsid w:val="007F1B6F"/>
    <w:rsid w:val="007F1F96"/>
    <w:rsid w:val="007F259C"/>
    <w:rsid w:val="007F2761"/>
    <w:rsid w:val="007F2E13"/>
    <w:rsid w:val="007F3DFE"/>
    <w:rsid w:val="007F4219"/>
    <w:rsid w:val="007F44D9"/>
    <w:rsid w:val="007F4A35"/>
    <w:rsid w:val="007F55F5"/>
    <w:rsid w:val="007F591D"/>
    <w:rsid w:val="007F6485"/>
    <w:rsid w:val="007F6507"/>
    <w:rsid w:val="007F6781"/>
    <w:rsid w:val="007F6B4B"/>
    <w:rsid w:val="007F704A"/>
    <w:rsid w:val="007F72BC"/>
    <w:rsid w:val="007F74E6"/>
    <w:rsid w:val="007F7A13"/>
    <w:rsid w:val="007F7A67"/>
    <w:rsid w:val="007F7DE2"/>
    <w:rsid w:val="00800208"/>
    <w:rsid w:val="00800628"/>
    <w:rsid w:val="00800FB0"/>
    <w:rsid w:val="00801095"/>
    <w:rsid w:val="00801945"/>
    <w:rsid w:val="0080197D"/>
    <w:rsid w:val="00801CDC"/>
    <w:rsid w:val="00801FF4"/>
    <w:rsid w:val="008025EB"/>
    <w:rsid w:val="00802DBF"/>
    <w:rsid w:val="00803AD3"/>
    <w:rsid w:val="00803E61"/>
    <w:rsid w:val="008047C0"/>
    <w:rsid w:val="0080480C"/>
    <w:rsid w:val="008049C7"/>
    <w:rsid w:val="00805325"/>
    <w:rsid w:val="0080571F"/>
    <w:rsid w:val="00805797"/>
    <w:rsid w:val="008058DB"/>
    <w:rsid w:val="00806CC6"/>
    <w:rsid w:val="00806D90"/>
    <w:rsid w:val="00806F52"/>
    <w:rsid w:val="00807155"/>
    <w:rsid w:val="00807F5E"/>
    <w:rsid w:val="0081064A"/>
    <w:rsid w:val="00813052"/>
    <w:rsid w:val="0081306D"/>
    <w:rsid w:val="00813674"/>
    <w:rsid w:val="00813807"/>
    <w:rsid w:val="0081393E"/>
    <w:rsid w:val="00814318"/>
    <w:rsid w:val="00814EC6"/>
    <w:rsid w:val="008153DB"/>
    <w:rsid w:val="008159CB"/>
    <w:rsid w:val="00815AA3"/>
    <w:rsid w:val="00815EE1"/>
    <w:rsid w:val="00816122"/>
    <w:rsid w:val="00816353"/>
    <w:rsid w:val="00817602"/>
    <w:rsid w:val="008176E2"/>
    <w:rsid w:val="00817A46"/>
    <w:rsid w:val="00817D7C"/>
    <w:rsid w:val="0082034D"/>
    <w:rsid w:val="008203A8"/>
    <w:rsid w:val="00820E53"/>
    <w:rsid w:val="008210AE"/>
    <w:rsid w:val="0082157E"/>
    <w:rsid w:val="008216A9"/>
    <w:rsid w:val="008227D6"/>
    <w:rsid w:val="00822918"/>
    <w:rsid w:val="00822D8A"/>
    <w:rsid w:val="00823908"/>
    <w:rsid w:val="0082397B"/>
    <w:rsid w:val="00823BC0"/>
    <w:rsid w:val="008243CC"/>
    <w:rsid w:val="00824A5B"/>
    <w:rsid w:val="00824D72"/>
    <w:rsid w:val="00825848"/>
    <w:rsid w:val="00825C7D"/>
    <w:rsid w:val="00826399"/>
    <w:rsid w:val="008268C9"/>
    <w:rsid w:val="0082734F"/>
    <w:rsid w:val="008276D3"/>
    <w:rsid w:val="00827BAC"/>
    <w:rsid w:val="00830123"/>
    <w:rsid w:val="008303A8"/>
    <w:rsid w:val="00830414"/>
    <w:rsid w:val="008307C9"/>
    <w:rsid w:val="008318EB"/>
    <w:rsid w:val="008335F7"/>
    <w:rsid w:val="00833884"/>
    <w:rsid w:val="008338A8"/>
    <w:rsid w:val="00834343"/>
    <w:rsid w:val="00835174"/>
    <w:rsid w:val="0083532D"/>
    <w:rsid w:val="00835924"/>
    <w:rsid w:val="00835BC4"/>
    <w:rsid w:val="00835D46"/>
    <w:rsid w:val="0083602C"/>
    <w:rsid w:val="00836555"/>
    <w:rsid w:val="008367A4"/>
    <w:rsid w:val="00836963"/>
    <w:rsid w:val="00836AAE"/>
    <w:rsid w:val="00836E95"/>
    <w:rsid w:val="00837949"/>
    <w:rsid w:val="00837EFE"/>
    <w:rsid w:val="00840978"/>
    <w:rsid w:val="00840D60"/>
    <w:rsid w:val="00841622"/>
    <w:rsid w:val="008416E9"/>
    <w:rsid w:val="00841E09"/>
    <w:rsid w:val="00842688"/>
    <w:rsid w:val="00842ADC"/>
    <w:rsid w:val="00842CE2"/>
    <w:rsid w:val="00843460"/>
    <w:rsid w:val="008438BB"/>
    <w:rsid w:val="00844BB6"/>
    <w:rsid w:val="00844C2D"/>
    <w:rsid w:val="00844E1B"/>
    <w:rsid w:val="00844F73"/>
    <w:rsid w:val="0084512F"/>
    <w:rsid w:val="008453B2"/>
    <w:rsid w:val="0084625A"/>
    <w:rsid w:val="008462EE"/>
    <w:rsid w:val="0084656E"/>
    <w:rsid w:val="008468E0"/>
    <w:rsid w:val="00846C2C"/>
    <w:rsid w:val="00847223"/>
    <w:rsid w:val="008476F4"/>
    <w:rsid w:val="00847B4B"/>
    <w:rsid w:val="00847D7D"/>
    <w:rsid w:val="00850065"/>
    <w:rsid w:val="008503F9"/>
    <w:rsid w:val="00850934"/>
    <w:rsid w:val="00850AA4"/>
    <w:rsid w:val="00850BCC"/>
    <w:rsid w:val="00850F44"/>
    <w:rsid w:val="00851BA4"/>
    <w:rsid w:val="00851BE6"/>
    <w:rsid w:val="00851E1F"/>
    <w:rsid w:val="00853045"/>
    <w:rsid w:val="0085317A"/>
    <w:rsid w:val="0085365F"/>
    <w:rsid w:val="00853D22"/>
    <w:rsid w:val="008546FE"/>
    <w:rsid w:val="00854DE4"/>
    <w:rsid w:val="008551E0"/>
    <w:rsid w:val="00855370"/>
    <w:rsid w:val="008554EE"/>
    <w:rsid w:val="008555B9"/>
    <w:rsid w:val="00855936"/>
    <w:rsid w:val="00855B68"/>
    <w:rsid w:val="00856546"/>
    <w:rsid w:val="00856819"/>
    <w:rsid w:val="00856DAE"/>
    <w:rsid w:val="00856DCB"/>
    <w:rsid w:val="00857C8C"/>
    <w:rsid w:val="00857DF3"/>
    <w:rsid w:val="00860202"/>
    <w:rsid w:val="00860227"/>
    <w:rsid w:val="00860A33"/>
    <w:rsid w:val="00860D15"/>
    <w:rsid w:val="00860EF8"/>
    <w:rsid w:val="008614D3"/>
    <w:rsid w:val="008619A3"/>
    <w:rsid w:val="00862310"/>
    <w:rsid w:val="0086262B"/>
    <w:rsid w:val="00863391"/>
    <w:rsid w:val="008634F5"/>
    <w:rsid w:val="008637D7"/>
    <w:rsid w:val="008649FF"/>
    <w:rsid w:val="00865143"/>
    <w:rsid w:val="0086522C"/>
    <w:rsid w:val="00865C17"/>
    <w:rsid w:val="00865EB2"/>
    <w:rsid w:val="00866A7F"/>
    <w:rsid w:val="00866EE9"/>
    <w:rsid w:val="00866EEA"/>
    <w:rsid w:val="0086704F"/>
    <w:rsid w:val="008673D7"/>
    <w:rsid w:val="00867E80"/>
    <w:rsid w:val="00867EFE"/>
    <w:rsid w:val="00870509"/>
    <w:rsid w:val="0087138C"/>
    <w:rsid w:val="00872619"/>
    <w:rsid w:val="00872A9C"/>
    <w:rsid w:val="00872E6C"/>
    <w:rsid w:val="008732FF"/>
    <w:rsid w:val="00873413"/>
    <w:rsid w:val="00873559"/>
    <w:rsid w:val="00873A78"/>
    <w:rsid w:val="00875033"/>
    <w:rsid w:val="00875E7C"/>
    <w:rsid w:val="008765FF"/>
    <w:rsid w:val="008767AF"/>
    <w:rsid w:val="00876823"/>
    <w:rsid w:val="00876A89"/>
    <w:rsid w:val="0087728B"/>
    <w:rsid w:val="008773E9"/>
    <w:rsid w:val="0087753D"/>
    <w:rsid w:val="008778DC"/>
    <w:rsid w:val="008800F0"/>
    <w:rsid w:val="0088016F"/>
    <w:rsid w:val="0088137B"/>
    <w:rsid w:val="00881555"/>
    <w:rsid w:val="00881B2A"/>
    <w:rsid w:val="00881BA3"/>
    <w:rsid w:val="00881C97"/>
    <w:rsid w:val="00882F9C"/>
    <w:rsid w:val="0088305D"/>
    <w:rsid w:val="0088312C"/>
    <w:rsid w:val="008832C6"/>
    <w:rsid w:val="00883C85"/>
    <w:rsid w:val="008853B4"/>
    <w:rsid w:val="00885D36"/>
    <w:rsid w:val="0088631F"/>
    <w:rsid w:val="0088636B"/>
    <w:rsid w:val="00886574"/>
    <w:rsid w:val="00886732"/>
    <w:rsid w:val="00886D11"/>
    <w:rsid w:val="00886DF8"/>
    <w:rsid w:val="008873E8"/>
    <w:rsid w:val="00887E97"/>
    <w:rsid w:val="00887EEB"/>
    <w:rsid w:val="008901B1"/>
    <w:rsid w:val="008902DC"/>
    <w:rsid w:val="00890342"/>
    <w:rsid w:val="00890E80"/>
    <w:rsid w:val="00890F35"/>
    <w:rsid w:val="00891165"/>
    <w:rsid w:val="0089148C"/>
    <w:rsid w:val="0089151B"/>
    <w:rsid w:val="008928CD"/>
    <w:rsid w:val="008938BD"/>
    <w:rsid w:val="008943EB"/>
    <w:rsid w:val="0089559F"/>
    <w:rsid w:val="008959A8"/>
    <w:rsid w:val="00895D59"/>
    <w:rsid w:val="00896320"/>
    <w:rsid w:val="00896351"/>
    <w:rsid w:val="00896409"/>
    <w:rsid w:val="0089696C"/>
    <w:rsid w:val="00896E9E"/>
    <w:rsid w:val="008972BA"/>
    <w:rsid w:val="008977A1"/>
    <w:rsid w:val="008A030A"/>
    <w:rsid w:val="008A05D6"/>
    <w:rsid w:val="008A0944"/>
    <w:rsid w:val="008A0C27"/>
    <w:rsid w:val="008A0EA6"/>
    <w:rsid w:val="008A0F40"/>
    <w:rsid w:val="008A1242"/>
    <w:rsid w:val="008A251F"/>
    <w:rsid w:val="008A2633"/>
    <w:rsid w:val="008A263A"/>
    <w:rsid w:val="008A2B1B"/>
    <w:rsid w:val="008A30CC"/>
    <w:rsid w:val="008A328F"/>
    <w:rsid w:val="008A3B93"/>
    <w:rsid w:val="008A4CFA"/>
    <w:rsid w:val="008A5938"/>
    <w:rsid w:val="008A5D46"/>
    <w:rsid w:val="008A5D66"/>
    <w:rsid w:val="008A5D81"/>
    <w:rsid w:val="008A5EBA"/>
    <w:rsid w:val="008A6746"/>
    <w:rsid w:val="008A71D2"/>
    <w:rsid w:val="008A743A"/>
    <w:rsid w:val="008B0387"/>
    <w:rsid w:val="008B040E"/>
    <w:rsid w:val="008B0961"/>
    <w:rsid w:val="008B0BD6"/>
    <w:rsid w:val="008B171A"/>
    <w:rsid w:val="008B2D18"/>
    <w:rsid w:val="008B397A"/>
    <w:rsid w:val="008B3D12"/>
    <w:rsid w:val="008B3D6B"/>
    <w:rsid w:val="008B3DA1"/>
    <w:rsid w:val="008B3E8B"/>
    <w:rsid w:val="008B434C"/>
    <w:rsid w:val="008B43A1"/>
    <w:rsid w:val="008B44AE"/>
    <w:rsid w:val="008B45DA"/>
    <w:rsid w:val="008B4A90"/>
    <w:rsid w:val="008B4D57"/>
    <w:rsid w:val="008B50F8"/>
    <w:rsid w:val="008B544F"/>
    <w:rsid w:val="008B5832"/>
    <w:rsid w:val="008B5B9E"/>
    <w:rsid w:val="008B5F45"/>
    <w:rsid w:val="008B5F66"/>
    <w:rsid w:val="008B615E"/>
    <w:rsid w:val="008B62DC"/>
    <w:rsid w:val="008B66AD"/>
    <w:rsid w:val="008B6B31"/>
    <w:rsid w:val="008B6BA3"/>
    <w:rsid w:val="008B71CF"/>
    <w:rsid w:val="008B7500"/>
    <w:rsid w:val="008B7608"/>
    <w:rsid w:val="008B777F"/>
    <w:rsid w:val="008B7962"/>
    <w:rsid w:val="008B7B2E"/>
    <w:rsid w:val="008B7B47"/>
    <w:rsid w:val="008C0211"/>
    <w:rsid w:val="008C0894"/>
    <w:rsid w:val="008C0F92"/>
    <w:rsid w:val="008C100E"/>
    <w:rsid w:val="008C1901"/>
    <w:rsid w:val="008C1E94"/>
    <w:rsid w:val="008C233F"/>
    <w:rsid w:val="008C25AD"/>
    <w:rsid w:val="008C3516"/>
    <w:rsid w:val="008C35D5"/>
    <w:rsid w:val="008C4B49"/>
    <w:rsid w:val="008C4D15"/>
    <w:rsid w:val="008C54BD"/>
    <w:rsid w:val="008C5768"/>
    <w:rsid w:val="008C5B52"/>
    <w:rsid w:val="008C6947"/>
    <w:rsid w:val="008C7482"/>
    <w:rsid w:val="008D04F8"/>
    <w:rsid w:val="008D12B3"/>
    <w:rsid w:val="008D1BAC"/>
    <w:rsid w:val="008D1D40"/>
    <w:rsid w:val="008D23F0"/>
    <w:rsid w:val="008D363F"/>
    <w:rsid w:val="008D38E9"/>
    <w:rsid w:val="008D414E"/>
    <w:rsid w:val="008D4797"/>
    <w:rsid w:val="008D49FC"/>
    <w:rsid w:val="008D4A5C"/>
    <w:rsid w:val="008D4B6B"/>
    <w:rsid w:val="008D4BA0"/>
    <w:rsid w:val="008D5347"/>
    <w:rsid w:val="008D5550"/>
    <w:rsid w:val="008D77B5"/>
    <w:rsid w:val="008D7A13"/>
    <w:rsid w:val="008E047A"/>
    <w:rsid w:val="008E0B23"/>
    <w:rsid w:val="008E0D2B"/>
    <w:rsid w:val="008E14C1"/>
    <w:rsid w:val="008E166C"/>
    <w:rsid w:val="008E1D6D"/>
    <w:rsid w:val="008E2CAD"/>
    <w:rsid w:val="008E3D0E"/>
    <w:rsid w:val="008E4059"/>
    <w:rsid w:val="008E47DC"/>
    <w:rsid w:val="008E4863"/>
    <w:rsid w:val="008E4AC6"/>
    <w:rsid w:val="008E552F"/>
    <w:rsid w:val="008E58EC"/>
    <w:rsid w:val="008E6A95"/>
    <w:rsid w:val="008E6B05"/>
    <w:rsid w:val="008E7256"/>
    <w:rsid w:val="008E78D7"/>
    <w:rsid w:val="008E7A3E"/>
    <w:rsid w:val="008F085F"/>
    <w:rsid w:val="008F0B22"/>
    <w:rsid w:val="008F144C"/>
    <w:rsid w:val="008F146F"/>
    <w:rsid w:val="008F1607"/>
    <w:rsid w:val="008F19B1"/>
    <w:rsid w:val="008F1A7A"/>
    <w:rsid w:val="008F318C"/>
    <w:rsid w:val="008F3A6A"/>
    <w:rsid w:val="008F3F0B"/>
    <w:rsid w:val="008F46FF"/>
    <w:rsid w:val="008F50E2"/>
    <w:rsid w:val="008F60DA"/>
    <w:rsid w:val="008F61B7"/>
    <w:rsid w:val="008F64E7"/>
    <w:rsid w:val="008F6854"/>
    <w:rsid w:val="008F6C1E"/>
    <w:rsid w:val="008F72AA"/>
    <w:rsid w:val="008F73F6"/>
    <w:rsid w:val="008F73FD"/>
    <w:rsid w:val="008F765A"/>
    <w:rsid w:val="00900691"/>
    <w:rsid w:val="00900B68"/>
    <w:rsid w:val="00901093"/>
    <w:rsid w:val="00902F6B"/>
    <w:rsid w:val="00905388"/>
    <w:rsid w:val="00905D78"/>
    <w:rsid w:val="00906504"/>
    <w:rsid w:val="009068AB"/>
    <w:rsid w:val="00906BDA"/>
    <w:rsid w:val="009075A2"/>
    <w:rsid w:val="00910999"/>
    <w:rsid w:val="00910B77"/>
    <w:rsid w:val="00910E15"/>
    <w:rsid w:val="00910F99"/>
    <w:rsid w:val="009114A2"/>
    <w:rsid w:val="009115DD"/>
    <w:rsid w:val="00912221"/>
    <w:rsid w:val="00912F7C"/>
    <w:rsid w:val="00913525"/>
    <w:rsid w:val="00913982"/>
    <w:rsid w:val="0091466E"/>
    <w:rsid w:val="00914789"/>
    <w:rsid w:val="00915FD5"/>
    <w:rsid w:val="00916CFA"/>
    <w:rsid w:val="009171D9"/>
    <w:rsid w:val="00917423"/>
    <w:rsid w:val="00917608"/>
    <w:rsid w:val="00917718"/>
    <w:rsid w:val="0092032C"/>
    <w:rsid w:val="00921A18"/>
    <w:rsid w:val="0092418C"/>
    <w:rsid w:val="00924F8A"/>
    <w:rsid w:val="00925990"/>
    <w:rsid w:val="009260AF"/>
    <w:rsid w:val="009268FE"/>
    <w:rsid w:val="00926A92"/>
    <w:rsid w:val="009270E0"/>
    <w:rsid w:val="0092716E"/>
    <w:rsid w:val="00927A9F"/>
    <w:rsid w:val="009308BF"/>
    <w:rsid w:val="00930974"/>
    <w:rsid w:val="00930AA4"/>
    <w:rsid w:val="00931098"/>
    <w:rsid w:val="009316A6"/>
    <w:rsid w:val="00931D25"/>
    <w:rsid w:val="0093229B"/>
    <w:rsid w:val="0093250B"/>
    <w:rsid w:val="00932CCA"/>
    <w:rsid w:val="00932CEA"/>
    <w:rsid w:val="00932DFA"/>
    <w:rsid w:val="009331BF"/>
    <w:rsid w:val="009337BB"/>
    <w:rsid w:val="00933D47"/>
    <w:rsid w:val="00933E37"/>
    <w:rsid w:val="00933EDF"/>
    <w:rsid w:val="00934087"/>
    <w:rsid w:val="00935C3C"/>
    <w:rsid w:val="00936DC4"/>
    <w:rsid w:val="00936ED5"/>
    <w:rsid w:val="0093728D"/>
    <w:rsid w:val="00937425"/>
    <w:rsid w:val="009378C4"/>
    <w:rsid w:val="0094096E"/>
    <w:rsid w:val="00940B7D"/>
    <w:rsid w:val="00940ECC"/>
    <w:rsid w:val="00940EF3"/>
    <w:rsid w:val="00940F32"/>
    <w:rsid w:val="0094174A"/>
    <w:rsid w:val="00942220"/>
    <w:rsid w:val="00942DCC"/>
    <w:rsid w:val="00943B95"/>
    <w:rsid w:val="00943D00"/>
    <w:rsid w:val="00943DEC"/>
    <w:rsid w:val="00944231"/>
    <w:rsid w:val="00944B35"/>
    <w:rsid w:val="0094592E"/>
    <w:rsid w:val="00945B13"/>
    <w:rsid w:val="00945BD9"/>
    <w:rsid w:val="0094638E"/>
    <w:rsid w:val="00947798"/>
    <w:rsid w:val="00947A94"/>
    <w:rsid w:val="00947F7F"/>
    <w:rsid w:val="0095030C"/>
    <w:rsid w:val="00950741"/>
    <w:rsid w:val="009512E4"/>
    <w:rsid w:val="0095156C"/>
    <w:rsid w:val="00951BDF"/>
    <w:rsid w:val="00952986"/>
    <w:rsid w:val="00952CFF"/>
    <w:rsid w:val="00952F38"/>
    <w:rsid w:val="0095322C"/>
    <w:rsid w:val="00953314"/>
    <w:rsid w:val="00953B30"/>
    <w:rsid w:val="009553CC"/>
    <w:rsid w:val="00955EF3"/>
    <w:rsid w:val="0095611F"/>
    <w:rsid w:val="009564EE"/>
    <w:rsid w:val="009567A9"/>
    <w:rsid w:val="00956918"/>
    <w:rsid w:val="00956958"/>
    <w:rsid w:val="00957F19"/>
    <w:rsid w:val="009603CC"/>
    <w:rsid w:val="00960F54"/>
    <w:rsid w:val="009614D9"/>
    <w:rsid w:val="00961771"/>
    <w:rsid w:val="009617E0"/>
    <w:rsid w:val="00962D6B"/>
    <w:rsid w:val="00963001"/>
    <w:rsid w:val="009631FE"/>
    <w:rsid w:val="00964485"/>
    <w:rsid w:val="0096448A"/>
    <w:rsid w:val="009659C7"/>
    <w:rsid w:val="00965F30"/>
    <w:rsid w:val="00965FB8"/>
    <w:rsid w:val="00966478"/>
    <w:rsid w:val="00966E4B"/>
    <w:rsid w:val="009670DE"/>
    <w:rsid w:val="009671F3"/>
    <w:rsid w:val="0096735E"/>
    <w:rsid w:val="00967472"/>
    <w:rsid w:val="00970BA3"/>
    <w:rsid w:val="00970E13"/>
    <w:rsid w:val="00971411"/>
    <w:rsid w:val="009714B5"/>
    <w:rsid w:val="00971C8A"/>
    <w:rsid w:val="00971E2C"/>
    <w:rsid w:val="009725CA"/>
    <w:rsid w:val="00972666"/>
    <w:rsid w:val="009730A8"/>
    <w:rsid w:val="00973D4A"/>
    <w:rsid w:val="00973E9D"/>
    <w:rsid w:val="009740E8"/>
    <w:rsid w:val="009741E9"/>
    <w:rsid w:val="009745E2"/>
    <w:rsid w:val="0097533B"/>
    <w:rsid w:val="00975619"/>
    <w:rsid w:val="009756AB"/>
    <w:rsid w:val="009760A0"/>
    <w:rsid w:val="009765BE"/>
    <w:rsid w:val="009767DB"/>
    <w:rsid w:val="00976A8E"/>
    <w:rsid w:val="00976AE5"/>
    <w:rsid w:val="0097782B"/>
    <w:rsid w:val="00977886"/>
    <w:rsid w:val="00977A69"/>
    <w:rsid w:val="00977C33"/>
    <w:rsid w:val="00980674"/>
    <w:rsid w:val="00980F0A"/>
    <w:rsid w:val="00981691"/>
    <w:rsid w:val="009816A7"/>
    <w:rsid w:val="00981955"/>
    <w:rsid w:val="00981999"/>
    <w:rsid w:val="00982394"/>
    <w:rsid w:val="009824F8"/>
    <w:rsid w:val="0098269F"/>
    <w:rsid w:val="00982B0F"/>
    <w:rsid w:val="00982F39"/>
    <w:rsid w:val="00983068"/>
    <w:rsid w:val="00983094"/>
    <w:rsid w:val="009830C8"/>
    <w:rsid w:val="0098336D"/>
    <w:rsid w:val="00983E82"/>
    <w:rsid w:val="00983FBF"/>
    <w:rsid w:val="00984F60"/>
    <w:rsid w:val="00984F79"/>
    <w:rsid w:val="0098555C"/>
    <w:rsid w:val="00985B72"/>
    <w:rsid w:val="00985CE5"/>
    <w:rsid w:val="00985F0D"/>
    <w:rsid w:val="009861D9"/>
    <w:rsid w:val="00986A3A"/>
    <w:rsid w:val="00986BF9"/>
    <w:rsid w:val="00987904"/>
    <w:rsid w:val="00987B4C"/>
    <w:rsid w:val="009903E5"/>
    <w:rsid w:val="009909C2"/>
    <w:rsid w:val="00990A26"/>
    <w:rsid w:val="00990B56"/>
    <w:rsid w:val="00990ED2"/>
    <w:rsid w:val="00991400"/>
    <w:rsid w:val="009918C1"/>
    <w:rsid w:val="0099267B"/>
    <w:rsid w:val="009927AF"/>
    <w:rsid w:val="00992C5E"/>
    <w:rsid w:val="009930FE"/>
    <w:rsid w:val="0099336E"/>
    <w:rsid w:val="009934CF"/>
    <w:rsid w:val="00993DE1"/>
    <w:rsid w:val="0099456F"/>
    <w:rsid w:val="00994D07"/>
    <w:rsid w:val="00995219"/>
    <w:rsid w:val="00995884"/>
    <w:rsid w:val="00995FD4"/>
    <w:rsid w:val="009966D9"/>
    <w:rsid w:val="00996A8D"/>
    <w:rsid w:val="00997912"/>
    <w:rsid w:val="00997C80"/>
    <w:rsid w:val="009A046D"/>
    <w:rsid w:val="009A0960"/>
    <w:rsid w:val="009A15FB"/>
    <w:rsid w:val="009A1926"/>
    <w:rsid w:val="009A1E43"/>
    <w:rsid w:val="009A20F6"/>
    <w:rsid w:val="009A2526"/>
    <w:rsid w:val="009A2C8F"/>
    <w:rsid w:val="009A37CA"/>
    <w:rsid w:val="009A3BD7"/>
    <w:rsid w:val="009A3FFD"/>
    <w:rsid w:val="009A40FB"/>
    <w:rsid w:val="009A4DD6"/>
    <w:rsid w:val="009A500D"/>
    <w:rsid w:val="009A5163"/>
    <w:rsid w:val="009A5AE2"/>
    <w:rsid w:val="009A723D"/>
    <w:rsid w:val="009A7736"/>
    <w:rsid w:val="009A7B22"/>
    <w:rsid w:val="009A7CD0"/>
    <w:rsid w:val="009B1133"/>
    <w:rsid w:val="009B1578"/>
    <w:rsid w:val="009B167A"/>
    <w:rsid w:val="009B1764"/>
    <w:rsid w:val="009B1AC4"/>
    <w:rsid w:val="009B1D17"/>
    <w:rsid w:val="009B3575"/>
    <w:rsid w:val="009B43C5"/>
    <w:rsid w:val="009B4A2D"/>
    <w:rsid w:val="009B4EE3"/>
    <w:rsid w:val="009B5019"/>
    <w:rsid w:val="009B5456"/>
    <w:rsid w:val="009B585A"/>
    <w:rsid w:val="009B5A5F"/>
    <w:rsid w:val="009B5D44"/>
    <w:rsid w:val="009B62F9"/>
    <w:rsid w:val="009B7B2A"/>
    <w:rsid w:val="009C02F6"/>
    <w:rsid w:val="009C0719"/>
    <w:rsid w:val="009C11CA"/>
    <w:rsid w:val="009C1639"/>
    <w:rsid w:val="009C17FD"/>
    <w:rsid w:val="009C2305"/>
    <w:rsid w:val="009C28F9"/>
    <w:rsid w:val="009C2AEB"/>
    <w:rsid w:val="009C3292"/>
    <w:rsid w:val="009C32C7"/>
    <w:rsid w:val="009C3C21"/>
    <w:rsid w:val="009C3DA7"/>
    <w:rsid w:val="009C428A"/>
    <w:rsid w:val="009C45D6"/>
    <w:rsid w:val="009C4EED"/>
    <w:rsid w:val="009C4F91"/>
    <w:rsid w:val="009C5020"/>
    <w:rsid w:val="009C506D"/>
    <w:rsid w:val="009C5274"/>
    <w:rsid w:val="009C5366"/>
    <w:rsid w:val="009C55D6"/>
    <w:rsid w:val="009C55F0"/>
    <w:rsid w:val="009C5BEB"/>
    <w:rsid w:val="009C62D5"/>
    <w:rsid w:val="009C645B"/>
    <w:rsid w:val="009C73B7"/>
    <w:rsid w:val="009C7CA4"/>
    <w:rsid w:val="009C7EC7"/>
    <w:rsid w:val="009D035C"/>
    <w:rsid w:val="009D0D7F"/>
    <w:rsid w:val="009D112A"/>
    <w:rsid w:val="009D1ACF"/>
    <w:rsid w:val="009D2247"/>
    <w:rsid w:val="009D2284"/>
    <w:rsid w:val="009D3142"/>
    <w:rsid w:val="009D3C45"/>
    <w:rsid w:val="009D3C9F"/>
    <w:rsid w:val="009D3D94"/>
    <w:rsid w:val="009D4207"/>
    <w:rsid w:val="009D4CE8"/>
    <w:rsid w:val="009D5513"/>
    <w:rsid w:val="009D578A"/>
    <w:rsid w:val="009D58EF"/>
    <w:rsid w:val="009D58FA"/>
    <w:rsid w:val="009D65B0"/>
    <w:rsid w:val="009D6B47"/>
    <w:rsid w:val="009D6E61"/>
    <w:rsid w:val="009D6F7D"/>
    <w:rsid w:val="009D78B4"/>
    <w:rsid w:val="009D7C63"/>
    <w:rsid w:val="009E0109"/>
    <w:rsid w:val="009E0463"/>
    <w:rsid w:val="009E0D68"/>
    <w:rsid w:val="009E28AE"/>
    <w:rsid w:val="009E2C76"/>
    <w:rsid w:val="009E2DF1"/>
    <w:rsid w:val="009E3380"/>
    <w:rsid w:val="009E3B65"/>
    <w:rsid w:val="009E3D7F"/>
    <w:rsid w:val="009E408B"/>
    <w:rsid w:val="009E4171"/>
    <w:rsid w:val="009E4A07"/>
    <w:rsid w:val="009E5642"/>
    <w:rsid w:val="009E59E9"/>
    <w:rsid w:val="009E6CCB"/>
    <w:rsid w:val="009E6DC7"/>
    <w:rsid w:val="009F0850"/>
    <w:rsid w:val="009F1038"/>
    <w:rsid w:val="009F1397"/>
    <w:rsid w:val="009F2287"/>
    <w:rsid w:val="009F2E86"/>
    <w:rsid w:val="009F3060"/>
    <w:rsid w:val="009F43D2"/>
    <w:rsid w:val="009F4C79"/>
    <w:rsid w:val="009F4EDF"/>
    <w:rsid w:val="009F5880"/>
    <w:rsid w:val="009F675D"/>
    <w:rsid w:val="009F6B25"/>
    <w:rsid w:val="009F6DEF"/>
    <w:rsid w:val="009F6E42"/>
    <w:rsid w:val="009F6FD5"/>
    <w:rsid w:val="009F7454"/>
    <w:rsid w:val="009F75BD"/>
    <w:rsid w:val="009F7798"/>
    <w:rsid w:val="009F77C4"/>
    <w:rsid w:val="009F7A05"/>
    <w:rsid w:val="00A001D5"/>
    <w:rsid w:val="00A00337"/>
    <w:rsid w:val="00A00524"/>
    <w:rsid w:val="00A0122A"/>
    <w:rsid w:val="00A033F8"/>
    <w:rsid w:val="00A039C9"/>
    <w:rsid w:val="00A03F1D"/>
    <w:rsid w:val="00A043E8"/>
    <w:rsid w:val="00A04444"/>
    <w:rsid w:val="00A045EB"/>
    <w:rsid w:val="00A04C28"/>
    <w:rsid w:val="00A04D76"/>
    <w:rsid w:val="00A04FA3"/>
    <w:rsid w:val="00A05812"/>
    <w:rsid w:val="00A05ECB"/>
    <w:rsid w:val="00A06513"/>
    <w:rsid w:val="00A06575"/>
    <w:rsid w:val="00A06DA5"/>
    <w:rsid w:val="00A06FCC"/>
    <w:rsid w:val="00A07A58"/>
    <w:rsid w:val="00A07AE7"/>
    <w:rsid w:val="00A07E3F"/>
    <w:rsid w:val="00A109DC"/>
    <w:rsid w:val="00A10B03"/>
    <w:rsid w:val="00A10EFD"/>
    <w:rsid w:val="00A10F99"/>
    <w:rsid w:val="00A10FC0"/>
    <w:rsid w:val="00A1166A"/>
    <w:rsid w:val="00A11672"/>
    <w:rsid w:val="00A11C79"/>
    <w:rsid w:val="00A121B3"/>
    <w:rsid w:val="00A12386"/>
    <w:rsid w:val="00A12ACC"/>
    <w:rsid w:val="00A12B1A"/>
    <w:rsid w:val="00A13DCA"/>
    <w:rsid w:val="00A14F63"/>
    <w:rsid w:val="00A152F8"/>
    <w:rsid w:val="00A153D5"/>
    <w:rsid w:val="00A15DD0"/>
    <w:rsid w:val="00A1632E"/>
    <w:rsid w:val="00A16BDB"/>
    <w:rsid w:val="00A177AA"/>
    <w:rsid w:val="00A17814"/>
    <w:rsid w:val="00A178FA"/>
    <w:rsid w:val="00A20009"/>
    <w:rsid w:val="00A20020"/>
    <w:rsid w:val="00A203A6"/>
    <w:rsid w:val="00A203B8"/>
    <w:rsid w:val="00A20DF7"/>
    <w:rsid w:val="00A20E49"/>
    <w:rsid w:val="00A22AC0"/>
    <w:rsid w:val="00A23062"/>
    <w:rsid w:val="00A23A92"/>
    <w:rsid w:val="00A23F8C"/>
    <w:rsid w:val="00A24639"/>
    <w:rsid w:val="00A2470E"/>
    <w:rsid w:val="00A24C75"/>
    <w:rsid w:val="00A2533A"/>
    <w:rsid w:val="00A25609"/>
    <w:rsid w:val="00A25714"/>
    <w:rsid w:val="00A26558"/>
    <w:rsid w:val="00A26BC5"/>
    <w:rsid w:val="00A26E9C"/>
    <w:rsid w:val="00A27132"/>
    <w:rsid w:val="00A27376"/>
    <w:rsid w:val="00A27B5C"/>
    <w:rsid w:val="00A30095"/>
    <w:rsid w:val="00A304D1"/>
    <w:rsid w:val="00A30847"/>
    <w:rsid w:val="00A317D7"/>
    <w:rsid w:val="00A31F5C"/>
    <w:rsid w:val="00A328D0"/>
    <w:rsid w:val="00A32EA5"/>
    <w:rsid w:val="00A3369D"/>
    <w:rsid w:val="00A336AA"/>
    <w:rsid w:val="00A34B6A"/>
    <w:rsid w:val="00A35FA2"/>
    <w:rsid w:val="00A3651B"/>
    <w:rsid w:val="00A36575"/>
    <w:rsid w:val="00A365B0"/>
    <w:rsid w:val="00A36E4C"/>
    <w:rsid w:val="00A378DD"/>
    <w:rsid w:val="00A37D89"/>
    <w:rsid w:val="00A400BC"/>
    <w:rsid w:val="00A405FD"/>
    <w:rsid w:val="00A40C8E"/>
    <w:rsid w:val="00A416AB"/>
    <w:rsid w:val="00A42B5E"/>
    <w:rsid w:val="00A439C7"/>
    <w:rsid w:val="00A43DD9"/>
    <w:rsid w:val="00A43E74"/>
    <w:rsid w:val="00A44217"/>
    <w:rsid w:val="00A44B48"/>
    <w:rsid w:val="00A44B58"/>
    <w:rsid w:val="00A44D2A"/>
    <w:rsid w:val="00A45C1A"/>
    <w:rsid w:val="00A45F0A"/>
    <w:rsid w:val="00A46197"/>
    <w:rsid w:val="00A465CA"/>
    <w:rsid w:val="00A4680C"/>
    <w:rsid w:val="00A46839"/>
    <w:rsid w:val="00A46D00"/>
    <w:rsid w:val="00A4700C"/>
    <w:rsid w:val="00A479DF"/>
    <w:rsid w:val="00A47D26"/>
    <w:rsid w:val="00A50B49"/>
    <w:rsid w:val="00A515BB"/>
    <w:rsid w:val="00A5178E"/>
    <w:rsid w:val="00A5208B"/>
    <w:rsid w:val="00A52DF2"/>
    <w:rsid w:val="00A52E27"/>
    <w:rsid w:val="00A53CA1"/>
    <w:rsid w:val="00A53F8E"/>
    <w:rsid w:val="00A54003"/>
    <w:rsid w:val="00A547F7"/>
    <w:rsid w:val="00A54F0D"/>
    <w:rsid w:val="00A55508"/>
    <w:rsid w:val="00A55AFA"/>
    <w:rsid w:val="00A576D2"/>
    <w:rsid w:val="00A6045B"/>
    <w:rsid w:val="00A60A61"/>
    <w:rsid w:val="00A62017"/>
    <w:rsid w:val="00A621FE"/>
    <w:rsid w:val="00A62644"/>
    <w:rsid w:val="00A62C7D"/>
    <w:rsid w:val="00A62CAC"/>
    <w:rsid w:val="00A62F47"/>
    <w:rsid w:val="00A64DBB"/>
    <w:rsid w:val="00A651B2"/>
    <w:rsid w:val="00A65A30"/>
    <w:rsid w:val="00A660C9"/>
    <w:rsid w:val="00A66244"/>
    <w:rsid w:val="00A66417"/>
    <w:rsid w:val="00A6646E"/>
    <w:rsid w:val="00A6652B"/>
    <w:rsid w:val="00A66893"/>
    <w:rsid w:val="00A66C85"/>
    <w:rsid w:val="00A671C8"/>
    <w:rsid w:val="00A67810"/>
    <w:rsid w:val="00A67C6D"/>
    <w:rsid w:val="00A67F7A"/>
    <w:rsid w:val="00A704CB"/>
    <w:rsid w:val="00A70D7E"/>
    <w:rsid w:val="00A70E04"/>
    <w:rsid w:val="00A710C6"/>
    <w:rsid w:val="00A711AC"/>
    <w:rsid w:val="00A7139D"/>
    <w:rsid w:val="00A71CA2"/>
    <w:rsid w:val="00A71FC2"/>
    <w:rsid w:val="00A72F6D"/>
    <w:rsid w:val="00A737B1"/>
    <w:rsid w:val="00A73EF3"/>
    <w:rsid w:val="00A73FFA"/>
    <w:rsid w:val="00A7432E"/>
    <w:rsid w:val="00A74791"/>
    <w:rsid w:val="00A7529D"/>
    <w:rsid w:val="00A754A5"/>
    <w:rsid w:val="00A75BAB"/>
    <w:rsid w:val="00A76BF3"/>
    <w:rsid w:val="00A7746C"/>
    <w:rsid w:val="00A77A05"/>
    <w:rsid w:val="00A77E34"/>
    <w:rsid w:val="00A80626"/>
    <w:rsid w:val="00A80DD6"/>
    <w:rsid w:val="00A80F8B"/>
    <w:rsid w:val="00A81A8F"/>
    <w:rsid w:val="00A81BB4"/>
    <w:rsid w:val="00A830D4"/>
    <w:rsid w:val="00A83B4B"/>
    <w:rsid w:val="00A83CAA"/>
    <w:rsid w:val="00A83DE7"/>
    <w:rsid w:val="00A83F8B"/>
    <w:rsid w:val="00A840CA"/>
    <w:rsid w:val="00A8414D"/>
    <w:rsid w:val="00A846A8"/>
    <w:rsid w:val="00A84831"/>
    <w:rsid w:val="00A8562E"/>
    <w:rsid w:val="00A8579D"/>
    <w:rsid w:val="00A863F9"/>
    <w:rsid w:val="00A86EC2"/>
    <w:rsid w:val="00A87846"/>
    <w:rsid w:val="00A87FBD"/>
    <w:rsid w:val="00A90391"/>
    <w:rsid w:val="00A90C60"/>
    <w:rsid w:val="00A91040"/>
    <w:rsid w:val="00A91834"/>
    <w:rsid w:val="00A91E18"/>
    <w:rsid w:val="00A925F4"/>
    <w:rsid w:val="00A926E4"/>
    <w:rsid w:val="00A9299A"/>
    <w:rsid w:val="00A940F8"/>
    <w:rsid w:val="00A94794"/>
    <w:rsid w:val="00A947B4"/>
    <w:rsid w:val="00A94913"/>
    <w:rsid w:val="00A94A2C"/>
    <w:rsid w:val="00A94AF9"/>
    <w:rsid w:val="00A94D3A"/>
    <w:rsid w:val="00A954B2"/>
    <w:rsid w:val="00A96EB0"/>
    <w:rsid w:val="00A97C1C"/>
    <w:rsid w:val="00AA0270"/>
    <w:rsid w:val="00AA02C4"/>
    <w:rsid w:val="00AA1189"/>
    <w:rsid w:val="00AA13D6"/>
    <w:rsid w:val="00AA1692"/>
    <w:rsid w:val="00AA16DD"/>
    <w:rsid w:val="00AA2609"/>
    <w:rsid w:val="00AA2EE9"/>
    <w:rsid w:val="00AA38AE"/>
    <w:rsid w:val="00AA3D4F"/>
    <w:rsid w:val="00AA41D7"/>
    <w:rsid w:val="00AA4663"/>
    <w:rsid w:val="00AA5A24"/>
    <w:rsid w:val="00AA6139"/>
    <w:rsid w:val="00AA6CB8"/>
    <w:rsid w:val="00AA6FE4"/>
    <w:rsid w:val="00AA7A3A"/>
    <w:rsid w:val="00AB076A"/>
    <w:rsid w:val="00AB0817"/>
    <w:rsid w:val="00AB0ACF"/>
    <w:rsid w:val="00AB161A"/>
    <w:rsid w:val="00AB1880"/>
    <w:rsid w:val="00AB2549"/>
    <w:rsid w:val="00AB388F"/>
    <w:rsid w:val="00AB3944"/>
    <w:rsid w:val="00AB41E8"/>
    <w:rsid w:val="00AB49CF"/>
    <w:rsid w:val="00AB52B0"/>
    <w:rsid w:val="00AB54B0"/>
    <w:rsid w:val="00AB5F74"/>
    <w:rsid w:val="00AB5F97"/>
    <w:rsid w:val="00AB634D"/>
    <w:rsid w:val="00AB72EB"/>
    <w:rsid w:val="00AB7A4E"/>
    <w:rsid w:val="00AC0D0A"/>
    <w:rsid w:val="00AC21C2"/>
    <w:rsid w:val="00AC2288"/>
    <w:rsid w:val="00AC237A"/>
    <w:rsid w:val="00AC30BB"/>
    <w:rsid w:val="00AC379E"/>
    <w:rsid w:val="00AC37AD"/>
    <w:rsid w:val="00AC3880"/>
    <w:rsid w:val="00AC4283"/>
    <w:rsid w:val="00AC519C"/>
    <w:rsid w:val="00AC52A3"/>
    <w:rsid w:val="00AC57AA"/>
    <w:rsid w:val="00AC60F7"/>
    <w:rsid w:val="00AC6AB3"/>
    <w:rsid w:val="00AC71A3"/>
    <w:rsid w:val="00AC7D0E"/>
    <w:rsid w:val="00AC7D18"/>
    <w:rsid w:val="00AC7F20"/>
    <w:rsid w:val="00AD01E7"/>
    <w:rsid w:val="00AD051E"/>
    <w:rsid w:val="00AD05F3"/>
    <w:rsid w:val="00AD0CA2"/>
    <w:rsid w:val="00AD148B"/>
    <w:rsid w:val="00AD1F7E"/>
    <w:rsid w:val="00AD25F2"/>
    <w:rsid w:val="00AD280F"/>
    <w:rsid w:val="00AD3AD7"/>
    <w:rsid w:val="00AD4270"/>
    <w:rsid w:val="00AD4592"/>
    <w:rsid w:val="00AD45B6"/>
    <w:rsid w:val="00AD4700"/>
    <w:rsid w:val="00AD6006"/>
    <w:rsid w:val="00AD648E"/>
    <w:rsid w:val="00AD64A2"/>
    <w:rsid w:val="00AD6FEA"/>
    <w:rsid w:val="00AD712B"/>
    <w:rsid w:val="00AD71D0"/>
    <w:rsid w:val="00AD77B1"/>
    <w:rsid w:val="00AD7EC8"/>
    <w:rsid w:val="00AD7F60"/>
    <w:rsid w:val="00AE015A"/>
    <w:rsid w:val="00AE0F15"/>
    <w:rsid w:val="00AE116F"/>
    <w:rsid w:val="00AE1C41"/>
    <w:rsid w:val="00AE1F78"/>
    <w:rsid w:val="00AE263F"/>
    <w:rsid w:val="00AE265F"/>
    <w:rsid w:val="00AE329F"/>
    <w:rsid w:val="00AE38D5"/>
    <w:rsid w:val="00AE3A4B"/>
    <w:rsid w:val="00AE4476"/>
    <w:rsid w:val="00AE4E4B"/>
    <w:rsid w:val="00AE4FF1"/>
    <w:rsid w:val="00AE6BA6"/>
    <w:rsid w:val="00AE6F88"/>
    <w:rsid w:val="00AE7258"/>
    <w:rsid w:val="00AE7262"/>
    <w:rsid w:val="00AE76F0"/>
    <w:rsid w:val="00AE7913"/>
    <w:rsid w:val="00AF0387"/>
    <w:rsid w:val="00AF0779"/>
    <w:rsid w:val="00AF10F7"/>
    <w:rsid w:val="00AF17DC"/>
    <w:rsid w:val="00AF2F98"/>
    <w:rsid w:val="00AF327B"/>
    <w:rsid w:val="00AF32CA"/>
    <w:rsid w:val="00AF4D6A"/>
    <w:rsid w:val="00AF5418"/>
    <w:rsid w:val="00AF5A8A"/>
    <w:rsid w:val="00AF5EEF"/>
    <w:rsid w:val="00AF5F5B"/>
    <w:rsid w:val="00AF64AB"/>
    <w:rsid w:val="00AF6AD4"/>
    <w:rsid w:val="00AF6BE1"/>
    <w:rsid w:val="00AF6D80"/>
    <w:rsid w:val="00AF701E"/>
    <w:rsid w:val="00AF736B"/>
    <w:rsid w:val="00AF7EF4"/>
    <w:rsid w:val="00B005F4"/>
    <w:rsid w:val="00B00671"/>
    <w:rsid w:val="00B00912"/>
    <w:rsid w:val="00B00A7A"/>
    <w:rsid w:val="00B00B29"/>
    <w:rsid w:val="00B010D8"/>
    <w:rsid w:val="00B0132C"/>
    <w:rsid w:val="00B01455"/>
    <w:rsid w:val="00B01690"/>
    <w:rsid w:val="00B01C84"/>
    <w:rsid w:val="00B01D44"/>
    <w:rsid w:val="00B02B3B"/>
    <w:rsid w:val="00B0410A"/>
    <w:rsid w:val="00B04206"/>
    <w:rsid w:val="00B05718"/>
    <w:rsid w:val="00B07271"/>
    <w:rsid w:val="00B076E4"/>
    <w:rsid w:val="00B07B0F"/>
    <w:rsid w:val="00B07C58"/>
    <w:rsid w:val="00B10C44"/>
    <w:rsid w:val="00B10E48"/>
    <w:rsid w:val="00B11687"/>
    <w:rsid w:val="00B11984"/>
    <w:rsid w:val="00B11A42"/>
    <w:rsid w:val="00B12222"/>
    <w:rsid w:val="00B1261B"/>
    <w:rsid w:val="00B1262F"/>
    <w:rsid w:val="00B1281D"/>
    <w:rsid w:val="00B1299D"/>
    <w:rsid w:val="00B13AC5"/>
    <w:rsid w:val="00B13E59"/>
    <w:rsid w:val="00B13F5A"/>
    <w:rsid w:val="00B14020"/>
    <w:rsid w:val="00B140C5"/>
    <w:rsid w:val="00B14C8C"/>
    <w:rsid w:val="00B15DCC"/>
    <w:rsid w:val="00B160C3"/>
    <w:rsid w:val="00B1630A"/>
    <w:rsid w:val="00B169CB"/>
    <w:rsid w:val="00B169F8"/>
    <w:rsid w:val="00B16A30"/>
    <w:rsid w:val="00B175D2"/>
    <w:rsid w:val="00B175DE"/>
    <w:rsid w:val="00B17854"/>
    <w:rsid w:val="00B17E4C"/>
    <w:rsid w:val="00B20014"/>
    <w:rsid w:val="00B205B3"/>
    <w:rsid w:val="00B20BDC"/>
    <w:rsid w:val="00B20E11"/>
    <w:rsid w:val="00B21560"/>
    <w:rsid w:val="00B219F5"/>
    <w:rsid w:val="00B22B66"/>
    <w:rsid w:val="00B22C0B"/>
    <w:rsid w:val="00B22F9C"/>
    <w:rsid w:val="00B233F4"/>
    <w:rsid w:val="00B2345E"/>
    <w:rsid w:val="00B23564"/>
    <w:rsid w:val="00B2428D"/>
    <w:rsid w:val="00B244C0"/>
    <w:rsid w:val="00B24585"/>
    <w:rsid w:val="00B2487B"/>
    <w:rsid w:val="00B24B29"/>
    <w:rsid w:val="00B24EE7"/>
    <w:rsid w:val="00B25331"/>
    <w:rsid w:val="00B2549D"/>
    <w:rsid w:val="00B25845"/>
    <w:rsid w:val="00B25958"/>
    <w:rsid w:val="00B2729C"/>
    <w:rsid w:val="00B27478"/>
    <w:rsid w:val="00B27D08"/>
    <w:rsid w:val="00B3091B"/>
    <w:rsid w:val="00B31F92"/>
    <w:rsid w:val="00B324C1"/>
    <w:rsid w:val="00B32993"/>
    <w:rsid w:val="00B32A96"/>
    <w:rsid w:val="00B32CB2"/>
    <w:rsid w:val="00B32DE1"/>
    <w:rsid w:val="00B33223"/>
    <w:rsid w:val="00B340EE"/>
    <w:rsid w:val="00B3458B"/>
    <w:rsid w:val="00B34871"/>
    <w:rsid w:val="00B34D08"/>
    <w:rsid w:val="00B35393"/>
    <w:rsid w:val="00B35A1A"/>
    <w:rsid w:val="00B35CD2"/>
    <w:rsid w:val="00B36289"/>
    <w:rsid w:val="00B37258"/>
    <w:rsid w:val="00B376E5"/>
    <w:rsid w:val="00B376ED"/>
    <w:rsid w:val="00B37D1F"/>
    <w:rsid w:val="00B406ED"/>
    <w:rsid w:val="00B41534"/>
    <w:rsid w:val="00B418F7"/>
    <w:rsid w:val="00B41E74"/>
    <w:rsid w:val="00B41EE7"/>
    <w:rsid w:val="00B42625"/>
    <w:rsid w:val="00B434EE"/>
    <w:rsid w:val="00B43544"/>
    <w:rsid w:val="00B43D2F"/>
    <w:rsid w:val="00B43FB4"/>
    <w:rsid w:val="00B44BC8"/>
    <w:rsid w:val="00B45E13"/>
    <w:rsid w:val="00B46021"/>
    <w:rsid w:val="00B46A8F"/>
    <w:rsid w:val="00B46AFB"/>
    <w:rsid w:val="00B4759E"/>
    <w:rsid w:val="00B47714"/>
    <w:rsid w:val="00B479F4"/>
    <w:rsid w:val="00B47ECB"/>
    <w:rsid w:val="00B50AF9"/>
    <w:rsid w:val="00B50C7C"/>
    <w:rsid w:val="00B5165D"/>
    <w:rsid w:val="00B51C9C"/>
    <w:rsid w:val="00B51D4C"/>
    <w:rsid w:val="00B5226F"/>
    <w:rsid w:val="00B526A0"/>
    <w:rsid w:val="00B527D4"/>
    <w:rsid w:val="00B52F10"/>
    <w:rsid w:val="00B5305C"/>
    <w:rsid w:val="00B53081"/>
    <w:rsid w:val="00B533AB"/>
    <w:rsid w:val="00B533AE"/>
    <w:rsid w:val="00B5352A"/>
    <w:rsid w:val="00B53555"/>
    <w:rsid w:val="00B53824"/>
    <w:rsid w:val="00B53F8A"/>
    <w:rsid w:val="00B5457F"/>
    <w:rsid w:val="00B545EB"/>
    <w:rsid w:val="00B54991"/>
    <w:rsid w:val="00B5499B"/>
    <w:rsid w:val="00B54A9D"/>
    <w:rsid w:val="00B552A9"/>
    <w:rsid w:val="00B5558A"/>
    <w:rsid w:val="00B55BEB"/>
    <w:rsid w:val="00B55F12"/>
    <w:rsid w:val="00B562B4"/>
    <w:rsid w:val="00B5636A"/>
    <w:rsid w:val="00B5734E"/>
    <w:rsid w:val="00B57BC2"/>
    <w:rsid w:val="00B60B91"/>
    <w:rsid w:val="00B61C6B"/>
    <w:rsid w:val="00B6242A"/>
    <w:rsid w:val="00B6280A"/>
    <w:rsid w:val="00B629E7"/>
    <w:rsid w:val="00B62FD8"/>
    <w:rsid w:val="00B63518"/>
    <w:rsid w:val="00B64945"/>
    <w:rsid w:val="00B652BB"/>
    <w:rsid w:val="00B655BA"/>
    <w:rsid w:val="00B65E1F"/>
    <w:rsid w:val="00B661FA"/>
    <w:rsid w:val="00B665A7"/>
    <w:rsid w:val="00B66DB2"/>
    <w:rsid w:val="00B66E95"/>
    <w:rsid w:val="00B675A8"/>
    <w:rsid w:val="00B6767F"/>
    <w:rsid w:val="00B676A9"/>
    <w:rsid w:val="00B67737"/>
    <w:rsid w:val="00B67948"/>
    <w:rsid w:val="00B679F5"/>
    <w:rsid w:val="00B705F6"/>
    <w:rsid w:val="00B707BB"/>
    <w:rsid w:val="00B7096F"/>
    <w:rsid w:val="00B71190"/>
    <w:rsid w:val="00B722FB"/>
    <w:rsid w:val="00B72742"/>
    <w:rsid w:val="00B73202"/>
    <w:rsid w:val="00B73211"/>
    <w:rsid w:val="00B73F4D"/>
    <w:rsid w:val="00B74BB7"/>
    <w:rsid w:val="00B757E1"/>
    <w:rsid w:val="00B75B51"/>
    <w:rsid w:val="00B75B76"/>
    <w:rsid w:val="00B7650A"/>
    <w:rsid w:val="00B7706F"/>
    <w:rsid w:val="00B77542"/>
    <w:rsid w:val="00B778AC"/>
    <w:rsid w:val="00B809F7"/>
    <w:rsid w:val="00B8119D"/>
    <w:rsid w:val="00B81402"/>
    <w:rsid w:val="00B81D9E"/>
    <w:rsid w:val="00B820B9"/>
    <w:rsid w:val="00B82D97"/>
    <w:rsid w:val="00B82E31"/>
    <w:rsid w:val="00B83D66"/>
    <w:rsid w:val="00B8426E"/>
    <w:rsid w:val="00B84B79"/>
    <w:rsid w:val="00B84EE1"/>
    <w:rsid w:val="00B84EF5"/>
    <w:rsid w:val="00B85295"/>
    <w:rsid w:val="00B855AA"/>
    <w:rsid w:val="00B86538"/>
    <w:rsid w:val="00B865A1"/>
    <w:rsid w:val="00B86B1D"/>
    <w:rsid w:val="00B86C1F"/>
    <w:rsid w:val="00B86E7A"/>
    <w:rsid w:val="00B872FE"/>
    <w:rsid w:val="00B87C0A"/>
    <w:rsid w:val="00B87DFE"/>
    <w:rsid w:val="00B87F4B"/>
    <w:rsid w:val="00B87FBF"/>
    <w:rsid w:val="00B902ED"/>
    <w:rsid w:val="00B90425"/>
    <w:rsid w:val="00B9062B"/>
    <w:rsid w:val="00B9069F"/>
    <w:rsid w:val="00B913C6"/>
    <w:rsid w:val="00B9159C"/>
    <w:rsid w:val="00B91CC4"/>
    <w:rsid w:val="00B920BC"/>
    <w:rsid w:val="00B9213E"/>
    <w:rsid w:val="00B92F1A"/>
    <w:rsid w:val="00B93637"/>
    <w:rsid w:val="00B93A09"/>
    <w:rsid w:val="00B94CD6"/>
    <w:rsid w:val="00B95250"/>
    <w:rsid w:val="00B9558F"/>
    <w:rsid w:val="00B960C0"/>
    <w:rsid w:val="00B9625A"/>
    <w:rsid w:val="00B975DD"/>
    <w:rsid w:val="00B979FE"/>
    <w:rsid w:val="00BA0117"/>
    <w:rsid w:val="00BA04E6"/>
    <w:rsid w:val="00BA086B"/>
    <w:rsid w:val="00BA088D"/>
    <w:rsid w:val="00BA0D3F"/>
    <w:rsid w:val="00BA0EE8"/>
    <w:rsid w:val="00BA128C"/>
    <w:rsid w:val="00BA18EE"/>
    <w:rsid w:val="00BA1F5D"/>
    <w:rsid w:val="00BA1F6B"/>
    <w:rsid w:val="00BA1FC1"/>
    <w:rsid w:val="00BA278C"/>
    <w:rsid w:val="00BA3172"/>
    <w:rsid w:val="00BA3241"/>
    <w:rsid w:val="00BA37E3"/>
    <w:rsid w:val="00BA3AEF"/>
    <w:rsid w:val="00BA3F11"/>
    <w:rsid w:val="00BA4340"/>
    <w:rsid w:val="00BA4359"/>
    <w:rsid w:val="00BA4CDC"/>
    <w:rsid w:val="00BA4E0D"/>
    <w:rsid w:val="00BA5B30"/>
    <w:rsid w:val="00BA60E8"/>
    <w:rsid w:val="00BA7140"/>
    <w:rsid w:val="00BA74A1"/>
    <w:rsid w:val="00BA7542"/>
    <w:rsid w:val="00BA79CD"/>
    <w:rsid w:val="00BB0806"/>
    <w:rsid w:val="00BB0AD7"/>
    <w:rsid w:val="00BB0B67"/>
    <w:rsid w:val="00BB0BDE"/>
    <w:rsid w:val="00BB12AB"/>
    <w:rsid w:val="00BB2C59"/>
    <w:rsid w:val="00BB2DA6"/>
    <w:rsid w:val="00BB3300"/>
    <w:rsid w:val="00BB352A"/>
    <w:rsid w:val="00BB38C3"/>
    <w:rsid w:val="00BB3D8C"/>
    <w:rsid w:val="00BB3FD3"/>
    <w:rsid w:val="00BB4404"/>
    <w:rsid w:val="00BB487B"/>
    <w:rsid w:val="00BB4D46"/>
    <w:rsid w:val="00BB4E8D"/>
    <w:rsid w:val="00BB4FD3"/>
    <w:rsid w:val="00BB52EC"/>
    <w:rsid w:val="00BB5CEE"/>
    <w:rsid w:val="00BB6C3D"/>
    <w:rsid w:val="00BC0B41"/>
    <w:rsid w:val="00BC17FA"/>
    <w:rsid w:val="00BC1F3C"/>
    <w:rsid w:val="00BC22AF"/>
    <w:rsid w:val="00BC24EC"/>
    <w:rsid w:val="00BC28CA"/>
    <w:rsid w:val="00BC3157"/>
    <w:rsid w:val="00BC31D8"/>
    <w:rsid w:val="00BC325B"/>
    <w:rsid w:val="00BC3413"/>
    <w:rsid w:val="00BC3E4A"/>
    <w:rsid w:val="00BC3EAE"/>
    <w:rsid w:val="00BC5139"/>
    <w:rsid w:val="00BC52C3"/>
    <w:rsid w:val="00BC5ACF"/>
    <w:rsid w:val="00BC654E"/>
    <w:rsid w:val="00BC66EB"/>
    <w:rsid w:val="00BC6F62"/>
    <w:rsid w:val="00BC7125"/>
    <w:rsid w:val="00BC7620"/>
    <w:rsid w:val="00BC7826"/>
    <w:rsid w:val="00BC7B76"/>
    <w:rsid w:val="00BC7E83"/>
    <w:rsid w:val="00BC7F7B"/>
    <w:rsid w:val="00BD0A2B"/>
    <w:rsid w:val="00BD0AD2"/>
    <w:rsid w:val="00BD0D80"/>
    <w:rsid w:val="00BD0DAA"/>
    <w:rsid w:val="00BD1863"/>
    <w:rsid w:val="00BD2C5A"/>
    <w:rsid w:val="00BD2E48"/>
    <w:rsid w:val="00BD3551"/>
    <w:rsid w:val="00BD3CC4"/>
    <w:rsid w:val="00BD40AF"/>
    <w:rsid w:val="00BD43FC"/>
    <w:rsid w:val="00BD51EE"/>
    <w:rsid w:val="00BD60BB"/>
    <w:rsid w:val="00BD63CC"/>
    <w:rsid w:val="00BD6DA2"/>
    <w:rsid w:val="00BD6FE1"/>
    <w:rsid w:val="00BD73F5"/>
    <w:rsid w:val="00BD7519"/>
    <w:rsid w:val="00BD776F"/>
    <w:rsid w:val="00BD7B58"/>
    <w:rsid w:val="00BD7D6A"/>
    <w:rsid w:val="00BE06DB"/>
    <w:rsid w:val="00BE0D0F"/>
    <w:rsid w:val="00BE0DE7"/>
    <w:rsid w:val="00BE0F76"/>
    <w:rsid w:val="00BE1132"/>
    <w:rsid w:val="00BE14CF"/>
    <w:rsid w:val="00BE1654"/>
    <w:rsid w:val="00BE1789"/>
    <w:rsid w:val="00BE1AA1"/>
    <w:rsid w:val="00BE1F51"/>
    <w:rsid w:val="00BE24EE"/>
    <w:rsid w:val="00BE36F1"/>
    <w:rsid w:val="00BE4532"/>
    <w:rsid w:val="00BE466D"/>
    <w:rsid w:val="00BE5D60"/>
    <w:rsid w:val="00BE608E"/>
    <w:rsid w:val="00BE63ED"/>
    <w:rsid w:val="00BE6428"/>
    <w:rsid w:val="00BE65B3"/>
    <w:rsid w:val="00BE6B01"/>
    <w:rsid w:val="00BE75E6"/>
    <w:rsid w:val="00BF0398"/>
    <w:rsid w:val="00BF0ADD"/>
    <w:rsid w:val="00BF176A"/>
    <w:rsid w:val="00BF1EDE"/>
    <w:rsid w:val="00BF2D4B"/>
    <w:rsid w:val="00BF351E"/>
    <w:rsid w:val="00BF38D7"/>
    <w:rsid w:val="00BF4633"/>
    <w:rsid w:val="00BF528C"/>
    <w:rsid w:val="00BF5700"/>
    <w:rsid w:val="00BF5A01"/>
    <w:rsid w:val="00BF5AD1"/>
    <w:rsid w:val="00BF5BC6"/>
    <w:rsid w:val="00BF643F"/>
    <w:rsid w:val="00BF65D4"/>
    <w:rsid w:val="00BF7ADA"/>
    <w:rsid w:val="00C005FA"/>
    <w:rsid w:val="00C006AC"/>
    <w:rsid w:val="00C008A1"/>
    <w:rsid w:val="00C00BDC"/>
    <w:rsid w:val="00C011E8"/>
    <w:rsid w:val="00C0217D"/>
    <w:rsid w:val="00C0272A"/>
    <w:rsid w:val="00C031C9"/>
    <w:rsid w:val="00C03548"/>
    <w:rsid w:val="00C036A6"/>
    <w:rsid w:val="00C03D35"/>
    <w:rsid w:val="00C03F10"/>
    <w:rsid w:val="00C0419B"/>
    <w:rsid w:val="00C04B78"/>
    <w:rsid w:val="00C05001"/>
    <w:rsid w:val="00C0501E"/>
    <w:rsid w:val="00C0574E"/>
    <w:rsid w:val="00C05CB6"/>
    <w:rsid w:val="00C05DBD"/>
    <w:rsid w:val="00C0612C"/>
    <w:rsid w:val="00C061B3"/>
    <w:rsid w:val="00C06464"/>
    <w:rsid w:val="00C066C6"/>
    <w:rsid w:val="00C06844"/>
    <w:rsid w:val="00C06AB9"/>
    <w:rsid w:val="00C06B9C"/>
    <w:rsid w:val="00C07F8D"/>
    <w:rsid w:val="00C108CF"/>
    <w:rsid w:val="00C10CB7"/>
    <w:rsid w:val="00C117AF"/>
    <w:rsid w:val="00C11BC3"/>
    <w:rsid w:val="00C123CE"/>
    <w:rsid w:val="00C12561"/>
    <w:rsid w:val="00C128A1"/>
    <w:rsid w:val="00C12BB2"/>
    <w:rsid w:val="00C12E3C"/>
    <w:rsid w:val="00C130AE"/>
    <w:rsid w:val="00C13191"/>
    <w:rsid w:val="00C139DE"/>
    <w:rsid w:val="00C13FD4"/>
    <w:rsid w:val="00C141D4"/>
    <w:rsid w:val="00C1482D"/>
    <w:rsid w:val="00C15BFB"/>
    <w:rsid w:val="00C15F05"/>
    <w:rsid w:val="00C1623D"/>
    <w:rsid w:val="00C1624B"/>
    <w:rsid w:val="00C17317"/>
    <w:rsid w:val="00C17452"/>
    <w:rsid w:val="00C17491"/>
    <w:rsid w:val="00C202A2"/>
    <w:rsid w:val="00C204A3"/>
    <w:rsid w:val="00C20B57"/>
    <w:rsid w:val="00C21BC5"/>
    <w:rsid w:val="00C221BA"/>
    <w:rsid w:val="00C22224"/>
    <w:rsid w:val="00C22BF5"/>
    <w:rsid w:val="00C22EF4"/>
    <w:rsid w:val="00C230D9"/>
    <w:rsid w:val="00C23401"/>
    <w:rsid w:val="00C23884"/>
    <w:rsid w:val="00C23DCA"/>
    <w:rsid w:val="00C24A43"/>
    <w:rsid w:val="00C24BF9"/>
    <w:rsid w:val="00C25031"/>
    <w:rsid w:val="00C2551B"/>
    <w:rsid w:val="00C255C0"/>
    <w:rsid w:val="00C25EC4"/>
    <w:rsid w:val="00C2635B"/>
    <w:rsid w:val="00C26AC1"/>
    <w:rsid w:val="00C26AE4"/>
    <w:rsid w:val="00C26FD3"/>
    <w:rsid w:val="00C271C2"/>
    <w:rsid w:val="00C273FF"/>
    <w:rsid w:val="00C277CD"/>
    <w:rsid w:val="00C27826"/>
    <w:rsid w:val="00C27912"/>
    <w:rsid w:val="00C30AA3"/>
    <w:rsid w:val="00C30B34"/>
    <w:rsid w:val="00C32022"/>
    <w:rsid w:val="00C322AC"/>
    <w:rsid w:val="00C33502"/>
    <w:rsid w:val="00C33BD4"/>
    <w:rsid w:val="00C33ED4"/>
    <w:rsid w:val="00C348B7"/>
    <w:rsid w:val="00C34F07"/>
    <w:rsid w:val="00C351CC"/>
    <w:rsid w:val="00C35396"/>
    <w:rsid w:val="00C353B0"/>
    <w:rsid w:val="00C35875"/>
    <w:rsid w:val="00C35BBF"/>
    <w:rsid w:val="00C377C9"/>
    <w:rsid w:val="00C40196"/>
    <w:rsid w:val="00C40B47"/>
    <w:rsid w:val="00C41D26"/>
    <w:rsid w:val="00C41E5D"/>
    <w:rsid w:val="00C42356"/>
    <w:rsid w:val="00C42570"/>
    <w:rsid w:val="00C42DC4"/>
    <w:rsid w:val="00C43002"/>
    <w:rsid w:val="00C43725"/>
    <w:rsid w:val="00C43F60"/>
    <w:rsid w:val="00C449D8"/>
    <w:rsid w:val="00C4526D"/>
    <w:rsid w:val="00C4564C"/>
    <w:rsid w:val="00C464A6"/>
    <w:rsid w:val="00C46883"/>
    <w:rsid w:val="00C46F36"/>
    <w:rsid w:val="00C47F46"/>
    <w:rsid w:val="00C50015"/>
    <w:rsid w:val="00C50259"/>
    <w:rsid w:val="00C50DD5"/>
    <w:rsid w:val="00C50F2D"/>
    <w:rsid w:val="00C51849"/>
    <w:rsid w:val="00C523AD"/>
    <w:rsid w:val="00C5242B"/>
    <w:rsid w:val="00C527CA"/>
    <w:rsid w:val="00C52F1B"/>
    <w:rsid w:val="00C53F30"/>
    <w:rsid w:val="00C5414B"/>
    <w:rsid w:val="00C54F6E"/>
    <w:rsid w:val="00C55086"/>
    <w:rsid w:val="00C56565"/>
    <w:rsid w:val="00C57284"/>
    <w:rsid w:val="00C574CC"/>
    <w:rsid w:val="00C57A48"/>
    <w:rsid w:val="00C57B9A"/>
    <w:rsid w:val="00C60151"/>
    <w:rsid w:val="00C60740"/>
    <w:rsid w:val="00C607AE"/>
    <w:rsid w:val="00C60E4E"/>
    <w:rsid w:val="00C613E6"/>
    <w:rsid w:val="00C63927"/>
    <w:rsid w:val="00C643AE"/>
    <w:rsid w:val="00C64DCB"/>
    <w:rsid w:val="00C65191"/>
    <w:rsid w:val="00C6622F"/>
    <w:rsid w:val="00C666FB"/>
    <w:rsid w:val="00C66946"/>
    <w:rsid w:val="00C6782C"/>
    <w:rsid w:val="00C67F81"/>
    <w:rsid w:val="00C717DE"/>
    <w:rsid w:val="00C718AA"/>
    <w:rsid w:val="00C71DB1"/>
    <w:rsid w:val="00C73035"/>
    <w:rsid w:val="00C735DE"/>
    <w:rsid w:val="00C736EA"/>
    <w:rsid w:val="00C7372A"/>
    <w:rsid w:val="00C73B59"/>
    <w:rsid w:val="00C73D46"/>
    <w:rsid w:val="00C74321"/>
    <w:rsid w:val="00C74B22"/>
    <w:rsid w:val="00C74C4A"/>
    <w:rsid w:val="00C75991"/>
    <w:rsid w:val="00C76460"/>
    <w:rsid w:val="00C7648A"/>
    <w:rsid w:val="00C76CCF"/>
    <w:rsid w:val="00C7750E"/>
    <w:rsid w:val="00C779C7"/>
    <w:rsid w:val="00C77AEA"/>
    <w:rsid w:val="00C77F84"/>
    <w:rsid w:val="00C801EB"/>
    <w:rsid w:val="00C804A9"/>
    <w:rsid w:val="00C80604"/>
    <w:rsid w:val="00C80862"/>
    <w:rsid w:val="00C815CB"/>
    <w:rsid w:val="00C81769"/>
    <w:rsid w:val="00C823C2"/>
    <w:rsid w:val="00C82A50"/>
    <w:rsid w:val="00C82F2D"/>
    <w:rsid w:val="00C8307D"/>
    <w:rsid w:val="00C833A5"/>
    <w:rsid w:val="00C837AB"/>
    <w:rsid w:val="00C83BCC"/>
    <w:rsid w:val="00C83DE2"/>
    <w:rsid w:val="00C84970"/>
    <w:rsid w:val="00C84B04"/>
    <w:rsid w:val="00C8509D"/>
    <w:rsid w:val="00C8681F"/>
    <w:rsid w:val="00C8693F"/>
    <w:rsid w:val="00C87C77"/>
    <w:rsid w:val="00C902FE"/>
    <w:rsid w:val="00C90442"/>
    <w:rsid w:val="00C906D2"/>
    <w:rsid w:val="00C91524"/>
    <w:rsid w:val="00C924D0"/>
    <w:rsid w:val="00C92D0E"/>
    <w:rsid w:val="00C93033"/>
    <w:rsid w:val="00C93439"/>
    <w:rsid w:val="00C934BF"/>
    <w:rsid w:val="00C93612"/>
    <w:rsid w:val="00C93854"/>
    <w:rsid w:val="00C93ADF"/>
    <w:rsid w:val="00C93CAA"/>
    <w:rsid w:val="00C93E35"/>
    <w:rsid w:val="00C94497"/>
    <w:rsid w:val="00C947B0"/>
    <w:rsid w:val="00C94E70"/>
    <w:rsid w:val="00C94EF0"/>
    <w:rsid w:val="00C959A8"/>
    <w:rsid w:val="00C960AF"/>
    <w:rsid w:val="00C9662E"/>
    <w:rsid w:val="00C96CB3"/>
    <w:rsid w:val="00C97C60"/>
    <w:rsid w:val="00CA16CF"/>
    <w:rsid w:val="00CA1C90"/>
    <w:rsid w:val="00CA1EB9"/>
    <w:rsid w:val="00CA1F0B"/>
    <w:rsid w:val="00CA2F4E"/>
    <w:rsid w:val="00CA30FA"/>
    <w:rsid w:val="00CA310F"/>
    <w:rsid w:val="00CA339B"/>
    <w:rsid w:val="00CA3695"/>
    <w:rsid w:val="00CA36BA"/>
    <w:rsid w:val="00CA4889"/>
    <w:rsid w:val="00CA4BC8"/>
    <w:rsid w:val="00CA4E3E"/>
    <w:rsid w:val="00CA5E4B"/>
    <w:rsid w:val="00CA640A"/>
    <w:rsid w:val="00CA664E"/>
    <w:rsid w:val="00CA69FF"/>
    <w:rsid w:val="00CA6EAD"/>
    <w:rsid w:val="00CA78C6"/>
    <w:rsid w:val="00CA7B88"/>
    <w:rsid w:val="00CB0E58"/>
    <w:rsid w:val="00CB11D5"/>
    <w:rsid w:val="00CB1881"/>
    <w:rsid w:val="00CB18A9"/>
    <w:rsid w:val="00CB2281"/>
    <w:rsid w:val="00CB23BD"/>
    <w:rsid w:val="00CB2585"/>
    <w:rsid w:val="00CB2608"/>
    <w:rsid w:val="00CB2B25"/>
    <w:rsid w:val="00CB3981"/>
    <w:rsid w:val="00CB39E1"/>
    <w:rsid w:val="00CB454D"/>
    <w:rsid w:val="00CB4907"/>
    <w:rsid w:val="00CB496D"/>
    <w:rsid w:val="00CB4E55"/>
    <w:rsid w:val="00CB4FE0"/>
    <w:rsid w:val="00CB5B05"/>
    <w:rsid w:val="00CB61C0"/>
    <w:rsid w:val="00CB6284"/>
    <w:rsid w:val="00CB70F1"/>
    <w:rsid w:val="00CB7309"/>
    <w:rsid w:val="00CB7A94"/>
    <w:rsid w:val="00CC0D01"/>
    <w:rsid w:val="00CC17A2"/>
    <w:rsid w:val="00CC1812"/>
    <w:rsid w:val="00CC1A6C"/>
    <w:rsid w:val="00CC1FF1"/>
    <w:rsid w:val="00CC21A5"/>
    <w:rsid w:val="00CC2C81"/>
    <w:rsid w:val="00CC2FE2"/>
    <w:rsid w:val="00CC323E"/>
    <w:rsid w:val="00CC34AE"/>
    <w:rsid w:val="00CC360E"/>
    <w:rsid w:val="00CC38D0"/>
    <w:rsid w:val="00CC3D21"/>
    <w:rsid w:val="00CC46C3"/>
    <w:rsid w:val="00CC4B14"/>
    <w:rsid w:val="00CC4DDB"/>
    <w:rsid w:val="00CC4DFE"/>
    <w:rsid w:val="00CC4E27"/>
    <w:rsid w:val="00CC50A2"/>
    <w:rsid w:val="00CC5690"/>
    <w:rsid w:val="00CC57E8"/>
    <w:rsid w:val="00CC5C22"/>
    <w:rsid w:val="00CC5DB4"/>
    <w:rsid w:val="00CC6CE8"/>
    <w:rsid w:val="00CC74DA"/>
    <w:rsid w:val="00CC776E"/>
    <w:rsid w:val="00CD0101"/>
    <w:rsid w:val="00CD02B1"/>
    <w:rsid w:val="00CD0686"/>
    <w:rsid w:val="00CD0F35"/>
    <w:rsid w:val="00CD1189"/>
    <w:rsid w:val="00CD1391"/>
    <w:rsid w:val="00CD16E9"/>
    <w:rsid w:val="00CD2B16"/>
    <w:rsid w:val="00CD313E"/>
    <w:rsid w:val="00CD316E"/>
    <w:rsid w:val="00CD3F85"/>
    <w:rsid w:val="00CD4EC2"/>
    <w:rsid w:val="00CD4FA9"/>
    <w:rsid w:val="00CD55D3"/>
    <w:rsid w:val="00CD56C9"/>
    <w:rsid w:val="00CD5830"/>
    <w:rsid w:val="00CD5FD3"/>
    <w:rsid w:val="00CD601D"/>
    <w:rsid w:val="00CD6079"/>
    <w:rsid w:val="00CD633C"/>
    <w:rsid w:val="00CD6C2C"/>
    <w:rsid w:val="00CD6E5F"/>
    <w:rsid w:val="00CD7617"/>
    <w:rsid w:val="00CE06D8"/>
    <w:rsid w:val="00CE0AE7"/>
    <w:rsid w:val="00CE0F81"/>
    <w:rsid w:val="00CE1138"/>
    <w:rsid w:val="00CE11DF"/>
    <w:rsid w:val="00CE1548"/>
    <w:rsid w:val="00CE166A"/>
    <w:rsid w:val="00CE17A5"/>
    <w:rsid w:val="00CE17BC"/>
    <w:rsid w:val="00CE1801"/>
    <w:rsid w:val="00CE182D"/>
    <w:rsid w:val="00CE221A"/>
    <w:rsid w:val="00CE2888"/>
    <w:rsid w:val="00CE2DCD"/>
    <w:rsid w:val="00CE3610"/>
    <w:rsid w:val="00CE3ADF"/>
    <w:rsid w:val="00CE3B2C"/>
    <w:rsid w:val="00CE3F1A"/>
    <w:rsid w:val="00CE431E"/>
    <w:rsid w:val="00CE4403"/>
    <w:rsid w:val="00CE4F2D"/>
    <w:rsid w:val="00CE568E"/>
    <w:rsid w:val="00CE5BC7"/>
    <w:rsid w:val="00CE5F70"/>
    <w:rsid w:val="00CE61B8"/>
    <w:rsid w:val="00CE65DE"/>
    <w:rsid w:val="00CE678A"/>
    <w:rsid w:val="00CE68A4"/>
    <w:rsid w:val="00CE6DF0"/>
    <w:rsid w:val="00CE75DD"/>
    <w:rsid w:val="00CE7665"/>
    <w:rsid w:val="00CE7853"/>
    <w:rsid w:val="00CE7AFB"/>
    <w:rsid w:val="00CF01A7"/>
    <w:rsid w:val="00CF0CAA"/>
    <w:rsid w:val="00CF0D5F"/>
    <w:rsid w:val="00CF19B6"/>
    <w:rsid w:val="00CF1B43"/>
    <w:rsid w:val="00CF1E98"/>
    <w:rsid w:val="00CF1EAE"/>
    <w:rsid w:val="00CF207B"/>
    <w:rsid w:val="00CF2BC4"/>
    <w:rsid w:val="00CF334D"/>
    <w:rsid w:val="00CF3592"/>
    <w:rsid w:val="00CF393E"/>
    <w:rsid w:val="00CF3D6B"/>
    <w:rsid w:val="00CF4DFF"/>
    <w:rsid w:val="00CF50F5"/>
    <w:rsid w:val="00CF61E8"/>
    <w:rsid w:val="00CF7551"/>
    <w:rsid w:val="00D01F62"/>
    <w:rsid w:val="00D0268E"/>
    <w:rsid w:val="00D03014"/>
    <w:rsid w:val="00D0321B"/>
    <w:rsid w:val="00D03590"/>
    <w:rsid w:val="00D03885"/>
    <w:rsid w:val="00D03A28"/>
    <w:rsid w:val="00D03C85"/>
    <w:rsid w:val="00D03E3B"/>
    <w:rsid w:val="00D041F1"/>
    <w:rsid w:val="00D04FE4"/>
    <w:rsid w:val="00D0529E"/>
    <w:rsid w:val="00D05519"/>
    <w:rsid w:val="00D05744"/>
    <w:rsid w:val="00D05DB1"/>
    <w:rsid w:val="00D060C6"/>
    <w:rsid w:val="00D06253"/>
    <w:rsid w:val="00D06CE5"/>
    <w:rsid w:val="00D06D5B"/>
    <w:rsid w:val="00D07567"/>
    <w:rsid w:val="00D108E5"/>
    <w:rsid w:val="00D10CBC"/>
    <w:rsid w:val="00D1125D"/>
    <w:rsid w:val="00D11475"/>
    <w:rsid w:val="00D116C6"/>
    <w:rsid w:val="00D121CC"/>
    <w:rsid w:val="00D12D00"/>
    <w:rsid w:val="00D142CE"/>
    <w:rsid w:val="00D14A56"/>
    <w:rsid w:val="00D14F5E"/>
    <w:rsid w:val="00D15CDB"/>
    <w:rsid w:val="00D16DEC"/>
    <w:rsid w:val="00D16FB2"/>
    <w:rsid w:val="00D170A9"/>
    <w:rsid w:val="00D170BB"/>
    <w:rsid w:val="00D17A12"/>
    <w:rsid w:val="00D207F7"/>
    <w:rsid w:val="00D20834"/>
    <w:rsid w:val="00D208AF"/>
    <w:rsid w:val="00D20E78"/>
    <w:rsid w:val="00D2109B"/>
    <w:rsid w:val="00D21499"/>
    <w:rsid w:val="00D225EF"/>
    <w:rsid w:val="00D2283E"/>
    <w:rsid w:val="00D22B62"/>
    <w:rsid w:val="00D22CA8"/>
    <w:rsid w:val="00D23141"/>
    <w:rsid w:val="00D232E8"/>
    <w:rsid w:val="00D23474"/>
    <w:rsid w:val="00D23559"/>
    <w:rsid w:val="00D23BD6"/>
    <w:rsid w:val="00D24017"/>
    <w:rsid w:val="00D240DA"/>
    <w:rsid w:val="00D25814"/>
    <w:rsid w:val="00D25F1D"/>
    <w:rsid w:val="00D25F33"/>
    <w:rsid w:val="00D25F3D"/>
    <w:rsid w:val="00D271DD"/>
    <w:rsid w:val="00D27A89"/>
    <w:rsid w:val="00D27E13"/>
    <w:rsid w:val="00D27F30"/>
    <w:rsid w:val="00D3015B"/>
    <w:rsid w:val="00D303E8"/>
    <w:rsid w:val="00D30615"/>
    <w:rsid w:val="00D30C2C"/>
    <w:rsid w:val="00D311A0"/>
    <w:rsid w:val="00D3134F"/>
    <w:rsid w:val="00D31ADF"/>
    <w:rsid w:val="00D31D52"/>
    <w:rsid w:val="00D31F84"/>
    <w:rsid w:val="00D32378"/>
    <w:rsid w:val="00D32591"/>
    <w:rsid w:val="00D325BA"/>
    <w:rsid w:val="00D32C70"/>
    <w:rsid w:val="00D33BAD"/>
    <w:rsid w:val="00D34515"/>
    <w:rsid w:val="00D3483D"/>
    <w:rsid w:val="00D34F9C"/>
    <w:rsid w:val="00D358DC"/>
    <w:rsid w:val="00D35D07"/>
    <w:rsid w:val="00D361EA"/>
    <w:rsid w:val="00D3644F"/>
    <w:rsid w:val="00D366FB"/>
    <w:rsid w:val="00D36C1D"/>
    <w:rsid w:val="00D36C8F"/>
    <w:rsid w:val="00D36EBA"/>
    <w:rsid w:val="00D37E19"/>
    <w:rsid w:val="00D4033D"/>
    <w:rsid w:val="00D408A6"/>
    <w:rsid w:val="00D40C2F"/>
    <w:rsid w:val="00D40D5C"/>
    <w:rsid w:val="00D40EC4"/>
    <w:rsid w:val="00D41434"/>
    <w:rsid w:val="00D4158F"/>
    <w:rsid w:val="00D41D7A"/>
    <w:rsid w:val="00D41F42"/>
    <w:rsid w:val="00D42849"/>
    <w:rsid w:val="00D42F43"/>
    <w:rsid w:val="00D43840"/>
    <w:rsid w:val="00D43EF5"/>
    <w:rsid w:val="00D4476E"/>
    <w:rsid w:val="00D447FB"/>
    <w:rsid w:val="00D448AD"/>
    <w:rsid w:val="00D44ADF"/>
    <w:rsid w:val="00D44EF7"/>
    <w:rsid w:val="00D44F67"/>
    <w:rsid w:val="00D454F0"/>
    <w:rsid w:val="00D455D8"/>
    <w:rsid w:val="00D45A18"/>
    <w:rsid w:val="00D45FF6"/>
    <w:rsid w:val="00D460CB"/>
    <w:rsid w:val="00D462EA"/>
    <w:rsid w:val="00D4631D"/>
    <w:rsid w:val="00D463BA"/>
    <w:rsid w:val="00D465F0"/>
    <w:rsid w:val="00D46ABA"/>
    <w:rsid w:val="00D47AF9"/>
    <w:rsid w:val="00D47F68"/>
    <w:rsid w:val="00D50993"/>
    <w:rsid w:val="00D50B23"/>
    <w:rsid w:val="00D50B79"/>
    <w:rsid w:val="00D512A2"/>
    <w:rsid w:val="00D51969"/>
    <w:rsid w:val="00D51BD1"/>
    <w:rsid w:val="00D524E4"/>
    <w:rsid w:val="00D526CD"/>
    <w:rsid w:val="00D5378B"/>
    <w:rsid w:val="00D537C9"/>
    <w:rsid w:val="00D53B3F"/>
    <w:rsid w:val="00D53C80"/>
    <w:rsid w:val="00D53EE9"/>
    <w:rsid w:val="00D541F3"/>
    <w:rsid w:val="00D546FE"/>
    <w:rsid w:val="00D54FD6"/>
    <w:rsid w:val="00D557DA"/>
    <w:rsid w:val="00D557DE"/>
    <w:rsid w:val="00D55A64"/>
    <w:rsid w:val="00D56330"/>
    <w:rsid w:val="00D573F9"/>
    <w:rsid w:val="00D575AC"/>
    <w:rsid w:val="00D576CF"/>
    <w:rsid w:val="00D57883"/>
    <w:rsid w:val="00D57BF2"/>
    <w:rsid w:val="00D602E7"/>
    <w:rsid w:val="00D60418"/>
    <w:rsid w:val="00D61237"/>
    <w:rsid w:val="00D62A9F"/>
    <w:rsid w:val="00D62AEE"/>
    <w:rsid w:val="00D63885"/>
    <w:rsid w:val="00D63F81"/>
    <w:rsid w:val="00D64398"/>
    <w:rsid w:val="00D6504E"/>
    <w:rsid w:val="00D65367"/>
    <w:rsid w:val="00D65587"/>
    <w:rsid w:val="00D66790"/>
    <w:rsid w:val="00D671A3"/>
    <w:rsid w:val="00D67D5B"/>
    <w:rsid w:val="00D70559"/>
    <w:rsid w:val="00D70EC0"/>
    <w:rsid w:val="00D71C59"/>
    <w:rsid w:val="00D71F13"/>
    <w:rsid w:val="00D7289F"/>
    <w:rsid w:val="00D72EE5"/>
    <w:rsid w:val="00D73463"/>
    <w:rsid w:val="00D73903"/>
    <w:rsid w:val="00D73D99"/>
    <w:rsid w:val="00D74468"/>
    <w:rsid w:val="00D75291"/>
    <w:rsid w:val="00D75A59"/>
    <w:rsid w:val="00D77090"/>
    <w:rsid w:val="00D77F73"/>
    <w:rsid w:val="00D806EF"/>
    <w:rsid w:val="00D80C79"/>
    <w:rsid w:val="00D80F70"/>
    <w:rsid w:val="00D8116C"/>
    <w:rsid w:val="00D81352"/>
    <w:rsid w:val="00D81808"/>
    <w:rsid w:val="00D81D54"/>
    <w:rsid w:val="00D82097"/>
    <w:rsid w:val="00D824DD"/>
    <w:rsid w:val="00D828DF"/>
    <w:rsid w:val="00D82FB5"/>
    <w:rsid w:val="00D82FD5"/>
    <w:rsid w:val="00D8380D"/>
    <w:rsid w:val="00D83BB3"/>
    <w:rsid w:val="00D844ED"/>
    <w:rsid w:val="00D84AFA"/>
    <w:rsid w:val="00D84D7F"/>
    <w:rsid w:val="00D8536D"/>
    <w:rsid w:val="00D855F1"/>
    <w:rsid w:val="00D86007"/>
    <w:rsid w:val="00D860BB"/>
    <w:rsid w:val="00D86528"/>
    <w:rsid w:val="00D86AAE"/>
    <w:rsid w:val="00D86C6F"/>
    <w:rsid w:val="00D87618"/>
    <w:rsid w:val="00D87E3B"/>
    <w:rsid w:val="00D906F4"/>
    <w:rsid w:val="00D907AF"/>
    <w:rsid w:val="00D90B07"/>
    <w:rsid w:val="00D90EAD"/>
    <w:rsid w:val="00D91397"/>
    <w:rsid w:val="00D914CA"/>
    <w:rsid w:val="00D91611"/>
    <w:rsid w:val="00D91825"/>
    <w:rsid w:val="00D9187B"/>
    <w:rsid w:val="00D919D5"/>
    <w:rsid w:val="00D92A33"/>
    <w:rsid w:val="00D92B0D"/>
    <w:rsid w:val="00D930A2"/>
    <w:rsid w:val="00D9321C"/>
    <w:rsid w:val="00D93BF7"/>
    <w:rsid w:val="00D93D50"/>
    <w:rsid w:val="00D94B09"/>
    <w:rsid w:val="00D95565"/>
    <w:rsid w:val="00D95B59"/>
    <w:rsid w:val="00D95DB4"/>
    <w:rsid w:val="00D95F03"/>
    <w:rsid w:val="00D95F61"/>
    <w:rsid w:val="00D9630A"/>
    <w:rsid w:val="00D97174"/>
    <w:rsid w:val="00D97377"/>
    <w:rsid w:val="00D97611"/>
    <w:rsid w:val="00D9773F"/>
    <w:rsid w:val="00D977DE"/>
    <w:rsid w:val="00DA04DA"/>
    <w:rsid w:val="00DA0D7B"/>
    <w:rsid w:val="00DA182C"/>
    <w:rsid w:val="00DA1E0D"/>
    <w:rsid w:val="00DA2CC5"/>
    <w:rsid w:val="00DA37D4"/>
    <w:rsid w:val="00DA3895"/>
    <w:rsid w:val="00DA38D1"/>
    <w:rsid w:val="00DA3AC0"/>
    <w:rsid w:val="00DA3CF0"/>
    <w:rsid w:val="00DA3F1B"/>
    <w:rsid w:val="00DA4A43"/>
    <w:rsid w:val="00DA4B18"/>
    <w:rsid w:val="00DA4F20"/>
    <w:rsid w:val="00DA564F"/>
    <w:rsid w:val="00DA5B08"/>
    <w:rsid w:val="00DA63A3"/>
    <w:rsid w:val="00DA64C8"/>
    <w:rsid w:val="00DA670E"/>
    <w:rsid w:val="00DA7BCB"/>
    <w:rsid w:val="00DA7E80"/>
    <w:rsid w:val="00DB0219"/>
    <w:rsid w:val="00DB0AEF"/>
    <w:rsid w:val="00DB0CD7"/>
    <w:rsid w:val="00DB11F0"/>
    <w:rsid w:val="00DB1DDF"/>
    <w:rsid w:val="00DB28F0"/>
    <w:rsid w:val="00DB3148"/>
    <w:rsid w:val="00DB3E03"/>
    <w:rsid w:val="00DB3F3B"/>
    <w:rsid w:val="00DB40DB"/>
    <w:rsid w:val="00DB4A9D"/>
    <w:rsid w:val="00DB4B62"/>
    <w:rsid w:val="00DB51C5"/>
    <w:rsid w:val="00DB53B4"/>
    <w:rsid w:val="00DB55C1"/>
    <w:rsid w:val="00DB58D3"/>
    <w:rsid w:val="00DB66ED"/>
    <w:rsid w:val="00DB708F"/>
    <w:rsid w:val="00DB7681"/>
    <w:rsid w:val="00DB78C2"/>
    <w:rsid w:val="00DB7AEE"/>
    <w:rsid w:val="00DB7D67"/>
    <w:rsid w:val="00DC04C6"/>
    <w:rsid w:val="00DC0986"/>
    <w:rsid w:val="00DC0CF4"/>
    <w:rsid w:val="00DC0FE2"/>
    <w:rsid w:val="00DC13A0"/>
    <w:rsid w:val="00DC14BC"/>
    <w:rsid w:val="00DC16CC"/>
    <w:rsid w:val="00DC1B31"/>
    <w:rsid w:val="00DC1D53"/>
    <w:rsid w:val="00DC2557"/>
    <w:rsid w:val="00DC294F"/>
    <w:rsid w:val="00DC2DC3"/>
    <w:rsid w:val="00DC354C"/>
    <w:rsid w:val="00DC359F"/>
    <w:rsid w:val="00DC3B27"/>
    <w:rsid w:val="00DC4F30"/>
    <w:rsid w:val="00DC555A"/>
    <w:rsid w:val="00DC582A"/>
    <w:rsid w:val="00DC586A"/>
    <w:rsid w:val="00DC5C9C"/>
    <w:rsid w:val="00DC60F5"/>
    <w:rsid w:val="00DC6315"/>
    <w:rsid w:val="00DC6565"/>
    <w:rsid w:val="00DC70B0"/>
    <w:rsid w:val="00DC735E"/>
    <w:rsid w:val="00DC760E"/>
    <w:rsid w:val="00DC76A2"/>
    <w:rsid w:val="00DC76E7"/>
    <w:rsid w:val="00DC784D"/>
    <w:rsid w:val="00DD0197"/>
    <w:rsid w:val="00DD0678"/>
    <w:rsid w:val="00DD0D63"/>
    <w:rsid w:val="00DD0DAA"/>
    <w:rsid w:val="00DD1914"/>
    <w:rsid w:val="00DD1AF6"/>
    <w:rsid w:val="00DD205E"/>
    <w:rsid w:val="00DD23C5"/>
    <w:rsid w:val="00DD2736"/>
    <w:rsid w:val="00DD33A0"/>
    <w:rsid w:val="00DD3618"/>
    <w:rsid w:val="00DD38E4"/>
    <w:rsid w:val="00DD3B74"/>
    <w:rsid w:val="00DD422C"/>
    <w:rsid w:val="00DD4681"/>
    <w:rsid w:val="00DD4970"/>
    <w:rsid w:val="00DD4B0F"/>
    <w:rsid w:val="00DD4C2E"/>
    <w:rsid w:val="00DD51BE"/>
    <w:rsid w:val="00DD5977"/>
    <w:rsid w:val="00DD5ACE"/>
    <w:rsid w:val="00DD67C5"/>
    <w:rsid w:val="00DD6A16"/>
    <w:rsid w:val="00DD6C1D"/>
    <w:rsid w:val="00DD6FE1"/>
    <w:rsid w:val="00DD7397"/>
    <w:rsid w:val="00DD754F"/>
    <w:rsid w:val="00DD76C3"/>
    <w:rsid w:val="00DD7A03"/>
    <w:rsid w:val="00DD7A99"/>
    <w:rsid w:val="00DD7E65"/>
    <w:rsid w:val="00DE0166"/>
    <w:rsid w:val="00DE064A"/>
    <w:rsid w:val="00DE08CD"/>
    <w:rsid w:val="00DE08D6"/>
    <w:rsid w:val="00DE0951"/>
    <w:rsid w:val="00DE0E68"/>
    <w:rsid w:val="00DE0EBC"/>
    <w:rsid w:val="00DE1334"/>
    <w:rsid w:val="00DE15A0"/>
    <w:rsid w:val="00DE1840"/>
    <w:rsid w:val="00DE1AE6"/>
    <w:rsid w:val="00DE1C76"/>
    <w:rsid w:val="00DE217C"/>
    <w:rsid w:val="00DE3C40"/>
    <w:rsid w:val="00DE4219"/>
    <w:rsid w:val="00DE4250"/>
    <w:rsid w:val="00DE43FF"/>
    <w:rsid w:val="00DE44F6"/>
    <w:rsid w:val="00DE4B94"/>
    <w:rsid w:val="00DE538B"/>
    <w:rsid w:val="00DE5B13"/>
    <w:rsid w:val="00DE5E4F"/>
    <w:rsid w:val="00DE606B"/>
    <w:rsid w:val="00DE68AC"/>
    <w:rsid w:val="00DE6AB3"/>
    <w:rsid w:val="00DE6B3E"/>
    <w:rsid w:val="00DE6C40"/>
    <w:rsid w:val="00DE7295"/>
    <w:rsid w:val="00DE72F2"/>
    <w:rsid w:val="00DE798F"/>
    <w:rsid w:val="00DE79CD"/>
    <w:rsid w:val="00DE7FA6"/>
    <w:rsid w:val="00DF14BE"/>
    <w:rsid w:val="00DF1E77"/>
    <w:rsid w:val="00DF1FEC"/>
    <w:rsid w:val="00DF2045"/>
    <w:rsid w:val="00DF20F5"/>
    <w:rsid w:val="00DF245D"/>
    <w:rsid w:val="00DF26D5"/>
    <w:rsid w:val="00DF4066"/>
    <w:rsid w:val="00DF468D"/>
    <w:rsid w:val="00DF5025"/>
    <w:rsid w:val="00DF56D7"/>
    <w:rsid w:val="00DF5D21"/>
    <w:rsid w:val="00DF5F9C"/>
    <w:rsid w:val="00DF6D2D"/>
    <w:rsid w:val="00DF6FA2"/>
    <w:rsid w:val="00DF72E7"/>
    <w:rsid w:val="00DF73C5"/>
    <w:rsid w:val="00E0097E"/>
    <w:rsid w:val="00E01501"/>
    <w:rsid w:val="00E017D6"/>
    <w:rsid w:val="00E019A2"/>
    <w:rsid w:val="00E020DD"/>
    <w:rsid w:val="00E02218"/>
    <w:rsid w:val="00E02362"/>
    <w:rsid w:val="00E024CC"/>
    <w:rsid w:val="00E03C86"/>
    <w:rsid w:val="00E03D54"/>
    <w:rsid w:val="00E03F9C"/>
    <w:rsid w:val="00E04725"/>
    <w:rsid w:val="00E04C8E"/>
    <w:rsid w:val="00E050B6"/>
    <w:rsid w:val="00E0543E"/>
    <w:rsid w:val="00E05500"/>
    <w:rsid w:val="00E05591"/>
    <w:rsid w:val="00E05872"/>
    <w:rsid w:val="00E061D8"/>
    <w:rsid w:val="00E06703"/>
    <w:rsid w:val="00E06E05"/>
    <w:rsid w:val="00E06E96"/>
    <w:rsid w:val="00E06EFC"/>
    <w:rsid w:val="00E070B3"/>
    <w:rsid w:val="00E07181"/>
    <w:rsid w:val="00E073E4"/>
    <w:rsid w:val="00E078CF"/>
    <w:rsid w:val="00E10D19"/>
    <w:rsid w:val="00E1189F"/>
    <w:rsid w:val="00E11B62"/>
    <w:rsid w:val="00E11C03"/>
    <w:rsid w:val="00E122B3"/>
    <w:rsid w:val="00E12302"/>
    <w:rsid w:val="00E12353"/>
    <w:rsid w:val="00E125F6"/>
    <w:rsid w:val="00E12C28"/>
    <w:rsid w:val="00E1336A"/>
    <w:rsid w:val="00E13B14"/>
    <w:rsid w:val="00E1417F"/>
    <w:rsid w:val="00E14361"/>
    <w:rsid w:val="00E14793"/>
    <w:rsid w:val="00E149F7"/>
    <w:rsid w:val="00E14A84"/>
    <w:rsid w:val="00E15944"/>
    <w:rsid w:val="00E15D81"/>
    <w:rsid w:val="00E161B0"/>
    <w:rsid w:val="00E162BD"/>
    <w:rsid w:val="00E16D2D"/>
    <w:rsid w:val="00E17310"/>
    <w:rsid w:val="00E17486"/>
    <w:rsid w:val="00E17BDF"/>
    <w:rsid w:val="00E17C35"/>
    <w:rsid w:val="00E17EC9"/>
    <w:rsid w:val="00E17F0E"/>
    <w:rsid w:val="00E17F59"/>
    <w:rsid w:val="00E20070"/>
    <w:rsid w:val="00E200AE"/>
    <w:rsid w:val="00E2036B"/>
    <w:rsid w:val="00E20DE1"/>
    <w:rsid w:val="00E20E69"/>
    <w:rsid w:val="00E2128A"/>
    <w:rsid w:val="00E215F9"/>
    <w:rsid w:val="00E216EF"/>
    <w:rsid w:val="00E218F0"/>
    <w:rsid w:val="00E21CA9"/>
    <w:rsid w:val="00E227CA"/>
    <w:rsid w:val="00E22912"/>
    <w:rsid w:val="00E22B6A"/>
    <w:rsid w:val="00E235BC"/>
    <w:rsid w:val="00E23B0A"/>
    <w:rsid w:val="00E24B38"/>
    <w:rsid w:val="00E24B3D"/>
    <w:rsid w:val="00E24F51"/>
    <w:rsid w:val="00E25BEB"/>
    <w:rsid w:val="00E260BB"/>
    <w:rsid w:val="00E2639A"/>
    <w:rsid w:val="00E26565"/>
    <w:rsid w:val="00E265F9"/>
    <w:rsid w:val="00E26699"/>
    <w:rsid w:val="00E268A9"/>
    <w:rsid w:val="00E26924"/>
    <w:rsid w:val="00E26C38"/>
    <w:rsid w:val="00E2710B"/>
    <w:rsid w:val="00E308B6"/>
    <w:rsid w:val="00E30CF0"/>
    <w:rsid w:val="00E319B9"/>
    <w:rsid w:val="00E31B1F"/>
    <w:rsid w:val="00E31C43"/>
    <w:rsid w:val="00E320CD"/>
    <w:rsid w:val="00E322C9"/>
    <w:rsid w:val="00E32A8E"/>
    <w:rsid w:val="00E33868"/>
    <w:rsid w:val="00E33F5A"/>
    <w:rsid w:val="00E33FF8"/>
    <w:rsid w:val="00E346F8"/>
    <w:rsid w:val="00E3478A"/>
    <w:rsid w:val="00E34A30"/>
    <w:rsid w:val="00E353B4"/>
    <w:rsid w:val="00E36003"/>
    <w:rsid w:val="00E36AE9"/>
    <w:rsid w:val="00E36D2E"/>
    <w:rsid w:val="00E37CEB"/>
    <w:rsid w:val="00E37E7C"/>
    <w:rsid w:val="00E40247"/>
    <w:rsid w:val="00E412E3"/>
    <w:rsid w:val="00E41D24"/>
    <w:rsid w:val="00E42D80"/>
    <w:rsid w:val="00E432AF"/>
    <w:rsid w:val="00E44B72"/>
    <w:rsid w:val="00E457E0"/>
    <w:rsid w:val="00E4586C"/>
    <w:rsid w:val="00E45C40"/>
    <w:rsid w:val="00E45F51"/>
    <w:rsid w:val="00E45FA2"/>
    <w:rsid w:val="00E46EF1"/>
    <w:rsid w:val="00E472F3"/>
    <w:rsid w:val="00E4787B"/>
    <w:rsid w:val="00E47B76"/>
    <w:rsid w:val="00E47C03"/>
    <w:rsid w:val="00E504E8"/>
    <w:rsid w:val="00E50638"/>
    <w:rsid w:val="00E513C8"/>
    <w:rsid w:val="00E513D9"/>
    <w:rsid w:val="00E5158A"/>
    <w:rsid w:val="00E522CB"/>
    <w:rsid w:val="00E524C7"/>
    <w:rsid w:val="00E525CF"/>
    <w:rsid w:val="00E52870"/>
    <w:rsid w:val="00E52A02"/>
    <w:rsid w:val="00E52FD7"/>
    <w:rsid w:val="00E5321D"/>
    <w:rsid w:val="00E5459E"/>
    <w:rsid w:val="00E54694"/>
    <w:rsid w:val="00E54E6C"/>
    <w:rsid w:val="00E54F19"/>
    <w:rsid w:val="00E5520C"/>
    <w:rsid w:val="00E555FC"/>
    <w:rsid w:val="00E561C0"/>
    <w:rsid w:val="00E56216"/>
    <w:rsid w:val="00E5637E"/>
    <w:rsid w:val="00E567D3"/>
    <w:rsid w:val="00E573B1"/>
    <w:rsid w:val="00E57DC7"/>
    <w:rsid w:val="00E60595"/>
    <w:rsid w:val="00E61D80"/>
    <w:rsid w:val="00E62366"/>
    <w:rsid w:val="00E625FD"/>
    <w:rsid w:val="00E62BFA"/>
    <w:rsid w:val="00E62D4C"/>
    <w:rsid w:val="00E63A82"/>
    <w:rsid w:val="00E64598"/>
    <w:rsid w:val="00E64CC1"/>
    <w:rsid w:val="00E651CD"/>
    <w:rsid w:val="00E65212"/>
    <w:rsid w:val="00E65B84"/>
    <w:rsid w:val="00E65ECB"/>
    <w:rsid w:val="00E663E3"/>
    <w:rsid w:val="00E66527"/>
    <w:rsid w:val="00E6663A"/>
    <w:rsid w:val="00E6670B"/>
    <w:rsid w:val="00E67E79"/>
    <w:rsid w:val="00E7011E"/>
    <w:rsid w:val="00E706FF"/>
    <w:rsid w:val="00E70E26"/>
    <w:rsid w:val="00E70F2D"/>
    <w:rsid w:val="00E7138E"/>
    <w:rsid w:val="00E716DC"/>
    <w:rsid w:val="00E722D2"/>
    <w:rsid w:val="00E725EE"/>
    <w:rsid w:val="00E72D45"/>
    <w:rsid w:val="00E7310E"/>
    <w:rsid w:val="00E7364E"/>
    <w:rsid w:val="00E73794"/>
    <w:rsid w:val="00E73A81"/>
    <w:rsid w:val="00E73EB9"/>
    <w:rsid w:val="00E73F23"/>
    <w:rsid w:val="00E74FDD"/>
    <w:rsid w:val="00E751DC"/>
    <w:rsid w:val="00E755F2"/>
    <w:rsid w:val="00E75870"/>
    <w:rsid w:val="00E758BC"/>
    <w:rsid w:val="00E75A6F"/>
    <w:rsid w:val="00E75AE8"/>
    <w:rsid w:val="00E75D53"/>
    <w:rsid w:val="00E76256"/>
    <w:rsid w:val="00E766DF"/>
    <w:rsid w:val="00E76D6D"/>
    <w:rsid w:val="00E770F7"/>
    <w:rsid w:val="00E772FA"/>
    <w:rsid w:val="00E77488"/>
    <w:rsid w:val="00E77560"/>
    <w:rsid w:val="00E77595"/>
    <w:rsid w:val="00E7767D"/>
    <w:rsid w:val="00E80682"/>
    <w:rsid w:val="00E80751"/>
    <w:rsid w:val="00E80BEE"/>
    <w:rsid w:val="00E80D8B"/>
    <w:rsid w:val="00E80E3D"/>
    <w:rsid w:val="00E813F8"/>
    <w:rsid w:val="00E8194B"/>
    <w:rsid w:val="00E822EB"/>
    <w:rsid w:val="00E83ACD"/>
    <w:rsid w:val="00E84337"/>
    <w:rsid w:val="00E85056"/>
    <w:rsid w:val="00E8580C"/>
    <w:rsid w:val="00E863AD"/>
    <w:rsid w:val="00E86DFE"/>
    <w:rsid w:val="00E87672"/>
    <w:rsid w:val="00E87D79"/>
    <w:rsid w:val="00E9029E"/>
    <w:rsid w:val="00E9116E"/>
    <w:rsid w:val="00E911EC"/>
    <w:rsid w:val="00E916C1"/>
    <w:rsid w:val="00E92403"/>
    <w:rsid w:val="00E92CFE"/>
    <w:rsid w:val="00E93EF5"/>
    <w:rsid w:val="00E9420D"/>
    <w:rsid w:val="00E94A47"/>
    <w:rsid w:val="00E95195"/>
    <w:rsid w:val="00E95AF8"/>
    <w:rsid w:val="00E963A0"/>
    <w:rsid w:val="00E9689A"/>
    <w:rsid w:val="00E9779A"/>
    <w:rsid w:val="00EA0AEA"/>
    <w:rsid w:val="00EA10C6"/>
    <w:rsid w:val="00EA12B2"/>
    <w:rsid w:val="00EA15B8"/>
    <w:rsid w:val="00EA1658"/>
    <w:rsid w:val="00EA17B9"/>
    <w:rsid w:val="00EA1B44"/>
    <w:rsid w:val="00EA1F04"/>
    <w:rsid w:val="00EA28F7"/>
    <w:rsid w:val="00EA2F4A"/>
    <w:rsid w:val="00EA346E"/>
    <w:rsid w:val="00EA37B7"/>
    <w:rsid w:val="00EA44FA"/>
    <w:rsid w:val="00EA5301"/>
    <w:rsid w:val="00EA6948"/>
    <w:rsid w:val="00EA6DB3"/>
    <w:rsid w:val="00EA717A"/>
    <w:rsid w:val="00EA74BA"/>
    <w:rsid w:val="00EB0549"/>
    <w:rsid w:val="00EB081A"/>
    <w:rsid w:val="00EB0B6B"/>
    <w:rsid w:val="00EB0D93"/>
    <w:rsid w:val="00EB0DAE"/>
    <w:rsid w:val="00EB10D8"/>
    <w:rsid w:val="00EB1368"/>
    <w:rsid w:val="00EB1C2A"/>
    <w:rsid w:val="00EB1D03"/>
    <w:rsid w:val="00EB2071"/>
    <w:rsid w:val="00EB2259"/>
    <w:rsid w:val="00EB2E5E"/>
    <w:rsid w:val="00EB3161"/>
    <w:rsid w:val="00EB371B"/>
    <w:rsid w:val="00EB3E25"/>
    <w:rsid w:val="00EB452E"/>
    <w:rsid w:val="00EB49DE"/>
    <w:rsid w:val="00EB4D5D"/>
    <w:rsid w:val="00EB6547"/>
    <w:rsid w:val="00EB6947"/>
    <w:rsid w:val="00EB7811"/>
    <w:rsid w:val="00EB79AD"/>
    <w:rsid w:val="00EC00F0"/>
    <w:rsid w:val="00EC05C6"/>
    <w:rsid w:val="00EC05F1"/>
    <w:rsid w:val="00EC0C60"/>
    <w:rsid w:val="00EC0D18"/>
    <w:rsid w:val="00EC0EEB"/>
    <w:rsid w:val="00EC145D"/>
    <w:rsid w:val="00EC22B7"/>
    <w:rsid w:val="00EC2717"/>
    <w:rsid w:val="00EC37CF"/>
    <w:rsid w:val="00EC3876"/>
    <w:rsid w:val="00EC38DE"/>
    <w:rsid w:val="00EC398D"/>
    <w:rsid w:val="00EC402A"/>
    <w:rsid w:val="00EC4727"/>
    <w:rsid w:val="00EC4836"/>
    <w:rsid w:val="00EC5463"/>
    <w:rsid w:val="00EC59A9"/>
    <w:rsid w:val="00EC5D19"/>
    <w:rsid w:val="00EC5F77"/>
    <w:rsid w:val="00EC61B3"/>
    <w:rsid w:val="00EC62B4"/>
    <w:rsid w:val="00EC6678"/>
    <w:rsid w:val="00EC727B"/>
    <w:rsid w:val="00EC7C94"/>
    <w:rsid w:val="00EC7E4A"/>
    <w:rsid w:val="00EC7F66"/>
    <w:rsid w:val="00ED0221"/>
    <w:rsid w:val="00ED0249"/>
    <w:rsid w:val="00ED105F"/>
    <w:rsid w:val="00ED1548"/>
    <w:rsid w:val="00ED185D"/>
    <w:rsid w:val="00ED1E05"/>
    <w:rsid w:val="00ED2343"/>
    <w:rsid w:val="00ED2729"/>
    <w:rsid w:val="00ED2B29"/>
    <w:rsid w:val="00ED2C8A"/>
    <w:rsid w:val="00ED32E0"/>
    <w:rsid w:val="00ED4CE3"/>
    <w:rsid w:val="00ED4EE3"/>
    <w:rsid w:val="00ED540A"/>
    <w:rsid w:val="00ED5BC1"/>
    <w:rsid w:val="00ED7370"/>
    <w:rsid w:val="00ED73CE"/>
    <w:rsid w:val="00ED7677"/>
    <w:rsid w:val="00EE0464"/>
    <w:rsid w:val="00EE0530"/>
    <w:rsid w:val="00EE107C"/>
    <w:rsid w:val="00EE16FD"/>
    <w:rsid w:val="00EE2C26"/>
    <w:rsid w:val="00EE2D3E"/>
    <w:rsid w:val="00EE2EB2"/>
    <w:rsid w:val="00EE48B6"/>
    <w:rsid w:val="00EE4B1B"/>
    <w:rsid w:val="00EE4C78"/>
    <w:rsid w:val="00EE6C69"/>
    <w:rsid w:val="00EE6C74"/>
    <w:rsid w:val="00EE7249"/>
    <w:rsid w:val="00EE738A"/>
    <w:rsid w:val="00EE7712"/>
    <w:rsid w:val="00EE776F"/>
    <w:rsid w:val="00EE77F0"/>
    <w:rsid w:val="00EE7ACA"/>
    <w:rsid w:val="00EE7B7E"/>
    <w:rsid w:val="00EE7B90"/>
    <w:rsid w:val="00EE7CBD"/>
    <w:rsid w:val="00EE7F6D"/>
    <w:rsid w:val="00EF0359"/>
    <w:rsid w:val="00EF0A31"/>
    <w:rsid w:val="00EF0CEE"/>
    <w:rsid w:val="00EF0FED"/>
    <w:rsid w:val="00EF1635"/>
    <w:rsid w:val="00EF171C"/>
    <w:rsid w:val="00EF1CBF"/>
    <w:rsid w:val="00EF23D9"/>
    <w:rsid w:val="00EF2830"/>
    <w:rsid w:val="00EF33F6"/>
    <w:rsid w:val="00EF3F2C"/>
    <w:rsid w:val="00EF45A3"/>
    <w:rsid w:val="00EF465A"/>
    <w:rsid w:val="00EF4766"/>
    <w:rsid w:val="00EF5635"/>
    <w:rsid w:val="00EF5787"/>
    <w:rsid w:val="00EF5B5F"/>
    <w:rsid w:val="00EF62B8"/>
    <w:rsid w:val="00EF6845"/>
    <w:rsid w:val="00EF74BD"/>
    <w:rsid w:val="00EF763A"/>
    <w:rsid w:val="00EF7B63"/>
    <w:rsid w:val="00EF7C60"/>
    <w:rsid w:val="00F002F0"/>
    <w:rsid w:val="00F02704"/>
    <w:rsid w:val="00F04A4F"/>
    <w:rsid w:val="00F051BB"/>
    <w:rsid w:val="00F052C8"/>
    <w:rsid w:val="00F05862"/>
    <w:rsid w:val="00F05F94"/>
    <w:rsid w:val="00F060F8"/>
    <w:rsid w:val="00F062D2"/>
    <w:rsid w:val="00F06449"/>
    <w:rsid w:val="00F068FB"/>
    <w:rsid w:val="00F06C7F"/>
    <w:rsid w:val="00F07135"/>
    <w:rsid w:val="00F073D7"/>
    <w:rsid w:val="00F07E40"/>
    <w:rsid w:val="00F07EB1"/>
    <w:rsid w:val="00F07F3C"/>
    <w:rsid w:val="00F1063F"/>
    <w:rsid w:val="00F10B0B"/>
    <w:rsid w:val="00F10B6A"/>
    <w:rsid w:val="00F10D35"/>
    <w:rsid w:val="00F10E7D"/>
    <w:rsid w:val="00F119D3"/>
    <w:rsid w:val="00F11DAA"/>
    <w:rsid w:val="00F1201F"/>
    <w:rsid w:val="00F139B4"/>
    <w:rsid w:val="00F140F5"/>
    <w:rsid w:val="00F14292"/>
    <w:rsid w:val="00F143C8"/>
    <w:rsid w:val="00F146A5"/>
    <w:rsid w:val="00F14745"/>
    <w:rsid w:val="00F14C82"/>
    <w:rsid w:val="00F1543F"/>
    <w:rsid w:val="00F15827"/>
    <w:rsid w:val="00F15F80"/>
    <w:rsid w:val="00F1689A"/>
    <w:rsid w:val="00F16F95"/>
    <w:rsid w:val="00F175C3"/>
    <w:rsid w:val="00F1781C"/>
    <w:rsid w:val="00F2058B"/>
    <w:rsid w:val="00F20620"/>
    <w:rsid w:val="00F220E8"/>
    <w:rsid w:val="00F227D0"/>
    <w:rsid w:val="00F2297E"/>
    <w:rsid w:val="00F22DEE"/>
    <w:rsid w:val="00F23345"/>
    <w:rsid w:val="00F23F80"/>
    <w:rsid w:val="00F245FB"/>
    <w:rsid w:val="00F247D2"/>
    <w:rsid w:val="00F24D1B"/>
    <w:rsid w:val="00F25013"/>
    <w:rsid w:val="00F25F67"/>
    <w:rsid w:val="00F26009"/>
    <w:rsid w:val="00F26564"/>
    <w:rsid w:val="00F2690D"/>
    <w:rsid w:val="00F2739A"/>
    <w:rsid w:val="00F274F7"/>
    <w:rsid w:val="00F277E5"/>
    <w:rsid w:val="00F302D8"/>
    <w:rsid w:val="00F30902"/>
    <w:rsid w:val="00F311D1"/>
    <w:rsid w:val="00F31366"/>
    <w:rsid w:val="00F3137C"/>
    <w:rsid w:val="00F31995"/>
    <w:rsid w:val="00F31EF9"/>
    <w:rsid w:val="00F32127"/>
    <w:rsid w:val="00F32B71"/>
    <w:rsid w:val="00F33033"/>
    <w:rsid w:val="00F33106"/>
    <w:rsid w:val="00F33114"/>
    <w:rsid w:val="00F3348D"/>
    <w:rsid w:val="00F33493"/>
    <w:rsid w:val="00F337D4"/>
    <w:rsid w:val="00F33BD3"/>
    <w:rsid w:val="00F33EC9"/>
    <w:rsid w:val="00F353FB"/>
    <w:rsid w:val="00F357C7"/>
    <w:rsid w:val="00F357D0"/>
    <w:rsid w:val="00F35E59"/>
    <w:rsid w:val="00F36A33"/>
    <w:rsid w:val="00F37127"/>
    <w:rsid w:val="00F37750"/>
    <w:rsid w:val="00F37764"/>
    <w:rsid w:val="00F37D3E"/>
    <w:rsid w:val="00F40728"/>
    <w:rsid w:val="00F40A5C"/>
    <w:rsid w:val="00F40CA2"/>
    <w:rsid w:val="00F40D6B"/>
    <w:rsid w:val="00F40EEF"/>
    <w:rsid w:val="00F41345"/>
    <w:rsid w:val="00F41A77"/>
    <w:rsid w:val="00F42182"/>
    <w:rsid w:val="00F43486"/>
    <w:rsid w:val="00F43C3D"/>
    <w:rsid w:val="00F43CB4"/>
    <w:rsid w:val="00F44058"/>
    <w:rsid w:val="00F44449"/>
    <w:rsid w:val="00F44590"/>
    <w:rsid w:val="00F44599"/>
    <w:rsid w:val="00F446A9"/>
    <w:rsid w:val="00F44BC3"/>
    <w:rsid w:val="00F4518E"/>
    <w:rsid w:val="00F454DB"/>
    <w:rsid w:val="00F461BA"/>
    <w:rsid w:val="00F467B9"/>
    <w:rsid w:val="00F46A00"/>
    <w:rsid w:val="00F46C0E"/>
    <w:rsid w:val="00F47DD2"/>
    <w:rsid w:val="00F51212"/>
    <w:rsid w:val="00F5141B"/>
    <w:rsid w:val="00F5184A"/>
    <w:rsid w:val="00F51BEA"/>
    <w:rsid w:val="00F52351"/>
    <w:rsid w:val="00F52C9C"/>
    <w:rsid w:val="00F53C81"/>
    <w:rsid w:val="00F53FE5"/>
    <w:rsid w:val="00F54888"/>
    <w:rsid w:val="00F54B52"/>
    <w:rsid w:val="00F54B62"/>
    <w:rsid w:val="00F54ED1"/>
    <w:rsid w:val="00F54F08"/>
    <w:rsid w:val="00F55E42"/>
    <w:rsid w:val="00F5604D"/>
    <w:rsid w:val="00F569AB"/>
    <w:rsid w:val="00F56F3A"/>
    <w:rsid w:val="00F57CA7"/>
    <w:rsid w:val="00F60A7E"/>
    <w:rsid w:val="00F6131E"/>
    <w:rsid w:val="00F613EE"/>
    <w:rsid w:val="00F616AA"/>
    <w:rsid w:val="00F61D33"/>
    <w:rsid w:val="00F62C27"/>
    <w:rsid w:val="00F63052"/>
    <w:rsid w:val="00F6324C"/>
    <w:rsid w:val="00F63459"/>
    <w:rsid w:val="00F6360B"/>
    <w:rsid w:val="00F6396B"/>
    <w:rsid w:val="00F6404B"/>
    <w:rsid w:val="00F64916"/>
    <w:rsid w:val="00F64D95"/>
    <w:rsid w:val="00F6522B"/>
    <w:rsid w:val="00F65F3A"/>
    <w:rsid w:val="00F66A6A"/>
    <w:rsid w:val="00F66E2C"/>
    <w:rsid w:val="00F66EC0"/>
    <w:rsid w:val="00F67139"/>
    <w:rsid w:val="00F672D9"/>
    <w:rsid w:val="00F67562"/>
    <w:rsid w:val="00F675DD"/>
    <w:rsid w:val="00F6761A"/>
    <w:rsid w:val="00F676F7"/>
    <w:rsid w:val="00F7046C"/>
    <w:rsid w:val="00F70A47"/>
    <w:rsid w:val="00F712B2"/>
    <w:rsid w:val="00F71368"/>
    <w:rsid w:val="00F71616"/>
    <w:rsid w:val="00F71C35"/>
    <w:rsid w:val="00F731ED"/>
    <w:rsid w:val="00F73221"/>
    <w:rsid w:val="00F7419A"/>
    <w:rsid w:val="00F74419"/>
    <w:rsid w:val="00F74526"/>
    <w:rsid w:val="00F7474B"/>
    <w:rsid w:val="00F74EB7"/>
    <w:rsid w:val="00F754FC"/>
    <w:rsid w:val="00F75D74"/>
    <w:rsid w:val="00F75D85"/>
    <w:rsid w:val="00F76E07"/>
    <w:rsid w:val="00F7764F"/>
    <w:rsid w:val="00F808B1"/>
    <w:rsid w:val="00F80BF5"/>
    <w:rsid w:val="00F8137F"/>
    <w:rsid w:val="00F815C4"/>
    <w:rsid w:val="00F8197C"/>
    <w:rsid w:val="00F82B2C"/>
    <w:rsid w:val="00F8318A"/>
    <w:rsid w:val="00F841B9"/>
    <w:rsid w:val="00F843BA"/>
    <w:rsid w:val="00F84B49"/>
    <w:rsid w:val="00F85BF0"/>
    <w:rsid w:val="00F8677E"/>
    <w:rsid w:val="00F86AE6"/>
    <w:rsid w:val="00F871AA"/>
    <w:rsid w:val="00F8745E"/>
    <w:rsid w:val="00F906FD"/>
    <w:rsid w:val="00F90B15"/>
    <w:rsid w:val="00F90CD3"/>
    <w:rsid w:val="00F90D0E"/>
    <w:rsid w:val="00F91437"/>
    <w:rsid w:val="00F9147D"/>
    <w:rsid w:val="00F92107"/>
    <w:rsid w:val="00F92B26"/>
    <w:rsid w:val="00F92D80"/>
    <w:rsid w:val="00F92F3C"/>
    <w:rsid w:val="00F93A41"/>
    <w:rsid w:val="00F93A79"/>
    <w:rsid w:val="00F93C6C"/>
    <w:rsid w:val="00F94A1C"/>
    <w:rsid w:val="00F94E65"/>
    <w:rsid w:val="00F9535B"/>
    <w:rsid w:val="00F95F7B"/>
    <w:rsid w:val="00F968FF"/>
    <w:rsid w:val="00F97451"/>
    <w:rsid w:val="00F974C1"/>
    <w:rsid w:val="00F9772F"/>
    <w:rsid w:val="00F97A98"/>
    <w:rsid w:val="00F97F72"/>
    <w:rsid w:val="00FA0959"/>
    <w:rsid w:val="00FA0DCB"/>
    <w:rsid w:val="00FA1AC6"/>
    <w:rsid w:val="00FA3582"/>
    <w:rsid w:val="00FA4018"/>
    <w:rsid w:val="00FA416E"/>
    <w:rsid w:val="00FA5658"/>
    <w:rsid w:val="00FA5722"/>
    <w:rsid w:val="00FA61F1"/>
    <w:rsid w:val="00FA6693"/>
    <w:rsid w:val="00FA68C1"/>
    <w:rsid w:val="00FA6A30"/>
    <w:rsid w:val="00FA6AE8"/>
    <w:rsid w:val="00FA7427"/>
    <w:rsid w:val="00FA7480"/>
    <w:rsid w:val="00FA7C61"/>
    <w:rsid w:val="00FA7C8C"/>
    <w:rsid w:val="00FB021B"/>
    <w:rsid w:val="00FB12D0"/>
    <w:rsid w:val="00FB1D14"/>
    <w:rsid w:val="00FB1D28"/>
    <w:rsid w:val="00FB2ECC"/>
    <w:rsid w:val="00FB3B12"/>
    <w:rsid w:val="00FB436F"/>
    <w:rsid w:val="00FB49B7"/>
    <w:rsid w:val="00FB4BC5"/>
    <w:rsid w:val="00FB4C1C"/>
    <w:rsid w:val="00FB5122"/>
    <w:rsid w:val="00FB5404"/>
    <w:rsid w:val="00FB5C1F"/>
    <w:rsid w:val="00FB68AB"/>
    <w:rsid w:val="00FB6D67"/>
    <w:rsid w:val="00FB6D97"/>
    <w:rsid w:val="00FB70E9"/>
    <w:rsid w:val="00FB7444"/>
    <w:rsid w:val="00FB7C63"/>
    <w:rsid w:val="00FC0362"/>
    <w:rsid w:val="00FC0495"/>
    <w:rsid w:val="00FC0E94"/>
    <w:rsid w:val="00FC1A04"/>
    <w:rsid w:val="00FC1B5D"/>
    <w:rsid w:val="00FC218F"/>
    <w:rsid w:val="00FC2879"/>
    <w:rsid w:val="00FC28C5"/>
    <w:rsid w:val="00FC2B0F"/>
    <w:rsid w:val="00FC2C02"/>
    <w:rsid w:val="00FC2C17"/>
    <w:rsid w:val="00FC4232"/>
    <w:rsid w:val="00FC4724"/>
    <w:rsid w:val="00FC493F"/>
    <w:rsid w:val="00FC52AA"/>
    <w:rsid w:val="00FC6811"/>
    <w:rsid w:val="00FC6D1C"/>
    <w:rsid w:val="00FC6DAA"/>
    <w:rsid w:val="00FC6E6E"/>
    <w:rsid w:val="00FC73CF"/>
    <w:rsid w:val="00FC75E8"/>
    <w:rsid w:val="00FC7D84"/>
    <w:rsid w:val="00FC7F0D"/>
    <w:rsid w:val="00FD02BF"/>
    <w:rsid w:val="00FD0C64"/>
    <w:rsid w:val="00FD0C9F"/>
    <w:rsid w:val="00FD116B"/>
    <w:rsid w:val="00FD1334"/>
    <w:rsid w:val="00FD1513"/>
    <w:rsid w:val="00FD1651"/>
    <w:rsid w:val="00FD200A"/>
    <w:rsid w:val="00FD289A"/>
    <w:rsid w:val="00FD3287"/>
    <w:rsid w:val="00FD3702"/>
    <w:rsid w:val="00FD3860"/>
    <w:rsid w:val="00FD386E"/>
    <w:rsid w:val="00FD38E9"/>
    <w:rsid w:val="00FD3A14"/>
    <w:rsid w:val="00FD4C59"/>
    <w:rsid w:val="00FD4DC3"/>
    <w:rsid w:val="00FD5CBB"/>
    <w:rsid w:val="00FD676D"/>
    <w:rsid w:val="00FD73A9"/>
    <w:rsid w:val="00FD74A0"/>
    <w:rsid w:val="00FD7A1D"/>
    <w:rsid w:val="00FD7F1B"/>
    <w:rsid w:val="00FD7FC6"/>
    <w:rsid w:val="00FD7FCE"/>
    <w:rsid w:val="00FE02AB"/>
    <w:rsid w:val="00FE0B3A"/>
    <w:rsid w:val="00FE19C0"/>
    <w:rsid w:val="00FE1B7C"/>
    <w:rsid w:val="00FE268A"/>
    <w:rsid w:val="00FE291D"/>
    <w:rsid w:val="00FE2D2B"/>
    <w:rsid w:val="00FE2E0E"/>
    <w:rsid w:val="00FE2EE0"/>
    <w:rsid w:val="00FE3CCB"/>
    <w:rsid w:val="00FE4032"/>
    <w:rsid w:val="00FE4171"/>
    <w:rsid w:val="00FE4321"/>
    <w:rsid w:val="00FE4611"/>
    <w:rsid w:val="00FE55B2"/>
    <w:rsid w:val="00FE5EDF"/>
    <w:rsid w:val="00FE64A8"/>
    <w:rsid w:val="00FE6773"/>
    <w:rsid w:val="00FE692A"/>
    <w:rsid w:val="00FE763F"/>
    <w:rsid w:val="00FF1328"/>
    <w:rsid w:val="00FF13E6"/>
    <w:rsid w:val="00FF1A82"/>
    <w:rsid w:val="00FF2803"/>
    <w:rsid w:val="00FF3130"/>
    <w:rsid w:val="00FF3F2B"/>
    <w:rsid w:val="00FF428D"/>
    <w:rsid w:val="00FF4715"/>
    <w:rsid w:val="00FF4979"/>
    <w:rsid w:val="00FF49D2"/>
    <w:rsid w:val="00FF4C31"/>
    <w:rsid w:val="00FF512B"/>
    <w:rsid w:val="00FF521D"/>
    <w:rsid w:val="00FF57D3"/>
    <w:rsid w:val="00FF5C77"/>
    <w:rsid w:val="00FF6084"/>
    <w:rsid w:val="00FF63AC"/>
    <w:rsid w:val="00FF68BF"/>
    <w:rsid w:val="00FF7037"/>
    <w:rsid w:val="00FF70BC"/>
    <w:rsid w:val="00FF7250"/>
    <w:rsid w:val="00FF79D5"/>
    <w:rsid w:val="00FF79E6"/>
    <w:rsid w:val="00FF7F41"/>
    <w:rsid w:val="0135BD2A"/>
    <w:rsid w:val="022E10EB"/>
    <w:rsid w:val="03DEC113"/>
    <w:rsid w:val="0502DBA5"/>
    <w:rsid w:val="060BF9AE"/>
    <w:rsid w:val="07C6C383"/>
    <w:rsid w:val="08119E66"/>
    <w:rsid w:val="09252924"/>
    <w:rsid w:val="09CDA8D9"/>
    <w:rsid w:val="09EBA7DE"/>
    <w:rsid w:val="0A427FBD"/>
    <w:rsid w:val="0C6212D5"/>
    <w:rsid w:val="0CF2C342"/>
    <w:rsid w:val="0D399897"/>
    <w:rsid w:val="1062D6E8"/>
    <w:rsid w:val="114EAC55"/>
    <w:rsid w:val="11F6B9C3"/>
    <w:rsid w:val="12426F48"/>
    <w:rsid w:val="1536480B"/>
    <w:rsid w:val="16D27A16"/>
    <w:rsid w:val="172102C5"/>
    <w:rsid w:val="172A364F"/>
    <w:rsid w:val="189E8F61"/>
    <w:rsid w:val="18C5D060"/>
    <w:rsid w:val="19B8CB2C"/>
    <w:rsid w:val="1A445C21"/>
    <w:rsid w:val="1ADC663E"/>
    <w:rsid w:val="1CA2ADDB"/>
    <w:rsid w:val="1DE61168"/>
    <w:rsid w:val="1E003AA2"/>
    <w:rsid w:val="1E597599"/>
    <w:rsid w:val="1E8F2CBD"/>
    <w:rsid w:val="1F6CBE11"/>
    <w:rsid w:val="1FE52B19"/>
    <w:rsid w:val="210BAD0A"/>
    <w:rsid w:val="21C28BC0"/>
    <w:rsid w:val="224C47B1"/>
    <w:rsid w:val="22EF65A9"/>
    <w:rsid w:val="23BA5F0A"/>
    <w:rsid w:val="24A3275D"/>
    <w:rsid w:val="24E2058C"/>
    <w:rsid w:val="25663547"/>
    <w:rsid w:val="2612E4DC"/>
    <w:rsid w:val="261B9119"/>
    <w:rsid w:val="261F18E5"/>
    <w:rsid w:val="28840C97"/>
    <w:rsid w:val="2C00EBF7"/>
    <w:rsid w:val="2D4D40F5"/>
    <w:rsid w:val="2E8102A9"/>
    <w:rsid w:val="2FC5FB2B"/>
    <w:rsid w:val="30DB35AB"/>
    <w:rsid w:val="34046EC0"/>
    <w:rsid w:val="34D44BA3"/>
    <w:rsid w:val="3585DA2E"/>
    <w:rsid w:val="37BE5C10"/>
    <w:rsid w:val="37D4E420"/>
    <w:rsid w:val="38A3E86B"/>
    <w:rsid w:val="390AB60E"/>
    <w:rsid w:val="3996409B"/>
    <w:rsid w:val="39F05F8B"/>
    <w:rsid w:val="3D90EC13"/>
    <w:rsid w:val="3D9228A9"/>
    <w:rsid w:val="3E7CC180"/>
    <w:rsid w:val="3EBEA8F3"/>
    <w:rsid w:val="425E44B9"/>
    <w:rsid w:val="495C6B4E"/>
    <w:rsid w:val="4B9EBCAF"/>
    <w:rsid w:val="4ED9246E"/>
    <w:rsid w:val="525B4026"/>
    <w:rsid w:val="52D10CE0"/>
    <w:rsid w:val="5356582C"/>
    <w:rsid w:val="53EECDC0"/>
    <w:rsid w:val="5463437C"/>
    <w:rsid w:val="553181B8"/>
    <w:rsid w:val="55E5EB80"/>
    <w:rsid w:val="567797BB"/>
    <w:rsid w:val="58F2ECA0"/>
    <w:rsid w:val="59C7FD6C"/>
    <w:rsid w:val="59D39FB3"/>
    <w:rsid w:val="5BACAC1B"/>
    <w:rsid w:val="5C6E7912"/>
    <w:rsid w:val="5DD00D49"/>
    <w:rsid w:val="5DD854B1"/>
    <w:rsid w:val="6042E137"/>
    <w:rsid w:val="62241A45"/>
    <w:rsid w:val="6235BB4D"/>
    <w:rsid w:val="62DA28D9"/>
    <w:rsid w:val="6516525A"/>
    <w:rsid w:val="6AED4459"/>
    <w:rsid w:val="6BAF37B1"/>
    <w:rsid w:val="6CAFBE6F"/>
    <w:rsid w:val="6E24D13D"/>
    <w:rsid w:val="6F540737"/>
    <w:rsid w:val="6F58681A"/>
    <w:rsid w:val="71E39A8B"/>
    <w:rsid w:val="762DC728"/>
    <w:rsid w:val="79D58413"/>
    <w:rsid w:val="7ACE7895"/>
    <w:rsid w:val="7B8519D1"/>
    <w:rsid w:val="7E6F12FB"/>
    <w:rsid w:val="7F4362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center;mso-position-horizontal-relative:margin;mso-position-vertical:center;mso-position-vertical-relative:margin" o:allowincell="f" fillcolor="silver" stroke="f">
      <v:fill color="silver" opacity=".5"/>
      <v:stroke on="f"/>
    </o:shapedefaults>
    <o:shapelayout v:ext="edit">
      <o:idmap v:ext="edit" data="1"/>
    </o:shapelayout>
  </w:shapeDefaults>
  <w:decimalSymbol w:val="."/>
  <w:listSeparator w:val=","/>
  <w14:docId w14:val="0B7335A3"/>
  <w15:docId w15:val="{DE4AC3B7-FE52-41F5-8361-AD460E5B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lsdException w:name="annotation text" w:semiHidden="1" w:unhideWhenUsed="1"/>
    <w:lsdException w:name="header" w:semiHidden="1" w:uiPriority="0" w:unhideWhenUsed="1"/>
    <w:lsdException w:name="footer" w:semiHidden="1" w:uiPriority="10" w:unhideWhenUsed="1"/>
    <w:lsdException w:name="index heading" w:semiHidden="1" w:unhideWhenUsed="1"/>
    <w:lsdException w:name="caption" w:semiHidden="1" w:uiPriority="7"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55"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semiHidden/>
    <w:rsid w:val="00DE7FA6"/>
    <w:pPr>
      <w:spacing w:after="120" w:line="280" w:lineRule="atLeast"/>
    </w:pPr>
    <w:rPr>
      <w:rFonts w:ascii="Calibri" w:hAnsi="Calibri"/>
    </w:rPr>
  </w:style>
  <w:style w:type="paragraph" w:styleId="Heading1">
    <w:name w:val="heading 1"/>
    <w:basedOn w:val="Normal"/>
    <w:next w:val="USBodyText"/>
    <w:link w:val="Heading1Char"/>
    <w:uiPriority w:val="9"/>
    <w:qFormat/>
    <w:rsid w:val="00087449"/>
    <w:pPr>
      <w:keepNext/>
      <w:keepLines/>
      <w:numPr>
        <w:numId w:val="9"/>
      </w:numPr>
      <w:pBdr>
        <w:bottom w:val="single" w:sz="12" w:space="4" w:color="0094C5"/>
      </w:pBdr>
      <w:spacing w:before="480" w:after="360" w:line="380" w:lineRule="atLeast"/>
      <w:outlineLvl w:val="0"/>
    </w:pPr>
    <w:rPr>
      <w:rFonts w:eastAsiaTheme="majorEastAsia" w:cstheme="majorBidi"/>
      <w:b/>
      <w:color w:val="0094C5"/>
      <w:sz w:val="32"/>
      <w:szCs w:val="32"/>
    </w:rPr>
  </w:style>
  <w:style w:type="paragraph" w:styleId="Heading2">
    <w:name w:val="heading 2"/>
    <w:basedOn w:val="Normal"/>
    <w:next w:val="USBodyText"/>
    <w:link w:val="Heading2Char"/>
    <w:uiPriority w:val="12"/>
    <w:qFormat/>
    <w:rsid w:val="00087449"/>
    <w:pPr>
      <w:keepNext/>
      <w:keepLines/>
      <w:numPr>
        <w:ilvl w:val="1"/>
        <w:numId w:val="9"/>
      </w:numPr>
      <w:spacing w:before="360" w:after="80" w:line="320" w:lineRule="atLeast"/>
      <w:outlineLvl w:val="1"/>
    </w:pPr>
    <w:rPr>
      <w:rFonts w:eastAsiaTheme="majorEastAsia" w:cstheme="majorBidi"/>
      <w:b/>
      <w:color w:val="0094C5" w:themeColor="accent1"/>
      <w:sz w:val="26"/>
      <w:szCs w:val="26"/>
    </w:rPr>
  </w:style>
  <w:style w:type="paragraph" w:styleId="Heading3">
    <w:name w:val="heading 3"/>
    <w:basedOn w:val="Normal"/>
    <w:next w:val="USBodyText"/>
    <w:link w:val="Heading3Char"/>
    <w:autoRedefine/>
    <w:uiPriority w:val="12"/>
    <w:qFormat/>
    <w:rsid w:val="0005646B"/>
    <w:pPr>
      <w:keepNext/>
      <w:keepLines/>
      <w:numPr>
        <w:ilvl w:val="2"/>
        <w:numId w:val="9"/>
      </w:numPr>
      <w:tabs>
        <w:tab w:val="clear" w:pos="1561"/>
        <w:tab w:val="left" w:pos="1701"/>
        <w:tab w:val="num" w:pos="2978"/>
      </w:tabs>
      <w:spacing w:before="260" w:line="300" w:lineRule="atLeast"/>
      <w:ind w:left="2978" w:hanging="2127"/>
      <w:outlineLvl w:val="2"/>
    </w:pPr>
    <w:rPr>
      <w:rFonts w:eastAsiaTheme="majorEastAsia" w:cstheme="majorBidi"/>
      <w:b/>
      <w:color w:val="0094C5" w:themeColor="accent1"/>
      <w:sz w:val="24"/>
      <w:szCs w:val="24"/>
    </w:rPr>
  </w:style>
  <w:style w:type="paragraph" w:styleId="Heading4">
    <w:name w:val="heading 4"/>
    <w:basedOn w:val="Normal"/>
    <w:next w:val="USBodyText"/>
    <w:link w:val="Heading4Char"/>
    <w:uiPriority w:val="12"/>
    <w:qFormat/>
    <w:rsid w:val="007B14FD"/>
    <w:pPr>
      <w:keepNext/>
      <w:keepLines/>
      <w:spacing w:before="200" w:after="40" w:line="300" w:lineRule="atLeast"/>
      <w:ind w:left="851"/>
      <w:outlineLvl w:val="3"/>
    </w:pPr>
    <w:rPr>
      <w:rFonts w:eastAsiaTheme="majorEastAsia" w:cstheme="majorBidi"/>
      <w:b/>
      <w:iCs/>
      <w:color w:val="0094C5" w:themeColor="accent1"/>
      <w:sz w:val="24"/>
    </w:rPr>
  </w:style>
  <w:style w:type="paragraph" w:styleId="Heading5">
    <w:name w:val="heading 5"/>
    <w:basedOn w:val="Normal"/>
    <w:next w:val="USBodyText"/>
    <w:link w:val="Heading5Char"/>
    <w:uiPriority w:val="12"/>
    <w:qFormat/>
    <w:rsid w:val="007B14FD"/>
    <w:pPr>
      <w:keepNext/>
      <w:keepLines/>
      <w:spacing w:before="160" w:after="0" w:line="300" w:lineRule="atLeast"/>
      <w:ind w:left="851"/>
      <w:outlineLvl w:val="4"/>
    </w:pPr>
    <w:rPr>
      <w:rFonts w:eastAsiaTheme="majorEastAsia" w:cstheme="majorBidi"/>
      <w:b/>
      <w:color w:val="30353F"/>
    </w:rPr>
  </w:style>
  <w:style w:type="paragraph" w:styleId="Heading6">
    <w:name w:val="heading 6"/>
    <w:basedOn w:val="Normal"/>
    <w:next w:val="Normal"/>
    <w:link w:val="Heading6Char"/>
    <w:uiPriority w:val="12"/>
    <w:semiHidden/>
    <w:qFormat/>
    <w:rsid w:val="000A425B"/>
    <w:pPr>
      <w:keepNext/>
      <w:keepLines/>
      <w:spacing w:before="40" w:after="0"/>
      <w:outlineLvl w:val="5"/>
    </w:pPr>
    <w:rPr>
      <w:rFonts w:asciiTheme="majorHAnsi" w:eastAsiaTheme="majorEastAsia" w:hAnsiTheme="majorHAnsi" w:cstheme="majorBidi"/>
      <w:color w:val="004962" w:themeColor="accent1" w:themeShade="7F"/>
    </w:rPr>
  </w:style>
  <w:style w:type="paragraph" w:styleId="Heading7">
    <w:name w:val="heading 7"/>
    <w:basedOn w:val="Normal"/>
    <w:next w:val="Normal"/>
    <w:link w:val="Heading7Char"/>
    <w:uiPriority w:val="12"/>
    <w:semiHidden/>
    <w:qFormat/>
    <w:rsid w:val="000A425B"/>
    <w:pPr>
      <w:keepNext/>
      <w:keepLines/>
      <w:spacing w:before="40" w:after="0"/>
      <w:outlineLvl w:val="6"/>
    </w:pPr>
    <w:rPr>
      <w:rFonts w:asciiTheme="majorHAnsi" w:eastAsiaTheme="majorEastAsia" w:hAnsiTheme="majorHAnsi" w:cstheme="majorBidi"/>
      <w:i/>
      <w:iCs/>
      <w:color w:val="004962" w:themeColor="accent1" w:themeShade="7F"/>
    </w:rPr>
  </w:style>
  <w:style w:type="paragraph" w:styleId="Heading8">
    <w:name w:val="heading 8"/>
    <w:basedOn w:val="Normal"/>
    <w:next w:val="Normal"/>
    <w:link w:val="Heading8Char"/>
    <w:uiPriority w:val="12"/>
    <w:semiHidden/>
    <w:unhideWhenUsed/>
    <w:qFormat/>
    <w:rsid w:val="000A425B"/>
    <w:pPr>
      <w:keepNext/>
      <w:keepLines/>
      <w:spacing w:before="40" w:after="0"/>
      <w:outlineLvl w:val="7"/>
    </w:pPr>
    <w:rPr>
      <w:rFonts w:asciiTheme="majorHAnsi" w:eastAsiaTheme="majorEastAsia" w:hAnsiTheme="majorHAnsi" w:cstheme="majorBidi"/>
      <w:color w:val="4A5261" w:themeColor="text1" w:themeTint="D8"/>
      <w:sz w:val="21"/>
      <w:szCs w:val="21"/>
    </w:rPr>
  </w:style>
  <w:style w:type="paragraph" w:styleId="Heading9">
    <w:name w:val="heading 9"/>
    <w:basedOn w:val="Normal"/>
    <w:next w:val="Normal"/>
    <w:link w:val="Heading9Char"/>
    <w:uiPriority w:val="12"/>
    <w:semiHidden/>
    <w:unhideWhenUsed/>
    <w:qFormat/>
    <w:rsid w:val="000A425B"/>
    <w:pPr>
      <w:keepNext/>
      <w:keepLines/>
      <w:spacing w:before="40" w:after="0"/>
      <w:outlineLvl w:val="8"/>
    </w:pPr>
    <w:rPr>
      <w:rFonts w:asciiTheme="majorHAnsi" w:eastAsiaTheme="majorEastAsia" w:hAnsiTheme="majorHAnsi" w:cstheme="majorBidi"/>
      <w:i/>
      <w:iCs/>
      <w:color w:val="4A52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USBodyText"/>
    <w:link w:val="HeaderChar"/>
    <w:semiHidden/>
    <w:rsid w:val="00423754"/>
    <w:pPr>
      <w:spacing w:after="0" w:line="240" w:lineRule="auto"/>
      <w:ind w:left="0"/>
      <w:jc w:val="right"/>
    </w:pPr>
  </w:style>
  <w:style w:type="character" w:customStyle="1" w:styleId="HeaderChar">
    <w:name w:val="Header Char"/>
    <w:basedOn w:val="DefaultParagraphFont"/>
    <w:link w:val="Header"/>
    <w:semiHidden/>
    <w:rsid w:val="00767A30"/>
    <w:rPr>
      <w:rFonts w:ascii="Calibri" w:hAnsi="Calibri"/>
    </w:rPr>
  </w:style>
  <w:style w:type="paragraph" w:styleId="Footer">
    <w:name w:val="footer"/>
    <w:basedOn w:val="Normal"/>
    <w:link w:val="FooterChar"/>
    <w:uiPriority w:val="47"/>
    <w:rsid w:val="00C84B04"/>
    <w:pPr>
      <w:spacing w:after="0" w:line="240" w:lineRule="auto"/>
      <w:jc w:val="right"/>
    </w:pPr>
    <w:rPr>
      <w:color w:val="595959"/>
      <w:sz w:val="20"/>
    </w:rPr>
  </w:style>
  <w:style w:type="character" w:customStyle="1" w:styleId="FooterChar">
    <w:name w:val="Footer Char"/>
    <w:basedOn w:val="DefaultParagraphFont"/>
    <w:link w:val="Footer"/>
    <w:uiPriority w:val="47"/>
    <w:rsid w:val="005B31F9"/>
    <w:rPr>
      <w:rFonts w:ascii="Calibri" w:hAnsi="Calibri"/>
      <w:color w:val="595959"/>
      <w:sz w:val="20"/>
    </w:rPr>
  </w:style>
  <w:style w:type="table" w:styleId="TableGrid">
    <w:name w:val="Table Grid"/>
    <w:basedOn w:val="TableNormal"/>
    <w:uiPriority w:val="39"/>
    <w:rsid w:val="00916CFA"/>
    <w:pPr>
      <w:spacing w:after="0" w:line="240" w:lineRule="auto"/>
    </w:p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BB4E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C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C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C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C5" w:themeFill="accent1"/>
      </w:tcPr>
    </w:tblStylePr>
    <w:tblStylePr w:type="band1Vert">
      <w:tblPr/>
      <w:tcPr>
        <w:shd w:val="clear" w:color="auto" w:fill="81DFFF" w:themeFill="accent1" w:themeFillTint="66"/>
      </w:tcPr>
    </w:tblStylePr>
    <w:tblStylePr w:type="band1Horz">
      <w:tblPr/>
      <w:tcPr>
        <w:shd w:val="clear" w:color="auto" w:fill="81DFFF" w:themeFill="accent1" w:themeFillTint="66"/>
      </w:tcPr>
    </w:tblStylePr>
  </w:style>
  <w:style w:type="character" w:customStyle="1" w:styleId="Heading1Char">
    <w:name w:val="Heading 1 Char"/>
    <w:basedOn w:val="DefaultParagraphFont"/>
    <w:link w:val="Heading1"/>
    <w:uiPriority w:val="9"/>
    <w:rsid w:val="006D0BF3"/>
    <w:rPr>
      <w:rFonts w:ascii="Calibri" w:eastAsiaTheme="majorEastAsia" w:hAnsi="Calibri" w:cstheme="majorBidi"/>
      <w:b/>
      <w:color w:val="0094C5"/>
      <w:sz w:val="32"/>
      <w:szCs w:val="32"/>
    </w:rPr>
  </w:style>
  <w:style w:type="paragraph" w:customStyle="1" w:styleId="Heading1Letter">
    <w:name w:val="Heading 1 Letter"/>
    <w:basedOn w:val="Normal"/>
    <w:next w:val="USBodyText"/>
    <w:uiPriority w:val="14"/>
    <w:semiHidden/>
    <w:rsid w:val="00DC582A"/>
    <w:pPr>
      <w:keepNext/>
      <w:keepLines/>
      <w:spacing w:before="200" w:after="40" w:line="300" w:lineRule="atLeast"/>
    </w:pPr>
    <w:rPr>
      <w:b/>
      <w:color w:val="0094C5" w:themeColor="accent1"/>
      <w:sz w:val="24"/>
    </w:rPr>
  </w:style>
  <w:style w:type="paragraph" w:customStyle="1" w:styleId="Heading2Letter">
    <w:name w:val="Heading 2 Letter"/>
    <w:basedOn w:val="Normal"/>
    <w:next w:val="USBodyText"/>
    <w:uiPriority w:val="14"/>
    <w:semiHidden/>
    <w:rsid w:val="00DC582A"/>
    <w:pPr>
      <w:keepNext/>
      <w:keepLines/>
      <w:spacing w:before="160" w:after="20" w:line="300" w:lineRule="atLeast"/>
    </w:pPr>
    <w:rPr>
      <w:b/>
      <w:color w:val="30353F"/>
      <w:sz w:val="24"/>
    </w:rPr>
  </w:style>
  <w:style w:type="paragraph" w:customStyle="1" w:styleId="HeadingSubjectLetter">
    <w:name w:val="Heading Subject Letter"/>
    <w:basedOn w:val="Normal"/>
    <w:next w:val="USBodyText"/>
    <w:uiPriority w:val="14"/>
    <w:semiHidden/>
    <w:rsid w:val="00DC582A"/>
    <w:pPr>
      <w:keepNext/>
      <w:keepLines/>
      <w:spacing w:before="160" w:after="80" w:line="320" w:lineRule="atLeast"/>
    </w:pPr>
    <w:rPr>
      <w:b/>
      <w:color w:val="0094C5" w:themeColor="accent1"/>
      <w:sz w:val="26"/>
    </w:rPr>
  </w:style>
  <w:style w:type="character" w:styleId="PlaceholderText">
    <w:name w:val="Placeholder Text"/>
    <w:basedOn w:val="DefaultParagraphFont"/>
    <w:uiPriority w:val="99"/>
    <w:semiHidden/>
    <w:rsid w:val="006D158B"/>
    <w:rPr>
      <w:color w:val="808080"/>
    </w:rPr>
  </w:style>
  <w:style w:type="paragraph" w:customStyle="1" w:styleId="USBodyText">
    <w:name w:val="US Body Text"/>
    <w:basedOn w:val="Normal"/>
    <w:uiPriority w:val="15"/>
    <w:qFormat/>
    <w:rsid w:val="00C351CC"/>
    <w:pPr>
      <w:ind w:left="851"/>
    </w:pPr>
  </w:style>
  <w:style w:type="paragraph" w:customStyle="1" w:styleId="USBullet1">
    <w:name w:val="US Bullet 1"/>
    <w:basedOn w:val="Normal"/>
    <w:uiPriority w:val="16"/>
    <w:qFormat/>
    <w:rsid w:val="006D158B"/>
    <w:pPr>
      <w:numPr>
        <w:numId w:val="1"/>
      </w:numPr>
    </w:pPr>
  </w:style>
  <w:style w:type="paragraph" w:customStyle="1" w:styleId="USBullet2">
    <w:name w:val="US Bullet 2"/>
    <w:basedOn w:val="Normal"/>
    <w:uiPriority w:val="16"/>
    <w:rsid w:val="00D97611"/>
    <w:pPr>
      <w:numPr>
        <w:ilvl w:val="1"/>
        <w:numId w:val="1"/>
      </w:numPr>
    </w:pPr>
  </w:style>
  <w:style w:type="paragraph" w:customStyle="1" w:styleId="USBullet3">
    <w:name w:val="US Bullet 3"/>
    <w:basedOn w:val="Normal"/>
    <w:uiPriority w:val="16"/>
    <w:rsid w:val="006D158B"/>
    <w:pPr>
      <w:numPr>
        <w:ilvl w:val="2"/>
        <w:numId w:val="1"/>
      </w:numPr>
    </w:pPr>
  </w:style>
  <w:style w:type="paragraph" w:customStyle="1" w:styleId="USMixedB2">
    <w:name w:val="US Mixed B2"/>
    <w:basedOn w:val="Normal"/>
    <w:uiPriority w:val="16"/>
    <w:semiHidden/>
    <w:rsid w:val="006D158B"/>
    <w:pPr>
      <w:numPr>
        <w:numId w:val="2"/>
      </w:numPr>
    </w:pPr>
  </w:style>
  <w:style w:type="paragraph" w:customStyle="1" w:styleId="USMixedB3">
    <w:name w:val="US Mixed B3"/>
    <w:basedOn w:val="Normal"/>
    <w:uiPriority w:val="16"/>
    <w:semiHidden/>
    <w:rsid w:val="006D158B"/>
    <w:pPr>
      <w:numPr>
        <w:ilvl w:val="1"/>
        <w:numId w:val="2"/>
      </w:numPr>
    </w:pPr>
  </w:style>
  <w:style w:type="paragraph" w:customStyle="1" w:styleId="USNumber1">
    <w:name w:val="US Number 1"/>
    <w:basedOn w:val="Normal"/>
    <w:uiPriority w:val="16"/>
    <w:qFormat/>
    <w:rsid w:val="006D158B"/>
    <w:pPr>
      <w:numPr>
        <w:numId w:val="3"/>
      </w:numPr>
    </w:pPr>
  </w:style>
  <w:style w:type="paragraph" w:customStyle="1" w:styleId="USNumbera">
    <w:name w:val="US Number a"/>
    <w:basedOn w:val="Normal"/>
    <w:uiPriority w:val="16"/>
    <w:rsid w:val="006D158B"/>
    <w:pPr>
      <w:numPr>
        <w:ilvl w:val="1"/>
        <w:numId w:val="3"/>
      </w:numPr>
    </w:pPr>
  </w:style>
  <w:style w:type="paragraph" w:customStyle="1" w:styleId="USNumberi">
    <w:name w:val="US Number i"/>
    <w:basedOn w:val="Normal"/>
    <w:uiPriority w:val="16"/>
    <w:rsid w:val="006D158B"/>
    <w:pPr>
      <w:numPr>
        <w:ilvl w:val="2"/>
        <w:numId w:val="3"/>
      </w:numPr>
    </w:pPr>
  </w:style>
  <w:style w:type="paragraph" w:customStyle="1" w:styleId="USIndent1">
    <w:name w:val="US Indent 1"/>
    <w:basedOn w:val="Normal"/>
    <w:uiPriority w:val="17"/>
    <w:qFormat/>
    <w:rsid w:val="00C7648A"/>
    <w:pPr>
      <w:ind w:left="1276"/>
    </w:pPr>
  </w:style>
  <w:style w:type="paragraph" w:customStyle="1" w:styleId="USIndent2">
    <w:name w:val="US Indent 2"/>
    <w:basedOn w:val="Normal"/>
    <w:uiPriority w:val="17"/>
    <w:rsid w:val="00273D60"/>
    <w:pPr>
      <w:ind w:left="1701"/>
    </w:pPr>
  </w:style>
  <w:style w:type="paragraph" w:customStyle="1" w:styleId="USIndent3">
    <w:name w:val="US Indent 3"/>
    <w:basedOn w:val="Normal"/>
    <w:uiPriority w:val="17"/>
    <w:rsid w:val="00273D60"/>
    <w:pPr>
      <w:ind w:left="2126"/>
    </w:pPr>
  </w:style>
  <w:style w:type="paragraph" w:customStyle="1" w:styleId="Quotation">
    <w:name w:val="Quotation"/>
    <w:basedOn w:val="Normal"/>
    <w:uiPriority w:val="18"/>
    <w:rsid w:val="008B544F"/>
    <w:pPr>
      <w:spacing w:before="120"/>
      <w:ind w:left="1276" w:right="425"/>
    </w:pPr>
    <w:rPr>
      <w:i/>
      <w:color w:val="30353F"/>
    </w:rPr>
  </w:style>
  <w:style w:type="character" w:customStyle="1" w:styleId="Heading2Char">
    <w:name w:val="Heading 2 Char"/>
    <w:basedOn w:val="DefaultParagraphFont"/>
    <w:link w:val="Heading2"/>
    <w:uiPriority w:val="12"/>
    <w:rsid w:val="006D0BF3"/>
    <w:rPr>
      <w:rFonts w:ascii="Calibri" w:eastAsiaTheme="majorEastAsia" w:hAnsi="Calibri" w:cstheme="majorBidi"/>
      <w:b/>
      <w:color w:val="0094C5" w:themeColor="accent1"/>
      <w:sz w:val="26"/>
      <w:szCs w:val="26"/>
    </w:rPr>
  </w:style>
  <w:style w:type="paragraph" w:customStyle="1" w:styleId="USSingleSpacedParagraph">
    <w:name w:val="US Single Spaced Paragraph"/>
    <w:basedOn w:val="USBodyText"/>
    <w:uiPriority w:val="15"/>
    <w:rsid w:val="00273D60"/>
    <w:pPr>
      <w:spacing w:after="0"/>
    </w:pPr>
  </w:style>
  <w:style w:type="character" w:customStyle="1" w:styleId="Heading3Char">
    <w:name w:val="Heading 3 Char"/>
    <w:basedOn w:val="DefaultParagraphFont"/>
    <w:link w:val="Heading3"/>
    <w:uiPriority w:val="12"/>
    <w:rsid w:val="0005646B"/>
    <w:rPr>
      <w:rFonts w:ascii="Calibri" w:eastAsiaTheme="majorEastAsia" w:hAnsi="Calibri" w:cstheme="majorBidi"/>
      <w:b/>
      <w:color w:val="0094C5" w:themeColor="accent1"/>
      <w:sz w:val="24"/>
      <w:szCs w:val="24"/>
    </w:rPr>
  </w:style>
  <w:style w:type="character" w:customStyle="1" w:styleId="Heading4Char">
    <w:name w:val="Heading 4 Char"/>
    <w:basedOn w:val="DefaultParagraphFont"/>
    <w:link w:val="Heading4"/>
    <w:uiPriority w:val="12"/>
    <w:rsid w:val="007B14FD"/>
    <w:rPr>
      <w:rFonts w:ascii="Calibri" w:eastAsiaTheme="majorEastAsia" w:hAnsi="Calibri" w:cstheme="majorBidi"/>
      <w:b/>
      <w:iCs/>
      <w:color w:val="0094C5" w:themeColor="accent1"/>
      <w:sz w:val="24"/>
    </w:rPr>
  </w:style>
  <w:style w:type="character" w:customStyle="1" w:styleId="Heading5Char">
    <w:name w:val="Heading 5 Char"/>
    <w:basedOn w:val="DefaultParagraphFont"/>
    <w:link w:val="Heading5"/>
    <w:uiPriority w:val="12"/>
    <w:rsid w:val="007B14FD"/>
    <w:rPr>
      <w:rFonts w:ascii="Calibri" w:eastAsiaTheme="majorEastAsia" w:hAnsi="Calibri" w:cstheme="majorBidi"/>
      <w:b/>
      <w:color w:val="30353F"/>
    </w:rPr>
  </w:style>
  <w:style w:type="paragraph" w:styleId="FootnoteText">
    <w:name w:val="footnote text"/>
    <w:basedOn w:val="Normal"/>
    <w:link w:val="FootnoteTextChar"/>
    <w:uiPriority w:val="40"/>
    <w:rsid w:val="00534AC9"/>
    <w:pPr>
      <w:tabs>
        <w:tab w:val="left" w:pos="425"/>
      </w:tabs>
      <w:spacing w:after="57" w:line="170" w:lineRule="atLeast"/>
      <w:ind w:left="425" w:hanging="425"/>
    </w:pPr>
    <w:rPr>
      <w:sz w:val="16"/>
      <w:szCs w:val="20"/>
    </w:rPr>
  </w:style>
  <w:style w:type="character" w:customStyle="1" w:styleId="FootnoteTextChar">
    <w:name w:val="Footnote Text Char"/>
    <w:basedOn w:val="DefaultParagraphFont"/>
    <w:link w:val="FootnoteText"/>
    <w:uiPriority w:val="40"/>
    <w:rsid w:val="006D0BF3"/>
    <w:rPr>
      <w:rFonts w:ascii="Calibri" w:hAnsi="Calibri"/>
      <w:sz w:val="16"/>
      <w:szCs w:val="20"/>
    </w:rPr>
  </w:style>
  <w:style w:type="character" w:styleId="FootnoteReference">
    <w:name w:val="footnote reference"/>
    <w:basedOn w:val="DefaultParagraphFont"/>
    <w:uiPriority w:val="99"/>
    <w:unhideWhenUsed/>
    <w:rsid w:val="00834343"/>
    <w:rPr>
      <w:vertAlign w:val="superscript"/>
    </w:rPr>
  </w:style>
  <w:style w:type="table" w:customStyle="1" w:styleId="TableDefault">
    <w:name w:val="Table Default"/>
    <w:basedOn w:val="TableNormal"/>
    <w:uiPriority w:val="99"/>
    <w:rsid w:val="00F40CA2"/>
    <w:pPr>
      <w:spacing w:after="0" w:line="240" w:lineRule="auto"/>
    </w:pPr>
    <w:tblPr>
      <w:tblStyleRowBandSize w:val="1"/>
      <w:tblStyleColBandSize w:val="1"/>
      <w:tblInd w:w="851" w:type="dxa"/>
      <w:tblBorders>
        <w:top w:val="single" w:sz="6" w:space="0" w:color="0094C5" w:themeColor="accent1"/>
        <w:bottom w:val="single" w:sz="6" w:space="0" w:color="0094C5" w:themeColor="accent1"/>
        <w:insideH w:val="single" w:sz="6" w:space="0" w:color="0094C5" w:themeColor="accent1"/>
      </w:tblBorders>
    </w:tblPr>
    <w:tblStylePr w:type="firstRow">
      <w:tblPr/>
      <w:trPr>
        <w:tblHeader/>
      </w:trPr>
      <w:tcPr>
        <w:shd w:val="clear" w:color="auto" w:fill="0094C5" w:themeFill="accent1"/>
      </w:tcPr>
    </w:tblStylePr>
    <w:tblStylePr w:type="lastRow">
      <w:tblPr/>
      <w:tcPr>
        <w:tcBorders>
          <w:top w:val="nil"/>
          <w:left w:val="nil"/>
          <w:bottom w:val="single" w:sz="12" w:space="0" w:color="0094C5"/>
          <w:right w:val="nil"/>
          <w:insideH w:val="nil"/>
          <w:insideV w:val="nil"/>
          <w:tl2br w:val="nil"/>
          <w:tr2bl w:val="nil"/>
        </w:tcBorders>
      </w:tcPr>
    </w:tblStylePr>
    <w:tblStylePr w:type="band2Horz">
      <w:tblPr/>
      <w:tcPr>
        <w:shd w:val="clear" w:color="auto" w:fill="EEECF0"/>
      </w:tcPr>
    </w:tblStylePr>
  </w:style>
  <w:style w:type="paragraph" w:styleId="Caption">
    <w:name w:val="caption"/>
    <w:basedOn w:val="Normal"/>
    <w:next w:val="USBodyText"/>
    <w:uiPriority w:val="33"/>
    <w:semiHidden/>
    <w:rsid w:val="00E01501"/>
    <w:pPr>
      <w:keepNext/>
      <w:tabs>
        <w:tab w:val="left" w:pos="851"/>
      </w:tabs>
      <w:spacing w:before="360" w:after="0" w:line="300" w:lineRule="atLeast"/>
      <w:ind w:left="1900" w:hanging="1049"/>
    </w:pPr>
    <w:rPr>
      <w:b/>
      <w:iCs/>
      <w:color w:val="0094C5"/>
      <w:sz w:val="24"/>
      <w:szCs w:val="18"/>
    </w:rPr>
  </w:style>
  <w:style w:type="paragraph" w:customStyle="1" w:styleId="TSTableNormal1">
    <w:name w:val="TS Table Normal1"/>
    <w:basedOn w:val="Normal"/>
    <w:uiPriority w:val="49"/>
    <w:semiHidden/>
    <w:rsid w:val="005B31F9"/>
    <w:pPr>
      <w:spacing w:before="60" w:after="60" w:line="220" w:lineRule="atLeast"/>
    </w:pPr>
    <w:rPr>
      <w:sz w:val="18"/>
    </w:rPr>
  </w:style>
  <w:style w:type="paragraph" w:customStyle="1" w:styleId="TSTableHeadingWhite-TopRow">
    <w:name w:val="TS Table Heading White - Top Row"/>
    <w:basedOn w:val="TSTableNormal1"/>
    <w:uiPriority w:val="41"/>
    <w:rsid w:val="00E85056"/>
    <w:pPr>
      <w:keepNext/>
      <w:keepLines/>
      <w:spacing w:before="80" w:after="80"/>
    </w:pPr>
    <w:rPr>
      <w:b/>
      <w:color w:val="FFFFFF"/>
    </w:rPr>
  </w:style>
  <w:style w:type="paragraph" w:customStyle="1" w:styleId="TSBodyText">
    <w:name w:val="TS Body Text"/>
    <w:basedOn w:val="TSTableNormal1"/>
    <w:uiPriority w:val="42"/>
    <w:rsid w:val="00E457E0"/>
  </w:style>
  <w:style w:type="paragraph" w:customStyle="1" w:styleId="TSTextBodyText">
    <w:name w:val="TS Text (Body Text)"/>
    <w:basedOn w:val="TSTableNormal1"/>
    <w:uiPriority w:val="39"/>
    <w:semiHidden/>
    <w:rsid w:val="00CB496D"/>
    <w:pPr>
      <w:keepNext/>
    </w:pPr>
  </w:style>
  <w:style w:type="paragraph" w:customStyle="1" w:styleId="TSNumber1">
    <w:name w:val="TS Number 1"/>
    <w:basedOn w:val="TSTableNormal1"/>
    <w:uiPriority w:val="43"/>
    <w:rsid w:val="00DA2CC5"/>
    <w:pPr>
      <w:numPr>
        <w:numId w:val="8"/>
      </w:numPr>
    </w:pPr>
  </w:style>
  <w:style w:type="paragraph" w:customStyle="1" w:styleId="TSNumbera">
    <w:name w:val="TS Number a"/>
    <w:basedOn w:val="TSTableNormal1"/>
    <w:uiPriority w:val="43"/>
    <w:rsid w:val="00DA2CC5"/>
    <w:pPr>
      <w:numPr>
        <w:ilvl w:val="1"/>
        <w:numId w:val="8"/>
      </w:numPr>
      <w:tabs>
        <w:tab w:val="left" w:pos="425"/>
      </w:tabs>
      <w:ind w:left="430" w:hanging="215"/>
    </w:pPr>
  </w:style>
  <w:style w:type="paragraph" w:customStyle="1" w:styleId="TSNumberi">
    <w:name w:val="TS Number i"/>
    <w:basedOn w:val="TSTableNormal1"/>
    <w:uiPriority w:val="43"/>
    <w:rsid w:val="00DA2CC5"/>
    <w:pPr>
      <w:numPr>
        <w:ilvl w:val="2"/>
        <w:numId w:val="8"/>
      </w:numPr>
      <w:tabs>
        <w:tab w:val="left" w:pos="641"/>
      </w:tabs>
      <w:ind w:left="640" w:hanging="215"/>
    </w:pPr>
  </w:style>
  <w:style w:type="paragraph" w:customStyle="1" w:styleId="TSIndent1">
    <w:name w:val="TS Indent 1"/>
    <w:basedOn w:val="TSTableNormal1"/>
    <w:uiPriority w:val="43"/>
    <w:rsid w:val="00E85056"/>
    <w:pPr>
      <w:ind w:left="215"/>
    </w:pPr>
  </w:style>
  <w:style w:type="paragraph" w:customStyle="1" w:styleId="TSIndent2">
    <w:name w:val="TS Indent 2"/>
    <w:basedOn w:val="TSTableNormal1"/>
    <w:uiPriority w:val="43"/>
    <w:rsid w:val="00E85056"/>
    <w:pPr>
      <w:ind w:left="425"/>
    </w:pPr>
  </w:style>
  <w:style w:type="paragraph" w:customStyle="1" w:styleId="TSIndent3">
    <w:name w:val="TS Indent 3"/>
    <w:basedOn w:val="TSTableNormal1"/>
    <w:uiPriority w:val="43"/>
    <w:rsid w:val="00E85056"/>
    <w:pPr>
      <w:ind w:left="641"/>
    </w:pPr>
  </w:style>
  <w:style w:type="paragraph" w:customStyle="1" w:styleId="USWhiteSpace">
    <w:name w:val="US White Space"/>
    <w:basedOn w:val="Normal"/>
    <w:uiPriority w:val="45"/>
    <w:rsid w:val="00A16BDB"/>
    <w:pPr>
      <w:spacing w:after="0" w:line="240" w:lineRule="auto"/>
      <w:ind w:left="851"/>
    </w:pPr>
    <w:rPr>
      <w:sz w:val="12"/>
    </w:rPr>
  </w:style>
  <w:style w:type="paragraph" w:customStyle="1" w:styleId="TSBodyHeading">
    <w:name w:val="TS Body Heading"/>
    <w:basedOn w:val="TSBodyText"/>
    <w:next w:val="TSTextBodyText"/>
    <w:uiPriority w:val="42"/>
    <w:rsid w:val="005B31F9"/>
    <w:pPr>
      <w:spacing w:before="120" w:after="0"/>
    </w:pPr>
    <w:rPr>
      <w:b/>
    </w:rPr>
  </w:style>
  <w:style w:type="paragraph" w:customStyle="1" w:styleId="TSMixedB2">
    <w:name w:val="TS Mixed B2"/>
    <w:basedOn w:val="TSTableNormal1"/>
    <w:uiPriority w:val="43"/>
    <w:semiHidden/>
    <w:rsid w:val="00A365B0"/>
    <w:pPr>
      <w:numPr>
        <w:numId w:val="7"/>
      </w:numPr>
    </w:pPr>
  </w:style>
  <w:style w:type="paragraph" w:customStyle="1" w:styleId="TSMixedB3">
    <w:name w:val="TS Mixed B3"/>
    <w:basedOn w:val="TSTableNormal1"/>
    <w:uiPriority w:val="43"/>
    <w:semiHidden/>
    <w:rsid w:val="009D78B4"/>
    <w:pPr>
      <w:numPr>
        <w:ilvl w:val="1"/>
        <w:numId w:val="7"/>
      </w:numPr>
      <w:ind w:left="640" w:hanging="215"/>
    </w:pPr>
  </w:style>
  <w:style w:type="paragraph" w:customStyle="1" w:styleId="USSource">
    <w:name w:val="US Source"/>
    <w:basedOn w:val="Normal"/>
    <w:uiPriority w:val="45"/>
    <w:rsid w:val="00590C9C"/>
    <w:pPr>
      <w:spacing w:before="120" w:after="360" w:line="220" w:lineRule="atLeast"/>
      <w:ind w:left="851"/>
    </w:pPr>
    <w:rPr>
      <w:sz w:val="18"/>
    </w:rPr>
  </w:style>
  <w:style w:type="paragraph" w:customStyle="1" w:styleId="USNotes">
    <w:name w:val="US Notes"/>
    <w:basedOn w:val="TSTableNormal1"/>
    <w:uiPriority w:val="45"/>
    <w:rsid w:val="004E21BB"/>
    <w:pPr>
      <w:numPr>
        <w:numId w:val="5"/>
      </w:numPr>
    </w:pPr>
  </w:style>
  <w:style w:type="paragraph" w:customStyle="1" w:styleId="TSTextSingle">
    <w:name w:val="TS Text (Single)"/>
    <w:basedOn w:val="TSBodyText"/>
    <w:uiPriority w:val="44"/>
    <w:rsid w:val="00410845"/>
    <w:pPr>
      <w:spacing w:before="0" w:after="0"/>
    </w:pPr>
  </w:style>
  <w:style w:type="paragraph" w:customStyle="1" w:styleId="TSBullet1">
    <w:name w:val="TS Bullet 1"/>
    <w:basedOn w:val="TSTableNormal1"/>
    <w:uiPriority w:val="43"/>
    <w:rsid w:val="00E85056"/>
    <w:pPr>
      <w:numPr>
        <w:numId w:val="6"/>
      </w:numPr>
    </w:pPr>
  </w:style>
  <w:style w:type="paragraph" w:customStyle="1" w:styleId="TSBullet2">
    <w:name w:val="TS Bullet 2"/>
    <w:basedOn w:val="TSTableNormal1"/>
    <w:uiPriority w:val="43"/>
    <w:rsid w:val="00DA2CC5"/>
    <w:pPr>
      <w:numPr>
        <w:ilvl w:val="1"/>
        <w:numId w:val="6"/>
      </w:numPr>
      <w:ind w:left="430" w:hanging="215"/>
    </w:pPr>
  </w:style>
  <w:style w:type="paragraph" w:customStyle="1" w:styleId="TSBullet3">
    <w:name w:val="TS Bullet 3"/>
    <w:basedOn w:val="TSTableNormal1"/>
    <w:uiPriority w:val="43"/>
    <w:rsid w:val="00E85056"/>
    <w:pPr>
      <w:numPr>
        <w:ilvl w:val="2"/>
        <w:numId w:val="6"/>
      </w:numPr>
      <w:ind w:left="640" w:hanging="215"/>
    </w:pPr>
  </w:style>
  <w:style w:type="character" w:customStyle="1" w:styleId="Heading6Char">
    <w:name w:val="Heading 6 Char"/>
    <w:basedOn w:val="DefaultParagraphFont"/>
    <w:link w:val="Heading6"/>
    <w:uiPriority w:val="12"/>
    <w:semiHidden/>
    <w:rsid w:val="006D0BF3"/>
    <w:rPr>
      <w:rFonts w:asciiTheme="majorHAnsi" w:eastAsiaTheme="majorEastAsia" w:hAnsiTheme="majorHAnsi" w:cstheme="majorBidi"/>
      <w:color w:val="004962" w:themeColor="accent1" w:themeShade="7F"/>
    </w:rPr>
  </w:style>
  <w:style w:type="character" w:customStyle="1" w:styleId="Heading7Char">
    <w:name w:val="Heading 7 Char"/>
    <w:basedOn w:val="DefaultParagraphFont"/>
    <w:link w:val="Heading7"/>
    <w:uiPriority w:val="12"/>
    <w:semiHidden/>
    <w:rsid w:val="006D0BF3"/>
    <w:rPr>
      <w:rFonts w:asciiTheme="majorHAnsi" w:eastAsiaTheme="majorEastAsia" w:hAnsiTheme="majorHAnsi" w:cstheme="majorBidi"/>
      <w:i/>
      <w:iCs/>
      <w:color w:val="004962" w:themeColor="accent1" w:themeShade="7F"/>
    </w:rPr>
  </w:style>
  <w:style w:type="character" w:customStyle="1" w:styleId="Heading8Char">
    <w:name w:val="Heading 8 Char"/>
    <w:basedOn w:val="DefaultParagraphFont"/>
    <w:link w:val="Heading8"/>
    <w:uiPriority w:val="12"/>
    <w:semiHidden/>
    <w:rsid w:val="006D0BF3"/>
    <w:rPr>
      <w:rFonts w:asciiTheme="majorHAnsi" w:eastAsiaTheme="majorEastAsia" w:hAnsiTheme="majorHAnsi" w:cstheme="majorBidi"/>
      <w:color w:val="4A5261" w:themeColor="text1" w:themeTint="D8"/>
      <w:sz w:val="21"/>
      <w:szCs w:val="21"/>
    </w:rPr>
  </w:style>
  <w:style w:type="character" w:customStyle="1" w:styleId="Heading9Char">
    <w:name w:val="Heading 9 Char"/>
    <w:basedOn w:val="DefaultParagraphFont"/>
    <w:link w:val="Heading9"/>
    <w:uiPriority w:val="12"/>
    <w:semiHidden/>
    <w:rsid w:val="006D0BF3"/>
    <w:rPr>
      <w:rFonts w:asciiTheme="majorHAnsi" w:eastAsiaTheme="majorEastAsia" w:hAnsiTheme="majorHAnsi" w:cstheme="majorBidi"/>
      <w:i/>
      <w:iCs/>
      <w:color w:val="4A5261" w:themeColor="text1" w:themeTint="D8"/>
      <w:sz w:val="21"/>
      <w:szCs w:val="21"/>
    </w:rPr>
  </w:style>
  <w:style w:type="paragraph" w:customStyle="1" w:styleId="ApxHeading1">
    <w:name w:val="Apx Heading 1"/>
    <w:basedOn w:val="Heading1"/>
    <w:next w:val="USBodyText"/>
    <w:uiPriority w:val="13"/>
    <w:rsid w:val="00D454F0"/>
    <w:pPr>
      <w:numPr>
        <w:numId w:val="4"/>
      </w:numPr>
      <w:outlineLvl w:val="5"/>
    </w:pPr>
    <w:rPr>
      <w:color w:val="0094C5" w:themeColor="accent1"/>
    </w:rPr>
  </w:style>
  <w:style w:type="paragraph" w:customStyle="1" w:styleId="ApxHeading2">
    <w:name w:val="Apx Heading 2"/>
    <w:basedOn w:val="USBodyText"/>
    <w:next w:val="USBodyText"/>
    <w:uiPriority w:val="13"/>
    <w:rsid w:val="00D454F0"/>
    <w:pPr>
      <w:keepNext/>
      <w:keepLines/>
      <w:numPr>
        <w:ilvl w:val="1"/>
        <w:numId w:val="4"/>
      </w:numPr>
      <w:spacing w:before="360" w:after="80" w:line="320" w:lineRule="atLeast"/>
      <w:outlineLvl w:val="6"/>
    </w:pPr>
    <w:rPr>
      <w:b/>
      <w:color w:val="0094C5" w:themeColor="accent1"/>
      <w:sz w:val="26"/>
    </w:rPr>
  </w:style>
  <w:style w:type="paragraph" w:customStyle="1" w:styleId="ApxHeading3">
    <w:name w:val="Apx Heading 3"/>
    <w:basedOn w:val="USBodyText"/>
    <w:next w:val="USBodyText"/>
    <w:uiPriority w:val="13"/>
    <w:rsid w:val="00D454F0"/>
    <w:pPr>
      <w:keepNext/>
      <w:keepLines/>
      <w:numPr>
        <w:ilvl w:val="2"/>
        <w:numId w:val="4"/>
      </w:numPr>
      <w:spacing w:before="260" w:line="300" w:lineRule="atLeast"/>
      <w:outlineLvl w:val="7"/>
    </w:pPr>
    <w:rPr>
      <w:b/>
      <w:color w:val="0094C5" w:themeColor="accent1"/>
      <w:sz w:val="24"/>
    </w:rPr>
  </w:style>
  <w:style w:type="paragraph" w:customStyle="1" w:styleId="ApxHeading4">
    <w:name w:val="Apx Heading 4"/>
    <w:basedOn w:val="USBodyText"/>
    <w:next w:val="USBodyText"/>
    <w:uiPriority w:val="13"/>
    <w:rsid w:val="007B14FD"/>
    <w:pPr>
      <w:keepNext/>
      <w:keepLines/>
      <w:spacing w:before="200" w:after="40" w:line="320" w:lineRule="atLeast"/>
      <w:outlineLvl w:val="8"/>
    </w:pPr>
    <w:rPr>
      <w:b/>
      <w:color w:val="0094C5" w:themeColor="accent1"/>
      <w:sz w:val="24"/>
    </w:rPr>
  </w:style>
  <w:style w:type="paragraph" w:customStyle="1" w:styleId="ApxHeading5">
    <w:name w:val="Apx Heading 5"/>
    <w:basedOn w:val="USBodyText"/>
    <w:next w:val="USBodyText"/>
    <w:uiPriority w:val="13"/>
    <w:rsid w:val="007B14FD"/>
    <w:pPr>
      <w:keepNext/>
      <w:keepLines/>
      <w:spacing w:before="160" w:after="0" w:line="300" w:lineRule="atLeast"/>
    </w:pPr>
    <w:rPr>
      <w:b/>
      <w:color w:val="30353F"/>
    </w:rPr>
  </w:style>
  <w:style w:type="table" w:styleId="TableGridLight">
    <w:name w:val="Grid Table Light"/>
    <w:basedOn w:val="TableNormal"/>
    <w:uiPriority w:val="40"/>
    <w:rsid w:val="00916CFA"/>
    <w:pPr>
      <w:spacing w:after="0" w:line="240" w:lineRule="auto"/>
    </w:pPr>
    <w:tblPr>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SPlaceholder">
    <w:name w:val="US Placeholder"/>
    <w:basedOn w:val="Normal"/>
    <w:uiPriority w:val="45"/>
    <w:rsid w:val="002B7C24"/>
    <w:pPr>
      <w:keepNext/>
      <w:spacing w:after="0" w:line="240" w:lineRule="auto"/>
      <w:ind w:left="851"/>
    </w:pPr>
    <w:rPr>
      <w:noProof/>
    </w:rPr>
  </w:style>
  <w:style w:type="paragraph" w:customStyle="1" w:styleId="USNotesHeading">
    <w:name w:val="US Notes (Heading)"/>
    <w:basedOn w:val="TSTableNormal1"/>
    <w:uiPriority w:val="45"/>
    <w:rsid w:val="00A16BDB"/>
    <w:pPr>
      <w:keepNext/>
      <w:keepLines/>
      <w:spacing w:before="120"/>
      <w:ind w:left="851"/>
    </w:pPr>
    <w:rPr>
      <w:b/>
    </w:rPr>
  </w:style>
  <w:style w:type="paragraph" w:styleId="BalloonText">
    <w:name w:val="Balloon Text"/>
    <w:basedOn w:val="Normal"/>
    <w:link w:val="BalloonTextChar"/>
    <w:uiPriority w:val="99"/>
    <w:semiHidden/>
    <w:unhideWhenUsed/>
    <w:rsid w:val="00631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510"/>
    <w:rPr>
      <w:rFonts w:ascii="Segoe UI" w:hAnsi="Segoe UI" w:cs="Segoe UI"/>
      <w:sz w:val="18"/>
      <w:szCs w:val="18"/>
    </w:rPr>
  </w:style>
  <w:style w:type="paragraph" w:customStyle="1" w:styleId="CoverTitle">
    <w:name w:val="Cover Title"/>
    <w:basedOn w:val="Normal"/>
    <w:next w:val="Normal"/>
    <w:uiPriority w:val="54"/>
    <w:rsid w:val="006D0BF3"/>
    <w:pPr>
      <w:keepNext/>
      <w:spacing w:before="1200" w:line="620" w:lineRule="atLeast"/>
    </w:pPr>
    <w:rPr>
      <w:b/>
      <w:color w:val="0094C5" w:themeColor="accent1"/>
      <w:sz w:val="56"/>
    </w:rPr>
  </w:style>
  <w:style w:type="paragraph" w:customStyle="1" w:styleId="CoverSubheading">
    <w:name w:val="Cover Subheading"/>
    <w:basedOn w:val="CoverSubTitle"/>
    <w:uiPriority w:val="54"/>
    <w:rsid w:val="00F06449"/>
    <w:pPr>
      <w:spacing w:after="60" w:line="300" w:lineRule="atLeast"/>
    </w:pPr>
    <w:rPr>
      <w:color w:val="30353F"/>
      <w:sz w:val="24"/>
    </w:rPr>
  </w:style>
  <w:style w:type="paragraph" w:customStyle="1" w:styleId="CoverSubTitle">
    <w:name w:val="Cover SubTitle"/>
    <w:basedOn w:val="Normal"/>
    <w:uiPriority w:val="54"/>
    <w:rsid w:val="006D0BF3"/>
    <w:pPr>
      <w:keepNext/>
      <w:spacing w:before="120" w:after="480" w:line="460" w:lineRule="atLeast"/>
    </w:pPr>
    <w:rPr>
      <w:b/>
      <w:sz w:val="40"/>
    </w:rPr>
  </w:style>
  <w:style w:type="paragraph" w:customStyle="1" w:styleId="CoverSubsubheading">
    <w:name w:val="Cover Sub subheading"/>
    <w:basedOn w:val="CoverSubheading"/>
    <w:uiPriority w:val="54"/>
    <w:rsid w:val="004D53BA"/>
    <w:pPr>
      <w:spacing w:after="0" w:line="260" w:lineRule="atLeast"/>
    </w:pPr>
    <w:rPr>
      <w:b w:val="0"/>
      <w:sz w:val="20"/>
    </w:rPr>
  </w:style>
  <w:style w:type="paragraph" w:customStyle="1" w:styleId="HeadingContents">
    <w:name w:val="Heading Contents"/>
    <w:basedOn w:val="Heading1"/>
    <w:uiPriority w:val="55"/>
    <w:rsid w:val="00DE7FA6"/>
    <w:pPr>
      <w:pageBreakBefore/>
      <w:numPr>
        <w:numId w:val="0"/>
      </w:numPr>
      <w:spacing w:after="220"/>
      <w:outlineLvl w:val="9"/>
    </w:pPr>
  </w:style>
  <w:style w:type="paragraph" w:styleId="TOC1">
    <w:name w:val="toc 1"/>
    <w:basedOn w:val="Normal"/>
    <w:next w:val="Normal"/>
    <w:uiPriority w:val="39"/>
    <w:rsid w:val="004F160B"/>
    <w:pPr>
      <w:tabs>
        <w:tab w:val="left" w:pos="567"/>
        <w:tab w:val="right" w:leader="dot" w:pos="9072"/>
      </w:tabs>
      <w:spacing w:before="120" w:after="0"/>
      <w:ind w:left="567" w:right="567" w:hanging="567"/>
    </w:pPr>
  </w:style>
  <w:style w:type="paragraph" w:styleId="TOC2">
    <w:name w:val="toc 2"/>
    <w:basedOn w:val="Normal"/>
    <w:next w:val="Normal"/>
    <w:uiPriority w:val="39"/>
    <w:rsid w:val="004F160B"/>
    <w:pPr>
      <w:tabs>
        <w:tab w:val="left" w:pos="1134"/>
        <w:tab w:val="right" w:leader="dot" w:pos="9072"/>
      </w:tabs>
      <w:spacing w:after="0"/>
      <w:ind w:left="1134" w:right="567" w:hanging="567"/>
    </w:pPr>
  </w:style>
  <w:style w:type="paragraph" w:styleId="TOC3">
    <w:name w:val="toc 3"/>
    <w:basedOn w:val="Normal"/>
    <w:next w:val="Normal"/>
    <w:uiPriority w:val="39"/>
    <w:rsid w:val="004D781B"/>
    <w:pPr>
      <w:tabs>
        <w:tab w:val="left" w:pos="1843"/>
        <w:tab w:val="right" w:leader="dot" w:pos="9072"/>
      </w:tabs>
      <w:spacing w:after="0"/>
      <w:ind w:left="1843" w:right="567" w:hanging="709"/>
    </w:pPr>
  </w:style>
  <w:style w:type="character" w:styleId="Hyperlink">
    <w:name w:val="Hyperlink"/>
    <w:basedOn w:val="DefaultParagraphFont"/>
    <w:uiPriority w:val="99"/>
    <w:rsid w:val="00CC1FF1"/>
    <w:rPr>
      <w:color w:val="0094C5"/>
      <w:u w:val="single"/>
    </w:rPr>
  </w:style>
  <w:style w:type="paragraph" w:styleId="TOC4">
    <w:name w:val="toc 4"/>
    <w:basedOn w:val="Normal"/>
    <w:next w:val="Normal"/>
    <w:uiPriority w:val="39"/>
    <w:rsid w:val="001F323D"/>
    <w:pPr>
      <w:tabs>
        <w:tab w:val="right" w:leader="dot" w:pos="9072"/>
      </w:tabs>
      <w:spacing w:after="0"/>
      <w:ind w:left="1843" w:right="567"/>
    </w:pPr>
  </w:style>
  <w:style w:type="paragraph" w:styleId="TOC5">
    <w:name w:val="toc 5"/>
    <w:basedOn w:val="Normal"/>
    <w:next w:val="Normal"/>
    <w:uiPriority w:val="39"/>
    <w:rsid w:val="001F323D"/>
    <w:pPr>
      <w:tabs>
        <w:tab w:val="right" w:leader="dot" w:pos="9072"/>
      </w:tabs>
      <w:spacing w:after="0"/>
      <w:ind w:left="2268" w:right="567"/>
    </w:pPr>
  </w:style>
  <w:style w:type="paragraph" w:styleId="TOC8">
    <w:name w:val="toc 8"/>
    <w:basedOn w:val="TOC3"/>
    <w:next w:val="Normal"/>
    <w:uiPriority w:val="39"/>
    <w:semiHidden/>
    <w:rsid w:val="004761CC"/>
  </w:style>
  <w:style w:type="paragraph" w:styleId="TOC9">
    <w:name w:val="toc 9"/>
    <w:basedOn w:val="TOC4"/>
    <w:next w:val="Normal"/>
    <w:uiPriority w:val="39"/>
    <w:semiHidden/>
    <w:rsid w:val="00780A71"/>
    <w:pPr>
      <w:tabs>
        <w:tab w:val="left" w:leader="dot" w:pos="1701"/>
      </w:tabs>
      <w:ind w:left="2694" w:hanging="851"/>
    </w:pPr>
  </w:style>
  <w:style w:type="paragraph" w:styleId="TableofFigures">
    <w:name w:val="table of figures"/>
    <w:basedOn w:val="Normal"/>
    <w:next w:val="Normal"/>
    <w:uiPriority w:val="99"/>
    <w:unhideWhenUsed/>
    <w:rsid w:val="00D95F03"/>
    <w:pPr>
      <w:tabs>
        <w:tab w:val="left" w:pos="1049"/>
        <w:tab w:val="right" w:leader="dot" w:pos="9072"/>
      </w:tabs>
      <w:spacing w:after="0"/>
      <w:ind w:left="1049" w:right="567" w:hanging="1049"/>
    </w:pPr>
  </w:style>
  <w:style w:type="paragraph" w:styleId="TOC7">
    <w:name w:val="toc 7"/>
    <w:basedOn w:val="TOC2"/>
    <w:next w:val="Normal"/>
    <w:uiPriority w:val="39"/>
    <w:semiHidden/>
    <w:rsid w:val="004761CC"/>
  </w:style>
  <w:style w:type="paragraph" w:styleId="TOC6">
    <w:name w:val="toc 6"/>
    <w:basedOn w:val="TOC1"/>
    <w:next w:val="Normal"/>
    <w:uiPriority w:val="39"/>
    <w:rsid w:val="004761CC"/>
    <w:pPr>
      <w:tabs>
        <w:tab w:val="clear" w:pos="9072"/>
        <w:tab w:val="right" w:leader="dot" w:pos="9060"/>
      </w:tabs>
    </w:pPr>
  </w:style>
  <w:style w:type="table" w:styleId="PlainTable3">
    <w:name w:val="Plain Table 3"/>
    <w:basedOn w:val="TableNormal"/>
    <w:uiPriority w:val="43"/>
    <w:rsid w:val="00916CFA"/>
    <w:pPr>
      <w:spacing w:after="0" w:line="240" w:lineRule="auto"/>
    </w:pPr>
    <w:tblPr>
      <w:tblStyleRowBandSize w:val="1"/>
      <w:tblStyleColBandSize w:val="1"/>
      <w:tblInd w:w="851" w:type="dxa"/>
    </w:tblPr>
    <w:tblStylePr w:type="firstRow">
      <w:rPr>
        <w:b/>
        <w:bCs/>
        <w:caps/>
      </w:rPr>
      <w:tblPr/>
      <w:tcPr>
        <w:tcBorders>
          <w:bottom w:val="single" w:sz="4" w:space="0" w:color="8D96A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6A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USNote">
    <w:name w:val="US Note"/>
    <w:basedOn w:val="USNotes"/>
    <w:uiPriority w:val="45"/>
    <w:rsid w:val="004726FD"/>
    <w:pPr>
      <w:numPr>
        <w:numId w:val="0"/>
      </w:numPr>
      <w:ind w:left="851"/>
    </w:pPr>
  </w:style>
  <w:style w:type="paragraph" w:customStyle="1" w:styleId="USPullQuoteCharcoal">
    <w:name w:val="US Pull Quote Charcoal"/>
    <w:basedOn w:val="Normal"/>
    <w:uiPriority w:val="18"/>
    <w:rsid w:val="00EC22B7"/>
    <w:pPr>
      <w:pBdr>
        <w:top w:val="single" w:sz="4" w:space="14" w:color="auto"/>
        <w:bottom w:val="single" w:sz="4" w:space="14" w:color="auto"/>
      </w:pBdr>
      <w:spacing w:before="360" w:after="360" w:line="340" w:lineRule="atLeast"/>
      <w:ind w:left="851"/>
    </w:pPr>
    <w:rPr>
      <w:b/>
      <w:color w:val="30353F"/>
      <w:sz w:val="28"/>
    </w:rPr>
  </w:style>
  <w:style w:type="table" w:styleId="GridTable4-Accent1">
    <w:name w:val="Grid Table 4 Accent 1"/>
    <w:basedOn w:val="TableNormal"/>
    <w:uiPriority w:val="49"/>
    <w:rsid w:val="008B2D18"/>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color w:val="FFFFFF" w:themeColor="background1"/>
      </w:rPr>
      <w:tblPr/>
      <w:tcPr>
        <w:tcBorders>
          <w:top w:val="single" w:sz="4" w:space="0" w:color="0094C5" w:themeColor="accent1"/>
          <w:left w:val="single" w:sz="4" w:space="0" w:color="0094C5" w:themeColor="accent1"/>
          <w:bottom w:val="single" w:sz="4" w:space="0" w:color="0094C5" w:themeColor="accent1"/>
          <w:right w:val="single" w:sz="4" w:space="0" w:color="0094C5" w:themeColor="accent1"/>
          <w:insideH w:val="nil"/>
          <w:insideV w:val="nil"/>
        </w:tcBorders>
        <w:shd w:val="clear" w:color="auto" w:fill="0094C5" w:themeFill="accent1"/>
      </w:tcPr>
    </w:tblStylePr>
    <w:tblStylePr w:type="lastRow">
      <w:rPr>
        <w:b/>
        <w:bCs/>
      </w:rPr>
      <w:tblPr/>
      <w:tcPr>
        <w:tcBorders>
          <w:top w:val="double" w:sz="4" w:space="0" w:color="0094C5" w:themeColor="accent1"/>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paragraph" w:customStyle="1" w:styleId="TSTableHeadingBlack-TopRow">
    <w:name w:val="TS Table Heading Black - Top Row"/>
    <w:basedOn w:val="TSTableNormal1"/>
    <w:uiPriority w:val="41"/>
    <w:rsid w:val="00E457E0"/>
    <w:pPr>
      <w:keepNext/>
      <w:keepLines/>
      <w:spacing w:before="80" w:after="80"/>
    </w:pPr>
    <w:rPr>
      <w:b/>
    </w:rPr>
  </w:style>
  <w:style w:type="character" w:styleId="FollowedHyperlink">
    <w:name w:val="FollowedHyperlink"/>
    <w:basedOn w:val="DefaultParagraphFont"/>
    <w:uiPriority w:val="19"/>
    <w:rsid w:val="00CC1FF1"/>
    <w:rPr>
      <w:color w:val="81DFFF" w:themeColor="accent1" w:themeTint="66"/>
      <w:u w:val="single"/>
    </w:rPr>
  </w:style>
  <w:style w:type="paragraph" w:customStyle="1" w:styleId="USWhiteSpaceAfterTable">
    <w:name w:val="US White Space After Table"/>
    <w:basedOn w:val="USWhiteSpace"/>
    <w:next w:val="USBodyText"/>
    <w:uiPriority w:val="45"/>
    <w:rsid w:val="00C12561"/>
    <w:pPr>
      <w:spacing w:after="240"/>
    </w:pPr>
  </w:style>
  <w:style w:type="character" w:customStyle="1" w:styleId="HyperlinkSourceTextReference">
    <w:name w:val="Hyperlink (Source Text Reference)"/>
    <w:basedOn w:val="DefaultParagraphFont"/>
    <w:uiPriority w:val="19"/>
    <w:semiHidden/>
    <w:rsid w:val="00EC22B7"/>
    <w:rPr>
      <w:noProof w:val="0"/>
      <w:color w:val="0094C5"/>
      <w:u w:val="single"/>
      <w:lang w:val="en-NZ"/>
    </w:rPr>
  </w:style>
  <w:style w:type="paragraph" w:customStyle="1" w:styleId="USPullQuoteBlue">
    <w:name w:val="US Pull Quote Blue"/>
    <w:basedOn w:val="Normal"/>
    <w:uiPriority w:val="18"/>
    <w:rsid w:val="00273D60"/>
    <w:pPr>
      <w:pBdr>
        <w:top w:val="single" w:sz="4" w:space="14" w:color="74C6C7"/>
        <w:bottom w:val="single" w:sz="4" w:space="14" w:color="74C6C7"/>
      </w:pBdr>
      <w:spacing w:before="360" w:after="360" w:line="340" w:lineRule="atLeast"/>
      <w:ind w:left="851"/>
    </w:pPr>
    <w:rPr>
      <w:b/>
      <w:color w:val="0094C5"/>
      <w:sz w:val="28"/>
    </w:rPr>
  </w:style>
  <w:style w:type="paragraph" w:customStyle="1" w:styleId="USWhiteSpaceBeforeTable">
    <w:name w:val="US White Space Before Table"/>
    <w:basedOn w:val="Normal"/>
    <w:uiPriority w:val="45"/>
    <w:rsid w:val="00C12561"/>
    <w:pPr>
      <w:keepNext/>
      <w:spacing w:after="240" w:line="240" w:lineRule="auto"/>
      <w:ind w:left="851"/>
    </w:pPr>
    <w:rPr>
      <w:sz w:val="12"/>
    </w:rPr>
  </w:style>
  <w:style w:type="table" w:styleId="GridTable1Light">
    <w:name w:val="Grid Table 1 Light"/>
    <w:basedOn w:val="TableNormal"/>
    <w:uiPriority w:val="46"/>
    <w:rsid w:val="00916CFA"/>
    <w:pPr>
      <w:spacing w:after="0" w:line="240" w:lineRule="auto"/>
    </w:pPr>
    <w:tblPr>
      <w:tblStyleRowBandSize w:val="1"/>
      <w:tblStyleColBandSize w:val="1"/>
      <w:tblInd w:w="851" w:type="dxa"/>
      <w:tblBorders>
        <w:top w:val="single" w:sz="4" w:space="0" w:color="A4ABBA" w:themeColor="text1" w:themeTint="66"/>
        <w:left w:val="single" w:sz="4" w:space="0" w:color="A4ABBA" w:themeColor="text1" w:themeTint="66"/>
        <w:bottom w:val="single" w:sz="4" w:space="0" w:color="A4ABBA" w:themeColor="text1" w:themeTint="66"/>
        <w:right w:val="single" w:sz="4" w:space="0" w:color="A4ABBA" w:themeColor="text1" w:themeTint="66"/>
        <w:insideH w:val="single" w:sz="4" w:space="0" w:color="A4ABBA" w:themeColor="text1" w:themeTint="66"/>
        <w:insideV w:val="single" w:sz="4" w:space="0" w:color="A4ABBA" w:themeColor="text1" w:themeTint="66"/>
      </w:tblBorders>
    </w:tblPr>
    <w:tblStylePr w:type="firstRow">
      <w:rPr>
        <w:b/>
        <w:bCs/>
      </w:rPr>
      <w:tblPr/>
      <w:tcPr>
        <w:tcBorders>
          <w:bottom w:val="single" w:sz="12" w:space="0" w:color="778197" w:themeColor="text1" w:themeTint="99"/>
        </w:tcBorders>
      </w:tcPr>
    </w:tblStylePr>
    <w:tblStylePr w:type="lastRow">
      <w:rPr>
        <w:b/>
        <w:bCs/>
      </w:rPr>
      <w:tblPr/>
      <w:tcPr>
        <w:tcBorders>
          <w:top w:val="double" w:sz="2" w:space="0" w:color="778197"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929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5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53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53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53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53F" w:themeFill="text1"/>
      </w:tcPr>
    </w:tblStylePr>
    <w:tblStylePr w:type="band1Vert">
      <w:tblPr/>
      <w:tcPr>
        <w:shd w:val="clear" w:color="auto" w:fill="A4ABBA" w:themeFill="text1" w:themeFillTint="66"/>
      </w:tcPr>
    </w:tblStylePr>
    <w:tblStylePr w:type="band1Horz">
      <w:tblPr/>
      <w:tcPr>
        <w:shd w:val="clear" w:color="auto" w:fill="A4ABBA" w:themeFill="text1" w:themeFillTint="66"/>
      </w:tcPr>
    </w:tblStylePr>
  </w:style>
  <w:style w:type="table" w:styleId="GridTable3">
    <w:name w:val="Grid Table 3"/>
    <w:basedOn w:val="TableNormal"/>
    <w:uiPriority w:val="48"/>
    <w:rsid w:val="0069298C"/>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2">
    <w:name w:val="Grid Table 2"/>
    <w:basedOn w:val="TableNormal"/>
    <w:uiPriority w:val="47"/>
    <w:rsid w:val="00225D24"/>
    <w:pPr>
      <w:spacing w:after="0" w:line="240" w:lineRule="auto"/>
    </w:pPr>
    <w:tblPr>
      <w:tblStyleRowBandSize w:val="1"/>
      <w:tblStyleColBandSize w:val="1"/>
      <w:tblBorders>
        <w:top w:val="single" w:sz="2" w:space="0" w:color="778197" w:themeColor="text1" w:themeTint="99"/>
        <w:bottom w:val="single" w:sz="2" w:space="0" w:color="778197" w:themeColor="text1" w:themeTint="99"/>
        <w:insideH w:val="single" w:sz="2" w:space="0" w:color="778197" w:themeColor="text1" w:themeTint="99"/>
        <w:insideV w:val="single" w:sz="2" w:space="0" w:color="778197" w:themeColor="text1" w:themeTint="99"/>
      </w:tblBorders>
    </w:tblPr>
    <w:tblStylePr w:type="firstRow">
      <w:rPr>
        <w:b/>
        <w:bCs/>
      </w:rPr>
      <w:tblPr/>
      <w:tcPr>
        <w:tcBorders>
          <w:top w:val="nil"/>
          <w:bottom w:val="single" w:sz="12" w:space="0" w:color="778197" w:themeColor="text1" w:themeTint="99"/>
          <w:insideH w:val="nil"/>
          <w:insideV w:val="nil"/>
        </w:tcBorders>
        <w:shd w:val="clear" w:color="auto" w:fill="FFFFFF" w:themeFill="background1"/>
      </w:tcPr>
    </w:tblStylePr>
    <w:tblStylePr w:type="lastRow">
      <w:rPr>
        <w:b/>
        <w:bCs/>
      </w:rPr>
      <w:tblPr/>
      <w:tcPr>
        <w:tcBorders>
          <w:top w:val="double" w:sz="2" w:space="0" w:color="77819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6Colorful">
    <w:name w:val="Grid Table 6 Colorful"/>
    <w:basedOn w:val="TableNormal"/>
    <w:uiPriority w:val="51"/>
    <w:rsid w:val="00225D24"/>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bottom w:val="single" w:sz="12" w:space="0" w:color="778197" w:themeColor="text1" w:themeTint="99"/>
        </w:tcBorders>
      </w:tcPr>
    </w:tblStylePr>
    <w:tblStylePr w:type="lastRow">
      <w:rPr>
        <w:b/>
        <w:bCs/>
      </w:rPr>
      <w:tblPr/>
      <w:tcPr>
        <w:tcBorders>
          <w:top w:val="double" w:sz="4" w:space="0" w:color="778197" w:themeColor="text1" w:themeTint="99"/>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4">
    <w:name w:val="Grid Table 4"/>
    <w:basedOn w:val="TableNormal"/>
    <w:uiPriority w:val="49"/>
    <w:rsid w:val="00225D24"/>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color w:val="FFFFFF" w:themeColor="background1"/>
      </w:rPr>
      <w:tblPr/>
      <w:tcPr>
        <w:tcBorders>
          <w:top w:val="single" w:sz="4" w:space="0" w:color="30353F" w:themeColor="text1"/>
          <w:left w:val="single" w:sz="4" w:space="0" w:color="30353F" w:themeColor="text1"/>
          <w:bottom w:val="single" w:sz="4" w:space="0" w:color="30353F" w:themeColor="text1"/>
          <w:right w:val="single" w:sz="4" w:space="0" w:color="30353F" w:themeColor="text1"/>
          <w:insideH w:val="nil"/>
          <w:insideV w:val="nil"/>
        </w:tcBorders>
        <w:shd w:val="clear" w:color="auto" w:fill="30353F" w:themeFill="text1"/>
      </w:tcPr>
    </w:tblStylePr>
    <w:tblStylePr w:type="lastRow">
      <w:rPr>
        <w:b/>
        <w:bCs/>
      </w:rPr>
      <w:tblPr/>
      <w:tcPr>
        <w:tcBorders>
          <w:top w:val="double" w:sz="4" w:space="0" w:color="30353F" w:themeColor="text1"/>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paragraph" w:styleId="Bibliography">
    <w:name w:val="Bibliography"/>
    <w:basedOn w:val="TSBodyText"/>
    <w:uiPriority w:val="47"/>
    <w:rsid w:val="009F7454"/>
    <w:pPr>
      <w:spacing w:before="0" w:after="0" w:line="240" w:lineRule="atLeast"/>
      <w:ind w:left="720" w:hanging="720"/>
    </w:pPr>
    <w:rPr>
      <w:sz w:val="22"/>
    </w:rPr>
  </w:style>
  <w:style w:type="table" w:styleId="ColorfulGrid">
    <w:name w:val="Colorful Grid"/>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1D5DC" w:themeFill="text1" w:themeFillTint="33"/>
    </w:tcPr>
    <w:tblStylePr w:type="firstRow">
      <w:rPr>
        <w:b/>
        <w:bCs/>
      </w:rPr>
      <w:tblPr/>
      <w:tcPr>
        <w:shd w:val="clear" w:color="auto" w:fill="A4ABBA" w:themeFill="text1" w:themeFillTint="66"/>
      </w:tcPr>
    </w:tblStylePr>
    <w:tblStylePr w:type="lastRow">
      <w:rPr>
        <w:b/>
        <w:bCs/>
        <w:color w:val="30353F" w:themeColor="text1"/>
      </w:rPr>
      <w:tblPr/>
      <w:tcPr>
        <w:shd w:val="clear" w:color="auto" w:fill="A4ABBA" w:themeFill="text1" w:themeFillTint="66"/>
      </w:tcPr>
    </w:tblStylePr>
    <w:tblStylePr w:type="firstCol">
      <w:rPr>
        <w:color w:val="FFFFFF" w:themeColor="background1"/>
      </w:rPr>
      <w:tblPr/>
      <w:tcPr>
        <w:shd w:val="clear" w:color="auto" w:fill="24272F" w:themeFill="text1" w:themeFillShade="BF"/>
      </w:tcPr>
    </w:tblStylePr>
    <w:tblStylePr w:type="lastCol">
      <w:rPr>
        <w:color w:val="FFFFFF" w:themeColor="background1"/>
      </w:rPr>
      <w:tblPr/>
      <w:tcPr>
        <w:shd w:val="clear" w:color="auto" w:fill="24272F" w:themeFill="text1" w:themeFillShade="BF"/>
      </w:tc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ColorfulGrid-Accent1">
    <w:name w:val="Colorful Grid Accent 1"/>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0EFFF" w:themeFill="accent1" w:themeFillTint="33"/>
    </w:tcPr>
    <w:tblStylePr w:type="firstRow">
      <w:rPr>
        <w:b/>
        <w:bCs/>
      </w:rPr>
      <w:tblPr/>
      <w:tcPr>
        <w:shd w:val="clear" w:color="auto" w:fill="81DFFF" w:themeFill="accent1" w:themeFillTint="66"/>
      </w:tcPr>
    </w:tblStylePr>
    <w:tblStylePr w:type="lastRow">
      <w:rPr>
        <w:b/>
        <w:bCs/>
        <w:color w:val="30353F" w:themeColor="text1"/>
      </w:rPr>
      <w:tblPr/>
      <w:tcPr>
        <w:shd w:val="clear" w:color="auto" w:fill="81DFFF" w:themeFill="accent1" w:themeFillTint="66"/>
      </w:tcPr>
    </w:tblStylePr>
    <w:tblStylePr w:type="firstCol">
      <w:rPr>
        <w:color w:val="FFFFFF" w:themeColor="background1"/>
      </w:rPr>
      <w:tblPr/>
      <w:tcPr>
        <w:shd w:val="clear" w:color="auto" w:fill="006E93" w:themeFill="accent1" w:themeFillShade="BF"/>
      </w:tcPr>
    </w:tblStylePr>
    <w:tblStylePr w:type="lastCol">
      <w:rPr>
        <w:color w:val="FFFFFF" w:themeColor="background1"/>
      </w:rPr>
      <w:tblPr/>
      <w:tcPr>
        <w:shd w:val="clear" w:color="auto" w:fill="006E93" w:themeFill="accent1" w:themeFillShade="BF"/>
      </w:tc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ColorfulGrid-Accent2">
    <w:name w:val="Colorful Grid Accent 2"/>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FC6E1" w:themeFill="accent2" w:themeFillTint="33"/>
    </w:tcPr>
    <w:tblStylePr w:type="firstRow">
      <w:rPr>
        <w:b/>
        <w:bCs/>
      </w:rPr>
      <w:tblPr/>
      <w:tcPr>
        <w:shd w:val="clear" w:color="auto" w:fill="FF8EC3" w:themeFill="accent2" w:themeFillTint="66"/>
      </w:tcPr>
    </w:tblStylePr>
    <w:tblStylePr w:type="lastRow">
      <w:rPr>
        <w:b/>
        <w:bCs/>
        <w:color w:val="30353F" w:themeColor="text1"/>
      </w:rPr>
      <w:tblPr/>
      <w:tcPr>
        <w:shd w:val="clear" w:color="auto" w:fill="FF8EC3" w:themeFill="accent2" w:themeFillTint="66"/>
      </w:tcPr>
    </w:tblStylePr>
    <w:tblStylePr w:type="firstCol">
      <w:rPr>
        <w:color w:val="FFFFFF" w:themeColor="background1"/>
      </w:rPr>
      <w:tblPr/>
      <w:tcPr>
        <w:shd w:val="clear" w:color="auto" w:fill="AB0051" w:themeFill="accent2" w:themeFillShade="BF"/>
      </w:tcPr>
    </w:tblStylePr>
    <w:tblStylePr w:type="lastCol">
      <w:rPr>
        <w:color w:val="FFFFFF" w:themeColor="background1"/>
      </w:rPr>
      <w:tblPr/>
      <w:tcPr>
        <w:shd w:val="clear" w:color="auto" w:fill="AB0051" w:themeFill="accent2" w:themeFillShade="BF"/>
      </w:tc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ColorfulGrid-Accent3">
    <w:name w:val="Colorful Grid Accent 3"/>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CC7EF" w:themeFill="accent3" w:themeFillTint="33"/>
    </w:tcPr>
    <w:tblStylePr w:type="firstRow">
      <w:rPr>
        <w:b/>
        <w:bCs/>
      </w:rPr>
      <w:tblPr/>
      <w:tcPr>
        <w:shd w:val="clear" w:color="auto" w:fill="998FDF" w:themeFill="accent3" w:themeFillTint="66"/>
      </w:tcPr>
    </w:tblStylePr>
    <w:tblStylePr w:type="lastRow">
      <w:rPr>
        <w:b/>
        <w:bCs/>
        <w:color w:val="30353F" w:themeColor="text1"/>
      </w:rPr>
      <w:tblPr/>
      <w:tcPr>
        <w:shd w:val="clear" w:color="auto" w:fill="998FDF" w:themeFill="accent3" w:themeFillTint="66"/>
      </w:tcPr>
    </w:tblStylePr>
    <w:tblStylePr w:type="firstCol">
      <w:rPr>
        <w:color w:val="FFFFFF" w:themeColor="background1"/>
      </w:rPr>
      <w:tblPr/>
      <w:tcPr>
        <w:shd w:val="clear" w:color="auto" w:fill="201958" w:themeFill="accent3" w:themeFillShade="BF"/>
      </w:tcPr>
    </w:tblStylePr>
    <w:tblStylePr w:type="lastCol">
      <w:rPr>
        <w:color w:val="FFFFFF" w:themeColor="background1"/>
      </w:rPr>
      <w:tblPr/>
      <w:tcPr>
        <w:shd w:val="clear" w:color="auto" w:fill="201958" w:themeFill="accent3" w:themeFillShade="BF"/>
      </w:tc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ColorfulGrid-Accent4">
    <w:name w:val="Colorful Grid Accent 4"/>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5BED8" w:themeFill="accent4" w:themeFillTint="33"/>
    </w:tcPr>
    <w:tblStylePr w:type="firstRow">
      <w:rPr>
        <w:b/>
        <w:bCs/>
      </w:rPr>
      <w:tblPr/>
      <w:tcPr>
        <w:shd w:val="clear" w:color="auto" w:fill="EC7EB2" w:themeFill="accent4" w:themeFillTint="66"/>
      </w:tcPr>
    </w:tblStylePr>
    <w:tblStylePr w:type="lastRow">
      <w:rPr>
        <w:b/>
        <w:bCs/>
        <w:color w:val="30353F" w:themeColor="text1"/>
      </w:rPr>
      <w:tblPr/>
      <w:tcPr>
        <w:shd w:val="clear" w:color="auto" w:fill="EC7EB2" w:themeFill="accent4" w:themeFillTint="66"/>
      </w:tcPr>
    </w:tblStylePr>
    <w:tblStylePr w:type="firstCol">
      <w:rPr>
        <w:color w:val="FFFFFF" w:themeColor="background1"/>
      </w:rPr>
      <w:tblPr/>
      <w:tcPr>
        <w:shd w:val="clear" w:color="auto" w:fill="5B0D32" w:themeFill="accent4" w:themeFillShade="BF"/>
      </w:tcPr>
    </w:tblStylePr>
    <w:tblStylePr w:type="lastCol">
      <w:rPr>
        <w:color w:val="FFFFFF" w:themeColor="background1"/>
      </w:rPr>
      <w:tblPr/>
      <w:tcPr>
        <w:shd w:val="clear" w:color="auto" w:fill="5B0D32" w:themeFill="accent4" w:themeFillShade="BF"/>
      </w:tc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ColorfulGrid-Accent5">
    <w:name w:val="Colorful Grid Accent 5"/>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4FCC6" w:themeFill="accent5" w:themeFillTint="33"/>
    </w:tcPr>
    <w:tblStylePr w:type="firstRow">
      <w:rPr>
        <w:b/>
        <w:bCs/>
      </w:rPr>
      <w:tblPr/>
      <w:tcPr>
        <w:shd w:val="clear" w:color="auto" w:fill="E9F88E" w:themeFill="accent5" w:themeFillTint="66"/>
      </w:tcPr>
    </w:tblStylePr>
    <w:tblStylePr w:type="lastRow">
      <w:rPr>
        <w:b/>
        <w:bCs/>
        <w:color w:val="30353F" w:themeColor="text1"/>
      </w:rPr>
      <w:tblPr/>
      <w:tcPr>
        <w:shd w:val="clear" w:color="auto" w:fill="E9F88E" w:themeFill="accent5" w:themeFillTint="66"/>
      </w:tcPr>
    </w:tblStylePr>
    <w:tblStylePr w:type="firstCol">
      <w:rPr>
        <w:color w:val="FFFFFF" w:themeColor="background1"/>
      </w:rPr>
      <w:tblPr/>
      <w:tcPr>
        <w:shd w:val="clear" w:color="auto" w:fill="829708" w:themeFill="accent5" w:themeFillShade="BF"/>
      </w:tcPr>
    </w:tblStylePr>
    <w:tblStylePr w:type="lastCol">
      <w:rPr>
        <w:color w:val="FFFFFF" w:themeColor="background1"/>
      </w:rPr>
      <w:tblPr/>
      <w:tcPr>
        <w:shd w:val="clear" w:color="auto" w:fill="829708" w:themeFill="accent5" w:themeFillShade="BF"/>
      </w:tc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ColorfulGrid-Accent6">
    <w:name w:val="Colorful Grid Accent 6"/>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4F1D3" w:themeFill="accent6" w:themeFillTint="33"/>
    </w:tcPr>
    <w:tblStylePr w:type="firstRow">
      <w:rPr>
        <w:b/>
        <w:bCs/>
      </w:rPr>
      <w:tblPr/>
      <w:tcPr>
        <w:shd w:val="clear" w:color="auto" w:fill="A9E3A7" w:themeFill="accent6" w:themeFillTint="66"/>
      </w:tcPr>
    </w:tblStylePr>
    <w:tblStylePr w:type="lastRow">
      <w:rPr>
        <w:b/>
        <w:bCs/>
        <w:color w:val="30353F" w:themeColor="text1"/>
      </w:rPr>
      <w:tblPr/>
      <w:tcPr>
        <w:shd w:val="clear" w:color="auto" w:fill="A9E3A7" w:themeFill="accent6" w:themeFillTint="66"/>
      </w:tcPr>
    </w:tblStylePr>
    <w:tblStylePr w:type="firstCol">
      <w:rPr>
        <w:color w:val="FFFFFF" w:themeColor="background1"/>
      </w:rPr>
      <w:tblPr/>
      <w:tcPr>
        <w:shd w:val="clear" w:color="auto" w:fill="2B7F27" w:themeFill="accent6" w:themeFillShade="BF"/>
      </w:tcPr>
    </w:tblStylePr>
    <w:tblStylePr w:type="lastCol">
      <w:rPr>
        <w:color w:val="FFFFFF" w:themeColor="background1"/>
      </w:rPr>
      <w:tblPr/>
      <w:tcPr>
        <w:shd w:val="clear" w:color="auto" w:fill="2B7F27" w:themeFill="accent6" w:themeFillShade="BF"/>
      </w:tc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ColorfulList">
    <w:name w:val="Colorful List"/>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8EAEE" w:themeFill="tex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BD4" w:themeFill="text1" w:themeFillTint="3F"/>
      </w:tcPr>
    </w:tblStylePr>
    <w:tblStylePr w:type="band1Horz">
      <w:tblPr/>
      <w:tcPr>
        <w:shd w:val="clear" w:color="auto" w:fill="D1D5DC" w:themeFill="text1" w:themeFillTint="33"/>
      </w:tcPr>
    </w:tblStylePr>
  </w:style>
  <w:style w:type="table" w:styleId="ColorfulList-Accent1">
    <w:name w:val="Colorful List Accent 1"/>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0F7FF" w:themeFill="accen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EBFF" w:themeFill="accent1" w:themeFillTint="3F"/>
      </w:tcPr>
    </w:tblStylePr>
    <w:tblStylePr w:type="band1Horz">
      <w:tblPr/>
      <w:tcPr>
        <w:shd w:val="clear" w:color="auto" w:fill="C0EFFF" w:themeFill="accent1" w:themeFillTint="33"/>
      </w:tcPr>
    </w:tblStylePr>
  </w:style>
  <w:style w:type="table" w:styleId="ColorfulList-Accent2">
    <w:name w:val="Colorful List Accent 2"/>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FE3F0" w:themeFill="accent2"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9DA" w:themeFill="accent2" w:themeFillTint="3F"/>
      </w:tcPr>
    </w:tblStylePr>
    <w:tblStylePr w:type="band1Horz">
      <w:tblPr/>
      <w:tcPr>
        <w:shd w:val="clear" w:color="auto" w:fill="FFC6E1" w:themeFill="accent2" w:themeFillTint="33"/>
      </w:tcPr>
    </w:tblStylePr>
  </w:style>
  <w:style w:type="table" w:styleId="ColorfulList-Accent3">
    <w:name w:val="Colorful List Accent 3"/>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5E3F7" w:themeFill="accent3" w:themeFillTint="19"/>
    </w:tcPr>
    <w:tblStylePr w:type="firstRow">
      <w:rPr>
        <w:b/>
        <w:bCs/>
        <w:color w:val="FFFFFF" w:themeColor="background1"/>
      </w:rPr>
      <w:tblPr/>
      <w:tcPr>
        <w:tcBorders>
          <w:bottom w:val="single" w:sz="12" w:space="0" w:color="FFFFFF" w:themeColor="background1"/>
        </w:tcBorders>
        <w:shd w:val="clear" w:color="auto" w:fill="620E36" w:themeFill="accent4" w:themeFillShade="CC"/>
      </w:tcPr>
    </w:tblStylePr>
    <w:tblStylePr w:type="lastRow">
      <w:rPr>
        <w:b/>
        <w:bCs/>
        <w:color w:val="620E36" w:themeColor="accent4"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AEB" w:themeFill="accent3" w:themeFillTint="3F"/>
      </w:tcPr>
    </w:tblStylePr>
    <w:tblStylePr w:type="band1Horz">
      <w:tblPr/>
      <w:tcPr>
        <w:shd w:val="clear" w:color="auto" w:fill="CCC7EF" w:themeFill="accent3" w:themeFillTint="33"/>
      </w:tcPr>
    </w:tblStylePr>
  </w:style>
  <w:style w:type="table" w:styleId="ColorfulList-Accent4">
    <w:name w:val="Colorful List Accent 4"/>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ADFEC" w:themeFill="accent4" w:themeFillTint="19"/>
    </w:tcPr>
    <w:tblStylePr w:type="firstRow">
      <w:rPr>
        <w:b/>
        <w:bCs/>
        <w:color w:val="FFFFFF" w:themeColor="background1"/>
      </w:rPr>
      <w:tblPr/>
      <w:tcPr>
        <w:tcBorders>
          <w:bottom w:val="single" w:sz="12" w:space="0" w:color="FFFFFF" w:themeColor="background1"/>
        </w:tcBorders>
        <w:shd w:val="clear" w:color="auto" w:fill="231B5E" w:themeFill="accent3" w:themeFillShade="CC"/>
      </w:tcPr>
    </w:tblStylePr>
    <w:tblStylePr w:type="lastRow">
      <w:rPr>
        <w:b/>
        <w:bCs/>
        <w:color w:val="231B5E" w:themeColor="accent3"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AFCF" w:themeFill="accent4" w:themeFillTint="3F"/>
      </w:tcPr>
    </w:tblStylePr>
    <w:tblStylePr w:type="band1Horz">
      <w:tblPr/>
      <w:tcPr>
        <w:shd w:val="clear" w:color="auto" w:fill="F5BED8" w:themeFill="accent4" w:themeFillTint="33"/>
      </w:tcPr>
    </w:tblStylePr>
  </w:style>
  <w:style w:type="table" w:styleId="ColorfulList-Accent5">
    <w:name w:val="Colorful List Accent 5"/>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9FDE3" w:themeFill="accent5" w:themeFillTint="19"/>
    </w:tcPr>
    <w:tblStylePr w:type="firstRow">
      <w:rPr>
        <w:b/>
        <w:bCs/>
        <w:color w:val="FFFFFF" w:themeColor="background1"/>
      </w:rPr>
      <w:tblPr/>
      <w:tcPr>
        <w:tcBorders>
          <w:bottom w:val="single" w:sz="12" w:space="0" w:color="FFFFFF" w:themeColor="background1"/>
        </w:tcBorders>
        <w:shd w:val="clear" w:color="auto" w:fill="2E872A" w:themeFill="accent6" w:themeFillShade="CC"/>
      </w:tcPr>
    </w:tblStylePr>
    <w:tblStylePr w:type="lastRow">
      <w:rPr>
        <w:b/>
        <w:bCs/>
        <w:color w:val="2E872A" w:themeColor="accent6"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BB9" w:themeFill="accent5" w:themeFillTint="3F"/>
      </w:tcPr>
    </w:tblStylePr>
    <w:tblStylePr w:type="band1Horz">
      <w:tblPr/>
      <w:tcPr>
        <w:shd w:val="clear" w:color="auto" w:fill="F4FCC6" w:themeFill="accent5" w:themeFillTint="33"/>
      </w:tcPr>
    </w:tblStylePr>
  </w:style>
  <w:style w:type="table" w:styleId="ColorfulList-Accent6">
    <w:name w:val="Colorful List Accent 6"/>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9F8E9" w:themeFill="accent6" w:themeFillTint="19"/>
    </w:tcPr>
    <w:tblStylePr w:type="firstRow">
      <w:rPr>
        <w:b/>
        <w:bCs/>
        <w:color w:val="FFFFFF" w:themeColor="background1"/>
      </w:rPr>
      <w:tblPr/>
      <w:tcPr>
        <w:tcBorders>
          <w:bottom w:val="single" w:sz="12" w:space="0" w:color="FFFFFF" w:themeColor="background1"/>
        </w:tcBorders>
        <w:shd w:val="clear" w:color="auto" w:fill="8BA109" w:themeFill="accent5" w:themeFillShade="CC"/>
      </w:tcPr>
    </w:tblStylePr>
    <w:tblStylePr w:type="lastRow">
      <w:rPr>
        <w:b/>
        <w:bCs/>
        <w:color w:val="8BA109" w:themeColor="accent5"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EC8" w:themeFill="accent6" w:themeFillTint="3F"/>
      </w:tcPr>
    </w:tblStylePr>
    <w:tblStylePr w:type="band1Horz">
      <w:tblPr/>
      <w:tcPr>
        <w:shd w:val="clear" w:color="auto" w:fill="D4F1D3" w:themeFill="accent6" w:themeFillTint="33"/>
      </w:tcPr>
    </w:tblStylePr>
  </w:style>
  <w:style w:type="table" w:styleId="ColorfulShading">
    <w:name w:val="Colorful Shading"/>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30353F" w:themeColor="text1"/>
        <w:bottom w:val="single" w:sz="4" w:space="0" w:color="30353F" w:themeColor="text1"/>
        <w:right w:val="single" w:sz="4" w:space="0" w:color="30353F" w:themeColor="text1"/>
        <w:insideH w:val="single" w:sz="4" w:space="0" w:color="FFFFFF" w:themeColor="background1"/>
        <w:insideV w:val="single" w:sz="4" w:space="0" w:color="FFFFFF" w:themeColor="background1"/>
      </w:tblBorders>
    </w:tblPr>
    <w:tcPr>
      <w:shd w:val="clear" w:color="auto" w:fill="E8EAEE" w:themeFill="tex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1F25" w:themeFill="text1" w:themeFillShade="99"/>
      </w:tcPr>
    </w:tblStylePr>
    <w:tblStylePr w:type="firstCol">
      <w:rPr>
        <w:color w:val="FFFFFF" w:themeColor="background1"/>
      </w:rPr>
      <w:tblPr/>
      <w:tcPr>
        <w:tcBorders>
          <w:top w:val="nil"/>
          <w:left w:val="nil"/>
          <w:bottom w:val="nil"/>
          <w:right w:val="nil"/>
          <w:insideH w:val="single" w:sz="4" w:space="0" w:color="1C1F25" w:themeColor="text1" w:themeShade="99"/>
          <w:insideV w:val="nil"/>
        </w:tcBorders>
        <w:shd w:val="clear" w:color="auto" w:fill="1C1F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4272F" w:themeFill="text1" w:themeFillShade="BF"/>
      </w:tcPr>
    </w:tblStylePr>
    <w:tblStylePr w:type="band1Vert">
      <w:tblPr/>
      <w:tcPr>
        <w:shd w:val="clear" w:color="auto" w:fill="A4ABBA" w:themeFill="text1" w:themeFillTint="66"/>
      </w:tcPr>
    </w:tblStylePr>
    <w:tblStylePr w:type="band1Horz">
      <w:tblPr/>
      <w:tcPr>
        <w:shd w:val="clear" w:color="auto" w:fill="8E97A9" w:themeFill="text1" w:themeFillTint="7F"/>
      </w:tcPr>
    </w:tblStylePr>
    <w:tblStylePr w:type="neCell">
      <w:rPr>
        <w:color w:val="30353F" w:themeColor="text1"/>
      </w:rPr>
    </w:tblStylePr>
    <w:tblStylePr w:type="nwCell">
      <w:rPr>
        <w:color w:val="30353F" w:themeColor="text1"/>
      </w:rPr>
    </w:tblStylePr>
  </w:style>
  <w:style w:type="table" w:styleId="ColorfulShading-Accent1">
    <w:name w:val="Colorful Shading Accent 1"/>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0094C5" w:themeColor="accent1"/>
        <w:bottom w:val="single" w:sz="4" w:space="0" w:color="0094C5" w:themeColor="accent1"/>
        <w:right w:val="single" w:sz="4" w:space="0" w:color="0094C5" w:themeColor="accent1"/>
        <w:insideH w:val="single" w:sz="4" w:space="0" w:color="FFFFFF" w:themeColor="background1"/>
        <w:insideV w:val="single" w:sz="4" w:space="0" w:color="FFFFFF" w:themeColor="background1"/>
      </w:tblBorders>
    </w:tblPr>
    <w:tcPr>
      <w:shd w:val="clear" w:color="auto" w:fill="E0F7FF" w:themeFill="accen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76" w:themeFill="accent1" w:themeFillShade="99"/>
      </w:tcPr>
    </w:tblStylePr>
    <w:tblStylePr w:type="firstCol">
      <w:rPr>
        <w:color w:val="FFFFFF" w:themeColor="background1"/>
      </w:rPr>
      <w:tblPr/>
      <w:tcPr>
        <w:tcBorders>
          <w:top w:val="nil"/>
          <w:left w:val="nil"/>
          <w:bottom w:val="nil"/>
          <w:right w:val="nil"/>
          <w:insideH w:val="single" w:sz="4" w:space="0" w:color="005876" w:themeColor="accent1" w:themeShade="99"/>
          <w:insideV w:val="nil"/>
        </w:tcBorders>
        <w:shd w:val="clear" w:color="auto" w:fill="0058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876" w:themeFill="accent1" w:themeFillShade="99"/>
      </w:tcPr>
    </w:tblStylePr>
    <w:tblStylePr w:type="band1Vert">
      <w:tblPr/>
      <w:tcPr>
        <w:shd w:val="clear" w:color="auto" w:fill="81DFFF" w:themeFill="accent1" w:themeFillTint="66"/>
      </w:tcPr>
    </w:tblStylePr>
    <w:tblStylePr w:type="band1Horz">
      <w:tblPr/>
      <w:tcPr>
        <w:shd w:val="clear" w:color="auto" w:fill="63D7FF" w:themeFill="accent1" w:themeFillTint="7F"/>
      </w:tcPr>
    </w:tblStylePr>
    <w:tblStylePr w:type="neCell">
      <w:rPr>
        <w:color w:val="30353F" w:themeColor="text1"/>
      </w:rPr>
    </w:tblStylePr>
    <w:tblStylePr w:type="nwCell">
      <w:rPr>
        <w:color w:val="30353F" w:themeColor="text1"/>
      </w:rPr>
    </w:tblStylePr>
  </w:style>
  <w:style w:type="table" w:styleId="ColorfulShading-Accent2">
    <w:name w:val="Colorful Shading Accent 2"/>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E5006D" w:themeColor="accent2"/>
        <w:bottom w:val="single" w:sz="4" w:space="0" w:color="E5006D" w:themeColor="accent2"/>
        <w:right w:val="single" w:sz="4" w:space="0" w:color="E5006D" w:themeColor="accent2"/>
        <w:insideH w:val="single" w:sz="4" w:space="0" w:color="FFFFFF" w:themeColor="background1"/>
        <w:insideV w:val="single" w:sz="4" w:space="0" w:color="FFFFFF" w:themeColor="background1"/>
      </w:tblBorders>
    </w:tblPr>
    <w:tcPr>
      <w:shd w:val="clear" w:color="auto" w:fill="FFE3F0" w:themeFill="accent2"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0041" w:themeFill="accent2" w:themeFillShade="99"/>
      </w:tcPr>
    </w:tblStylePr>
    <w:tblStylePr w:type="firstCol">
      <w:rPr>
        <w:color w:val="FFFFFF" w:themeColor="background1"/>
      </w:rPr>
      <w:tblPr/>
      <w:tcPr>
        <w:tcBorders>
          <w:top w:val="nil"/>
          <w:left w:val="nil"/>
          <w:bottom w:val="nil"/>
          <w:right w:val="nil"/>
          <w:insideH w:val="single" w:sz="4" w:space="0" w:color="890041" w:themeColor="accent2" w:themeShade="99"/>
          <w:insideV w:val="nil"/>
        </w:tcBorders>
        <w:shd w:val="clear" w:color="auto" w:fill="89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0041" w:themeFill="accent2" w:themeFillShade="99"/>
      </w:tcPr>
    </w:tblStylePr>
    <w:tblStylePr w:type="band1Vert">
      <w:tblPr/>
      <w:tcPr>
        <w:shd w:val="clear" w:color="auto" w:fill="FF8EC3" w:themeFill="accent2" w:themeFillTint="66"/>
      </w:tcPr>
    </w:tblStylePr>
    <w:tblStylePr w:type="band1Horz">
      <w:tblPr/>
      <w:tcPr>
        <w:shd w:val="clear" w:color="auto" w:fill="FF73B5" w:themeFill="accent2" w:themeFillTint="7F"/>
      </w:tcPr>
    </w:tblStylePr>
    <w:tblStylePr w:type="neCell">
      <w:rPr>
        <w:color w:val="30353F" w:themeColor="text1"/>
      </w:rPr>
    </w:tblStylePr>
    <w:tblStylePr w:type="nwCell">
      <w:rPr>
        <w:color w:val="30353F" w:themeColor="text1"/>
      </w:rPr>
    </w:tblStylePr>
  </w:style>
  <w:style w:type="table" w:styleId="ColorfulShading-Accent3">
    <w:name w:val="Colorful Shading Accent 3"/>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7B1244" w:themeColor="accent4"/>
        <w:left w:val="single" w:sz="4" w:space="0" w:color="2C2276" w:themeColor="accent3"/>
        <w:bottom w:val="single" w:sz="4" w:space="0" w:color="2C2276" w:themeColor="accent3"/>
        <w:right w:val="single" w:sz="4" w:space="0" w:color="2C2276" w:themeColor="accent3"/>
        <w:insideH w:val="single" w:sz="4" w:space="0" w:color="FFFFFF" w:themeColor="background1"/>
        <w:insideV w:val="single" w:sz="4" w:space="0" w:color="FFFFFF" w:themeColor="background1"/>
      </w:tblBorders>
    </w:tblPr>
    <w:tcPr>
      <w:shd w:val="clear" w:color="auto" w:fill="E5E3F7" w:themeFill="accent3" w:themeFillTint="19"/>
    </w:tcPr>
    <w:tblStylePr w:type="firstRow">
      <w:rPr>
        <w:b/>
        <w:bCs/>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446" w:themeFill="accent3" w:themeFillShade="99"/>
      </w:tcPr>
    </w:tblStylePr>
    <w:tblStylePr w:type="firstCol">
      <w:rPr>
        <w:color w:val="FFFFFF" w:themeColor="background1"/>
      </w:rPr>
      <w:tblPr/>
      <w:tcPr>
        <w:tcBorders>
          <w:top w:val="nil"/>
          <w:left w:val="nil"/>
          <w:bottom w:val="nil"/>
          <w:right w:val="nil"/>
          <w:insideH w:val="single" w:sz="4" w:space="0" w:color="1A1446" w:themeColor="accent3" w:themeShade="99"/>
          <w:insideV w:val="nil"/>
        </w:tcBorders>
        <w:shd w:val="clear" w:color="auto" w:fill="1A14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1446" w:themeFill="accent3" w:themeFillShade="99"/>
      </w:tcPr>
    </w:tblStylePr>
    <w:tblStylePr w:type="band1Vert">
      <w:tblPr/>
      <w:tcPr>
        <w:shd w:val="clear" w:color="auto" w:fill="998FDF" w:themeFill="accent3" w:themeFillTint="66"/>
      </w:tcPr>
    </w:tblStylePr>
    <w:tblStylePr w:type="band1Horz">
      <w:tblPr/>
      <w:tcPr>
        <w:shd w:val="clear" w:color="auto" w:fill="8074D7" w:themeFill="accent3" w:themeFillTint="7F"/>
      </w:tcPr>
    </w:tblStylePr>
  </w:style>
  <w:style w:type="table" w:styleId="ColorfulShading-Accent4">
    <w:name w:val="Colorful Shading Accent 4"/>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2C2276" w:themeColor="accent3"/>
        <w:left w:val="single" w:sz="4" w:space="0" w:color="7B1244" w:themeColor="accent4"/>
        <w:bottom w:val="single" w:sz="4" w:space="0" w:color="7B1244" w:themeColor="accent4"/>
        <w:right w:val="single" w:sz="4" w:space="0" w:color="7B1244" w:themeColor="accent4"/>
        <w:insideH w:val="single" w:sz="4" w:space="0" w:color="FFFFFF" w:themeColor="background1"/>
        <w:insideV w:val="single" w:sz="4" w:space="0" w:color="FFFFFF" w:themeColor="background1"/>
      </w:tblBorders>
    </w:tblPr>
    <w:tcPr>
      <w:shd w:val="clear" w:color="auto" w:fill="FADFEC" w:themeFill="accent4" w:themeFillTint="19"/>
    </w:tcPr>
    <w:tblStylePr w:type="firstRow">
      <w:rPr>
        <w:b/>
        <w:bCs/>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0A28" w:themeFill="accent4" w:themeFillShade="99"/>
      </w:tcPr>
    </w:tblStylePr>
    <w:tblStylePr w:type="firstCol">
      <w:rPr>
        <w:color w:val="FFFFFF" w:themeColor="background1"/>
      </w:rPr>
      <w:tblPr/>
      <w:tcPr>
        <w:tcBorders>
          <w:top w:val="nil"/>
          <w:left w:val="nil"/>
          <w:bottom w:val="nil"/>
          <w:right w:val="nil"/>
          <w:insideH w:val="single" w:sz="4" w:space="0" w:color="490A28" w:themeColor="accent4" w:themeShade="99"/>
          <w:insideV w:val="nil"/>
        </w:tcBorders>
        <w:shd w:val="clear" w:color="auto" w:fill="490A2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90A28" w:themeFill="accent4" w:themeFillShade="99"/>
      </w:tcPr>
    </w:tblStylePr>
    <w:tblStylePr w:type="band1Vert">
      <w:tblPr/>
      <w:tcPr>
        <w:shd w:val="clear" w:color="auto" w:fill="EC7EB2" w:themeFill="accent4" w:themeFillTint="66"/>
      </w:tcPr>
    </w:tblStylePr>
    <w:tblStylePr w:type="band1Horz">
      <w:tblPr/>
      <w:tcPr>
        <w:shd w:val="clear" w:color="auto" w:fill="E75E9F" w:themeFill="accent4" w:themeFillTint="7F"/>
      </w:tcPr>
    </w:tblStylePr>
    <w:tblStylePr w:type="neCell">
      <w:rPr>
        <w:color w:val="30353F" w:themeColor="text1"/>
      </w:rPr>
    </w:tblStylePr>
    <w:tblStylePr w:type="nwCell">
      <w:rPr>
        <w:color w:val="30353F" w:themeColor="text1"/>
      </w:rPr>
    </w:tblStylePr>
  </w:style>
  <w:style w:type="table" w:styleId="ColorfulShading-Accent5">
    <w:name w:val="Colorful Shading Accent 5"/>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3AAA35" w:themeColor="accent6"/>
        <w:left w:val="single" w:sz="4" w:space="0" w:color="AFCA0B" w:themeColor="accent5"/>
        <w:bottom w:val="single" w:sz="4" w:space="0" w:color="AFCA0B" w:themeColor="accent5"/>
        <w:right w:val="single" w:sz="4" w:space="0" w:color="AFCA0B" w:themeColor="accent5"/>
        <w:insideH w:val="single" w:sz="4" w:space="0" w:color="FFFFFF" w:themeColor="background1"/>
        <w:insideV w:val="single" w:sz="4" w:space="0" w:color="FFFFFF" w:themeColor="background1"/>
      </w:tblBorders>
    </w:tblPr>
    <w:tcPr>
      <w:shd w:val="clear" w:color="auto" w:fill="F9FDE3" w:themeFill="accent5" w:themeFillTint="19"/>
    </w:tcPr>
    <w:tblStylePr w:type="firstRow">
      <w:rPr>
        <w:b/>
        <w:bCs/>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7906" w:themeFill="accent5" w:themeFillShade="99"/>
      </w:tcPr>
    </w:tblStylePr>
    <w:tblStylePr w:type="firstCol">
      <w:rPr>
        <w:color w:val="FFFFFF" w:themeColor="background1"/>
      </w:rPr>
      <w:tblPr/>
      <w:tcPr>
        <w:tcBorders>
          <w:top w:val="nil"/>
          <w:left w:val="nil"/>
          <w:bottom w:val="nil"/>
          <w:right w:val="nil"/>
          <w:insideH w:val="single" w:sz="4" w:space="0" w:color="687906" w:themeColor="accent5" w:themeShade="99"/>
          <w:insideV w:val="nil"/>
        </w:tcBorders>
        <w:shd w:val="clear" w:color="auto" w:fill="68790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87906" w:themeFill="accent5" w:themeFillShade="99"/>
      </w:tcPr>
    </w:tblStylePr>
    <w:tblStylePr w:type="band1Vert">
      <w:tblPr/>
      <w:tcPr>
        <w:shd w:val="clear" w:color="auto" w:fill="E9F88E" w:themeFill="accent5" w:themeFillTint="66"/>
      </w:tcPr>
    </w:tblStylePr>
    <w:tblStylePr w:type="band1Horz">
      <w:tblPr/>
      <w:tcPr>
        <w:shd w:val="clear" w:color="auto" w:fill="E4F772" w:themeFill="accent5" w:themeFillTint="7F"/>
      </w:tcPr>
    </w:tblStylePr>
    <w:tblStylePr w:type="neCell">
      <w:rPr>
        <w:color w:val="30353F" w:themeColor="text1"/>
      </w:rPr>
    </w:tblStylePr>
    <w:tblStylePr w:type="nwCell">
      <w:rPr>
        <w:color w:val="30353F" w:themeColor="text1"/>
      </w:rPr>
    </w:tblStylePr>
  </w:style>
  <w:style w:type="table" w:styleId="ColorfulShading-Accent6">
    <w:name w:val="Colorful Shading Accent 6"/>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AFCA0B" w:themeColor="accent5"/>
        <w:left w:val="single" w:sz="4" w:space="0" w:color="3AAA35" w:themeColor="accent6"/>
        <w:bottom w:val="single" w:sz="4" w:space="0" w:color="3AAA35" w:themeColor="accent6"/>
        <w:right w:val="single" w:sz="4" w:space="0" w:color="3AAA35" w:themeColor="accent6"/>
        <w:insideH w:val="single" w:sz="4" w:space="0" w:color="FFFFFF" w:themeColor="background1"/>
        <w:insideV w:val="single" w:sz="4" w:space="0" w:color="FFFFFF" w:themeColor="background1"/>
      </w:tblBorders>
    </w:tblPr>
    <w:tcPr>
      <w:shd w:val="clear" w:color="auto" w:fill="E9F8E9" w:themeFill="accent6" w:themeFillTint="19"/>
    </w:tcPr>
    <w:tblStylePr w:type="firstRow">
      <w:rPr>
        <w:b/>
        <w:bCs/>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51F" w:themeFill="accent6" w:themeFillShade="99"/>
      </w:tcPr>
    </w:tblStylePr>
    <w:tblStylePr w:type="firstCol">
      <w:rPr>
        <w:color w:val="FFFFFF" w:themeColor="background1"/>
      </w:rPr>
      <w:tblPr/>
      <w:tcPr>
        <w:tcBorders>
          <w:top w:val="nil"/>
          <w:left w:val="nil"/>
          <w:bottom w:val="nil"/>
          <w:right w:val="nil"/>
          <w:insideH w:val="single" w:sz="4" w:space="0" w:color="22651F" w:themeColor="accent6" w:themeShade="99"/>
          <w:insideV w:val="nil"/>
        </w:tcBorders>
        <w:shd w:val="clear" w:color="auto" w:fill="2265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2651F" w:themeFill="accent6" w:themeFillShade="99"/>
      </w:tcPr>
    </w:tblStylePr>
    <w:tblStylePr w:type="band1Vert">
      <w:tblPr/>
      <w:tcPr>
        <w:shd w:val="clear" w:color="auto" w:fill="A9E3A7" w:themeFill="accent6" w:themeFillTint="66"/>
      </w:tcPr>
    </w:tblStylePr>
    <w:tblStylePr w:type="band1Horz">
      <w:tblPr/>
      <w:tcPr>
        <w:shd w:val="clear" w:color="auto" w:fill="94DD92" w:themeFill="accent6" w:themeFillTint="7F"/>
      </w:tcPr>
    </w:tblStylePr>
    <w:tblStylePr w:type="neCell">
      <w:rPr>
        <w:color w:val="30353F" w:themeColor="text1"/>
      </w:rPr>
    </w:tblStylePr>
    <w:tblStylePr w:type="nwCell">
      <w:rPr>
        <w:color w:val="30353F" w:themeColor="text1"/>
      </w:rPr>
    </w:tblStylePr>
  </w:style>
  <w:style w:type="character" w:styleId="CommentReference">
    <w:name w:val="annotation reference"/>
    <w:basedOn w:val="DefaultParagraphFont"/>
    <w:uiPriority w:val="99"/>
    <w:semiHidden/>
    <w:unhideWhenUsed/>
    <w:rsid w:val="00DF245D"/>
    <w:rPr>
      <w:sz w:val="16"/>
      <w:szCs w:val="16"/>
    </w:rPr>
  </w:style>
  <w:style w:type="paragraph" w:styleId="CommentText">
    <w:name w:val="annotation text"/>
    <w:basedOn w:val="Normal"/>
    <w:link w:val="CommentTextChar"/>
    <w:uiPriority w:val="99"/>
    <w:semiHidden/>
    <w:unhideWhenUsed/>
    <w:rsid w:val="00DF245D"/>
    <w:pPr>
      <w:spacing w:line="240" w:lineRule="auto"/>
    </w:pPr>
    <w:rPr>
      <w:sz w:val="20"/>
      <w:szCs w:val="20"/>
    </w:rPr>
  </w:style>
  <w:style w:type="character" w:customStyle="1" w:styleId="CommentTextChar">
    <w:name w:val="Comment Text Char"/>
    <w:basedOn w:val="DefaultParagraphFont"/>
    <w:link w:val="CommentText"/>
    <w:uiPriority w:val="99"/>
    <w:semiHidden/>
    <w:rsid w:val="00DF245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F245D"/>
    <w:rPr>
      <w:b/>
      <w:bCs/>
    </w:rPr>
  </w:style>
  <w:style w:type="character" w:customStyle="1" w:styleId="CommentSubjectChar">
    <w:name w:val="Comment Subject Char"/>
    <w:basedOn w:val="CommentTextChar"/>
    <w:link w:val="CommentSubject"/>
    <w:uiPriority w:val="99"/>
    <w:semiHidden/>
    <w:rsid w:val="00DF245D"/>
    <w:rPr>
      <w:rFonts w:ascii="Calibri" w:hAnsi="Calibri"/>
      <w:b/>
      <w:bCs/>
      <w:sz w:val="20"/>
      <w:szCs w:val="20"/>
    </w:rPr>
  </w:style>
  <w:style w:type="table" w:styleId="DarkList">
    <w:name w:val="Dark List"/>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0353F" w:themeFill="tex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71A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427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4272F" w:themeFill="text1" w:themeFillShade="BF"/>
      </w:tcPr>
    </w:tblStylePr>
    <w:tblStylePr w:type="band1Vert">
      <w:tblPr/>
      <w:tcPr>
        <w:tcBorders>
          <w:top w:val="nil"/>
          <w:left w:val="nil"/>
          <w:bottom w:val="nil"/>
          <w:right w:val="nil"/>
          <w:insideH w:val="nil"/>
          <w:insideV w:val="nil"/>
        </w:tcBorders>
        <w:shd w:val="clear" w:color="auto" w:fill="24272F" w:themeFill="text1" w:themeFillShade="BF"/>
      </w:tcPr>
    </w:tblStylePr>
    <w:tblStylePr w:type="band1Horz">
      <w:tblPr/>
      <w:tcPr>
        <w:tcBorders>
          <w:top w:val="nil"/>
          <w:left w:val="nil"/>
          <w:bottom w:val="nil"/>
          <w:right w:val="nil"/>
          <w:insideH w:val="nil"/>
          <w:insideV w:val="nil"/>
        </w:tcBorders>
        <w:shd w:val="clear" w:color="auto" w:fill="24272F" w:themeFill="text1" w:themeFillShade="BF"/>
      </w:tcPr>
    </w:tblStylePr>
  </w:style>
  <w:style w:type="table" w:styleId="DarkList-Accent1">
    <w:name w:val="Dark List Accent 1"/>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0094C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0049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E9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E93" w:themeFill="accent1" w:themeFillShade="BF"/>
      </w:tcPr>
    </w:tblStylePr>
    <w:tblStylePr w:type="band1Vert">
      <w:tblPr/>
      <w:tcPr>
        <w:tcBorders>
          <w:top w:val="nil"/>
          <w:left w:val="nil"/>
          <w:bottom w:val="nil"/>
          <w:right w:val="nil"/>
          <w:insideH w:val="nil"/>
          <w:insideV w:val="nil"/>
        </w:tcBorders>
        <w:shd w:val="clear" w:color="auto" w:fill="006E93" w:themeFill="accent1" w:themeFillShade="BF"/>
      </w:tcPr>
    </w:tblStylePr>
    <w:tblStylePr w:type="band1Horz">
      <w:tblPr/>
      <w:tcPr>
        <w:tcBorders>
          <w:top w:val="nil"/>
          <w:left w:val="nil"/>
          <w:bottom w:val="nil"/>
          <w:right w:val="nil"/>
          <w:insideH w:val="nil"/>
          <w:insideV w:val="nil"/>
        </w:tcBorders>
        <w:shd w:val="clear" w:color="auto" w:fill="006E93" w:themeFill="accent1" w:themeFillShade="BF"/>
      </w:tcPr>
    </w:tblStylePr>
  </w:style>
  <w:style w:type="table" w:styleId="DarkList-Accent2">
    <w:name w:val="Dark List Accent 2"/>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E500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72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00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0051" w:themeFill="accent2" w:themeFillShade="BF"/>
      </w:tcPr>
    </w:tblStylePr>
    <w:tblStylePr w:type="band1Vert">
      <w:tblPr/>
      <w:tcPr>
        <w:tcBorders>
          <w:top w:val="nil"/>
          <w:left w:val="nil"/>
          <w:bottom w:val="nil"/>
          <w:right w:val="nil"/>
          <w:insideH w:val="nil"/>
          <w:insideV w:val="nil"/>
        </w:tcBorders>
        <w:shd w:val="clear" w:color="auto" w:fill="AB0051" w:themeFill="accent2" w:themeFillShade="BF"/>
      </w:tcPr>
    </w:tblStylePr>
    <w:tblStylePr w:type="band1Horz">
      <w:tblPr/>
      <w:tcPr>
        <w:tcBorders>
          <w:top w:val="nil"/>
          <w:left w:val="nil"/>
          <w:bottom w:val="nil"/>
          <w:right w:val="nil"/>
          <w:insideH w:val="nil"/>
          <w:insideV w:val="nil"/>
        </w:tcBorders>
        <w:shd w:val="clear" w:color="auto" w:fill="AB0051" w:themeFill="accent2" w:themeFillShade="BF"/>
      </w:tcPr>
    </w:tblStylePr>
  </w:style>
  <w:style w:type="table" w:styleId="DarkList-Accent3">
    <w:name w:val="Dark List Accent 3"/>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2C2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511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19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1958" w:themeFill="accent3" w:themeFillShade="BF"/>
      </w:tcPr>
    </w:tblStylePr>
    <w:tblStylePr w:type="band1Vert">
      <w:tblPr/>
      <w:tcPr>
        <w:tcBorders>
          <w:top w:val="nil"/>
          <w:left w:val="nil"/>
          <w:bottom w:val="nil"/>
          <w:right w:val="nil"/>
          <w:insideH w:val="nil"/>
          <w:insideV w:val="nil"/>
        </w:tcBorders>
        <w:shd w:val="clear" w:color="auto" w:fill="201958" w:themeFill="accent3" w:themeFillShade="BF"/>
      </w:tcPr>
    </w:tblStylePr>
    <w:tblStylePr w:type="band1Horz">
      <w:tblPr/>
      <w:tcPr>
        <w:tcBorders>
          <w:top w:val="nil"/>
          <w:left w:val="nil"/>
          <w:bottom w:val="nil"/>
          <w:right w:val="nil"/>
          <w:insideH w:val="nil"/>
          <w:insideV w:val="nil"/>
        </w:tcBorders>
        <w:shd w:val="clear" w:color="auto" w:fill="201958" w:themeFill="accent3" w:themeFillShade="BF"/>
      </w:tcPr>
    </w:tblStylePr>
  </w:style>
  <w:style w:type="table" w:styleId="DarkList-Accent4">
    <w:name w:val="Dark List Accent 4"/>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7B124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3D09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0D3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0D32" w:themeFill="accent4" w:themeFillShade="BF"/>
      </w:tcPr>
    </w:tblStylePr>
    <w:tblStylePr w:type="band1Vert">
      <w:tblPr/>
      <w:tcPr>
        <w:tcBorders>
          <w:top w:val="nil"/>
          <w:left w:val="nil"/>
          <w:bottom w:val="nil"/>
          <w:right w:val="nil"/>
          <w:insideH w:val="nil"/>
          <w:insideV w:val="nil"/>
        </w:tcBorders>
        <w:shd w:val="clear" w:color="auto" w:fill="5B0D32" w:themeFill="accent4" w:themeFillShade="BF"/>
      </w:tcPr>
    </w:tblStylePr>
    <w:tblStylePr w:type="band1Horz">
      <w:tblPr/>
      <w:tcPr>
        <w:tcBorders>
          <w:top w:val="nil"/>
          <w:left w:val="nil"/>
          <w:bottom w:val="nil"/>
          <w:right w:val="nil"/>
          <w:insideH w:val="nil"/>
          <w:insideV w:val="nil"/>
        </w:tcBorders>
        <w:shd w:val="clear" w:color="auto" w:fill="5B0D32" w:themeFill="accent4" w:themeFillShade="BF"/>
      </w:tcPr>
    </w:tblStylePr>
  </w:style>
  <w:style w:type="table" w:styleId="DarkList-Accent5">
    <w:name w:val="Dark List Accent 5"/>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AFCA0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56640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2970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29708" w:themeFill="accent5" w:themeFillShade="BF"/>
      </w:tcPr>
    </w:tblStylePr>
    <w:tblStylePr w:type="band1Vert">
      <w:tblPr/>
      <w:tcPr>
        <w:tcBorders>
          <w:top w:val="nil"/>
          <w:left w:val="nil"/>
          <w:bottom w:val="nil"/>
          <w:right w:val="nil"/>
          <w:insideH w:val="nil"/>
          <w:insideV w:val="nil"/>
        </w:tcBorders>
        <w:shd w:val="clear" w:color="auto" w:fill="829708" w:themeFill="accent5" w:themeFillShade="BF"/>
      </w:tcPr>
    </w:tblStylePr>
    <w:tblStylePr w:type="band1Horz">
      <w:tblPr/>
      <w:tcPr>
        <w:tcBorders>
          <w:top w:val="nil"/>
          <w:left w:val="nil"/>
          <w:bottom w:val="nil"/>
          <w:right w:val="nil"/>
          <w:insideH w:val="nil"/>
          <w:insideV w:val="nil"/>
        </w:tcBorders>
        <w:shd w:val="clear" w:color="auto" w:fill="829708" w:themeFill="accent5" w:themeFillShade="BF"/>
      </w:tcPr>
    </w:tblStylePr>
  </w:style>
  <w:style w:type="table" w:styleId="DarkList-Accent6">
    <w:name w:val="Dark List Accent 6"/>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AAA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C54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B7F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B7F27" w:themeFill="accent6" w:themeFillShade="BF"/>
      </w:tcPr>
    </w:tblStylePr>
    <w:tblStylePr w:type="band1Vert">
      <w:tblPr/>
      <w:tcPr>
        <w:tcBorders>
          <w:top w:val="nil"/>
          <w:left w:val="nil"/>
          <w:bottom w:val="nil"/>
          <w:right w:val="nil"/>
          <w:insideH w:val="nil"/>
          <w:insideV w:val="nil"/>
        </w:tcBorders>
        <w:shd w:val="clear" w:color="auto" w:fill="2B7F27" w:themeFill="accent6" w:themeFillShade="BF"/>
      </w:tcPr>
    </w:tblStylePr>
    <w:tblStylePr w:type="band1Horz">
      <w:tblPr/>
      <w:tcPr>
        <w:tcBorders>
          <w:top w:val="nil"/>
          <w:left w:val="nil"/>
          <w:bottom w:val="nil"/>
          <w:right w:val="nil"/>
          <w:insideH w:val="nil"/>
          <w:insideV w:val="nil"/>
        </w:tcBorders>
        <w:shd w:val="clear" w:color="auto" w:fill="2B7F27" w:themeFill="accent6" w:themeFillShade="BF"/>
      </w:tcPr>
    </w:tblStylePr>
  </w:style>
  <w:style w:type="paragraph" w:styleId="DocumentMap">
    <w:name w:val="Document Map"/>
    <w:basedOn w:val="Normal"/>
    <w:link w:val="DocumentMapChar"/>
    <w:uiPriority w:val="99"/>
    <w:semiHidden/>
    <w:unhideWhenUsed/>
    <w:rsid w:val="00DF245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F245D"/>
    <w:rPr>
      <w:rFonts w:ascii="Segoe UI" w:hAnsi="Segoe UI" w:cs="Segoe UI"/>
      <w:sz w:val="16"/>
      <w:szCs w:val="16"/>
    </w:rPr>
  </w:style>
  <w:style w:type="paragraph" w:styleId="E-mailSignature">
    <w:name w:val="E-mail Signature"/>
    <w:basedOn w:val="Normal"/>
    <w:link w:val="E-mailSignatureChar"/>
    <w:uiPriority w:val="99"/>
    <w:semiHidden/>
    <w:unhideWhenUsed/>
    <w:rsid w:val="00DF245D"/>
    <w:pPr>
      <w:spacing w:after="0" w:line="240" w:lineRule="auto"/>
    </w:pPr>
  </w:style>
  <w:style w:type="character" w:customStyle="1" w:styleId="E-mailSignatureChar">
    <w:name w:val="E-mail Signature Char"/>
    <w:basedOn w:val="DefaultParagraphFont"/>
    <w:link w:val="E-mailSignature"/>
    <w:uiPriority w:val="99"/>
    <w:semiHidden/>
    <w:rsid w:val="00DF245D"/>
    <w:rPr>
      <w:rFonts w:ascii="Calibri" w:hAnsi="Calibri"/>
    </w:rPr>
  </w:style>
  <w:style w:type="character" w:styleId="EndnoteReference">
    <w:name w:val="endnote reference"/>
    <w:basedOn w:val="DefaultParagraphFont"/>
    <w:uiPriority w:val="99"/>
    <w:semiHidden/>
    <w:unhideWhenUsed/>
    <w:rsid w:val="00DF245D"/>
    <w:rPr>
      <w:vertAlign w:val="superscript"/>
    </w:rPr>
  </w:style>
  <w:style w:type="paragraph" w:styleId="EndnoteText">
    <w:name w:val="endnote text"/>
    <w:basedOn w:val="Normal"/>
    <w:link w:val="EndnoteTextChar"/>
    <w:uiPriority w:val="99"/>
    <w:semiHidden/>
    <w:unhideWhenUsed/>
    <w:rsid w:val="00DF24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45D"/>
    <w:rPr>
      <w:rFonts w:ascii="Calibri" w:hAnsi="Calibri"/>
      <w:sz w:val="20"/>
      <w:szCs w:val="20"/>
    </w:rPr>
  </w:style>
  <w:style w:type="paragraph" w:styleId="EnvelopeAddress">
    <w:name w:val="envelope address"/>
    <w:basedOn w:val="Normal"/>
    <w:uiPriority w:val="99"/>
    <w:semiHidden/>
    <w:unhideWhenUsed/>
    <w:rsid w:val="00DF245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F245D"/>
    <w:pPr>
      <w:spacing w:after="0" w:line="240" w:lineRule="auto"/>
    </w:pPr>
    <w:rPr>
      <w:rFonts w:asciiTheme="majorHAnsi" w:eastAsiaTheme="majorEastAsia" w:hAnsiTheme="majorHAnsi" w:cstheme="majorBidi"/>
      <w:sz w:val="20"/>
      <w:szCs w:val="20"/>
    </w:rPr>
  </w:style>
  <w:style w:type="table" w:styleId="GridTable1Light-Accent1">
    <w:name w:val="Grid Table 1 Light Accent 1"/>
    <w:basedOn w:val="TableNormal"/>
    <w:uiPriority w:val="46"/>
    <w:rsid w:val="00916CFA"/>
    <w:pPr>
      <w:spacing w:after="0" w:line="240" w:lineRule="auto"/>
    </w:pPr>
    <w:tblPr>
      <w:tblStyleRowBandSize w:val="1"/>
      <w:tblStyleColBandSize w:val="1"/>
      <w:tblInd w:w="851" w:type="dxa"/>
      <w:tblBorders>
        <w:top w:val="single" w:sz="4" w:space="0" w:color="81DFFF" w:themeColor="accent1" w:themeTint="66"/>
        <w:left w:val="single" w:sz="4" w:space="0" w:color="81DFFF" w:themeColor="accent1" w:themeTint="66"/>
        <w:bottom w:val="single" w:sz="4" w:space="0" w:color="81DFFF" w:themeColor="accent1" w:themeTint="66"/>
        <w:right w:val="single" w:sz="4" w:space="0" w:color="81DFFF" w:themeColor="accent1" w:themeTint="66"/>
        <w:insideH w:val="single" w:sz="4" w:space="0" w:color="81DFFF" w:themeColor="accent1" w:themeTint="66"/>
        <w:insideV w:val="single" w:sz="4" w:space="0" w:color="81DFFF" w:themeColor="accent1" w:themeTint="66"/>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2" w:space="0" w:color="43C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6CFA"/>
    <w:pPr>
      <w:spacing w:after="0" w:line="240" w:lineRule="auto"/>
    </w:pPr>
    <w:tblPr>
      <w:tblStyleRowBandSize w:val="1"/>
      <w:tblStyleColBandSize w:val="1"/>
      <w:tblInd w:w="851" w:type="dxa"/>
      <w:tblBorders>
        <w:top w:val="single" w:sz="4" w:space="0" w:color="FF8EC3" w:themeColor="accent2" w:themeTint="66"/>
        <w:left w:val="single" w:sz="4" w:space="0" w:color="FF8EC3" w:themeColor="accent2" w:themeTint="66"/>
        <w:bottom w:val="single" w:sz="4" w:space="0" w:color="FF8EC3" w:themeColor="accent2" w:themeTint="66"/>
        <w:right w:val="single" w:sz="4" w:space="0" w:color="FF8EC3" w:themeColor="accent2" w:themeTint="66"/>
        <w:insideH w:val="single" w:sz="4" w:space="0" w:color="FF8EC3" w:themeColor="accent2" w:themeTint="66"/>
        <w:insideV w:val="single" w:sz="4" w:space="0" w:color="FF8EC3" w:themeColor="accent2" w:themeTint="66"/>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2" w:space="0" w:color="FF56A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6CFA"/>
    <w:pPr>
      <w:spacing w:after="0" w:line="240" w:lineRule="auto"/>
    </w:pPr>
    <w:tblPr>
      <w:tblStyleRowBandSize w:val="1"/>
      <w:tblStyleColBandSize w:val="1"/>
      <w:tblInd w:w="851" w:type="dxa"/>
      <w:tblBorders>
        <w:top w:val="single" w:sz="4" w:space="0" w:color="998FDF" w:themeColor="accent3" w:themeTint="66"/>
        <w:left w:val="single" w:sz="4" w:space="0" w:color="998FDF" w:themeColor="accent3" w:themeTint="66"/>
        <w:bottom w:val="single" w:sz="4" w:space="0" w:color="998FDF" w:themeColor="accent3" w:themeTint="66"/>
        <w:right w:val="single" w:sz="4" w:space="0" w:color="998FDF" w:themeColor="accent3" w:themeTint="66"/>
        <w:insideH w:val="single" w:sz="4" w:space="0" w:color="998FDF" w:themeColor="accent3" w:themeTint="66"/>
        <w:insideV w:val="single" w:sz="4" w:space="0" w:color="998FDF" w:themeColor="accent3" w:themeTint="66"/>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2" w:space="0" w:color="6658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6CFA"/>
    <w:pPr>
      <w:spacing w:after="0" w:line="240" w:lineRule="auto"/>
    </w:pPr>
    <w:tblPr>
      <w:tblStyleRowBandSize w:val="1"/>
      <w:tblStyleColBandSize w:val="1"/>
      <w:tblInd w:w="851" w:type="dxa"/>
      <w:tblBorders>
        <w:top w:val="single" w:sz="4" w:space="0" w:color="EC7EB2" w:themeColor="accent4" w:themeTint="66"/>
        <w:left w:val="single" w:sz="4" w:space="0" w:color="EC7EB2" w:themeColor="accent4" w:themeTint="66"/>
        <w:bottom w:val="single" w:sz="4" w:space="0" w:color="EC7EB2" w:themeColor="accent4" w:themeTint="66"/>
        <w:right w:val="single" w:sz="4" w:space="0" w:color="EC7EB2" w:themeColor="accent4" w:themeTint="66"/>
        <w:insideH w:val="single" w:sz="4" w:space="0" w:color="EC7EB2" w:themeColor="accent4" w:themeTint="66"/>
        <w:insideV w:val="single" w:sz="4" w:space="0" w:color="EC7EB2" w:themeColor="accent4" w:themeTint="66"/>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2" w:space="0" w:color="E23D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6CFA"/>
    <w:pPr>
      <w:spacing w:after="0" w:line="240" w:lineRule="auto"/>
    </w:pPr>
    <w:tblPr>
      <w:tblStyleRowBandSize w:val="1"/>
      <w:tblStyleColBandSize w:val="1"/>
      <w:tblInd w:w="851" w:type="dxa"/>
      <w:tblBorders>
        <w:top w:val="single" w:sz="4" w:space="0" w:color="E9F88E" w:themeColor="accent5" w:themeTint="66"/>
        <w:left w:val="single" w:sz="4" w:space="0" w:color="E9F88E" w:themeColor="accent5" w:themeTint="66"/>
        <w:bottom w:val="single" w:sz="4" w:space="0" w:color="E9F88E" w:themeColor="accent5" w:themeTint="66"/>
        <w:right w:val="single" w:sz="4" w:space="0" w:color="E9F88E" w:themeColor="accent5" w:themeTint="66"/>
        <w:insideH w:val="single" w:sz="4" w:space="0" w:color="E9F88E" w:themeColor="accent5" w:themeTint="66"/>
        <w:insideV w:val="single" w:sz="4" w:space="0" w:color="E9F88E" w:themeColor="accent5" w:themeTint="66"/>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2" w:space="0" w:color="DEF55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F245D"/>
    <w:pPr>
      <w:spacing w:after="0" w:line="240" w:lineRule="auto"/>
    </w:pPr>
    <w:tblPr>
      <w:tblStyleRowBandSize w:val="1"/>
      <w:tblStyleColBandSize w:val="1"/>
      <w:tblBorders>
        <w:top w:val="single" w:sz="4" w:space="0" w:color="A9E3A7" w:themeColor="accent6" w:themeTint="66"/>
        <w:left w:val="single" w:sz="4" w:space="0" w:color="A9E3A7" w:themeColor="accent6" w:themeTint="66"/>
        <w:bottom w:val="single" w:sz="4" w:space="0" w:color="A9E3A7" w:themeColor="accent6" w:themeTint="66"/>
        <w:right w:val="single" w:sz="4" w:space="0" w:color="A9E3A7" w:themeColor="accent6" w:themeTint="66"/>
        <w:insideH w:val="single" w:sz="4" w:space="0" w:color="A9E3A7" w:themeColor="accent6" w:themeTint="66"/>
        <w:insideV w:val="single" w:sz="4" w:space="0" w:color="A9E3A7" w:themeColor="accent6" w:themeTint="66"/>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2" w:space="0" w:color="7FD67B"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F245D"/>
    <w:pPr>
      <w:spacing w:after="0" w:line="240" w:lineRule="auto"/>
    </w:pPr>
    <w:tblPr>
      <w:tblStyleRowBandSize w:val="1"/>
      <w:tblStyleColBandSize w:val="1"/>
      <w:tblBorders>
        <w:top w:val="single" w:sz="2" w:space="0" w:color="43CFFF" w:themeColor="accent1" w:themeTint="99"/>
        <w:bottom w:val="single" w:sz="2" w:space="0" w:color="43CFFF" w:themeColor="accent1" w:themeTint="99"/>
        <w:insideH w:val="single" w:sz="2" w:space="0" w:color="43CFFF" w:themeColor="accent1" w:themeTint="99"/>
        <w:insideV w:val="single" w:sz="2" w:space="0" w:color="43CFFF" w:themeColor="accent1" w:themeTint="99"/>
      </w:tblBorders>
    </w:tblPr>
    <w:tblStylePr w:type="firstRow">
      <w:rPr>
        <w:b/>
        <w:bCs/>
      </w:rPr>
      <w:tblPr/>
      <w:tcPr>
        <w:tcBorders>
          <w:top w:val="nil"/>
          <w:bottom w:val="single" w:sz="12" w:space="0" w:color="43CFFF" w:themeColor="accent1" w:themeTint="99"/>
          <w:insideH w:val="nil"/>
          <w:insideV w:val="nil"/>
        </w:tcBorders>
        <w:shd w:val="clear" w:color="auto" w:fill="FFFFFF" w:themeFill="background1"/>
      </w:tcPr>
    </w:tblStylePr>
    <w:tblStylePr w:type="lastRow">
      <w:rPr>
        <w:b/>
        <w:bCs/>
      </w:rPr>
      <w:tblPr/>
      <w:tcPr>
        <w:tcBorders>
          <w:top w:val="double" w:sz="2" w:space="0" w:color="43C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2-Accent2">
    <w:name w:val="Grid Table 2 Accent 2"/>
    <w:basedOn w:val="TableNormal"/>
    <w:uiPriority w:val="47"/>
    <w:rsid w:val="00DF245D"/>
    <w:pPr>
      <w:spacing w:after="0" w:line="240" w:lineRule="auto"/>
    </w:pPr>
    <w:tblPr>
      <w:tblStyleRowBandSize w:val="1"/>
      <w:tblStyleColBandSize w:val="1"/>
      <w:tblBorders>
        <w:top w:val="single" w:sz="2" w:space="0" w:color="FF56A6" w:themeColor="accent2" w:themeTint="99"/>
        <w:bottom w:val="single" w:sz="2" w:space="0" w:color="FF56A6" w:themeColor="accent2" w:themeTint="99"/>
        <w:insideH w:val="single" w:sz="2" w:space="0" w:color="FF56A6" w:themeColor="accent2" w:themeTint="99"/>
        <w:insideV w:val="single" w:sz="2" w:space="0" w:color="FF56A6" w:themeColor="accent2" w:themeTint="99"/>
      </w:tblBorders>
    </w:tblPr>
    <w:tblStylePr w:type="firstRow">
      <w:rPr>
        <w:b/>
        <w:bCs/>
      </w:rPr>
      <w:tblPr/>
      <w:tcPr>
        <w:tcBorders>
          <w:top w:val="nil"/>
          <w:bottom w:val="single" w:sz="12" w:space="0" w:color="FF56A6" w:themeColor="accent2" w:themeTint="99"/>
          <w:insideH w:val="nil"/>
          <w:insideV w:val="nil"/>
        </w:tcBorders>
        <w:shd w:val="clear" w:color="auto" w:fill="FFFFFF" w:themeFill="background1"/>
      </w:tcPr>
    </w:tblStylePr>
    <w:tblStylePr w:type="lastRow">
      <w:rPr>
        <w:b/>
        <w:bCs/>
      </w:rPr>
      <w:tblPr/>
      <w:tcPr>
        <w:tcBorders>
          <w:top w:val="double" w:sz="2" w:space="0" w:color="FF56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2-Accent3">
    <w:name w:val="Grid Table 2 Accent 3"/>
    <w:basedOn w:val="TableNormal"/>
    <w:uiPriority w:val="47"/>
    <w:rsid w:val="00DF245D"/>
    <w:pPr>
      <w:spacing w:after="0" w:line="240" w:lineRule="auto"/>
    </w:pPr>
    <w:tblPr>
      <w:tblStyleRowBandSize w:val="1"/>
      <w:tblStyleColBandSize w:val="1"/>
      <w:tblBorders>
        <w:top w:val="single" w:sz="2" w:space="0" w:color="6658CF" w:themeColor="accent3" w:themeTint="99"/>
        <w:bottom w:val="single" w:sz="2" w:space="0" w:color="6658CF" w:themeColor="accent3" w:themeTint="99"/>
        <w:insideH w:val="single" w:sz="2" w:space="0" w:color="6658CF" w:themeColor="accent3" w:themeTint="99"/>
        <w:insideV w:val="single" w:sz="2" w:space="0" w:color="6658CF" w:themeColor="accent3" w:themeTint="99"/>
      </w:tblBorders>
    </w:tblPr>
    <w:tblStylePr w:type="firstRow">
      <w:rPr>
        <w:b/>
        <w:bCs/>
      </w:rPr>
      <w:tblPr/>
      <w:tcPr>
        <w:tcBorders>
          <w:top w:val="nil"/>
          <w:bottom w:val="single" w:sz="12" w:space="0" w:color="6658CF" w:themeColor="accent3" w:themeTint="99"/>
          <w:insideH w:val="nil"/>
          <w:insideV w:val="nil"/>
        </w:tcBorders>
        <w:shd w:val="clear" w:color="auto" w:fill="FFFFFF" w:themeFill="background1"/>
      </w:tcPr>
    </w:tblStylePr>
    <w:tblStylePr w:type="lastRow">
      <w:rPr>
        <w:b/>
        <w:bCs/>
      </w:rPr>
      <w:tblPr/>
      <w:tcPr>
        <w:tcBorders>
          <w:top w:val="double" w:sz="2" w:space="0" w:color="6658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2-Accent4">
    <w:name w:val="Grid Table 2 Accent 4"/>
    <w:basedOn w:val="TableNormal"/>
    <w:uiPriority w:val="47"/>
    <w:rsid w:val="00DF245D"/>
    <w:pPr>
      <w:spacing w:after="0" w:line="240" w:lineRule="auto"/>
    </w:pPr>
    <w:tblPr>
      <w:tblStyleRowBandSize w:val="1"/>
      <w:tblStyleColBandSize w:val="1"/>
      <w:tblBorders>
        <w:top w:val="single" w:sz="2" w:space="0" w:color="E23D8B" w:themeColor="accent4" w:themeTint="99"/>
        <w:bottom w:val="single" w:sz="2" w:space="0" w:color="E23D8B" w:themeColor="accent4" w:themeTint="99"/>
        <w:insideH w:val="single" w:sz="2" w:space="0" w:color="E23D8B" w:themeColor="accent4" w:themeTint="99"/>
        <w:insideV w:val="single" w:sz="2" w:space="0" w:color="E23D8B" w:themeColor="accent4" w:themeTint="99"/>
      </w:tblBorders>
    </w:tblPr>
    <w:tblStylePr w:type="firstRow">
      <w:rPr>
        <w:b/>
        <w:bCs/>
      </w:rPr>
      <w:tblPr/>
      <w:tcPr>
        <w:tcBorders>
          <w:top w:val="nil"/>
          <w:bottom w:val="single" w:sz="12" w:space="0" w:color="E23D8B" w:themeColor="accent4" w:themeTint="99"/>
          <w:insideH w:val="nil"/>
          <w:insideV w:val="nil"/>
        </w:tcBorders>
        <w:shd w:val="clear" w:color="auto" w:fill="FFFFFF" w:themeFill="background1"/>
      </w:tcPr>
    </w:tblStylePr>
    <w:tblStylePr w:type="lastRow">
      <w:rPr>
        <w:b/>
        <w:bCs/>
      </w:rPr>
      <w:tblPr/>
      <w:tcPr>
        <w:tcBorders>
          <w:top w:val="double" w:sz="2" w:space="0" w:color="E23D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2-Accent5">
    <w:name w:val="Grid Table 2 Accent 5"/>
    <w:basedOn w:val="TableNormal"/>
    <w:uiPriority w:val="47"/>
    <w:rsid w:val="00DF245D"/>
    <w:pPr>
      <w:spacing w:after="0" w:line="240" w:lineRule="auto"/>
    </w:pPr>
    <w:tblPr>
      <w:tblStyleRowBandSize w:val="1"/>
      <w:tblStyleColBandSize w:val="1"/>
      <w:tblBorders>
        <w:top w:val="single" w:sz="2" w:space="0" w:color="DEF555" w:themeColor="accent5" w:themeTint="99"/>
        <w:bottom w:val="single" w:sz="2" w:space="0" w:color="DEF555" w:themeColor="accent5" w:themeTint="99"/>
        <w:insideH w:val="single" w:sz="2" w:space="0" w:color="DEF555" w:themeColor="accent5" w:themeTint="99"/>
        <w:insideV w:val="single" w:sz="2" w:space="0" w:color="DEF555" w:themeColor="accent5" w:themeTint="99"/>
      </w:tblBorders>
    </w:tblPr>
    <w:tblStylePr w:type="firstRow">
      <w:rPr>
        <w:b/>
        <w:bCs/>
      </w:rPr>
      <w:tblPr/>
      <w:tcPr>
        <w:tcBorders>
          <w:top w:val="nil"/>
          <w:bottom w:val="single" w:sz="12" w:space="0" w:color="DEF555" w:themeColor="accent5" w:themeTint="99"/>
          <w:insideH w:val="nil"/>
          <w:insideV w:val="nil"/>
        </w:tcBorders>
        <w:shd w:val="clear" w:color="auto" w:fill="FFFFFF" w:themeFill="background1"/>
      </w:tcPr>
    </w:tblStylePr>
    <w:tblStylePr w:type="lastRow">
      <w:rPr>
        <w:b/>
        <w:bCs/>
      </w:rPr>
      <w:tblPr/>
      <w:tcPr>
        <w:tcBorders>
          <w:top w:val="double" w:sz="2" w:space="0" w:color="DEF55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2-Accent6">
    <w:name w:val="Grid Table 2 Accent 6"/>
    <w:basedOn w:val="TableNormal"/>
    <w:uiPriority w:val="47"/>
    <w:rsid w:val="00DF245D"/>
    <w:pPr>
      <w:spacing w:after="0" w:line="240" w:lineRule="auto"/>
    </w:pPr>
    <w:tblPr>
      <w:tblStyleRowBandSize w:val="1"/>
      <w:tblStyleColBandSize w:val="1"/>
      <w:tblBorders>
        <w:top w:val="single" w:sz="2" w:space="0" w:color="7FD67B" w:themeColor="accent6" w:themeTint="99"/>
        <w:bottom w:val="single" w:sz="2" w:space="0" w:color="7FD67B" w:themeColor="accent6" w:themeTint="99"/>
        <w:insideH w:val="single" w:sz="2" w:space="0" w:color="7FD67B" w:themeColor="accent6" w:themeTint="99"/>
        <w:insideV w:val="single" w:sz="2" w:space="0" w:color="7FD67B" w:themeColor="accent6" w:themeTint="99"/>
      </w:tblBorders>
    </w:tblPr>
    <w:tblStylePr w:type="firstRow">
      <w:rPr>
        <w:b/>
        <w:bCs/>
      </w:rPr>
      <w:tblPr/>
      <w:tcPr>
        <w:tcBorders>
          <w:top w:val="nil"/>
          <w:bottom w:val="single" w:sz="12" w:space="0" w:color="7FD67B" w:themeColor="accent6" w:themeTint="99"/>
          <w:insideH w:val="nil"/>
          <w:insideV w:val="nil"/>
        </w:tcBorders>
        <w:shd w:val="clear" w:color="auto" w:fill="FFFFFF" w:themeFill="background1"/>
      </w:tcPr>
    </w:tblStylePr>
    <w:tblStylePr w:type="lastRow">
      <w:rPr>
        <w:b/>
        <w:bCs/>
      </w:rPr>
      <w:tblPr/>
      <w:tcPr>
        <w:tcBorders>
          <w:top w:val="double" w:sz="2" w:space="0" w:color="7FD6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3-Accent1">
    <w:name w:val="Grid Table 3 Accent 1"/>
    <w:basedOn w:val="TableNormal"/>
    <w:uiPriority w:val="48"/>
    <w:rsid w:val="00DF245D"/>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3-Accent2">
    <w:name w:val="Grid Table 3 Accent 2"/>
    <w:basedOn w:val="TableNormal"/>
    <w:uiPriority w:val="48"/>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3-Accent3">
    <w:name w:val="Grid Table 3 Accent 3"/>
    <w:basedOn w:val="TableNormal"/>
    <w:uiPriority w:val="48"/>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3-Accent4">
    <w:name w:val="Grid Table 3 Accent 4"/>
    <w:basedOn w:val="TableNormal"/>
    <w:uiPriority w:val="48"/>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3-Accent5">
    <w:name w:val="Grid Table 3 Accent 5"/>
    <w:basedOn w:val="TableNormal"/>
    <w:uiPriority w:val="48"/>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3-Accent6">
    <w:name w:val="Grid Table 3 Accent 6"/>
    <w:basedOn w:val="TableNormal"/>
    <w:uiPriority w:val="48"/>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table" w:styleId="GridTable4-Accent2">
    <w:name w:val="Grid Table 4 Accent 2"/>
    <w:basedOn w:val="TableNormal"/>
    <w:uiPriority w:val="49"/>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color w:val="FFFFFF" w:themeColor="background1"/>
      </w:rPr>
      <w:tblPr/>
      <w:tcPr>
        <w:tcBorders>
          <w:top w:val="single" w:sz="4" w:space="0" w:color="E5006D" w:themeColor="accent2"/>
          <w:left w:val="single" w:sz="4" w:space="0" w:color="E5006D" w:themeColor="accent2"/>
          <w:bottom w:val="single" w:sz="4" w:space="0" w:color="E5006D" w:themeColor="accent2"/>
          <w:right w:val="single" w:sz="4" w:space="0" w:color="E5006D" w:themeColor="accent2"/>
          <w:insideH w:val="nil"/>
          <w:insideV w:val="nil"/>
        </w:tcBorders>
        <w:shd w:val="clear" w:color="auto" w:fill="E5006D" w:themeFill="accent2"/>
      </w:tcPr>
    </w:tblStylePr>
    <w:tblStylePr w:type="lastRow">
      <w:rPr>
        <w:b/>
        <w:bCs/>
      </w:rPr>
      <w:tblPr/>
      <w:tcPr>
        <w:tcBorders>
          <w:top w:val="double" w:sz="4" w:space="0" w:color="E5006D" w:themeColor="accent2"/>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4-Accent3">
    <w:name w:val="Grid Table 4 Accent 3"/>
    <w:basedOn w:val="TableNormal"/>
    <w:uiPriority w:val="49"/>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color w:val="FFFFFF" w:themeColor="background1"/>
      </w:rPr>
      <w:tblPr/>
      <w:tcPr>
        <w:tcBorders>
          <w:top w:val="single" w:sz="4" w:space="0" w:color="2C2276" w:themeColor="accent3"/>
          <w:left w:val="single" w:sz="4" w:space="0" w:color="2C2276" w:themeColor="accent3"/>
          <w:bottom w:val="single" w:sz="4" w:space="0" w:color="2C2276" w:themeColor="accent3"/>
          <w:right w:val="single" w:sz="4" w:space="0" w:color="2C2276" w:themeColor="accent3"/>
          <w:insideH w:val="nil"/>
          <w:insideV w:val="nil"/>
        </w:tcBorders>
        <w:shd w:val="clear" w:color="auto" w:fill="2C2276" w:themeFill="accent3"/>
      </w:tcPr>
    </w:tblStylePr>
    <w:tblStylePr w:type="lastRow">
      <w:rPr>
        <w:b/>
        <w:bCs/>
      </w:rPr>
      <w:tblPr/>
      <w:tcPr>
        <w:tcBorders>
          <w:top w:val="double" w:sz="4" w:space="0" w:color="2C2276" w:themeColor="accent3"/>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4-Accent4">
    <w:name w:val="Grid Table 4 Accent 4"/>
    <w:basedOn w:val="TableNormal"/>
    <w:uiPriority w:val="49"/>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color w:val="FFFFFF" w:themeColor="background1"/>
      </w:rPr>
      <w:tblPr/>
      <w:tcPr>
        <w:tcBorders>
          <w:top w:val="single" w:sz="4" w:space="0" w:color="7B1244" w:themeColor="accent4"/>
          <w:left w:val="single" w:sz="4" w:space="0" w:color="7B1244" w:themeColor="accent4"/>
          <w:bottom w:val="single" w:sz="4" w:space="0" w:color="7B1244" w:themeColor="accent4"/>
          <w:right w:val="single" w:sz="4" w:space="0" w:color="7B1244" w:themeColor="accent4"/>
          <w:insideH w:val="nil"/>
          <w:insideV w:val="nil"/>
        </w:tcBorders>
        <w:shd w:val="clear" w:color="auto" w:fill="7B1244" w:themeFill="accent4"/>
      </w:tcPr>
    </w:tblStylePr>
    <w:tblStylePr w:type="lastRow">
      <w:rPr>
        <w:b/>
        <w:bCs/>
      </w:rPr>
      <w:tblPr/>
      <w:tcPr>
        <w:tcBorders>
          <w:top w:val="double" w:sz="4" w:space="0" w:color="7B1244" w:themeColor="accent4"/>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4-Accent5">
    <w:name w:val="Grid Table 4 Accent 5"/>
    <w:basedOn w:val="TableNormal"/>
    <w:uiPriority w:val="49"/>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color w:val="FFFFFF" w:themeColor="background1"/>
      </w:rPr>
      <w:tblPr/>
      <w:tcPr>
        <w:tcBorders>
          <w:top w:val="single" w:sz="4" w:space="0" w:color="AFCA0B" w:themeColor="accent5"/>
          <w:left w:val="single" w:sz="4" w:space="0" w:color="AFCA0B" w:themeColor="accent5"/>
          <w:bottom w:val="single" w:sz="4" w:space="0" w:color="AFCA0B" w:themeColor="accent5"/>
          <w:right w:val="single" w:sz="4" w:space="0" w:color="AFCA0B" w:themeColor="accent5"/>
          <w:insideH w:val="nil"/>
          <w:insideV w:val="nil"/>
        </w:tcBorders>
        <w:shd w:val="clear" w:color="auto" w:fill="AFCA0B" w:themeFill="accent5"/>
      </w:tcPr>
    </w:tblStylePr>
    <w:tblStylePr w:type="lastRow">
      <w:rPr>
        <w:b/>
        <w:bCs/>
      </w:rPr>
      <w:tblPr/>
      <w:tcPr>
        <w:tcBorders>
          <w:top w:val="double" w:sz="4" w:space="0" w:color="AFCA0B" w:themeColor="accent5"/>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4-Accent6">
    <w:name w:val="Grid Table 4 Accent 6"/>
    <w:basedOn w:val="TableNormal"/>
    <w:uiPriority w:val="49"/>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color w:val="FFFFFF" w:themeColor="background1"/>
      </w:rPr>
      <w:tblPr/>
      <w:tcPr>
        <w:tcBorders>
          <w:top w:val="single" w:sz="4" w:space="0" w:color="3AAA35" w:themeColor="accent6"/>
          <w:left w:val="single" w:sz="4" w:space="0" w:color="3AAA35" w:themeColor="accent6"/>
          <w:bottom w:val="single" w:sz="4" w:space="0" w:color="3AAA35" w:themeColor="accent6"/>
          <w:right w:val="single" w:sz="4" w:space="0" w:color="3AAA35" w:themeColor="accent6"/>
          <w:insideH w:val="nil"/>
          <w:insideV w:val="nil"/>
        </w:tcBorders>
        <w:shd w:val="clear" w:color="auto" w:fill="3AAA35" w:themeFill="accent6"/>
      </w:tcPr>
    </w:tblStylePr>
    <w:tblStylePr w:type="lastRow">
      <w:rPr>
        <w:b/>
        <w:bCs/>
      </w:rPr>
      <w:tblPr/>
      <w:tcPr>
        <w:tcBorders>
          <w:top w:val="double" w:sz="4" w:space="0" w:color="3AAA35" w:themeColor="accent6"/>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5Dark-Accent2">
    <w:name w:val="Grid Table 5 Dark Accent 2"/>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6D" w:themeFill="accent2"/>
      </w:tcPr>
    </w:tblStylePr>
    <w:tblStylePr w:type="band1Vert">
      <w:tblPr/>
      <w:tcPr>
        <w:shd w:val="clear" w:color="auto" w:fill="FF8EC3" w:themeFill="accent2" w:themeFillTint="66"/>
      </w:tcPr>
    </w:tblStylePr>
    <w:tblStylePr w:type="band1Horz">
      <w:tblPr/>
      <w:tcPr>
        <w:shd w:val="clear" w:color="auto" w:fill="FF8EC3" w:themeFill="accent2" w:themeFillTint="66"/>
      </w:tcPr>
    </w:tblStylePr>
  </w:style>
  <w:style w:type="table" w:styleId="GridTable5Dark-Accent3">
    <w:name w:val="Grid Table 5 Dark Accent 3"/>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7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27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27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27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276" w:themeFill="accent3"/>
      </w:tcPr>
    </w:tblStylePr>
    <w:tblStylePr w:type="band1Vert">
      <w:tblPr/>
      <w:tcPr>
        <w:shd w:val="clear" w:color="auto" w:fill="998FDF" w:themeFill="accent3" w:themeFillTint="66"/>
      </w:tcPr>
    </w:tblStylePr>
    <w:tblStylePr w:type="band1Horz">
      <w:tblPr/>
      <w:tcPr>
        <w:shd w:val="clear" w:color="auto" w:fill="998FDF" w:themeFill="accent3" w:themeFillTint="66"/>
      </w:tcPr>
    </w:tblStylePr>
  </w:style>
  <w:style w:type="table" w:styleId="GridTable5Dark-Accent4">
    <w:name w:val="Grid Table 5 Dark Accent 4"/>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E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124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124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124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1244" w:themeFill="accent4"/>
      </w:tcPr>
    </w:tblStylePr>
    <w:tblStylePr w:type="band1Vert">
      <w:tblPr/>
      <w:tcPr>
        <w:shd w:val="clear" w:color="auto" w:fill="EC7EB2" w:themeFill="accent4" w:themeFillTint="66"/>
      </w:tcPr>
    </w:tblStylePr>
    <w:tblStylePr w:type="band1Horz">
      <w:tblPr/>
      <w:tcPr>
        <w:shd w:val="clear" w:color="auto" w:fill="EC7EB2" w:themeFill="accent4" w:themeFillTint="66"/>
      </w:tcPr>
    </w:tblStylePr>
  </w:style>
  <w:style w:type="table" w:styleId="GridTable5Dark-Accent5">
    <w:name w:val="Grid Table 5 Dark Accent 5"/>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A0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A0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A0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A0B" w:themeFill="accent5"/>
      </w:tcPr>
    </w:tblStylePr>
    <w:tblStylePr w:type="band1Vert">
      <w:tblPr/>
      <w:tcPr>
        <w:shd w:val="clear" w:color="auto" w:fill="E9F88E" w:themeFill="accent5" w:themeFillTint="66"/>
      </w:tcPr>
    </w:tblStylePr>
    <w:tblStylePr w:type="band1Horz">
      <w:tblPr/>
      <w:tcPr>
        <w:shd w:val="clear" w:color="auto" w:fill="E9F88E" w:themeFill="accent5" w:themeFillTint="66"/>
      </w:tcPr>
    </w:tblStylePr>
  </w:style>
  <w:style w:type="table" w:styleId="GridTable5Dark-Accent6">
    <w:name w:val="Grid Table 5 Dark Accent 6"/>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A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A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A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A35" w:themeFill="accent6"/>
      </w:tcPr>
    </w:tblStylePr>
    <w:tblStylePr w:type="band1Vert">
      <w:tblPr/>
      <w:tcPr>
        <w:shd w:val="clear" w:color="auto" w:fill="A9E3A7" w:themeFill="accent6" w:themeFillTint="66"/>
      </w:tcPr>
    </w:tblStylePr>
    <w:tblStylePr w:type="band1Horz">
      <w:tblPr/>
      <w:tcPr>
        <w:shd w:val="clear" w:color="auto" w:fill="A9E3A7" w:themeFill="accent6" w:themeFillTint="66"/>
      </w:tcPr>
    </w:tblStylePr>
  </w:style>
  <w:style w:type="table" w:styleId="GridTable6Colorful-Accent1">
    <w:name w:val="Grid Table 6 Colorful Accent 1"/>
    <w:basedOn w:val="TableNormal"/>
    <w:uiPriority w:val="51"/>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4" w:space="0" w:color="43CFFF" w:themeColor="accent1" w:themeTint="99"/>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6Colorful-Accent2">
    <w:name w:val="Grid Table 6 Colorful Accent 2"/>
    <w:basedOn w:val="TableNormal"/>
    <w:uiPriority w:val="51"/>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4" w:space="0" w:color="FF56A6" w:themeColor="accent2" w:themeTint="99"/>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6Colorful-Accent3">
    <w:name w:val="Grid Table 6 Colorful Accent 3"/>
    <w:basedOn w:val="TableNormal"/>
    <w:uiPriority w:val="51"/>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4" w:space="0" w:color="6658CF" w:themeColor="accent3" w:themeTint="99"/>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6Colorful-Accent4">
    <w:name w:val="Grid Table 6 Colorful Accent 4"/>
    <w:basedOn w:val="TableNormal"/>
    <w:uiPriority w:val="51"/>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4" w:space="0" w:color="E23D8B" w:themeColor="accent4" w:themeTint="99"/>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6Colorful-Accent5">
    <w:name w:val="Grid Table 6 Colorful Accent 5"/>
    <w:basedOn w:val="TableNormal"/>
    <w:uiPriority w:val="51"/>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4" w:space="0" w:color="DEF555" w:themeColor="accent5" w:themeTint="99"/>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6Colorful-Accent6">
    <w:name w:val="Grid Table 6 Colorful Accent 6"/>
    <w:basedOn w:val="TableNormal"/>
    <w:uiPriority w:val="51"/>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4" w:space="0" w:color="7FD67B" w:themeColor="accent6" w:themeTint="99"/>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7Colorful">
    <w:name w:val="Grid Table 7 Colorful"/>
    <w:basedOn w:val="TableNormal"/>
    <w:uiPriority w:val="52"/>
    <w:rsid w:val="00DF245D"/>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7Colorful-Accent1">
    <w:name w:val="Grid Table 7 Colorful Accent 1"/>
    <w:basedOn w:val="TableNormal"/>
    <w:uiPriority w:val="52"/>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7Colorful-Accent2">
    <w:name w:val="Grid Table 7 Colorful Accent 2"/>
    <w:basedOn w:val="TableNormal"/>
    <w:uiPriority w:val="52"/>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7Colorful-Accent3">
    <w:name w:val="Grid Table 7 Colorful Accent 3"/>
    <w:basedOn w:val="TableNormal"/>
    <w:uiPriority w:val="52"/>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7Colorful-Accent4">
    <w:name w:val="Grid Table 7 Colorful Accent 4"/>
    <w:basedOn w:val="TableNormal"/>
    <w:uiPriority w:val="52"/>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7Colorful-Accent5">
    <w:name w:val="Grid Table 7 Colorful Accent 5"/>
    <w:basedOn w:val="TableNormal"/>
    <w:uiPriority w:val="52"/>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7Colorful-Accent6">
    <w:name w:val="Grid Table 7 Colorful Accent 6"/>
    <w:basedOn w:val="TableNormal"/>
    <w:uiPriority w:val="52"/>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character" w:styleId="Hashtag">
    <w:name w:val="Hashtag"/>
    <w:basedOn w:val="DefaultParagraphFont"/>
    <w:uiPriority w:val="99"/>
    <w:semiHidden/>
    <w:unhideWhenUsed/>
    <w:rsid w:val="00DF245D"/>
    <w:rPr>
      <w:color w:val="2B579A"/>
      <w:shd w:val="clear" w:color="auto" w:fill="E1DFDD"/>
    </w:rPr>
  </w:style>
  <w:style w:type="character" w:styleId="HTMLAcronym">
    <w:name w:val="HTML Acronym"/>
    <w:basedOn w:val="DefaultParagraphFont"/>
    <w:uiPriority w:val="99"/>
    <w:semiHidden/>
    <w:unhideWhenUsed/>
    <w:rsid w:val="00DF245D"/>
  </w:style>
  <w:style w:type="paragraph" w:styleId="HTMLAddress">
    <w:name w:val="HTML Address"/>
    <w:basedOn w:val="Normal"/>
    <w:link w:val="HTMLAddressChar"/>
    <w:uiPriority w:val="99"/>
    <w:semiHidden/>
    <w:unhideWhenUsed/>
    <w:rsid w:val="00DF245D"/>
    <w:pPr>
      <w:spacing w:after="0" w:line="240" w:lineRule="auto"/>
    </w:pPr>
    <w:rPr>
      <w:i/>
      <w:iCs/>
    </w:rPr>
  </w:style>
  <w:style w:type="character" w:customStyle="1" w:styleId="HTMLAddressChar">
    <w:name w:val="HTML Address Char"/>
    <w:basedOn w:val="DefaultParagraphFont"/>
    <w:link w:val="HTMLAddress"/>
    <w:uiPriority w:val="99"/>
    <w:semiHidden/>
    <w:rsid w:val="00DF245D"/>
    <w:rPr>
      <w:rFonts w:ascii="Calibri" w:hAnsi="Calibri"/>
      <w:i/>
      <w:iCs/>
    </w:rPr>
  </w:style>
  <w:style w:type="character" w:styleId="HTMLCite">
    <w:name w:val="HTML Cite"/>
    <w:basedOn w:val="DefaultParagraphFont"/>
    <w:uiPriority w:val="99"/>
    <w:semiHidden/>
    <w:unhideWhenUsed/>
    <w:rsid w:val="00DF245D"/>
    <w:rPr>
      <w:i/>
      <w:iCs/>
    </w:rPr>
  </w:style>
  <w:style w:type="character" w:styleId="HTMLCode">
    <w:name w:val="HTML Code"/>
    <w:basedOn w:val="DefaultParagraphFont"/>
    <w:uiPriority w:val="99"/>
    <w:semiHidden/>
    <w:unhideWhenUsed/>
    <w:rsid w:val="00DF245D"/>
    <w:rPr>
      <w:rFonts w:ascii="Consolas" w:hAnsi="Consolas"/>
      <w:sz w:val="20"/>
      <w:szCs w:val="20"/>
    </w:rPr>
  </w:style>
  <w:style w:type="character" w:styleId="HTMLDefinition">
    <w:name w:val="HTML Definition"/>
    <w:basedOn w:val="DefaultParagraphFont"/>
    <w:uiPriority w:val="99"/>
    <w:semiHidden/>
    <w:unhideWhenUsed/>
    <w:rsid w:val="00DF245D"/>
    <w:rPr>
      <w:i/>
      <w:iCs/>
    </w:rPr>
  </w:style>
  <w:style w:type="character" w:styleId="HTMLKeyboard">
    <w:name w:val="HTML Keyboard"/>
    <w:basedOn w:val="DefaultParagraphFont"/>
    <w:uiPriority w:val="99"/>
    <w:semiHidden/>
    <w:unhideWhenUsed/>
    <w:rsid w:val="00DF245D"/>
    <w:rPr>
      <w:rFonts w:ascii="Consolas" w:hAnsi="Consolas"/>
      <w:sz w:val="20"/>
      <w:szCs w:val="20"/>
    </w:rPr>
  </w:style>
  <w:style w:type="paragraph" w:styleId="HTMLPreformatted">
    <w:name w:val="HTML Preformatted"/>
    <w:basedOn w:val="Normal"/>
    <w:link w:val="HTMLPreformattedChar"/>
    <w:uiPriority w:val="99"/>
    <w:semiHidden/>
    <w:unhideWhenUsed/>
    <w:rsid w:val="00DF24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F245D"/>
    <w:rPr>
      <w:rFonts w:ascii="Consolas" w:hAnsi="Consolas"/>
      <w:sz w:val="20"/>
      <w:szCs w:val="20"/>
    </w:rPr>
  </w:style>
  <w:style w:type="character" w:styleId="HTMLSample">
    <w:name w:val="HTML Sample"/>
    <w:basedOn w:val="DefaultParagraphFont"/>
    <w:uiPriority w:val="99"/>
    <w:semiHidden/>
    <w:unhideWhenUsed/>
    <w:rsid w:val="00DF245D"/>
    <w:rPr>
      <w:rFonts w:ascii="Consolas" w:hAnsi="Consolas"/>
      <w:sz w:val="24"/>
      <w:szCs w:val="24"/>
    </w:rPr>
  </w:style>
  <w:style w:type="character" w:styleId="HTMLTypewriter">
    <w:name w:val="HTML Typewriter"/>
    <w:basedOn w:val="DefaultParagraphFont"/>
    <w:uiPriority w:val="99"/>
    <w:semiHidden/>
    <w:unhideWhenUsed/>
    <w:rsid w:val="00DF245D"/>
    <w:rPr>
      <w:rFonts w:ascii="Consolas" w:hAnsi="Consolas"/>
      <w:sz w:val="20"/>
      <w:szCs w:val="20"/>
    </w:rPr>
  </w:style>
  <w:style w:type="character" w:styleId="HTMLVariable">
    <w:name w:val="HTML Variable"/>
    <w:basedOn w:val="DefaultParagraphFont"/>
    <w:uiPriority w:val="99"/>
    <w:semiHidden/>
    <w:unhideWhenUsed/>
    <w:rsid w:val="00DF245D"/>
    <w:rPr>
      <w:i/>
      <w:iCs/>
    </w:rPr>
  </w:style>
  <w:style w:type="paragraph" w:styleId="Index1">
    <w:name w:val="index 1"/>
    <w:basedOn w:val="Normal"/>
    <w:next w:val="Normal"/>
    <w:autoRedefine/>
    <w:uiPriority w:val="99"/>
    <w:semiHidden/>
    <w:unhideWhenUsed/>
    <w:rsid w:val="00DF245D"/>
    <w:pPr>
      <w:spacing w:after="0" w:line="240" w:lineRule="auto"/>
      <w:ind w:left="220" w:hanging="220"/>
    </w:pPr>
  </w:style>
  <w:style w:type="paragraph" w:styleId="Index2">
    <w:name w:val="index 2"/>
    <w:basedOn w:val="Normal"/>
    <w:next w:val="Normal"/>
    <w:autoRedefine/>
    <w:uiPriority w:val="99"/>
    <w:semiHidden/>
    <w:unhideWhenUsed/>
    <w:rsid w:val="00DF245D"/>
    <w:pPr>
      <w:spacing w:after="0" w:line="240" w:lineRule="auto"/>
      <w:ind w:left="440" w:hanging="220"/>
    </w:pPr>
  </w:style>
  <w:style w:type="paragraph" w:styleId="Index3">
    <w:name w:val="index 3"/>
    <w:basedOn w:val="Normal"/>
    <w:next w:val="Normal"/>
    <w:autoRedefine/>
    <w:uiPriority w:val="99"/>
    <w:semiHidden/>
    <w:unhideWhenUsed/>
    <w:rsid w:val="00DF245D"/>
    <w:pPr>
      <w:spacing w:after="0" w:line="240" w:lineRule="auto"/>
      <w:ind w:left="660" w:hanging="220"/>
    </w:pPr>
  </w:style>
  <w:style w:type="paragraph" w:styleId="Index4">
    <w:name w:val="index 4"/>
    <w:basedOn w:val="Normal"/>
    <w:next w:val="Normal"/>
    <w:autoRedefine/>
    <w:uiPriority w:val="99"/>
    <w:semiHidden/>
    <w:unhideWhenUsed/>
    <w:rsid w:val="00DF245D"/>
    <w:pPr>
      <w:spacing w:after="0" w:line="240" w:lineRule="auto"/>
      <w:ind w:left="880" w:hanging="220"/>
    </w:pPr>
  </w:style>
  <w:style w:type="paragraph" w:styleId="Index5">
    <w:name w:val="index 5"/>
    <w:basedOn w:val="Normal"/>
    <w:next w:val="Normal"/>
    <w:autoRedefine/>
    <w:uiPriority w:val="99"/>
    <w:semiHidden/>
    <w:unhideWhenUsed/>
    <w:rsid w:val="00DF245D"/>
    <w:pPr>
      <w:spacing w:after="0" w:line="240" w:lineRule="auto"/>
      <w:ind w:left="1100" w:hanging="220"/>
    </w:pPr>
  </w:style>
  <w:style w:type="paragraph" w:styleId="Index6">
    <w:name w:val="index 6"/>
    <w:basedOn w:val="Normal"/>
    <w:next w:val="Normal"/>
    <w:autoRedefine/>
    <w:uiPriority w:val="99"/>
    <w:semiHidden/>
    <w:unhideWhenUsed/>
    <w:rsid w:val="00DF245D"/>
    <w:pPr>
      <w:spacing w:after="0" w:line="240" w:lineRule="auto"/>
      <w:ind w:left="1320" w:hanging="220"/>
    </w:pPr>
  </w:style>
  <w:style w:type="paragraph" w:styleId="Index7">
    <w:name w:val="index 7"/>
    <w:basedOn w:val="Normal"/>
    <w:next w:val="Normal"/>
    <w:autoRedefine/>
    <w:uiPriority w:val="99"/>
    <w:semiHidden/>
    <w:unhideWhenUsed/>
    <w:rsid w:val="00DF245D"/>
    <w:pPr>
      <w:spacing w:after="0" w:line="240" w:lineRule="auto"/>
      <w:ind w:left="1540" w:hanging="220"/>
    </w:pPr>
  </w:style>
  <w:style w:type="paragraph" w:styleId="Index8">
    <w:name w:val="index 8"/>
    <w:basedOn w:val="Normal"/>
    <w:next w:val="Normal"/>
    <w:autoRedefine/>
    <w:uiPriority w:val="99"/>
    <w:semiHidden/>
    <w:unhideWhenUsed/>
    <w:rsid w:val="00DF245D"/>
    <w:pPr>
      <w:spacing w:after="0" w:line="240" w:lineRule="auto"/>
      <w:ind w:left="1760" w:hanging="220"/>
    </w:pPr>
  </w:style>
  <w:style w:type="paragraph" w:styleId="Index9">
    <w:name w:val="index 9"/>
    <w:basedOn w:val="Normal"/>
    <w:next w:val="Normal"/>
    <w:autoRedefine/>
    <w:uiPriority w:val="99"/>
    <w:semiHidden/>
    <w:unhideWhenUsed/>
    <w:rsid w:val="00DF245D"/>
    <w:pPr>
      <w:spacing w:after="0" w:line="240" w:lineRule="auto"/>
      <w:ind w:left="1980" w:hanging="220"/>
    </w:pPr>
  </w:style>
  <w:style w:type="paragraph" w:styleId="IndexHeading">
    <w:name w:val="index heading"/>
    <w:basedOn w:val="Normal"/>
    <w:next w:val="Index1"/>
    <w:uiPriority w:val="99"/>
    <w:semiHidden/>
    <w:unhideWhenUsed/>
    <w:rsid w:val="00DF245D"/>
    <w:rPr>
      <w:rFonts w:asciiTheme="majorHAnsi" w:eastAsiaTheme="majorEastAsia" w:hAnsiTheme="majorHAnsi" w:cstheme="majorBidi"/>
      <w:b/>
      <w:bCs/>
    </w:rPr>
  </w:style>
  <w:style w:type="table" w:styleId="LightGrid">
    <w:name w:val="Light Grid"/>
    <w:basedOn w:val="TableNormal"/>
    <w:uiPriority w:val="62"/>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18" w:space="0" w:color="30353F" w:themeColor="text1"/>
          <w:right w:val="single" w:sz="8" w:space="0" w:color="30353F" w:themeColor="text1"/>
          <w:insideH w:val="nil"/>
          <w:insideV w:val="single" w:sz="8" w:space="0" w:color="3035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insideH w:val="nil"/>
          <w:insideV w:val="single" w:sz="8" w:space="0" w:color="3035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shd w:val="clear" w:color="auto" w:fill="C7CBD4" w:themeFill="text1" w:themeFillTint="3F"/>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shd w:val="clear" w:color="auto" w:fill="C7CBD4" w:themeFill="text1" w:themeFillTint="3F"/>
      </w:tcPr>
    </w:tblStylePr>
    <w:tblStylePr w:type="band2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tcPr>
    </w:tblStylePr>
  </w:style>
  <w:style w:type="table" w:styleId="LightGrid-Accent1">
    <w:name w:val="Light Grid Accent 1"/>
    <w:basedOn w:val="TableNormal"/>
    <w:uiPriority w:val="62"/>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18" w:space="0" w:color="0094C5" w:themeColor="accent1"/>
          <w:right w:val="single" w:sz="8" w:space="0" w:color="0094C5" w:themeColor="accent1"/>
          <w:insideH w:val="nil"/>
          <w:insideV w:val="single" w:sz="8" w:space="0" w:color="0094C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insideH w:val="nil"/>
          <w:insideV w:val="single" w:sz="8" w:space="0" w:color="0094C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shd w:val="clear" w:color="auto" w:fill="B1EBFF" w:themeFill="accent1" w:themeFillTint="3F"/>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shd w:val="clear" w:color="auto" w:fill="B1EBFF" w:themeFill="accent1" w:themeFillTint="3F"/>
      </w:tcPr>
    </w:tblStylePr>
    <w:tblStylePr w:type="band2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tcPr>
    </w:tblStylePr>
  </w:style>
  <w:style w:type="table" w:styleId="LightGrid-Accent2">
    <w:name w:val="Light Grid Accent 2"/>
    <w:basedOn w:val="TableNormal"/>
    <w:uiPriority w:val="62"/>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18" w:space="0" w:color="E5006D" w:themeColor="accent2"/>
          <w:right w:val="single" w:sz="8" w:space="0" w:color="E5006D" w:themeColor="accent2"/>
          <w:insideH w:val="nil"/>
          <w:insideV w:val="single" w:sz="8" w:space="0" w:color="E500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insideH w:val="nil"/>
          <w:insideV w:val="single" w:sz="8" w:space="0" w:color="E500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shd w:val="clear" w:color="auto" w:fill="FFB9DA" w:themeFill="accent2" w:themeFillTint="3F"/>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shd w:val="clear" w:color="auto" w:fill="FFB9DA" w:themeFill="accent2" w:themeFillTint="3F"/>
      </w:tcPr>
    </w:tblStylePr>
    <w:tblStylePr w:type="band2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tcPr>
    </w:tblStylePr>
  </w:style>
  <w:style w:type="table" w:styleId="LightGrid-Accent3">
    <w:name w:val="Light Grid Accent 3"/>
    <w:basedOn w:val="TableNormal"/>
    <w:uiPriority w:val="62"/>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18" w:space="0" w:color="2C2276" w:themeColor="accent3"/>
          <w:right w:val="single" w:sz="8" w:space="0" w:color="2C2276" w:themeColor="accent3"/>
          <w:insideH w:val="nil"/>
          <w:insideV w:val="single" w:sz="8" w:space="0" w:color="2C2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insideH w:val="nil"/>
          <w:insideV w:val="single" w:sz="8" w:space="0" w:color="2C2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shd w:val="clear" w:color="auto" w:fill="BFBAEB" w:themeFill="accent3" w:themeFillTint="3F"/>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shd w:val="clear" w:color="auto" w:fill="BFBAEB" w:themeFill="accent3" w:themeFillTint="3F"/>
      </w:tcPr>
    </w:tblStylePr>
    <w:tblStylePr w:type="band2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tcPr>
    </w:tblStylePr>
  </w:style>
  <w:style w:type="table" w:styleId="LightGrid-Accent4">
    <w:name w:val="Light Grid Accent 4"/>
    <w:basedOn w:val="TableNormal"/>
    <w:uiPriority w:val="62"/>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18" w:space="0" w:color="7B1244" w:themeColor="accent4"/>
          <w:right w:val="single" w:sz="8" w:space="0" w:color="7B1244" w:themeColor="accent4"/>
          <w:insideH w:val="nil"/>
          <w:insideV w:val="single" w:sz="8" w:space="0" w:color="7B124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insideH w:val="nil"/>
          <w:insideV w:val="single" w:sz="8" w:space="0" w:color="7B124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shd w:val="clear" w:color="auto" w:fill="F3AFCF" w:themeFill="accent4" w:themeFillTint="3F"/>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shd w:val="clear" w:color="auto" w:fill="F3AFCF" w:themeFill="accent4" w:themeFillTint="3F"/>
      </w:tcPr>
    </w:tblStylePr>
    <w:tblStylePr w:type="band2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tcPr>
    </w:tblStylePr>
  </w:style>
  <w:style w:type="table" w:styleId="LightGrid-Accent5">
    <w:name w:val="Light Grid Accent 5"/>
    <w:basedOn w:val="TableNormal"/>
    <w:uiPriority w:val="62"/>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18" w:space="0" w:color="AFCA0B" w:themeColor="accent5"/>
          <w:right w:val="single" w:sz="8" w:space="0" w:color="AFCA0B" w:themeColor="accent5"/>
          <w:insideH w:val="nil"/>
          <w:insideV w:val="single" w:sz="8" w:space="0" w:color="AFCA0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insideH w:val="nil"/>
          <w:insideV w:val="single" w:sz="8" w:space="0" w:color="AFCA0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shd w:val="clear" w:color="auto" w:fill="F1FBB9" w:themeFill="accent5" w:themeFillTint="3F"/>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shd w:val="clear" w:color="auto" w:fill="F1FBB9" w:themeFill="accent5" w:themeFillTint="3F"/>
      </w:tcPr>
    </w:tblStylePr>
    <w:tblStylePr w:type="band2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tcPr>
    </w:tblStylePr>
  </w:style>
  <w:style w:type="table" w:styleId="LightGrid-Accent6">
    <w:name w:val="Light Grid Accent 6"/>
    <w:basedOn w:val="TableNormal"/>
    <w:uiPriority w:val="62"/>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18" w:space="0" w:color="3AAA35" w:themeColor="accent6"/>
          <w:right w:val="single" w:sz="8" w:space="0" w:color="3AAA35" w:themeColor="accent6"/>
          <w:insideH w:val="nil"/>
          <w:insideV w:val="single" w:sz="8" w:space="0" w:color="3AAA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insideH w:val="nil"/>
          <w:insideV w:val="single" w:sz="8" w:space="0" w:color="3AAA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shd w:val="clear" w:color="auto" w:fill="CAEEC8" w:themeFill="accent6" w:themeFillTint="3F"/>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shd w:val="clear" w:color="auto" w:fill="CAEEC8" w:themeFill="accent6" w:themeFillTint="3F"/>
      </w:tcPr>
    </w:tblStylePr>
    <w:tblStylePr w:type="band2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tcPr>
    </w:tblStylePr>
  </w:style>
  <w:style w:type="table" w:styleId="LightList">
    <w:name w:val="Light List"/>
    <w:basedOn w:val="TableNormal"/>
    <w:uiPriority w:val="61"/>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pPr>
        <w:spacing w:before="0" w:after="0" w:line="240" w:lineRule="auto"/>
      </w:pPr>
      <w:rPr>
        <w:b/>
        <w:bCs/>
        <w:color w:val="FFFFFF" w:themeColor="background1"/>
      </w:rPr>
      <w:tblPr/>
      <w:tcPr>
        <w:shd w:val="clear" w:color="auto" w:fill="30353F" w:themeFill="text1"/>
      </w:tcPr>
    </w:tblStylePr>
    <w:tblStylePr w:type="lastRow">
      <w:pPr>
        <w:spacing w:before="0" w:after="0" w:line="240" w:lineRule="auto"/>
      </w:pPr>
      <w:rPr>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tcBorders>
      </w:tcPr>
    </w:tblStylePr>
    <w:tblStylePr w:type="firstCol">
      <w:rPr>
        <w:b/>
        <w:bCs/>
      </w:rPr>
    </w:tblStylePr>
    <w:tblStylePr w:type="lastCol">
      <w:rPr>
        <w:b/>
        <w:bCs/>
      </w:r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style>
  <w:style w:type="table" w:styleId="LightList-Accent1">
    <w:name w:val="Light List Accent 1"/>
    <w:basedOn w:val="TableNormal"/>
    <w:uiPriority w:val="61"/>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pPr>
        <w:spacing w:before="0" w:after="0" w:line="240" w:lineRule="auto"/>
      </w:pPr>
      <w:rPr>
        <w:b/>
        <w:bCs/>
        <w:color w:val="FFFFFF" w:themeColor="background1"/>
      </w:rPr>
      <w:tblPr/>
      <w:tcPr>
        <w:shd w:val="clear" w:color="auto" w:fill="0094C5" w:themeFill="accent1"/>
      </w:tcPr>
    </w:tblStylePr>
    <w:tblStylePr w:type="lastRow">
      <w:pPr>
        <w:spacing w:before="0" w:after="0" w:line="240" w:lineRule="auto"/>
      </w:pPr>
      <w:rPr>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tcBorders>
      </w:tcPr>
    </w:tblStylePr>
    <w:tblStylePr w:type="firstCol">
      <w:rPr>
        <w:b/>
        <w:bCs/>
      </w:rPr>
    </w:tblStylePr>
    <w:tblStylePr w:type="lastCol">
      <w:rPr>
        <w:b/>
        <w:bCs/>
      </w:r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style>
  <w:style w:type="table" w:styleId="LightList-Accent2">
    <w:name w:val="Light List Accent 2"/>
    <w:basedOn w:val="TableNormal"/>
    <w:uiPriority w:val="61"/>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pPr>
        <w:spacing w:before="0" w:after="0" w:line="240" w:lineRule="auto"/>
      </w:pPr>
      <w:rPr>
        <w:b/>
        <w:bCs/>
        <w:color w:val="FFFFFF" w:themeColor="background1"/>
      </w:rPr>
      <w:tblPr/>
      <w:tcPr>
        <w:shd w:val="clear" w:color="auto" w:fill="E5006D" w:themeFill="accent2"/>
      </w:tcPr>
    </w:tblStylePr>
    <w:tblStylePr w:type="lastRow">
      <w:pPr>
        <w:spacing w:before="0" w:after="0" w:line="240" w:lineRule="auto"/>
      </w:pPr>
      <w:rPr>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tcBorders>
      </w:tcPr>
    </w:tblStylePr>
    <w:tblStylePr w:type="firstCol">
      <w:rPr>
        <w:b/>
        <w:bCs/>
      </w:rPr>
    </w:tblStylePr>
    <w:tblStylePr w:type="lastCol">
      <w:rPr>
        <w:b/>
        <w:bCs/>
      </w:r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style>
  <w:style w:type="table" w:styleId="LightList-Accent3">
    <w:name w:val="Light List Accent 3"/>
    <w:basedOn w:val="TableNormal"/>
    <w:uiPriority w:val="61"/>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pPr>
        <w:spacing w:before="0" w:after="0" w:line="240" w:lineRule="auto"/>
      </w:pPr>
      <w:rPr>
        <w:b/>
        <w:bCs/>
        <w:color w:val="FFFFFF" w:themeColor="background1"/>
      </w:rPr>
      <w:tblPr/>
      <w:tcPr>
        <w:shd w:val="clear" w:color="auto" w:fill="2C2276" w:themeFill="accent3"/>
      </w:tcPr>
    </w:tblStylePr>
    <w:tblStylePr w:type="lastRow">
      <w:pPr>
        <w:spacing w:before="0" w:after="0" w:line="240" w:lineRule="auto"/>
      </w:pPr>
      <w:rPr>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tcBorders>
      </w:tcPr>
    </w:tblStylePr>
    <w:tblStylePr w:type="firstCol">
      <w:rPr>
        <w:b/>
        <w:bCs/>
      </w:rPr>
    </w:tblStylePr>
    <w:tblStylePr w:type="lastCol">
      <w:rPr>
        <w:b/>
        <w:bCs/>
      </w:r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style>
  <w:style w:type="table" w:styleId="LightList-Accent4">
    <w:name w:val="Light List Accent 4"/>
    <w:basedOn w:val="TableNormal"/>
    <w:uiPriority w:val="61"/>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pPr>
        <w:spacing w:before="0" w:after="0" w:line="240" w:lineRule="auto"/>
      </w:pPr>
      <w:rPr>
        <w:b/>
        <w:bCs/>
        <w:color w:val="FFFFFF" w:themeColor="background1"/>
      </w:rPr>
      <w:tblPr/>
      <w:tcPr>
        <w:shd w:val="clear" w:color="auto" w:fill="7B1244" w:themeFill="accent4"/>
      </w:tcPr>
    </w:tblStylePr>
    <w:tblStylePr w:type="lastRow">
      <w:pPr>
        <w:spacing w:before="0" w:after="0" w:line="240" w:lineRule="auto"/>
      </w:pPr>
      <w:rPr>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tcBorders>
      </w:tcPr>
    </w:tblStylePr>
    <w:tblStylePr w:type="firstCol">
      <w:rPr>
        <w:b/>
        <w:bCs/>
      </w:rPr>
    </w:tblStylePr>
    <w:tblStylePr w:type="lastCol">
      <w:rPr>
        <w:b/>
        <w:bCs/>
      </w:r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style>
  <w:style w:type="table" w:styleId="LightList-Accent5">
    <w:name w:val="Light List Accent 5"/>
    <w:basedOn w:val="TableNormal"/>
    <w:uiPriority w:val="61"/>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pPr>
        <w:spacing w:before="0" w:after="0" w:line="240" w:lineRule="auto"/>
      </w:pPr>
      <w:rPr>
        <w:b/>
        <w:bCs/>
        <w:color w:val="FFFFFF" w:themeColor="background1"/>
      </w:rPr>
      <w:tblPr/>
      <w:tcPr>
        <w:shd w:val="clear" w:color="auto" w:fill="AFCA0B" w:themeFill="accent5"/>
      </w:tcPr>
    </w:tblStylePr>
    <w:tblStylePr w:type="lastRow">
      <w:pPr>
        <w:spacing w:before="0" w:after="0" w:line="240" w:lineRule="auto"/>
      </w:pPr>
      <w:rPr>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tcBorders>
      </w:tcPr>
    </w:tblStylePr>
    <w:tblStylePr w:type="firstCol">
      <w:rPr>
        <w:b/>
        <w:bCs/>
      </w:rPr>
    </w:tblStylePr>
    <w:tblStylePr w:type="lastCol">
      <w:rPr>
        <w:b/>
        <w:bCs/>
      </w:r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style>
  <w:style w:type="table" w:styleId="LightList-Accent6">
    <w:name w:val="Light List Accent 6"/>
    <w:basedOn w:val="TableNormal"/>
    <w:uiPriority w:val="61"/>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pPr>
        <w:spacing w:before="0" w:after="0" w:line="240" w:lineRule="auto"/>
      </w:pPr>
      <w:rPr>
        <w:b/>
        <w:bCs/>
        <w:color w:val="FFFFFF" w:themeColor="background1"/>
      </w:rPr>
      <w:tblPr/>
      <w:tcPr>
        <w:shd w:val="clear" w:color="auto" w:fill="3AAA35" w:themeFill="accent6"/>
      </w:tcPr>
    </w:tblStylePr>
    <w:tblStylePr w:type="lastRow">
      <w:pPr>
        <w:spacing w:before="0" w:after="0" w:line="240" w:lineRule="auto"/>
      </w:pPr>
      <w:rPr>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tcBorders>
      </w:tcPr>
    </w:tblStylePr>
    <w:tblStylePr w:type="firstCol">
      <w:rPr>
        <w:b/>
        <w:bCs/>
      </w:rPr>
    </w:tblStylePr>
    <w:tblStylePr w:type="lastCol">
      <w:rPr>
        <w:b/>
        <w:bCs/>
      </w:r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style>
  <w:style w:type="table" w:styleId="LightShading">
    <w:name w:val="Light Shading"/>
    <w:basedOn w:val="TableNormal"/>
    <w:uiPriority w:val="60"/>
    <w:semiHidden/>
    <w:unhideWhenUsed/>
    <w:rsid w:val="00DF245D"/>
    <w:pPr>
      <w:spacing w:after="0" w:line="240" w:lineRule="auto"/>
    </w:pPr>
    <w:rPr>
      <w:color w:val="24272F" w:themeColor="text1" w:themeShade="BF"/>
    </w:rPr>
    <w:tblPr>
      <w:tblStyleRowBandSize w:val="1"/>
      <w:tblStyleColBandSize w:val="1"/>
      <w:tblBorders>
        <w:top w:val="single" w:sz="8" w:space="0" w:color="30353F" w:themeColor="text1"/>
        <w:bottom w:val="single" w:sz="8" w:space="0" w:color="30353F" w:themeColor="text1"/>
      </w:tblBorders>
    </w:tblPr>
    <w:tblStylePr w:type="fir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la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left w:val="nil"/>
          <w:right w:val="nil"/>
          <w:insideH w:val="nil"/>
          <w:insideV w:val="nil"/>
        </w:tcBorders>
        <w:shd w:val="clear" w:color="auto" w:fill="C7CBD4" w:themeFill="text1" w:themeFillTint="3F"/>
      </w:tcPr>
    </w:tblStylePr>
  </w:style>
  <w:style w:type="table" w:styleId="LightShading-Accent1">
    <w:name w:val="Light Shading Accent 1"/>
    <w:basedOn w:val="TableNormal"/>
    <w:uiPriority w:val="60"/>
    <w:semiHidden/>
    <w:unhideWhenUsed/>
    <w:rsid w:val="00DF245D"/>
    <w:pPr>
      <w:spacing w:after="0" w:line="240" w:lineRule="auto"/>
    </w:pPr>
    <w:rPr>
      <w:color w:val="006E93" w:themeColor="accent1" w:themeShade="BF"/>
    </w:rPr>
    <w:tblPr>
      <w:tblStyleRowBandSize w:val="1"/>
      <w:tblStyleColBandSize w:val="1"/>
      <w:tblBorders>
        <w:top w:val="single" w:sz="8" w:space="0" w:color="0094C5" w:themeColor="accent1"/>
        <w:bottom w:val="single" w:sz="8" w:space="0" w:color="0094C5" w:themeColor="accent1"/>
      </w:tblBorders>
    </w:tblPr>
    <w:tblStylePr w:type="fir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la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left w:val="nil"/>
          <w:right w:val="nil"/>
          <w:insideH w:val="nil"/>
          <w:insideV w:val="nil"/>
        </w:tcBorders>
        <w:shd w:val="clear" w:color="auto" w:fill="B1EBFF" w:themeFill="accent1" w:themeFillTint="3F"/>
      </w:tcPr>
    </w:tblStylePr>
  </w:style>
  <w:style w:type="table" w:styleId="LightShading-Accent2">
    <w:name w:val="Light Shading Accent 2"/>
    <w:basedOn w:val="TableNormal"/>
    <w:uiPriority w:val="60"/>
    <w:semiHidden/>
    <w:unhideWhenUsed/>
    <w:rsid w:val="00DF245D"/>
    <w:pPr>
      <w:spacing w:after="0" w:line="240" w:lineRule="auto"/>
    </w:pPr>
    <w:rPr>
      <w:color w:val="AB0051" w:themeColor="accent2" w:themeShade="BF"/>
    </w:rPr>
    <w:tblPr>
      <w:tblStyleRowBandSize w:val="1"/>
      <w:tblStyleColBandSize w:val="1"/>
      <w:tblBorders>
        <w:top w:val="single" w:sz="8" w:space="0" w:color="E5006D" w:themeColor="accent2"/>
        <w:bottom w:val="single" w:sz="8" w:space="0" w:color="E5006D" w:themeColor="accent2"/>
      </w:tblBorders>
    </w:tblPr>
    <w:tblStylePr w:type="fir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la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left w:val="nil"/>
          <w:right w:val="nil"/>
          <w:insideH w:val="nil"/>
          <w:insideV w:val="nil"/>
        </w:tcBorders>
        <w:shd w:val="clear" w:color="auto" w:fill="FFB9DA" w:themeFill="accent2" w:themeFillTint="3F"/>
      </w:tcPr>
    </w:tblStylePr>
  </w:style>
  <w:style w:type="table" w:styleId="LightShading-Accent3">
    <w:name w:val="Light Shading Accent 3"/>
    <w:basedOn w:val="TableNormal"/>
    <w:uiPriority w:val="60"/>
    <w:semiHidden/>
    <w:unhideWhenUsed/>
    <w:rsid w:val="00DF245D"/>
    <w:pPr>
      <w:spacing w:after="0" w:line="240" w:lineRule="auto"/>
    </w:pPr>
    <w:rPr>
      <w:color w:val="201958" w:themeColor="accent3" w:themeShade="BF"/>
    </w:rPr>
    <w:tblPr>
      <w:tblStyleRowBandSize w:val="1"/>
      <w:tblStyleColBandSize w:val="1"/>
      <w:tblBorders>
        <w:top w:val="single" w:sz="8" w:space="0" w:color="2C2276" w:themeColor="accent3"/>
        <w:bottom w:val="single" w:sz="8" w:space="0" w:color="2C2276" w:themeColor="accent3"/>
      </w:tblBorders>
    </w:tblPr>
    <w:tblStylePr w:type="fir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la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left w:val="nil"/>
          <w:right w:val="nil"/>
          <w:insideH w:val="nil"/>
          <w:insideV w:val="nil"/>
        </w:tcBorders>
        <w:shd w:val="clear" w:color="auto" w:fill="BFBAEB" w:themeFill="accent3" w:themeFillTint="3F"/>
      </w:tcPr>
    </w:tblStylePr>
  </w:style>
  <w:style w:type="table" w:styleId="LightShading-Accent4">
    <w:name w:val="Light Shading Accent 4"/>
    <w:basedOn w:val="TableNormal"/>
    <w:uiPriority w:val="60"/>
    <w:semiHidden/>
    <w:unhideWhenUsed/>
    <w:rsid w:val="00DF245D"/>
    <w:pPr>
      <w:spacing w:after="0" w:line="240" w:lineRule="auto"/>
    </w:pPr>
    <w:rPr>
      <w:color w:val="5B0D32" w:themeColor="accent4" w:themeShade="BF"/>
    </w:rPr>
    <w:tblPr>
      <w:tblStyleRowBandSize w:val="1"/>
      <w:tblStyleColBandSize w:val="1"/>
      <w:tblBorders>
        <w:top w:val="single" w:sz="8" w:space="0" w:color="7B1244" w:themeColor="accent4"/>
        <w:bottom w:val="single" w:sz="8" w:space="0" w:color="7B1244" w:themeColor="accent4"/>
      </w:tblBorders>
    </w:tblPr>
    <w:tblStylePr w:type="fir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la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left w:val="nil"/>
          <w:right w:val="nil"/>
          <w:insideH w:val="nil"/>
          <w:insideV w:val="nil"/>
        </w:tcBorders>
        <w:shd w:val="clear" w:color="auto" w:fill="F3AFCF" w:themeFill="accent4" w:themeFillTint="3F"/>
      </w:tcPr>
    </w:tblStylePr>
  </w:style>
  <w:style w:type="table" w:styleId="LightShading-Accent5">
    <w:name w:val="Light Shading Accent 5"/>
    <w:basedOn w:val="TableNormal"/>
    <w:uiPriority w:val="60"/>
    <w:semiHidden/>
    <w:unhideWhenUsed/>
    <w:rsid w:val="00DF245D"/>
    <w:pPr>
      <w:spacing w:after="0" w:line="240" w:lineRule="auto"/>
    </w:pPr>
    <w:rPr>
      <w:color w:val="829708" w:themeColor="accent5" w:themeShade="BF"/>
    </w:rPr>
    <w:tblPr>
      <w:tblStyleRowBandSize w:val="1"/>
      <w:tblStyleColBandSize w:val="1"/>
      <w:tblBorders>
        <w:top w:val="single" w:sz="8" w:space="0" w:color="AFCA0B" w:themeColor="accent5"/>
        <w:bottom w:val="single" w:sz="8" w:space="0" w:color="AFCA0B" w:themeColor="accent5"/>
      </w:tblBorders>
    </w:tblPr>
    <w:tblStylePr w:type="fir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la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left w:val="nil"/>
          <w:right w:val="nil"/>
          <w:insideH w:val="nil"/>
          <w:insideV w:val="nil"/>
        </w:tcBorders>
        <w:shd w:val="clear" w:color="auto" w:fill="F1FBB9" w:themeFill="accent5" w:themeFillTint="3F"/>
      </w:tcPr>
    </w:tblStylePr>
  </w:style>
  <w:style w:type="table" w:styleId="LightShading-Accent6">
    <w:name w:val="Light Shading Accent 6"/>
    <w:basedOn w:val="TableNormal"/>
    <w:uiPriority w:val="60"/>
    <w:semiHidden/>
    <w:unhideWhenUsed/>
    <w:rsid w:val="00DF245D"/>
    <w:pPr>
      <w:spacing w:after="0" w:line="240" w:lineRule="auto"/>
    </w:pPr>
    <w:rPr>
      <w:color w:val="2B7F27" w:themeColor="accent6" w:themeShade="BF"/>
    </w:rPr>
    <w:tblPr>
      <w:tblStyleRowBandSize w:val="1"/>
      <w:tblStyleColBandSize w:val="1"/>
      <w:tblBorders>
        <w:top w:val="single" w:sz="8" w:space="0" w:color="3AAA35" w:themeColor="accent6"/>
        <w:bottom w:val="single" w:sz="8" w:space="0" w:color="3AAA35" w:themeColor="accent6"/>
      </w:tblBorders>
    </w:tblPr>
    <w:tblStylePr w:type="fir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la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left w:val="nil"/>
          <w:right w:val="nil"/>
          <w:insideH w:val="nil"/>
          <w:insideV w:val="nil"/>
        </w:tcBorders>
        <w:shd w:val="clear" w:color="auto" w:fill="CAEEC8" w:themeFill="accent6" w:themeFillTint="3F"/>
      </w:tcPr>
    </w:tblStylePr>
  </w:style>
  <w:style w:type="character" w:styleId="LineNumber">
    <w:name w:val="line number"/>
    <w:basedOn w:val="DefaultParagraphFont"/>
    <w:uiPriority w:val="99"/>
    <w:semiHidden/>
    <w:unhideWhenUsed/>
    <w:rsid w:val="00DF245D"/>
  </w:style>
  <w:style w:type="paragraph" w:styleId="MacroText">
    <w:name w:val="macro"/>
    <w:link w:val="MacroTextChar"/>
    <w:uiPriority w:val="99"/>
    <w:semiHidden/>
    <w:unhideWhenUsed/>
    <w:rsid w:val="00DF245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DF245D"/>
    <w:rPr>
      <w:rFonts w:ascii="Consolas" w:hAnsi="Consolas"/>
      <w:sz w:val="20"/>
      <w:szCs w:val="20"/>
    </w:rPr>
  </w:style>
  <w:style w:type="table" w:styleId="MediumGrid1">
    <w:name w:val="Medium Grid 1"/>
    <w:basedOn w:val="TableNormal"/>
    <w:uiPriority w:val="67"/>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insideV w:val="single" w:sz="8" w:space="0" w:color="5B6477" w:themeColor="text1" w:themeTint="BF"/>
      </w:tblBorders>
    </w:tblPr>
    <w:tcPr>
      <w:shd w:val="clear" w:color="auto" w:fill="C7CBD4" w:themeFill="text1" w:themeFillTint="3F"/>
    </w:tcPr>
    <w:tblStylePr w:type="firstRow">
      <w:rPr>
        <w:b/>
        <w:bCs/>
      </w:rPr>
    </w:tblStylePr>
    <w:tblStylePr w:type="lastRow">
      <w:rPr>
        <w:b/>
        <w:bCs/>
      </w:rPr>
      <w:tblPr/>
      <w:tcPr>
        <w:tcBorders>
          <w:top w:val="single" w:sz="18" w:space="0" w:color="5B6477" w:themeColor="text1" w:themeTint="BF"/>
        </w:tcBorders>
      </w:tcPr>
    </w:tblStylePr>
    <w:tblStylePr w:type="firstCol">
      <w:rPr>
        <w:b/>
        <w:bCs/>
      </w:rPr>
    </w:tblStylePr>
    <w:tblStylePr w:type="lastCol">
      <w:rPr>
        <w:b/>
        <w:bCs/>
      </w:r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MediumGrid1-Accent1">
    <w:name w:val="Medium Grid 1 Accent 1"/>
    <w:basedOn w:val="TableNormal"/>
    <w:uiPriority w:val="67"/>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insideV w:val="single" w:sz="8" w:space="0" w:color="14C4FF" w:themeColor="accent1" w:themeTint="BF"/>
      </w:tblBorders>
    </w:tblPr>
    <w:tcPr>
      <w:shd w:val="clear" w:color="auto" w:fill="B1EBFF" w:themeFill="accent1" w:themeFillTint="3F"/>
    </w:tcPr>
    <w:tblStylePr w:type="firstRow">
      <w:rPr>
        <w:b/>
        <w:bCs/>
      </w:rPr>
    </w:tblStylePr>
    <w:tblStylePr w:type="lastRow">
      <w:rPr>
        <w:b/>
        <w:bCs/>
      </w:rPr>
      <w:tblPr/>
      <w:tcPr>
        <w:tcBorders>
          <w:top w:val="single" w:sz="18" w:space="0" w:color="14C4FF" w:themeColor="accent1" w:themeTint="BF"/>
        </w:tcBorders>
      </w:tcPr>
    </w:tblStylePr>
    <w:tblStylePr w:type="firstCol">
      <w:rPr>
        <w:b/>
        <w:bCs/>
      </w:rPr>
    </w:tblStylePr>
    <w:tblStylePr w:type="lastCol">
      <w:rPr>
        <w:b/>
        <w:bCs/>
      </w:r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MediumGrid1-Accent2">
    <w:name w:val="Medium Grid 1 Accent 2"/>
    <w:basedOn w:val="TableNormal"/>
    <w:uiPriority w:val="67"/>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insideV w:val="single" w:sz="8" w:space="0" w:color="FF2C90" w:themeColor="accent2" w:themeTint="BF"/>
      </w:tblBorders>
    </w:tblPr>
    <w:tcPr>
      <w:shd w:val="clear" w:color="auto" w:fill="FFB9DA" w:themeFill="accent2" w:themeFillTint="3F"/>
    </w:tcPr>
    <w:tblStylePr w:type="firstRow">
      <w:rPr>
        <w:b/>
        <w:bCs/>
      </w:rPr>
    </w:tblStylePr>
    <w:tblStylePr w:type="lastRow">
      <w:rPr>
        <w:b/>
        <w:bCs/>
      </w:rPr>
      <w:tblPr/>
      <w:tcPr>
        <w:tcBorders>
          <w:top w:val="single" w:sz="18" w:space="0" w:color="FF2C90" w:themeColor="accent2" w:themeTint="BF"/>
        </w:tcBorders>
      </w:tcPr>
    </w:tblStylePr>
    <w:tblStylePr w:type="firstCol">
      <w:rPr>
        <w:b/>
        <w:bCs/>
      </w:rPr>
    </w:tblStylePr>
    <w:tblStylePr w:type="lastCol">
      <w:rPr>
        <w:b/>
        <w:bCs/>
      </w:r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MediumGrid1-Accent3">
    <w:name w:val="Medium Grid 1 Accent 3"/>
    <w:basedOn w:val="TableNormal"/>
    <w:uiPriority w:val="67"/>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insideV w:val="single" w:sz="8" w:space="0" w:color="4536BB" w:themeColor="accent3" w:themeTint="BF"/>
      </w:tblBorders>
    </w:tblPr>
    <w:tcPr>
      <w:shd w:val="clear" w:color="auto" w:fill="BFBAEB" w:themeFill="accent3" w:themeFillTint="3F"/>
    </w:tcPr>
    <w:tblStylePr w:type="firstRow">
      <w:rPr>
        <w:b/>
        <w:bCs/>
      </w:rPr>
    </w:tblStylePr>
    <w:tblStylePr w:type="lastRow">
      <w:rPr>
        <w:b/>
        <w:bCs/>
      </w:rPr>
      <w:tblPr/>
      <w:tcPr>
        <w:tcBorders>
          <w:top w:val="single" w:sz="18" w:space="0" w:color="4536BB" w:themeColor="accent3" w:themeTint="BF"/>
        </w:tcBorders>
      </w:tcPr>
    </w:tblStylePr>
    <w:tblStylePr w:type="firstCol">
      <w:rPr>
        <w:b/>
        <w:bCs/>
      </w:rPr>
    </w:tblStylePr>
    <w:tblStylePr w:type="lastCol">
      <w:rPr>
        <w:b/>
        <w:bCs/>
      </w:r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MediumGrid1-Accent4">
    <w:name w:val="Medium Grid 1 Accent 4"/>
    <w:basedOn w:val="TableNormal"/>
    <w:uiPriority w:val="67"/>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insideV w:val="single" w:sz="8" w:space="0" w:color="CB1D70" w:themeColor="accent4" w:themeTint="BF"/>
      </w:tblBorders>
    </w:tblPr>
    <w:tcPr>
      <w:shd w:val="clear" w:color="auto" w:fill="F3AFCF" w:themeFill="accent4" w:themeFillTint="3F"/>
    </w:tcPr>
    <w:tblStylePr w:type="firstRow">
      <w:rPr>
        <w:b/>
        <w:bCs/>
      </w:rPr>
    </w:tblStylePr>
    <w:tblStylePr w:type="lastRow">
      <w:rPr>
        <w:b/>
        <w:bCs/>
      </w:rPr>
      <w:tblPr/>
      <w:tcPr>
        <w:tcBorders>
          <w:top w:val="single" w:sz="18" w:space="0" w:color="CB1D70" w:themeColor="accent4" w:themeTint="BF"/>
        </w:tcBorders>
      </w:tcPr>
    </w:tblStylePr>
    <w:tblStylePr w:type="firstCol">
      <w:rPr>
        <w:b/>
        <w:bCs/>
      </w:rPr>
    </w:tblStylePr>
    <w:tblStylePr w:type="lastCol">
      <w:rPr>
        <w:b/>
        <w:bCs/>
      </w:r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MediumGrid1-Accent5">
    <w:name w:val="Medium Grid 1 Accent 5"/>
    <w:basedOn w:val="TableNormal"/>
    <w:uiPriority w:val="67"/>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insideV w:val="single" w:sz="8" w:space="0" w:color="D6F32B" w:themeColor="accent5" w:themeTint="BF"/>
      </w:tblBorders>
    </w:tblPr>
    <w:tcPr>
      <w:shd w:val="clear" w:color="auto" w:fill="F1FBB9" w:themeFill="accent5" w:themeFillTint="3F"/>
    </w:tcPr>
    <w:tblStylePr w:type="firstRow">
      <w:rPr>
        <w:b/>
        <w:bCs/>
      </w:rPr>
    </w:tblStylePr>
    <w:tblStylePr w:type="lastRow">
      <w:rPr>
        <w:b/>
        <w:bCs/>
      </w:rPr>
      <w:tblPr/>
      <w:tcPr>
        <w:tcBorders>
          <w:top w:val="single" w:sz="18" w:space="0" w:color="D6F32B" w:themeColor="accent5" w:themeTint="BF"/>
        </w:tcBorders>
      </w:tcPr>
    </w:tblStylePr>
    <w:tblStylePr w:type="firstCol">
      <w:rPr>
        <w:b/>
        <w:bCs/>
      </w:rPr>
    </w:tblStylePr>
    <w:tblStylePr w:type="lastCol">
      <w:rPr>
        <w:b/>
        <w:bCs/>
      </w:r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MediumGrid1-Accent6">
    <w:name w:val="Medium Grid 1 Accent 6"/>
    <w:basedOn w:val="TableNormal"/>
    <w:uiPriority w:val="67"/>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insideV w:val="single" w:sz="8" w:space="0" w:color="5FCC5B" w:themeColor="accent6" w:themeTint="BF"/>
      </w:tblBorders>
    </w:tblPr>
    <w:tcPr>
      <w:shd w:val="clear" w:color="auto" w:fill="CAEEC8" w:themeFill="accent6" w:themeFillTint="3F"/>
    </w:tcPr>
    <w:tblStylePr w:type="firstRow">
      <w:rPr>
        <w:b/>
        <w:bCs/>
      </w:rPr>
    </w:tblStylePr>
    <w:tblStylePr w:type="lastRow">
      <w:rPr>
        <w:b/>
        <w:bCs/>
      </w:rPr>
      <w:tblPr/>
      <w:tcPr>
        <w:tcBorders>
          <w:top w:val="single" w:sz="18" w:space="0" w:color="5FCC5B" w:themeColor="accent6" w:themeTint="BF"/>
        </w:tcBorders>
      </w:tcPr>
    </w:tblStylePr>
    <w:tblStylePr w:type="firstCol">
      <w:rPr>
        <w:b/>
        <w:bCs/>
      </w:rPr>
    </w:tblStylePr>
    <w:tblStylePr w:type="lastCol">
      <w:rPr>
        <w:b/>
        <w:bCs/>
      </w:r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MediumGrid2">
    <w:name w:val="Medium Grid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cPr>
      <w:shd w:val="clear" w:color="auto" w:fill="C7CBD4" w:themeFill="text1" w:themeFillTint="3F"/>
    </w:tcPr>
    <w:tblStylePr w:type="firstRow">
      <w:rPr>
        <w:b/>
        <w:bCs/>
        <w:color w:val="30353F" w:themeColor="text1"/>
      </w:rPr>
      <w:tblPr/>
      <w:tcPr>
        <w:shd w:val="clear" w:color="auto" w:fill="E8EAEE" w:themeFill="tex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1D5DC" w:themeFill="text1" w:themeFillTint="33"/>
      </w:tcPr>
    </w:tblStylePr>
    <w:tblStylePr w:type="band1Vert">
      <w:tblPr/>
      <w:tcPr>
        <w:shd w:val="clear" w:color="auto" w:fill="8E97A9" w:themeFill="text1" w:themeFillTint="7F"/>
      </w:tcPr>
    </w:tblStylePr>
    <w:tblStylePr w:type="band1Horz">
      <w:tblPr/>
      <w:tcPr>
        <w:tcBorders>
          <w:insideH w:val="single" w:sz="6" w:space="0" w:color="30353F" w:themeColor="text1"/>
          <w:insideV w:val="single" w:sz="6" w:space="0" w:color="30353F" w:themeColor="text1"/>
        </w:tcBorders>
        <w:shd w:val="clear" w:color="auto" w:fill="8E97A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cPr>
      <w:shd w:val="clear" w:color="auto" w:fill="B1EBFF" w:themeFill="accent1" w:themeFillTint="3F"/>
    </w:tcPr>
    <w:tblStylePr w:type="firstRow">
      <w:rPr>
        <w:b/>
        <w:bCs/>
        <w:color w:val="30353F" w:themeColor="text1"/>
      </w:rPr>
      <w:tblPr/>
      <w:tcPr>
        <w:shd w:val="clear" w:color="auto" w:fill="E0F7FF" w:themeFill="accen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0EFFF" w:themeFill="accent1" w:themeFillTint="33"/>
      </w:tcPr>
    </w:tblStylePr>
    <w:tblStylePr w:type="band1Vert">
      <w:tblPr/>
      <w:tcPr>
        <w:shd w:val="clear" w:color="auto" w:fill="63D7FF" w:themeFill="accent1" w:themeFillTint="7F"/>
      </w:tcPr>
    </w:tblStylePr>
    <w:tblStylePr w:type="band1Horz">
      <w:tblPr/>
      <w:tcPr>
        <w:tcBorders>
          <w:insideH w:val="single" w:sz="6" w:space="0" w:color="0094C5" w:themeColor="accent1"/>
          <w:insideV w:val="single" w:sz="6" w:space="0" w:color="0094C5" w:themeColor="accent1"/>
        </w:tcBorders>
        <w:shd w:val="clear" w:color="auto" w:fill="63D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cPr>
      <w:shd w:val="clear" w:color="auto" w:fill="FFB9DA" w:themeFill="accent2" w:themeFillTint="3F"/>
    </w:tcPr>
    <w:tblStylePr w:type="firstRow">
      <w:rPr>
        <w:b/>
        <w:bCs/>
        <w:color w:val="30353F" w:themeColor="text1"/>
      </w:rPr>
      <w:tblPr/>
      <w:tcPr>
        <w:shd w:val="clear" w:color="auto" w:fill="FFE3F0" w:themeFill="accent2"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FC6E1" w:themeFill="accent2" w:themeFillTint="33"/>
      </w:tcPr>
    </w:tblStylePr>
    <w:tblStylePr w:type="band1Vert">
      <w:tblPr/>
      <w:tcPr>
        <w:shd w:val="clear" w:color="auto" w:fill="FF73B5" w:themeFill="accent2" w:themeFillTint="7F"/>
      </w:tcPr>
    </w:tblStylePr>
    <w:tblStylePr w:type="band1Horz">
      <w:tblPr/>
      <w:tcPr>
        <w:tcBorders>
          <w:insideH w:val="single" w:sz="6" w:space="0" w:color="E5006D" w:themeColor="accent2"/>
          <w:insideV w:val="single" w:sz="6" w:space="0" w:color="E5006D" w:themeColor="accent2"/>
        </w:tcBorders>
        <w:shd w:val="clear" w:color="auto" w:fill="FF73B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cPr>
      <w:shd w:val="clear" w:color="auto" w:fill="BFBAEB" w:themeFill="accent3" w:themeFillTint="3F"/>
    </w:tcPr>
    <w:tblStylePr w:type="firstRow">
      <w:rPr>
        <w:b/>
        <w:bCs/>
        <w:color w:val="30353F" w:themeColor="text1"/>
      </w:rPr>
      <w:tblPr/>
      <w:tcPr>
        <w:shd w:val="clear" w:color="auto" w:fill="E5E3F7" w:themeFill="accent3"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CC7EF" w:themeFill="accent3" w:themeFillTint="33"/>
      </w:tcPr>
    </w:tblStylePr>
    <w:tblStylePr w:type="band1Vert">
      <w:tblPr/>
      <w:tcPr>
        <w:shd w:val="clear" w:color="auto" w:fill="8074D7" w:themeFill="accent3" w:themeFillTint="7F"/>
      </w:tcPr>
    </w:tblStylePr>
    <w:tblStylePr w:type="band1Horz">
      <w:tblPr/>
      <w:tcPr>
        <w:tcBorders>
          <w:insideH w:val="single" w:sz="6" w:space="0" w:color="2C2276" w:themeColor="accent3"/>
          <w:insideV w:val="single" w:sz="6" w:space="0" w:color="2C2276" w:themeColor="accent3"/>
        </w:tcBorders>
        <w:shd w:val="clear" w:color="auto" w:fill="807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cPr>
      <w:shd w:val="clear" w:color="auto" w:fill="F3AFCF" w:themeFill="accent4" w:themeFillTint="3F"/>
    </w:tcPr>
    <w:tblStylePr w:type="firstRow">
      <w:rPr>
        <w:b/>
        <w:bCs/>
        <w:color w:val="30353F" w:themeColor="text1"/>
      </w:rPr>
      <w:tblPr/>
      <w:tcPr>
        <w:shd w:val="clear" w:color="auto" w:fill="FADFEC" w:themeFill="accent4"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5BED8" w:themeFill="accent4" w:themeFillTint="33"/>
      </w:tcPr>
    </w:tblStylePr>
    <w:tblStylePr w:type="band1Vert">
      <w:tblPr/>
      <w:tcPr>
        <w:shd w:val="clear" w:color="auto" w:fill="E75E9F" w:themeFill="accent4" w:themeFillTint="7F"/>
      </w:tcPr>
    </w:tblStylePr>
    <w:tblStylePr w:type="band1Horz">
      <w:tblPr/>
      <w:tcPr>
        <w:tcBorders>
          <w:insideH w:val="single" w:sz="6" w:space="0" w:color="7B1244" w:themeColor="accent4"/>
          <w:insideV w:val="single" w:sz="6" w:space="0" w:color="7B1244" w:themeColor="accent4"/>
        </w:tcBorders>
        <w:shd w:val="clear" w:color="auto" w:fill="E75E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cPr>
      <w:shd w:val="clear" w:color="auto" w:fill="F1FBB9" w:themeFill="accent5" w:themeFillTint="3F"/>
    </w:tcPr>
    <w:tblStylePr w:type="firstRow">
      <w:rPr>
        <w:b/>
        <w:bCs/>
        <w:color w:val="30353F" w:themeColor="text1"/>
      </w:rPr>
      <w:tblPr/>
      <w:tcPr>
        <w:shd w:val="clear" w:color="auto" w:fill="F9FDE3" w:themeFill="accent5"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4FCC6" w:themeFill="accent5" w:themeFillTint="33"/>
      </w:tcPr>
    </w:tblStylePr>
    <w:tblStylePr w:type="band1Vert">
      <w:tblPr/>
      <w:tcPr>
        <w:shd w:val="clear" w:color="auto" w:fill="E4F772" w:themeFill="accent5" w:themeFillTint="7F"/>
      </w:tcPr>
    </w:tblStylePr>
    <w:tblStylePr w:type="band1Horz">
      <w:tblPr/>
      <w:tcPr>
        <w:tcBorders>
          <w:insideH w:val="single" w:sz="6" w:space="0" w:color="AFCA0B" w:themeColor="accent5"/>
          <w:insideV w:val="single" w:sz="6" w:space="0" w:color="AFCA0B" w:themeColor="accent5"/>
        </w:tcBorders>
        <w:shd w:val="clear" w:color="auto" w:fill="E4F7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cPr>
      <w:shd w:val="clear" w:color="auto" w:fill="CAEEC8" w:themeFill="accent6" w:themeFillTint="3F"/>
    </w:tcPr>
    <w:tblStylePr w:type="firstRow">
      <w:rPr>
        <w:b/>
        <w:bCs/>
        <w:color w:val="30353F" w:themeColor="text1"/>
      </w:rPr>
      <w:tblPr/>
      <w:tcPr>
        <w:shd w:val="clear" w:color="auto" w:fill="E9F8E9" w:themeFill="accent6"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4F1D3" w:themeFill="accent6" w:themeFillTint="33"/>
      </w:tcPr>
    </w:tblStylePr>
    <w:tblStylePr w:type="band1Vert">
      <w:tblPr/>
      <w:tcPr>
        <w:shd w:val="clear" w:color="auto" w:fill="94DD92" w:themeFill="accent6" w:themeFillTint="7F"/>
      </w:tcPr>
    </w:tblStylePr>
    <w:tblStylePr w:type="band1Horz">
      <w:tblPr/>
      <w:tcPr>
        <w:tcBorders>
          <w:insideH w:val="single" w:sz="6" w:space="0" w:color="3AAA35" w:themeColor="accent6"/>
          <w:insideV w:val="single" w:sz="6" w:space="0" w:color="3AAA35" w:themeColor="accent6"/>
        </w:tcBorders>
        <w:shd w:val="clear" w:color="auto" w:fill="94DD9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BD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53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53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7A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7A9" w:themeFill="text1" w:themeFillTint="7F"/>
      </w:tcPr>
    </w:tblStylePr>
  </w:style>
  <w:style w:type="table" w:styleId="MediumGrid3-Accent1">
    <w:name w:val="Medium Grid 3 Accent 1"/>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4C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4C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D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D7FF" w:themeFill="accent1" w:themeFillTint="7F"/>
      </w:tcPr>
    </w:tblStylePr>
  </w:style>
  <w:style w:type="table" w:styleId="MediumGrid3-Accent2">
    <w:name w:val="Medium Grid 3 Accent 2"/>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9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00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00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3B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3B5" w:themeFill="accent2" w:themeFillTint="7F"/>
      </w:tcPr>
    </w:tblStylePr>
  </w:style>
  <w:style w:type="table" w:styleId="MediumGrid3-Accent3">
    <w:name w:val="Medium Grid 3 Accent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B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2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2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7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74D7" w:themeFill="accent3" w:themeFillTint="7F"/>
      </w:tcPr>
    </w:tblStylePr>
  </w:style>
  <w:style w:type="table" w:styleId="MediumGrid3-Accent4">
    <w:name w:val="Medium Grid 3 Accent 4"/>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AF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124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124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5E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5E9F" w:themeFill="accent4" w:themeFillTint="7F"/>
      </w:tcPr>
    </w:tblStylePr>
  </w:style>
  <w:style w:type="table" w:styleId="MediumGrid3-Accent5">
    <w:name w:val="Medium Grid 3 Accent 5"/>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B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A0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A0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7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772" w:themeFill="accent5" w:themeFillTint="7F"/>
      </w:tcPr>
    </w:tblStylePr>
  </w:style>
  <w:style w:type="table" w:styleId="MediumGrid3-Accent6">
    <w:name w:val="Medium Grid 3 Accent 6"/>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E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A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A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DD9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DD92" w:themeFill="accent6" w:themeFillTint="7F"/>
      </w:tcPr>
    </w:tblStylePr>
  </w:style>
  <w:style w:type="table" w:styleId="MediumList1">
    <w:name w:val="Medium Lis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0353F" w:themeColor="text1"/>
        <w:bottom w:val="single" w:sz="8" w:space="0" w:color="30353F" w:themeColor="text1"/>
      </w:tblBorders>
    </w:tblPr>
    <w:tblStylePr w:type="firstRow">
      <w:rPr>
        <w:rFonts w:asciiTheme="majorHAnsi" w:eastAsiaTheme="majorEastAsia" w:hAnsiTheme="majorHAnsi" w:cstheme="majorBidi"/>
      </w:rPr>
      <w:tblPr/>
      <w:tcPr>
        <w:tcBorders>
          <w:top w:val="nil"/>
          <w:bottom w:val="single" w:sz="8" w:space="0" w:color="30353F" w:themeColor="text1"/>
        </w:tcBorders>
      </w:tcPr>
    </w:tblStylePr>
    <w:tblStylePr w:type="lastRow">
      <w:rPr>
        <w:b/>
        <w:bCs/>
        <w:color w:val="000000" w:themeColor="text2"/>
      </w:rPr>
      <w:tblPr/>
      <w:tcPr>
        <w:tcBorders>
          <w:top w:val="single" w:sz="8" w:space="0" w:color="30353F" w:themeColor="text1"/>
          <w:bottom w:val="single" w:sz="8" w:space="0" w:color="30353F" w:themeColor="text1"/>
        </w:tcBorders>
      </w:tcPr>
    </w:tblStylePr>
    <w:tblStylePr w:type="firstCol">
      <w:rPr>
        <w:b/>
        <w:bCs/>
      </w:rPr>
    </w:tblStylePr>
    <w:tblStylePr w:type="lastCol">
      <w:rPr>
        <w:b/>
        <w:bCs/>
      </w:rPr>
      <w:tblPr/>
      <w:tcPr>
        <w:tcBorders>
          <w:top w:val="single" w:sz="8" w:space="0" w:color="30353F" w:themeColor="text1"/>
          <w:bottom w:val="single" w:sz="8" w:space="0" w:color="30353F" w:themeColor="text1"/>
        </w:tcBorders>
      </w:tcPr>
    </w:tblStylePr>
    <w:tblStylePr w:type="band1Vert">
      <w:tblPr/>
      <w:tcPr>
        <w:shd w:val="clear" w:color="auto" w:fill="C7CBD4" w:themeFill="text1" w:themeFillTint="3F"/>
      </w:tcPr>
    </w:tblStylePr>
    <w:tblStylePr w:type="band1Horz">
      <w:tblPr/>
      <w:tcPr>
        <w:shd w:val="clear" w:color="auto" w:fill="C7CBD4" w:themeFill="text1" w:themeFillTint="3F"/>
      </w:tcPr>
    </w:tblStylePr>
  </w:style>
  <w:style w:type="table" w:styleId="MediumList1-Accent1">
    <w:name w:val="Medium List 1 Accen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0094C5" w:themeColor="accent1"/>
        <w:bottom w:val="single" w:sz="8" w:space="0" w:color="0094C5" w:themeColor="accent1"/>
      </w:tblBorders>
    </w:tblPr>
    <w:tblStylePr w:type="firstRow">
      <w:rPr>
        <w:rFonts w:asciiTheme="majorHAnsi" w:eastAsiaTheme="majorEastAsia" w:hAnsiTheme="majorHAnsi" w:cstheme="majorBidi"/>
      </w:rPr>
      <w:tblPr/>
      <w:tcPr>
        <w:tcBorders>
          <w:top w:val="nil"/>
          <w:bottom w:val="single" w:sz="8" w:space="0" w:color="0094C5" w:themeColor="accent1"/>
        </w:tcBorders>
      </w:tcPr>
    </w:tblStylePr>
    <w:tblStylePr w:type="lastRow">
      <w:rPr>
        <w:b/>
        <w:bCs/>
        <w:color w:val="000000" w:themeColor="text2"/>
      </w:rPr>
      <w:tblPr/>
      <w:tcPr>
        <w:tcBorders>
          <w:top w:val="single" w:sz="8" w:space="0" w:color="0094C5" w:themeColor="accent1"/>
          <w:bottom w:val="single" w:sz="8" w:space="0" w:color="0094C5" w:themeColor="accent1"/>
        </w:tcBorders>
      </w:tcPr>
    </w:tblStylePr>
    <w:tblStylePr w:type="firstCol">
      <w:rPr>
        <w:b/>
        <w:bCs/>
      </w:rPr>
    </w:tblStylePr>
    <w:tblStylePr w:type="lastCol">
      <w:rPr>
        <w:b/>
        <w:bCs/>
      </w:rPr>
      <w:tblPr/>
      <w:tcPr>
        <w:tcBorders>
          <w:top w:val="single" w:sz="8" w:space="0" w:color="0094C5" w:themeColor="accent1"/>
          <w:bottom w:val="single" w:sz="8" w:space="0" w:color="0094C5" w:themeColor="accent1"/>
        </w:tcBorders>
      </w:tcPr>
    </w:tblStylePr>
    <w:tblStylePr w:type="band1Vert">
      <w:tblPr/>
      <w:tcPr>
        <w:shd w:val="clear" w:color="auto" w:fill="B1EBFF" w:themeFill="accent1" w:themeFillTint="3F"/>
      </w:tcPr>
    </w:tblStylePr>
    <w:tblStylePr w:type="band1Horz">
      <w:tblPr/>
      <w:tcPr>
        <w:shd w:val="clear" w:color="auto" w:fill="B1EBFF" w:themeFill="accent1" w:themeFillTint="3F"/>
      </w:tcPr>
    </w:tblStylePr>
  </w:style>
  <w:style w:type="table" w:styleId="MediumList1-Accent2">
    <w:name w:val="Medium List 1 Accent 2"/>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E5006D" w:themeColor="accent2"/>
        <w:bottom w:val="single" w:sz="8" w:space="0" w:color="E5006D" w:themeColor="accent2"/>
      </w:tblBorders>
    </w:tblPr>
    <w:tblStylePr w:type="firstRow">
      <w:rPr>
        <w:rFonts w:asciiTheme="majorHAnsi" w:eastAsiaTheme="majorEastAsia" w:hAnsiTheme="majorHAnsi" w:cstheme="majorBidi"/>
      </w:rPr>
      <w:tblPr/>
      <w:tcPr>
        <w:tcBorders>
          <w:top w:val="nil"/>
          <w:bottom w:val="single" w:sz="8" w:space="0" w:color="E5006D" w:themeColor="accent2"/>
        </w:tcBorders>
      </w:tcPr>
    </w:tblStylePr>
    <w:tblStylePr w:type="lastRow">
      <w:rPr>
        <w:b/>
        <w:bCs/>
        <w:color w:val="000000" w:themeColor="text2"/>
      </w:rPr>
      <w:tblPr/>
      <w:tcPr>
        <w:tcBorders>
          <w:top w:val="single" w:sz="8" w:space="0" w:color="E5006D" w:themeColor="accent2"/>
          <w:bottom w:val="single" w:sz="8" w:space="0" w:color="E5006D" w:themeColor="accent2"/>
        </w:tcBorders>
      </w:tcPr>
    </w:tblStylePr>
    <w:tblStylePr w:type="firstCol">
      <w:rPr>
        <w:b/>
        <w:bCs/>
      </w:rPr>
    </w:tblStylePr>
    <w:tblStylePr w:type="lastCol">
      <w:rPr>
        <w:b/>
        <w:bCs/>
      </w:rPr>
      <w:tblPr/>
      <w:tcPr>
        <w:tcBorders>
          <w:top w:val="single" w:sz="8" w:space="0" w:color="E5006D" w:themeColor="accent2"/>
          <w:bottom w:val="single" w:sz="8" w:space="0" w:color="E5006D" w:themeColor="accent2"/>
        </w:tcBorders>
      </w:tcPr>
    </w:tblStylePr>
    <w:tblStylePr w:type="band1Vert">
      <w:tblPr/>
      <w:tcPr>
        <w:shd w:val="clear" w:color="auto" w:fill="FFB9DA" w:themeFill="accent2" w:themeFillTint="3F"/>
      </w:tcPr>
    </w:tblStylePr>
    <w:tblStylePr w:type="band1Horz">
      <w:tblPr/>
      <w:tcPr>
        <w:shd w:val="clear" w:color="auto" w:fill="FFB9DA" w:themeFill="accent2" w:themeFillTint="3F"/>
      </w:tcPr>
    </w:tblStylePr>
  </w:style>
  <w:style w:type="table" w:styleId="MediumList1-Accent3">
    <w:name w:val="Medium List 1 Accent 3"/>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2C2276" w:themeColor="accent3"/>
        <w:bottom w:val="single" w:sz="8" w:space="0" w:color="2C2276" w:themeColor="accent3"/>
      </w:tblBorders>
    </w:tblPr>
    <w:tblStylePr w:type="firstRow">
      <w:rPr>
        <w:rFonts w:asciiTheme="majorHAnsi" w:eastAsiaTheme="majorEastAsia" w:hAnsiTheme="majorHAnsi" w:cstheme="majorBidi"/>
      </w:rPr>
      <w:tblPr/>
      <w:tcPr>
        <w:tcBorders>
          <w:top w:val="nil"/>
          <w:bottom w:val="single" w:sz="8" w:space="0" w:color="2C2276" w:themeColor="accent3"/>
        </w:tcBorders>
      </w:tcPr>
    </w:tblStylePr>
    <w:tblStylePr w:type="lastRow">
      <w:rPr>
        <w:b/>
        <w:bCs/>
        <w:color w:val="000000" w:themeColor="text2"/>
      </w:rPr>
      <w:tblPr/>
      <w:tcPr>
        <w:tcBorders>
          <w:top w:val="single" w:sz="8" w:space="0" w:color="2C2276" w:themeColor="accent3"/>
          <w:bottom w:val="single" w:sz="8" w:space="0" w:color="2C2276" w:themeColor="accent3"/>
        </w:tcBorders>
      </w:tcPr>
    </w:tblStylePr>
    <w:tblStylePr w:type="firstCol">
      <w:rPr>
        <w:b/>
        <w:bCs/>
      </w:rPr>
    </w:tblStylePr>
    <w:tblStylePr w:type="lastCol">
      <w:rPr>
        <w:b/>
        <w:bCs/>
      </w:rPr>
      <w:tblPr/>
      <w:tcPr>
        <w:tcBorders>
          <w:top w:val="single" w:sz="8" w:space="0" w:color="2C2276" w:themeColor="accent3"/>
          <w:bottom w:val="single" w:sz="8" w:space="0" w:color="2C2276" w:themeColor="accent3"/>
        </w:tcBorders>
      </w:tcPr>
    </w:tblStylePr>
    <w:tblStylePr w:type="band1Vert">
      <w:tblPr/>
      <w:tcPr>
        <w:shd w:val="clear" w:color="auto" w:fill="BFBAEB" w:themeFill="accent3" w:themeFillTint="3F"/>
      </w:tcPr>
    </w:tblStylePr>
    <w:tblStylePr w:type="band1Horz">
      <w:tblPr/>
      <w:tcPr>
        <w:shd w:val="clear" w:color="auto" w:fill="BFBAEB" w:themeFill="accent3" w:themeFillTint="3F"/>
      </w:tcPr>
    </w:tblStylePr>
  </w:style>
  <w:style w:type="table" w:styleId="MediumList1-Accent4">
    <w:name w:val="Medium List 1 Accent 4"/>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7B1244" w:themeColor="accent4"/>
        <w:bottom w:val="single" w:sz="8" w:space="0" w:color="7B1244" w:themeColor="accent4"/>
      </w:tblBorders>
    </w:tblPr>
    <w:tblStylePr w:type="firstRow">
      <w:rPr>
        <w:rFonts w:asciiTheme="majorHAnsi" w:eastAsiaTheme="majorEastAsia" w:hAnsiTheme="majorHAnsi" w:cstheme="majorBidi"/>
      </w:rPr>
      <w:tblPr/>
      <w:tcPr>
        <w:tcBorders>
          <w:top w:val="nil"/>
          <w:bottom w:val="single" w:sz="8" w:space="0" w:color="7B1244" w:themeColor="accent4"/>
        </w:tcBorders>
      </w:tcPr>
    </w:tblStylePr>
    <w:tblStylePr w:type="lastRow">
      <w:rPr>
        <w:b/>
        <w:bCs/>
        <w:color w:val="000000" w:themeColor="text2"/>
      </w:rPr>
      <w:tblPr/>
      <w:tcPr>
        <w:tcBorders>
          <w:top w:val="single" w:sz="8" w:space="0" w:color="7B1244" w:themeColor="accent4"/>
          <w:bottom w:val="single" w:sz="8" w:space="0" w:color="7B1244" w:themeColor="accent4"/>
        </w:tcBorders>
      </w:tcPr>
    </w:tblStylePr>
    <w:tblStylePr w:type="firstCol">
      <w:rPr>
        <w:b/>
        <w:bCs/>
      </w:rPr>
    </w:tblStylePr>
    <w:tblStylePr w:type="lastCol">
      <w:rPr>
        <w:b/>
        <w:bCs/>
      </w:rPr>
      <w:tblPr/>
      <w:tcPr>
        <w:tcBorders>
          <w:top w:val="single" w:sz="8" w:space="0" w:color="7B1244" w:themeColor="accent4"/>
          <w:bottom w:val="single" w:sz="8" w:space="0" w:color="7B1244" w:themeColor="accent4"/>
        </w:tcBorders>
      </w:tcPr>
    </w:tblStylePr>
    <w:tblStylePr w:type="band1Vert">
      <w:tblPr/>
      <w:tcPr>
        <w:shd w:val="clear" w:color="auto" w:fill="F3AFCF" w:themeFill="accent4" w:themeFillTint="3F"/>
      </w:tcPr>
    </w:tblStylePr>
    <w:tblStylePr w:type="band1Horz">
      <w:tblPr/>
      <w:tcPr>
        <w:shd w:val="clear" w:color="auto" w:fill="F3AFCF" w:themeFill="accent4" w:themeFillTint="3F"/>
      </w:tcPr>
    </w:tblStylePr>
  </w:style>
  <w:style w:type="table" w:styleId="MediumList1-Accent5">
    <w:name w:val="Medium List 1 Accent 5"/>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AFCA0B" w:themeColor="accent5"/>
        <w:bottom w:val="single" w:sz="8" w:space="0" w:color="AFCA0B" w:themeColor="accent5"/>
      </w:tblBorders>
    </w:tblPr>
    <w:tblStylePr w:type="firstRow">
      <w:rPr>
        <w:rFonts w:asciiTheme="majorHAnsi" w:eastAsiaTheme="majorEastAsia" w:hAnsiTheme="majorHAnsi" w:cstheme="majorBidi"/>
      </w:rPr>
      <w:tblPr/>
      <w:tcPr>
        <w:tcBorders>
          <w:top w:val="nil"/>
          <w:bottom w:val="single" w:sz="8" w:space="0" w:color="AFCA0B" w:themeColor="accent5"/>
        </w:tcBorders>
      </w:tcPr>
    </w:tblStylePr>
    <w:tblStylePr w:type="lastRow">
      <w:rPr>
        <w:b/>
        <w:bCs/>
        <w:color w:val="000000" w:themeColor="text2"/>
      </w:rPr>
      <w:tblPr/>
      <w:tcPr>
        <w:tcBorders>
          <w:top w:val="single" w:sz="8" w:space="0" w:color="AFCA0B" w:themeColor="accent5"/>
          <w:bottom w:val="single" w:sz="8" w:space="0" w:color="AFCA0B" w:themeColor="accent5"/>
        </w:tcBorders>
      </w:tcPr>
    </w:tblStylePr>
    <w:tblStylePr w:type="firstCol">
      <w:rPr>
        <w:b/>
        <w:bCs/>
      </w:rPr>
    </w:tblStylePr>
    <w:tblStylePr w:type="lastCol">
      <w:rPr>
        <w:b/>
        <w:bCs/>
      </w:rPr>
      <w:tblPr/>
      <w:tcPr>
        <w:tcBorders>
          <w:top w:val="single" w:sz="8" w:space="0" w:color="AFCA0B" w:themeColor="accent5"/>
          <w:bottom w:val="single" w:sz="8" w:space="0" w:color="AFCA0B" w:themeColor="accent5"/>
        </w:tcBorders>
      </w:tcPr>
    </w:tblStylePr>
    <w:tblStylePr w:type="band1Vert">
      <w:tblPr/>
      <w:tcPr>
        <w:shd w:val="clear" w:color="auto" w:fill="F1FBB9" w:themeFill="accent5" w:themeFillTint="3F"/>
      </w:tcPr>
    </w:tblStylePr>
    <w:tblStylePr w:type="band1Horz">
      <w:tblPr/>
      <w:tcPr>
        <w:shd w:val="clear" w:color="auto" w:fill="F1FBB9" w:themeFill="accent5" w:themeFillTint="3F"/>
      </w:tcPr>
    </w:tblStylePr>
  </w:style>
  <w:style w:type="table" w:styleId="MediumList1-Accent6">
    <w:name w:val="Medium List 1 Accent 6"/>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AAA35" w:themeColor="accent6"/>
        <w:bottom w:val="single" w:sz="8" w:space="0" w:color="3AAA35" w:themeColor="accent6"/>
      </w:tblBorders>
    </w:tblPr>
    <w:tblStylePr w:type="firstRow">
      <w:rPr>
        <w:rFonts w:asciiTheme="majorHAnsi" w:eastAsiaTheme="majorEastAsia" w:hAnsiTheme="majorHAnsi" w:cstheme="majorBidi"/>
      </w:rPr>
      <w:tblPr/>
      <w:tcPr>
        <w:tcBorders>
          <w:top w:val="nil"/>
          <w:bottom w:val="single" w:sz="8" w:space="0" w:color="3AAA35" w:themeColor="accent6"/>
        </w:tcBorders>
      </w:tcPr>
    </w:tblStylePr>
    <w:tblStylePr w:type="lastRow">
      <w:rPr>
        <w:b/>
        <w:bCs/>
        <w:color w:val="000000" w:themeColor="text2"/>
      </w:rPr>
      <w:tblPr/>
      <w:tcPr>
        <w:tcBorders>
          <w:top w:val="single" w:sz="8" w:space="0" w:color="3AAA35" w:themeColor="accent6"/>
          <w:bottom w:val="single" w:sz="8" w:space="0" w:color="3AAA35" w:themeColor="accent6"/>
        </w:tcBorders>
      </w:tcPr>
    </w:tblStylePr>
    <w:tblStylePr w:type="firstCol">
      <w:rPr>
        <w:b/>
        <w:bCs/>
      </w:rPr>
    </w:tblStylePr>
    <w:tblStylePr w:type="lastCol">
      <w:rPr>
        <w:b/>
        <w:bCs/>
      </w:rPr>
      <w:tblPr/>
      <w:tcPr>
        <w:tcBorders>
          <w:top w:val="single" w:sz="8" w:space="0" w:color="3AAA35" w:themeColor="accent6"/>
          <w:bottom w:val="single" w:sz="8" w:space="0" w:color="3AAA35" w:themeColor="accent6"/>
        </w:tcBorders>
      </w:tcPr>
    </w:tblStylePr>
    <w:tblStylePr w:type="band1Vert">
      <w:tblPr/>
      <w:tcPr>
        <w:shd w:val="clear" w:color="auto" w:fill="CAEEC8" w:themeFill="accent6" w:themeFillTint="3F"/>
      </w:tcPr>
    </w:tblStylePr>
    <w:tblStylePr w:type="band1Horz">
      <w:tblPr/>
      <w:tcPr>
        <w:shd w:val="clear" w:color="auto" w:fill="CAEEC8" w:themeFill="accent6" w:themeFillTint="3F"/>
      </w:tcPr>
    </w:tblStylePr>
  </w:style>
  <w:style w:type="table" w:styleId="MediumList2">
    <w:name w:val="Medium Lis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rPr>
        <w:sz w:val="24"/>
        <w:szCs w:val="24"/>
      </w:rPr>
      <w:tblPr/>
      <w:tcPr>
        <w:tcBorders>
          <w:top w:val="nil"/>
          <w:left w:val="nil"/>
          <w:bottom w:val="single" w:sz="24" w:space="0" w:color="30353F" w:themeColor="text1"/>
          <w:right w:val="nil"/>
          <w:insideH w:val="nil"/>
          <w:insideV w:val="nil"/>
        </w:tcBorders>
        <w:shd w:val="clear" w:color="auto" w:fill="FFFFFF" w:themeFill="background1"/>
      </w:tcPr>
    </w:tblStylePr>
    <w:tblStylePr w:type="lastRow">
      <w:tblPr/>
      <w:tcPr>
        <w:tcBorders>
          <w:top w:val="single" w:sz="8" w:space="0" w:color="3035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53F" w:themeColor="text1"/>
          <w:insideH w:val="nil"/>
          <w:insideV w:val="nil"/>
        </w:tcBorders>
        <w:shd w:val="clear" w:color="auto" w:fill="FFFFFF" w:themeFill="background1"/>
      </w:tcPr>
    </w:tblStylePr>
    <w:tblStylePr w:type="lastCol">
      <w:tblPr/>
      <w:tcPr>
        <w:tcBorders>
          <w:top w:val="nil"/>
          <w:left w:val="single" w:sz="8" w:space="0" w:color="3035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top w:val="nil"/>
          <w:bottom w:val="nil"/>
          <w:insideH w:val="nil"/>
          <w:insideV w:val="nil"/>
        </w:tcBorders>
        <w:shd w:val="clear" w:color="auto" w:fill="C7CBD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rPr>
        <w:sz w:val="24"/>
        <w:szCs w:val="24"/>
      </w:rPr>
      <w:tblPr/>
      <w:tcPr>
        <w:tcBorders>
          <w:top w:val="nil"/>
          <w:left w:val="nil"/>
          <w:bottom w:val="single" w:sz="24" w:space="0" w:color="0094C5" w:themeColor="accent1"/>
          <w:right w:val="nil"/>
          <w:insideH w:val="nil"/>
          <w:insideV w:val="nil"/>
        </w:tcBorders>
        <w:shd w:val="clear" w:color="auto" w:fill="FFFFFF" w:themeFill="background1"/>
      </w:tcPr>
    </w:tblStylePr>
    <w:tblStylePr w:type="lastRow">
      <w:tblPr/>
      <w:tcPr>
        <w:tcBorders>
          <w:top w:val="single" w:sz="8" w:space="0" w:color="0094C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4C5" w:themeColor="accent1"/>
          <w:insideH w:val="nil"/>
          <w:insideV w:val="nil"/>
        </w:tcBorders>
        <w:shd w:val="clear" w:color="auto" w:fill="FFFFFF" w:themeFill="background1"/>
      </w:tcPr>
    </w:tblStylePr>
    <w:tblStylePr w:type="lastCol">
      <w:tblPr/>
      <w:tcPr>
        <w:tcBorders>
          <w:top w:val="nil"/>
          <w:left w:val="single" w:sz="8" w:space="0" w:color="0094C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top w:val="nil"/>
          <w:bottom w:val="nil"/>
          <w:insideH w:val="nil"/>
          <w:insideV w:val="nil"/>
        </w:tcBorders>
        <w:shd w:val="clear" w:color="auto" w:fill="B1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rPr>
        <w:sz w:val="24"/>
        <w:szCs w:val="24"/>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tblPr/>
      <w:tcPr>
        <w:tcBorders>
          <w:top w:val="single" w:sz="8" w:space="0" w:color="E5006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006D" w:themeColor="accent2"/>
          <w:insideH w:val="nil"/>
          <w:insideV w:val="nil"/>
        </w:tcBorders>
        <w:shd w:val="clear" w:color="auto" w:fill="FFFFFF" w:themeFill="background1"/>
      </w:tcPr>
    </w:tblStylePr>
    <w:tblStylePr w:type="lastCol">
      <w:tblPr/>
      <w:tcPr>
        <w:tcBorders>
          <w:top w:val="nil"/>
          <w:left w:val="single" w:sz="8" w:space="0" w:color="E500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top w:val="nil"/>
          <w:bottom w:val="nil"/>
          <w:insideH w:val="nil"/>
          <w:insideV w:val="nil"/>
        </w:tcBorders>
        <w:shd w:val="clear" w:color="auto" w:fill="FFB9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rPr>
        <w:sz w:val="24"/>
        <w:szCs w:val="24"/>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tblPr/>
      <w:tcPr>
        <w:tcBorders>
          <w:top w:val="single" w:sz="8" w:space="0" w:color="2C2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2276" w:themeColor="accent3"/>
          <w:insideH w:val="nil"/>
          <w:insideV w:val="nil"/>
        </w:tcBorders>
        <w:shd w:val="clear" w:color="auto" w:fill="FFFFFF" w:themeFill="background1"/>
      </w:tcPr>
    </w:tblStylePr>
    <w:tblStylePr w:type="lastCol">
      <w:tblPr/>
      <w:tcPr>
        <w:tcBorders>
          <w:top w:val="nil"/>
          <w:left w:val="single" w:sz="8" w:space="0" w:color="2C2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top w:val="nil"/>
          <w:bottom w:val="nil"/>
          <w:insideH w:val="nil"/>
          <w:insideV w:val="nil"/>
        </w:tcBorders>
        <w:shd w:val="clear" w:color="auto" w:fill="BFB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rPr>
        <w:sz w:val="24"/>
        <w:szCs w:val="24"/>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tblPr/>
      <w:tcPr>
        <w:tcBorders>
          <w:top w:val="single" w:sz="8" w:space="0" w:color="7B124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1244" w:themeColor="accent4"/>
          <w:insideH w:val="nil"/>
          <w:insideV w:val="nil"/>
        </w:tcBorders>
        <w:shd w:val="clear" w:color="auto" w:fill="FFFFFF" w:themeFill="background1"/>
      </w:tcPr>
    </w:tblStylePr>
    <w:tblStylePr w:type="lastCol">
      <w:tblPr/>
      <w:tcPr>
        <w:tcBorders>
          <w:top w:val="nil"/>
          <w:left w:val="single" w:sz="8" w:space="0" w:color="7B124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top w:val="nil"/>
          <w:bottom w:val="nil"/>
          <w:insideH w:val="nil"/>
          <w:insideV w:val="nil"/>
        </w:tcBorders>
        <w:shd w:val="clear" w:color="auto" w:fill="F3AF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rPr>
        <w:sz w:val="24"/>
        <w:szCs w:val="24"/>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tblPr/>
      <w:tcPr>
        <w:tcBorders>
          <w:top w:val="single" w:sz="8" w:space="0" w:color="AFCA0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A0B" w:themeColor="accent5"/>
          <w:insideH w:val="nil"/>
          <w:insideV w:val="nil"/>
        </w:tcBorders>
        <w:shd w:val="clear" w:color="auto" w:fill="FFFFFF" w:themeFill="background1"/>
      </w:tcPr>
    </w:tblStylePr>
    <w:tblStylePr w:type="lastCol">
      <w:tblPr/>
      <w:tcPr>
        <w:tcBorders>
          <w:top w:val="nil"/>
          <w:left w:val="single" w:sz="8" w:space="0" w:color="AFCA0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top w:val="nil"/>
          <w:bottom w:val="nil"/>
          <w:insideH w:val="nil"/>
          <w:insideV w:val="nil"/>
        </w:tcBorders>
        <w:shd w:val="clear" w:color="auto" w:fill="F1FB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rPr>
        <w:sz w:val="24"/>
        <w:szCs w:val="24"/>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tblPr/>
      <w:tcPr>
        <w:tcBorders>
          <w:top w:val="single" w:sz="8" w:space="0" w:color="3AAA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A35" w:themeColor="accent6"/>
          <w:insideH w:val="nil"/>
          <w:insideV w:val="nil"/>
        </w:tcBorders>
        <w:shd w:val="clear" w:color="auto" w:fill="FFFFFF" w:themeFill="background1"/>
      </w:tcPr>
    </w:tblStylePr>
    <w:tblStylePr w:type="lastCol">
      <w:tblPr/>
      <w:tcPr>
        <w:tcBorders>
          <w:top w:val="nil"/>
          <w:left w:val="single" w:sz="8" w:space="0" w:color="3AAA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top w:val="nil"/>
          <w:bottom w:val="nil"/>
          <w:insideH w:val="nil"/>
          <w:insideV w:val="nil"/>
        </w:tcBorders>
        <w:shd w:val="clear" w:color="auto" w:fill="CAEE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tblBorders>
    </w:tblPr>
    <w:tblStylePr w:type="firstRow">
      <w:pPr>
        <w:spacing w:before="0" w:after="0" w:line="240" w:lineRule="auto"/>
      </w:pPr>
      <w:rPr>
        <w:b/>
        <w:bCs/>
        <w:color w:val="FFFFFF" w:themeColor="background1"/>
      </w:rPr>
      <w:tblPr/>
      <w:tcPr>
        <w:tc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shd w:val="clear" w:color="auto" w:fill="30353F" w:themeFill="text1"/>
      </w:tcPr>
    </w:tblStylePr>
    <w:tblStylePr w:type="lastRow">
      <w:pPr>
        <w:spacing w:before="0" w:after="0" w:line="240" w:lineRule="auto"/>
      </w:pPr>
      <w:rPr>
        <w:b/>
        <w:bCs/>
      </w:rPr>
      <w:tblPr/>
      <w:tcPr>
        <w:tcBorders>
          <w:top w:val="double" w:sz="6"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tcPr>
    </w:tblStylePr>
    <w:tblStylePr w:type="firstCol">
      <w:rPr>
        <w:b/>
        <w:bCs/>
      </w:rPr>
    </w:tblStylePr>
    <w:tblStylePr w:type="lastCol">
      <w:rPr>
        <w:b/>
        <w:bCs/>
      </w:rPr>
    </w:tblStylePr>
    <w:tblStylePr w:type="band1Vert">
      <w:tblPr/>
      <w:tcPr>
        <w:shd w:val="clear" w:color="auto" w:fill="C7CBD4" w:themeFill="text1" w:themeFillTint="3F"/>
      </w:tcPr>
    </w:tblStylePr>
    <w:tblStylePr w:type="band1Horz">
      <w:tblPr/>
      <w:tcPr>
        <w:tcBorders>
          <w:insideH w:val="nil"/>
          <w:insideV w:val="nil"/>
        </w:tcBorders>
        <w:shd w:val="clear" w:color="auto" w:fill="C7CBD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tblBorders>
    </w:tblPr>
    <w:tblStylePr w:type="firstRow">
      <w:pPr>
        <w:spacing w:before="0" w:after="0" w:line="240" w:lineRule="auto"/>
      </w:pPr>
      <w:rPr>
        <w:b/>
        <w:bCs/>
        <w:color w:val="FFFFFF" w:themeColor="background1"/>
      </w:rPr>
      <w:tblPr/>
      <w:tcPr>
        <w:tc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shd w:val="clear" w:color="auto" w:fill="0094C5" w:themeFill="accent1"/>
      </w:tcPr>
    </w:tblStylePr>
    <w:tblStylePr w:type="lastRow">
      <w:pPr>
        <w:spacing w:before="0" w:after="0" w:line="240" w:lineRule="auto"/>
      </w:pPr>
      <w:rPr>
        <w:b/>
        <w:bCs/>
      </w:rPr>
      <w:tblPr/>
      <w:tcPr>
        <w:tcBorders>
          <w:top w:val="double" w:sz="6"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EBFF" w:themeFill="accent1" w:themeFillTint="3F"/>
      </w:tcPr>
    </w:tblStylePr>
    <w:tblStylePr w:type="band1Horz">
      <w:tblPr/>
      <w:tcPr>
        <w:tcBorders>
          <w:insideH w:val="nil"/>
          <w:insideV w:val="nil"/>
        </w:tcBorders>
        <w:shd w:val="clear" w:color="auto" w:fill="B1E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tblBorders>
    </w:tblPr>
    <w:tblStylePr w:type="firstRow">
      <w:pPr>
        <w:spacing w:before="0" w:after="0" w:line="240" w:lineRule="auto"/>
      </w:pPr>
      <w:rPr>
        <w:b/>
        <w:bCs/>
        <w:color w:val="FFFFFF" w:themeColor="background1"/>
      </w:rPr>
      <w:tblPr/>
      <w:tcPr>
        <w:tc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shd w:val="clear" w:color="auto" w:fill="E5006D" w:themeFill="accent2"/>
      </w:tcPr>
    </w:tblStylePr>
    <w:tblStylePr w:type="lastRow">
      <w:pPr>
        <w:spacing w:before="0" w:after="0" w:line="240" w:lineRule="auto"/>
      </w:pPr>
      <w:rPr>
        <w:b/>
        <w:bCs/>
      </w:rPr>
      <w:tblPr/>
      <w:tcPr>
        <w:tcBorders>
          <w:top w:val="double" w:sz="6"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A" w:themeFill="accent2" w:themeFillTint="3F"/>
      </w:tcPr>
    </w:tblStylePr>
    <w:tblStylePr w:type="band1Horz">
      <w:tblPr/>
      <w:tcPr>
        <w:tcBorders>
          <w:insideH w:val="nil"/>
          <w:insideV w:val="nil"/>
        </w:tcBorders>
        <w:shd w:val="clear" w:color="auto" w:fill="FFB9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tblBorders>
    </w:tblPr>
    <w:tblStylePr w:type="firstRow">
      <w:pPr>
        <w:spacing w:before="0" w:after="0" w:line="240" w:lineRule="auto"/>
      </w:pPr>
      <w:rPr>
        <w:b/>
        <w:bCs/>
        <w:color w:val="FFFFFF" w:themeColor="background1"/>
      </w:rPr>
      <w:tblPr/>
      <w:tcPr>
        <w:tc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shd w:val="clear" w:color="auto" w:fill="2C2276" w:themeFill="accent3"/>
      </w:tcPr>
    </w:tblStylePr>
    <w:tblStylePr w:type="lastRow">
      <w:pPr>
        <w:spacing w:before="0" w:after="0" w:line="240" w:lineRule="auto"/>
      </w:pPr>
      <w:rPr>
        <w:b/>
        <w:bCs/>
      </w:rPr>
      <w:tblPr/>
      <w:tcPr>
        <w:tcBorders>
          <w:top w:val="double" w:sz="6"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BAEB" w:themeFill="accent3" w:themeFillTint="3F"/>
      </w:tcPr>
    </w:tblStylePr>
    <w:tblStylePr w:type="band1Horz">
      <w:tblPr/>
      <w:tcPr>
        <w:tcBorders>
          <w:insideH w:val="nil"/>
          <w:insideV w:val="nil"/>
        </w:tcBorders>
        <w:shd w:val="clear" w:color="auto" w:fill="BFB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tblBorders>
    </w:tblPr>
    <w:tblStylePr w:type="firstRow">
      <w:pPr>
        <w:spacing w:before="0" w:after="0" w:line="240" w:lineRule="auto"/>
      </w:pPr>
      <w:rPr>
        <w:b/>
        <w:bCs/>
        <w:color w:val="FFFFFF" w:themeColor="background1"/>
      </w:rPr>
      <w:tblPr/>
      <w:tcPr>
        <w:tc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shd w:val="clear" w:color="auto" w:fill="7B1244" w:themeFill="accent4"/>
      </w:tcPr>
    </w:tblStylePr>
    <w:tblStylePr w:type="lastRow">
      <w:pPr>
        <w:spacing w:before="0" w:after="0" w:line="240" w:lineRule="auto"/>
      </w:pPr>
      <w:rPr>
        <w:b/>
        <w:bCs/>
      </w:rPr>
      <w:tblPr/>
      <w:tcPr>
        <w:tcBorders>
          <w:top w:val="double" w:sz="6"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AFCF" w:themeFill="accent4" w:themeFillTint="3F"/>
      </w:tcPr>
    </w:tblStylePr>
    <w:tblStylePr w:type="band1Horz">
      <w:tblPr/>
      <w:tcPr>
        <w:tcBorders>
          <w:insideH w:val="nil"/>
          <w:insideV w:val="nil"/>
        </w:tcBorders>
        <w:shd w:val="clear" w:color="auto" w:fill="F3AF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tblBorders>
    </w:tblPr>
    <w:tblStylePr w:type="firstRow">
      <w:pPr>
        <w:spacing w:before="0" w:after="0" w:line="240" w:lineRule="auto"/>
      </w:pPr>
      <w:rPr>
        <w:b/>
        <w:bCs/>
        <w:color w:val="FFFFFF" w:themeColor="background1"/>
      </w:rPr>
      <w:tblPr/>
      <w:tcPr>
        <w:tc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shd w:val="clear" w:color="auto" w:fill="AFCA0B" w:themeFill="accent5"/>
      </w:tcPr>
    </w:tblStylePr>
    <w:tblStylePr w:type="lastRow">
      <w:pPr>
        <w:spacing w:before="0" w:after="0" w:line="240" w:lineRule="auto"/>
      </w:pPr>
      <w:rPr>
        <w:b/>
        <w:bCs/>
      </w:rPr>
      <w:tblPr/>
      <w:tcPr>
        <w:tcBorders>
          <w:top w:val="double" w:sz="6"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BB9" w:themeFill="accent5" w:themeFillTint="3F"/>
      </w:tcPr>
    </w:tblStylePr>
    <w:tblStylePr w:type="band1Horz">
      <w:tblPr/>
      <w:tcPr>
        <w:tcBorders>
          <w:insideH w:val="nil"/>
          <w:insideV w:val="nil"/>
        </w:tcBorders>
        <w:shd w:val="clear" w:color="auto" w:fill="F1FB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tblBorders>
    </w:tblPr>
    <w:tblStylePr w:type="firstRow">
      <w:pPr>
        <w:spacing w:before="0" w:after="0" w:line="240" w:lineRule="auto"/>
      </w:pPr>
      <w:rPr>
        <w:b/>
        <w:bCs/>
        <w:color w:val="FFFFFF" w:themeColor="background1"/>
      </w:rPr>
      <w:tblPr/>
      <w:tcPr>
        <w:tc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shd w:val="clear" w:color="auto" w:fill="3AAA35" w:themeFill="accent6"/>
      </w:tcPr>
    </w:tblStylePr>
    <w:tblStylePr w:type="lastRow">
      <w:pPr>
        <w:spacing w:before="0" w:after="0" w:line="240" w:lineRule="auto"/>
      </w:pPr>
      <w:rPr>
        <w:b/>
        <w:bCs/>
      </w:rPr>
      <w:tblPr/>
      <w:tcPr>
        <w:tcBorders>
          <w:top w:val="double" w:sz="6"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EC8" w:themeFill="accent6" w:themeFillTint="3F"/>
      </w:tcPr>
    </w:tblStylePr>
    <w:tblStylePr w:type="band1Horz">
      <w:tblPr/>
      <w:tcPr>
        <w:tcBorders>
          <w:insideH w:val="nil"/>
          <w:insideV w:val="nil"/>
        </w:tcBorders>
        <w:shd w:val="clear" w:color="auto" w:fill="CAEE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5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53F" w:themeFill="text1"/>
      </w:tcPr>
    </w:tblStylePr>
    <w:tblStylePr w:type="lastCol">
      <w:rPr>
        <w:b/>
        <w:bCs/>
        <w:color w:val="FFFFFF" w:themeColor="background1"/>
      </w:rPr>
      <w:tblPr/>
      <w:tcPr>
        <w:tcBorders>
          <w:left w:val="nil"/>
          <w:right w:val="nil"/>
          <w:insideH w:val="nil"/>
          <w:insideV w:val="nil"/>
        </w:tcBorders>
        <w:shd w:val="clear" w:color="auto" w:fill="3035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4C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4C5" w:themeFill="accent1"/>
      </w:tcPr>
    </w:tblStylePr>
    <w:tblStylePr w:type="lastCol">
      <w:rPr>
        <w:b/>
        <w:bCs/>
        <w:color w:val="FFFFFF" w:themeColor="background1"/>
      </w:rPr>
      <w:tblPr/>
      <w:tcPr>
        <w:tcBorders>
          <w:left w:val="nil"/>
          <w:right w:val="nil"/>
          <w:insideH w:val="nil"/>
          <w:insideV w:val="nil"/>
        </w:tcBorders>
        <w:shd w:val="clear" w:color="auto" w:fill="0094C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00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006D" w:themeFill="accent2"/>
      </w:tcPr>
    </w:tblStylePr>
    <w:tblStylePr w:type="lastCol">
      <w:rPr>
        <w:b/>
        <w:bCs/>
        <w:color w:val="FFFFFF" w:themeColor="background1"/>
      </w:rPr>
      <w:tblPr/>
      <w:tcPr>
        <w:tcBorders>
          <w:left w:val="nil"/>
          <w:right w:val="nil"/>
          <w:insideH w:val="nil"/>
          <w:insideV w:val="nil"/>
        </w:tcBorders>
        <w:shd w:val="clear" w:color="auto" w:fill="E500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2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2276" w:themeFill="accent3"/>
      </w:tcPr>
    </w:tblStylePr>
    <w:tblStylePr w:type="lastCol">
      <w:rPr>
        <w:b/>
        <w:bCs/>
        <w:color w:val="FFFFFF" w:themeColor="background1"/>
      </w:rPr>
      <w:tblPr/>
      <w:tcPr>
        <w:tcBorders>
          <w:left w:val="nil"/>
          <w:right w:val="nil"/>
          <w:insideH w:val="nil"/>
          <w:insideV w:val="nil"/>
        </w:tcBorders>
        <w:shd w:val="clear" w:color="auto" w:fill="2C2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124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1244" w:themeFill="accent4"/>
      </w:tcPr>
    </w:tblStylePr>
    <w:tblStylePr w:type="lastCol">
      <w:rPr>
        <w:b/>
        <w:bCs/>
        <w:color w:val="FFFFFF" w:themeColor="background1"/>
      </w:rPr>
      <w:tblPr/>
      <w:tcPr>
        <w:tcBorders>
          <w:left w:val="nil"/>
          <w:right w:val="nil"/>
          <w:insideH w:val="nil"/>
          <w:insideV w:val="nil"/>
        </w:tcBorders>
        <w:shd w:val="clear" w:color="auto" w:fill="7B124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A0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A0B" w:themeFill="accent5"/>
      </w:tcPr>
    </w:tblStylePr>
    <w:tblStylePr w:type="lastCol">
      <w:rPr>
        <w:b/>
        <w:bCs/>
        <w:color w:val="FFFFFF" w:themeColor="background1"/>
      </w:rPr>
      <w:tblPr/>
      <w:tcPr>
        <w:tcBorders>
          <w:left w:val="nil"/>
          <w:right w:val="nil"/>
          <w:insideH w:val="nil"/>
          <w:insideV w:val="nil"/>
        </w:tcBorders>
        <w:shd w:val="clear" w:color="auto" w:fill="AFCA0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A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AAA35" w:themeFill="accent6"/>
      </w:tcPr>
    </w:tblStylePr>
    <w:tblStylePr w:type="lastCol">
      <w:rPr>
        <w:b/>
        <w:bCs/>
        <w:color w:val="FFFFFF" w:themeColor="background1"/>
      </w:rPr>
      <w:tblPr/>
      <w:tcPr>
        <w:tcBorders>
          <w:left w:val="nil"/>
          <w:right w:val="nil"/>
          <w:insideH w:val="nil"/>
          <w:insideV w:val="nil"/>
        </w:tcBorders>
        <w:shd w:val="clear" w:color="auto" w:fill="3AAA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F24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F245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DF245D"/>
    <w:pPr>
      <w:spacing w:after="0" w:line="240" w:lineRule="auto"/>
    </w:pPr>
    <w:rPr>
      <w:rFonts w:ascii="Calibri" w:hAnsi="Calibri"/>
    </w:rPr>
  </w:style>
  <w:style w:type="paragraph" w:styleId="NormalWeb">
    <w:name w:val="Normal (Web)"/>
    <w:basedOn w:val="Normal"/>
    <w:uiPriority w:val="99"/>
    <w:semiHidden/>
    <w:unhideWhenUsed/>
    <w:rsid w:val="00DF245D"/>
    <w:rPr>
      <w:rFonts w:ascii="Times New Roman" w:hAnsi="Times New Roman" w:cs="Times New Roman"/>
      <w:sz w:val="24"/>
      <w:szCs w:val="24"/>
    </w:rPr>
  </w:style>
  <w:style w:type="paragraph" w:styleId="NormalIndent">
    <w:name w:val="Normal Indent"/>
    <w:basedOn w:val="Normal"/>
    <w:uiPriority w:val="99"/>
    <w:semiHidden/>
    <w:unhideWhenUsed/>
    <w:rsid w:val="00DF245D"/>
    <w:pPr>
      <w:ind w:left="720"/>
    </w:pPr>
  </w:style>
  <w:style w:type="paragraph" w:styleId="NoteHeading">
    <w:name w:val="Note Heading"/>
    <w:basedOn w:val="Normal"/>
    <w:next w:val="Normal"/>
    <w:link w:val="NoteHeadingChar"/>
    <w:uiPriority w:val="99"/>
    <w:semiHidden/>
    <w:unhideWhenUsed/>
    <w:rsid w:val="00DF245D"/>
    <w:pPr>
      <w:spacing w:after="0" w:line="240" w:lineRule="auto"/>
    </w:pPr>
  </w:style>
  <w:style w:type="character" w:customStyle="1" w:styleId="NoteHeadingChar">
    <w:name w:val="Note Heading Char"/>
    <w:basedOn w:val="DefaultParagraphFont"/>
    <w:link w:val="NoteHeading"/>
    <w:uiPriority w:val="99"/>
    <w:semiHidden/>
    <w:rsid w:val="00DF245D"/>
    <w:rPr>
      <w:rFonts w:ascii="Calibri" w:hAnsi="Calibri"/>
    </w:rPr>
  </w:style>
  <w:style w:type="character" w:styleId="PageNumber">
    <w:name w:val="page number"/>
    <w:basedOn w:val="DefaultParagraphFont"/>
    <w:uiPriority w:val="48"/>
    <w:rsid w:val="00DF245D"/>
  </w:style>
  <w:style w:type="table" w:styleId="PlainTable1">
    <w:name w:val="Plain Table 1"/>
    <w:basedOn w:val="TableNormal"/>
    <w:uiPriority w:val="41"/>
    <w:rsid w:val="00916CFA"/>
    <w:pPr>
      <w:spacing w:after="0" w:line="240" w:lineRule="auto"/>
    </w:pPr>
    <w:tblPr>
      <w:tblStyleRowBandSize w:val="1"/>
      <w:tblStyleColBandSize w:val="1"/>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6CFA"/>
    <w:pPr>
      <w:spacing w:after="0" w:line="240" w:lineRule="auto"/>
    </w:pPr>
    <w:tblPr>
      <w:tblStyleRowBandSize w:val="1"/>
      <w:tblStyleColBandSize w:val="1"/>
      <w:tblInd w:w="851" w:type="dxa"/>
      <w:tblBorders>
        <w:top w:val="single" w:sz="4" w:space="0" w:color="8D96A8" w:themeColor="text1" w:themeTint="80"/>
        <w:bottom w:val="single" w:sz="4" w:space="0" w:color="8D96A8" w:themeColor="text1" w:themeTint="80"/>
      </w:tblBorders>
    </w:tblPr>
    <w:tblStylePr w:type="firstRow">
      <w:rPr>
        <w:b/>
        <w:bCs/>
      </w:rPr>
      <w:tblPr/>
      <w:tcPr>
        <w:tcBorders>
          <w:bottom w:val="single" w:sz="4" w:space="0" w:color="8D96A8" w:themeColor="text1" w:themeTint="80"/>
        </w:tcBorders>
      </w:tcPr>
    </w:tblStylePr>
    <w:tblStylePr w:type="lastRow">
      <w:rPr>
        <w:b/>
        <w:bCs/>
      </w:rPr>
      <w:tblPr/>
      <w:tcPr>
        <w:tcBorders>
          <w:top w:val="single" w:sz="4" w:space="0" w:color="8D96A8" w:themeColor="text1" w:themeTint="80"/>
        </w:tcBorders>
      </w:tcPr>
    </w:tblStylePr>
    <w:tblStylePr w:type="firstCol">
      <w:rPr>
        <w:b/>
        <w:bCs/>
      </w:rPr>
    </w:tblStylePr>
    <w:tblStylePr w:type="lastCol">
      <w:rPr>
        <w:b/>
        <w:bCs/>
      </w:rPr>
    </w:tblStylePr>
    <w:tblStylePr w:type="band1Vert">
      <w:tblPr/>
      <w:tcPr>
        <w:tcBorders>
          <w:left w:val="single" w:sz="4" w:space="0" w:color="8D96A8" w:themeColor="text1" w:themeTint="80"/>
          <w:right w:val="single" w:sz="4" w:space="0" w:color="8D96A8" w:themeColor="text1" w:themeTint="80"/>
        </w:tcBorders>
      </w:tcPr>
    </w:tblStylePr>
    <w:tblStylePr w:type="band2Vert">
      <w:tblPr/>
      <w:tcPr>
        <w:tcBorders>
          <w:left w:val="single" w:sz="4" w:space="0" w:color="8D96A8" w:themeColor="text1" w:themeTint="80"/>
          <w:right w:val="single" w:sz="4" w:space="0" w:color="8D96A8" w:themeColor="text1" w:themeTint="80"/>
        </w:tcBorders>
      </w:tcPr>
    </w:tblStylePr>
    <w:tblStylePr w:type="band1Horz">
      <w:tblPr/>
      <w:tcPr>
        <w:tcBorders>
          <w:top w:val="single" w:sz="4" w:space="0" w:color="8D96A8" w:themeColor="text1" w:themeTint="80"/>
          <w:bottom w:val="single" w:sz="4" w:space="0" w:color="8D96A8" w:themeColor="text1" w:themeTint="80"/>
        </w:tcBorders>
      </w:tcPr>
    </w:tblStylePr>
  </w:style>
  <w:style w:type="table" w:styleId="PlainTable4">
    <w:name w:val="Plain Table 4"/>
    <w:basedOn w:val="TableNormal"/>
    <w:uiPriority w:val="44"/>
    <w:rsid w:val="00916CFA"/>
    <w:pPr>
      <w:spacing w:after="0" w:line="240" w:lineRule="auto"/>
    </w:pPr>
    <w:tblPr>
      <w:tblStyleRowBandSize w:val="1"/>
      <w:tblStyleColBandSize w:val="1"/>
      <w:tblInd w:w="851"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6CFA"/>
    <w:pPr>
      <w:spacing w:after="0" w:line="240" w:lineRule="auto"/>
    </w:pPr>
    <w:tblPr>
      <w:tblStyleRowBandSize w:val="1"/>
      <w:tblStyleColBandSize w:val="1"/>
      <w:tblInd w:w="851" w:type="dxa"/>
    </w:tblPr>
    <w:tblStylePr w:type="firstRow">
      <w:rPr>
        <w:rFonts w:asciiTheme="majorHAnsi" w:eastAsiaTheme="majorEastAsia" w:hAnsiTheme="majorHAnsi" w:cstheme="majorBidi"/>
        <w:i/>
        <w:iCs/>
        <w:sz w:val="26"/>
      </w:rPr>
      <w:tblPr/>
      <w:tcPr>
        <w:tcBorders>
          <w:bottom w:val="single" w:sz="4" w:space="0" w:color="8D96A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6A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6A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6A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F245D"/>
    <w:rPr>
      <w:u w:val="dotted"/>
    </w:rPr>
  </w:style>
  <w:style w:type="character" w:customStyle="1" w:styleId="SmartLink1">
    <w:name w:val="SmartLink1"/>
    <w:basedOn w:val="DefaultParagraphFont"/>
    <w:uiPriority w:val="99"/>
    <w:semiHidden/>
    <w:unhideWhenUsed/>
    <w:rsid w:val="00DF245D"/>
    <w:rPr>
      <w:color w:val="2B579A"/>
      <w:shd w:val="clear" w:color="auto" w:fill="E1DFDD"/>
    </w:rPr>
  </w:style>
  <w:style w:type="table" w:styleId="Table3Deffects1">
    <w:name w:val="Table 3D effects 1"/>
    <w:basedOn w:val="TableNormal"/>
    <w:uiPriority w:val="99"/>
    <w:semiHidden/>
    <w:unhideWhenUsed/>
    <w:rsid w:val="00DF245D"/>
    <w:pPr>
      <w:spacing w:after="12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F245D"/>
    <w:pPr>
      <w:spacing w:after="120"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F245D"/>
    <w:pPr>
      <w:spacing w:after="120"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F245D"/>
    <w:pPr>
      <w:spacing w:after="120"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F245D"/>
    <w:pPr>
      <w:spacing w:after="120"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F245D"/>
    <w:pPr>
      <w:spacing w:after="120"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F245D"/>
    <w:pPr>
      <w:spacing w:after="120"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F245D"/>
    <w:pPr>
      <w:spacing w:after="120"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F245D"/>
    <w:pPr>
      <w:spacing w:after="120"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F245D"/>
    <w:pPr>
      <w:spacing w:after="120"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F245D"/>
    <w:pPr>
      <w:spacing w:after="120"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F245D"/>
    <w:pPr>
      <w:spacing w:after="120"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F245D"/>
    <w:pPr>
      <w:spacing w:after="120"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F245D"/>
    <w:pPr>
      <w:spacing w:after="120"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F245D"/>
    <w:pPr>
      <w:spacing w:after="120"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F245D"/>
    <w:pPr>
      <w:spacing w:after="120"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F245D"/>
    <w:pPr>
      <w:spacing w:after="120"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F245D"/>
    <w:pPr>
      <w:spacing w:after="120"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F245D"/>
    <w:pPr>
      <w:spacing w:after="120"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F245D"/>
    <w:pPr>
      <w:spacing w:after="120"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F245D"/>
    <w:pPr>
      <w:spacing w:after="120"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F245D"/>
    <w:pPr>
      <w:spacing w:after="120"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F245D"/>
    <w:pPr>
      <w:spacing w:after="120"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F245D"/>
    <w:pPr>
      <w:spacing w:after="120"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F245D"/>
    <w:pPr>
      <w:spacing w:after="0"/>
      <w:ind w:left="220" w:hanging="220"/>
    </w:pPr>
  </w:style>
  <w:style w:type="table" w:styleId="TableProfessional">
    <w:name w:val="Table Professional"/>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F245D"/>
    <w:pPr>
      <w:spacing w:after="120"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F245D"/>
    <w:pPr>
      <w:spacing w:after="120"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F245D"/>
    <w:pPr>
      <w:spacing w:after="120"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F245D"/>
    <w:pPr>
      <w:spacing w:after="120"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F245D"/>
    <w:pPr>
      <w:spacing w:after="12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F245D"/>
    <w:pPr>
      <w:spacing w:after="120"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F245D"/>
    <w:pPr>
      <w:spacing w:after="120"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F245D"/>
    <w:pPr>
      <w:spacing w:after="120"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F245D"/>
    <w:pPr>
      <w:spacing w:before="120"/>
    </w:pPr>
    <w:rPr>
      <w:rFonts w:asciiTheme="majorHAnsi" w:eastAsiaTheme="majorEastAsia" w:hAnsiTheme="majorHAnsi" w:cstheme="majorBidi"/>
      <w:b/>
      <w:bCs/>
      <w:sz w:val="24"/>
      <w:szCs w:val="24"/>
    </w:rPr>
  </w:style>
  <w:style w:type="paragraph" w:customStyle="1" w:styleId="CaptionSubheading">
    <w:name w:val="Caption Subheading"/>
    <w:basedOn w:val="USBodyText"/>
    <w:uiPriority w:val="39"/>
    <w:rsid w:val="004E29DF"/>
    <w:pPr>
      <w:keepNext/>
      <w:spacing w:line="220" w:lineRule="atLeast"/>
    </w:pPr>
    <w:rPr>
      <w:sz w:val="18"/>
      <w:szCs w:val="18"/>
    </w:rPr>
  </w:style>
  <w:style w:type="paragraph" w:customStyle="1" w:styleId="TableCaption">
    <w:name w:val="Table Caption"/>
    <w:basedOn w:val="Caption"/>
    <w:next w:val="CaptionSubheading"/>
    <w:uiPriority w:val="38"/>
    <w:rsid w:val="00EC22B7"/>
    <w:pPr>
      <w:ind w:left="851" w:firstLine="0"/>
    </w:pPr>
  </w:style>
  <w:style w:type="paragraph" w:customStyle="1" w:styleId="FigureCaption">
    <w:name w:val="Figure Caption"/>
    <w:basedOn w:val="Caption"/>
    <w:uiPriority w:val="38"/>
    <w:rsid w:val="00EC22B7"/>
    <w:pPr>
      <w:spacing w:after="120"/>
      <w:ind w:left="851" w:firstLine="0"/>
    </w:pPr>
  </w:style>
  <w:style w:type="paragraph" w:customStyle="1" w:styleId="ESHeading1">
    <w:name w:val="ES Heading 1"/>
    <w:basedOn w:val="Heading1"/>
    <w:next w:val="USBodyText"/>
    <w:uiPriority w:val="8"/>
    <w:rsid w:val="00C141D4"/>
    <w:pPr>
      <w:numPr>
        <w:numId w:val="0"/>
      </w:numPr>
      <w:outlineLvl w:val="9"/>
    </w:pPr>
  </w:style>
  <w:style w:type="paragraph" w:customStyle="1" w:styleId="ESHeading2">
    <w:name w:val="ES Heading 2"/>
    <w:basedOn w:val="Heading2"/>
    <w:next w:val="USBodyText"/>
    <w:uiPriority w:val="8"/>
    <w:rsid w:val="00C141D4"/>
    <w:pPr>
      <w:numPr>
        <w:ilvl w:val="0"/>
        <w:numId w:val="0"/>
      </w:numPr>
      <w:outlineLvl w:val="9"/>
    </w:pPr>
  </w:style>
  <w:style w:type="paragraph" w:customStyle="1" w:styleId="HeadingContents-TablesFigures">
    <w:name w:val="Heading Contents - Tables/Figures"/>
    <w:basedOn w:val="Heading2"/>
    <w:uiPriority w:val="55"/>
    <w:rsid w:val="009C506D"/>
    <w:pPr>
      <w:numPr>
        <w:ilvl w:val="0"/>
        <w:numId w:val="0"/>
      </w:numPr>
      <w:spacing w:before="120" w:after="40"/>
      <w:outlineLvl w:val="9"/>
    </w:pPr>
  </w:style>
  <w:style w:type="paragraph" w:styleId="ListParagraph">
    <w:name w:val="List Paragraph"/>
    <w:basedOn w:val="Normal"/>
    <w:uiPriority w:val="34"/>
    <w:qFormat/>
    <w:rsid w:val="00C7750E"/>
    <w:pPr>
      <w:ind w:left="720"/>
      <w:contextualSpacing/>
    </w:pPr>
  </w:style>
  <w:style w:type="character" w:customStyle="1" w:styleId="QuotationwithinSentence">
    <w:name w:val="Quotation (within Sentence)"/>
    <w:basedOn w:val="DefaultParagraphFont"/>
    <w:uiPriority w:val="18"/>
    <w:rsid w:val="0039336F"/>
    <w:rPr>
      <w:i/>
    </w:rPr>
  </w:style>
  <w:style w:type="paragraph" w:customStyle="1" w:styleId="CoverPicturePlaceholder">
    <w:name w:val="Cover Picture Placeholder"/>
    <w:basedOn w:val="USBodyText"/>
    <w:next w:val="CoverTitle"/>
    <w:uiPriority w:val="54"/>
    <w:rsid w:val="004D53BA"/>
    <w:pPr>
      <w:spacing w:after="0"/>
      <w:ind w:left="0"/>
    </w:pPr>
  </w:style>
  <w:style w:type="paragraph" w:customStyle="1" w:styleId="FooterInsidecover">
    <w:name w:val="Footer (Inside cover)"/>
    <w:basedOn w:val="Footer"/>
    <w:uiPriority w:val="47"/>
    <w:rsid w:val="00881555"/>
    <w:pPr>
      <w:ind w:left="851"/>
      <w:jc w:val="left"/>
    </w:pPr>
    <w:rPr>
      <w:sz w:val="17"/>
    </w:rPr>
  </w:style>
  <w:style w:type="character" w:styleId="UnresolvedMention">
    <w:name w:val="Unresolved Mention"/>
    <w:basedOn w:val="DefaultParagraphFont"/>
    <w:uiPriority w:val="99"/>
    <w:semiHidden/>
    <w:unhideWhenUsed/>
    <w:rsid w:val="00881555"/>
    <w:rPr>
      <w:color w:val="605E5C"/>
      <w:shd w:val="clear" w:color="auto" w:fill="E1DFDD"/>
    </w:rPr>
  </w:style>
  <w:style w:type="paragraph" w:customStyle="1" w:styleId="paragraph">
    <w:name w:val="paragraph"/>
    <w:basedOn w:val="Normal"/>
    <w:rsid w:val="00AF038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AF0387"/>
  </w:style>
  <w:style w:type="character" w:customStyle="1" w:styleId="eop">
    <w:name w:val="eop"/>
    <w:basedOn w:val="DefaultParagraphFont"/>
    <w:rsid w:val="00AF0387"/>
  </w:style>
  <w:style w:type="paragraph" w:customStyle="1" w:styleId="Default">
    <w:name w:val="Default"/>
    <w:rsid w:val="004B5C9E"/>
    <w:pPr>
      <w:autoSpaceDE w:val="0"/>
      <w:autoSpaceDN w:val="0"/>
      <w:adjustRightInd w:val="0"/>
      <w:spacing w:after="0" w:line="240" w:lineRule="auto"/>
    </w:pPr>
    <w:rPr>
      <w:rFonts w:ascii="Frutiger LT 47 LightCn" w:hAnsi="Frutiger LT 47 LightCn" w:cs="Frutiger LT 47 LightC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874278">
      <w:bodyDiv w:val="1"/>
      <w:marLeft w:val="0"/>
      <w:marRight w:val="0"/>
      <w:marTop w:val="0"/>
      <w:marBottom w:val="0"/>
      <w:divBdr>
        <w:top w:val="none" w:sz="0" w:space="0" w:color="auto"/>
        <w:left w:val="none" w:sz="0" w:space="0" w:color="auto"/>
        <w:bottom w:val="none" w:sz="0" w:space="0" w:color="auto"/>
        <w:right w:val="none" w:sz="0" w:space="0" w:color="auto"/>
      </w:divBdr>
      <w:divsChild>
        <w:div w:id="342128888">
          <w:marLeft w:val="0"/>
          <w:marRight w:val="0"/>
          <w:marTop w:val="0"/>
          <w:marBottom w:val="0"/>
          <w:divBdr>
            <w:top w:val="none" w:sz="0" w:space="0" w:color="auto"/>
            <w:left w:val="none" w:sz="0" w:space="0" w:color="auto"/>
            <w:bottom w:val="none" w:sz="0" w:space="0" w:color="auto"/>
            <w:right w:val="none" w:sz="0" w:space="0" w:color="auto"/>
          </w:divBdr>
          <w:divsChild>
            <w:div w:id="1873491121">
              <w:marLeft w:val="0"/>
              <w:marRight w:val="0"/>
              <w:marTop w:val="0"/>
              <w:marBottom w:val="0"/>
              <w:divBdr>
                <w:top w:val="none" w:sz="0" w:space="0" w:color="auto"/>
                <w:left w:val="none" w:sz="0" w:space="0" w:color="auto"/>
                <w:bottom w:val="none" w:sz="0" w:space="0" w:color="auto"/>
                <w:right w:val="none" w:sz="0" w:space="0" w:color="auto"/>
              </w:divBdr>
            </w:div>
          </w:divsChild>
        </w:div>
        <w:div w:id="1691105765">
          <w:marLeft w:val="0"/>
          <w:marRight w:val="0"/>
          <w:marTop w:val="0"/>
          <w:marBottom w:val="0"/>
          <w:divBdr>
            <w:top w:val="none" w:sz="0" w:space="0" w:color="auto"/>
            <w:left w:val="none" w:sz="0" w:space="0" w:color="auto"/>
            <w:bottom w:val="none" w:sz="0" w:space="0" w:color="auto"/>
            <w:right w:val="none" w:sz="0" w:space="0" w:color="auto"/>
          </w:divBdr>
        </w:div>
        <w:div w:id="291206044">
          <w:marLeft w:val="0"/>
          <w:marRight w:val="0"/>
          <w:marTop w:val="0"/>
          <w:marBottom w:val="0"/>
          <w:divBdr>
            <w:top w:val="none" w:sz="0" w:space="0" w:color="auto"/>
            <w:left w:val="none" w:sz="0" w:space="0" w:color="auto"/>
            <w:bottom w:val="none" w:sz="0" w:space="0" w:color="auto"/>
            <w:right w:val="none" w:sz="0" w:space="0" w:color="auto"/>
          </w:divBdr>
        </w:div>
        <w:div w:id="1588079381">
          <w:marLeft w:val="0"/>
          <w:marRight w:val="0"/>
          <w:marTop w:val="0"/>
          <w:marBottom w:val="0"/>
          <w:divBdr>
            <w:top w:val="none" w:sz="0" w:space="0" w:color="auto"/>
            <w:left w:val="none" w:sz="0" w:space="0" w:color="auto"/>
            <w:bottom w:val="none" w:sz="0" w:space="0" w:color="auto"/>
            <w:right w:val="none" w:sz="0" w:space="0" w:color="auto"/>
          </w:divBdr>
        </w:div>
        <w:div w:id="1541819734">
          <w:marLeft w:val="0"/>
          <w:marRight w:val="0"/>
          <w:marTop w:val="0"/>
          <w:marBottom w:val="0"/>
          <w:divBdr>
            <w:top w:val="none" w:sz="0" w:space="0" w:color="auto"/>
            <w:left w:val="none" w:sz="0" w:space="0" w:color="auto"/>
            <w:bottom w:val="none" w:sz="0" w:space="0" w:color="auto"/>
            <w:right w:val="none" w:sz="0" w:space="0" w:color="auto"/>
          </w:divBdr>
        </w:div>
        <w:div w:id="197472226">
          <w:marLeft w:val="0"/>
          <w:marRight w:val="0"/>
          <w:marTop w:val="0"/>
          <w:marBottom w:val="0"/>
          <w:divBdr>
            <w:top w:val="none" w:sz="0" w:space="0" w:color="auto"/>
            <w:left w:val="none" w:sz="0" w:space="0" w:color="auto"/>
            <w:bottom w:val="none" w:sz="0" w:space="0" w:color="auto"/>
            <w:right w:val="none" w:sz="0" w:space="0" w:color="auto"/>
          </w:divBdr>
        </w:div>
        <w:div w:id="260914998">
          <w:marLeft w:val="0"/>
          <w:marRight w:val="0"/>
          <w:marTop w:val="0"/>
          <w:marBottom w:val="0"/>
          <w:divBdr>
            <w:top w:val="none" w:sz="0" w:space="0" w:color="auto"/>
            <w:left w:val="none" w:sz="0" w:space="0" w:color="auto"/>
            <w:bottom w:val="none" w:sz="0" w:space="0" w:color="auto"/>
            <w:right w:val="none" w:sz="0" w:space="0" w:color="auto"/>
          </w:divBdr>
        </w:div>
        <w:div w:id="302347967">
          <w:marLeft w:val="0"/>
          <w:marRight w:val="0"/>
          <w:marTop w:val="0"/>
          <w:marBottom w:val="0"/>
          <w:divBdr>
            <w:top w:val="none" w:sz="0" w:space="0" w:color="auto"/>
            <w:left w:val="none" w:sz="0" w:space="0" w:color="auto"/>
            <w:bottom w:val="none" w:sz="0" w:space="0" w:color="auto"/>
            <w:right w:val="none" w:sz="0" w:space="0" w:color="auto"/>
          </w:divBdr>
        </w:div>
        <w:div w:id="579292659">
          <w:marLeft w:val="0"/>
          <w:marRight w:val="0"/>
          <w:marTop w:val="0"/>
          <w:marBottom w:val="0"/>
          <w:divBdr>
            <w:top w:val="none" w:sz="0" w:space="0" w:color="auto"/>
            <w:left w:val="none" w:sz="0" w:space="0" w:color="auto"/>
            <w:bottom w:val="none" w:sz="0" w:space="0" w:color="auto"/>
            <w:right w:val="none" w:sz="0" w:space="0" w:color="auto"/>
          </w:divBdr>
        </w:div>
        <w:div w:id="68042270">
          <w:marLeft w:val="0"/>
          <w:marRight w:val="0"/>
          <w:marTop w:val="0"/>
          <w:marBottom w:val="0"/>
          <w:divBdr>
            <w:top w:val="none" w:sz="0" w:space="0" w:color="auto"/>
            <w:left w:val="none" w:sz="0" w:space="0" w:color="auto"/>
            <w:bottom w:val="none" w:sz="0" w:space="0" w:color="auto"/>
            <w:right w:val="none" w:sz="0" w:space="0" w:color="auto"/>
          </w:divBdr>
        </w:div>
        <w:div w:id="497304268">
          <w:marLeft w:val="0"/>
          <w:marRight w:val="0"/>
          <w:marTop w:val="0"/>
          <w:marBottom w:val="0"/>
          <w:divBdr>
            <w:top w:val="none" w:sz="0" w:space="0" w:color="auto"/>
            <w:left w:val="none" w:sz="0" w:space="0" w:color="auto"/>
            <w:bottom w:val="none" w:sz="0" w:space="0" w:color="auto"/>
            <w:right w:val="none" w:sz="0" w:space="0" w:color="auto"/>
          </w:divBdr>
        </w:div>
        <w:div w:id="366562121">
          <w:marLeft w:val="0"/>
          <w:marRight w:val="0"/>
          <w:marTop w:val="0"/>
          <w:marBottom w:val="0"/>
          <w:divBdr>
            <w:top w:val="none" w:sz="0" w:space="0" w:color="auto"/>
            <w:left w:val="none" w:sz="0" w:space="0" w:color="auto"/>
            <w:bottom w:val="none" w:sz="0" w:space="0" w:color="auto"/>
            <w:right w:val="none" w:sz="0" w:space="0" w:color="auto"/>
          </w:divBdr>
        </w:div>
        <w:div w:id="1174565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emf"/><Relationship Id="rId39" Type="http://schemas.openxmlformats.org/officeDocument/2006/relationships/image" Target="media/image19.png"/><Relationship Id="rId21" Type="http://schemas.openxmlformats.org/officeDocument/2006/relationships/header" Target="header7.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5.xml"/><Relationship Id="rId20" Type="http://schemas.openxmlformats.org/officeDocument/2006/relationships/header" Target="header6.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www.nzier.org.nz" TargetMode="External"/><Relationship Id="rId2" Type="http://schemas.openxmlformats.org/officeDocument/2006/relationships/hyperlink" Target="http://www.nzier.org.nz" TargetMode="External"/><Relationship Id="rId1" Type="http://schemas.openxmlformats.org/officeDocument/2006/relationships/hyperlink" Target="mailto:econ@nzier.org.nz" TargetMode="External"/><Relationship Id="rId4"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J 2013 Theme">
  <a:themeElements>
    <a:clrScheme name="NZIER Colour Palette Brand Colours">
      <a:dk1>
        <a:srgbClr val="30353F"/>
      </a:dk1>
      <a:lt1>
        <a:srgbClr val="FFFFFF"/>
      </a:lt1>
      <a:dk2>
        <a:srgbClr val="000000"/>
      </a:dk2>
      <a:lt2>
        <a:srgbClr val="FFFFFF"/>
      </a:lt2>
      <a:accent1>
        <a:srgbClr val="0094C5"/>
      </a:accent1>
      <a:accent2>
        <a:srgbClr val="E5006D"/>
      </a:accent2>
      <a:accent3>
        <a:srgbClr val="2C2276"/>
      </a:accent3>
      <a:accent4>
        <a:srgbClr val="7B1244"/>
      </a:accent4>
      <a:accent5>
        <a:srgbClr val="AFCA0B"/>
      </a:accent5>
      <a:accent6>
        <a:srgbClr val="3AAA35"/>
      </a:accent6>
      <a:hlink>
        <a:srgbClr val="0094C5"/>
      </a:hlink>
      <a:folHlink>
        <a:srgbClr val="9D9D9D"/>
      </a:folHlink>
    </a:clrScheme>
    <a:fontScheme name="MJ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210068E24094A342933D3709119DA7630062DA8F047A04B14DA7D033C7DB899833" ma:contentTypeVersion="47" ma:contentTypeDescription="Create a new document." ma:contentTypeScope="" ma:versionID="08d6cd482e751fb2cb5a0420280dd9ef">
  <xsd:schema xmlns:xsd="http://www.w3.org/2001/XMLSchema" xmlns:xs="http://www.w3.org/2001/XMLSchema" xmlns:p="http://schemas.microsoft.com/office/2006/metadata/properties" xmlns:ns2="4f9c820c-e7e2-444d-97ee-45f2b3485c1d" xmlns:ns3="3c0fc738-43e6-44bc-8831-8ec3c4d0d4da" xmlns:ns4="cd90e377-861b-43d5-bcac-99ff05a82b81" xmlns:ns5="5e7812cd-94f3-46ad-9f94-f1b53aec8606" targetNamespace="http://schemas.microsoft.com/office/2006/metadata/properties" ma:root="true" ma:fieldsID="660dac52763d3427931849dbd304799c" ns2:_="" ns3:_="" ns4:_="" ns5:_="">
    <xsd:import namespace="4f9c820c-e7e2-444d-97ee-45f2b3485c1d"/>
    <xsd:import namespace="3c0fc738-43e6-44bc-8831-8ec3c4d0d4da"/>
    <xsd:import namespace="cd90e377-861b-43d5-bcac-99ff05a82b81"/>
    <xsd:import namespace="5e7812cd-94f3-46ad-9f94-f1b53aec8606"/>
    <xsd:element name="properties">
      <xsd:complexType>
        <xsd:sequence>
          <xsd:element name="documentManagement">
            <xsd:complexType>
              <xsd:all>
                <xsd:element ref="ns2:DocumentType" minOccurs="0"/>
                <xsd:element ref="ns2:Narrative" minOccurs="0"/>
                <xsd:element ref="ns2:RelatedPeople" minOccurs="0"/>
                <xsd:element ref="ns2:Activity" minOccurs="0"/>
                <xsd:element ref="ns2:Subactivity" minOccurs="0"/>
                <xsd:element ref="ns2:Project" minOccurs="0"/>
                <xsd:element ref="ns2:CategoryName" minOccurs="0"/>
                <xsd:element ref="ns2:CategoryValue" minOccurs="0"/>
                <xsd:element ref="ns2:BusinessValue" minOccurs="0"/>
                <xsd:element ref="ns2:Subtype" minOccurs="0"/>
                <xsd:element ref="ns2:FunctionGroup"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Function" minOccurs="0"/>
                <xsd:element ref="ns3:JobNo" minOccurs="0"/>
                <xsd:element ref="ns3:ProposalNo" minOccurs="0"/>
                <xsd:element ref="ns3:Cas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literature"/>
          <xsd:enumeration value="MEETING related"/>
          <xsd:enumeration value="MEMO, Filenote, Email"/>
          <xsd:enumeration value="MODEL, Calculation"/>
          <xsd:enumeration value="DATA"/>
          <xsd:enumeration value="PHOTO, Image or Multi-media"/>
          <xsd:enumeration value="PRESENTATION"/>
          <xsd:enumeration value="PUBLICATION, membership"/>
          <xsd:enumeration value="PUBLICATION, PG"/>
          <xsd:enumeration value="REPORT, Client report"/>
          <xsd:enumeration value="PROPOSAL, Memo-style proposal"/>
          <xsd:enumeration value="RULES, Policy, procedure"/>
          <xsd:enumeration value="TEMPLATE, Checklist or Form"/>
        </xsd:restriction>
      </xsd:simpleType>
    </xsd:element>
    <xsd:element name="Narrative" ma:index="9" nillable="true" ma:displayName="Narrative" ma:internalName="Narrative" ma:readOnly="false">
      <xsd:simpleType>
        <xsd:restriction base="dms:Note">
          <xsd:maxLength value="255"/>
        </xsd:restriction>
      </xsd:simpleType>
    </xsd:element>
    <xsd:element name="RelatedPeople" ma:index="10" nillable="true" ma:displayName="Related Peopl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ity" ma:index="11" nillable="true" ma:displayName="Activity" ma:default="Government" ma:format="Dropdown" ma:internalName="Activity">
      <xsd:simpleType>
        <xsd:union memberTypes="dms:Text">
          <xsd:simpleType>
            <xsd:restriction base="dms:Choice">
              <xsd:enumeration value="Government"/>
            </xsd:restriction>
          </xsd:simpleType>
        </xsd:union>
      </xsd:simpleType>
    </xsd:element>
    <xsd:element name="Subactivity" ma:index="12" nillable="true" ma:displayName="Subactivity" ma:format="Dropdown" ma:hidden="true" ma:internalName="Subactivity" ma:readOnly="false">
      <xsd:simpleType>
        <xsd:union memberTypes="dms:Text">
          <xsd:simpleType>
            <xsd:restriction base="dms:Choice">
              <xsd:enumeration value="Project management"/>
              <xsd:enumeration value="Data"/>
              <xsd:enumeration value="Modelling"/>
              <xsd:enumeration value="Literature"/>
              <xsd:enumeration value="Draft deliverables"/>
              <xsd:enumeration value="Final deliverables"/>
            </xsd:restriction>
          </xsd:simpleType>
        </xsd:union>
      </xsd:simpleType>
    </xsd:element>
    <xsd:element name="Project" ma:index="13" nillable="true" ma:displayName="Project" ma:hidden="true" ma:internalName="Project" ma:readOnly="false">
      <xsd:simpleType>
        <xsd:restriction base="dms:Text">
          <xsd:maxLength value="255"/>
        </xsd:restriction>
      </xsd:simpleType>
    </xsd:element>
    <xsd:element name="CategoryName" ma:index="14" nillable="true" ma:displayName="Category Name" ma:hidden="true" ma:internalName="CategoryName" ma:readOnly="false">
      <xsd:simpleType>
        <xsd:restriction base="dms:Text">
          <xsd:maxLength value="255"/>
        </xsd:restriction>
      </xsd:simpleType>
    </xsd:element>
    <xsd:element name="CategoryValue" ma:index="15" nillable="true" ma:displayName="Category Value" ma:hidden="true" ma:internalName="CategoryValue" ma:readOnly="false">
      <xsd:simpleType>
        <xsd:restriction base="dms:Text">
          <xsd:maxLength value="255"/>
        </xsd:restriction>
      </xsd:simpleType>
    </xsd:element>
    <xsd:element name="BusinessValue" ma:index="16" nillable="true" ma:displayName="Business Value" ma:default="Normal" ma:format="Dropdown" ma:hidden="true" ma:internalName="BusinessValue" ma:readOnly="false">
      <xsd:simpleType>
        <xsd:restriction base="dms:Choice">
          <xsd:enumeration value="Normal"/>
          <xsd:enumeration value="Long Term Value"/>
          <xsd:enumeration value="Housekeeping"/>
          <xsd:enumeration value="Deleted"/>
        </xsd:restriction>
      </xsd:simpleType>
    </xsd:element>
    <xsd:element name="Subtype" ma:index="17" nillable="true" ma:displayName="Subtype" ma:format="Dropdown" ma:hidden="true" ma:internalName="Subtype" ma:readOnly="false">
      <xsd:simpleType>
        <xsd:restriction base="dms:Choice">
          <xsd:enumeration value="Policy"/>
          <xsd:enumeration value="Process"/>
          <xsd:enumeration value="Procedure"/>
          <xsd:enumeration value="Guideline"/>
          <xsd:enumeration value="Form"/>
          <xsd:enumeration value="Template"/>
          <xsd:enumeration value="Workflow Diagram"/>
        </xsd:restriction>
      </xsd:simpleType>
    </xsd:element>
    <xsd:element name="FunctionGroup" ma:index="18" nillable="true" ma:displayName="Function Group" ma:default="Not yet defined" ma:format="RadioButtons" ma:hidden="true" ma:internalName="FunctionGroup" ma:readOnly="false">
      <xsd:simpleType>
        <xsd:union memberTypes="dms:Text">
          <xsd:simpleType>
            <xsd:restriction base="dms:Choice">
              <xsd:enumeration value="Not yet defined"/>
            </xsd:restriction>
          </xsd:simpleType>
        </xsd:union>
      </xsd:simpleType>
    </xsd:element>
    <xsd:element name="PRAType" ma:index="19" nillable="true" ma:displayName="PRAType" ma:default="Doc" ma:indexed="true" ma:internalName="PRAType">
      <xsd:simpleType>
        <xsd:restriction base="dms:Text">
          <xsd:maxLength value="255"/>
        </xsd:restriction>
      </xsd:simpleType>
    </xsd:element>
    <xsd:element name="PRADate1" ma:index="20" nillable="true" ma:displayName="PRADate1" ma:format="DateOnly" ma:hidden="true" ma:internalName="PRADate1" ma:readOnly="false">
      <xsd:simpleType>
        <xsd:restriction base="dms:DateTime"/>
      </xsd:simpleType>
    </xsd:element>
    <xsd:element name="PRADate2" ma:index="21" nillable="true" ma:displayName="PRADate2" ma:format="DateOnly" ma:hidden="true" ma:internalName="PRADate2" ma:readOnly="false">
      <xsd:simpleType>
        <xsd:restriction base="dms:DateTime"/>
      </xsd:simpleType>
    </xsd:element>
    <xsd:element name="PRADate3" ma:index="22" nillable="true" ma:displayName="PRADate3" ma:format="DateOnly" ma:hidden="true" ma:internalName="PRADate3" ma:readOnly="false">
      <xsd:simpleType>
        <xsd:restriction base="dms:DateTime"/>
      </xsd:simpleType>
    </xsd:element>
    <xsd:element name="PRADateDisposal" ma:index="23" nillable="true" ma:displayName="PRADateDisposal" ma:format="DateOnly" ma:hidden="true" ma:internalName="PRADateDisposal" ma:readOnly="false">
      <xsd:simpleType>
        <xsd:restriction base="dms:DateTime"/>
      </xsd:simpleType>
    </xsd:element>
    <xsd:element name="PRADateTrigger" ma:index="24" nillable="true" ma:displayName="PRADateTrigger" ma:format="DateOnly" ma:hidden="true" ma:internalName="PRADateTrigger" ma:readOnly="false">
      <xsd:simpleType>
        <xsd:restriction base="dms:DateTime"/>
      </xsd:simpleType>
    </xsd:element>
    <xsd:element name="PRAText1" ma:index="25" nillable="true" ma:displayName="PRAText1" ma:hidden="true" ma:internalName="PRAText1" ma:readOnly="false">
      <xsd:simpleType>
        <xsd:restriction base="dms:Text">
          <xsd:maxLength value="255"/>
        </xsd:restriction>
      </xsd:simpleType>
    </xsd:element>
    <xsd:element name="PRAText2" ma:index="26" nillable="true" ma:displayName="PRAText2" ma:hidden="true" ma:internalName="PRAText2" ma:readOnly="false">
      <xsd:simpleType>
        <xsd:restriction base="dms:Text">
          <xsd:maxLength value="255"/>
        </xsd:restriction>
      </xsd:simpleType>
    </xsd:element>
    <xsd:element name="PRAText3" ma:index="27" nillable="true" ma:displayName="PRAText3" ma:hidden="true" ma:internalName="PRAText3" ma:readOnly="false">
      <xsd:simpleType>
        <xsd:restriction base="dms:Text">
          <xsd:maxLength value="255"/>
        </xsd:restriction>
      </xsd:simpleType>
    </xsd:element>
    <xsd:element name="PRAText4" ma:index="28" nillable="true" ma:displayName="PRAText4" ma:hidden="true" ma:internalName="PRAText4" ma:readOnly="false">
      <xsd:simpleType>
        <xsd:restriction base="dms:Text">
          <xsd:maxLength value="255"/>
        </xsd:restriction>
      </xsd:simpleType>
    </xsd:element>
    <xsd:element name="PRAText5" ma:index="29" nillable="true" ma:displayName="PRAText5" ma:hidden="true" ma:internalName="PRAText5" ma:readOnly="false">
      <xsd:simpleType>
        <xsd:restriction base="dms:Text">
          <xsd:maxLength value="255"/>
        </xsd:restriction>
      </xsd:simpleType>
    </xsd:element>
    <xsd:element name="AggregationStatus" ma:index="30"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Function" ma:index="31" nillable="true" ma:displayName="Function" ma:default="Projects" ma:format="RadioButtons" ma:hidden="true" ma:internalName="Function" ma:readOnly="false">
      <xsd:simpleType>
        <xsd:union memberTypes="dms:Text">
          <xsd:simpleType>
            <xsd:restriction base="dms:Choice">
              <xsd:enumeration value="Project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c0fc738-43e6-44bc-8831-8ec3c4d0d4da" elementFormDefault="qualified">
    <xsd:import namespace="http://schemas.microsoft.com/office/2006/documentManagement/types"/>
    <xsd:import namespace="http://schemas.microsoft.com/office/infopath/2007/PartnerControls"/>
    <xsd:element name="JobNo" ma:index="32" nillable="true" ma:displayName="Job Number" ma:hidden="true" ma:internalName="JobNo" ma:readOnly="false">
      <xsd:simpleType>
        <xsd:restriction base="dms:Text">
          <xsd:maxLength value="255"/>
        </xsd:restriction>
      </xsd:simpleType>
    </xsd:element>
    <xsd:element name="ProposalNo" ma:index="33" nillable="true" ma:displayName="Proposal Number" ma:hidden="true" ma:internalName="ProposalNo" ma:readOnly="false">
      <xsd:simpleType>
        <xsd:restriction base="dms:Text">
          <xsd:maxLength value="255"/>
        </xsd:restriction>
      </xsd:simpleType>
    </xsd:element>
    <xsd:element name="Case" ma:index="34" nillable="true" ma:displayName="Client Name"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0e377-861b-43d5-bcac-99ff05a82b81"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DateTaken" ma:index="41" nillable="true" ma:displayName="MediaServiceDateTaken" ma:hidden="true" ma:internalName="MediaServiceDateTaken"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7812cd-94f3-46ad-9f94-f1b53aec8606"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Not yet defined</Subactivity>
    <BusinessValue xmlns="4f9c820c-e7e2-444d-97ee-45f2b3485c1d">Normal</BusinessValue>
    <PRADateDisposal xmlns="4f9c820c-e7e2-444d-97ee-45f2b3485c1d" xsi:nil="true"/>
    <PRADate3 xmlns="4f9c820c-e7e2-444d-97ee-45f2b3485c1d" xsi:nil="true"/>
    <PRAText5 xmlns="4f9c820c-e7e2-444d-97ee-45f2b3485c1d" xsi:nil="true"/>
    <Activity xmlns="4f9c820c-e7e2-444d-97ee-45f2b3485c1d">Government</Activity>
    <AggregationStatus xmlns="4f9c820c-e7e2-444d-97ee-45f2b3485c1d">Normal</AggregationStatus>
    <CategoryValue xmlns="4f9c820c-e7e2-444d-97ee-45f2b3485c1d">Reports</CategoryValue>
    <Subtype xmlns="4f9c820c-e7e2-444d-97ee-45f2b3485c1d" xsi:nil="true"/>
    <PRADate2 xmlns="4f9c820c-e7e2-444d-97ee-45f2b3485c1d" xsi:nil="true"/>
    <PRAText1 xmlns="4f9c820c-e7e2-444d-97ee-45f2b3485c1d" xsi:nil="true"/>
    <PRAText4 xmlns="4f9c820c-e7e2-444d-97ee-45f2b3485c1d" xsi:nil="true"/>
    <Project xmlns="4f9c820c-e7e2-444d-97ee-45f2b3485c1d">Updated cost of illness report</Project>
    <FunctionGroup xmlns="4f9c820c-e7e2-444d-97ee-45f2b3485c1d">Not yet defined</FunctionGroup>
    <Function xmlns="4f9c820c-e7e2-444d-97ee-45f2b3485c1d">Projects</Function>
    <RelatedPeople xmlns="4f9c820c-e7e2-444d-97ee-45f2b3485c1d">
      <UserInfo>
        <DisplayName/>
        <AccountId xsi:nil="true"/>
        <AccountType/>
      </UserInfo>
    </RelatedPeople>
    <PRAType xmlns="4f9c820c-e7e2-444d-97ee-45f2b3485c1d">Doc</PRAType>
    <PRADate1 xmlns="4f9c820c-e7e2-444d-97ee-45f2b3485c1d" xsi:nil="true"/>
    <DocumentType xmlns="4f9c820c-e7e2-444d-97ee-45f2b3485c1d">REPORT, Client report</DocumentType>
    <PRAText3 xmlns="4f9c820c-e7e2-444d-97ee-45f2b3485c1d" xsi:nil="true"/>
    <Narrative xmlns="4f9c820c-e7e2-444d-97ee-45f2b3485c1d">Naming convention: NZIER report to (client), Title of report, date</Narrative>
    <CategoryName xmlns="4f9c820c-e7e2-444d-97ee-45f2b3485c1d">Client Work</CategoryName>
    <PRADateTrigger xmlns="4f9c820c-e7e2-444d-97ee-45f2b3485c1d" xsi:nil="true"/>
    <PRAText2 xmlns="4f9c820c-e7e2-444d-97ee-45f2b3485c1d" xsi:nil="true"/>
    <Case xmlns="3c0fc738-43e6-44bc-8831-8ec3c4d0d4da">Ministry of Health</Case>
    <ProposalNo xmlns="3c0fc738-43e6-44bc-8831-8ec3c4d0d4da" xsi:nil="true"/>
    <JobNo xmlns="3c0fc738-43e6-44bc-8831-8ec3c4d0d4da">14693</JobNo>
    <SharedWithUsers xmlns="5e7812cd-94f3-46ad-9f94-f1b53aec8606">
      <UserInfo>
        <DisplayName>Sarah Spring</DisplayName>
        <AccountId>15</AccountId>
        <AccountType/>
      </UserInfo>
      <UserInfo>
        <DisplayName>Sarah Hogan</DisplayName>
        <AccountId>197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4A263-7150-4CC2-8044-97DC385A2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3c0fc738-43e6-44bc-8831-8ec3c4d0d4da"/>
    <ds:schemaRef ds:uri="cd90e377-861b-43d5-bcac-99ff05a82b81"/>
    <ds:schemaRef ds:uri="5e7812cd-94f3-46ad-9f94-f1b53aec8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B2978-F8D0-4BCA-9C34-989EA720450B}">
  <ds:schemaRefs>
    <ds:schemaRef ds:uri="http://schemas.microsoft.com/sharepoint/v3/contenttype/forms"/>
  </ds:schemaRefs>
</ds:datastoreItem>
</file>

<file path=customXml/itemProps3.xml><?xml version="1.0" encoding="utf-8"?>
<ds:datastoreItem xmlns:ds="http://schemas.openxmlformats.org/officeDocument/2006/customXml" ds:itemID="{84A7E32D-BF47-4423-85F6-361EFB100BE1}">
  <ds:schemaRefs>
    <ds:schemaRef ds:uri="http://schemas.microsoft.com/office/2006/metadata/properties"/>
    <ds:schemaRef ds:uri="http://schemas.microsoft.com/office/infopath/2007/PartnerControls"/>
    <ds:schemaRef ds:uri="4f9c820c-e7e2-444d-97ee-45f2b3485c1d"/>
    <ds:schemaRef ds:uri="3c0fc738-43e6-44bc-8831-8ec3c4d0d4da"/>
    <ds:schemaRef ds:uri="5e7812cd-94f3-46ad-9f94-f1b53aec8606"/>
  </ds:schemaRefs>
</ds:datastoreItem>
</file>

<file path=customXml/itemProps4.xml><?xml version="1.0" encoding="utf-8"?>
<ds:datastoreItem xmlns:ds="http://schemas.openxmlformats.org/officeDocument/2006/customXml" ds:itemID="{AC2F1185-B8A3-45DC-8EDB-88F0FA300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89</Pages>
  <Words>26196</Words>
  <Characters>149321</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Cost of long-term conditions in New Zealand</vt:lpstr>
    </vt:vector>
  </TitlesOfParts>
  <Company/>
  <LinksUpToDate>false</LinksUpToDate>
  <CharactersWithSpaces>175167</CharactersWithSpaces>
  <SharedDoc>false</SharedDoc>
  <HLinks>
    <vt:vector size="498" baseType="variant">
      <vt:variant>
        <vt:i4>4063352</vt:i4>
      </vt:variant>
      <vt:variant>
        <vt:i4>621</vt:i4>
      </vt:variant>
      <vt:variant>
        <vt:i4>0</vt:i4>
      </vt:variant>
      <vt:variant>
        <vt:i4>5</vt:i4>
      </vt:variant>
      <vt:variant>
        <vt:lpwstr>https://www.gacd.org/research/what-are-ncds/chronic-diseases-fact-sheet</vt:lpwstr>
      </vt:variant>
      <vt:variant>
        <vt:lpwstr/>
      </vt:variant>
      <vt:variant>
        <vt:i4>1048635</vt:i4>
      </vt:variant>
      <vt:variant>
        <vt:i4>476</vt:i4>
      </vt:variant>
      <vt:variant>
        <vt:i4>0</vt:i4>
      </vt:variant>
      <vt:variant>
        <vt:i4>5</vt:i4>
      </vt:variant>
      <vt:variant>
        <vt:lpwstr/>
      </vt:variant>
      <vt:variant>
        <vt:lpwstr>_Toc93647030</vt:lpwstr>
      </vt:variant>
      <vt:variant>
        <vt:i4>1638458</vt:i4>
      </vt:variant>
      <vt:variant>
        <vt:i4>470</vt:i4>
      </vt:variant>
      <vt:variant>
        <vt:i4>0</vt:i4>
      </vt:variant>
      <vt:variant>
        <vt:i4>5</vt:i4>
      </vt:variant>
      <vt:variant>
        <vt:lpwstr/>
      </vt:variant>
      <vt:variant>
        <vt:lpwstr>_Toc93647029</vt:lpwstr>
      </vt:variant>
      <vt:variant>
        <vt:i4>1572922</vt:i4>
      </vt:variant>
      <vt:variant>
        <vt:i4>464</vt:i4>
      </vt:variant>
      <vt:variant>
        <vt:i4>0</vt:i4>
      </vt:variant>
      <vt:variant>
        <vt:i4>5</vt:i4>
      </vt:variant>
      <vt:variant>
        <vt:lpwstr/>
      </vt:variant>
      <vt:variant>
        <vt:lpwstr>_Toc93647028</vt:lpwstr>
      </vt:variant>
      <vt:variant>
        <vt:i4>1507386</vt:i4>
      </vt:variant>
      <vt:variant>
        <vt:i4>458</vt:i4>
      </vt:variant>
      <vt:variant>
        <vt:i4>0</vt:i4>
      </vt:variant>
      <vt:variant>
        <vt:i4>5</vt:i4>
      </vt:variant>
      <vt:variant>
        <vt:lpwstr/>
      </vt:variant>
      <vt:variant>
        <vt:lpwstr>_Toc93647027</vt:lpwstr>
      </vt:variant>
      <vt:variant>
        <vt:i4>1441850</vt:i4>
      </vt:variant>
      <vt:variant>
        <vt:i4>452</vt:i4>
      </vt:variant>
      <vt:variant>
        <vt:i4>0</vt:i4>
      </vt:variant>
      <vt:variant>
        <vt:i4>5</vt:i4>
      </vt:variant>
      <vt:variant>
        <vt:lpwstr/>
      </vt:variant>
      <vt:variant>
        <vt:lpwstr>_Toc93647026</vt:lpwstr>
      </vt:variant>
      <vt:variant>
        <vt:i4>1376314</vt:i4>
      </vt:variant>
      <vt:variant>
        <vt:i4>446</vt:i4>
      </vt:variant>
      <vt:variant>
        <vt:i4>0</vt:i4>
      </vt:variant>
      <vt:variant>
        <vt:i4>5</vt:i4>
      </vt:variant>
      <vt:variant>
        <vt:lpwstr/>
      </vt:variant>
      <vt:variant>
        <vt:lpwstr>_Toc93647025</vt:lpwstr>
      </vt:variant>
      <vt:variant>
        <vt:i4>1310778</vt:i4>
      </vt:variant>
      <vt:variant>
        <vt:i4>440</vt:i4>
      </vt:variant>
      <vt:variant>
        <vt:i4>0</vt:i4>
      </vt:variant>
      <vt:variant>
        <vt:i4>5</vt:i4>
      </vt:variant>
      <vt:variant>
        <vt:lpwstr/>
      </vt:variant>
      <vt:variant>
        <vt:lpwstr>_Toc93647024</vt:lpwstr>
      </vt:variant>
      <vt:variant>
        <vt:i4>1245242</vt:i4>
      </vt:variant>
      <vt:variant>
        <vt:i4>434</vt:i4>
      </vt:variant>
      <vt:variant>
        <vt:i4>0</vt:i4>
      </vt:variant>
      <vt:variant>
        <vt:i4>5</vt:i4>
      </vt:variant>
      <vt:variant>
        <vt:lpwstr/>
      </vt:variant>
      <vt:variant>
        <vt:lpwstr>_Toc93647023</vt:lpwstr>
      </vt:variant>
      <vt:variant>
        <vt:i4>1179706</vt:i4>
      </vt:variant>
      <vt:variant>
        <vt:i4>428</vt:i4>
      </vt:variant>
      <vt:variant>
        <vt:i4>0</vt:i4>
      </vt:variant>
      <vt:variant>
        <vt:i4>5</vt:i4>
      </vt:variant>
      <vt:variant>
        <vt:lpwstr/>
      </vt:variant>
      <vt:variant>
        <vt:lpwstr>_Toc93647022</vt:lpwstr>
      </vt:variant>
      <vt:variant>
        <vt:i4>1114170</vt:i4>
      </vt:variant>
      <vt:variant>
        <vt:i4>422</vt:i4>
      </vt:variant>
      <vt:variant>
        <vt:i4>0</vt:i4>
      </vt:variant>
      <vt:variant>
        <vt:i4>5</vt:i4>
      </vt:variant>
      <vt:variant>
        <vt:lpwstr/>
      </vt:variant>
      <vt:variant>
        <vt:lpwstr>_Toc93647021</vt:lpwstr>
      </vt:variant>
      <vt:variant>
        <vt:i4>1048634</vt:i4>
      </vt:variant>
      <vt:variant>
        <vt:i4>416</vt:i4>
      </vt:variant>
      <vt:variant>
        <vt:i4>0</vt:i4>
      </vt:variant>
      <vt:variant>
        <vt:i4>5</vt:i4>
      </vt:variant>
      <vt:variant>
        <vt:lpwstr/>
      </vt:variant>
      <vt:variant>
        <vt:lpwstr>_Toc93647020</vt:lpwstr>
      </vt:variant>
      <vt:variant>
        <vt:i4>1638457</vt:i4>
      </vt:variant>
      <vt:variant>
        <vt:i4>410</vt:i4>
      </vt:variant>
      <vt:variant>
        <vt:i4>0</vt:i4>
      </vt:variant>
      <vt:variant>
        <vt:i4>5</vt:i4>
      </vt:variant>
      <vt:variant>
        <vt:lpwstr/>
      </vt:variant>
      <vt:variant>
        <vt:lpwstr>_Toc93647019</vt:lpwstr>
      </vt:variant>
      <vt:variant>
        <vt:i4>1572921</vt:i4>
      </vt:variant>
      <vt:variant>
        <vt:i4>404</vt:i4>
      </vt:variant>
      <vt:variant>
        <vt:i4>0</vt:i4>
      </vt:variant>
      <vt:variant>
        <vt:i4>5</vt:i4>
      </vt:variant>
      <vt:variant>
        <vt:lpwstr/>
      </vt:variant>
      <vt:variant>
        <vt:lpwstr>_Toc93647018</vt:lpwstr>
      </vt:variant>
      <vt:variant>
        <vt:i4>1507385</vt:i4>
      </vt:variant>
      <vt:variant>
        <vt:i4>395</vt:i4>
      </vt:variant>
      <vt:variant>
        <vt:i4>0</vt:i4>
      </vt:variant>
      <vt:variant>
        <vt:i4>5</vt:i4>
      </vt:variant>
      <vt:variant>
        <vt:lpwstr/>
      </vt:variant>
      <vt:variant>
        <vt:lpwstr>_Toc93647017</vt:lpwstr>
      </vt:variant>
      <vt:variant>
        <vt:i4>1441849</vt:i4>
      </vt:variant>
      <vt:variant>
        <vt:i4>389</vt:i4>
      </vt:variant>
      <vt:variant>
        <vt:i4>0</vt:i4>
      </vt:variant>
      <vt:variant>
        <vt:i4>5</vt:i4>
      </vt:variant>
      <vt:variant>
        <vt:lpwstr/>
      </vt:variant>
      <vt:variant>
        <vt:lpwstr>_Toc93647016</vt:lpwstr>
      </vt:variant>
      <vt:variant>
        <vt:i4>1376313</vt:i4>
      </vt:variant>
      <vt:variant>
        <vt:i4>383</vt:i4>
      </vt:variant>
      <vt:variant>
        <vt:i4>0</vt:i4>
      </vt:variant>
      <vt:variant>
        <vt:i4>5</vt:i4>
      </vt:variant>
      <vt:variant>
        <vt:lpwstr/>
      </vt:variant>
      <vt:variant>
        <vt:lpwstr>_Toc93647015</vt:lpwstr>
      </vt:variant>
      <vt:variant>
        <vt:i4>1310777</vt:i4>
      </vt:variant>
      <vt:variant>
        <vt:i4>377</vt:i4>
      </vt:variant>
      <vt:variant>
        <vt:i4>0</vt:i4>
      </vt:variant>
      <vt:variant>
        <vt:i4>5</vt:i4>
      </vt:variant>
      <vt:variant>
        <vt:lpwstr/>
      </vt:variant>
      <vt:variant>
        <vt:lpwstr>_Toc93647014</vt:lpwstr>
      </vt:variant>
      <vt:variant>
        <vt:i4>1245241</vt:i4>
      </vt:variant>
      <vt:variant>
        <vt:i4>371</vt:i4>
      </vt:variant>
      <vt:variant>
        <vt:i4>0</vt:i4>
      </vt:variant>
      <vt:variant>
        <vt:i4>5</vt:i4>
      </vt:variant>
      <vt:variant>
        <vt:lpwstr/>
      </vt:variant>
      <vt:variant>
        <vt:lpwstr>_Toc93647013</vt:lpwstr>
      </vt:variant>
      <vt:variant>
        <vt:i4>1179705</vt:i4>
      </vt:variant>
      <vt:variant>
        <vt:i4>365</vt:i4>
      </vt:variant>
      <vt:variant>
        <vt:i4>0</vt:i4>
      </vt:variant>
      <vt:variant>
        <vt:i4>5</vt:i4>
      </vt:variant>
      <vt:variant>
        <vt:lpwstr/>
      </vt:variant>
      <vt:variant>
        <vt:lpwstr>_Toc93647012</vt:lpwstr>
      </vt:variant>
      <vt:variant>
        <vt:i4>1114169</vt:i4>
      </vt:variant>
      <vt:variant>
        <vt:i4>359</vt:i4>
      </vt:variant>
      <vt:variant>
        <vt:i4>0</vt:i4>
      </vt:variant>
      <vt:variant>
        <vt:i4>5</vt:i4>
      </vt:variant>
      <vt:variant>
        <vt:lpwstr/>
      </vt:variant>
      <vt:variant>
        <vt:lpwstr>_Toc93647011</vt:lpwstr>
      </vt:variant>
      <vt:variant>
        <vt:i4>1048633</vt:i4>
      </vt:variant>
      <vt:variant>
        <vt:i4>353</vt:i4>
      </vt:variant>
      <vt:variant>
        <vt:i4>0</vt:i4>
      </vt:variant>
      <vt:variant>
        <vt:i4>5</vt:i4>
      </vt:variant>
      <vt:variant>
        <vt:lpwstr/>
      </vt:variant>
      <vt:variant>
        <vt:lpwstr>_Toc93647010</vt:lpwstr>
      </vt:variant>
      <vt:variant>
        <vt:i4>1638456</vt:i4>
      </vt:variant>
      <vt:variant>
        <vt:i4>347</vt:i4>
      </vt:variant>
      <vt:variant>
        <vt:i4>0</vt:i4>
      </vt:variant>
      <vt:variant>
        <vt:i4>5</vt:i4>
      </vt:variant>
      <vt:variant>
        <vt:lpwstr/>
      </vt:variant>
      <vt:variant>
        <vt:lpwstr>_Toc93647009</vt:lpwstr>
      </vt:variant>
      <vt:variant>
        <vt:i4>1572920</vt:i4>
      </vt:variant>
      <vt:variant>
        <vt:i4>341</vt:i4>
      </vt:variant>
      <vt:variant>
        <vt:i4>0</vt:i4>
      </vt:variant>
      <vt:variant>
        <vt:i4>5</vt:i4>
      </vt:variant>
      <vt:variant>
        <vt:lpwstr/>
      </vt:variant>
      <vt:variant>
        <vt:lpwstr>_Toc93647008</vt:lpwstr>
      </vt:variant>
      <vt:variant>
        <vt:i4>1507384</vt:i4>
      </vt:variant>
      <vt:variant>
        <vt:i4>335</vt:i4>
      </vt:variant>
      <vt:variant>
        <vt:i4>0</vt:i4>
      </vt:variant>
      <vt:variant>
        <vt:i4>5</vt:i4>
      </vt:variant>
      <vt:variant>
        <vt:lpwstr/>
      </vt:variant>
      <vt:variant>
        <vt:lpwstr>_Toc93647007</vt:lpwstr>
      </vt:variant>
      <vt:variant>
        <vt:i4>1441848</vt:i4>
      </vt:variant>
      <vt:variant>
        <vt:i4>329</vt:i4>
      </vt:variant>
      <vt:variant>
        <vt:i4>0</vt:i4>
      </vt:variant>
      <vt:variant>
        <vt:i4>5</vt:i4>
      </vt:variant>
      <vt:variant>
        <vt:lpwstr/>
      </vt:variant>
      <vt:variant>
        <vt:lpwstr>_Toc93647006</vt:lpwstr>
      </vt:variant>
      <vt:variant>
        <vt:i4>1376312</vt:i4>
      </vt:variant>
      <vt:variant>
        <vt:i4>323</vt:i4>
      </vt:variant>
      <vt:variant>
        <vt:i4>0</vt:i4>
      </vt:variant>
      <vt:variant>
        <vt:i4>5</vt:i4>
      </vt:variant>
      <vt:variant>
        <vt:lpwstr/>
      </vt:variant>
      <vt:variant>
        <vt:lpwstr>_Toc93647005</vt:lpwstr>
      </vt:variant>
      <vt:variant>
        <vt:i4>1310776</vt:i4>
      </vt:variant>
      <vt:variant>
        <vt:i4>317</vt:i4>
      </vt:variant>
      <vt:variant>
        <vt:i4>0</vt:i4>
      </vt:variant>
      <vt:variant>
        <vt:i4>5</vt:i4>
      </vt:variant>
      <vt:variant>
        <vt:lpwstr/>
      </vt:variant>
      <vt:variant>
        <vt:lpwstr>_Toc93647004</vt:lpwstr>
      </vt:variant>
      <vt:variant>
        <vt:i4>1245240</vt:i4>
      </vt:variant>
      <vt:variant>
        <vt:i4>311</vt:i4>
      </vt:variant>
      <vt:variant>
        <vt:i4>0</vt:i4>
      </vt:variant>
      <vt:variant>
        <vt:i4>5</vt:i4>
      </vt:variant>
      <vt:variant>
        <vt:lpwstr/>
      </vt:variant>
      <vt:variant>
        <vt:lpwstr>_Toc93647003</vt:lpwstr>
      </vt:variant>
      <vt:variant>
        <vt:i4>1179704</vt:i4>
      </vt:variant>
      <vt:variant>
        <vt:i4>305</vt:i4>
      </vt:variant>
      <vt:variant>
        <vt:i4>0</vt:i4>
      </vt:variant>
      <vt:variant>
        <vt:i4>5</vt:i4>
      </vt:variant>
      <vt:variant>
        <vt:lpwstr/>
      </vt:variant>
      <vt:variant>
        <vt:lpwstr>_Toc93647002</vt:lpwstr>
      </vt:variant>
      <vt:variant>
        <vt:i4>1114168</vt:i4>
      </vt:variant>
      <vt:variant>
        <vt:i4>299</vt:i4>
      </vt:variant>
      <vt:variant>
        <vt:i4>0</vt:i4>
      </vt:variant>
      <vt:variant>
        <vt:i4>5</vt:i4>
      </vt:variant>
      <vt:variant>
        <vt:lpwstr/>
      </vt:variant>
      <vt:variant>
        <vt:lpwstr>_Toc93647001</vt:lpwstr>
      </vt:variant>
      <vt:variant>
        <vt:i4>1048632</vt:i4>
      </vt:variant>
      <vt:variant>
        <vt:i4>293</vt:i4>
      </vt:variant>
      <vt:variant>
        <vt:i4>0</vt:i4>
      </vt:variant>
      <vt:variant>
        <vt:i4>5</vt:i4>
      </vt:variant>
      <vt:variant>
        <vt:lpwstr/>
      </vt:variant>
      <vt:variant>
        <vt:lpwstr>_Toc93647000</vt:lpwstr>
      </vt:variant>
      <vt:variant>
        <vt:i4>1048624</vt:i4>
      </vt:variant>
      <vt:variant>
        <vt:i4>287</vt:i4>
      </vt:variant>
      <vt:variant>
        <vt:i4>0</vt:i4>
      </vt:variant>
      <vt:variant>
        <vt:i4>5</vt:i4>
      </vt:variant>
      <vt:variant>
        <vt:lpwstr/>
      </vt:variant>
      <vt:variant>
        <vt:lpwstr>_Toc93646999</vt:lpwstr>
      </vt:variant>
      <vt:variant>
        <vt:i4>1114160</vt:i4>
      </vt:variant>
      <vt:variant>
        <vt:i4>281</vt:i4>
      </vt:variant>
      <vt:variant>
        <vt:i4>0</vt:i4>
      </vt:variant>
      <vt:variant>
        <vt:i4>5</vt:i4>
      </vt:variant>
      <vt:variant>
        <vt:lpwstr/>
      </vt:variant>
      <vt:variant>
        <vt:lpwstr>_Toc93646998</vt:lpwstr>
      </vt:variant>
      <vt:variant>
        <vt:i4>1966128</vt:i4>
      </vt:variant>
      <vt:variant>
        <vt:i4>275</vt:i4>
      </vt:variant>
      <vt:variant>
        <vt:i4>0</vt:i4>
      </vt:variant>
      <vt:variant>
        <vt:i4>5</vt:i4>
      </vt:variant>
      <vt:variant>
        <vt:lpwstr/>
      </vt:variant>
      <vt:variant>
        <vt:lpwstr>_Toc93646997</vt:lpwstr>
      </vt:variant>
      <vt:variant>
        <vt:i4>2031664</vt:i4>
      </vt:variant>
      <vt:variant>
        <vt:i4>269</vt:i4>
      </vt:variant>
      <vt:variant>
        <vt:i4>0</vt:i4>
      </vt:variant>
      <vt:variant>
        <vt:i4>5</vt:i4>
      </vt:variant>
      <vt:variant>
        <vt:lpwstr/>
      </vt:variant>
      <vt:variant>
        <vt:lpwstr>_Toc93646996</vt:lpwstr>
      </vt:variant>
      <vt:variant>
        <vt:i4>1835056</vt:i4>
      </vt:variant>
      <vt:variant>
        <vt:i4>263</vt:i4>
      </vt:variant>
      <vt:variant>
        <vt:i4>0</vt:i4>
      </vt:variant>
      <vt:variant>
        <vt:i4>5</vt:i4>
      </vt:variant>
      <vt:variant>
        <vt:lpwstr/>
      </vt:variant>
      <vt:variant>
        <vt:lpwstr>_Toc93646995</vt:lpwstr>
      </vt:variant>
      <vt:variant>
        <vt:i4>1900592</vt:i4>
      </vt:variant>
      <vt:variant>
        <vt:i4>257</vt:i4>
      </vt:variant>
      <vt:variant>
        <vt:i4>0</vt:i4>
      </vt:variant>
      <vt:variant>
        <vt:i4>5</vt:i4>
      </vt:variant>
      <vt:variant>
        <vt:lpwstr/>
      </vt:variant>
      <vt:variant>
        <vt:lpwstr>_Toc93646994</vt:lpwstr>
      </vt:variant>
      <vt:variant>
        <vt:i4>1703984</vt:i4>
      </vt:variant>
      <vt:variant>
        <vt:i4>251</vt:i4>
      </vt:variant>
      <vt:variant>
        <vt:i4>0</vt:i4>
      </vt:variant>
      <vt:variant>
        <vt:i4>5</vt:i4>
      </vt:variant>
      <vt:variant>
        <vt:lpwstr/>
      </vt:variant>
      <vt:variant>
        <vt:lpwstr>_Toc93646993</vt:lpwstr>
      </vt:variant>
      <vt:variant>
        <vt:i4>1769520</vt:i4>
      </vt:variant>
      <vt:variant>
        <vt:i4>245</vt:i4>
      </vt:variant>
      <vt:variant>
        <vt:i4>0</vt:i4>
      </vt:variant>
      <vt:variant>
        <vt:i4>5</vt:i4>
      </vt:variant>
      <vt:variant>
        <vt:lpwstr/>
      </vt:variant>
      <vt:variant>
        <vt:lpwstr>_Toc93646992</vt:lpwstr>
      </vt:variant>
      <vt:variant>
        <vt:i4>1572912</vt:i4>
      </vt:variant>
      <vt:variant>
        <vt:i4>239</vt:i4>
      </vt:variant>
      <vt:variant>
        <vt:i4>0</vt:i4>
      </vt:variant>
      <vt:variant>
        <vt:i4>5</vt:i4>
      </vt:variant>
      <vt:variant>
        <vt:lpwstr/>
      </vt:variant>
      <vt:variant>
        <vt:lpwstr>_Toc93646991</vt:lpwstr>
      </vt:variant>
      <vt:variant>
        <vt:i4>1638448</vt:i4>
      </vt:variant>
      <vt:variant>
        <vt:i4>233</vt:i4>
      </vt:variant>
      <vt:variant>
        <vt:i4>0</vt:i4>
      </vt:variant>
      <vt:variant>
        <vt:i4>5</vt:i4>
      </vt:variant>
      <vt:variant>
        <vt:lpwstr/>
      </vt:variant>
      <vt:variant>
        <vt:lpwstr>_Toc93646990</vt:lpwstr>
      </vt:variant>
      <vt:variant>
        <vt:i4>1048625</vt:i4>
      </vt:variant>
      <vt:variant>
        <vt:i4>227</vt:i4>
      </vt:variant>
      <vt:variant>
        <vt:i4>0</vt:i4>
      </vt:variant>
      <vt:variant>
        <vt:i4>5</vt:i4>
      </vt:variant>
      <vt:variant>
        <vt:lpwstr/>
      </vt:variant>
      <vt:variant>
        <vt:lpwstr>_Toc93646989</vt:lpwstr>
      </vt:variant>
      <vt:variant>
        <vt:i4>1114161</vt:i4>
      </vt:variant>
      <vt:variant>
        <vt:i4>221</vt:i4>
      </vt:variant>
      <vt:variant>
        <vt:i4>0</vt:i4>
      </vt:variant>
      <vt:variant>
        <vt:i4>5</vt:i4>
      </vt:variant>
      <vt:variant>
        <vt:lpwstr/>
      </vt:variant>
      <vt:variant>
        <vt:lpwstr>_Toc93646988</vt:lpwstr>
      </vt:variant>
      <vt:variant>
        <vt:i4>1966129</vt:i4>
      </vt:variant>
      <vt:variant>
        <vt:i4>215</vt:i4>
      </vt:variant>
      <vt:variant>
        <vt:i4>0</vt:i4>
      </vt:variant>
      <vt:variant>
        <vt:i4>5</vt:i4>
      </vt:variant>
      <vt:variant>
        <vt:lpwstr/>
      </vt:variant>
      <vt:variant>
        <vt:lpwstr>_Toc93646987</vt:lpwstr>
      </vt:variant>
      <vt:variant>
        <vt:i4>2031665</vt:i4>
      </vt:variant>
      <vt:variant>
        <vt:i4>209</vt:i4>
      </vt:variant>
      <vt:variant>
        <vt:i4>0</vt:i4>
      </vt:variant>
      <vt:variant>
        <vt:i4>5</vt:i4>
      </vt:variant>
      <vt:variant>
        <vt:lpwstr/>
      </vt:variant>
      <vt:variant>
        <vt:lpwstr>_Toc93646986</vt:lpwstr>
      </vt:variant>
      <vt:variant>
        <vt:i4>1310782</vt:i4>
      </vt:variant>
      <vt:variant>
        <vt:i4>200</vt:i4>
      </vt:variant>
      <vt:variant>
        <vt:i4>0</vt:i4>
      </vt:variant>
      <vt:variant>
        <vt:i4>5</vt:i4>
      </vt:variant>
      <vt:variant>
        <vt:lpwstr/>
      </vt:variant>
      <vt:variant>
        <vt:lpwstr>_Toc93647064</vt:lpwstr>
      </vt:variant>
      <vt:variant>
        <vt:i4>1245246</vt:i4>
      </vt:variant>
      <vt:variant>
        <vt:i4>194</vt:i4>
      </vt:variant>
      <vt:variant>
        <vt:i4>0</vt:i4>
      </vt:variant>
      <vt:variant>
        <vt:i4>5</vt:i4>
      </vt:variant>
      <vt:variant>
        <vt:lpwstr/>
      </vt:variant>
      <vt:variant>
        <vt:lpwstr>_Toc93647063</vt:lpwstr>
      </vt:variant>
      <vt:variant>
        <vt:i4>1179710</vt:i4>
      </vt:variant>
      <vt:variant>
        <vt:i4>188</vt:i4>
      </vt:variant>
      <vt:variant>
        <vt:i4>0</vt:i4>
      </vt:variant>
      <vt:variant>
        <vt:i4>5</vt:i4>
      </vt:variant>
      <vt:variant>
        <vt:lpwstr/>
      </vt:variant>
      <vt:variant>
        <vt:lpwstr>_Toc93647062</vt:lpwstr>
      </vt:variant>
      <vt:variant>
        <vt:i4>1114174</vt:i4>
      </vt:variant>
      <vt:variant>
        <vt:i4>182</vt:i4>
      </vt:variant>
      <vt:variant>
        <vt:i4>0</vt:i4>
      </vt:variant>
      <vt:variant>
        <vt:i4>5</vt:i4>
      </vt:variant>
      <vt:variant>
        <vt:lpwstr/>
      </vt:variant>
      <vt:variant>
        <vt:lpwstr>_Toc93647061</vt:lpwstr>
      </vt:variant>
      <vt:variant>
        <vt:i4>1048638</vt:i4>
      </vt:variant>
      <vt:variant>
        <vt:i4>176</vt:i4>
      </vt:variant>
      <vt:variant>
        <vt:i4>0</vt:i4>
      </vt:variant>
      <vt:variant>
        <vt:i4>5</vt:i4>
      </vt:variant>
      <vt:variant>
        <vt:lpwstr/>
      </vt:variant>
      <vt:variant>
        <vt:lpwstr>_Toc93647060</vt:lpwstr>
      </vt:variant>
      <vt:variant>
        <vt:i4>1638461</vt:i4>
      </vt:variant>
      <vt:variant>
        <vt:i4>170</vt:i4>
      </vt:variant>
      <vt:variant>
        <vt:i4>0</vt:i4>
      </vt:variant>
      <vt:variant>
        <vt:i4>5</vt:i4>
      </vt:variant>
      <vt:variant>
        <vt:lpwstr/>
      </vt:variant>
      <vt:variant>
        <vt:lpwstr>_Toc93647059</vt:lpwstr>
      </vt:variant>
      <vt:variant>
        <vt:i4>1572925</vt:i4>
      </vt:variant>
      <vt:variant>
        <vt:i4>164</vt:i4>
      </vt:variant>
      <vt:variant>
        <vt:i4>0</vt:i4>
      </vt:variant>
      <vt:variant>
        <vt:i4>5</vt:i4>
      </vt:variant>
      <vt:variant>
        <vt:lpwstr/>
      </vt:variant>
      <vt:variant>
        <vt:lpwstr>_Toc93647058</vt:lpwstr>
      </vt:variant>
      <vt:variant>
        <vt:i4>1507389</vt:i4>
      </vt:variant>
      <vt:variant>
        <vt:i4>158</vt:i4>
      </vt:variant>
      <vt:variant>
        <vt:i4>0</vt:i4>
      </vt:variant>
      <vt:variant>
        <vt:i4>5</vt:i4>
      </vt:variant>
      <vt:variant>
        <vt:lpwstr/>
      </vt:variant>
      <vt:variant>
        <vt:lpwstr>_Toc93647057</vt:lpwstr>
      </vt:variant>
      <vt:variant>
        <vt:i4>1441853</vt:i4>
      </vt:variant>
      <vt:variant>
        <vt:i4>152</vt:i4>
      </vt:variant>
      <vt:variant>
        <vt:i4>0</vt:i4>
      </vt:variant>
      <vt:variant>
        <vt:i4>5</vt:i4>
      </vt:variant>
      <vt:variant>
        <vt:lpwstr/>
      </vt:variant>
      <vt:variant>
        <vt:lpwstr>_Toc93647056</vt:lpwstr>
      </vt:variant>
      <vt:variant>
        <vt:i4>1376317</vt:i4>
      </vt:variant>
      <vt:variant>
        <vt:i4>146</vt:i4>
      </vt:variant>
      <vt:variant>
        <vt:i4>0</vt:i4>
      </vt:variant>
      <vt:variant>
        <vt:i4>5</vt:i4>
      </vt:variant>
      <vt:variant>
        <vt:lpwstr/>
      </vt:variant>
      <vt:variant>
        <vt:lpwstr>_Toc93647055</vt:lpwstr>
      </vt:variant>
      <vt:variant>
        <vt:i4>1310781</vt:i4>
      </vt:variant>
      <vt:variant>
        <vt:i4>140</vt:i4>
      </vt:variant>
      <vt:variant>
        <vt:i4>0</vt:i4>
      </vt:variant>
      <vt:variant>
        <vt:i4>5</vt:i4>
      </vt:variant>
      <vt:variant>
        <vt:lpwstr/>
      </vt:variant>
      <vt:variant>
        <vt:lpwstr>_Toc93647054</vt:lpwstr>
      </vt:variant>
      <vt:variant>
        <vt:i4>1245245</vt:i4>
      </vt:variant>
      <vt:variant>
        <vt:i4>134</vt:i4>
      </vt:variant>
      <vt:variant>
        <vt:i4>0</vt:i4>
      </vt:variant>
      <vt:variant>
        <vt:i4>5</vt:i4>
      </vt:variant>
      <vt:variant>
        <vt:lpwstr/>
      </vt:variant>
      <vt:variant>
        <vt:lpwstr>_Toc93647053</vt:lpwstr>
      </vt:variant>
      <vt:variant>
        <vt:i4>1179709</vt:i4>
      </vt:variant>
      <vt:variant>
        <vt:i4>128</vt:i4>
      </vt:variant>
      <vt:variant>
        <vt:i4>0</vt:i4>
      </vt:variant>
      <vt:variant>
        <vt:i4>5</vt:i4>
      </vt:variant>
      <vt:variant>
        <vt:lpwstr/>
      </vt:variant>
      <vt:variant>
        <vt:lpwstr>_Toc93647052</vt:lpwstr>
      </vt:variant>
      <vt:variant>
        <vt:i4>1114173</vt:i4>
      </vt:variant>
      <vt:variant>
        <vt:i4>122</vt:i4>
      </vt:variant>
      <vt:variant>
        <vt:i4>0</vt:i4>
      </vt:variant>
      <vt:variant>
        <vt:i4>5</vt:i4>
      </vt:variant>
      <vt:variant>
        <vt:lpwstr/>
      </vt:variant>
      <vt:variant>
        <vt:lpwstr>_Toc93647051</vt:lpwstr>
      </vt:variant>
      <vt:variant>
        <vt:i4>1048637</vt:i4>
      </vt:variant>
      <vt:variant>
        <vt:i4>116</vt:i4>
      </vt:variant>
      <vt:variant>
        <vt:i4>0</vt:i4>
      </vt:variant>
      <vt:variant>
        <vt:i4>5</vt:i4>
      </vt:variant>
      <vt:variant>
        <vt:lpwstr/>
      </vt:variant>
      <vt:variant>
        <vt:lpwstr>_Toc93647050</vt:lpwstr>
      </vt:variant>
      <vt:variant>
        <vt:i4>1638460</vt:i4>
      </vt:variant>
      <vt:variant>
        <vt:i4>110</vt:i4>
      </vt:variant>
      <vt:variant>
        <vt:i4>0</vt:i4>
      </vt:variant>
      <vt:variant>
        <vt:i4>5</vt:i4>
      </vt:variant>
      <vt:variant>
        <vt:lpwstr/>
      </vt:variant>
      <vt:variant>
        <vt:lpwstr>_Toc93647049</vt:lpwstr>
      </vt:variant>
      <vt:variant>
        <vt:i4>1572924</vt:i4>
      </vt:variant>
      <vt:variant>
        <vt:i4>104</vt:i4>
      </vt:variant>
      <vt:variant>
        <vt:i4>0</vt:i4>
      </vt:variant>
      <vt:variant>
        <vt:i4>5</vt:i4>
      </vt:variant>
      <vt:variant>
        <vt:lpwstr/>
      </vt:variant>
      <vt:variant>
        <vt:lpwstr>_Toc93647048</vt:lpwstr>
      </vt:variant>
      <vt:variant>
        <vt:i4>1507388</vt:i4>
      </vt:variant>
      <vt:variant>
        <vt:i4>98</vt:i4>
      </vt:variant>
      <vt:variant>
        <vt:i4>0</vt:i4>
      </vt:variant>
      <vt:variant>
        <vt:i4>5</vt:i4>
      </vt:variant>
      <vt:variant>
        <vt:lpwstr/>
      </vt:variant>
      <vt:variant>
        <vt:lpwstr>_Toc93647047</vt:lpwstr>
      </vt:variant>
      <vt:variant>
        <vt:i4>1441852</vt:i4>
      </vt:variant>
      <vt:variant>
        <vt:i4>92</vt:i4>
      </vt:variant>
      <vt:variant>
        <vt:i4>0</vt:i4>
      </vt:variant>
      <vt:variant>
        <vt:i4>5</vt:i4>
      </vt:variant>
      <vt:variant>
        <vt:lpwstr/>
      </vt:variant>
      <vt:variant>
        <vt:lpwstr>_Toc93647046</vt:lpwstr>
      </vt:variant>
      <vt:variant>
        <vt:i4>1376316</vt:i4>
      </vt:variant>
      <vt:variant>
        <vt:i4>86</vt:i4>
      </vt:variant>
      <vt:variant>
        <vt:i4>0</vt:i4>
      </vt:variant>
      <vt:variant>
        <vt:i4>5</vt:i4>
      </vt:variant>
      <vt:variant>
        <vt:lpwstr/>
      </vt:variant>
      <vt:variant>
        <vt:lpwstr>_Toc93647045</vt:lpwstr>
      </vt:variant>
      <vt:variant>
        <vt:i4>1310780</vt:i4>
      </vt:variant>
      <vt:variant>
        <vt:i4>80</vt:i4>
      </vt:variant>
      <vt:variant>
        <vt:i4>0</vt:i4>
      </vt:variant>
      <vt:variant>
        <vt:i4>5</vt:i4>
      </vt:variant>
      <vt:variant>
        <vt:lpwstr/>
      </vt:variant>
      <vt:variant>
        <vt:lpwstr>_Toc93647044</vt:lpwstr>
      </vt:variant>
      <vt:variant>
        <vt:i4>1245244</vt:i4>
      </vt:variant>
      <vt:variant>
        <vt:i4>74</vt:i4>
      </vt:variant>
      <vt:variant>
        <vt:i4>0</vt:i4>
      </vt:variant>
      <vt:variant>
        <vt:i4>5</vt:i4>
      </vt:variant>
      <vt:variant>
        <vt:lpwstr/>
      </vt:variant>
      <vt:variant>
        <vt:lpwstr>_Toc93647043</vt:lpwstr>
      </vt:variant>
      <vt:variant>
        <vt:i4>1179708</vt:i4>
      </vt:variant>
      <vt:variant>
        <vt:i4>68</vt:i4>
      </vt:variant>
      <vt:variant>
        <vt:i4>0</vt:i4>
      </vt:variant>
      <vt:variant>
        <vt:i4>5</vt:i4>
      </vt:variant>
      <vt:variant>
        <vt:lpwstr/>
      </vt:variant>
      <vt:variant>
        <vt:lpwstr>_Toc93647042</vt:lpwstr>
      </vt:variant>
      <vt:variant>
        <vt:i4>1114172</vt:i4>
      </vt:variant>
      <vt:variant>
        <vt:i4>62</vt:i4>
      </vt:variant>
      <vt:variant>
        <vt:i4>0</vt:i4>
      </vt:variant>
      <vt:variant>
        <vt:i4>5</vt:i4>
      </vt:variant>
      <vt:variant>
        <vt:lpwstr/>
      </vt:variant>
      <vt:variant>
        <vt:lpwstr>_Toc93647041</vt:lpwstr>
      </vt:variant>
      <vt:variant>
        <vt:i4>1048636</vt:i4>
      </vt:variant>
      <vt:variant>
        <vt:i4>56</vt:i4>
      </vt:variant>
      <vt:variant>
        <vt:i4>0</vt:i4>
      </vt:variant>
      <vt:variant>
        <vt:i4>5</vt:i4>
      </vt:variant>
      <vt:variant>
        <vt:lpwstr/>
      </vt:variant>
      <vt:variant>
        <vt:lpwstr>_Toc93647040</vt:lpwstr>
      </vt:variant>
      <vt:variant>
        <vt:i4>1638459</vt:i4>
      </vt:variant>
      <vt:variant>
        <vt:i4>50</vt:i4>
      </vt:variant>
      <vt:variant>
        <vt:i4>0</vt:i4>
      </vt:variant>
      <vt:variant>
        <vt:i4>5</vt:i4>
      </vt:variant>
      <vt:variant>
        <vt:lpwstr/>
      </vt:variant>
      <vt:variant>
        <vt:lpwstr>_Toc93647039</vt:lpwstr>
      </vt:variant>
      <vt:variant>
        <vt:i4>1572923</vt:i4>
      </vt:variant>
      <vt:variant>
        <vt:i4>44</vt:i4>
      </vt:variant>
      <vt:variant>
        <vt:i4>0</vt:i4>
      </vt:variant>
      <vt:variant>
        <vt:i4>5</vt:i4>
      </vt:variant>
      <vt:variant>
        <vt:lpwstr/>
      </vt:variant>
      <vt:variant>
        <vt:lpwstr>_Toc93647038</vt:lpwstr>
      </vt:variant>
      <vt:variant>
        <vt:i4>1507387</vt:i4>
      </vt:variant>
      <vt:variant>
        <vt:i4>38</vt:i4>
      </vt:variant>
      <vt:variant>
        <vt:i4>0</vt:i4>
      </vt:variant>
      <vt:variant>
        <vt:i4>5</vt:i4>
      </vt:variant>
      <vt:variant>
        <vt:lpwstr/>
      </vt:variant>
      <vt:variant>
        <vt:lpwstr>_Toc93647037</vt:lpwstr>
      </vt:variant>
      <vt:variant>
        <vt:i4>1441851</vt:i4>
      </vt:variant>
      <vt:variant>
        <vt:i4>32</vt:i4>
      </vt:variant>
      <vt:variant>
        <vt:i4>0</vt:i4>
      </vt:variant>
      <vt:variant>
        <vt:i4>5</vt:i4>
      </vt:variant>
      <vt:variant>
        <vt:lpwstr/>
      </vt:variant>
      <vt:variant>
        <vt:lpwstr>_Toc93647036</vt:lpwstr>
      </vt:variant>
      <vt:variant>
        <vt:i4>1376315</vt:i4>
      </vt:variant>
      <vt:variant>
        <vt:i4>26</vt:i4>
      </vt:variant>
      <vt:variant>
        <vt:i4>0</vt:i4>
      </vt:variant>
      <vt:variant>
        <vt:i4>5</vt:i4>
      </vt:variant>
      <vt:variant>
        <vt:lpwstr/>
      </vt:variant>
      <vt:variant>
        <vt:lpwstr>_Toc93647035</vt:lpwstr>
      </vt:variant>
      <vt:variant>
        <vt:i4>1310779</vt:i4>
      </vt:variant>
      <vt:variant>
        <vt:i4>20</vt:i4>
      </vt:variant>
      <vt:variant>
        <vt:i4>0</vt:i4>
      </vt:variant>
      <vt:variant>
        <vt:i4>5</vt:i4>
      </vt:variant>
      <vt:variant>
        <vt:lpwstr/>
      </vt:variant>
      <vt:variant>
        <vt:lpwstr>_Toc93647034</vt:lpwstr>
      </vt:variant>
      <vt:variant>
        <vt:i4>1245243</vt:i4>
      </vt:variant>
      <vt:variant>
        <vt:i4>14</vt:i4>
      </vt:variant>
      <vt:variant>
        <vt:i4>0</vt:i4>
      </vt:variant>
      <vt:variant>
        <vt:i4>5</vt:i4>
      </vt:variant>
      <vt:variant>
        <vt:lpwstr/>
      </vt:variant>
      <vt:variant>
        <vt:lpwstr>_Toc93647033</vt:lpwstr>
      </vt:variant>
      <vt:variant>
        <vt:i4>1179707</vt:i4>
      </vt:variant>
      <vt:variant>
        <vt:i4>8</vt:i4>
      </vt:variant>
      <vt:variant>
        <vt:i4>0</vt:i4>
      </vt:variant>
      <vt:variant>
        <vt:i4>5</vt:i4>
      </vt:variant>
      <vt:variant>
        <vt:lpwstr/>
      </vt:variant>
      <vt:variant>
        <vt:lpwstr>_Toc93647032</vt:lpwstr>
      </vt:variant>
      <vt:variant>
        <vt:i4>1114171</vt:i4>
      </vt:variant>
      <vt:variant>
        <vt:i4>2</vt:i4>
      </vt:variant>
      <vt:variant>
        <vt:i4>0</vt:i4>
      </vt:variant>
      <vt:variant>
        <vt:i4>5</vt:i4>
      </vt:variant>
      <vt:variant>
        <vt:lpwstr/>
      </vt:variant>
      <vt:variant>
        <vt:lpwstr>_Toc93647031</vt:lpwstr>
      </vt:variant>
      <vt:variant>
        <vt:i4>1507399</vt:i4>
      </vt:variant>
      <vt:variant>
        <vt:i4>9</vt:i4>
      </vt:variant>
      <vt:variant>
        <vt:i4>0</vt:i4>
      </vt:variant>
      <vt:variant>
        <vt:i4>5</vt:i4>
      </vt:variant>
      <vt:variant>
        <vt:lpwstr>http://www.nzier.org.nz/</vt:lpwstr>
      </vt:variant>
      <vt:variant>
        <vt:lpwstr/>
      </vt:variant>
      <vt:variant>
        <vt:i4>1507399</vt:i4>
      </vt:variant>
      <vt:variant>
        <vt:i4>6</vt:i4>
      </vt:variant>
      <vt:variant>
        <vt:i4>0</vt:i4>
      </vt:variant>
      <vt:variant>
        <vt:i4>5</vt:i4>
      </vt:variant>
      <vt:variant>
        <vt:lpwstr>http://www.nzier.org.nz/</vt:lpwstr>
      </vt:variant>
      <vt:variant>
        <vt:lpwstr/>
      </vt:variant>
      <vt:variant>
        <vt:i4>4128852</vt:i4>
      </vt:variant>
      <vt:variant>
        <vt:i4>3</vt:i4>
      </vt:variant>
      <vt:variant>
        <vt:i4>0</vt:i4>
      </vt:variant>
      <vt:variant>
        <vt:i4>5</vt:i4>
      </vt:variant>
      <vt:variant>
        <vt:lpwstr>mailto:econ@nzier.org.nz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of long-term conditions in New Zealand</dc:title>
  <dc:subject/>
  <dc:creator>NZIER</dc:creator>
  <cp:keywords/>
  <dc:description/>
  <cp:lastModifiedBy>Ministry of Health</cp:lastModifiedBy>
  <cp:revision>9</cp:revision>
  <cp:lastPrinted>2022-04-06T05:33:00Z</cp:lastPrinted>
  <dcterms:created xsi:type="dcterms:W3CDTF">2022-04-06T05:19:00Z</dcterms:created>
  <dcterms:modified xsi:type="dcterms:W3CDTF">2022-04-06T05:34:00Z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0x010100210068E24094A342933D3709119DA7630062DA8F047A04B14DA7D033C7DB899833</vt:lpwstr>
  </property>
  <property fmtid="{D5CDD505-2E9C-101B-9397-08002B2CF9AE}" pid="3" name="ZOTERO_PREF_2">
    <vt:lpwstr>utomaticJournalAbbreviations" value="true"/&gt;&lt;pref name="dontAskDelayCitationUpdates" value="true"/&gt;&lt;/prefs&gt;&lt;/data&gt;</vt:lpwstr>
  </property>
  <property fmtid="{D5CDD505-2E9C-101B-9397-08002B2CF9AE}" pid="4" name="ZOTERO_PREF_1">
    <vt:lpwstr>&lt;data data-version="3" zotero-version="6.0"&gt;&lt;session id="bIKhZ8dX"/&gt;&lt;style id="http://www.zotero.org/styles/chicago-author-date" locale="en-GB" hasBibliography="1" bibliographyStyleHasBeenSet="1"/&gt;&lt;prefs&gt;&lt;pref name="fieldType" value="Field"/&gt;&lt;pref name="a</vt:lpwstr>
  </property>
</Properties>
</file>