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3A75A" w14:textId="4F930EAD" w:rsidR="00B21A91" w:rsidRPr="002E7B55" w:rsidRDefault="00B21A91" w:rsidP="00625710">
      <w:pPr>
        <w:rPr>
          <w:rFonts w:eastAsiaTheme="majorEastAsia"/>
        </w:rPr>
      </w:pPr>
      <w:r w:rsidRPr="002E7B55">
        <w:br w:type="page"/>
      </w:r>
    </w:p>
    <w:p w14:paraId="32FE3068" w14:textId="77777777" w:rsidR="006527E5" w:rsidRPr="002E7B55" w:rsidRDefault="006527E5" w:rsidP="00625710">
      <w:pPr>
        <w:pStyle w:val="ReportInfoHeading"/>
      </w:pPr>
      <w:r w:rsidRPr="002E7B55">
        <w:lastRenderedPageBreak/>
        <w:t>Report Information</w:t>
      </w:r>
    </w:p>
    <w:p w14:paraId="5C93CADD" w14:textId="77777777" w:rsidR="006527E5" w:rsidRPr="002E7B55" w:rsidRDefault="006527E5" w:rsidP="006527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bottom w:w="108" w:type="dxa"/>
        </w:tblCellMar>
        <w:tblLook w:val="04A0" w:firstRow="1" w:lastRow="0" w:firstColumn="1" w:lastColumn="0" w:noHBand="0" w:noVBand="1"/>
      </w:tblPr>
      <w:tblGrid>
        <w:gridCol w:w="1696"/>
        <w:gridCol w:w="6514"/>
      </w:tblGrid>
      <w:tr w:rsidR="006527E5" w:rsidRPr="002E7B55" w14:paraId="5E3F098A" w14:textId="77777777" w:rsidTr="0081467C">
        <w:tc>
          <w:tcPr>
            <w:tcW w:w="1696" w:type="dxa"/>
          </w:tcPr>
          <w:p w14:paraId="2CDA6C42" w14:textId="77777777" w:rsidR="006527E5" w:rsidRPr="002E7B55" w:rsidRDefault="006527E5" w:rsidP="0081467C">
            <w:pPr>
              <w:ind w:left="-102"/>
              <w:rPr>
                <w:szCs w:val="20"/>
              </w:rPr>
            </w:pPr>
            <w:r w:rsidRPr="002E7B55">
              <w:rPr>
                <w:szCs w:val="20"/>
              </w:rPr>
              <w:t>Prepared for</w:t>
            </w:r>
          </w:p>
        </w:tc>
        <w:sdt>
          <w:sdtPr>
            <w:rPr>
              <w:szCs w:val="20"/>
            </w:rPr>
            <w:id w:val="-2127148534"/>
            <w:text/>
          </w:sdtPr>
          <w:sdtEndPr/>
          <w:sdtContent>
            <w:tc>
              <w:tcPr>
                <w:tcW w:w="6514" w:type="dxa"/>
              </w:tcPr>
              <w:p w14:paraId="5277F000" w14:textId="77777777" w:rsidR="006527E5" w:rsidRPr="002E7B55" w:rsidRDefault="004A3284" w:rsidP="0081467C">
                <w:pPr>
                  <w:ind w:left="-102"/>
                  <w:rPr>
                    <w:szCs w:val="20"/>
                  </w:rPr>
                </w:pPr>
                <w:r w:rsidRPr="002E7B55">
                  <w:rPr>
                    <w:szCs w:val="20"/>
                  </w:rPr>
                  <w:t xml:space="preserve">The Ministry of Health </w:t>
                </w:r>
              </w:p>
            </w:tc>
          </w:sdtContent>
        </w:sdt>
      </w:tr>
      <w:tr w:rsidR="006527E5" w:rsidRPr="002E7B55" w14:paraId="1C59ADA0" w14:textId="77777777" w:rsidTr="0081467C">
        <w:tc>
          <w:tcPr>
            <w:tcW w:w="1696" w:type="dxa"/>
          </w:tcPr>
          <w:p w14:paraId="335DCF4C" w14:textId="77777777" w:rsidR="006527E5" w:rsidRPr="002E7B55" w:rsidRDefault="006527E5" w:rsidP="0081467C">
            <w:pPr>
              <w:ind w:left="-102"/>
              <w:rPr>
                <w:szCs w:val="20"/>
              </w:rPr>
            </w:pPr>
            <w:r w:rsidRPr="002E7B55">
              <w:rPr>
                <w:szCs w:val="20"/>
              </w:rPr>
              <w:t>Prepared by</w:t>
            </w:r>
          </w:p>
        </w:tc>
        <w:tc>
          <w:tcPr>
            <w:tcW w:w="6514" w:type="dxa"/>
          </w:tcPr>
          <w:p w14:paraId="30E65A1F" w14:textId="77777777" w:rsidR="006527E5" w:rsidRPr="002E7B55" w:rsidRDefault="006527E5" w:rsidP="0081467C">
            <w:pPr>
              <w:ind w:left="-102"/>
              <w:rPr>
                <w:szCs w:val="20"/>
              </w:rPr>
            </w:pPr>
            <w:r w:rsidRPr="002E7B55">
              <w:rPr>
                <w:szCs w:val="20"/>
              </w:rPr>
              <w:t>Nan Wehipeihana, Kahiwa Sebire, Kellie Spee, Judy Oakden</w:t>
            </w:r>
          </w:p>
          <w:p w14:paraId="101C23FE" w14:textId="77777777" w:rsidR="006527E5" w:rsidRPr="002E7B55" w:rsidRDefault="006527E5" w:rsidP="0081467C">
            <w:pPr>
              <w:ind w:left="-102"/>
              <w:rPr>
                <w:szCs w:val="20"/>
              </w:rPr>
            </w:pPr>
          </w:p>
          <w:p w14:paraId="229D7AC0" w14:textId="77777777" w:rsidR="006527E5" w:rsidRPr="002E7B55" w:rsidRDefault="006527E5" w:rsidP="0081467C">
            <w:pPr>
              <w:ind w:left="-102"/>
              <w:rPr>
                <w:szCs w:val="20"/>
              </w:rPr>
            </w:pPr>
            <w:r w:rsidRPr="002E7B55">
              <w:rPr>
                <w:noProof/>
              </w:rPr>
              <w:drawing>
                <wp:inline distT="0" distB="0" distL="0" distR="0" wp14:anchorId="221D38AB" wp14:editId="5613B3EA">
                  <wp:extent cx="1941534" cy="780491"/>
                  <wp:effectExtent l="0" t="0" r="0" b="0"/>
                  <wp:docPr id="37" name="Picture 37" descr="The logo visual and text for Research Evaluation Consulta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visual and text for Research Evaluation Consultancy "/>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2545" cy="821097"/>
                          </a:xfrm>
                          <a:prstGeom prst="rect">
                            <a:avLst/>
                          </a:prstGeom>
                        </pic:spPr>
                      </pic:pic>
                    </a:graphicData>
                  </a:graphic>
                </wp:inline>
              </w:drawing>
            </w:r>
          </w:p>
          <w:p w14:paraId="0E7AE96D" w14:textId="77777777" w:rsidR="006527E5" w:rsidRPr="002E7B55" w:rsidRDefault="006527E5" w:rsidP="0081467C">
            <w:pPr>
              <w:ind w:left="-102"/>
              <w:rPr>
                <w:szCs w:val="20"/>
              </w:rPr>
            </w:pPr>
          </w:p>
        </w:tc>
      </w:tr>
    </w:tbl>
    <w:p w14:paraId="32BDE4D5" w14:textId="77777777" w:rsidR="006527E5" w:rsidRPr="002E7B55" w:rsidRDefault="006527E5" w:rsidP="00625710">
      <w:pPr>
        <w:pStyle w:val="ReportInfoHeading"/>
      </w:pPr>
      <w:r w:rsidRPr="002E7B55">
        <w:t>Acknowledgements</w:t>
      </w:r>
    </w:p>
    <w:p w14:paraId="42FA56EA" w14:textId="77777777" w:rsidR="006527E5" w:rsidRPr="002E7B55" w:rsidRDefault="006527E5" w:rsidP="005042D8">
      <w:r w:rsidRPr="002E7B55">
        <w:t xml:space="preserve">Our thanks to Māori health and disability providers, District Health Boards and the Ministry of Health who gave generously of their time and knowledge to this interim report. COVID-19 impacted on your whānau, your colleagues and your wellbeing, making your contribution to this work even more valued. </w:t>
      </w:r>
    </w:p>
    <w:p w14:paraId="18E523E7" w14:textId="77777777" w:rsidR="006527E5" w:rsidRPr="002E7B55" w:rsidRDefault="006527E5" w:rsidP="005042D8">
      <w:r w:rsidRPr="002E7B55">
        <w:t xml:space="preserve">Tuku mihi </w:t>
      </w:r>
      <w:proofErr w:type="spellStart"/>
      <w:r w:rsidRPr="002E7B55">
        <w:t>ki</w:t>
      </w:r>
      <w:proofErr w:type="spellEnd"/>
      <w:r w:rsidRPr="002E7B55">
        <w:t xml:space="preserve"> a koutou </w:t>
      </w:r>
      <w:proofErr w:type="spellStart"/>
      <w:r w:rsidRPr="002E7B55">
        <w:t>katoa</w:t>
      </w:r>
      <w:proofErr w:type="spellEnd"/>
      <w:r w:rsidRPr="002E7B55">
        <w:t>.</w:t>
      </w:r>
    </w:p>
    <w:p w14:paraId="299F270B" w14:textId="77777777" w:rsidR="006527E5" w:rsidRPr="002E7B55" w:rsidRDefault="006527E5" w:rsidP="005042D8"/>
    <w:p w14:paraId="59A98778" w14:textId="77777777" w:rsidR="006527E5" w:rsidRPr="002E7B55" w:rsidRDefault="006527E5" w:rsidP="00625710">
      <w:pPr>
        <w:pStyle w:val="ReportInfoHeading"/>
      </w:pPr>
      <w:r w:rsidRPr="002E7B55">
        <w:t>Citation</w:t>
      </w:r>
    </w:p>
    <w:p w14:paraId="57BEE274" w14:textId="20349DA8" w:rsidR="006527E5" w:rsidRPr="002E7B55" w:rsidRDefault="006527E5" w:rsidP="005042D8">
      <w:r w:rsidRPr="002E7B55">
        <w:t>Wehipeihana, N., Sebire, K., Spee, K. &amp; Oakden, J. (202</w:t>
      </w:r>
      <w:r w:rsidR="00766B6A">
        <w:t>2</w:t>
      </w:r>
      <w:r w:rsidRPr="002E7B55">
        <w:t xml:space="preserve">). </w:t>
      </w:r>
      <w:bookmarkStart w:id="0" w:name="_Hlk102490061"/>
      <w:r w:rsidR="004E2406" w:rsidRPr="002E7B55">
        <w:rPr>
          <w:i/>
          <w:iCs/>
        </w:rPr>
        <w:t>In Pursuit of Māori Health Equity</w:t>
      </w:r>
      <w:r w:rsidR="00AF6638" w:rsidRPr="002E7B55">
        <w:rPr>
          <w:i/>
          <w:iCs/>
        </w:rPr>
        <w:t>.</w:t>
      </w:r>
      <w:r w:rsidR="004E2406" w:rsidRPr="002E7B55">
        <w:rPr>
          <w:i/>
          <w:iCs/>
        </w:rPr>
        <w:t xml:space="preserve"> Evaluation of the Māori Influenza and Measles Vaccination Programme</w:t>
      </w:r>
      <w:bookmarkEnd w:id="0"/>
      <w:r w:rsidR="004E2406" w:rsidRPr="002E7B55">
        <w:rPr>
          <w:i/>
          <w:iCs/>
        </w:rPr>
        <w:t>.</w:t>
      </w:r>
      <w:r w:rsidRPr="002E7B55">
        <w:t xml:space="preserve"> Wellington: Ministry of Health.</w:t>
      </w:r>
    </w:p>
    <w:p w14:paraId="18404BCF" w14:textId="04451947" w:rsidR="003F2C12" w:rsidRDefault="003F2C12" w:rsidP="003F2C12">
      <w:r>
        <w:t>Published in May 2022 by the Ministry of Health</w:t>
      </w:r>
      <w:r w:rsidR="000F5518">
        <w:br/>
      </w:r>
      <w:r>
        <w:t>PO Box 5013, Wellington 6140, New Zealand</w:t>
      </w:r>
    </w:p>
    <w:p w14:paraId="6E94351F" w14:textId="30CA9885" w:rsidR="003F2C12" w:rsidRDefault="003F2C12" w:rsidP="003F2C12">
      <w:r>
        <w:t xml:space="preserve">ISBN </w:t>
      </w:r>
      <w:r w:rsidR="00CF6557" w:rsidRPr="00CF6557">
        <w:t>978-1-99-110042-9</w:t>
      </w:r>
      <w:r>
        <w:t xml:space="preserve"> (online)</w:t>
      </w:r>
    </w:p>
    <w:p w14:paraId="53B2E0F2" w14:textId="77777777" w:rsidR="003F2C12" w:rsidRPr="002E7B55" w:rsidRDefault="003F2C12" w:rsidP="003F2C12">
      <w:r>
        <w:t>This document is available at health.govt.nz</w:t>
      </w:r>
    </w:p>
    <w:p w14:paraId="34C7CB3E" w14:textId="77777777" w:rsidR="006527E5" w:rsidRPr="002E7B55" w:rsidRDefault="006527E5" w:rsidP="005042D8"/>
    <w:p w14:paraId="6FCCE947" w14:textId="77777777" w:rsidR="006527E5" w:rsidRPr="002E7B55" w:rsidRDefault="006527E5" w:rsidP="00625710">
      <w:pPr>
        <w:pStyle w:val="ReportInfoHeading"/>
      </w:pPr>
      <w:r w:rsidRPr="002E7B55">
        <w:t>Disclaimer</w:t>
      </w:r>
    </w:p>
    <w:p w14:paraId="231E4E3E" w14:textId="77777777" w:rsidR="006527E5" w:rsidRPr="002E7B55" w:rsidRDefault="006527E5" w:rsidP="005042D8">
      <w:r w:rsidRPr="002E7B55">
        <w:t>We developed this report in good faith using the information available to us at the time. We provide it on the basis that the authors of the report are not liable to any person or organisation for any damage or loss that may occur from acting or not acting with respect to any information or advice within this report.</w:t>
      </w:r>
    </w:p>
    <w:p w14:paraId="5CAC6754" w14:textId="77777777" w:rsidR="006527E5" w:rsidRPr="002E7B55" w:rsidRDefault="006527E5" w:rsidP="005042D8"/>
    <w:p w14:paraId="6E8721FB" w14:textId="77777777" w:rsidR="00AF6638" w:rsidRPr="002E7B55" w:rsidRDefault="00AF6638" w:rsidP="00625710">
      <w:r w:rsidRPr="002E7B55">
        <w:br w:type="page"/>
      </w:r>
    </w:p>
    <w:p w14:paraId="35667E98" w14:textId="129B653A" w:rsidR="006527E5" w:rsidRPr="002E7B55" w:rsidRDefault="006527E5" w:rsidP="00625710">
      <w:pPr>
        <w:pStyle w:val="Contentsheading"/>
      </w:pPr>
      <w:r w:rsidRPr="002E7B55">
        <w:lastRenderedPageBreak/>
        <w:t>Contents</w:t>
      </w:r>
    </w:p>
    <w:p w14:paraId="3750D51B" w14:textId="2BDAC8F4" w:rsidR="000E3584" w:rsidRDefault="0001383D">
      <w:pPr>
        <w:pStyle w:val="TOC1"/>
        <w:tabs>
          <w:tab w:val="right" w:leader="dot" w:pos="9685"/>
        </w:tabs>
        <w:rPr>
          <w:rFonts w:eastAsiaTheme="minorEastAsia" w:cstheme="minorBidi"/>
          <w:noProof/>
          <w:sz w:val="22"/>
          <w:szCs w:val="22"/>
          <w:lang w:val="en-AU" w:eastAsia="en-AU"/>
        </w:rPr>
      </w:pPr>
      <w:r w:rsidRPr="002E7B55">
        <w:fldChar w:fldCharType="begin"/>
      </w:r>
      <w:r w:rsidR="006527E5" w:rsidRPr="002E7B55">
        <w:instrText>TOC \o "1-1" \h \z \u</w:instrText>
      </w:r>
      <w:r w:rsidRPr="002E7B55">
        <w:fldChar w:fldCharType="separate"/>
      </w:r>
      <w:hyperlink w:anchor="_Toc96341665" w:history="1">
        <w:r w:rsidR="000E3584" w:rsidRPr="00700832">
          <w:rPr>
            <w:rStyle w:val="Hyperlink"/>
            <w:noProof/>
          </w:rPr>
          <w:t>Executive summary</w:t>
        </w:r>
        <w:r w:rsidR="000E3584">
          <w:rPr>
            <w:noProof/>
            <w:webHidden/>
          </w:rPr>
          <w:tab/>
        </w:r>
        <w:r w:rsidR="000E3584">
          <w:rPr>
            <w:noProof/>
            <w:webHidden/>
          </w:rPr>
          <w:fldChar w:fldCharType="begin"/>
        </w:r>
        <w:r w:rsidR="000E3584">
          <w:rPr>
            <w:noProof/>
            <w:webHidden/>
          </w:rPr>
          <w:instrText xml:space="preserve"> PAGEREF _Toc96341665 \h </w:instrText>
        </w:r>
        <w:r w:rsidR="000E3584">
          <w:rPr>
            <w:noProof/>
            <w:webHidden/>
          </w:rPr>
        </w:r>
        <w:r w:rsidR="000E3584">
          <w:rPr>
            <w:noProof/>
            <w:webHidden/>
          </w:rPr>
          <w:fldChar w:fldCharType="separate"/>
        </w:r>
        <w:r w:rsidR="000E3584">
          <w:rPr>
            <w:noProof/>
            <w:webHidden/>
          </w:rPr>
          <w:t>5</w:t>
        </w:r>
        <w:r w:rsidR="000E3584">
          <w:rPr>
            <w:noProof/>
            <w:webHidden/>
          </w:rPr>
          <w:fldChar w:fldCharType="end"/>
        </w:r>
      </w:hyperlink>
    </w:p>
    <w:p w14:paraId="330C2C6D" w14:textId="0CF4D70A" w:rsidR="000E3584" w:rsidRDefault="00455E15">
      <w:pPr>
        <w:pStyle w:val="TOC1"/>
        <w:tabs>
          <w:tab w:val="right" w:leader="dot" w:pos="9685"/>
        </w:tabs>
        <w:rPr>
          <w:rFonts w:eastAsiaTheme="minorEastAsia" w:cstheme="minorBidi"/>
          <w:noProof/>
          <w:sz w:val="22"/>
          <w:szCs w:val="22"/>
          <w:lang w:val="en-AU" w:eastAsia="en-AU"/>
        </w:rPr>
      </w:pPr>
      <w:hyperlink w:anchor="_Toc96341666" w:history="1">
        <w:r w:rsidR="000E3584" w:rsidRPr="00700832">
          <w:rPr>
            <w:rStyle w:val="Hyperlink"/>
            <w:noProof/>
          </w:rPr>
          <w:t>Conclusion</w:t>
        </w:r>
        <w:r w:rsidR="000E3584">
          <w:rPr>
            <w:noProof/>
            <w:webHidden/>
          </w:rPr>
          <w:tab/>
        </w:r>
        <w:r w:rsidR="000E3584">
          <w:rPr>
            <w:noProof/>
            <w:webHidden/>
          </w:rPr>
          <w:fldChar w:fldCharType="begin"/>
        </w:r>
        <w:r w:rsidR="000E3584">
          <w:rPr>
            <w:noProof/>
            <w:webHidden/>
          </w:rPr>
          <w:instrText xml:space="preserve"> PAGEREF _Toc96341666 \h </w:instrText>
        </w:r>
        <w:r w:rsidR="000E3584">
          <w:rPr>
            <w:noProof/>
            <w:webHidden/>
          </w:rPr>
        </w:r>
        <w:r w:rsidR="000E3584">
          <w:rPr>
            <w:noProof/>
            <w:webHidden/>
          </w:rPr>
          <w:fldChar w:fldCharType="separate"/>
        </w:r>
        <w:r w:rsidR="000E3584">
          <w:rPr>
            <w:noProof/>
            <w:webHidden/>
          </w:rPr>
          <w:t>8</w:t>
        </w:r>
        <w:r w:rsidR="000E3584">
          <w:rPr>
            <w:noProof/>
            <w:webHidden/>
          </w:rPr>
          <w:fldChar w:fldCharType="end"/>
        </w:r>
      </w:hyperlink>
    </w:p>
    <w:p w14:paraId="75110D3D" w14:textId="0ED3816D" w:rsidR="000E3584" w:rsidRDefault="00455E15">
      <w:pPr>
        <w:pStyle w:val="TOC1"/>
        <w:tabs>
          <w:tab w:val="right" w:leader="dot" w:pos="9685"/>
        </w:tabs>
        <w:rPr>
          <w:rFonts w:eastAsiaTheme="minorEastAsia" w:cstheme="minorBidi"/>
          <w:noProof/>
          <w:sz w:val="22"/>
          <w:szCs w:val="22"/>
          <w:lang w:val="en-AU" w:eastAsia="en-AU"/>
        </w:rPr>
      </w:pPr>
      <w:hyperlink w:anchor="_Toc96341667" w:history="1">
        <w:r w:rsidR="000E3584" w:rsidRPr="00700832">
          <w:rPr>
            <w:rStyle w:val="Hyperlink"/>
            <w:noProof/>
          </w:rPr>
          <w:t>1 Context</w:t>
        </w:r>
        <w:r w:rsidR="000E3584">
          <w:rPr>
            <w:noProof/>
            <w:webHidden/>
          </w:rPr>
          <w:tab/>
        </w:r>
        <w:r w:rsidR="000E3584">
          <w:rPr>
            <w:noProof/>
            <w:webHidden/>
          </w:rPr>
          <w:fldChar w:fldCharType="begin"/>
        </w:r>
        <w:r w:rsidR="000E3584">
          <w:rPr>
            <w:noProof/>
            <w:webHidden/>
          </w:rPr>
          <w:instrText xml:space="preserve"> PAGEREF _Toc96341667 \h </w:instrText>
        </w:r>
        <w:r w:rsidR="000E3584">
          <w:rPr>
            <w:noProof/>
            <w:webHidden/>
          </w:rPr>
        </w:r>
        <w:r w:rsidR="000E3584">
          <w:rPr>
            <w:noProof/>
            <w:webHidden/>
          </w:rPr>
          <w:fldChar w:fldCharType="separate"/>
        </w:r>
        <w:r w:rsidR="000E3584">
          <w:rPr>
            <w:noProof/>
            <w:webHidden/>
          </w:rPr>
          <w:t>12</w:t>
        </w:r>
        <w:r w:rsidR="000E3584">
          <w:rPr>
            <w:noProof/>
            <w:webHidden/>
          </w:rPr>
          <w:fldChar w:fldCharType="end"/>
        </w:r>
      </w:hyperlink>
    </w:p>
    <w:p w14:paraId="2A35CD7B" w14:textId="71B3E5A0" w:rsidR="000E3584" w:rsidRDefault="00455E15">
      <w:pPr>
        <w:pStyle w:val="TOC1"/>
        <w:tabs>
          <w:tab w:val="right" w:leader="dot" w:pos="9685"/>
        </w:tabs>
        <w:rPr>
          <w:rFonts w:eastAsiaTheme="minorEastAsia" w:cstheme="minorBidi"/>
          <w:noProof/>
          <w:sz w:val="22"/>
          <w:szCs w:val="22"/>
          <w:lang w:val="en-AU" w:eastAsia="en-AU"/>
        </w:rPr>
      </w:pPr>
      <w:hyperlink w:anchor="_Toc96341668" w:history="1">
        <w:r w:rsidR="000E3584" w:rsidRPr="00700832">
          <w:rPr>
            <w:rStyle w:val="Hyperlink"/>
            <w:noProof/>
          </w:rPr>
          <w:t>2 MIMVP results</w:t>
        </w:r>
        <w:r w:rsidR="000E3584">
          <w:rPr>
            <w:noProof/>
            <w:webHidden/>
          </w:rPr>
          <w:tab/>
        </w:r>
        <w:r w:rsidR="000E3584">
          <w:rPr>
            <w:noProof/>
            <w:webHidden/>
          </w:rPr>
          <w:fldChar w:fldCharType="begin"/>
        </w:r>
        <w:r w:rsidR="000E3584">
          <w:rPr>
            <w:noProof/>
            <w:webHidden/>
          </w:rPr>
          <w:instrText xml:space="preserve"> PAGEREF _Toc96341668 \h </w:instrText>
        </w:r>
        <w:r w:rsidR="000E3584">
          <w:rPr>
            <w:noProof/>
            <w:webHidden/>
          </w:rPr>
        </w:r>
        <w:r w:rsidR="000E3584">
          <w:rPr>
            <w:noProof/>
            <w:webHidden/>
          </w:rPr>
          <w:fldChar w:fldCharType="separate"/>
        </w:r>
        <w:r w:rsidR="000E3584">
          <w:rPr>
            <w:noProof/>
            <w:webHidden/>
          </w:rPr>
          <w:t>15</w:t>
        </w:r>
        <w:r w:rsidR="000E3584">
          <w:rPr>
            <w:noProof/>
            <w:webHidden/>
          </w:rPr>
          <w:fldChar w:fldCharType="end"/>
        </w:r>
      </w:hyperlink>
    </w:p>
    <w:p w14:paraId="6D18A5F2" w14:textId="0E3CACD5" w:rsidR="000E3584" w:rsidRDefault="00455E15">
      <w:pPr>
        <w:pStyle w:val="TOC1"/>
        <w:tabs>
          <w:tab w:val="right" w:leader="dot" w:pos="9685"/>
        </w:tabs>
        <w:rPr>
          <w:rFonts w:eastAsiaTheme="minorEastAsia" w:cstheme="minorBidi"/>
          <w:noProof/>
          <w:sz w:val="22"/>
          <w:szCs w:val="22"/>
          <w:lang w:val="en-AU" w:eastAsia="en-AU"/>
        </w:rPr>
      </w:pPr>
      <w:hyperlink w:anchor="_Toc96341669" w:history="1">
        <w:r w:rsidR="000E3584" w:rsidRPr="00700832">
          <w:rPr>
            <w:rStyle w:val="Hyperlink"/>
            <w:noProof/>
          </w:rPr>
          <w:t>3 The role of commissioning in the pursuit of equity</w:t>
        </w:r>
        <w:r w:rsidR="000E3584">
          <w:rPr>
            <w:noProof/>
            <w:webHidden/>
          </w:rPr>
          <w:tab/>
        </w:r>
        <w:r w:rsidR="000E3584">
          <w:rPr>
            <w:noProof/>
            <w:webHidden/>
          </w:rPr>
          <w:fldChar w:fldCharType="begin"/>
        </w:r>
        <w:r w:rsidR="000E3584">
          <w:rPr>
            <w:noProof/>
            <w:webHidden/>
          </w:rPr>
          <w:instrText xml:space="preserve"> PAGEREF _Toc96341669 \h </w:instrText>
        </w:r>
        <w:r w:rsidR="000E3584">
          <w:rPr>
            <w:noProof/>
            <w:webHidden/>
          </w:rPr>
        </w:r>
        <w:r w:rsidR="000E3584">
          <w:rPr>
            <w:noProof/>
            <w:webHidden/>
          </w:rPr>
          <w:fldChar w:fldCharType="separate"/>
        </w:r>
        <w:r w:rsidR="000E3584">
          <w:rPr>
            <w:noProof/>
            <w:webHidden/>
          </w:rPr>
          <w:t>22</w:t>
        </w:r>
        <w:r w:rsidR="000E3584">
          <w:rPr>
            <w:noProof/>
            <w:webHidden/>
          </w:rPr>
          <w:fldChar w:fldCharType="end"/>
        </w:r>
      </w:hyperlink>
    </w:p>
    <w:p w14:paraId="65A332F1" w14:textId="697D4010" w:rsidR="000E3584" w:rsidRDefault="00455E15">
      <w:pPr>
        <w:pStyle w:val="TOC1"/>
        <w:tabs>
          <w:tab w:val="right" w:leader="dot" w:pos="9685"/>
        </w:tabs>
        <w:rPr>
          <w:rFonts w:eastAsiaTheme="minorEastAsia" w:cstheme="minorBidi"/>
          <w:noProof/>
          <w:sz w:val="22"/>
          <w:szCs w:val="22"/>
          <w:lang w:val="en-AU" w:eastAsia="en-AU"/>
        </w:rPr>
      </w:pPr>
      <w:hyperlink w:anchor="_Toc96341670" w:history="1">
        <w:r w:rsidR="000E3584" w:rsidRPr="00700832">
          <w:rPr>
            <w:rStyle w:val="Hyperlink"/>
            <w:noProof/>
          </w:rPr>
          <w:t>4 A whānau-centred approach is an essential equity strategy</w:t>
        </w:r>
        <w:r w:rsidR="000E3584">
          <w:rPr>
            <w:noProof/>
            <w:webHidden/>
          </w:rPr>
          <w:tab/>
        </w:r>
        <w:r w:rsidR="000E3584">
          <w:rPr>
            <w:noProof/>
            <w:webHidden/>
          </w:rPr>
          <w:fldChar w:fldCharType="begin"/>
        </w:r>
        <w:r w:rsidR="000E3584">
          <w:rPr>
            <w:noProof/>
            <w:webHidden/>
          </w:rPr>
          <w:instrText xml:space="preserve"> PAGEREF _Toc96341670 \h </w:instrText>
        </w:r>
        <w:r w:rsidR="000E3584">
          <w:rPr>
            <w:noProof/>
            <w:webHidden/>
          </w:rPr>
        </w:r>
        <w:r w:rsidR="000E3584">
          <w:rPr>
            <w:noProof/>
            <w:webHidden/>
          </w:rPr>
          <w:fldChar w:fldCharType="separate"/>
        </w:r>
        <w:r w:rsidR="000E3584">
          <w:rPr>
            <w:noProof/>
            <w:webHidden/>
          </w:rPr>
          <w:t>24</w:t>
        </w:r>
        <w:r w:rsidR="000E3584">
          <w:rPr>
            <w:noProof/>
            <w:webHidden/>
          </w:rPr>
          <w:fldChar w:fldCharType="end"/>
        </w:r>
      </w:hyperlink>
    </w:p>
    <w:p w14:paraId="40E63579" w14:textId="0BBBE3E8" w:rsidR="000E3584" w:rsidRDefault="00455E15">
      <w:pPr>
        <w:pStyle w:val="TOC1"/>
        <w:tabs>
          <w:tab w:val="right" w:leader="dot" w:pos="9685"/>
        </w:tabs>
        <w:rPr>
          <w:rFonts w:eastAsiaTheme="minorEastAsia" w:cstheme="minorBidi"/>
          <w:noProof/>
          <w:sz w:val="22"/>
          <w:szCs w:val="22"/>
          <w:lang w:val="en-AU" w:eastAsia="en-AU"/>
        </w:rPr>
      </w:pPr>
      <w:hyperlink w:anchor="_Toc96341671" w:history="1">
        <w:r w:rsidR="000E3584" w:rsidRPr="00700832">
          <w:rPr>
            <w:rStyle w:val="Hyperlink"/>
            <w:noProof/>
          </w:rPr>
          <w:t>5 Commissioning, contracting, and funding</w:t>
        </w:r>
        <w:r w:rsidR="000E3584">
          <w:rPr>
            <w:noProof/>
            <w:webHidden/>
          </w:rPr>
          <w:tab/>
        </w:r>
        <w:r w:rsidR="000E3584">
          <w:rPr>
            <w:noProof/>
            <w:webHidden/>
          </w:rPr>
          <w:fldChar w:fldCharType="begin"/>
        </w:r>
        <w:r w:rsidR="000E3584">
          <w:rPr>
            <w:noProof/>
            <w:webHidden/>
          </w:rPr>
          <w:instrText xml:space="preserve"> PAGEREF _Toc96341671 \h </w:instrText>
        </w:r>
        <w:r w:rsidR="000E3584">
          <w:rPr>
            <w:noProof/>
            <w:webHidden/>
          </w:rPr>
        </w:r>
        <w:r w:rsidR="000E3584">
          <w:rPr>
            <w:noProof/>
            <w:webHidden/>
          </w:rPr>
          <w:fldChar w:fldCharType="separate"/>
        </w:r>
        <w:r w:rsidR="000E3584">
          <w:rPr>
            <w:noProof/>
            <w:webHidden/>
          </w:rPr>
          <w:t>31</w:t>
        </w:r>
        <w:r w:rsidR="000E3584">
          <w:rPr>
            <w:noProof/>
            <w:webHidden/>
          </w:rPr>
          <w:fldChar w:fldCharType="end"/>
        </w:r>
      </w:hyperlink>
    </w:p>
    <w:p w14:paraId="5A9E2857" w14:textId="48D329A9" w:rsidR="000E3584" w:rsidRDefault="00455E15">
      <w:pPr>
        <w:pStyle w:val="TOC1"/>
        <w:tabs>
          <w:tab w:val="right" w:leader="dot" w:pos="9685"/>
        </w:tabs>
        <w:rPr>
          <w:rFonts w:eastAsiaTheme="minorEastAsia" w:cstheme="minorBidi"/>
          <w:noProof/>
          <w:sz w:val="22"/>
          <w:szCs w:val="22"/>
          <w:lang w:val="en-AU" w:eastAsia="en-AU"/>
        </w:rPr>
      </w:pPr>
      <w:hyperlink w:anchor="_Toc96341672" w:history="1">
        <w:r w:rsidR="000E3584" w:rsidRPr="00700832">
          <w:rPr>
            <w:rStyle w:val="Hyperlink"/>
            <w:noProof/>
          </w:rPr>
          <w:t>6 Communications and learning</w:t>
        </w:r>
        <w:r w:rsidR="000E3584">
          <w:rPr>
            <w:noProof/>
            <w:webHidden/>
          </w:rPr>
          <w:tab/>
        </w:r>
        <w:r w:rsidR="000E3584">
          <w:rPr>
            <w:noProof/>
            <w:webHidden/>
          </w:rPr>
          <w:fldChar w:fldCharType="begin"/>
        </w:r>
        <w:r w:rsidR="000E3584">
          <w:rPr>
            <w:noProof/>
            <w:webHidden/>
          </w:rPr>
          <w:instrText xml:space="preserve"> PAGEREF _Toc96341672 \h </w:instrText>
        </w:r>
        <w:r w:rsidR="000E3584">
          <w:rPr>
            <w:noProof/>
            <w:webHidden/>
          </w:rPr>
        </w:r>
        <w:r w:rsidR="000E3584">
          <w:rPr>
            <w:noProof/>
            <w:webHidden/>
          </w:rPr>
          <w:fldChar w:fldCharType="separate"/>
        </w:r>
        <w:r w:rsidR="000E3584">
          <w:rPr>
            <w:noProof/>
            <w:webHidden/>
          </w:rPr>
          <w:t>41</w:t>
        </w:r>
        <w:r w:rsidR="000E3584">
          <w:rPr>
            <w:noProof/>
            <w:webHidden/>
          </w:rPr>
          <w:fldChar w:fldCharType="end"/>
        </w:r>
      </w:hyperlink>
    </w:p>
    <w:p w14:paraId="007E7317" w14:textId="2D762591" w:rsidR="000E3584" w:rsidRDefault="00455E15">
      <w:pPr>
        <w:pStyle w:val="TOC1"/>
        <w:tabs>
          <w:tab w:val="right" w:leader="dot" w:pos="9685"/>
        </w:tabs>
        <w:rPr>
          <w:rFonts w:eastAsiaTheme="minorEastAsia" w:cstheme="minorBidi"/>
          <w:noProof/>
          <w:sz w:val="22"/>
          <w:szCs w:val="22"/>
          <w:lang w:val="en-AU" w:eastAsia="en-AU"/>
        </w:rPr>
      </w:pPr>
      <w:hyperlink w:anchor="_Toc96341673" w:history="1">
        <w:r w:rsidR="000E3584" w:rsidRPr="00700832">
          <w:rPr>
            <w:rStyle w:val="Hyperlink"/>
            <w:noProof/>
          </w:rPr>
          <w:t>Appendix: Programme overview</w:t>
        </w:r>
        <w:r w:rsidR="000E3584">
          <w:rPr>
            <w:noProof/>
            <w:webHidden/>
          </w:rPr>
          <w:tab/>
        </w:r>
        <w:r w:rsidR="000E3584">
          <w:rPr>
            <w:noProof/>
            <w:webHidden/>
          </w:rPr>
          <w:fldChar w:fldCharType="begin"/>
        </w:r>
        <w:r w:rsidR="000E3584">
          <w:rPr>
            <w:noProof/>
            <w:webHidden/>
          </w:rPr>
          <w:instrText xml:space="preserve"> PAGEREF _Toc96341673 \h </w:instrText>
        </w:r>
        <w:r w:rsidR="000E3584">
          <w:rPr>
            <w:noProof/>
            <w:webHidden/>
          </w:rPr>
        </w:r>
        <w:r w:rsidR="000E3584">
          <w:rPr>
            <w:noProof/>
            <w:webHidden/>
          </w:rPr>
          <w:fldChar w:fldCharType="separate"/>
        </w:r>
        <w:r w:rsidR="000E3584">
          <w:rPr>
            <w:noProof/>
            <w:webHidden/>
          </w:rPr>
          <w:t>47</w:t>
        </w:r>
        <w:r w:rsidR="000E3584">
          <w:rPr>
            <w:noProof/>
            <w:webHidden/>
          </w:rPr>
          <w:fldChar w:fldCharType="end"/>
        </w:r>
      </w:hyperlink>
    </w:p>
    <w:p w14:paraId="0E11F8E6" w14:textId="1863A66B" w:rsidR="000E3584" w:rsidRDefault="00455E15">
      <w:pPr>
        <w:pStyle w:val="TOC1"/>
        <w:tabs>
          <w:tab w:val="right" w:leader="dot" w:pos="9685"/>
        </w:tabs>
        <w:rPr>
          <w:rFonts w:eastAsiaTheme="minorEastAsia" w:cstheme="minorBidi"/>
          <w:noProof/>
          <w:sz w:val="22"/>
          <w:szCs w:val="22"/>
          <w:lang w:val="en-AU" w:eastAsia="en-AU"/>
        </w:rPr>
      </w:pPr>
      <w:hyperlink w:anchor="_Toc96341674" w:history="1">
        <w:r w:rsidR="000E3584" w:rsidRPr="00700832">
          <w:rPr>
            <w:rStyle w:val="Hyperlink"/>
            <w:noProof/>
          </w:rPr>
          <w:t>Appendix: Methodology</w:t>
        </w:r>
        <w:r w:rsidR="000E3584">
          <w:rPr>
            <w:noProof/>
            <w:webHidden/>
          </w:rPr>
          <w:tab/>
        </w:r>
        <w:r w:rsidR="000E3584">
          <w:rPr>
            <w:noProof/>
            <w:webHidden/>
          </w:rPr>
          <w:fldChar w:fldCharType="begin"/>
        </w:r>
        <w:r w:rsidR="000E3584">
          <w:rPr>
            <w:noProof/>
            <w:webHidden/>
          </w:rPr>
          <w:instrText xml:space="preserve"> PAGEREF _Toc96341674 \h </w:instrText>
        </w:r>
        <w:r w:rsidR="000E3584">
          <w:rPr>
            <w:noProof/>
            <w:webHidden/>
          </w:rPr>
        </w:r>
        <w:r w:rsidR="000E3584">
          <w:rPr>
            <w:noProof/>
            <w:webHidden/>
          </w:rPr>
          <w:fldChar w:fldCharType="separate"/>
        </w:r>
        <w:r w:rsidR="000E3584">
          <w:rPr>
            <w:noProof/>
            <w:webHidden/>
          </w:rPr>
          <w:t>51</w:t>
        </w:r>
        <w:r w:rsidR="000E3584">
          <w:rPr>
            <w:noProof/>
            <w:webHidden/>
          </w:rPr>
          <w:fldChar w:fldCharType="end"/>
        </w:r>
      </w:hyperlink>
    </w:p>
    <w:p w14:paraId="6286443B" w14:textId="004DC9F0" w:rsidR="000E3584" w:rsidRDefault="00455E15">
      <w:pPr>
        <w:pStyle w:val="TOC1"/>
        <w:tabs>
          <w:tab w:val="right" w:leader="dot" w:pos="9685"/>
        </w:tabs>
        <w:rPr>
          <w:rFonts w:eastAsiaTheme="minorEastAsia" w:cstheme="minorBidi"/>
          <w:noProof/>
          <w:sz w:val="22"/>
          <w:szCs w:val="22"/>
          <w:lang w:val="en-AU" w:eastAsia="en-AU"/>
        </w:rPr>
      </w:pPr>
      <w:hyperlink w:anchor="_Toc96341675" w:history="1">
        <w:r w:rsidR="000E3584" w:rsidRPr="00700832">
          <w:rPr>
            <w:rStyle w:val="Hyperlink"/>
            <w:noProof/>
          </w:rPr>
          <w:t>References</w:t>
        </w:r>
        <w:r w:rsidR="000E3584">
          <w:rPr>
            <w:noProof/>
            <w:webHidden/>
          </w:rPr>
          <w:tab/>
        </w:r>
        <w:r w:rsidR="000E3584">
          <w:rPr>
            <w:noProof/>
            <w:webHidden/>
          </w:rPr>
          <w:fldChar w:fldCharType="begin"/>
        </w:r>
        <w:r w:rsidR="000E3584">
          <w:rPr>
            <w:noProof/>
            <w:webHidden/>
          </w:rPr>
          <w:instrText xml:space="preserve"> PAGEREF _Toc96341675 \h </w:instrText>
        </w:r>
        <w:r w:rsidR="000E3584">
          <w:rPr>
            <w:noProof/>
            <w:webHidden/>
          </w:rPr>
        </w:r>
        <w:r w:rsidR="000E3584">
          <w:rPr>
            <w:noProof/>
            <w:webHidden/>
          </w:rPr>
          <w:fldChar w:fldCharType="separate"/>
        </w:r>
        <w:r w:rsidR="000E3584">
          <w:rPr>
            <w:noProof/>
            <w:webHidden/>
          </w:rPr>
          <w:t>54</w:t>
        </w:r>
        <w:r w:rsidR="000E3584">
          <w:rPr>
            <w:noProof/>
            <w:webHidden/>
          </w:rPr>
          <w:fldChar w:fldCharType="end"/>
        </w:r>
      </w:hyperlink>
    </w:p>
    <w:p w14:paraId="5225697A" w14:textId="53F46502" w:rsidR="00C81D29" w:rsidRPr="002E7B55" w:rsidRDefault="0001383D" w:rsidP="00625710">
      <w:pPr>
        <w:pStyle w:val="Contentsheading"/>
      </w:pPr>
      <w:r w:rsidRPr="002E7B55">
        <w:fldChar w:fldCharType="end"/>
      </w:r>
      <w:r w:rsidR="00C81D29" w:rsidRPr="002E7B55">
        <w:t>Tables</w:t>
      </w:r>
    </w:p>
    <w:p w14:paraId="05DEB83A" w14:textId="02E7B112" w:rsidR="000E3584" w:rsidRDefault="00AF00BB">
      <w:pPr>
        <w:pStyle w:val="TableofFigures"/>
        <w:tabs>
          <w:tab w:val="right" w:leader="dot" w:pos="9685"/>
        </w:tabs>
        <w:rPr>
          <w:rFonts w:eastAsiaTheme="minorEastAsia" w:cstheme="minorBidi"/>
          <w:noProof/>
          <w:sz w:val="22"/>
          <w:szCs w:val="22"/>
          <w:lang w:val="en-AU" w:eastAsia="en-AU"/>
        </w:rPr>
      </w:pPr>
      <w:r w:rsidRPr="002E7B55">
        <w:fldChar w:fldCharType="begin"/>
      </w:r>
      <w:r w:rsidRPr="002E7B55">
        <w:instrText xml:space="preserve"> TOC \h \z \c "Table" </w:instrText>
      </w:r>
      <w:r w:rsidRPr="002E7B55">
        <w:fldChar w:fldCharType="separate"/>
      </w:r>
      <w:hyperlink w:anchor="_Toc96341676" w:history="1">
        <w:r w:rsidR="000E3584" w:rsidRPr="00836CB0">
          <w:rPr>
            <w:rStyle w:val="Hyperlink"/>
            <w:rFonts w:eastAsiaTheme="majorEastAsia"/>
            <w:noProof/>
          </w:rPr>
          <w:t>Table 1: MIMVP funding allocation in each region</w:t>
        </w:r>
        <w:r w:rsidR="000E3584">
          <w:rPr>
            <w:noProof/>
            <w:webHidden/>
          </w:rPr>
          <w:tab/>
        </w:r>
        <w:r w:rsidR="000E3584">
          <w:rPr>
            <w:noProof/>
            <w:webHidden/>
          </w:rPr>
          <w:fldChar w:fldCharType="begin"/>
        </w:r>
        <w:r w:rsidR="000E3584">
          <w:rPr>
            <w:noProof/>
            <w:webHidden/>
          </w:rPr>
          <w:instrText xml:space="preserve"> PAGEREF _Toc96341676 \h </w:instrText>
        </w:r>
        <w:r w:rsidR="000E3584">
          <w:rPr>
            <w:noProof/>
            <w:webHidden/>
          </w:rPr>
        </w:r>
        <w:r w:rsidR="000E3584">
          <w:rPr>
            <w:noProof/>
            <w:webHidden/>
          </w:rPr>
          <w:fldChar w:fldCharType="separate"/>
        </w:r>
        <w:r w:rsidR="000E3584">
          <w:rPr>
            <w:noProof/>
            <w:webHidden/>
          </w:rPr>
          <w:t>47</w:t>
        </w:r>
        <w:r w:rsidR="000E3584">
          <w:rPr>
            <w:noProof/>
            <w:webHidden/>
          </w:rPr>
          <w:fldChar w:fldCharType="end"/>
        </w:r>
      </w:hyperlink>
    </w:p>
    <w:p w14:paraId="4C4E4C21" w14:textId="0AC301AE" w:rsidR="000E3584" w:rsidRDefault="00455E15">
      <w:pPr>
        <w:pStyle w:val="TableofFigures"/>
        <w:tabs>
          <w:tab w:val="right" w:leader="dot" w:pos="9685"/>
        </w:tabs>
        <w:rPr>
          <w:rFonts w:eastAsiaTheme="minorEastAsia" w:cstheme="minorBidi"/>
          <w:noProof/>
          <w:sz w:val="22"/>
          <w:szCs w:val="22"/>
          <w:lang w:val="en-AU" w:eastAsia="en-AU"/>
        </w:rPr>
      </w:pPr>
      <w:hyperlink w:anchor="_Toc96341677" w:history="1">
        <w:r w:rsidR="000E3584" w:rsidRPr="00836CB0">
          <w:rPr>
            <w:rStyle w:val="Hyperlink"/>
            <w:rFonts w:eastAsiaTheme="majorEastAsia"/>
            <w:noProof/>
          </w:rPr>
          <w:t>Table 2. Flu vaccination rates of Māori 65+ 2015-2021, by DHB region</w:t>
        </w:r>
        <w:r w:rsidR="000E3584">
          <w:rPr>
            <w:noProof/>
            <w:webHidden/>
          </w:rPr>
          <w:tab/>
        </w:r>
        <w:r w:rsidR="000E3584">
          <w:rPr>
            <w:noProof/>
            <w:webHidden/>
          </w:rPr>
          <w:fldChar w:fldCharType="begin"/>
        </w:r>
        <w:r w:rsidR="000E3584">
          <w:rPr>
            <w:noProof/>
            <w:webHidden/>
          </w:rPr>
          <w:instrText xml:space="preserve"> PAGEREF _Toc96341677 \h </w:instrText>
        </w:r>
        <w:r w:rsidR="000E3584">
          <w:rPr>
            <w:noProof/>
            <w:webHidden/>
          </w:rPr>
        </w:r>
        <w:r w:rsidR="000E3584">
          <w:rPr>
            <w:noProof/>
            <w:webHidden/>
          </w:rPr>
          <w:fldChar w:fldCharType="separate"/>
        </w:r>
        <w:r w:rsidR="000E3584">
          <w:rPr>
            <w:noProof/>
            <w:webHidden/>
          </w:rPr>
          <w:t>50</w:t>
        </w:r>
        <w:r w:rsidR="000E3584">
          <w:rPr>
            <w:noProof/>
            <w:webHidden/>
          </w:rPr>
          <w:fldChar w:fldCharType="end"/>
        </w:r>
      </w:hyperlink>
    </w:p>
    <w:p w14:paraId="72CB7DA1" w14:textId="450ED897" w:rsidR="000E3584" w:rsidRDefault="00455E15">
      <w:pPr>
        <w:pStyle w:val="TableofFigures"/>
        <w:tabs>
          <w:tab w:val="right" w:leader="dot" w:pos="9685"/>
        </w:tabs>
        <w:rPr>
          <w:rFonts w:eastAsiaTheme="minorEastAsia" w:cstheme="minorBidi"/>
          <w:noProof/>
          <w:sz w:val="22"/>
          <w:szCs w:val="22"/>
          <w:lang w:val="en-AU" w:eastAsia="en-AU"/>
        </w:rPr>
      </w:pPr>
      <w:hyperlink w:anchor="_Toc96341678" w:history="1">
        <w:r w:rsidR="000E3584" w:rsidRPr="00836CB0">
          <w:rPr>
            <w:rStyle w:val="Hyperlink"/>
            <w:rFonts w:eastAsiaTheme="majorEastAsia"/>
            <w:noProof/>
          </w:rPr>
          <w:t>Table 3: The phasing of COVID-19 and flu vaccinations in 2021</w:t>
        </w:r>
        <w:r w:rsidR="000E3584">
          <w:rPr>
            <w:noProof/>
            <w:webHidden/>
          </w:rPr>
          <w:tab/>
        </w:r>
        <w:r w:rsidR="000E3584">
          <w:rPr>
            <w:noProof/>
            <w:webHidden/>
          </w:rPr>
          <w:fldChar w:fldCharType="begin"/>
        </w:r>
        <w:r w:rsidR="000E3584">
          <w:rPr>
            <w:noProof/>
            <w:webHidden/>
          </w:rPr>
          <w:instrText xml:space="preserve"> PAGEREF _Toc96341678 \h </w:instrText>
        </w:r>
        <w:r w:rsidR="000E3584">
          <w:rPr>
            <w:noProof/>
            <w:webHidden/>
          </w:rPr>
        </w:r>
        <w:r w:rsidR="000E3584">
          <w:rPr>
            <w:noProof/>
            <w:webHidden/>
          </w:rPr>
          <w:fldChar w:fldCharType="separate"/>
        </w:r>
        <w:r w:rsidR="000E3584">
          <w:rPr>
            <w:noProof/>
            <w:webHidden/>
          </w:rPr>
          <w:t>50</w:t>
        </w:r>
        <w:r w:rsidR="000E3584">
          <w:rPr>
            <w:noProof/>
            <w:webHidden/>
          </w:rPr>
          <w:fldChar w:fldCharType="end"/>
        </w:r>
      </w:hyperlink>
    </w:p>
    <w:p w14:paraId="039F7C0F" w14:textId="5810492C" w:rsidR="000E3584" w:rsidRDefault="00455E15">
      <w:pPr>
        <w:pStyle w:val="TableofFigures"/>
        <w:tabs>
          <w:tab w:val="right" w:leader="dot" w:pos="9685"/>
        </w:tabs>
        <w:rPr>
          <w:rFonts w:eastAsiaTheme="minorEastAsia" w:cstheme="minorBidi"/>
          <w:noProof/>
          <w:sz w:val="22"/>
          <w:szCs w:val="22"/>
          <w:lang w:val="en-AU" w:eastAsia="en-AU"/>
        </w:rPr>
      </w:pPr>
      <w:hyperlink w:anchor="_Toc96341679" w:history="1">
        <w:r w:rsidR="000E3584" w:rsidRPr="00836CB0">
          <w:rPr>
            <w:rStyle w:val="Hyperlink"/>
            <w:rFonts w:eastAsiaTheme="majorEastAsia"/>
            <w:noProof/>
          </w:rPr>
          <w:t>Table 4: MIMVP 2021 Monitoring report survey responses</w:t>
        </w:r>
        <w:r w:rsidR="000E3584">
          <w:rPr>
            <w:noProof/>
            <w:webHidden/>
          </w:rPr>
          <w:tab/>
        </w:r>
        <w:r w:rsidR="000E3584">
          <w:rPr>
            <w:noProof/>
            <w:webHidden/>
          </w:rPr>
          <w:fldChar w:fldCharType="begin"/>
        </w:r>
        <w:r w:rsidR="000E3584">
          <w:rPr>
            <w:noProof/>
            <w:webHidden/>
          </w:rPr>
          <w:instrText xml:space="preserve"> PAGEREF _Toc96341679 \h </w:instrText>
        </w:r>
        <w:r w:rsidR="000E3584">
          <w:rPr>
            <w:noProof/>
            <w:webHidden/>
          </w:rPr>
        </w:r>
        <w:r w:rsidR="000E3584">
          <w:rPr>
            <w:noProof/>
            <w:webHidden/>
          </w:rPr>
          <w:fldChar w:fldCharType="separate"/>
        </w:r>
        <w:r w:rsidR="000E3584">
          <w:rPr>
            <w:noProof/>
            <w:webHidden/>
          </w:rPr>
          <w:t>52</w:t>
        </w:r>
        <w:r w:rsidR="000E3584">
          <w:rPr>
            <w:noProof/>
            <w:webHidden/>
          </w:rPr>
          <w:fldChar w:fldCharType="end"/>
        </w:r>
      </w:hyperlink>
    </w:p>
    <w:p w14:paraId="57C1024F" w14:textId="1866F496" w:rsidR="00C81D29" w:rsidRPr="002E7B55" w:rsidRDefault="00AF00BB" w:rsidP="00625710">
      <w:pPr>
        <w:pStyle w:val="Contentsheading"/>
      </w:pPr>
      <w:r w:rsidRPr="002E7B55">
        <w:fldChar w:fldCharType="end"/>
      </w:r>
      <w:r w:rsidR="00C81D29" w:rsidRPr="002E7B55">
        <w:t>Figures</w:t>
      </w:r>
    </w:p>
    <w:p w14:paraId="6F0D0AC9" w14:textId="5DC760A5" w:rsidR="000E3584" w:rsidRDefault="00426DEB">
      <w:pPr>
        <w:pStyle w:val="TableofFigures"/>
        <w:tabs>
          <w:tab w:val="right" w:leader="dot" w:pos="9685"/>
        </w:tabs>
        <w:rPr>
          <w:rFonts w:eastAsiaTheme="minorEastAsia" w:cstheme="minorBidi"/>
          <w:noProof/>
          <w:sz w:val="22"/>
          <w:szCs w:val="22"/>
          <w:lang w:val="en-AU" w:eastAsia="en-AU"/>
        </w:rPr>
      </w:pPr>
      <w:r w:rsidRPr="002E7B55">
        <w:fldChar w:fldCharType="begin"/>
      </w:r>
      <w:r w:rsidRPr="002E7B55">
        <w:instrText xml:space="preserve"> TOC \h \z \c "Figure" </w:instrText>
      </w:r>
      <w:r w:rsidRPr="002E7B55">
        <w:fldChar w:fldCharType="separate"/>
      </w:r>
      <w:hyperlink w:anchor="_Toc96341680" w:history="1">
        <w:r w:rsidR="000E3584" w:rsidRPr="00F60363">
          <w:rPr>
            <w:rStyle w:val="Hyperlink"/>
            <w:rFonts w:eastAsiaTheme="majorEastAsia"/>
            <w:noProof/>
          </w:rPr>
          <w:t>Figure 1: Shifting the locus of power model (9)</w:t>
        </w:r>
        <w:r w:rsidR="000E3584">
          <w:rPr>
            <w:noProof/>
            <w:webHidden/>
          </w:rPr>
          <w:tab/>
        </w:r>
        <w:r w:rsidR="000E3584">
          <w:rPr>
            <w:noProof/>
            <w:webHidden/>
          </w:rPr>
          <w:fldChar w:fldCharType="begin"/>
        </w:r>
        <w:r w:rsidR="000E3584">
          <w:rPr>
            <w:noProof/>
            <w:webHidden/>
          </w:rPr>
          <w:instrText xml:space="preserve"> PAGEREF _Toc96341680 \h </w:instrText>
        </w:r>
        <w:r w:rsidR="000E3584">
          <w:rPr>
            <w:noProof/>
            <w:webHidden/>
          </w:rPr>
        </w:r>
        <w:r w:rsidR="000E3584">
          <w:rPr>
            <w:noProof/>
            <w:webHidden/>
          </w:rPr>
          <w:fldChar w:fldCharType="separate"/>
        </w:r>
        <w:r w:rsidR="000E3584">
          <w:rPr>
            <w:noProof/>
            <w:webHidden/>
          </w:rPr>
          <w:t>10</w:t>
        </w:r>
        <w:r w:rsidR="000E3584">
          <w:rPr>
            <w:noProof/>
            <w:webHidden/>
          </w:rPr>
          <w:fldChar w:fldCharType="end"/>
        </w:r>
      </w:hyperlink>
    </w:p>
    <w:p w14:paraId="6263C2DE" w14:textId="7F2E899B" w:rsidR="000E3584" w:rsidRDefault="00455E15">
      <w:pPr>
        <w:pStyle w:val="TableofFigures"/>
        <w:tabs>
          <w:tab w:val="right" w:leader="dot" w:pos="9685"/>
        </w:tabs>
        <w:rPr>
          <w:rFonts w:eastAsiaTheme="minorEastAsia" w:cstheme="minorBidi"/>
          <w:noProof/>
          <w:sz w:val="22"/>
          <w:szCs w:val="22"/>
          <w:lang w:val="en-AU" w:eastAsia="en-AU"/>
        </w:rPr>
      </w:pPr>
      <w:hyperlink w:anchor="_Toc96341681" w:history="1">
        <w:r w:rsidR="000E3584" w:rsidRPr="00F60363">
          <w:rPr>
            <w:rStyle w:val="Hyperlink"/>
            <w:rFonts w:eastAsiaTheme="majorEastAsia"/>
            <w:noProof/>
          </w:rPr>
          <w:t>Figure 2: Flu immunisation rates for Māori 65+ in 2015-2021, as a percentage of Māori 65+ population</w:t>
        </w:r>
        <w:r w:rsidR="000E3584">
          <w:rPr>
            <w:noProof/>
            <w:webHidden/>
          </w:rPr>
          <w:tab/>
        </w:r>
        <w:r w:rsidR="000E3584">
          <w:rPr>
            <w:noProof/>
            <w:webHidden/>
          </w:rPr>
          <w:fldChar w:fldCharType="begin"/>
        </w:r>
        <w:r w:rsidR="000E3584">
          <w:rPr>
            <w:noProof/>
            <w:webHidden/>
          </w:rPr>
          <w:instrText xml:space="preserve"> PAGEREF _Toc96341681 \h </w:instrText>
        </w:r>
        <w:r w:rsidR="000E3584">
          <w:rPr>
            <w:noProof/>
            <w:webHidden/>
          </w:rPr>
        </w:r>
        <w:r w:rsidR="000E3584">
          <w:rPr>
            <w:noProof/>
            <w:webHidden/>
          </w:rPr>
          <w:fldChar w:fldCharType="separate"/>
        </w:r>
        <w:r w:rsidR="000E3584">
          <w:rPr>
            <w:noProof/>
            <w:webHidden/>
          </w:rPr>
          <w:t>16</w:t>
        </w:r>
        <w:r w:rsidR="000E3584">
          <w:rPr>
            <w:noProof/>
            <w:webHidden/>
          </w:rPr>
          <w:fldChar w:fldCharType="end"/>
        </w:r>
      </w:hyperlink>
    </w:p>
    <w:p w14:paraId="2837B69C" w14:textId="5574D22C" w:rsidR="000E3584" w:rsidRDefault="00455E15">
      <w:pPr>
        <w:pStyle w:val="TableofFigures"/>
        <w:tabs>
          <w:tab w:val="right" w:leader="dot" w:pos="9685"/>
        </w:tabs>
        <w:rPr>
          <w:rFonts w:eastAsiaTheme="minorEastAsia" w:cstheme="minorBidi"/>
          <w:noProof/>
          <w:sz w:val="22"/>
          <w:szCs w:val="22"/>
          <w:lang w:val="en-AU" w:eastAsia="en-AU"/>
        </w:rPr>
      </w:pPr>
      <w:hyperlink w:anchor="_Toc96341682" w:history="1">
        <w:r w:rsidR="000E3584" w:rsidRPr="00F60363">
          <w:rPr>
            <w:rStyle w:val="Hyperlink"/>
            <w:rFonts w:eastAsiaTheme="majorEastAsia"/>
            <w:noProof/>
          </w:rPr>
          <w:t>Figure 3 Flu immunisations rates for Māori 65+ in 2018-2021, as a percentage of Māori 65+ population</w:t>
        </w:r>
        <w:r w:rsidR="000E3584">
          <w:rPr>
            <w:noProof/>
            <w:webHidden/>
          </w:rPr>
          <w:tab/>
        </w:r>
        <w:r w:rsidR="000E3584">
          <w:rPr>
            <w:noProof/>
            <w:webHidden/>
          </w:rPr>
          <w:fldChar w:fldCharType="begin"/>
        </w:r>
        <w:r w:rsidR="000E3584">
          <w:rPr>
            <w:noProof/>
            <w:webHidden/>
          </w:rPr>
          <w:instrText xml:space="preserve"> PAGEREF _Toc96341682 \h </w:instrText>
        </w:r>
        <w:r w:rsidR="000E3584">
          <w:rPr>
            <w:noProof/>
            <w:webHidden/>
          </w:rPr>
        </w:r>
        <w:r w:rsidR="000E3584">
          <w:rPr>
            <w:noProof/>
            <w:webHidden/>
          </w:rPr>
          <w:fldChar w:fldCharType="separate"/>
        </w:r>
        <w:r w:rsidR="000E3584">
          <w:rPr>
            <w:noProof/>
            <w:webHidden/>
          </w:rPr>
          <w:t>17</w:t>
        </w:r>
        <w:r w:rsidR="000E3584">
          <w:rPr>
            <w:noProof/>
            <w:webHidden/>
          </w:rPr>
          <w:fldChar w:fldCharType="end"/>
        </w:r>
      </w:hyperlink>
    </w:p>
    <w:p w14:paraId="7C655117" w14:textId="19C12667" w:rsidR="000E3584" w:rsidRDefault="00455E15">
      <w:pPr>
        <w:pStyle w:val="TableofFigures"/>
        <w:tabs>
          <w:tab w:val="right" w:leader="dot" w:pos="9685"/>
        </w:tabs>
        <w:rPr>
          <w:rFonts w:eastAsiaTheme="minorEastAsia" w:cstheme="minorBidi"/>
          <w:noProof/>
          <w:sz w:val="22"/>
          <w:szCs w:val="22"/>
          <w:lang w:val="en-AU" w:eastAsia="en-AU"/>
        </w:rPr>
      </w:pPr>
      <w:hyperlink w:anchor="_Toc96341683" w:history="1">
        <w:r w:rsidR="000E3584" w:rsidRPr="00F60363">
          <w:rPr>
            <w:rStyle w:val="Hyperlink"/>
            <w:rFonts w:eastAsiaTheme="majorEastAsia"/>
            <w:noProof/>
          </w:rPr>
          <w:t>Figure 4: Flu immunisations rates for Non-Māori non-Pacific 65+ in 2018-2021, as a percentage of Non-Māori non-Pacific 65+ population</w:t>
        </w:r>
        <w:r w:rsidR="000E3584">
          <w:rPr>
            <w:noProof/>
            <w:webHidden/>
          </w:rPr>
          <w:tab/>
        </w:r>
        <w:r w:rsidR="000E3584">
          <w:rPr>
            <w:noProof/>
            <w:webHidden/>
          </w:rPr>
          <w:fldChar w:fldCharType="begin"/>
        </w:r>
        <w:r w:rsidR="000E3584">
          <w:rPr>
            <w:noProof/>
            <w:webHidden/>
          </w:rPr>
          <w:instrText xml:space="preserve"> PAGEREF _Toc96341683 \h </w:instrText>
        </w:r>
        <w:r w:rsidR="000E3584">
          <w:rPr>
            <w:noProof/>
            <w:webHidden/>
          </w:rPr>
        </w:r>
        <w:r w:rsidR="000E3584">
          <w:rPr>
            <w:noProof/>
            <w:webHidden/>
          </w:rPr>
          <w:fldChar w:fldCharType="separate"/>
        </w:r>
        <w:r w:rsidR="000E3584">
          <w:rPr>
            <w:noProof/>
            <w:webHidden/>
          </w:rPr>
          <w:t>17</w:t>
        </w:r>
        <w:r w:rsidR="000E3584">
          <w:rPr>
            <w:noProof/>
            <w:webHidden/>
          </w:rPr>
          <w:fldChar w:fldCharType="end"/>
        </w:r>
      </w:hyperlink>
    </w:p>
    <w:p w14:paraId="55E4D810" w14:textId="02167F1C" w:rsidR="000E3584" w:rsidRDefault="00455E15">
      <w:pPr>
        <w:pStyle w:val="TableofFigures"/>
        <w:tabs>
          <w:tab w:val="right" w:leader="dot" w:pos="9685"/>
        </w:tabs>
        <w:rPr>
          <w:rFonts w:eastAsiaTheme="minorEastAsia" w:cstheme="minorBidi"/>
          <w:noProof/>
          <w:sz w:val="22"/>
          <w:szCs w:val="22"/>
          <w:lang w:val="en-AU" w:eastAsia="en-AU"/>
        </w:rPr>
      </w:pPr>
      <w:hyperlink w:anchor="_Toc96341684" w:history="1">
        <w:r w:rsidR="000E3584" w:rsidRPr="00F60363">
          <w:rPr>
            <w:rStyle w:val="Hyperlink"/>
            <w:rFonts w:eastAsiaTheme="majorEastAsia"/>
            <w:noProof/>
          </w:rPr>
          <w:t>Figure 5: Equity gap of flu immunisation rates for Māori 65+ vs non-Māori non-Pacific 65+, 2018-2021</w:t>
        </w:r>
        <w:r w:rsidR="000E3584">
          <w:rPr>
            <w:noProof/>
            <w:webHidden/>
          </w:rPr>
          <w:tab/>
        </w:r>
        <w:r w:rsidR="000E3584">
          <w:rPr>
            <w:noProof/>
            <w:webHidden/>
          </w:rPr>
          <w:fldChar w:fldCharType="begin"/>
        </w:r>
        <w:r w:rsidR="000E3584">
          <w:rPr>
            <w:noProof/>
            <w:webHidden/>
          </w:rPr>
          <w:instrText xml:space="preserve"> PAGEREF _Toc96341684 \h </w:instrText>
        </w:r>
        <w:r w:rsidR="000E3584">
          <w:rPr>
            <w:noProof/>
            <w:webHidden/>
          </w:rPr>
        </w:r>
        <w:r w:rsidR="000E3584">
          <w:rPr>
            <w:noProof/>
            <w:webHidden/>
          </w:rPr>
          <w:fldChar w:fldCharType="separate"/>
        </w:r>
        <w:r w:rsidR="000E3584">
          <w:rPr>
            <w:noProof/>
            <w:webHidden/>
          </w:rPr>
          <w:t>18</w:t>
        </w:r>
        <w:r w:rsidR="000E3584">
          <w:rPr>
            <w:noProof/>
            <w:webHidden/>
          </w:rPr>
          <w:fldChar w:fldCharType="end"/>
        </w:r>
      </w:hyperlink>
    </w:p>
    <w:p w14:paraId="4741CFA1" w14:textId="30623599" w:rsidR="000E3584" w:rsidRDefault="00455E15">
      <w:pPr>
        <w:pStyle w:val="TableofFigures"/>
        <w:tabs>
          <w:tab w:val="right" w:leader="dot" w:pos="9685"/>
        </w:tabs>
        <w:rPr>
          <w:rFonts w:eastAsiaTheme="minorEastAsia" w:cstheme="minorBidi"/>
          <w:noProof/>
          <w:sz w:val="22"/>
          <w:szCs w:val="22"/>
          <w:lang w:val="en-AU" w:eastAsia="en-AU"/>
        </w:rPr>
      </w:pPr>
      <w:hyperlink w:anchor="_Toc96341685" w:history="1">
        <w:r w:rsidR="000E3584" w:rsidRPr="00F60363">
          <w:rPr>
            <w:rStyle w:val="Hyperlink"/>
            <w:rFonts w:eastAsiaTheme="majorEastAsia"/>
            <w:noProof/>
          </w:rPr>
          <w:t>Figure 6: Flu immunisation rates for Māori 65+ in 2021, comparing Whanganui (highest), Waitematā (lowest) and four regions with highest estimated population of Māori 65+</w:t>
        </w:r>
        <w:r w:rsidR="000E3584">
          <w:rPr>
            <w:noProof/>
            <w:webHidden/>
          </w:rPr>
          <w:tab/>
        </w:r>
        <w:r w:rsidR="000E3584">
          <w:rPr>
            <w:noProof/>
            <w:webHidden/>
          </w:rPr>
          <w:fldChar w:fldCharType="begin"/>
        </w:r>
        <w:r w:rsidR="000E3584">
          <w:rPr>
            <w:noProof/>
            <w:webHidden/>
          </w:rPr>
          <w:instrText xml:space="preserve"> PAGEREF _Toc96341685 \h </w:instrText>
        </w:r>
        <w:r w:rsidR="000E3584">
          <w:rPr>
            <w:noProof/>
            <w:webHidden/>
          </w:rPr>
        </w:r>
        <w:r w:rsidR="000E3584">
          <w:rPr>
            <w:noProof/>
            <w:webHidden/>
          </w:rPr>
          <w:fldChar w:fldCharType="separate"/>
        </w:r>
        <w:r w:rsidR="000E3584">
          <w:rPr>
            <w:noProof/>
            <w:webHidden/>
          </w:rPr>
          <w:t>19</w:t>
        </w:r>
        <w:r w:rsidR="000E3584">
          <w:rPr>
            <w:noProof/>
            <w:webHidden/>
          </w:rPr>
          <w:fldChar w:fldCharType="end"/>
        </w:r>
      </w:hyperlink>
    </w:p>
    <w:p w14:paraId="42C729F5" w14:textId="470B10CC" w:rsidR="000E3584" w:rsidRDefault="00455E15">
      <w:pPr>
        <w:pStyle w:val="TableofFigures"/>
        <w:tabs>
          <w:tab w:val="right" w:leader="dot" w:pos="9685"/>
        </w:tabs>
        <w:rPr>
          <w:rFonts w:eastAsiaTheme="minorEastAsia" w:cstheme="minorBidi"/>
          <w:noProof/>
          <w:sz w:val="22"/>
          <w:szCs w:val="22"/>
          <w:lang w:val="en-AU" w:eastAsia="en-AU"/>
        </w:rPr>
      </w:pPr>
      <w:hyperlink w:anchor="_Toc96341686" w:history="1">
        <w:r w:rsidR="000E3584" w:rsidRPr="00F60363">
          <w:rPr>
            <w:rStyle w:val="Hyperlink"/>
            <w:rFonts w:eastAsiaTheme="majorEastAsia"/>
            <w:noProof/>
          </w:rPr>
          <w:t>Figure 7: Flu immunisation rates for Māori 65+ in 2021, comparing Whanganui, Wairarapa, and Hutt Valley (three highest), and three Auckland Metro regions (Counties-Manukau, Auckland, and Waitematā)</w:t>
        </w:r>
        <w:r w:rsidR="000E3584">
          <w:rPr>
            <w:noProof/>
            <w:webHidden/>
          </w:rPr>
          <w:tab/>
        </w:r>
        <w:r w:rsidR="000E3584">
          <w:rPr>
            <w:noProof/>
            <w:webHidden/>
          </w:rPr>
          <w:fldChar w:fldCharType="begin"/>
        </w:r>
        <w:r w:rsidR="000E3584">
          <w:rPr>
            <w:noProof/>
            <w:webHidden/>
          </w:rPr>
          <w:instrText xml:space="preserve"> PAGEREF _Toc96341686 \h </w:instrText>
        </w:r>
        <w:r w:rsidR="000E3584">
          <w:rPr>
            <w:noProof/>
            <w:webHidden/>
          </w:rPr>
        </w:r>
        <w:r w:rsidR="000E3584">
          <w:rPr>
            <w:noProof/>
            <w:webHidden/>
          </w:rPr>
          <w:fldChar w:fldCharType="separate"/>
        </w:r>
        <w:r w:rsidR="000E3584">
          <w:rPr>
            <w:noProof/>
            <w:webHidden/>
          </w:rPr>
          <w:t>20</w:t>
        </w:r>
        <w:r w:rsidR="000E3584">
          <w:rPr>
            <w:noProof/>
            <w:webHidden/>
          </w:rPr>
          <w:fldChar w:fldCharType="end"/>
        </w:r>
      </w:hyperlink>
    </w:p>
    <w:p w14:paraId="6DA16701" w14:textId="7496B314" w:rsidR="000E3584" w:rsidRDefault="00455E15">
      <w:pPr>
        <w:pStyle w:val="TableofFigures"/>
        <w:tabs>
          <w:tab w:val="right" w:leader="dot" w:pos="9685"/>
        </w:tabs>
        <w:rPr>
          <w:rFonts w:eastAsiaTheme="minorEastAsia" w:cstheme="minorBidi"/>
          <w:noProof/>
          <w:sz w:val="22"/>
          <w:szCs w:val="22"/>
          <w:lang w:val="en-AU" w:eastAsia="en-AU"/>
        </w:rPr>
      </w:pPr>
      <w:hyperlink w:anchor="_Toc96341687" w:history="1">
        <w:r w:rsidR="000E3584" w:rsidRPr="00F60363">
          <w:rPr>
            <w:rStyle w:val="Hyperlink"/>
            <w:rFonts w:eastAsiaTheme="majorEastAsia"/>
            <w:noProof/>
          </w:rPr>
          <w:t>Figure 8: Pou of equitable commissioning diagram</w:t>
        </w:r>
        <w:r w:rsidR="000E3584">
          <w:rPr>
            <w:noProof/>
            <w:webHidden/>
          </w:rPr>
          <w:tab/>
        </w:r>
        <w:r w:rsidR="000E3584">
          <w:rPr>
            <w:noProof/>
            <w:webHidden/>
          </w:rPr>
          <w:fldChar w:fldCharType="begin"/>
        </w:r>
        <w:r w:rsidR="000E3584">
          <w:rPr>
            <w:noProof/>
            <w:webHidden/>
          </w:rPr>
          <w:instrText xml:space="preserve"> PAGEREF _Toc96341687 \h </w:instrText>
        </w:r>
        <w:r w:rsidR="000E3584">
          <w:rPr>
            <w:noProof/>
            <w:webHidden/>
          </w:rPr>
        </w:r>
        <w:r w:rsidR="000E3584">
          <w:rPr>
            <w:noProof/>
            <w:webHidden/>
          </w:rPr>
          <w:fldChar w:fldCharType="separate"/>
        </w:r>
        <w:r w:rsidR="000E3584">
          <w:rPr>
            <w:noProof/>
            <w:webHidden/>
          </w:rPr>
          <w:t>23</w:t>
        </w:r>
        <w:r w:rsidR="000E3584">
          <w:rPr>
            <w:noProof/>
            <w:webHidden/>
          </w:rPr>
          <w:fldChar w:fldCharType="end"/>
        </w:r>
      </w:hyperlink>
    </w:p>
    <w:p w14:paraId="63F98ABF" w14:textId="6492D5A1" w:rsidR="000E3584" w:rsidRDefault="00455E15">
      <w:pPr>
        <w:pStyle w:val="TableofFigures"/>
        <w:tabs>
          <w:tab w:val="right" w:leader="dot" w:pos="9685"/>
        </w:tabs>
        <w:rPr>
          <w:rFonts w:eastAsiaTheme="minorEastAsia" w:cstheme="minorBidi"/>
          <w:noProof/>
          <w:sz w:val="22"/>
          <w:szCs w:val="22"/>
          <w:lang w:val="en-AU" w:eastAsia="en-AU"/>
        </w:rPr>
      </w:pPr>
      <w:hyperlink w:anchor="_Toc96341688" w:history="1">
        <w:r w:rsidR="000E3584" w:rsidRPr="00F60363">
          <w:rPr>
            <w:rStyle w:val="Hyperlink"/>
            <w:rFonts w:eastAsiaTheme="majorEastAsia"/>
            <w:noProof/>
          </w:rPr>
          <w:t xml:space="preserve">Figure 9: Activities and approaches providers delivered as part of their MIMVP-funded work </w:t>
        </w:r>
        <w:r w:rsidR="000E3584">
          <w:rPr>
            <w:noProof/>
            <w:webHidden/>
          </w:rPr>
          <w:tab/>
        </w:r>
        <w:r w:rsidR="000E3584">
          <w:rPr>
            <w:noProof/>
            <w:webHidden/>
          </w:rPr>
          <w:fldChar w:fldCharType="begin"/>
        </w:r>
        <w:r w:rsidR="000E3584">
          <w:rPr>
            <w:noProof/>
            <w:webHidden/>
          </w:rPr>
          <w:instrText xml:space="preserve"> PAGEREF _Toc96341688 \h </w:instrText>
        </w:r>
        <w:r w:rsidR="000E3584">
          <w:rPr>
            <w:noProof/>
            <w:webHidden/>
          </w:rPr>
        </w:r>
        <w:r w:rsidR="000E3584">
          <w:rPr>
            <w:noProof/>
            <w:webHidden/>
          </w:rPr>
          <w:fldChar w:fldCharType="separate"/>
        </w:r>
        <w:r w:rsidR="000E3584">
          <w:rPr>
            <w:noProof/>
            <w:webHidden/>
          </w:rPr>
          <w:t>28</w:t>
        </w:r>
        <w:r w:rsidR="000E3584">
          <w:rPr>
            <w:noProof/>
            <w:webHidden/>
          </w:rPr>
          <w:fldChar w:fldCharType="end"/>
        </w:r>
      </w:hyperlink>
    </w:p>
    <w:p w14:paraId="774CA51D" w14:textId="65BF69DD" w:rsidR="000E3584" w:rsidRDefault="00455E15">
      <w:pPr>
        <w:pStyle w:val="TableofFigures"/>
        <w:tabs>
          <w:tab w:val="right" w:leader="dot" w:pos="9685"/>
        </w:tabs>
        <w:rPr>
          <w:rFonts w:eastAsiaTheme="minorEastAsia" w:cstheme="minorBidi"/>
          <w:noProof/>
          <w:sz w:val="22"/>
          <w:szCs w:val="22"/>
          <w:lang w:val="en-AU" w:eastAsia="en-AU"/>
        </w:rPr>
      </w:pPr>
      <w:hyperlink w:anchor="_Toc96341689" w:history="1">
        <w:r w:rsidR="000E3584" w:rsidRPr="00F60363">
          <w:rPr>
            <w:rStyle w:val="Hyperlink"/>
            <w:rFonts w:eastAsiaTheme="majorEastAsia"/>
            <w:noProof/>
          </w:rPr>
          <w:t>Figure 10: Organisations providers partnered with to deliver MIMVP in 2021</w:t>
        </w:r>
        <w:r w:rsidR="000E3584">
          <w:rPr>
            <w:noProof/>
            <w:webHidden/>
          </w:rPr>
          <w:tab/>
        </w:r>
        <w:r w:rsidR="000E3584">
          <w:rPr>
            <w:noProof/>
            <w:webHidden/>
          </w:rPr>
          <w:fldChar w:fldCharType="begin"/>
        </w:r>
        <w:r w:rsidR="000E3584">
          <w:rPr>
            <w:noProof/>
            <w:webHidden/>
          </w:rPr>
          <w:instrText xml:space="preserve"> PAGEREF _Toc96341689 \h </w:instrText>
        </w:r>
        <w:r w:rsidR="000E3584">
          <w:rPr>
            <w:noProof/>
            <w:webHidden/>
          </w:rPr>
        </w:r>
        <w:r w:rsidR="000E3584">
          <w:rPr>
            <w:noProof/>
            <w:webHidden/>
          </w:rPr>
          <w:fldChar w:fldCharType="separate"/>
        </w:r>
        <w:r w:rsidR="000E3584">
          <w:rPr>
            <w:noProof/>
            <w:webHidden/>
          </w:rPr>
          <w:t>29</w:t>
        </w:r>
        <w:r w:rsidR="000E3584">
          <w:rPr>
            <w:noProof/>
            <w:webHidden/>
          </w:rPr>
          <w:fldChar w:fldCharType="end"/>
        </w:r>
      </w:hyperlink>
    </w:p>
    <w:p w14:paraId="526740AC" w14:textId="30B21FA5" w:rsidR="000E3584" w:rsidRDefault="00455E15">
      <w:pPr>
        <w:pStyle w:val="TableofFigures"/>
        <w:tabs>
          <w:tab w:val="right" w:leader="dot" w:pos="9685"/>
        </w:tabs>
        <w:rPr>
          <w:rFonts w:eastAsiaTheme="minorEastAsia" w:cstheme="minorBidi"/>
          <w:noProof/>
          <w:sz w:val="22"/>
          <w:szCs w:val="22"/>
          <w:lang w:val="en-AU" w:eastAsia="en-AU"/>
        </w:rPr>
      </w:pPr>
      <w:hyperlink w:anchor="_Toc96341690" w:history="1">
        <w:r w:rsidR="000E3584" w:rsidRPr="00F60363">
          <w:rPr>
            <w:rStyle w:val="Hyperlink"/>
            <w:rFonts w:eastAsiaTheme="majorEastAsia"/>
            <w:noProof/>
          </w:rPr>
          <w:t>Figure 11: Cumulative number of providers who said they started flu or MMR vaccinations vs when they received funding over time</w:t>
        </w:r>
        <w:r w:rsidR="000E3584">
          <w:rPr>
            <w:noProof/>
            <w:webHidden/>
          </w:rPr>
          <w:tab/>
        </w:r>
        <w:r w:rsidR="000E3584">
          <w:rPr>
            <w:noProof/>
            <w:webHidden/>
          </w:rPr>
          <w:fldChar w:fldCharType="begin"/>
        </w:r>
        <w:r w:rsidR="000E3584">
          <w:rPr>
            <w:noProof/>
            <w:webHidden/>
          </w:rPr>
          <w:instrText xml:space="preserve"> PAGEREF _Toc96341690 \h </w:instrText>
        </w:r>
        <w:r w:rsidR="000E3584">
          <w:rPr>
            <w:noProof/>
            <w:webHidden/>
          </w:rPr>
        </w:r>
        <w:r w:rsidR="000E3584">
          <w:rPr>
            <w:noProof/>
            <w:webHidden/>
          </w:rPr>
          <w:fldChar w:fldCharType="separate"/>
        </w:r>
        <w:r w:rsidR="000E3584">
          <w:rPr>
            <w:noProof/>
            <w:webHidden/>
          </w:rPr>
          <w:t>33</w:t>
        </w:r>
        <w:r w:rsidR="000E3584">
          <w:rPr>
            <w:noProof/>
            <w:webHidden/>
          </w:rPr>
          <w:fldChar w:fldCharType="end"/>
        </w:r>
      </w:hyperlink>
    </w:p>
    <w:p w14:paraId="5E28D921" w14:textId="716BB8CC" w:rsidR="000E3584" w:rsidRDefault="00455E15">
      <w:pPr>
        <w:pStyle w:val="TableofFigures"/>
        <w:tabs>
          <w:tab w:val="right" w:leader="dot" w:pos="9685"/>
        </w:tabs>
        <w:rPr>
          <w:rFonts w:eastAsiaTheme="minorEastAsia" w:cstheme="minorBidi"/>
          <w:noProof/>
          <w:sz w:val="22"/>
          <w:szCs w:val="22"/>
          <w:lang w:val="en-AU" w:eastAsia="en-AU"/>
        </w:rPr>
      </w:pPr>
      <w:hyperlink w:anchor="_Toc96341691" w:history="1">
        <w:r w:rsidR="000E3584" w:rsidRPr="00F60363">
          <w:rPr>
            <w:rStyle w:val="Hyperlink"/>
            <w:rFonts w:eastAsiaTheme="majorEastAsia"/>
            <w:noProof/>
          </w:rPr>
          <w:t>Figure 12: Types of practical support providers said they received from their DHBs</w:t>
        </w:r>
        <w:r w:rsidR="000E3584">
          <w:rPr>
            <w:noProof/>
            <w:webHidden/>
          </w:rPr>
          <w:tab/>
        </w:r>
        <w:r w:rsidR="000E3584">
          <w:rPr>
            <w:noProof/>
            <w:webHidden/>
          </w:rPr>
          <w:fldChar w:fldCharType="begin"/>
        </w:r>
        <w:r w:rsidR="000E3584">
          <w:rPr>
            <w:noProof/>
            <w:webHidden/>
          </w:rPr>
          <w:instrText xml:space="preserve"> PAGEREF _Toc96341691 \h </w:instrText>
        </w:r>
        <w:r w:rsidR="000E3584">
          <w:rPr>
            <w:noProof/>
            <w:webHidden/>
          </w:rPr>
        </w:r>
        <w:r w:rsidR="000E3584">
          <w:rPr>
            <w:noProof/>
            <w:webHidden/>
          </w:rPr>
          <w:fldChar w:fldCharType="separate"/>
        </w:r>
        <w:r w:rsidR="000E3584">
          <w:rPr>
            <w:noProof/>
            <w:webHidden/>
          </w:rPr>
          <w:t>34</w:t>
        </w:r>
        <w:r w:rsidR="000E3584">
          <w:rPr>
            <w:noProof/>
            <w:webHidden/>
          </w:rPr>
          <w:fldChar w:fldCharType="end"/>
        </w:r>
      </w:hyperlink>
    </w:p>
    <w:p w14:paraId="601EAE3D" w14:textId="6C242F1E" w:rsidR="000E3584" w:rsidRDefault="00455E15">
      <w:pPr>
        <w:pStyle w:val="TableofFigures"/>
        <w:tabs>
          <w:tab w:val="right" w:leader="dot" w:pos="9685"/>
        </w:tabs>
        <w:rPr>
          <w:rFonts w:eastAsiaTheme="minorEastAsia" w:cstheme="minorBidi"/>
          <w:noProof/>
          <w:sz w:val="22"/>
          <w:szCs w:val="22"/>
          <w:lang w:val="en-AU" w:eastAsia="en-AU"/>
        </w:rPr>
      </w:pPr>
      <w:hyperlink w:anchor="_Toc96341692" w:history="1">
        <w:r w:rsidR="000E3584" w:rsidRPr="00F60363">
          <w:rPr>
            <w:rStyle w:val="Hyperlink"/>
            <w:rFonts w:eastAsiaTheme="majorEastAsia"/>
            <w:noProof/>
          </w:rPr>
          <w:t>Figure 13: Providers’ perceptions of relationships with DHBs to a moderate or high degree</w:t>
        </w:r>
        <w:r w:rsidR="000E3584">
          <w:rPr>
            <w:noProof/>
            <w:webHidden/>
          </w:rPr>
          <w:tab/>
        </w:r>
        <w:r w:rsidR="000E3584">
          <w:rPr>
            <w:noProof/>
            <w:webHidden/>
          </w:rPr>
          <w:fldChar w:fldCharType="begin"/>
        </w:r>
        <w:r w:rsidR="000E3584">
          <w:rPr>
            <w:noProof/>
            <w:webHidden/>
          </w:rPr>
          <w:instrText xml:space="preserve"> PAGEREF _Toc96341692 \h </w:instrText>
        </w:r>
        <w:r w:rsidR="000E3584">
          <w:rPr>
            <w:noProof/>
            <w:webHidden/>
          </w:rPr>
        </w:r>
        <w:r w:rsidR="000E3584">
          <w:rPr>
            <w:noProof/>
            <w:webHidden/>
          </w:rPr>
          <w:fldChar w:fldCharType="separate"/>
        </w:r>
        <w:r w:rsidR="000E3584">
          <w:rPr>
            <w:noProof/>
            <w:webHidden/>
          </w:rPr>
          <w:t>35</w:t>
        </w:r>
        <w:r w:rsidR="000E3584">
          <w:rPr>
            <w:noProof/>
            <w:webHidden/>
          </w:rPr>
          <w:fldChar w:fldCharType="end"/>
        </w:r>
      </w:hyperlink>
    </w:p>
    <w:p w14:paraId="140F3F8B" w14:textId="332BFDFC" w:rsidR="000E3584" w:rsidRDefault="00455E15">
      <w:pPr>
        <w:pStyle w:val="TableofFigures"/>
        <w:tabs>
          <w:tab w:val="right" w:leader="dot" w:pos="9685"/>
        </w:tabs>
        <w:rPr>
          <w:rFonts w:eastAsiaTheme="minorEastAsia" w:cstheme="minorBidi"/>
          <w:noProof/>
          <w:sz w:val="22"/>
          <w:szCs w:val="22"/>
          <w:lang w:val="en-AU" w:eastAsia="en-AU"/>
        </w:rPr>
      </w:pPr>
      <w:hyperlink w:anchor="_Toc96341693" w:history="1">
        <w:r w:rsidR="000E3584" w:rsidRPr="00F60363">
          <w:rPr>
            <w:rStyle w:val="Hyperlink"/>
            <w:rFonts w:eastAsiaTheme="majorEastAsia"/>
            <w:noProof/>
          </w:rPr>
          <w:t>Figure 14: Providers’ perceptions of relationships with DHBs to a moderate or high degree</w:t>
        </w:r>
        <w:r w:rsidR="000E3584">
          <w:rPr>
            <w:noProof/>
            <w:webHidden/>
          </w:rPr>
          <w:tab/>
        </w:r>
        <w:r w:rsidR="000E3584">
          <w:rPr>
            <w:noProof/>
            <w:webHidden/>
          </w:rPr>
          <w:fldChar w:fldCharType="begin"/>
        </w:r>
        <w:r w:rsidR="000E3584">
          <w:rPr>
            <w:noProof/>
            <w:webHidden/>
          </w:rPr>
          <w:instrText xml:space="preserve"> PAGEREF _Toc96341693 \h </w:instrText>
        </w:r>
        <w:r w:rsidR="000E3584">
          <w:rPr>
            <w:noProof/>
            <w:webHidden/>
          </w:rPr>
        </w:r>
        <w:r w:rsidR="000E3584">
          <w:rPr>
            <w:noProof/>
            <w:webHidden/>
          </w:rPr>
          <w:fldChar w:fldCharType="separate"/>
        </w:r>
        <w:r w:rsidR="000E3584">
          <w:rPr>
            <w:noProof/>
            <w:webHidden/>
          </w:rPr>
          <w:t>36</w:t>
        </w:r>
        <w:r w:rsidR="000E3584">
          <w:rPr>
            <w:noProof/>
            <w:webHidden/>
          </w:rPr>
          <w:fldChar w:fldCharType="end"/>
        </w:r>
      </w:hyperlink>
    </w:p>
    <w:p w14:paraId="280561C2" w14:textId="5B6912DD" w:rsidR="000E3584" w:rsidRDefault="00455E15">
      <w:pPr>
        <w:pStyle w:val="TableofFigures"/>
        <w:tabs>
          <w:tab w:val="right" w:leader="dot" w:pos="9685"/>
        </w:tabs>
        <w:rPr>
          <w:rFonts w:eastAsiaTheme="minorEastAsia" w:cstheme="minorBidi"/>
          <w:noProof/>
          <w:sz w:val="22"/>
          <w:szCs w:val="22"/>
          <w:lang w:val="en-AU" w:eastAsia="en-AU"/>
        </w:rPr>
      </w:pPr>
      <w:hyperlink w:anchor="_Toc96341694" w:history="1">
        <w:r w:rsidR="000E3584" w:rsidRPr="00F60363">
          <w:rPr>
            <w:rStyle w:val="Hyperlink"/>
            <w:rFonts w:eastAsiaTheme="majorEastAsia"/>
            <w:noProof/>
          </w:rPr>
          <w:t>Figure 15: Response rate of providers to monitoring report surveys</w:t>
        </w:r>
        <w:r w:rsidR="000E3584">
          <w:rPr>
            <w:noProof/>
            <w:webHidden/>
          </w:rPr>
          <w:tab/>
        </w:r>
        <w:r w:rsidR="000E3584">
          <w:rPr>
            <w:noProof/>
            <w:webHidden/>
          </w:rPr>
          <w:fldChar w:fldCharType="begin"/>
        </w:r>
        <w:r w:rsidR="000E3584">
          <w:rPr>
            <w:noProof/>
            <w:webHidden/>
          </w:rPr>
          <w:instrText xml:space="preserve"> PAGEREF _Toc96341694 \h </w:instrText>
        </w:r>
        <w:r w:rsidR="000E3584">
          <w:rPr>
            <w:noProof/>
            <w:webHidden/>
          </w:rPr>
        </w:r>
        <w:r w:rsidR="000E3584">
          <w:rPr>
            <w:noProof/>
            <w:webHidden/>
          </w:rPr>
          <w:fldChar w:fldCharType="separate"/>
        </w:r>
        <w:r w:rsidR="000E3584">
          <w:rPr>
            <w:noProof/>
            <w:webHidden/>
          </w:rPr>
          <w:t>38</w:t>
        </w:r>
        <w:r w:rsidR="000E3584">
          <w:rPr>
            <w:noProof/>
            <w:webHidden/>
          </w:rPr>
          <w:fldChar w:fldCharType="end"/>
        </w:r>
      </w:hyperlink>
    </w:p>
    <w:p w14:paraId="71841409" w14:textId="6D91E37F" w:rsidR="000E3584" w:rsidRDefault="00455E15">
      <w:pPr>
        <w:pStyle w:val="TableofFigures"/>
        <w:tabs>
          <w:tab w:val="right" w:leader="dot" w:pos="9685"/>
        </w:tabs>
        <w:rPr>
          <w:rFonts w:eastAsiaTheme="minorEastAsia" w:cstheme="minorBidi"/>
          <w:noProof/>
          <w:sz w:val="22"/>
          <w:szCs w:val="22"/>
          <w:lang w:val="en-AU" w:eastAsia="en-AU"/>
        </w:rPr>
      </w:pPr>
      <w:hyperlink w:anchor="_Toc96341695" w:history="1">
        <w:r w:rsidR="000E3584" w:rsidRPr="00F60363">
          <w:rPr>
            <w:rStyle w:val="Hyperlink"/>
            <w:rFonts w:eastAsiaTheme="majorEastAsia"/>
            <w:noProof/>
          </w:rPr>
          <w:t>Figure 16: Split of funding per provider, assuming an even distribution between providers and DHBs take no share. Diamond annotation shows share of funding for DHB-funded providers assuming even split with DHBs</w:t>
        </w:r>
        <w:r w:rsidR="000E3584">
          <w:rPr>
            <w:noProof/>
            <w:webHidden/>
          </w:rPr>
          <w:tab/>
        </w:r>
        <w:r w:rsidR="000E3584">
          <w:rPr>
            <w:noProof/>
            <w:webHidden/>
          </w:rPr>
          <w:fldChar w:fldCharType="begin"/>
        </w:r>
        <w:r w:rsidR="000E3584">
          <w:rPr>
            <w:noProof/>
            <w:webHidden/>
          </w:rPr>
          <w:instrText xml:space="preserve"> PAGEREF _Toc96341695 \h </w:instrText>
        </w:r>
        <w:r w:rsidR="000E3584">
          <w:rPr>
            <w:noProof/>
            <w:webHidden/>
          </w:rPr>
        </w:r>
        <w:r w:rsidR="000E3584">
          <w:rPr>
            <w:noProof/>
            <w:webHidden/>
          </w:rPr>
          <w:fldChar w:fldCharType="separate"/>
        </w:r>
        <w:r w:rsidR="000E3584">
          <w:rPr>
            <w:noProof/>
            <w:webHidden/>
          </w:rPr>
          <w:t>38</w:t>
        </w:r>
        <w:r w:rsidR="000E3584">
          <w:rPr>
            <w:noProof/>
            <w:webHidden/>
          </w:rPr>
          <w:fldChar w:fldCharType="end"/>
        </w:r>
      </w:hyperlink>
    </w:p>
    <w:p w14:paraId="73017ED3" w14:textId="5693A20B" w:rsidR="000E3584" w:rsidRDefault="00455E15">
      <w:pPr>
        <w:pStyle w:val="TableofFigures"/>
        <w:tabs>
          <w:tab w:val="right" w:leader="dot" w:pos="9685"/>
        </w:tabs>
        <w:rPr>
          <w:rFonts w:eastAsiaTheme="minorEastAsia" w:cstheme="minorBidi"/>
          <w:noProof/>
          <w:sz w:val="22"/>
          <w:szCs w:val="22"/>
          <w:lang w:val="en-AU" w:eastAsia="en-AU"/>
        </w:rPr>
      </w:pPr>
      <w:hyperlink w:anchor="_Toc96341696" w:history="1">
        <w:r w:rsidR="000E3584" w:rsidRPr="00F60363">
          <w:rPr>
            <w:rStyle w:val="Hyperlink"/>
            <w:rFonts w:eastAsiaTheme="majorEastAsia"/>
            <w:noProof/>
          </w:rPr>
          <w:t>Figure 17: Visual depiction of the communications landscape of Māori Health Providers</w:t>
        </w:r>
        <w:r w:rsidR="000E3584">
          <w:rPr>
            <w:noProof/>
            <w:webHidden/>
          </w:rPr>
          <w:tab/>
        </w:r>
        <w:r w:rsidR="000E3584">
          <w:rPr>
            <w:noProof/>
            <w:webHidden/>
          </w:rPr>
          <w:fldChar w:fldCharType="begin"/>
        </w:r>
        <w:r w:rsidR="000E3584">
          <w:rPr>
            <w:noProof/>
            <w:webHidden/>
          </w:rPr>
          <w:instrText xml:space="preserve"> PAGEREF _Toc96341696 \h </w:instrText>
        </w:r>
        <w:r w:rsidR="000E3584">
          <w:rPr>
            <w:noProof/>
            <w:webHidden/>
          </w:rPr>
        </w:r>
        <w:r w:rsidR="000E3584">
          <w:rPr>
            <w:noProof/>
            <w:webHidden/>
          </w:rPr>
          <w:fldChar w:fldCharType="separate"/>
        </w:r>
        <w:r w:rsidR="000E3584">
          <w:rPr>
            <w:noProof/>
            <w:webHidden/>
          </w:rPr>
          <w:t>42</w:t>
        </w:r>
        <w:r w:rsidR="000E3584">
          <w:rPr>
            <w:noProof/>
            <w:webHidden/>
          </w:rPr>
          <w:fldChar w:fldCharType="end"/>
        </w:r>
      </w:hyperlink>
    </w:p>
    <w:p w14:paraId="1B6B51AD" w14:textId="47AC4EF9" w:rsidR="000E3584" w:rsidRDefault="00455E15">
      <w:pPr>
        <w:pStyle w:val="TableofFigures"/>
        <w:tabs>
          <w:tab w:val="right" w:leader="dot" w:pos="9685"/>
        </w:tabs>
        <w:rPr>
          <w:rFonts w:eastAsiaTheme="minorEastAsia" w:cstheme="minorBidi"/>
          <w:noProof/>
          <w:sz w:val="22"/>
          <w:szCs w:val="22"/>
          <w:lang w:val="en-AU" w:eastAsia="en-AU"/>
        </w:rPr>
      </w:pPr>
      <w:hyperlink w:anchor="_Toc96341697" w:history="1">
        <w:r w:rsidR="000E3584" w:rsidRPr="00F60363">
          <w:rPr>
            <w:rStyle w:val="Hyperlink"/>
            <w:rFonts w:eastAsiaTheme="majorEastAsia"/>
            <w:noProof/>
          </w:rPr>
          <w:t>Figure 18: Communication channels providers indicated they used to contact Māori</w:t>
        </w:r>
        <w:r w:rsidR="000E3584">
          <w:rPr>
            <w:noProof/>
            <w:webHidden/>
          </w:rPr>
          <w:tab/>
        </w:r>
        <w:r w:rsidR="000E3584">
          <w:rPr>
            <w:noProof/>
            <w:webHidden/>
          </w:rPr>
          <w:fldChar w:fldCharType="begin"/>
        </w:r>
        <w:r w:rsidR="000E3584">
          <w:rPr>
            <w:noProof/>
            <w:webHidden/>
          </w:rPr>
          <w:instrText xml:space="preserve"> PAGEREF _Toc96341697 \h </w:instrText>
        </w:r>
        <w:r w:rsidR="000E3584">
          <w:rPr>
            <w:noProof/>
            <w:webHidden/>
          </w:rPr>
        </w:r>
        <w:r w:rsidR="000E3584">
          <w:rPr>
            <w:noProof/>
            <w:webHidden/>
          </w:rPr>
          <w:fldChar w:fldCharType="separate"/>
        </w:r>
        <w:r w:rsidR="000E3584">
          <w:rPr>
            <w:noProof/>
            <w:webHidden/>
          </w:rPr>
          <w:t>43</w:t>
        </w:r>
        <w:r w:rsidR="000E3584">
          <w:rPr>
            <w:noProof/>
            <w:webHidden/>
          </w:rPr>
          <w:fldChar w:fldCharType="end"/>
        </w:r>
      </w:hyperlink>
    </w:p>
    <w:p w14:paraId="7F291869" w14:textId="26E9E884" w:rsidR="000E3584" w:rsidRDefault="00455E15">
      <w:pPr>
        <w:pStyle w:val="TableofFigures"/>
        <w:tabs>
          <w:tab w:val="right" w:leader="dot" w:pos="9685"/>
        </w:tabs>
        <w:rPr>
          <w:rFonts w:eastAsiaTheme="minorEastAsia" w:cstheme="minorBidi"/>
          <w:noProof/>
          <w:sz w:val="22"/>
          <w:szCs w:val="22"/>
          <w:lang w:val="en-AU" w:eastAsia="en-AU"/>
        </w:rPr>
      </w:pPr>
      <w:hyperlink w:anchor="_Toc96341698" w:history="1">
        <w:r w:rsidR="000E3584" w:rsidRPr="00F60363">
          <w:rPr>
            <w:rStyle w:val="Hyperlink"/>
            <w:rFonts w:eastAsiaTheme="majorEastAsia"/>
            <w:noProof/>
          </w:rPr>
          <w:t>Figure 19: Communication channels providers indicated they used to find Māori</w:t>
        </w:r>
        <w:r w:rsidR="000E3584">
          <w:rPr>
            <w:noProof/>
            <w:webHidden/>
          </w:rPr>
          <w:tab/>
        </w:r>
        <w:r w:rsidR="000E3584">
          <w:rPr>
            <w:noProof/>
            <w:webHidden/>
          </w:rPr>
          <w:fldChar w:fldCharType="begin"/>
        </w:r>
        <w:r w:rsidR="000E3584">
          <w:rPr>
            <w:noProof/>
            <w:webHidden/>
          </w:rPr>
          <w:instrText xml:space="preserve"> PAGEREF _Toc96341698 \h </w:instrText>
        </w:r>
        <w:r w:rsidR="000E3584">
          <w:rPr>
            <w:noProof/>
            <w:webHidden/>
          </w:rPr>
        </w:r>
        <w:r w:rsidR="000E3584">
          <w:rPr>
            <w:noProof/>
            <w:webHidden/>
          </w:rPr>
          <w:fldChar w:fldCharType="separate"/>
        </w:r>
        <w:r w:rsidR="000E3584">
          <w:rPr>
            <w:noProof/>
            <w:webHidden/>
          </w:rPr>
          <w:t>44</w:t>
        </w:r>
        <w:r w:rsidR="000E3584">
          <w:rPr>
            <w:noProof/>
            <w:webHidden/>
          </w:rPr>
          <w:fldChar w:fldCharType="end"/>
        </w:r>
      </w:hyperlink>
    </w:p>
    <w:p w14:paraId="669A67AF" w14:textId="47B2D9EF" w:rsidR="000E3584" w:rsidRDefault="00455E15">
      <w:pPr>
        <w:pStyle w:val="TableofFigures"/>
        <w:tabs>
          <w:tab w:val="right" w:leader="dot" w:pos="9685"/>
        </w:tabs>
        <w:rPr>
          <w:rFonts w:eastAsiaTheme="minorEastAsia" w:cstheme="minorBidi"/>
          <w:noProof/>
          <w:sz w:val="22"/>
          <w:szCs w:val="22"/>
          <w:lang w:val="en-AU" w:eastAsia="en-AU"/>
        </w:rPr>
      </w:pPr>
      <w:hyperlink w:anchor="_Toc96341699" w:history="1">
        <w:r w:rsidR="000E3584" w:rsidRPr="00F60363">
          <w:rPr>
            <w:rStyle w:val="Hyperlink"/>
            <w:rFonts w:eastAsiaTheme="majorEastAsia"/>
            <w:noProof/>
          </w:rPr>
          <w:t>Figure 20: Allocated MIMVP funding per region (across all contracts) in 2021 vs 2020</w:t>
        </w:r>
        <w:r w:rsidR="000E3584">
          <w:rPr>
            <w:noProof/>
            <w:webHidden/>
          </w:rPr>
          <w:tab/>
        </w:r>
        <w:r w:rsidR="000E3584">
          <w:rPr>
            <w:noProof/>
            <w:webHidden/>
          </w:rPr>
          <w:fldChar w:fldCharType="begin"/>
        </w:r>
        <w:r w:rsidR="000E3584">
          <w:rPr>
            <w:noProof/>
            <w:webHidden/>
          </w:rPr>
          <w:instrText xml:space="preserve"> PAGEREF _Toc96341699 \h </w:instrText>
        </w:r>
        <w:r w:rsidR="000E3584">
          <w:rPr>
            <w:noProof/>
            <w:webHidden/>
          </w:rPr>
        </w:r>
        <w:r w:rsidR="000E3584">
          <w:rPr>
            <w:noProof/>
            <w:webHidden/>
          </w:rPr>
          <w:fldChar w:fldCharType="separate"/>
        </w:r>
        <w:r w:rsidR="000E3584">
          <w:rPr>
            <w:noProof/>
            <w:webHidden/>
          </w:rPr>
          <w:t>48</w:t>
        </w:r>
        <w:r w:rsidR="000E3584">
          <w:rPr>
            <w:noProof/>
            <w:webHidden/>
          </w:rPr>
          <w:fldChar w:fldCharType="end"/>
        </w:r>
      </w:hyperlink>
    </w:p>
    <w:p w14:paraId="3FC51B7F" w14:textId="4C888202" w:rsidR="0086215D" w:rsidRPr="002E7B55" w:rsidRDefault="00426DEB" w:rsidP="005042D8">
      <w:r w:rsidRPr="002E7B55">
        <w:fldChar w:fldCharType="end"/>
      </w:r>
    </w:p>
    <w:p w14:paraId="5DED0BA9" w14:textId="77777777" w:rsidR="00426DEB" w:rsidRPr="002E7B55" w:rsidRDefault="00426DEB" w:rsidP="005042D8"/>
    <w:p w14:paraId="6078C033" w14:textId="77777777" w:rsidR="00670C40" w:rsidRPr="002E7B55" w:rsidRDefault="00670C40" w:rsidP="00625710">
      <w:pPr>
        <w:rPr>
          <w:rFonts w:eastAsiaTheme="majorEastAsia"/>
        </w:rPr>
        <w:sectPr w:rsidR="00670C40" w:rsidRPr="002E7B55" w:rsidSect="00F963BD">
          <w:headerReference w:type="even" r:id="rId9"/>
          <w:headerReference w:type="default" r:id="rId10"/>
          <w:footerReference w:type="even" r:id="rId11"/>
          <w:footerReference w:type="default" r:id="rId12"/>
          <w:headerReference w:type="first" r:id="rId13"/>
          <w:pgSz w:w="11906" w:h="16838"/>
          <w:pgMar w:top="1701" w:right="1077" w:bottom="1134" w:left="1134" w:header="567" w:footer="567" w:gutter="0"/>
          <w:cols w:space="708"/>
          <w:titlePg/>
          <w:docGrid w:linePitch="360"/>
        </w:sectPr>
      </w:pPr>
    </w:p>
    <w:p w14:paraId="572780A2" w14:textId="610BCCA9" w:rsidR="002B4F56" w:rsidRPr="002E7B55" w:rsidRDefault="70D53BCA" w:rsidP="00465201">
      <w:pPr>
        <w:pStyle w:val="Heading1"/>
      </w:pPr>
      <w:bookmarkStart w:id="1" w:name="_Toc96341665"/>
      <w:r w:rsidRPr="002E7B55">
        <w:lastRenderedPageBreak/>
        <w:t xml:space="preserve">Executive </w:t>
      </w:r>
      <w:r w:rsidR="00431AD7" w:rsidRPr="002E7B55">
        <w:t>s</w:t>
      </w:r>
      <w:r w:rsidRPr="002E7B55">
        <w:t>ummary</w:t>
      </w:r>
      <w:bookmarkEnd w:id="1"/>
    </w:p>
    <w:p w14:paraId="2244C294" w14:textId="77777777" w:rsidR="00B21A91" w:rsidRPr="002E7B55" w:rsidRDefault="00B21A91" w:rsidP="000E609A">
      <w:pPr>
        <w:pStyle w:val="Heading2"/>
      </w:pPr>
      <w:r w:rsidRPr="002E7B55">
        <w:t>Introduction</w:t>
      </w:r>
    </w:p>
    <w:p w14:paraId="047D4D07" w14:textId="57E64FAB" w:rsidR="00B21A91" w:rsidRPr="002E7B55" w:rsidRDefault="00B21A91" w:rsidP="004D500B">
      <w:r w:rsidRPr="002E7B55">
        <w:t xml:space="preserve">The Māori Influenza and Measles Vaccination Programme (MIMVP) is a Ministry of Health programme. MIMVP supports Māori service providers and District Health Boards (DHBs) to improve equity for Māori by increasing </w:t>
      </w:r>
      <w:r w:rsidR="00431AD7" w:rsidRPr="002E7B55">
        <w:t xml:space="preserve">their </w:t>
      </w:r>
      <w:r w:rsidRPr="002E7B55">
        <w:t xml:space="preserve">access to influenza (flu) and measles (MMR) vaccinations. The </w:t>
      </w:r>
      <w:r w:rsidR="00431AD7" w:rsidRPr="002E7B55">
        <w:t>P</w:t>
      </w:r>
      <w:r w:rsidRPr="002E7B55">
        <w:t xml:space="preserve">rogramme builds on the learning and insights from the </w:t>
      </w:r>
      <w:r w:rsidR="00DC27E7" w:rsidRPr="002E7B55">
        <w:t>2020 Māori Influenza Vaccination Programme (MIVP) evaluation</w:t>
      </w:r>
      <w:r w:rsidR="0029661C" w:rsidRPr="002E7B55">
        <w:t>.</w:t>
      </w:r>
      <w:r w:rsidRPr="002E7B55">
        <w:t xml:space="preserve"> </w:t>
      </w:r>
    </w:p>
    <w:p w14:paraId="799F285B" w14:textId="2CDBF3D7" w:rsidR="00B21A91" w:rsidRPr="002E7B55" w:rsidRDefault="00B21A91" w:rsidP="004D500B">
      <w:r w:rsidRPr="002E7B55">
        <w:t xml:space="preserve">The Ministry </w:t>
      </w:r>
      <w:r w:rsidR="00431AD7" w:rsidRPr="002E7B55">
        <w:t xml:space="preserve">of Health (the Ministry) </w:t>
      </w:r>
      <w:r w:rsidRPr="002E7B55">
        <w:t xml:space="preserve">allocated $7.86m (from a budget of $8.35m) for MIMVP and funded activities in all 20 DHB regions in 2021. </w:t>
      </w:r>
      <w:r w:rsidR="00431AD7" w:rsidRPr="002E7B55">
        <w:t xml:space="preserve">Overall, 51 providers took part in MIMVP. </w:t>
      </w:r>
      <w:r w:rsidRPr="002E7B55">
        <w:t>The Ministry contracted with 12 providers directly</w:t>
      </w:r>
      <w:r w:rsidR="00431AD7" w:rsidRPr="002E7B55">
        <w:t>,</w:t>
      </w:r>
      <w:r w:rsidRPr="002E7B55">
        <w:t xml:space="preserve"> (</w:t>
      </w:r>
      <w:r w:rsidR="00431AD7" w:rsidRPr="002E7B55">
        <w:t>known as “</w:t>
      </w:r>
      <w:r w:rsidRPr="002E7B55">
        <w:t>direct-funded providers</w:t>
      </w:r>
      <w:r w:rsidR="00431AD7" w:rsidRPr="002E7B55">
        <w:t>”</w:t>
      </w:r>
      <w:r w:rsidRPr="002E7B55">
        <w:t>) for a combined total of $2.40m</w:t>
      </w:r>
      <w:r w:rsidR="00431AD7" w:rsidRPr="002E7B55">
        <w:t>,</w:t>
      </w:r>
      <w:r w:rsidRPr="002E7B55">
        <w:t xml:space="preserve"> and 10 DHBs for $5.32m. </w:t>
      </w:r>
      <w:r w:rsidR="00DC27E7" w:rsidRPr="002E7B55">
        <w:t xml:space="preserve">The DHBs contracted </w:t>
      </w:r>
      <w:r w:rsidR="00431AD7" w:rsidRPr="002E7B55">
        <w:t>with</w:t>
      </w:r>
      <w:r w:rsidR="00DC27E7" w:rsidRPr="002E7B55">
        <w:t xml:space="preserve"> </w:t>
      </w:r>
      <w:r w:rsidRPr="002E7B55">
        <w:t xml:space="preserve">39 </w:t>
      </w:r>
      <w:r w:rsidR="00DC27E7" w:rsidRPr="002E7B55">
        <w:t>providers</w:t>
      </w:r>
      <w:r w:rsidR="00431AD7" w:rsidRPr="002E7B55">
        <w:t xml:space="preserve">, of which </w:t>
      </w:r>
      <w:r w:rsidR="00625710" w:rsidRPr="002E7B55">
        <w:t>36</w:t>
      </w:r>
      <w:r w:rsidRPr="002E7B55">
        <w:t xml:space="preserve"> were </w:t>
      </w:r>
      <w:r w:rsidR="00431AD7" w:rsidRPr="002E7B55">
        <w:t xml:space="preserve">independent </w:t>
      </w:r>
      <w:r w:rsidRPr="002E7B55">
        <w:t>Māori health providers</w:t>
      </w:r>
      <w:r w:rsidR="00DC27E7" w:rsidRPr="002E7B55">
        <w:t>,</w:t>
      </w:r>
      <w:r w:rsidRPr="002E7B55">
        <w:t xml:space="preserve"> and three</w:t>
      </w:r>
      <w:r w:rsidR="00431AD7" w:rsidRPr="002E7B55">
        <w:t xml:space="preserve"> were internal provider arms of</w:t>
      </w:r>
      <w:r w:rsidRPr="002E7B55">
        <w:t xml:space="preserve"> DHB</w:t>
      </w:r>
      <w:r w:rsidR="00431AD7" w:rsidRPr="002E7B55">
        <w:t xml:space="preserve">s. </w:t>
      </w:r>
    </w:p>
    <w:p w14:paraId="5D1FD2F3" w14:textId="79874CEA" w:rsidR="00F65258" w:rsidRPr="002E7B55" w:rsidRDefault="70D53BCA" w:rsidP="00F65258">
      <w:r w:rsidRPr="002E7B55">
        <w:t>Th</w:t>
      </w:r>
      <w:r w:rsidR="00431AD7" w:rsidRPr="002E7B55">
        <w:t>is</w:t>
      </w:r>
      <w:r w:rsidRPr="002E7B55">
        <w:t xml:space="preserve"> </w:t>
      </w:r>
      <w:r w:rsidR="00DC27E7" w:rsidRPr="002E7B55">
        <w:t>evaluation aimed</w:t>
      </w:r>
      <w:r w:rsidRPr="002E7B55">
        <w:t xml:space="preserve"> </w:t>
      </w:r>
      <w:proofErr w:type="gramStart"/>
      <w:r w:rsidRPr="002E7B55">
        <w:t>to</w:t>
      </w:r>
      <w:r w:rsidR="00431AD7" w:rsidRPr="002E7B55">
        <w:t>:</w:t>
      </w:r>
      <w:proofErr w:type="gramEnd"/>
      <w:r w:rsidRPr="002E7B55">
        <w:t xml:space="preserve"> assess the contribution of MIMVP to increasing Māori flu vaccination and equity rates, identify what worked and increase understanding of </w:t>
      </w:r>
      <w:r w:rsidRPr="002E7B55">
        <w:rPr>
          <w:i/>
          <w:iCs/>
        </w:rPr>
        <w:t xml:space="preserve">why </w:t>
      </w:r>
      <w:r w:rsidRPr="002E7B55">
        <w:t>things worked. Also of interest was whether the flu vaccination gains</w:t>
      </w:r>
      <w:r w:rsidR="00A3567A" w:rsidRPr="002E7B55">
        <w:t xml:space="preserve"> </w:t>
      </w:r>
      <w:r w:rsidRPr="002E7B55">
        <w:t xml:space="preserve">from MIVP 2020 could be sustained and </w:t>
      </w:r>
      <w:r w:rsidR="00431AD7" w:rsidRPr="002E7B55">
        <w:t xml:space="preserve">also </w:t>
      </w:r>
      <w:r w:rsidRPr="002E7B55">
        <w:t xml:space="preserve">whether other vaccinations could be leveraged off the back of delivering COVID-19 vaccines. The </w:t>
      </w:r>
      <w:r w:rsidR="00F87E23" w:rsidRPr="002E7B55">
        <w:t>back-to-back evaluations aimed</w:t>
      </w:r>
      <w:r w:rsidRPr="002E7B55">
        <w:t xml:space="preserve"> to embed what works and</w:t>
      </w:r>
      <w:r w:rsidR="0081467C" w:rsidRPr="002E7B55">
        <w:t xml:space="preserve"> what</w:t>
      </w:r>
      <w:r w:rsidRPr="002E7B55">
        <w:t xml:space="preserve"> </w:t>
      </w:r>
      <w:r w:rsidR="00F87E23" w:rsidRPr="002E7B55">
        <w:t>wa</w:t>
      </w:r>
      <w:r w:rsidRPr="002E7B55">
        <w:t>s needed to</w:t>
      </w:r>
      <w:r w:rsidR="00EF40CF" w:rsidRPr="002E7B55">
        <w:t xml:space="preserve"> both</w:t>
      </w:r>
      <w:r w:rsidRPr="002E7B55">
        <w:t xml:space="preserve"> support </w:t>
      </w:r>
      <w:r w:rsidR="00F87E23" w:rsidRPr="002E7B55">
        <w:t xml:space="preserve">practical </w:t>
      </w:r>
      <w:r w:rsidRPr="002E7B55">
        <w:t>vaccination approaches t</w:t>
      </w:r>
      <w:r w:rsidR="00431AD7" w:rsidRPr="002E7B55">
        <w:t>hat</w:t>
      </w:r>
      <w:r w:rsidRPr="002E7B55">
        <w:t xml:space="preserve"> achieve equity for Māori and</w:t>
      </w:r>
      <w:r w:rsidR="00EF40CF" w:rsidRPr="002E7B55">
        <w:t xml:space="preserve"> to</w:t>
      </w:r>
      <w:r w:rsidRPr="002E7B55">
        <w:t xml:space="preserve"> reiterate these insights for policymakers and health sector leaders.</w:t>
      </w:r>
      <w:r w:rsidR="00E67BE1" w:rsidRPr="002E7B55">
        <w:t xml:space="preserve"> </w:t>
      </w:r>
      <w:r w:rsidR="00F65258" w:rsidRPr="002E7B55">
        <w:t>The evaluation employed a mixed-methods, rapid</w:t>
      </w:r>
      <w:r w:rsidR="00EF40CF" w:rsidRPr="002E7B55">
        <w:t>-</w:t>
      </w:r>
      <w:r w:rsidR="00F65258" w:rsidRPr="002E7B55">
        <w:t>insight cycle approach</w:t>
      </w:r>
      <w:r w:rsidR="00E67BE1" w:rsidRPr="002E7B55">
        <w:t xml:space="preserve"> (for further evaluation methodology details, see page </w:t>
      </w:r>
      <w:r w:rsidR="00E67BE1" w:rsidRPr="002E7B55">
        <w:fldChar w:fldCharType="begin"/>
      </w:r>
      <w:r w:rsidR="00E67BE1" w:rsidRPr="002E7B55">
        <w:instrText xml:space="preserve"> PAGEREF _Ref95717960 \h </w:instrText>
      </w:r>
      <w:r w:rsidR="00E67BE1" w:rsidRPr="002E7B55">
        <w:fldChar w:fldCharType="separate"/>
      </w:r>
      <w:r w:rsidR="00E67BE1" w:rsidRPr="002E7B55">
        <w:t>56</w:t>
      </w:r>
      <w:r w:rsidR="00E67BE1" w:rsidRPr="002E7B55">
        <w:fldChar w:fldCharType="end"/>
      </w:r>
      <w:r w:rsidR="00E67BE1" w:rsidRPr="002E7B55">
        <w:t>)</w:t>
      </w:r>
      <w:r w:rsidR="00F65258" w:rsidRPr="002E7B55">
        <w:t xml:space="preserve">. </w:t>
      </w:r>
    </w:p>
    <w:p w14:paraId="066B7CC3" w14:textId="5A947523" w:rsidR="005D2394" w:rsidRPr="002E7B55" w:rsidRDefault="23D00F57" w:rsidP="005D2394">
      <w:pPr>
        <w:pStyle w:val="Heading2"/>
      </w:pPr>
      <w:r w:rsidRPr="002E7B55">
        <w:t>Overall finding</w:t>
      </w:r>
      <w:r w:rsidR="009D2139" w:rsidRPr="002E7B55">
        <w:t>s</w:t>
      </w:r>
    </w:p>
    <w:p w14:paraId="048B6BCA" w14:textId="25B0FFDD" w:rsidR="23D00F57" w:rsidRPr="002E7B55" w:rsidRDefault="23D00F57" w:rsidP="23D00F57">
      <w:r w:rsidRPr="002E7B55">
        <w:t>MIMVP made a valuable and worthwhile contribution to Māori health equity. While the overall flu vaccination rates and equity rates were lower than 2020, the rates achieved were</w:t>
      </w:r>
      <w:r w:rsidR="00EE3D1B" w:rsidRPr="002E7B55">
        <w:t xml:space="preserve"> still</w:t>
      </w:r>
      <w:r w:rsidRPr="002E7B55">
        <w:t xml:space="preserve"> a notable improvement </w:t>
      </w:r>
      <w:proofErr w:type="gramStart"/>
      <w:r w:rsidRPr="002E7B55">
        <w:t>on</w:t>
      </w:r>
      <w:proofErr w:type="gramEnd"/>
      <w:r w:rsidRPr="002E7B55">
        <w:t xml:space="preserve"> 2019 and previous years. </w:t>
      </w:r>
      <w:r w:rsidR="00DC27E7" w:rsidRPr="002E7B55">
        <w:t>In addition, providers</w:t>
      </w:r>
      <w:r w:rsidRPr="002E7B55">
        <w:t xml:space="preserve"> built on the learnings and capacity developed through MIVP 2020, applied these strategies to their </w:t>
      </w:r>
      <w:r w:rsidR="000E3132" w:rsidRPr="002E7B55">
        <w:t>COVID</w:t>
      </w:r>
      <w:r w:rsidRPr="002E7B55">
        <w:t xml:space="preserve">-19 </w:t>
      </w:r>
      <w:r w:rsidR="00D37179" w:rsidRPr="002E7B55">
        <w:t>activities as relevant</w:t>
      </w:r>
      <w:r w:rsidR="00EE3D1B" w:rsidRPr="002E7B55">
        <w:t>,</w:t>
      </w:r>
      <w:r w:rsidR="00755C01" w:rsidRPr="002E7B55">
        <w:t xml:space="preserve"> </w:t>
      </w:r>
      <w:r w:rsidRPr="002E7B55">
        <w:t xml:space="preserve">and new relationships and ways of working emerged. </w:t>
      </w:r>
    </w:p>
    <w:p w14:paraId="4F6A0C8C" w14:textId="7348D78F" w:rsidR="00FD6369" w:rsidRPr="002E7B55" w:rsidRDefault="23D00F57" w:rsidP="005042D8">
      <w:r w:rsidRPr="002E7B55">
        <w:t xml:space="preserve">MIMVP achieved these outcomes </w:t>
      </w:r>
      <w:r w:rsidR="00625710" w:rsidRPr="002E7B55">
        <w:t>despite</w:t>
      </w:r>
      <w:r w:rsidRPr="002E7B55">
        <w:t xml:space="preserve"> a complex hauora and vaccination landscape. </w:t>
      </w:r>
      <w:r w:rsidR="00807D76" w:rsidRPr="002E7B55">
        <w:t>For example, the</w:t>
      </w:r>
      <w:r w:rsidRPr="002E7B55">
        <w:t xml:space="preserve"> COVID-19 vaccination campaign was a priority for the Ministry, DHBs and the public, and vaccine hesitancy was a bigger challenge </w:t>
      </w:r>
      <w:r w:rsidR="00D37179" w:rsidRPr="002E7B55">
        <w:t>for all</w:t>
      </w:r>
      <w:r w:rsidR="00EE3D1B" w:rsidRPr="002E7B55">
        <w:t>, which</w:t>
      </w:r>
      <w:r w:rsidRPr="002E7B55">
        <w:t xml:space="preserve"> resulted in lower vaccination uptake. </w:t>
      </w:r>
      <w:r w:rsidR="00DC27E7" w:rsidRPr="002E7B55">
        <w:t>At times, providers found it difficult</w:t>
      </w:r>
      <w:r w:rsidRPr="002E7B55">
        <w:t xml:space="preserve"> to deliver a whānau-centred approach, including integrated immunisations. </w:t>
      </w:r>
    </w:p>
    <w:p w14:paraId="3375383E" w14:textId="75FC0EE7" w:rsidR="00DC4EEE" w:rsidRPr="002E7B55" w:rsidRDefault="00DC4EEE" w:rsidP="005042D8">
      <w:r w:rsidRPr="002E7B55">
        <w:t>The Ministry is responsible for delivering on health equity for Māori, and</w:t>
      </w:r>
      <w:r w:rsidR="00D37179" w:rsidRPr="002E7B55">
        <w:t xml:space="preserve"> this responsibility will extend</w:t>
      </w:r>
      <w:r w:rsidRPr="002E7B55">
        <w:t xml:space="preserve"> </w:t>
      </w:r>
      <w:r w:rsidR="00DC27E7" w:rsidRPr="002E7B55">
        <w:t>soon</w:t>
      </w:r>
      <w:r w:rsidRPr="002E7B55">
        <w:t xml:space="preserve"> </w:t>
      </w:r>
      <w:r w:rsidR="00D37179" w:rsidRPr="002E7B55">
        <w:t xml:space="preserve">to </w:t>
      </w:r>
      <w:r w:rsidR="00EE3D1B" w:rsidRPr="002E7B55">
        <w:t xml:space="preserve">the new organisations: </w:t>
      </w:r>
      <w:r w:rsidRPr="002E7B55">
        <w:t>Health NZ (HNZ)</w:t>
      </w:r>
      <w:r w:rsidR="00EE3D1B" w:rsidRPr="002E7B55">
        <w:t xml:space="preserve"> and</w:t>
      </w:r>
      <w:r w:rsidRPr="002E7B55">
        <w:t xml:space="preserve"> the </w:t>
      </w:r>
      <w:r w:rsidR="00D767EA" w:rsidRPr="002E7B55">
        <w:t>Māori</w:t>
      </w:r>
      <w:r w:rsidRPr="002E7B55">
        <w:t xml:space="preserve"> Health Authority (MHA)</w:t>
      </w:r>
      <w:r w:rsidR="00EE3D1B" w:rsidRPr="002E7B55">
        <w:t>,</w:t>
      </w:r>
      <w:r w:rsidRPr="002E7B55">
        <w:t xml:space="preserve"> a</w:t>
      </w:r>
      <w:r w:rsidR="00EE3D1B" w:rsidRPr="002E7B55">
        <w:t>s well as</w:t>
      </w:r>
      <w:r w:rsidRPr="002E7B55">
        <w:t xml:space="preserve"> other health stakeholders. MIMVP is a relatively small programme</w:t>
      </w:r>
      <w:r w:rsidR="00DC27E7" w:rsidRPr="002E7B55">
        <w:t xml:space="preserve"> that seeks to impact longstanding vaccination inequity, which the current health system has failed to deliver</w:t>
      </w:r>
      <w:r w:rsidRPr="002E7B55">
        <w:t xml:space="preserve">. All </w:t>
      </w:r>
      <w:r w:rsidR="00A11386" w:rsidRPr="002E7B55">
        <w:t>in</w:t>
      </w:r>
      <w:r w:rsidRPr="002E7B55">
        <w:t xml:space="preserve"> the health system </w:t>
      </w:r>
      <w:r w:rsidR="00A11386" w:rsidRPr="002E7B55">
        <w:t>share</w:t>
      </w:r>
      <w:r w:rsidRPr="002E7B55">
        <w:t xml:space="preserve"> responsib</w:t>
      </w:r>
      <w:r w:rsidR="00A11386" w:rsidRPr="002E7B55">
        <w:t>ility</w:t>
      </w:r>
      <w:r w:rsidRPr="002E7B55">
        <w:t xml:space="preserve"> for Māori vaccination outcomes and Māori health equity.</w:t>
      </w:r>
    </w:p>
    <w:p w14:paraId="51C370EE" w14:textId="75FAD974" w:rsidR="00DC4EEE" w:rsidRPr="002E7B55" w:rsidRDefault="00DC4EEE" w:rsidP="005042D8">
      <w:r w:rsidRPr="002E7B55">
        <w:t>The success of MIMVP is not just about flu and MMR vaccinations. MIMVP (and MIVP) have:</w:t>
      </w:r>
    </w:p>
    <w:p w14:paraId="594DD7A6" w14:textId="13CE6C42" w:rsidR="00DC4EEE" w:rsidRPr="002E7B55" w:rsidRDefault="00DC4EEE" w:rsidP="001F1051">
      <w:pPr>
        <w:pStyle w:val="Bullet"/>
      </w:pPr>
      <w:r w:rsidRPr="002E7B55">
        <w:t>elevated a whānau-centred, holistic approach as essential for Māori health equity</w:t>
      </w:r>
    </w:p>
    <w:p w14:paraId="130D3DA8" w14:textId="141D0B96" w:rsidR="00DC4EEE" w:rsidRPr="002E7B55" w:rsidRDefault="00DC4EEE" w:rsidP="001F1051">
      <w:pPr>
        <w:pStyle w:val="Bullet"/>
      </w:pPr>
      <w:r w:rsidRPr="002E7B55">
        <w:t>affirmed Māori health providers as crucial to engaging with Māori in the pursuit of equity</w:t>
      </w:r>
    </w:p>
    <w:p w14:paraId="2A451D13" w14:textId="52386A2B" w:rsidR="00DC4EEE" w:rsidRPr="002E7B55" w:rsidRDefault="00DC4EEE" w:rsidP="001F1051">
      <w:pPr>
        <w:pStyle w:val="Bullet"/>
      </w:pPr>
      <w:r w:rsidRPr="002E7B55">
        <w:t xml:space="preserve">highlighted Māori provider-led service design as critical within a whānau-centred approach </w:t>
      </w:r>
    </w:p>
    <w:p w14:paraId="1783D022" w14:textId="77777777" w:rsidR="00DC4EEE" w:rsidRPr="002E7B55" w:rsidRDefault="70D53BCA" w:rsidP="001F1051">
      <w:pPr>
        <w:pStyle w:val="Bullet"/>
      </w:pPr>
      <w:r w:rsidRPr="002E7B55">
        <w:t>identified the need for the Ministry, HNZ</w:t>
      </w:r>
      <w:r w:rsidR="00EE3D1B" w:rsidRPr="002E7B55">
        <w:t xml:space="preserve"> and</w:t>
      </w:r>
      <w:r w:rsidRPr="002E7B55">
        <w:t xml:space="preserve"> MHA to develop </w:t>
      </w:r>
      <w:r w:rsidR="00DC27E7" w:rsidRPr="002E7B55">
        <w:t xml:space="preserve">the </w:t>
      </w:r>
      <w:r w:rsidRPr="002E7B55">
        <w:t xml:space="preserve">capacity to </w:t>
      </w:r>
      <w:r w:rsidR="00DC27E7" w:rsidRPr="002E7B55">
        <w:t>engage, contract and fund Māori health providers directly</w:t>
      </w:r>
      <w:r w:rsidRPr="002E7B55">
        <w:t xml:space="preserve">. </w:t>
      </w:r>
    </w:p>
    <w:p w14:paraId="5D444707" w14:textId="42F4B341" w:rsidR="00B21A91" w:rsidRPr="002E7B55" w:rsidRDefault="0096399B" w:rsidP="000E609A">
      <w:pPr>
        <w:pStyle w:val="Heading2"/>
      </w:pPr>
      <w:r w:rsidRPr="002E7B55">
        <w:lastRenderedPageBreak/>
        <w:t>Māori</w:t>
      </w:r>
      <w:r w:rsidR="00B21A91" w:rsidRPr="002E7B55">
        <w:t xml:space="preserve"> 65+ </w:t>
      </w:r>
      <w:r w:rsidR="00807D76" w:rsidRPr="002E7B55">
        <w:t xml:space="preserve">vaccination </w:t>
      </w:r>
      <w:r w:rsidR="00B21A91" w:rsidRPr="002E7B55">
        <w:t xml:space="preserve">rates </w:t>
      </w:r>
      <w:r w:rsidR="00807D76" w:rsidRPr="002E7B55">
        <w:t>are</w:t>
      </w:r>
      <w:r w:rsidR="00B21A91" w:rsidRPr="002E7B55">
        <w:t xml:space="preserve"> lower in 2021 than 2020</w:t>
      </w:r>
      <w:r w:rsidR="009D3B2B" w:rsidRPr="002E7B55">
        <w:t>,</w:t>
      </w:r>
      <w:r w:rsidR="00B21A91" w:rsidRPr="002E7B55">
        <w:t xml:space="preserve"> and the equity gap is worse</w:t>
      </w:r>
    </w:p>
    <w:p w14:paraId="06D870A2" w14:textId="39561E97" w:rsidR="00B21A91" w:rsidRPr="002E7B55" w:rsidRDefault="00B21A91" w:rsidP="004D500B">
      <w:r w:rsidRPr="002E7B55">
        <w:t>Flu vaccination rates for Māori 65+ in 2021 (49.8</w:t>
      </w:r>
      <w:r w:rsidR="009D2139" w:rsidRPr="002E7B55">
        <w:t xml:space="preserve"> percent</w:t>
      </w:r>
      <w:r w:rsidRPr="002E7B55">
        <w:t xml:space="preserve">) </w:t>
      </w:r>
      <w:r w:rsidR="00635B8E" w:rsidRPr="002E7B55">
        <w:t>were</w:t>
      </w:r>
      <w:r w:rsidRPr="002E7B55">
        <w:t xml:space="preserve"> lower than the same </w:t>
      </w:r>
      <w:r w:rsidR="0081467C" w:rsidRPr="002E7B55">
        <w:t xml:space="preserve">period </w:t>
      </w:r>
      <w:r w:rsidRPr="002E7B55">
        <w:t>in 2020 (58.9</w:t>
      </w:r>
      <w:r w:rsidR="009D2139" w:rsidRPr="002E7B55">
        <w:t xml:space="preserve"> percent</w:t>
      </w:r>
      <w:r w:rsidRPr="002E7B55">
        <w:t xml:space="preserve">) but </w:t>
      </w:r>
      <w:r w:rsidR="009D3B2B" w:rsidRPr="002E7B55">
        <w:t xml:space="preserve">still </w:t>
      </w:r>
      <w:r w:rsidR="0081467C" w:rsidRPr="002E7B55">
        <w:t xml:space="preserve">showed </w:t>
      </w:r>
      <w:r w:rsidRPr="002E7B55">
        <w:t xml:space="preserve">a notable improvement </w:t>
      </w:r>
      <w:proofErr w:type="gramStart"/>
      <w:r w:rsidRPr="002E7B55">
        <w:t>on</w:t>
      </w:r>
      <w:proofErr w:type="gramEnd"/>
      <w:r w:rsidRPr="002E7B55">
        <w:t xml:space="preserve"> 2019 and previous years. </w:t>
      </w:r>
      <w:r w:rsidR="00635B8E" w:rsidRPr="002E7B55">
        <w:t>At the same time, f</w:t>
      </w:r>
      <w:r w:rsidRPr="002E7B55">
        <w:t>ewer non-Māori</w:t>
      </w:r>
      <w:r w:rsidR="009D3B2B" w:rsidRPr="002E7B55">
        <w:t>,</w:t>
      </w:r>
      <w:r w:rsidRPr="002E7B55">
        <w:t xml:space="preserve"> non-Pacific people 65+ received a flu vaccination in 2021 than in 2020, </w:t>
      </w:r>
      <w:r w:rsidR="00DC27E7" w:rsidRPr="002E7B55">
        <w:t>suggesting</w:t>
      </w:r>
      <w:r w:rsidRPr="002E7B55">
        <w:t xml:space="preserve"> the lower uptake of flu vaccinations in 2020 </w:t>
      </w:r>
      <w:r w:rsidR="00DC27E7" w:rsidRPr="002E7B55">
        <w:t>occurred across the population</w:t>
      </w:r>
      <w:r w:rsidR="009D3B2B" w:rsidRPr="002E7B55">
        <w:t xml:space="preserve"> and</w:t>
      </w:r>
      <w:r w:rsidR="00DC27E7" w:rsidRPr="002E7B55">
        <w:t xml:space="preserve"> not just among </w:t>
      </w:r>
      <w:r w:rsidR="00E97E68" w:rsidRPr="002E7B55">
        <w:t>Māori</w:t>
      </w:r>
      <w:r w:rsidRPr="002E7B55">
        <w:t xml:space="preserve">. </w:t>
      </w:r>
    </w:p>
    <w:p w14:paraId="76B7FDA1" w14:textId="282E947C" w:rsidR="003C658C" w:rsidRPr="002E7B55" w:rsidRDefault="00B21A91" w:rsidP="005042D8">
      <w:r w:rsidRPr="002E7B55">
        <w:t>The equity gap</w:t>
      </w:r>
      <w:r w:rsidR="0081467C" w:rsidRPr="002E7B55">
        <w:t xml:space="preserve"> </w:t>
      </w:r>
      <w:r w:rsidR="009D3B2B" w:rsidRPr="002E7B55">
        <w:t xml:space="preserve">for Māori is defined as </w:t>
      </w:r>
      <w:r w:rsidR="0081467C" w:rsidRPr="002E7B55">
        <w:t>the difference when compared with the non-Māori, non-Pacific vaccination rate for the same age group</w:t>
      </w:r>
      <w:r w:rsidR="009D3B2B" w:rsidRPr="002E7B55">
        <w:t>. The equity gap</w:t>
      </w:r>
      <w:r w:rsidR="0081467C" w:rsidRPr="002E7B55">
        <w:t xml:space="preserve"> </w:t>
      </w:r>
      <w:r w:rsidRPr="002E7B55">
        <w:t xml:space="preserve">for flu vaccination rates for Māori 65+ is worse in 2021 than in 2020. In Week 20, the equity gap was </w:t>
      </w:r>
      <w:r w:rsidR="009D3B2B" w:rsidRPr="002E7B55">
        <w:t xml:space="preserve">minus </w:t>
      </w:r>
      <w:r w:rsidRPr="002E7B55">
        <w:t xml:space="preserve">17.4 percentage points – the greatest at any time since 2018. The equity gap persists because while Māori vaccination rates have improved incrementally, they are not achieving parity with non-Māori. To improve equity for Māori, the Ministry needs a </w:t>
      </w:r>
      <w:r w:rsidR="009D3B2B" w:rsidRPr="002E7B55">
        <w:t xml:space="preserve">specific </w:t>
      </w:r>
      <w:r w:rsidRPr="002E7B55">
        <w:t>plan to vaccinate more Māori</w:t>
      </w:r>
      <w:r w:rsidR="00DC4EEE" w:rsidRPr="002E7B55">
        <w:t>.</w:t>
      </w:r>
      <w:r w:rsidRPr="002E7B55">
        <w:t xml:space="preserve"> </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9"/>
      </w:tblGrid>
      <w:tr w:rsidR="003C658C" w:rsidRPr="002E7B55" w14:paraId="58CB190F" w14:textId="77777777" w:rsidTr="00385CF8">
        <w:tc>
          <w:tcPr>
            <w:tcW w:w="9379" w:type="dxa"/>
            <w:shd w:val="clear" w:color="auto" w:fill="FBDCD9" w:themeFill="accent3" w:themeFillTint="33"/>
          </w:tcPr>
          <w:p w14:paraId="5D211262" w14:textId="3DEC5625" w:rsidR="003C658C" w:rsidRPr="002E7B55" w:rsidRDefault="003C658C" w:rsidP="00625710">
            <w:pPr>
              <w:pStyle w:val="Actionsheading"/>
              <w:rPr>
                <w:lang w:val="en-NZ"/>
              </w:rPr>
            </w:pPr>
            <w:r w:rsidRPr="002E7B55">
              <w:rPr>
                <w:lang w:val="en-NZ"/>
              </w:rPr>
              <w:t>Actions</w:t>
            </w:r>
          </w:p>
        </w:tc>
      </w:tr>
      <w:tr w:rsidR="003C658C" w:rsidRPr="002E7B55" w14:paraId="7F914365" w14:textId="77777777" w:rsidTr="00385CF8">
        <w:tc>
          <w:tcPr>
            <w:tcW w:w="9379" w:type="dxa"/>
            <w:shd w:val="clear" w:color="auto" w:fill="FBDCD9" w:themeFill="accent3" w:themeFillTint="33"/>
          </w:tcPr>
          <w:p w14:paraId="1A55FB92" w14:textId="0E57B70F" w:rsidR="003C658C" w:rsidRPr="002E7B55" w:rsidRDefault="003C658C" w:rsidP="00625710">
            <w:pPr>
              <w:pStyle w:val="Actionslist"/>
            </w:pPr>
            <w:r w:rsidRPr="002E7B55">
              <w:t>Set clear targets that provide a motivational goal everyone can work towards</w:t>
            </w:r>
          </w:p>
          <w:p w14:paraId="6FA0D652" w14:textId="7DCC5570" w:rsidR="003C658C" w:rsidRPr="002E7B55" w:rsidRDefault="003C658C" w:rsidP="00625710">
            <w:pPr>
              <w:pStyle w:val="Actionslist"/>
            </w:pPr>
            <w:r w:rsidRPr="002E7B55">
              <w:t xml:space="preserve">Resource providers </w:t>
            </w:r>
            <w:r w:rsidR="009D3B2B" w:rsidRPr="002E7B55">
              <w:t>as part of a contracting</w:t>
            </w:r>
            <w:r w:rsidRPr="002E7B55">
              <w:t xml:space="preserve"> environment that enables responsiveness and innovation</w:t>
            </w:r>
          </w:p>
          <w:p w14:paraId="028D3E07" w14:textId="3F795766" w:rsidR="003C658C" w:rsidRPr="002E7B55" w:rsidRDefault="009D3B2B" w:rsidP="00755C01">
            <w:pPr>
              <w:pStyle w:val="Actionslist"/>
            </w:pPr>
            <w:r w:rsidRPr="002E7B55">
              <w:t>Openly t</w:t>
            </w:r>
            <w:r w:rsidR="003C658C" w:rsidRPr="002E7B55">
              <w:t>rack progress publicly to increase accountability</w:t>
            </w:r>
            <w:r w:rsidR="00B64DBF" w:rsidRPr="002E7B55">
              <w:t>.</w:t>
            </w:r>
            <w:r w:rsidR="00EC1527" w:rsidRPr="002E7B55">
              <w:t xml:space="preserve"> </w:t>
            </w:r>
          </w:p>
        </w:tc>
      </w:tr>
    </w:tbl>
    <w:p w14:paraId="34A51135" w14:textId="7CB2508A" w:rsidR="00B21A91" w:rsidRPr="002E7B55" w:rsidRDefault="00D767EA" w:rsidP="000E609A">
      <w:pPr>
        <w:pStyle w:val="Heading2"/>
      </w:pPr>
      <w:proofErr w:type="spellStart"/>
      <w:r w:rsidRPr="002E7B55">
        <w:t>Ngā</w:t>
      </w:r>
      <w:proofErr w:type="spellEnd"/>
      <w:r w:rsidRPr="002E7B55">
        <w:t xml:space="preserve"> </w:t>
      </w:r>
      <w:proofErr w:type="spellStart"/>
      <w:r w:rsidRPr="002E7B55">
        <w:t>p</w:t>
      </w:r>
      <w:r w:rsidR="00B21A91" w:rsidRPr="002E7B55">
        <w:t>ou</w:t>
      </w:r>
      <w:proofErr w:type="spellEnd"/>
      <w:r w:rsidR="00397007" w:rsidRPr="002E7B55">
        <w:t>: a framing for equitable commissioning</w:t>
      </w:r>
    </w:p>
    <w:p w14:paraId="37EF5DCB" w14:textId="35545FDE" w:rsidR="007E68A7" w:rsidRPr="002E7B55" w:rsidRDefault="007E68A7" w:rsidP="007E68A7">
      <w:r w:rsidRPr="002E7B55">
        <w:t xml:space="preserve">Under Te Tiriti o Waitangi, the Ministry </w:t>
      </w:r>
      <w:r w:rsidR="00E97E68" w:rsidRPr="002E7B55">
        <w:t>i</w:t>
      </w:r>
      <w:r w:rsidRPr="002E7B55">
        <w:t>s the kaitiaki and steward of the health and disability system</w:t>
      </w:r>
      <w:r w:rsidR="00DC27E7" w:rsidRPr="002E7B55">
        <w:t>. The Ministry</w:t>
      </w:r>
      <w:r w:rsidRPr="002E7B55">
        <w:t xml:space="preserve"> has the responsibility to enable Māori to exercise authority over their health and well</w:t>
      </w:r>
      <w:r w:rsidR="00F87E23" w:rsidRPr="002E7B55">
        <w:t>being and achieve equitable health outcomes to allow them to live, thrive</w:t>
      </w:r>
      <w:r w:rsidRPr="002E7B55">
        <w:t xml:space="preserve"> and flourish</w:t>
      </w:r>
      <w:sdt>
        <w:sdtPr>
          <w:id w:val="1340815750"/>
          <w:citation/>
        </w:sdtPr>
        <w:sdtEndPr/>
        <w:sdtContent>
          <w:r w:rsidR="00AF00BB" w:rsidRPr="002E7B55">
            <w:fldChar w:fldCharType="begin"/>
          </w:r>
          <w:r w:rsidR="00AF00BB" w:rsidRPr="002E7B55">
            <w:instrText xml:space="preserve"> CITATION Min20 \l 1153 </w:instrText>
          </w:r>
          <w:r w:rsidR="00AF00BB" w:rsidRPr="002E7B55">
            <w:fldChar w:fldCharType="separate"/>
          </w:r>
          <w:r w:rsidR="00025361" w:rsidRPr="002E7B55">
            <w:t xml:space="preserve"> (1)</w:t>
          </w:r>
          <w:r w:rsidR="00AF00BB" w:rsidRPr="002E7B55">
            <w:fldChar w:fldCharType="end"/>
          </w:r>
        </w:sdtContent>
      </w:sdt>
      <w:r w:rsidR="00D335F8" w:rsidRPr="002E7B55">
        <w:t>.</w:t>
      </w:r>
      <w:r w:rsidRPr="002E7B55">
        <w:t xml:space="preserve"> </w:t>
      </w:r>
    </w:p>
    <w:p w14:paraId="016BE23C" w14:textId="2371E272" w:rsidR="002C5C61" w:rsidRPr="002E7B55" w:rsidRDefault="007E68A7" w:rsidP="002D3FAC">
      <w:pPr>
        <w:rPr>
          <w:rFonts w:ascii="Arial Nova Light" w:hAnsi="Arial Nova Light"/>
          <w:szCs w:val="20"/>
        </w:rPr>
      </w:pPr>
      <w:r w:rsidRPr="002E7B55">
        <w:t xml:space="preserve">As the primary health policy-making agency, the Ministry </w:t>
      </w:r>
      <w:r w:rsidR="00DC27E7" w:rsidRPr="002E7B55">
        <w:t>is responsible for designing and commissioning health programmes and services</w:t>
      </w:r>
      <w:r w:rsidRPr="002E7B55">
        <w:t xml:space="preserve"> that result in equitable outcomes.</w:t>
      </w:r>
      <w:r w:rsidRPr="002E7B55">
        <w:rPr>
          <w:rFonts w:ascii="Arial Nova Light" w:hAnsi="Arial Nova Light"/>
          <w:szCs w:val="20"/>
        </w:rPr>
        <w:t xml:space="preserve"> MIMVP has </w:t>
      </w:r>
      <w:r w:rsidR="00DC27E7" w:rsidRPr="002E7B55">
        <w:rPr>
          <w:rFonts w:ascii="Arial Nova Light" w:hAnsi="Arial Nova Light"/>
          <w:szCs w:val="20"/>
        </w:rPr>
        <w:t>proven</w:t>
      </w:r>
      <w:r w:rsidRPr="002E7B55">
        <w:rPr>
          <w:rFonts w:ascii="Arial Nova Light" w:hAnsi="Arial Nova Light"/>
          <w:szCs w:val="20"/>
        </w:rPr>
        <w:t xml:space="preserve">, as did MIVP in 2020, the benefits for Māori of targeted programmes and funding that enable providers </w:t>
      </w:r>
      <w:r w:rsidR="00DC4EEE" w:rsidRPr="002E7B55">
        <w:rPr>
          <w:rFonts w:ascii="Arial Nova Light" w:hAnsi="Arial Nova Light"/>
          <w:szCs w:val="20"/>
        </w:rPr>
        <w:t xml:space="preserve">to </w:t>
      </w:r>
      <w:r w:rsidRPr="002E7B55">
        <w:rPr>
          <w:rFonts w:ascii="Arial Nova Light" w:hAnsi="Arial Nova Light"/>
          <w:szCs w:val="20"/>
        </w:rPr>
        <w:t xml:space="preserve">deliver services in ways that work better for Māori. </w:t>
      </w:r>
      <w:r w:rsidR="00DC27E7" w:rsidRPr="002E7B55">
        <w:rPr>
          <w:rFonts w:ascii="Arial Nova Light" w:hAnsi="Arial Nova Light"/>
          <w:szCs w:val="20"/>
        </w:rPr>
        <w:t>However, there remains a gap</w:t>
      </w:r>
      <w:r w:rsidR="00DC4EEE" w:rsidRPr="002E7B55">
        <w:rPr>
          <w:rFonts w:ascii="Arial Nova Light" w:hAnsi="Arial Nova Light"/>
          <w:szCs w:val="20"/>
        </w:rPr>
        <w:t xml:space="preserve"> </w:t>
      </w:r>
      <w:r w:rsidRPr="002E7B55">
        <w:rPr>
          <w:rFonts w:ascii="Arial Nova Light" w:hAnsi="Arial Nova Light"/>
          <w:szCs w:val="20"/>
        </w:rPr>
        <w:t xml:space="preserve">between MIMVP </w:t>
      </w:r>
      <w:r w:rsidR="00DC27E7" w:rsidRPr="002E7B55">
        <w:rPr>
          <w:rFonts w:ascii="Arial Nova Light" w:hAnsi="Arial Nova Light"/>
          <w:szCs w:val="20"/>
        </w:rPr>
        <w:t>intentions</w:t>
      </w:r>
      <w:r w:rsidRPr="002E7B55">
        <w:rPr>
          <w:rFonts w:ascii="Arial Nova Light" w:hAnsi="Arial Nova Light"/>
          <w:szCs w:val="20"/>
        </w:rPr>
        <w:t xml:space="preserve"> and the anticipated outcomes. An important </w:t>
      </w:r>
      <w:r w:rsidR="00DC27E7" w:rsidRPr="002E7B55">
        <w:rPr>
          <w:rFonts w:ascii="Arial Nova Light" w:hAnsi="Arial Nova Light"/>
          <w:szCs w:val="20"/>
        </w:rPr>
        <w:t xml:space="preserve">element </w:t>
      </w:r>
      <w:r w:rsidRPr="002E7B55">
        <w:rPr>
          <w:rFonts w:ascii="Arial Nova Light" w:hAnsi="Arial Nova Light"/>
          <w:szCs w:val="20"/>
        </w:rPr>
        <w:t>within the Ministry’s control is the design and commissioning of MIMVP</w:t>
      </w:r>
      <w:r w:rsidR="006A7D3D" w:rsidRPr="002E7B55">
        <w:rPr>
          <w:rFonts w:ascii="Arial Nova Light" w:hAnsi="Arial Nova Light"/>
          <w:szCs w:val="20"/>
        </w:rPr>
        <w:t>.</w:t>
      </w:r>
      <w:r w:rsidRPr="002E7B55">
        <w:rPr>
          <w:rFonts w:ascii="Arial Nova Light" w:hAnsi="Arial Nova Light"/>
          <w:szCs w:val="20"/>
        </w:rPr>
        <w:t xml:space="preserve"> </w:t>
      </w:r>
    </w:p>
    <w:p w14:paraId="00E6A3AA" w14:textId="03666E4E" w:rsidR="00FD6369" w:rsidRPr="002E7B55" w:rsidRDefault="00397007" w:rsidP="002D3FAC">
      <w:pPr>
        <w:rPr>
          <w:rFonts w:ascii="Arial Nova Light" w:hAnsi="Arial Nova Light"/>
          <w:szCs w:val="20"/>
        </w:rPr>
      </w:pPr>
      <w:r w:rsidRPr="002E7B55">
        <w:t xml:space="preserve">Overall, the </w:t>
      </w:r>
      <w:r w:rsidR="009F48B3" w:rsidRPr="002E7B55">
        <w:t xml:space="preserve">main difference the Ministry can </w:t>
      </w:r>
      <w:r w:rsidR="00915F19" w:rsidRPr="002E7B55">
        <w:t>m</w:t>
      </w:r>
      <w:r w:rsidR="009F48B3" w:rsidRPr="002E7B55">
        <w:t xml:space="preserve">ake to influence Māori health </w:t>
      </w:r>
      <w:r w:rsidRPr="002E7B55">
        <w:t xml:space="preserve">equity </w:t>
      </w:r>
      <w:r w:rsidR="009F48B3" w:rsidRPr="002E7B55">
        <w:t>positivel</w:t>
      </w:r>
      <w:r w:rsidRPr="002E7B55">
        <w:t>y is improv</w:t>
      </w:r>
      <w:r w:rsidR="009D3B2B" w:rsidRPr="002E7B55">
        <w:t>ing</w:t>
      </w:r>
      <w:r w:rsidRPr="002E7B55">
        <w:t xml:space="preserve"> commissioning</w:t>
      </w:r>
      <w:r w:rsidR="002D3FAC" w:rsidRPr="002E7B55">
        <w:t xml:space="preserve"> with </w:t>
      </w:r>
      <w:r w:rsidR="0031278A" w:rsidRPr="002E7B55">
        <w:rPr>
          <w:rFonts w:ascii="Arial Nova Light" w:hAnsi="Arial Nova Light"/>
          <w:szCs w:val="20"/>
        </w:rPr>
        <w:t xml:space="preserve">a focus on both the </w:t>
      </w:r>
      <w:r w:rsidR="00DC27E7" w:rsidRPr="002E7B55">
        <w:rPr>
          <w:rFonts w:ascii="Arial Nova Light" w:hAnsi="Arial Nova Light"/>
          <w:szCs w:val="20"/>
        </w:rPr>
        <w:t>programme's design</w:t>
      </w:r>
      <w:r w:rsidR="0031278A" w:rsidRPr="002E7B55">
        <w:rPr>
          <w:rFonts w:ascii="Arial Nova Light" w:hAnsi="Arial Nova Light"/>
          <w:szCs w:val="20"/>
        </w:rPr>
        <w:t xml:space="preserve"> – what it funds</w:t>
      </w:r>
      <w:r w:rsidR="006A7D3D" w:rsidRPr="002E7B55">
        <w:rPr>
          <w:rFonts w:ascii="Arial Nova Light" w:hAnsi="Arial Nova Light"/>
          <w:szCs w:val="20"/>
        </w:rPr>
        <w:t xml:space="preserve">, </w:t>
      </w:r>
      <w:r w:rsidR="0031278A" w:rsidRPr="002E7B55">
        <w:rPr>
          <w:rFonts w:ascii="Arial Nova Light" w:hAnsi="Arial Nova Light"/>
          <w:szCs w:val="20"/>
        </w:rPr>
        <w:t>how</w:t>
      </w:r>
      <w:r w:rsidR="006A7D3D" w:rsidRPr="002E7B55">
        <w:rPr>
          <w:rFonts w:ascii="Arial Nova Light" w:hAnsi="Arial Nova Light"/>
          <w:szCs w:val="20"/>
        </w:rPr>
        <w:t>, and how much</w:t>
      </w:r>
      <w:r w:rsidR="0031278A" w:rsidRPr="002E7B55">
        <w:rPr>
          <w:rFonts w:ascii="Arial Nova Light" w:hAnsi="Arial Nova Light"/>
          <w:szCs w:val="20"/>
        </w:rPr>
        <w:t xml:space="preserve"> – and the broader context in which the programme operates. </w:t>
      </w:r>
      <w:r w:rsidR="002D3FAC" w:rsidRPr="002E7B55">
        <w:rPr>
          <w:rFonts w:ascii="Arial Nova Light" w:hAnsi="Arial Nova Light"/>
          <w:szCs w:val="20"/>
        </w:rPr>
        <w:t xml:space="preserve">Based on the emergent patterns and insights and </w:t>
      </w:r>
      <w:r w:rsidR="0031278A" w:rsidRPr="002E7B55">
        <w:rPr>
          <w:rFonts w:ascii="Arial Nova Light" w:hAnsi="Arial Nova Light"/>
          <w:szCs w:val="20"/>
        </w:rPr>
        <w:t>principles of better commissioning</w:t>
      </w:r>
      <w:r w:rsidR="00DC4EEE" w:rsidRPr="002E7B55">
        <w:rPr>
          <w:rFonts w:ascii="Arial Nova Light" w:hAnsi="Arial Nova Light"/>
          <w:szCs w:val="20"/>
        </w:rPr>
        <w:t xml:space="preserve"> </w:t>
      </w:r>
      <w:r w:rsidR="006A7D3D" w:rsidRPr="002E7B55">
        <w:rPr>
          <w:rFonts w:ascii="Arial Nova Light" w:hAnsi="Arial Nova Light"/>
          <w:szCs w:val="20"/>
        </w:rPr>
        <w:t xml:space="preserve">developed by </w:t>
      </w:r>
      <w:proofErr w:type="spellStart"/>
      <w:r w:rsidR="006A7D3D" w:rsidRPr="002E7B55">
        <w:rPr>
          <w:rFonts w:ascii="Arial Nova Light" w:hAnsi="Arial Nova Light"/>
          <w:szCs w:val="20"/>
        </w:rPr>
        <w:t>Riboldi</w:t>
      </w:r>
      <w:proofErr w:type="spellEnd"/>
      <w:r w:rsidR="006A7D3D" w:rsidRPr="002E7B55">
        <w:rPr>
          <w:rFonts w:ascii="Arial Nova Light" w:hAnsi="Arial Nova Light"/>
          <w:szCs w:val="20"/>
        </w:rPr>
        <w:t xml:space="preserve"> and colleagues</w:t>
      </w:r>
      <w:sdt>
        <w:sdtPr>
          <w:rPr>
            <w:rFonts w:ascii="Arial Nova Light" w:hAnsi="Arial Nova Light"/>
            <w:szCs w:val="20"/>
          </w:rPr>
          <w:id w:val="-1612738130"/>
          <w:citation/>
        </w:sdtPr>
        <w:sdtEndPr/>
        <w:sdtContent>
          <w:r w:rsidR="00AF00BB" w:rsidRPr="002E7B55">
            <w:rPr>
              <w:rFonts w:ascii="Arial Nova Light" w:hAnsi="Arial Nova Light"/>
              <w:szCs w:val="20"/>
            </w:rPr>
            <w:fldChar w:fldCharType="begin"/>
          </w:r>
          <w:r w:rsidR="00AF00BB" w:rsidRPr="002E7B55">
            <w:rPr>
              <w:rFonts w:ascii="Arial Nova Light" w:hAnsi="Arial Nova Light"/>
              <w:szCs w:val="20"/>
            </w:rPr>
            <w:instrText xml:space="preserve"> CITATION Rib21 \l 1153 </w:instrText>
          </w:r>
          <w:r w:rsidR="00AF00BB" w:rsidRPr="002E7B55">
            <w:rPr>
              <w:rFonts w:ascii="Arial Nova Light" w:hAnsi="Arial Nova Light"/>
              <w:szCs w:val="20"/>
            </w:rPr>
            <w:fldChar w:fldCharType="separate"/>
          </w:r>
          <w:r w:rsidR="00025361" w:rsidRPr="002E7B55">
            <w:rPr>
              <w:rFonts w:ascii="Arial Nova Light" w:hAnsi="Arial Nova Light"/>
              <w:szCs w:val="20"/>
            </w:rPr>
            <w:t xml:space="preserve"> (2)</w:t>
          </w:r>
          <w:r w:rsidR="00AF00BB" w:rsidRPr="002E7B55">
            <w:rPr>
              <w:rFonts w:ascii="Arial Nova Light" w:hAnsi="Arial Nova Light"/>
              <w:szCs w:val="20"/>
            </w:rPr>
            <w:fldChar w:fldCharType="end"/>
          </w:r>
        </w:sdtContent>
      </w:sdt>
      <w:r w:rsidR="002D3FAC" w:rsidRPr="002E7B55">
        <w:rPr>
          <w:rFonts w:ascii="Arial Nova Light" w:hAnsi="Arial Nova Light"/>
          <w:szCs w:val="20"/>
        </w:rPr>
        <w:t xml:space="preserve">, the evaluators’ </w:t>
      </w:r>
      <w:r w:rsidR="00F87E23" w:rsidRPr="002E7B55">
        <w:rPr>
          <w:rFonts w:ascii="Arial Nova Light" w:hAnsi="Arial Nova Light"/>
          <w:szCs w:val="20"/>
        </w:rPr>
        <w:t xml:space="preserve">framing or </w:t>
      </w:r>
      <w:r w:rsidR="009D3B2B" w:rsidRPr="002E7B55">
        <w:rPr>
          <w:rFonts w:ascii="Arial Nova Light" w:hAnsi="Arial Nova Light"/>
          <w:szCs w:val="20"/>
        </w:rPr>
        <w:t>“</w:t>
      </w:r>
      <w:proofErr w:type="spellStart"/>
      <w:r w:rsidR="00F87E23" w:rsidRPr="002E7B55">
        <w:rPr>
          <w:rFonts w:ascii="Arial Nova Light" w:hAnsi="Arial Nova Light"/>
          <w:szCs w:val="20"/>
        </w:rPr>
        <w:t>pou</w:t>
      </w:r>
      <w:proofErr w:type="spellEnd"/>
      <w:r w:rsidR="00F87E23" w:rsidRPr="002E7B55">
        <w:rPr>
          <w:rFonts w:ascii="Arial Nova Light" w:hAnsi="Arial Nova Light"/>
          <w:szCs w:val="20"/>
        </w:rPr>
        <w:t xml:space="preserve"> of equitable commissioning</w:t>
      </w:r>
      <w:r w:rsidR="009D3B2B" w:rsidRPr="002E7B55">
        <w:rPr>
          <w:rFonts w:ascii="Arial Nova Light" w:hAnsi="Arial Nova Light"/>
          <w:szCs w:val="20"/>
        </w:rPr>
        <w:t>”</w:t>
      </w:r>
      <w:r w:rsidR="00F87E23" w:rsidRPr="002E7B55">
        <w:rPr>
          <w:rFonts w:ascii="Arial Nova Light" w:hAnsi="Arial Nova Light"/>
          <w:szCs w:val="20"/>
        </w:rPr>
        <w:t xml:space="preserve"> explores the design, outcomes</w:t>
      </w:r>
      <w:r w:rsidR="00E97E68" w:rsidRPr="002E7B55">
        <w:rPr>
          <w:rFonts w:ascii="Arial Nova Light" w:hAnsi="Arial Nova Light"/>
          <w:szCs w:val="20"/>
        </w:rPr>
        <w:t>,</w:t>
      </w:r>
      <w:r w:rsidR="00006450" w:rsidRPr="002E7B55">
        <w:rPr>
          <w:rFonts w:ascii="Arial Nova Light" w:hAnsi="Arial Nova Light"/>
          <w:szCs w:val="20"/>
        </w:rPr>
        <w:t xml:space="preserve"> and future opportunities </w:t>
      </w:r>
      <w:r w:rsidR="00655472" w:rsidRPr="002E7B55">
        <w:rPr>
          <w:rFonts w:ascii="Arial Nova Light" w:hAnsi="Arial Nova Light"/>
          <w:szCs w:val="20"/>
        </w:rPr>
        <w:t>for</w:t>
      </w:r>
      <w:r w:rsidR="00006450" w:rsidRPr="002E7B55">
        <w:rPr>
          <w:rFonts w:ascii="Arial Nova Light" w:hAnsi="Arial Nova Light"/>
          <w:szCs w:val="20"/>
        </w:rPr>
        <w:t xml:space="preserve"> MIMVP. </w:t>
      </w:r>
      <w:r w:rsidR="00FD6369" w:rsidRPr="002E7B55">
        <w:rPr>
          <w:rFonts w:ascii="Arial Nova Light" w:hAnsi="Arial Nova Light"/>
          <w:szCs w:val="20"/>
        </w:rPr>
        <w:t xml:space="preserve">The </w:t>
      </w:r>
      <w:r w:rsidR="00517C7C" w:rsidRPr="002E7B55">
        <w:rPr>
          <w:rFonts w:ascii="Arial Nova Light" w:hAnsi="Arial Nova Light"/>
          <w:szCs w:val="20"/>
        </w:rPr>
        <w:t xml:space="preserve">main </w:t>
      </w:r>
      <w:r w:rsidR="00FD6369" w:rsidRPr="002E7B55">
        <w:rPr>
          <w:rFonts w:ascii="Arial Nova Light" w:hAnsi="Arial Nova Light"/>
          <w:szCs w:val="20"/>
        </w:rPr>
        <w:t xml:space="preserve">evaluation findings are presented through the core elements of the </w:t>
      </w:r>
      <w:proofErr w:type="spellStart"/>
      <w:r w:rsidR="00FD6369" w:rsidRPr="002E7B55">
        <w:rPr>
          <w:rFonts w:ascii="Arial Nova Light" w:hAnsi="Arial Nova Light"/>
          <w:szCs w:val="20"/>
        </w:rPr>
        <w:t>pou</w:t>
      </w:r>
      <w:proofErr w:type="spellEnd"/>
      <w:r w:rsidR="006A7D3D" w:rsidRPr="002E7B55">
        <w:rPr>
          <w:rFonts w:ascii="Arial Nova Light" w:hAnsi="Arial Nova Light"/>
          <w:szCs w:val="20"/>
        </w:rPr>
        <w:t>:</w:t>
      </w:r>
      <w:r w:rsidR="00FD6369" w:rsidRPr="002E7B55">
        <w:rPr>
          <w:rFonts w:ascii="Arial Nova Light" w:hAnsi="Arial Nova Light"/>
          <w:szCs w:val="20"/>
        </w:rPr>
        <w:t xml:space="preserve"> </w:t>
      </w:r>
      <w:proofErr w:type="spellStart"/>
      <w:r w:rsidR="00FD6369" w:rsidRPr="002E7B55">
        <w:t>whānau</w:t>
      </w:r>
      <w:proofErr w:type="spellEnd"/>
      <w:r w:rsidR="00FD6369" w:rsidRPr="002E7B55">
        <w:t>-centred approach</w:t>
      </w:r>
      <w:r w:rsidR="009D3B2B" w:rsidRPr="002E7B55">
        <w:t>;</w:t>
      </w:r>
      <w:r w:rsidR="00FD6369" w:rsidRPr="002E7B55">
        <w:t xml:space="preserve"> </w:t>
      </w:r>
      <w:r w:rsidR="00517C7C" w:rsidRPr="002E7B55">
        <w:t xml:space="preserve">commissioning, </w:t>
      </w:r>
      <w:r w:rsidR="00495973" w:rsidRPr="002E7B55">
        <w:t>contracting,</w:t>
      </w:r>
      <w:r w:rsidR="00517C7C" w:rsidRPr="002E7B55">
        <w:t xml:space="preserve"> and funding</w:t>
      </w:r>
      <w:r w:rsidR="009D3B2B" w:rsidRPr="002E7B55">
        <w:t>;</w:t>
      </w:r>
      <w:r w:rsidR="00517C7C" w:rsidRPr="002E7B55">
        <w:t xml:space="preserve"> </w:t>
      </w:r>
      <w:r w:rsidR="00FD6369" w:rsidRPr="002E7B55">
        <w:t xml:space="preserve">and communications and learning. </w:t>
      </w:r>
    </w:p>
    <w:p w14:paraId="3501E023" w14:textId="77777777" w:rsidR="0044366D" w:rsidRDefault="0044366D">
      <w:pPr>
        <w:spacing w:before="0" w:after="160" w:line="259" w:lineRule="auto"/>
        <w:rPr>
          <w:rFonts w:asciiTheme="majorHAnsi" w:eastAsiaTheme="majorEastAsia" w:hAnsiTheme="majorHAnsi" w:cstheme="majorBidi"/>
          <w:color w:val="125459" w:themeColor="accent1" w:themeShade="BF"/>
          <w:sz w:val="26"/>
          <w:szCs w:val="33"/>
        </w:rPr>
      </w:pPr>
      <w:r>
        <w:br w:type="page"/>
      </w:r>
    </w:p>
    <w:p w14:paraId="3B5E02AF" w14:textId="3396A342" w:rsidR="00FD6369" w:rsidRPr="002E7B55" w:rsidRDefault="00FD6369" w:rsidP="00FD6369">
      <w:pPr>
        <w:pStyle w:val="Heading2"/>
      </w:pPr>
      <w:r w:rsidRPr="002E7B55">
        <w:lastRenderedPageBreak/>
        <w:t>Whānau-centred approach</w:t>
      </w:r>
    </w:p>
    <w:p w14:paraId="2AC4E0A2" w14:textId="77777777" w:rsidR="008F4CF9" w:rsidRPr="002E7B55" w:rsidRDefault="00CA3228" w:rsidP="008F4CF9">
      <w:pPr>
        <w:pStyle w:val="ListParagraph"/>
        <w:rPr>
          <w:lang w:val="en-NZ"/>
        </w:rPr>
      </w:pPr>
      <w:r w:rsidRPr="002E7B55">
        <w:rPr>
          <w:rFonts w:eastAsia="Arial Nova Light"/>
          <w:lang w:val="en-NZ"/>
        </w:rPr>
        <w:t>Whānau access to services is critical.</w:t>
      </w:r>
      <w:r w:rsidR="008F4CF9" w:rsidRPr="002E7B55">
        <w:rPr>
          <w:rFonts w:eastAsia="Arial Nova Light"/>
          <w:lang w:val="en-NZ"/>
        </w:rPr>
        <w:t xml:space="preserve"> </w:t>
      </w:r>
    </w:p>
    <w:p w14:paraId="4284FD2D" w14:textId="22E7DACD" w:rsidR="00305C78" w:rsidRPr="002E7B55" w:rsidRDefault="00305C78" w:rsidP="008F4CF9">
      <w:pPr>
        <w:pStyle w:val="ListParagraph"/>
        <w:rPr>
          <w:lang w:val="en-NZ"/>
        </w:rPr>
      </w:pPr>
      <w:r w:rsidRPr="002E7B55">
        <w:rPr>
          <w:rFonts w:eastAsia="Arial Nova Light"/>
          <w:lang w:val="en-NZ"/>
        </w:rPr>
        <w:t>A whānau-centred approach is an essential equity strategy</w:t>
      </w:r>
      <w:r w:rsidR="00DC691E" w:rsidRPr="002E7B55">
        <w:rPr>
          <w:rFonts w:eastAsia="Arial Nova Light"/>
          <w:lang w:val="en-NZ"/>
        </w:rPr>
        <w:t xml:space="preserve"> to improve </w:t>
      </w:r>
      <w:r w:rsidRPr="002E7B55">
        <w:rPr>
          <w:rFonts w:eastAsia="Arial Nova Light"/>
          <w:lang w:val="en-NZ"/>
        </w:rPr>
        <w:t xml:space="preserve">Māori access to vaccination </w:t>
      </w:r>
    </w:p>
    <w:p w14:paraId="02F17640" w14:textId="19CE3DEC" w:rsidR="00305C78" w:rsidRPr="002E7B55" w:rsidRDefault="00305C78" w:rsidP="00305C78">
      <w:pPr>
        <w:pStyle w:val="ListParagraph"/>
        <w:rPr>
          <w:rFonts w:eastAsia="Arial Nova Light"/>
          <w:lang w:val="en-NZ"/>
        </w:rPr>
      </w:pPr>
      <w:r w:rsidRPr="002E7B55">
        <w:rPr>
          <w:rFonts w:eastAsia="Arial Nova Light"/>
          <w:lang w:val="en-NZ"/>
        </w:rPr>
        <w:t>Māori providers are pivotal to the design and delivery of whānau-centred services</w:t>
      </w:r>
      <w:r w:rsidR="00B64DBF" w:rsidRPr="002E7B55">
        <w:rPr>
          <w:rFonts w:eastAsia="Arial Nova Light"/>
          <w:lang w:val="en-NZ"/>
        </w:rPr>
        <w:t>.</w:t>
      </w:r>
    </w:p>
    <w:p w14:paraId="045232FF" w14:textId="5CA7AF57" w:rsidR="00305C78" w:rsidRPr="002E7B55" w:rsidRDefault="00305C78" w:rsidP="00305C78">
      <w:pPr>
        <w:pStyle w:val="ListParagraph"/>
        <w:rPr>
          <w:rFonts w:eastAsia="Arial Nova Light"/>
          <w:lang w:val="en-NZ"/>
        </w:rPr>
      </w:pPr>
      <w:r w:rsidRPr="002E7B55">
        <w:rPr>
          <w:rFonts w:eastAsia="Arial Nova Light"/>
          <w:lang w:val="en-NZ"/>
        </w:rPr>
        <w:t>Māori providers deliver a holistic, wrap</w:t>
      </w:r>
      <w:r w:rsidR="00DA26B6" w:rsidRPr="002E7B55">
        <w:rPr>
          <w:rFonts w:eastAsia="Arial Nova Light"/>
          <w:lang w:val="en-NZ"/>
        </w:rPr>
        <w:t>-</w:t>
      </w:r>
      <w:r w:rsidRPr="002E7B55">
        <w:rPr>
          <w:rFonts w:eastAsia="Arial Nova Light"/>
          <w:lang w:val="en-NZ"/>
        </w:rPr>
        <w:t xml:space="preserve">around, culturally anchored service. </w:t>
      </w:r>
    </w:p>
    <w:p w14:paraId="607B0786" w14:textId="08E6F66F" w:rsidR="00305C78" w:rsidRPr="002E7B55" w:rsidRDefault="00305C78" w:rsidP="00305C78">
      <w:pPr>
        <w:pStyle w:val="ListParagraph"/>
        <w:rPr>
          <w:rFonts w:eastAsia="Arial Nova Light"/>
          <w:lang w:val="en-NZ"/>
        </w:rPr>
      </w:pPr>
      <w:r w:rsidRPr="002E7B55">
        <w:rPr>
          <w:rFonts w:eastAsia="Arial Nova Light"/>
          <w:lang w:val="en-NZ"/>
        </w:rPr>
        <w:t>Māori providers do more than just vaccinate</w:t>
      </w:r>
      <w:r w:rsidR="00DA26B6" w:rsidRPr="002E7B55">
        <w:rPr>
          <w:rFonts w:eastAsia="Arial Nova Light"/>
          <w:lang w:val="en-NZ"/>
        </w:rPr>
        <w:t>; t</w:t>
      </w:r>
      <w:r w:rsidRPr="002E7B55">
        <w:rPr>
          <w:rFonts w:eastAsia="Arial Nova Light"/>
          <w:lang w:val="en-NZ"/>
        </w:rPr>
        <w:t>hey respond to whānau needs</w:t>
      </w:r>
      <w:r w:rsidR="00DA26B6" w:rsidRPr="002E7B55">
        <w:rPr>
          <w:rFonts w:eastAsia="Arial Nova Light"/>
          <w:lang w:val="en-NZ"/>
        </w:rPr>
        <w:t>. This may include</w:t>
      </w:r>
      <w:r w:rsidR="009F48B3" w:rsidRPr="002E7B55">
        <w:rPr>
          <w:rFonts w:eastAsia="Arial Nova Light"/>
          <w:lang w:val="en-NZ"/>
        </w:rPr>
        <w:t xml:space="preserve"> provid</w:t>
      </w:r>
      <w:r w:rsidR="00DA26B6" w:rsidRPr="002E7B55">
        <w:rPr>
          <w:rFonts w:eastAsia="Arial Nova Light"/>
          <w:lang w:val="en-NZ"/>
        </w:rPr>
        <w:t>ing</w:t>
      </w:r>
      <w:r w:rsidR="009F48B3" w:rsidRPr="002E7B55">
        <w:rPr>
          <w:rFonts w:eastAsia="Arial Nova Light"/>
          <w:lang w:val="en-NZ"/>
        </w:rPr>
        <w:t xml:space="preserve"> food parcels, hygiene packs, and</w:t>
      </w:r>
      <w:r w:rsidRPr="002E7B55">
        <w:rPr>
          <w:rFonts w:eastAsia="Arial Nova Light"/>
          <w:lang w:val="en-NZ"/>
        </w:rPr>
        <w:t xml:space="preserve"> other support and healthcare services.</w:t>
      </w:r>
    </w:p>
    <w:p w14:paraId="6ADC9AED" w14:textId="201A03A2" w:rsidR="00305C78" w:rsidRPr="002E7B55" w:rsidRDefault="00305C78" w:rsidP="00305C78">
      <w:pPr>
        <w:pStyle w:val="ListParagraph"/>
        <w:rPr>
          <w:rFonts w:eastAsia="Arial Nova Light"/>
          <w:lang w:val="en-NZ"/>
        </w:rPr>
      </w:pPr>
      <w:r w:rsidRPr="002E7B55">
        <w:rPr>
          <w:rFonts w:eastAsia="Arial Nova Light"/>
          <w:lang w:val="en-NZ"/>
        </w:rPr>
        <w:t xml:space="preserve">Māori providers collaborate with a range of partners to deliver </w:t>
      </w:r>
      <w:r w:rsidR="00DA26B6" w:rsidRPr="002E7B55">
        <w:rPr>
          <w:rFonts w:eastAsia="Arial Nova Light"/>
          <w:lang w:val="en-NZ"/>
        </w:rPr>
        <w:t xml:space="preserve">these </w:t>
      </w:r>
      <w:r w:rsidRPr="002E7B55">
        <w:rPr>
          <w:rFonts w:eastAsia="Arial Nova Light"/>
          <w:lang w:val="en-NZ"/>
        </w:rPr>
        <w:t>whānau-centred services.</w:t>
      </w:r>
    </w:p>
    <w:p w14:paraId="777349FC" w14:textId="76DEDB35" w:rsidR="00FD6369" w:rsidRPr="002E7B55" w:rsidRDefault="70D53BCA" w:rsidP="004D7B33">
      <w:pPr>
        <w:pStyle w:val="ListParagraph"/>
        <w:rPr>
          <w:lang w:val="en-NZ"/>
        </w:rPr>
      </w:pPr>
      <w:r w:rsidRPr="002E7B55">
        <w:rPr>
          <w:rFonts w:eastAsia="Arial Nova Light"/>
          <w:lang w:val="en-NZ"/>
        </w:rPr>
        <w:t xml:space="preserve">Māori </w:t>
      </w:r>
      <w:r w:rsidR="009F48B3" w:rsidRPr="002E7B55">
        <w:rPr>
          <w:rFonts w:eastAsia="Arial Nova Light"/>
          <w:lang w:val="en-NZ"/>
        </w:rPr>
        <w:t>p</w:t>
      </w:r>
      <w:r w:rsidRPr="002E7B55">
        <w:rPr>
          <w:rFonts w:eastAsia="Arial Nova Light"/>
          <w:lang w:val="en-NZ"/>
        </w:rPr>
        <w:t>roviders take services to whānau, bring whānau to the service, and reduce barriers to access.</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9"/>
      </w:tblGrid>
      <w:tr w:rsidR="00FD6369" w:rsidRPr="002E7B55" w14:paraId="5EDC8EC6" w14:textId="77777777" w:rsidTr="0081467C">
        <w:tc>
          <w:tcPr>
            <w:tcW w:w="9379" w:type="dxa"/>
            <w:shd w:val="clear" w:color="auto" w:fill="FBDCD9" w:themeFill="accent3" w:themeFillTint="33"/>
          </w:tcPr>
          <w:p w14:paraId="1CEA2D67" w14:textId="77777777" w:rsidR="00FD6369" w:rsidRPr="002E7B55" w:rsidRDefault="00FD6369" w:rsidP="004D7B33">
            <w:pPr>
              <w:pStyle w:val="Actionsheading"/>
              <w:rPr>
                <w:lang w:val="en-NZ"/>
              </w:rPr>
            </w:pPr>
            <w:r w:rsidRPr="002E7B55">
              <w:rPr>
                <w:lang w:val="en-NZ"/>
              </w:rPr>
              <w:t>Actions</w:t>
            </w:r>
          </w:p>
        </w:tc>
      </w:tr>
      <w:tr w:rsidR="00FD6369" w:rsidRPr="002E7B55" w14:paraId="166B5889" w14:textId="77777777" w:rsidTr="0081467C">
        <w:tc>
          <w:tcPr>
            <w:tcW w:w="9379" w:type="dxa"/>
            <w:shd w:val="clear" w:color="auto" w:fill="FBDCD9" w:themeFill="accent3" w:themeFillTint="33"/>
          </w:tcPr>
          <w:p w14:paraId="4E5E3146" w14:textId="2762DDB8" w:rsidR="00FD6369" w:rsidRPr="002E7B55" w:rsidRDefault="00FD6369" w:rsidP="004D7B33">
            <w:pPr>
              <w:pStyle w:val="Actionslist"/>
            </w:pPr>
            <w:r w:rsidRPr="002E7B55">
              <w:t>Prioritise a whānau-centred approach to accelerate equity for Māori</w:t>
            </w:r>
            <w:r w:rsidR="00B64DBF" w:rsidRPr="002E7B55">
              <w:t>.</w:t>
            </w:r>
          </w:p>
          <w:p w14:paraId="0E952120" w14:textId="0047F264" w:rsidR="00FD6369" w:rsidRPr="002E7B55" w:rsidRDefault="00FD6369" w:rsidP="004D7B33">
            <w:pPr>
              <w:pStyle w:val="Actionslist"/>
            </w:pPr>
            <w:r w:rsidRPr="002E7B55">
              <w:t>Contract and resource providers for the full scope of whānau-centred approaches</w:t>
            </w:r>
            <w:r w:rsidR="00B64DBF" w:rsidRPr="002E7B55">
              <w:t>.</w:t>
            </w:r>
          </w:p>
          <w:p w14:paraId="0A24822C" w14:textId="581ED4A3" w:rsidR="00FD6369" w:rsidRPr="002E7B55" w:rsidRDefault="00FD6369" w:rsidP="004D7B33">
            <w:pPr>
              <w:pStyle w:val="Actionslist"/>
            </w:pPr>
            <w:r w:rsidRPr="002E7B55">
              <w:t>E</w:t>
            </w:r>
            <w:r w:rsidR="009F48B3" w:rsidRPr="002E7B55">
              <w:t>mbed</w:t>
            </w:r>
            <w:r w:rsidRPr="002E7B55">
              <w:t xml:space="preserve"> a </w:t>
            </w:r>
            <w:r w:rsidR="00D97DEA" w:rsidRPr="002E7B55">
              <w:t>whānau</w:t>
            </w:r>
            <w:r w:rsidRPr="002E7B55">
              <w:t xml:space="preserve">-centred </w:t>
            </w:r>
            <w:r w:rsidR="00FD001C" w:rsidRPr="002E7B55">
              <w:t>approach</w:t>
            </w:r>
            <w:r w:rsidR="00305C78" w:rsidRPr="002E7B55">
              <w:t xml:space="preserve"> </w:t>
            </w:r>
            <w:r w:rsidRPr="002E7B55">
              <w:t>across the new integrated immunisation programme</w:t>
            </w:r>
          </w:p>
          <w:p w14:paraId="39C6B06F" w14:textId="60085B2E" w:rsidR="00FD6369" w:rsidRPr="002E7B55" w:rsidRDefault="00FD6369" w:rsidP="004D7B33">
            <w:pPr>
              <w:pStyle w:val="Actionslist"/>
            </w:pPr>
            <w:r w:rsidRPr="002E7B55">
              <w:t xml:space="preserve">Change </w:t>
            </w:r>
            <w:r w:rsidR="009F48B3" w:rsidRPr="002E7B55">
              <w:t xml:space="preserve">health </w:t>
            </w:r>
            <w:r w:rsidRPr="002E7B55">
              <w:t>policy to enable providers to take a whānau-centred approach</w:t>
            </w:r>
            <w:r w:rsidR="00B64DBF" w:rsidRPr="002E7B55">
              <w:t>.</w:t>
            </w:r>
          </w:p>
        </w:tc>
      </w:tr>
    </w:tbl>
    <w:p w14:paraId="4659DA3A" w14:textId="27FE78FE" w:rsidR="00FD6369" w:rsidRPr="002E7B55" w:rsidRDefault="00517C7C" w:rsidP="00FD6369">
      <w:pPr>
        <w:pStyle w:val="Heading2"/>
      </w:pPr>
      <w:r w:rsidRPr="002E7B55">
        <w:t xml:space="preserve">Commissioning, </w:t>
      </w:r>
      <w:proofErr w:type="gramStart"/>
      <w:r w:rsidR="00D767EA" w:rsidRPr="002E7B55">
        <w:t>contracting</w:t>
      </w:r>
      <w:proofErr w:type="gramEnd"/>
      <w:r w:rsidRPr="002E7B55">
        <w:t xml:space="preserve"> and funding</w:t>
      </w:r>
    </w:p>
    <w:p w14:paraId="5D9A9A8F" w14:textId="59CAD348" w:rsidR="00517C7C" w:rsidRPr="002E7B55" w:rsidRDefault="00517C7C" w:rsidP="00517C7C">
      <w:pPr>
        <w:pStyle w:val="ListParagraph"/>
        <w:rPr>
          <w:lang w:val="en-NZ"/>
        </w:rPr>
      </w:pPr>
      <w:r w:rsidRPr="002E7B55">
        <w:rPr>
          <w:lang w:val="en-NZ"/>
        </w:rPr>
        <w:t xml:space="preserve">MIMVP planning started earlier in 2021 than </w:t>
      </w:r>
      <w:r w:rsidR="00DA26B6" w:rsidRPr="002E7B55">
        <w:rPr>
          <w:lang w:val="en-NZ"/>
        </w:rPr>
        <w:t>it had the previous year. However,</w:t>
      </w:r>
      <w:r w:rsidRPr="002E7B55">
        <w:rPr>
          <w:lang w:val="en-NZ"/>
        </w:rPr>
        <w:t xml:space="preserve"> it was still not early enough for providers</w:t>
      </w:r>
      <w:r w:rsidR="00DA26B6" w:rsidRPr="002E7B55">
        <w:rPr>
          <w:lang w:val="en-NZ"/>
        </w:rPr>
        <w:t xml:space="preserve"> to plan for</w:t>
      </w:r>
      <w:r w:rsidRPr="002E7B55">
        <w:rPr>
          <w:lang w:val="en-NZ"/>
        </w:rPr>
        <w:t xml:space="preserve"> MIMVP and organisational purposes, particularly workforce requirements.</w:t>
      </w:r>
    </w:p>
    <w:p w14:paraId="4AD6DE8B" w14:textId="250F9EB1" w:rsidR="00517C7C" w:rsidRPr="002E7B55" w:rsidRDefault="00517C7C" w:rsidP="00517C7C">
      <w:pPr>
        <w:pStyle w:val="ListParagraph"/>
        <w:rPr>
          <w:lang w:val="en-NZ"/>
        </w:rPr>
      </w:pPr>
      <w:r w:rsidRPr="002E7B55">
        <w:rPr>
          <w:lang w:val="en-NZ"/>
        </w:rPr>
        <w:t>The Ministry favoured contracting through DHBs</w:t>
      </w:r>
      <w:r w:rsidR="00DA26B6" w:rsidRPr="002E7B55">
        <w:rPr>
          <w:lang w:val="en-NZ"/>
        </w:rPr>
        <w:t>,</w:t>
      </w:r>
      <w:r w:rsidRPr="002E7B55">
        <w:rPr>
          <w:lang w:val="en-NZ"/>
        </w:rPr>
        <w:t xml:space="preserve"> despite Māori providers’ clear preference in 2020 </w:t>
      </w:r>
      <w:r w:rsidR="00305C78" w:rsidRPr="002E7B55">
        <w:rPr>
          <w:lang w:val="en-NZ"/>
        </w:rPr>
        <w:t xml:space="preserve">(and in </w:t>
      </w:r>
      <w:r w:rsidRPr="002E7B55">
        <w:rPr>
          <w:lang w:val="en-NZ"/>
        </w:rPr>
        <w:t>2021)</w:t>
      </w:r>
      <w:r w:rsidR="006A7D3D" w:rsidRPr="002E7B55">
        <w:rPr>
          <w:lang w:val="en-NZ"/>
        </w:rPr>
        <w:t xml:space="preserve"> </w:t>
      </w:r>
      <w:r w:rsidR="00305C78" w:rsidRPr="002E7B55">
        <w:rPr>
          <w:lang w:val="en-NZ"/>
        </w:rPr>
        <w:t xml:space="preserve">to be direct-funded by </w:t>
      </w:r>
      <w:r w:rsidRPr="002E7B55">
        <w:rPr>
          <w:lang w:val="en-NZ"/>
        </w:rPr>
        <w:t>the Ministry.</w:t>
      </w:r>
    </w:p>
    <w:p w14:paraId="0F284E79" w14:textId="546D942D" w:rsidR="00517C7C" w:rsidRPr="002E7B55" w:rsidRDefault="00517C7C" w:rsidP="007159FF">
      <w:pPr>
        <w:pStyle w:val="ListParagraph"/>
        <w:rPr>
          <w:lang w:val="en-NZ"/>
        </w:rPr>
      </w:pPr>
      <w:r w:rsidRPr="002E7B55">
        <w:rPr>
          <w:lang w:val="en-NZ"/>
        </w:rPr>
        <w:t xml:space="preserve">The Ministry got funding out to </w:t>
      </w:r>
      <w:r w:rsidR="00DA26B6" w:rsidRPr="002E7B55">
        <w:rPr>
          <w:lang w:val="en-NZ"/>
        </w:rPr>
        <w:t xml:space="preserve">direct-funded </w:t>
      </w:r>
      <w:r w:rsidRPr="002E7B55">
        <w:rPr>
          <w:lang w:val="en-NZ"/>
        </w:rPr>
        <w:t xml:space="preserve">providers and DHBs earlier than in 2020, </w:t>
      </w:r>
      <w:r w:rsidR="00DA26B6" w:rsidRPr="002E7B55">
        <w:rPr>
          <w:lang w:val="en-NZ"/>
        </w:rPr>
        <w:t xml:space="preserve">in </w:t>
      </w:r>
      <w:r w:rsidRPr="002E7B55">
        <w:rPr>
          <w:lang w:val="en-NZ"/>
        </w:rPr>
        <w:t xml:space="preserve">most </w:t>
      </w:r>
      <w:r w:rsidR="00DA26B6" w:rsidRPr="002E7B55">
        <w:rPr>
          <w:lang w:val="en-NZ"/>
        </w:rPr>
        <w:t xml:space="preserve">cases </w:t>
      </w:r>
      <w:r w:rsidRPr="002E7B55">
        <w:rPr>
          <w:lang w:val="en-NZ"/>
        </w:rPr>
        <w:t xml:space="preserve">by late March 2021. </w:t>
      </w:r>
      <w:r w:rsidR="00DC691E" w:rsidRPr="002E7B55">
        <w:rPr>
          <w:lang w:val="en-NZ"/>
        </w:rPr>
        <w:t>But m</w:t>
      </w:r>
      <w:r w:rsidR="70D53BCA" w:rsidRPr="002E7B55">
        <w:rPr>
          <w:lang w:val="en-NZ"/>
        </w:rPr>
        <w:t xml:space="preserve">any DHBs were slow to get funding out to providers, some as late as September and October 2021. </w:t>
      </w:r>
      <w:r w:rsidR="00A47CE9" w:rsidRPr="002E7B55">
        <w:rPr>
          <w:lang w:val="en-NZ"/>
        </w:rPr>
        <w:t>As a result</w:t>
      </w:r>
      <w:r w:rsidR="70D53BCA" w:rsidRPr="002E7B55">
        <w:rPr>
          <w:lang w:val="en-NZ"/>
        </w:rPr>
        <w:t>, many Māori providers started delivering their MIMVP activities before they received funding.</w:t>
      </w:r>
    </w:p>
    <w:p w14:paraId="53F17B3C" w14:textId="687480B0" w:rsidR="00D5515B" w:rsidRPr="002E7B55" w:rsidRDefault="00517C7C" w:rsidP="00517C7C">
      <w:pPr>
        <w:pStyle w:val="ListParagraph"/>
        <w:rPr>
          <w:lang w:val="en-NZ"/>
        </w:rPr>
      </w:pPr>
      <w:r w:rsidRPr="002E7B55">
        <w:rPr>
          <w:lang w:val="en-NZ"/>
        </w:rPr>
        <w:t xml:space="preserve">Simplified reporting was less </w:t>
      </w:r>
      <w:r w:rsidR="008A457C" w:rsidRPr="002E7B55">
        <w:rPr>
          <w:lang w:val="en-NZ"/>
        </w:rPr>
        <w:t>time-consuming</w:t>
      </w:r>
      <w:r w:rsidR="00655472" w:rsidRPr="002E7B55">
        <w:rPr>
          <w:lang w:val="en-NZ"/>
        </w:rPr>
        <w:t>,</w:t>
      </w:r>
      <w:r w:rsidRPr="002E7B55">
        <w:rPr>
          <w:lang w:val="en-NZ"/>
        </w:rPr>
        <w:t xml:space="preserve"> enabling faster feedback</w:t>
      </w:r>
      <w:r w:rsidR="00D5515B" w:rsidRPr="002E7B55">
        <w:rPr>
          <w:lang w:val="en-NZ"/>
        </w:rPr>
        <w:t>.</w:t>
      </w:r>
    </w:p>
    <w:p w14:paraId="28BB394D" w14:textId="52C742B8" w:rsidR="00517C7C" w:rsidRPr="002E7B55" w:rsidRDefault="00517C7C" w:rsidP="00517C7C">
      <w:pPr>
        <w:pStyle w:val="ListParagraph"/>
        <w:rPr>
          <w:lang w:val="en-NZ"/>
        </w:rPr>
      </w:pPr>
      <w:r w:rsidRPr="002E7B55">
        <w:rPr>
          <w:lang w:val="en-NZ"/>
        </w:rPr>
        <w:t xml:space="preserve">DHBs and DHB-funded providers were less </w:t>
      </w:r>
      <w:r w:rsidR="00D5515B" w:rsidRPr="002E7B55">
        <w:rPr>
          <w:lang w:val="en-NZ"/>
        </w:rPr>
        <w:t>engaged in monitoring reporting</w:t>
      </w:r>
      <w:r w:rsidRPr="002E7B55">
        <w:rPr>
          <w:lang w:val="en-NZ"/>
        </w:rPr>
        <w:t xml:space="preserve">. </w:t>
      </w:r>
    </w:p>
    <w:p w14:paraId="431D5E6A" w14:textId="5450C13C" w:rsidR="00FD6369" w:rsidRPr="002E7B55" w:rsidRDefault="70D53BCA" w:rsidP="004D7B33">
      <w:pPr>
        <w:pStyle w:val="ListParagraph"/>
        <w:rPr>
          <w:lang w:val="en-NZ"/>
        </w:rPr>
      </w:pPr>
      <w:r w:rsidRPr="002E7B55">
        <w:rPr>
          <w:lang w:val="en-NZ"/>
        </w:rPr>
        <w:t xml:space="preserve">Māori </w:t>
      </w:r>
      <w:r w:rsidR="008205D0" w:rsidRPr="002E7B55">
        <w:rPr>
          <w:lang w:val="en-NZ"/>
        </w:rPr>
        <w:t>p</w:t>
      </w:r>
      <w:r w:rsidRPr="002E7B55">
        <w:rPr>
          <w:lang w:val="en-NZ"/>
        </w:rPr>
        <w:t xml:space="preserve">roviders used the funding to develop their workforce and support increased collaboration with other Māori and non-Māori providers and organisations. </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9"/>
      </w:tblGrid>
      <w:tr w:rsidR="00FD6369" w:rsidRPr="002E7B55" w14:paraId="3A46493F" w14:textId="77777777" w:rsidTr="0081467C">
        <w:tc>
          <w:tcPr>
            <w:tcW w:w="9379" w:type="dxa"/>
            <w:shd w:val="clear" w:color="auto" w:fill="FBDCD9" w:themeFill="accent3" w:themeFillTint="33"/>
          </w:tcPr>
          <w:p w14:paraId="58BBDE26" w14:textId="77777777" w:rsidR="00FD6369" w:rsidRPr="002E7B55" w:rsidRDefault="00FD6369" w:rsidP="004D7B33">
            <w:pPr>
              <w:pStyle w:val="Actionsheading"/>
              <w:rPr>
                <w:lang w:val="en-NZ"/>
              </w:rPr>
            </w:pPr>
            <w:r w:rsidRPr="002E7B55">
              <w:rPr>
                <w:lang w:val="en-NZ"/>
              </w:rPr>
              <w:t>Actions</w:t>
            </w:r>
          </w:p>
        </w:tc>
      </w:tr>
      <w:tr w:rsidR="00FD6369" w:rsidRPr="002E7B55" w14:paraId="1E456204" w14:textId="77777777" w:rsidTr="0081467C">
        <w:tc>
          <w:tcPr>
            <w:tcW w:w="9379" w:type="dxa"/>
            <w:shd w:val="clear" w:color="auto" w:fill="FBDCD9" w:themeFill="accent3" w:themeFillTint="33"/>
          </w:tcPr>
          <w:p w14:paraId="1AE4BC29" w14:textId="041C7E36" w:rsidR="00305C78" w:rsidRPr="002E7B55" w:rsidRDefault="00305C78" w:rsidP="00C34D28">
            <w:pPr>
              <w:pStyle w:val="Actionslist"/>
            </w:pPr>
            <w:r w:rsidRPr="002E7B55">
              <w:t>Provide advance notice</w:t>
            </w:r>
            <w:r w:rsidR="00A47CE9" w:rsidRPr="002E7B55">
              <w:t xml:space="preserve"> to providers</w:t>
            </w:r>
            <w:r w:rsidRPr="002E7B55">
              <w:t xml:space="preserve"> of funding intentions</w:t>
            </w:r>
            <w:r w:rsidR="00B64DBF" w:rsidRPr="002E7B55">
              <w:t>.</w:t>
            </w:r>
          </w:p>
          <w:p w14:paraId="541330BC" w14:textId="5E24ACC1" w:rsidR="00305C78" w:rsidRPr="002E7B55" w:rsidRDefault="00305C78" w:rsidP="00C34D28">
            <w:pPr>
              <w:pStyle w:val="Actionslist"/>
            </w:pPr>
            <w:r w:rsidRPr="002E7B55">
              <w:t>Get funding out to providers earlier – before the scheduled vaccination start dates</w:t>
            </w:r>
            <w:r w:rsidR="00B64DBF" w:rsidRPr="002E7B55">
              <w:t>.</w:t>
            </w:r>
          </w:p>
          <w:p w14:paraId="7F416CD7" w14:textId="24DC6A87" w:rsidR="00305C78" w:rsidRPr="002E7B55" w:rsidRDefault="00305C78" w:rsidP="00C34D28">
            <w:pPr>
              <w:pStyle w:val="Actionslist"/>
            </w:pPr>
            <w:r w:rsidRPr="002E7B55">
              <w:t>Change commissioning processes to ensure a provider-led approach is enabled and prioritised</w:t>
            </w:r>
            <w:r w:rsidR="00B64DBF" w:rsidRPr="002E7B55">
              <w:t>.</w:t>
            </w:r>
          </w:p>
          <w:p w14:paraId="0BF97E6D" w14:textId="5A7244D5" w:rsidR="00305C78" w:rsidRPr="002E7B55" w:rsidRDefault="00305C78" w:rsidP="00C34D28">
            <w:pPr>
              <w:pStyle w:val="Actionslist"/>
            </w:pPr>
            <w:r w:rsidRPr="002E7B55">
              <w:t>Direct</w:t>
            </w:r>
            <w:r w:rsidR="00A47CE9" w:rsidRPr="002E7B55">
              <w:t>-</w:t>
            </w:r>
            <w:r w:rsidRPr="002E7B55">
              <w:t xml:space="preserve">fund providers </w:t>
            </w:r>
            <w:r w:rsidR="00F87E23" w:rsidRPr="002E7B55">
              <w:t>to</w:t>
            </w:r>
            <w:r w:rsidRPr="002E7B55">
              <w:t xml:space="preserve"> deliver MIMVP vaccinations</w:t>
            </w:r>
            <w:r w:rsidR="00B64DBF" w:rsidRPr="002E7B55">
              <w:t>.</w:t>
            </w:r>
          </w:p>
          <w:p w14:paraId="7D73DB0F" w14:textId="02EAD64C" w:rsidR="00305C78" w:rsidRPr="002E7B55" w:rsidRDefault="00305C78" w:rsidP="00C34D28">
            <w:pPr>
              <w:pStyle w:val="Actionslist"/>
            </w:pPr>
            <w:r w:rsidRPr="002E7B55">
              <w:t>Fund DHBs (or their equivalent) as partners and collaborators</w:t>
            </w:r>
            <w:r w:rsidR="00B64DBF" w:rsidRPr="002E7B55">
              <w:t>.</w:t>
            </w:r>
          </w:p>
          <w:p w14:paraId="15C76A4A" w14:textId="53FC375D" w:rsidR="00FD6369" w:rsidRPr="002E7B55" w:rsidRDefault="00305C78" w:rsidP="00C34D28">
            <w:pPr>
              <w:pStyle w:val="Actionslist"/>
            </w:pPr>
            <w:r w:rsidRPr="002E7B55">
              <w:t xml:space="preserve">Implement </w:t>
            </w:r>
            <w:r w:rsidR="00D5515B" w:rsidRPr="002E7B55">
              <w:t xml:space="preserve">multi-year </w:t>
            </w:r>
            <w:r w:rsidRPr="002E7B55">
              <w:t>contracts</w:t>
            </w:r>
            <w:r w:rsidR="00B64DBF" w:rsidRPr="002E7B55">
              <w:t>.</w:t>
            </w:r>
          </w:p>
        </w:tc>
      </w:tr>
    </w:tbl>
    <w:p w14:paraId="3F20E826" w14:textId="77777777" w:rsidR="0044366D" w:rsidRDefault="0044366D" w:rsidP="00E9582A"/>
    <w:p w14:paraId="25A5127C" w14:textId="77777777" w:rsidR="0044366D" w:rsidRDefault="0044366D">
      <w:pPr>
        <w:spacing w:before="0" w:after="160" w:line="259" w:lineRule="auto"/>
        <w:rPr>
          <w:rFonts w:asciiTheme="majorHAnsi" w:eastAsiaTheme="majorEastAsia" w:hAnsiTheme="majorHAnsi" w:cstheme="majorBidi"/>
          <w:color w:val="125459" w:themeColor="accent1" w:themeShade="BF"/>
          <w:sz w:val="26"/>
          <w:szCs w:val="33"/>
        </w:rPr>
      </w:pPr>
      <w:r>
        <w:br w:type="page"/>
      </w:r>
    </w:p>
    <w:p w14:paraId="06F90929" w14:textId="6C76D3B7" w:rsidR="00B21A91" w:rsidRPr="002E7B55" w:rsidRDefault="00F42238" w:rsidP="00F42238">
      <w:pPr>
        <w:pStyle w:val="Heading2"/>
      </w:pPr>
      <w:r w:rsidRPr="002E7B55">
        <w:lastRenderedPageBreak/>
        <w:t>Communications and learning</w:t>
      </w:r>
    </w:p>
    <w:p w14:paraId="091B311A" w14:textId="7EF325B5" w:rsidR="0009058A" w:rsidRPr="002E7B55" w:rsidRDefault="23D00F57" w:rsidP="0009058A">
      <w:pPr>
        <w:pStyle w:val="ListParagraph"/>
        <w:rPr>
          <w:lang w:val="en-NZ"/>
        </w:rPr>
      </w:pPr>
      <w:r w:rsidRPr="002E7B55">
        <w:rPr>
          <w:lang w:val="en-NZ"/>
        </w:rPr>
        <w:t xml:space="preserve">Providers </w:t>
      </w:r>
      <w:r w:rsidR="00A47CE9" w:rsidRPr="002E7B55">
        <w:rPr>
          <w:lang w:val="en-NZ"/>
        </w:rPr>
        <w:t xml:space="preserve">used </w:t>
      </w:r>
      <w:r w:rsidRPr="002E7B55">
        <w:rPr>
          <w:lang w:val="en-NZ"/>
        </w:rPr>
        <w:t xml:space="preserve">multiple channels and messages </w:t>
      </w:r>
      <w:r w:rsidR="00A47CE9" w:rsidRPr="002E7B55">
        <w:rPr>
          <w:lang w:val="en-NZ"/>
        </w:rPr>
        <w:t>for</w:t>
      </w:r>
      <w:r w:rsidRPr="002E7B55">
        <w:rPr>
          <w:lang w:val="en-NZ"/>
        </w:rPr>
        <w:t xml:space="preserve"> communication with whānau and the community.</w:t>
      </w:r>
    </w:p>
    <w:p w14:paraId="73376924" w14:textId="41D8B640" w:rsidR="0009058A" w:rsidRPr="002E7B55" w:rsidRDefault="23D00F57" w:rsidP="0009058A">
      <w:pPr>
        <w:pStyle w:val="ListParagraph"/>
        <w:rPr>
          <w:lang w:val="en-NZ"/>
        </w:rPr>
      </w:pPr>
      <w:r w:rsidRPr="002E7B55">
        <w:rPr>
          <w:lang w:val="en-NZ"/>
        </w:rPr>
        <w:t xml:space="preserve">Providers faced challenges addressing vaccine misinformation and hesitancy, and community confusion about COVID-19 </w:t>
      </w:r>
      <w:r w:rsidR="00A47CE9" w:rsidRPr="002E7B55">
        <w:rPr>
          <w:lang w:val="en-NZ"/>
        </w:rPr>
        <w:t xml:space="preserve">as opposed to the </w:t>
      </w:r>
      <w:r w:rsidRPr="002E7B55">
        <w:rPr>
          <w:lang w:val="en-NZ"/>
        </w:rPr>
        <w:t>flu and MMR</w:t>
      </w:r>
      <w:r w:rsidR="00A47CE9" w:rsidRPr="002E7B55">
        <w:rPr>
          <w:lang w:val="en-NZ"/>
        </w:rPr>
        <w:t xml:space="preserve"> vaccinations</w:t>
      </w:r>
      <w:r w:rsidRPr="002E7B55">
        <w:rPr>
          <w:lang w:val="en-NZ"/>
        </w:rPr>
        <w:t>.</w:t>
      </w:r>
    </w:p>
    <w:p w14:paraId="2FC97AD9" w14:textId="607B3881" w:rsidR="0009058A" w:rsidRPr="002E7B55" w:rsidRDefault="23D00F57" w:rsidP="0009058A">
      <w:pPr>
        <w:pStyle w:val="ListParagraph"/>
        <w:rPr>
          <w:lang w:val="en-NZ"/>
        </w:rPr>
      </w:pPr>
      <w:r w:rsidRPr="002E7B55">
        <w:rPr>
          <w:lang w:val="en-NZ"/>
        </w:rPr>
        <w:t xml:space="preserve">Providers generally found communications from the Ministry </w:t>
      </w:r>
      <w:r w:rsidR="00F87E23" w:rsidRPr="002E7B55">
        <w:rPr>
          <w:lang w:val="en-NZ"/>
        </w:rPr>
        <w:t>helpful</w:t>
      </w:r>
      <w:r w:rsidR="00A47CE9" w:rsidRPr="002E7B55">
        <w:rPr>
          <w:lang w:val="en-NZ"/>
        </w:rPr>
        <w:t>,</w:t>
      </w:r>
      <w:r w:rsidR="00F87E23" w:rsidRPr="002E7B55">
        <w:rPr>
          <w:lang w:val="en-NZ"/>
        </w:rPr>
        <w:t xml:space="preserve"> </w:t>
      </w:r>
      <w:r w:rsidR="0024773A" w:rsidRPr="002E7B55">
        <w:rPr>
          <w:lang w:val="en-NZ"/>
        </w:rPr>
        <w:t>but</w:t>
      </w:r>
      <w:r w:rsidR="00A47CE9" w:rsidRPr="002E7B55">
        <w:rPr>
          <w:lang w:val="en-NZ"/>
        </w:rPr>
        <w:t xml:space="preserve"> they</w:t>
      </w:r>
      <w:r w:rsidRPr="002E7B55">
        <w:rPr>
          <w:lang w:val="en-NZ"/>
        </w:rPr>
        <w:t xml:space="preserve"> </w:t>
      </w:r>
      <w:r w:rsidR="008A457C" w:rsidRPr="002E7B55">
        <w:rPr>
          <w:lang w:val="en-NZ"/>
        </w:rPr>
        <w:t>needed</w:t>
      </w:r>
      <w:r w:rsidRPr="002E7B55">
        <w:rPr>
          <w:lang w:val="en-NZ"/>
        </w:rPr>
        <w:t xml:space="preserve"> further </w:t>
      </w:r>
      <w:r w:rsidR="008A457C" w:rsidRPr="002E7B55">
        <w:rPr>
          <w:lang w:val="en-NZ"/>
        </w:rPr>
        <w:t>help</w:t>
      </w:r>
      <w:r w:rsidRPr="002E7B55">
        <w:rPr>
          <w:lang w:val="en-NZ"/>
        </w:rPr>
        <w:t xml:space="preserve"> to address </w:t>
      </w:r>
      <w:r w:rsidR="00F87E23" w:rsidRPr="002E7B55">
        <w:rPr>
          <w:lang w:val="en-NZ"/>
        </w:rPr>
        <w:t xml:space="preserve">the </w:t>
      </w:r>
      <w:r w:rsidRPr="002E7B55">
        <w:rPr>
          <w:lang w:val="en-NZ"/>
        </w:rPr>
        <w:t>concerns of whānau and the community.</w:t>
      </w:r>
    </w:p>
    <w:p w14:paraId="40CB1F9D" w14:textId="1B720A25" w:rsidR="00F42238" w:rsidRPr="002E7B55" w:rsidRDefault="23D00F57" w:rsidP="00B3052D">
      <w:pPr>
        <w:pStyle w:val="ListParagraph"/>
        <w:rPr>
          <w:lang w:val="en-NZ"/>
        </w:rPr>
      </w:pPr>
      <w:r w:rsidRPr="002E7B55">
        <w:rPr>
          <w:lang w:val="en-NZ"/>
        </w:rPr>
        <w:t xml:space="preserve">Providers want opportunities to share </w:t>
      </w:r>
      <w:r w:rsidR="00803CB8" w:rsidRPr="002E7B55">
        <w:rPr>
          <w:lang w:val="en-NZ"/>
        </w:rPr>
        <w:t xml:space="preserve">with </w:t>
      </w:r>
      <w:r w:rsidRPr="002E7B55">
        <w:rPr>
          <w:lang w:val="en-NZ"/>
        </w:rPr>
        <w:t xml:space="preserve">and learn </w:t>
      </w:r>
      <w:r w:rsidR="00A47CE9" w:rsidRPr="002E7B55">
        <w:rPr>
          <w:lang w:val="en-NZ"/>
        </w:rPr>
        <w:t>from</w:t>
      </w:r>
      <w:r w:rsidRPr="002E7B55">
        <w:rPr>
          <w:lang w:val="en-NZ"/>
        </w:rPr>
        <w:t xml:space="preserve"> each other.</w:t>
      </w:r>
      <w:r w:rsidR="00F42238" w:rsidRPr="002E7B55">
        <w:rPr>
          <w:lang w:val="en-NZ"/>
        </w:rPr>
        <w:t xml:space="preserve"> </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9"/>
      </w:tblGrid>
      <w:tr w:rsidR="00B3052D" w:rsidRPr="002E7B55" w14:paraId="219BC649" w14:textId="77777777" w:rsidTr="0081467C">
        <w:tc>
          <w:tcPr>
            <w:tcW w:w="9379" w:type="dxa"/>
            <w:shd w:val="clear" w:color="auto" w:fill="FBDCD9" w:themeFill="accent3" w:themeFillTint="33"/>
          </w:tcPr>
          <w:p w14:paraId="7073B2B5" w14:textId="77777777" w:rsidR="00B3052D" w:rsidRPr="002E7B55" w:rsidRDefault="00B3052D" w:rsidP="0081467C">
            <w:pPr>
              <w:pStyle w:val="Actionsheading"/>
              <w:rPr>
                <w:lang w:val="en-NZ"/>
              </w:rPr>
            </w:pPr>
            <w:r w:rsidRPr="002E7B55">
              <w:rPr>
                <w:lang w:val="en-NZ"/>
              </w:rPr>
              <w:t>Actions</w:t>
            </w:r>
          </w:p>
        </w:tc>
      </w:tr>
      <w:tr w:rsidR="00B3052D" w:rsidRPr="002E7B55" w14:paraId="6AA78CEC" w14:textId="77777777" w:rsidTr="0081467C">
        <w:tc>
          <w:tcPr>
            <w:tcW w:w="9379" w:type="dxa"/>
            <w:shd w:val="clear" w:color="auto" w:fill="FBDCD9" w:themeFill="accent3" w:themeFillTint="33"/>
          </w:tcPr>
          <w:p w14:paraId="2D58ED23" w14:textId="64DDE199" w:rsidR="00B3052D" w:rsidRPr="002E7B55" w:rsidRDefault="00B3052D" w:rsidP="00305C78">
            <w:pPr>
              <w:pStyle w:val="Actionslist"/>
            </w:pPr>
            <w:r w:rsidRPr="002E7B55">
              <w:t>Resource providers to develop communications tailored to local needs</w:t>
            </w:r>
            <w:r w:rsidR="00305C78" w:rsidRPr="002E7B55">
              <w:t xml:space="preserve">, </w:t>
            </w:r>
            <w:r w:rsidRPr="002E7B55">
              <w:t>communities</w:t>
            </w:r>
            <w:r w:rsidR="00305C78" w:rsidRPr="002E7B55">
              <w:t xml:space="preserve"> and whānau</w:t>
            </w:r>
            <w:r w:rsidR="00B6116E" w:rsidRPr="002E7B55">
              <w:t>.</w:t>
            </w:r>
            <w:r w:rsidR="00305C78" w:rsidRPr="002E7B55">
              <w:t xml:space="preserve"> </w:t>
            </w:r>
          </w:p>
          <w:p w14:paraId="478E2B8F" w14:textId="445CBB44" w:rsidR="00B3052D" w:rsidRPr="002E7B55" w:rsidRDefault="00305C78" w:rsidP="00B3052D">
            <w:pPr>
              <w:pStyle w:val="Actionslist"/>
            </w:pPr>
            <w:r w:rsidRPr="002E7B55">
              <w:t xml:space="preserve">Fund providers for </w:t>
            </w:r>
            <w:r w:rsidR="00B3052D" w:rsidRPr="002E7B55">
              <w:t xml:space="preserve">the time and effort </w:t>
            </w:r>
            <w:r w:rsidR="008A457C" w:rsidRPr="002E7B55">
              <w:t>needed</w:t>
            </w:r>
            <w:r w:rsidRPr="002E7B55">
              <w:t xml:space="preserve"> </w:t>
            </w:r>
            <w:r w:rsidR="00B3052D" w:rsidRPr="002E7B55">
              <w:t xml:space="preserve">to build and maintain trusting relationships with partner organisations and local Māori and community groups. </w:t>
            </w:r>
          </w:p>
          <w:p w14:paraId="3429F09B" w14:textId="77777777" w:rsidR="00B3052D" w:rsidRPr="002E7B55" w:rsidRDefault="00B3052D" w:rsidP="00B3052D">
            <w:pPr>
              <w:pStyle w:val="Actionslist"/>
            </w:pPr>
            <w:r w:rsidRPr="002E7B55">
              <w:t xml:space="preserve">As part of a shift towards integrated immunisations, refine messaging from the Ministry to present a balanced and integrated view of all immunisations. </w:t>
            </w:r>
          </w:p>
          <w:p w14:paraId="4800341D" w14:textId="2870E997" w:rsidR="00B3052D" w:rsidRPr="002E7B55" w:rsidRDefault="00B3052D" w:rsidP="00B3052D">
            <w:pPr>
              <w:pStyle w:val="Actionslist"/>
            </w:pPr>
            <w:r w:rsidRPr="002E7B55">
              <w:t xml:space="preserve">Continue to offer and expand training and support materials, especially clinical advice in plain English and </w:t>
            </w:r>
            <w:r w:rsidR="00803CB8" w:rsidRPr="002E7B55">
              <w:t xml:space="preserve">te reo </w:t>
            </w:r>
            <w:r w:rsidR="0072277A" w:rsidRPr="002E7B55">
              <w:t>Māori</w:t>
            </w:r>
            <w:r w:rsidRPr="002E7B55">
              <w:t xml:space="preserve">. </w:t>
            </w:r>
          </w:p>
          <w:p w14:paraId="31BAE9C9" w14:textId="13E27A43" w:rsidR="00B3052D" w:rsidRPr="002E7B55" w:rsidRDefault="00B3052D" w:rsidP="00305C78">
            <w:pPr>
              <w:pStyle w:val="Actionslist"/>
            </w:pPr>
            <w:r w:rsidRPr="002E7B55">
              <w:t xml:space="preserve">Resource providers directly </w:t>
            </w:r>
            <w:r w:rsidR="00655472" w:rsidRPr="002E7B55">
              <w:t>to</w:t>
            </w:r>
            <w:r w:rsidR="00F87E23" w:rsidRPr="002E7B55">
              <w:t xml:space="preserve"> support</w:t>
            </w:r>
            <w:r w:rsidR="00655472" w:rsidRPr="002E7B55">
              <w:t xml:space="preserve"> </w:t>
            </w:r>
            <w:r w:rsidR="00130E2D" w:rsidRPr="002E7B55">
              <w:t xml:space="preserve">them </w:t>
            </w:r>
            <w:r w:rsidRPr="002E7B55">
              <w:t>shar</w:t>
            </w:r>
            <w:r w:rsidR="00F87E23" w:rsidRPr="002E7B55">
              <w:t>ing</w:t>
            </w:r>
            <w:r w:rsidRPr="002E7B55">
              <w:t xml:space="preserve"> </w:t>
            </w:r>
            <w:r w:rsidR="0024773A" w:rsidRPr="002E7B55">
              <w:t>insights</w:t>
            </w:r>
            <w:r w:rsidR="00953521" w:rsidRPr="002E7B55">
              <w:t xml:space="preserve"> </w:t>
            </w:r>
            <w:r w:rsidRPr="002E7B55">
              <w:t xml:space="preserve">with </w:t>
            </w:r>
            <w:r w:rsidR="00F87E23" w:rsidRPr="002E7B55">
              <w:t>one</w:t>
            </w:r>
            <w:r w:rsidRPr="002E7B55">
              <w:t xml:space="preserve"> </w:t>
            </w:r>
            <w:r w:rsidR="00953521" w:rsidRPr="002E7B55">
              <w:t>an</w:t>
            </w:r>
            <w:r w:rsidRPr="002E7B55">
              <w:t xml:space="preserve">other in a provider-led space. </w:t>
            </w:r>
          </w:p>
        </w:tc>
      </w:tr>
    </w:tbl>
    <w:p w14:paraId="4641F8E9" w14:textId="5DC148DC" w:rsidR="00B21A91" w:rsidRPr="002E7B55" w:rsidRDefault="00B21A91" w:rsidP="00625710">
      <w:pPr>
        <w:rPr>
          <w:rFonts w:eastAsiaTheme="majorEastAsia"/>
        </w:rPr>
      </w:pPr>
      <w:r w:rsidRPr="002E7B55">
        <w:br w:type="page"/>
      </w:r>
    </w:p>
    <w:p w14:paraId="3B1DDADE" w14:textId="168DB0BB" w:rsidR="004C2E1E" w:rsidRPr="002E7B55" w:rsidRDefault="70D53BCA" w:rsidP="004C2E1E">
      <w:pPr>
        <w:pStyle w:val="Heading1"/>
      </w:pPr>
      <w:bookmarkStart w:id="2" w:name="_Toc96341666"/>
      <w:r w:rsidRPr="002E7B55">
        <w:lastRenderedPageBreak/>
        <w:t>Conclusion</w:t>
      </w:r>
      <w:bookmarkEnd w:id="2"/>
    </w:p>
    <w:p w14:paraId="6A49E486" w14:textId="1CE4C016" w:rsidR="004C2E1E" w:rsidRPr="002E7B55" w:rsidRDefault="004C2E1E" w:rsidP="004C2E1E">
      <w:r w:rsidRPr="002E7B55">
        <w:t xml:space="preserve">This section </w:t>
      </w:r>
      <w:r w:rsidR="006F6C96" w:rsidRPr="002E7B55">
        <w:t xml:space="preserve">considers the implications for the pursuit of Māori health equity at a programme </w:t>
      </w:r>
      <w:r w:rsidRPr="002E7B55">
        <w:t>level</w:t>
      </w:r>
      <w:r w:rsidR="00263C6B" w:rsidRPr="002E7B55">
        <w:t xml:space="preserve">, informed by </w:t>
      </w:r>
      <w:proofErr w:type="spellStart"/>
      <w:r w:rsidR="00263C6B" w:rsidRPr="002E7B55">
        <w:t>Riboldi</w:t>
      </w:r>
      <w:proofErr w:type="spellEnd"/>
      <w:r w:rsidR="00263C6B" w:rsidRPr="002E7B55">
        <w:t xml:space="preserve"> et </w:t>
      </w:r>
      <w:proofErr w:type="spellStart"/>
      <w:r w:rsidR="00263C6B" w:rsidRPr="002E7B55">
        <w:t>al’s</w:t>
      </w:r>
      <w:proofErr w:type="spellEnd"/>
      <w:sdt>
        <w:sdtPr>
          <w:id w:val="59064322"/>
          <w:citation/>
        </w:sdtPr>
        <w:sdtEndPr/>
        <w:sdtContent>
          <w:r w:rsidR="00803CB8" w:rsidRPr="002E7B55">
            <w:fldChar w:fldCharType="begin"/>
          </w:r>
          <w:r w:rsidR="00803CB8" w:rsidRPr="002E7B55">
            <w:instrText xml:space="preserve"> CITATION Rib21 \l 1153 </w:instrText>
          </w:r>
          <w:r w:rsidR="00803CB8" w:rsidRPr="002E7B55">
            <w:fldChar w:fldCharType="separate"/>
          </w:r>
          <w:r w:rsidR="00025361" w:rsidRPr="002E7B55">
            <w:t xml:space="preserve"> (2)</w:t>
          </w:r>
          <w:r w:rsidR="00803CB8" w:rsidRPr="002E7B55">
            <w:fldChar w:fldCharType="end"/>
          </w:r>
        </w:sdtContent>
      </w:sdt>
      <w:r w:rsidR="00263C6B" w:rsidRPr="002E7B55">
        <w:t xml:space="preserve"> principles of better commissioning</w:t>
      </w:r>
      <w:r w:rsidR="006F6C96" w:rsidRPr="002E7B55">
        <w:t xml:space="preserve">. It also proposes </w:t>
      </w:r>
      <w:r w:rsidRPr="002E7B55">
        <w:t xml:space="preserve">high-level implications for the Ministry, </w:t>
      </w:r>
      <w:r w:rsidR="00803CB8" w:rsidRPr="002E7B55">
        <w:t>HNZ</w:t>
      </w:r>
      <w:r w:rsidRPr="002E7B55">
        <w:t xml:space="preserve"> and the </w:t>
      </w:r>
      <w:r w:rsidR="00803CB8" w:rsidRPr="002E7B55">
        <w:t>MHA</w:t>
      </w:r>
      <w:r w:rsidRPr="002E7B55">
        <w:t xml:space="preserve"> in pursuit of Māori health equity. </w:t>
      </w:r>
    </w:p>
    <w:p w14:paraId="2FD0DF5E" w14:textId="58F77995" w:rsidR="004C2E1E" w:rsidRPr="002E7B55" w:rsidRDefault="00233E3F" w:rsidP="004C2E1E">
      <w:pPr>
        <w:pStyle w:val="Heading2"/>
      </w:pPr>
      <w:r w:rsidRPr="002E7B55">
        <w:t>A programme focus</w:t>
      </w:r>
      <w:r w:rsidR="00BC1040" w:rsidRPr="002E7B55">
        <w:t>ed</w:t>
      </w:r>
      <w:r w:rsidRPr="002E7B55">
        <w:t xml:space="preserve"> on Māori health equity </w:t>
      </w:r>
    </w:p>
    <w:p w14:paraId="29002CDC" w14:textId="778B8FA0" w:rsidR="00842270" w:rsidRPr="002E7B55" w:rsidRDefault="00130E2D" w:rsidP="00842270">
      <w:r w:rsidRPr="002E7B55">
        <w:t>Achieving effective d</w:t>
      </w:r>
      <w:r w:rsidR="00842270" w:rsidRPr="002E7B55">
        <w:t>eliver</w:t>
      </w:r>
      <w:r w:rsidRPr="002E7B55">
        <w:t>y of</w:t>
      </w:r>
      <w:r w:rsidR="00842270" w:rsidRPr="002E7B55">
        <w:t xml:space="preserve"> whānau-centred models of care </w:t>
      </w:r>
      <w:r w:rsidRPr="002E7B55">
        <w:t>require</w:t>
      </w:r>
      <w:r w:rsidR="00842270" w:rsidRPr="002E7B55">
        <w:t>s funding for the full scope of work. Whānau-centred care goes to where Māori live, work, and play</w:t>
      </w:r>
      <w:r w:rsidR="00803CB8" w:rsidRPr="002E7B55">
        <w:t>,</w:t>
      </w:r>
      <w:r w:rsidR="00842270" w:rsidRPr="002E7B55">
        <w:t xml:space="preserve"> and </w:t>
      </w:r>
      <w:r w:rsidR="00803CB8" w:rsidRPr="002E7B55">
        <w:t xml:space="preserve">also </w:t>
      </w:r>
      <w:r w:rsidR="00842270" w:rsidRPr="002E7B55">
        <w:t>brings whānau to services</w:t>
      </w:r>
      <w:r w:rsidRPr="002E7B55">
        <w:t>.</w:t>
      </w:r>
      <w:r w:rsidR="00842270" w:rsidRPr="002E7B55">
        <w:t xml:space="preserve"> It is holistic, addresses the broad wellbeing needs of whānau and focuses on building relationships with groups of people rather than individuals. Therefore, whānau-centred care costs more</w:t>
      </w:r>
      <w:r w:rsidRPr="002E7B55">
        <w:t>,</w:t>
      </w:r>
      <w:r w:rsidR="00842270" w:rsidRPr="002E7B55">
        <w:t xml:space="preserve"> because it is often delivered as outreach in the community and requires greater mobility of the Māori healthcare workers.</w:t>
      </w:r>
      <w:r w:rsidRPr="002E7B55">
        <w:t xml:space="preserve"> This is what is needed to address the failings of the current primary healthcare system.</w:t>
      </w:r>
    </w:p>
    <w:p w14:paraId="7B15E832" w14:textId="77777777" w:rsidR="004C2E1E" w:rsidRPr="002E7B55" w:rsidRDefault="004C2E1E" w:rsidP="0041391C">
      <w:pPr>
        <w:pStyle w:val="Heading3"/>
      </w:pPr>
      <w:r w:rsidRPr="002E7B55">
        <w:t>Put relationships with providers first</w:t>
      </w:r>
    </w:p>
    <w:p w14:paraId="1279B835" w14:textId="5007703A" w:rsidR="004C2E1E" w:rsidRPr="002E7B55" w:rsidRDefault="004C2E1E" w:rsidP="004C2E1E">
      <w:r w:rsidRPr="002E7B55">
        <w:t xml:space="preserve">Effective relationships are fundamental to effective programme implementation, particularly when working with Māori and in a holistic and whānau-centred way. </w:t>
      </w:r>
      <w:r w:rsidR="00BC1040" w:rsidRPr="002E7B55">
        <w:t>Therefore, one</w:t>
      </w:r>
      <w:r w:rsidRPr="002E7B55">
        <w:t xml:space="preserve"> of the goals of MIMVP was to support collaboration and strengthen relationships.</w:t>
      </w:r>
    </w:p>
    <w:p w14:paraId="629C8E69" w14:textId="593F7404" w:rsidR="004C2E1E" w:rsidRPr="002E7B55" w:rsidRDefault="004C2E1E" w:rsidP="004C2E1E">
      <w:pPr>
        <w:rPr>
          <w:highlight w:val="yellow"/>
        </w:rPr>
      </w:pPr>
      <w:r w:rsidRPr="002E7B55">
        <w:t xml:space="preserve">Providers deliver MIMVP-funded and other whānau-centred services in collaboration with </w:t>
      </w:r>
      <w:r w:rsidR="00BC1040" w:rsidRPr="002E7B55">
        <w:t>many</w:t>
      </w:r>
      <w:r w:rsidRPr="002E7B55">
        <w:t xml:space="preserve"> partners. </w:t>
      </w:r>
      <w:r w:rsidR="00130E2D" w:rsidRPr="002E7B55">
        <w:t xml:space="preserve">The needs of </w:t>
      </w:r>
      <w:r w:rsidRPr="002E7B55">
        <w:t xml:space="preserve">MIMVP </w:t>
      </w:r>
      <w:r w:rsidR="00130E2D" w:rsidRPr="002E7B55">
        <w:t xml:space="preserve">spurred providers to </w:t>
      </w:r>
      <w:r w:rsidR="00BC1040" w:rsidRPr="002E7B55">
        <w:t>amplif</w:t>
      </w:r>
      <w:r w:rsidR="00130E2D" w:rsidRPr="002E7B55">
        <w:t>y</w:t>
      </w:r>
      <w:r w:rsidR="00BC1040" w:rsidRPr="002E7B55">
        <w:t xml:space="preserve"> </w:t>
      </w:r>
      <w:r w:rsidRPr="002E7B55">
        <w:t xml:space="preserve">the </w:t>
      </w:r>
      <w:r w:rsidR="00BC1040" w:rsidRPr="002E7B55">
        <w:t xml:space="preserve">existing </w:t>
      </w:r>
      <w:r w:rsidRPr="002E7B55">
        <w:t xml:space="preserve">relationships. </w:t>
      </w:r>
      <w:r w:rsidR="00BC1040" w:rsidRPr="002E7B55">
        <w:t>P</w:t>
      </w:r>
      <w:r w:rsidRPr="002E7B55">
        <w:t xml:space="preserve">ositive relationships already in place, or where partners had a goal of collaborating, were strengthened. </w:t>
      </w:r>
      <w:r w:rsidR="00BC1040" w:rsidRPr="002E7B55">
        <w:t>However, where</w:t>
      </w:r>
      <w:r w:rsidRPr="002E7B55">
        <w:t xml:space="preserve"> there were challenging relationships or </w:t>
      </w:r>
      <w:r w:rsidR="00BC1040" w:rsidRPr="002E7B55">
        <w:t xml:space="preserve">where </w:t>
      </w:r>
      <w:r w:rsidRPr="002E7B55">
        <w:t xml:space="preserve">key stakeholders </w:t>
      </w:r>
      <w:r w:rsidR="00BC1040" w:rsidRPr="002E7B55">
        <w:t>wished to</w:t>
      </w:r>
      <w:r w:rsidRPr="002E7B55">
        <w:t xml:space="preserve"> exert control, t</w:t>
      </w:r>
      <w:r w:rsidR="00BC1040" w:rsidRPr="002E7B55">
        <w:t xml:space="preserve">he </w:t>
      </w:r>
      <w:r w:rsidRPr="002E7B55">
        <w:t xml:space="preserve">relationships did not improve and, </w:t>
      </w:r>
      <w:r w:rsidR="008A457C" w:rsidRPr="002E7B55">
        <w:t>sometimes</w:t>
      </w:r>
      <w:r w:rsidRPr="002E7B55">
        <w:t xml:space="preserve">, worsened. </w:t>
      </w:r>
      <w:r w:rsidR="00BC1040" w:rsidRPr="002E7B55">
        <w:t>Sometimes</w:t>
      </w:r>
      <w:r w:rsidRPr="002E7B55">
        <w:t xml:space="preserve"> vaccination rates suffered in these regions</w:t>
      </w:r>
      <w:r w:rsidR="00130E2D" w:rsidRPr="002E7B55">
        <w:t xml:space="preserve"> as a result</w:t>
      </w:r>
      <w:r w:rsidRPr="002E7B55">
        <w:t>.</w:t>
      </w:r>
    </w:p>
    <w:p w14:paraId="2B104516" w14:textId="0F0115EA" w:rsidR="004C2E1E" w:rsidRPr="002E7B55" w:rsidRDefault="004C2E1E" w:rsidP="004C2E1E">
      <w:r w:rsidRPr="002E7B55">
        <w:t xml:space="preserve">Providers </w:t>
      </w:r>
      <w:r w:rsidR="00130E2D" w:rsidRPr="002E7B55">
        <w:t>engage</w:t>
      </w:r>
      <w:r w:rsidRPr="002E7B55">
        <w:t xml:space="preserve"> with the Ministry </w:t>
      </w:r>
      <w:r w:rsidR="00BC1040" w:rsidRPr="002E7B55">
        <w:t>mainly</w:t>
      </w:r>
      <w:r w:rsidRPr="002E7B55">
        <w:t xml:space="preserve"> through the</w:t>
      </w:r>
      <w:r w:rsidR="00130E2D" w:rsidRPr="002E7B55">
        <w:t xml:space="preserve"> </w:t>
      </w:r>
      <w:r w:rsidRPr="002E7B55">
        <w:t xml:space="preserve">contract and commissioning process. The Ministry aimed to contract providers and DHBs in a high-trust model. They offered a </w:t>
      </w:r>
      <w:r w:rsidR="00BC1040" w:rsidRPr="002E7B55">
        <w:t>substantial</w:t>
      </w:r>
      <w:r w:rsidRPr="002E7B55">
        <w:t xml:space="preserve"> first payment, provided more latitude about how Māori providers could spend funding, and tried to reduce the administrative burden of </w:t>
      </w:r>
      <w:r w:rsidR="0058311F" w:rsidRPr="002E7B55">
        <w:t xml:space="preserve">milestone </w:t>
      </w:r>
      <w:r w:rsidRPr="002E7B55">
        <w:t xml:space="preserve">reporting. </w:t>
      </w:r>
      <w:r w:rsidR="00F31487" w:rsidRPr="002E7B55">
        <w:t>On the other hand, t</w:t>
      </w:r>
      <w:r w:rsidR="00BC1040" w:rsidRPr="002E7B55">
        <w:t>he</w:t>
      </w:r>
      <w:r w:rsidRPr="002E7B55">
        <w:t xml:space="preserve"> contracts were </w:t>
      </w:r>
      <w:r w:rsidR="00BC1040" w:rsidRPr="002E7B55">
        <w:t>short-term</w:t>
      </w:r>
      <w:r w:rsidR="0058311F" w:rsidRPr="002E7B55">
        <w:t xml:space="preserve"> (</w:t>
      </w:r>
      <w:r w:rsidRPr="002E7B55">
        <w:t>annual</w:t>
      </w:r>
      <w:r w:rsidR="0058311F" w:rsidRPr="002E7B55">
        <w:t>)</w:t>
      </w:r>
      <w:r w:rsidRPr="002E7B55">
        <w:t xml:space="preserve">, </w:t>
      </w:r>
      <w:r w:rsidR="00BC1040" w:rsidRPr="002E7B55">
        <w:t>separated</w:t>
      </w:r>
      <w:r w:rsidRPr="002E7B55">
        <w:t xml:space="preserve"> flu and MMR from other immunisations, and fund</w:t>
      </w:r>
      <w:r w:rsidR="00BC1040" w:rsidRPr="002E7B55">
        <w:t>ed</w:t>
      </w:r>
      <w:r w:rsidRPr="002E7B55">
        <w:t xml:space="preserve"> providers through DHBs</w:t>
      </w:r>
      <w:r w:rsidR="00130E2D" w:rsidRPr="002E7B55">
        <w:t xml:space="preserve"> </w:t>
      </w:r>
      <w:r w:rsidR="00130E2D" w:rsidRPr="002E7B55">
        <w:rPr>
          <w:rFonts w:ascii="Courier New" w:hAnsi="Courier New" w:cs="Courier New"/>
        </w:rPr>
        <w:t>–</w:t>
      </w:r>
      <w:r w:rsidRPr="002E7B55">
        <w:t xml:space="preserve"> despite many providers </w:t>
      </w:r>
      <w:r w:rsidR="00BC1040" w:rsidRPr="002E7B55">
        <w:t>signalling</w:t>
      </w:r>
      <w:r w:rsidRPr="002E7B55">
        <w:t xml:space="preserve"> a desire </w:t>
      </w:r>
      <w:r w:rsidR="00BC1040" w:rsidRPr="002E7B55">
        <w:t>for</w:t>
      </w:r>
      <w:r w:rsidRPr="002E7B55">
        <w:t xml:space="preserve"> </w:t>
      </w:r>
      <w:r w:rsidR="007E2D07" w:rsidRPr="002E7B55">
        <w:t>direct funding</w:t>
      </w:r>
      <w:r w:rsidRPr="002E7B55">
        <w:t xml:space="preserve">. </w:t>
      </w:r>
    </w:p>
    <w:p w14:paraId="2A3728E5" w14:textId="48A6B38F" w:rsidR="004C2E1E" w:rsidRPr="002E7B55" w:rsidRDefault="004C2E1E" w:rsidP="004C2E1E">
      <w:r w:rsidRPr="002E7B55">
        <w:t xml:space="preserve">In our view, there is a need to shift to a high-trust model </w:t>
      </w:r>
      <w:r w:rsidR="00D767EA" w:rsidRPr="002E7B55">
        <w:t>that fully empowers providers</w:t>
      </w:r>
      <w:r w:rsidR="00BC1040" w:rsidRPr="002E7B55">
        <w:t>,</w:t>
      </w:r>
      <w:r w:rsidR="00D767EA" w:rsidRPr="002E7B55">
        <w:t xml:space="preserve"> </w:t>
      </w:r>
      <w:r w:rsidRPr="002E7B55">
        <w:t>which includes:</w:t>
      </w:r>
    </w:p>
    <w:p w14:paraId="2128B31C" w14:textId="3E1B8F15" w:rsidR="004C2E1E" w:rsidRPr="002E7B55" w:rsidRDefault="00A97E69" w:rsidP="00EC1527">
      <w:pPr>
        <w:pStyle w:val="ListParagraph"/>
        <w:numPr>
          <w:ilvl w:val="0"/>
          <w:numId w:val="6"/>
        </w:numPr>
        <w:rPr>
          <w:lang w:val="en-NZ"/>
        </w:rPr>
      </w:pPr>
      <w:r w:rsidRPr="002E7B55">
        <w:rPr>
          <w:lang w:val="en-NZ"/>
        </w:rPr>
        <w:t>O</w:t>
      </w:r>
      <w:r w:rsidR="00EC1527" w:rsidRPr="002E7B55">
        <w:rPr>
          <w:lang w:val="en-NZ"/>
        </w:rPr>
        <w:t xml:space="preserve">ffer longer-term (multi-year) contracts to provide greater certainty to the workforce and </w:t>
      </w:r>
      <w:r w:rsidR="00130E2D" w:rsidRPr="002E7B55">
        <w:rPr>
          <w:lang w:val="en-NZ"/>
        </w:rPr>
        <w:t xml:space="preserve">enable </w:t>
      </w:r>
      <w:r w:rsidRPr="002E7B55">
        <w:rPr>
          <w:lang w:val="en-NZ"/>
        </w:rPr>
        <w:t>providers to plan and deliver integrated approaches across immunisation and the suite of health services. Longer-term contracts would also reduce the administrative burden within the minis</w:t>
      </w:r>
      <w:r w:rsidR="00EC1527" w:rsidRPr="002E7B55">
        <w:rPr>
          <w:lang w:val="en-NZ"/>
        </w:rPr>
        <w:t>try of running many small contracts.</w:t>
      </w:r>
    </w:p>
    <w:p w14:paraId="316BEB73" w14:textId="2A070690" w:rsidR="004C2E1E" w:rsidRPr="002E7B55" w:rsidRDefault="00A97E69" w:rsidP="004C2E1E">
      <w:pPr>
        <w:pStyle w:val="ListParagraph"/>
        <w:numPr>
          <w:ilvl w:val="0"/>
          <w:numId w:val="6"/>
        </w:numPr>
        <w:rPr>
          <w:lang w:val="en-NZ"/>
        </w:rPr>
      </w:pPr>
      <w:r w:rsidRPr="002E7B55">
        <w:rPr>
          <w:lang w:val="en-NZ"/>
        </w:rPr>
        <w:t xml:space="preserve">Contract for a range of services (flu vaccinations, </w:t>
      </w:r>
      <w:proofErr w:type="spellStart"/>
      <w:r w:rsidRPr="002E7B55">
        <w:rPr>
          <w:lang w:val="en-NZ"/>
        </w:rPr>
        <w:t>mmr</w:t>
      </w:r>
      <w:proofErr w:type="spellEnd"/>
      <w:r w:rsidRPr="002E7B55">
        <w:rPr>
          <w:lang w:val="en-NZ"/>
        </w:rPr>
        <w:t xml:space="preserve">, covid-19 vaccinations, childhood vaccinations) all under one contract to reduce the provider's administrative burden, rather than holding a </w:t>
      </w:r>
      <w:r w:rsidR="0013639D" w:rsidRPr="002E7B55">
        <w:rPr>
          <w:lang w:val="en-NZ"/>
        </w:rPr>
        <w:t xml:space="preserve">separate </w:t>
      </w:r>
      <w:r w:rsidR="004C2E1E" w:rsidRPr="002E7B55">
        <w:rPr>
          <w:lang w:val="en-NZ"/>
        </w:rPr>
        <w:t xml:space="preserve">contract for each type of immunisation. </w:t>
      </w:r>
    </w:p>
    <w:p w14:paraId="1434700C" w14:textId="3A8CE4D8" w:rsidR="004C2E1E" w:rsidRPr="002E7B55" w:rsidRDefault="00A97E69" w:rsidP="004C2E1E">
      <w:pPr>
        <w:pStyle w:val="ListParagraph"/>
        <w:numPr>
          <w:ilvl w:val="0"/>
          <w:numId w:val="6"/>
        </w:numPr>
        <w:rPr>
          <w:lang w:val="en-NZ"/>
        </w:rPr>
      </w:pPr>
      <w:r w:rsidRPr="002E7B55">
        <w:rPr>
          <w:lang w:val="en-NZ"/>
        </w:rPr>
        <w:t>H</w:t>
      </w:r>
      <w:r w:rsidR="004C2E1E" w:rsidRPr="002E7B55">
        <w:rPr>
          <w:lang w:val="en-NZ"/>
        </w:rPr>
        <w:t>igher levels of funding to allow for a whānau</w:t>
      </w:r>
      <w:r w:rsidR="003240E3" w:rsidRPr="002E7B55">
        <w:rPr>
          <w:lang w:val="en-NZ"/>
        </w:rPr>
        <w:t>-</w:t>
      </w:r>
      <w:r w:rsidR="004C2E1E" w:rsidRPr="002E7B55">
        <w:rPr>
          <w:lang w:val="en-NZ"/>
        </w:rPr>
        <w:t xml:space="preserve">centred model </w:t>
      </w:r>
      <w:r w:rsidR="00BC1040" w:rsidRPr="002E7B55">
        <w:rPr>
          <w:lang w:val="en-NZ"/>
        </w:rPr>
        <w:t xml:space="preserve">of </w:t>
      </w:r>
      <w:r w:rsidR="004C2E1E" w:rsidRPr="002E7B55">
        <w:rPr>
          <w:lang w:val="en-NZ"/>
        </w:rPr>
        <w:t>care</w:t>
      </w:r>
      <w:r w:rsidR="0058311F" w:rsidRPr="002E7B55">
        <w:rPr>
          <w:lang w:val="en-NZ"/>
        </w:rPr>
        <w:t>.</w:t>
      </w:r>
    </w:p>
    <w:p w14:paraId="3ABB4AF6" w14:textId="469E68D7" w:rsidR="004C2E1E" w:rsidRPr="002E7B55" w:rsidRDefault="00A97E69" w:rsidP="004C2E1E">
      <w:pPr>
        <w:pStyle w:val="ListParagraph"/>
        <w:numPr>
          <w:ilvl w:val="0"/>
          <w:numId w:val="6"/>
        </w:numPr>
        <w:rPr>
          <w:lang w:val="en-NZ"/>
        </w:rPr>
      </w:pPr>
      <w:r w:rsidRPr="002E7B55">
        <w:rPr>
          <w:lang w:val="en-NZ"/>
        </w:rPr>
        <w:t>C</w:t>
      </w:r>
      <w:r w:rsidR="004C2E1E" w:rsidRPr="002E7B55">
        <w:rPr>
          <w:lang w:val="en-NZ"/>
        </w:rPr>
        <w:t>ommunicate the intent to fund as early as possible, ideally before planning for time-specific services occurs</w:t>
      </w:r>
      <w:r w:rsidR="0058311F" w:rsidRPr="002E7B55">
        <w:rPr>
          <w:lang w:val="en-NZ"/>
        </w:rPr>
        <w:t>.</w:t>
      </w:r>
    </w:p>
    <w:p w14:paraId="7A2675E5" w14:textId="77777777" w:rsidR="0044366D" w:rsidRDefault="0044366D">
      <w:pPr>
        <w:spacing w:before="0" w:after="160" w:line="259" w:lineRule="auto"/>
        <w:rPr>
          <w:rFonts w:asciiTheme="majorHAnsi" w:eastAsiaTheme="majorEastAsia" w:hAnsiTheme="majorHAnsi" w:cstheme="majorBidi"/>
          <w:b/>
          <w:bCs/>
          <w:color w:val="197278" w:themeColor="accent1"/>
        </w:rPr>
      </w:pPr>
      <w:r>
        <w:br w:type="page"/>
      </w:r>
    </w:p>
    <w:p w14:paraId="7359D651" w14:textId="48C2F464" w:rsidR="004C2E1E" w:rsidRPr="002E7B55" w:rsidRDefault="004C2E1E" w:rsidP="0041391C">
      <w:pPr>
        <w:pStyle w:val="Heading3"/>
      </w:pPr>
      <w:r w:rsidRPr="002E7B55">
        <w:lastRenderedPageBreak/>
        <w:t>Let communities lead</w:t>
      </w:r>
    </w:p>
    <w:p w14:paraId="587FC42E" w14:textId="77777777" w:rsidR="004C2E1E" w:rsidRPr="002E7B55" w:rsidRDefault="004C2E1E" w:rsidP="004C2E1E">
      <w:r w:rsidRPr="002E7B55">
        <w:t xml:space="preserve">Māori providers know what works in their community, and they want to be trusted to do the mahi. Māori providers put relationships with whānau first. They listen to their communities and want to respond to what whānau tell them. </w:t>
      </w:r>
    </w:p>
    <w:p w14:paraId="26BF72CA" w14:textId="291487FD" w:rsidR="00D65C1E" w:rsidRPr="002E7B55" w:rsidRDefault="00D65C1E" w:rsidP="00D65C1E">
      <w:r w:rsidRPr="002E7B55">
        <w:t xml:space="preserve">Providers have many conversations </w:t>
      </w:r>
      <w:r w:rsidR="00803CB8" w:rsidRPr="002E7B55">
        <w:t xml:space="preserve">with whānau and the community </w:t>
      </w:r>
      <w:r w:rsidRPr="002E7B55">
        <w:t xml:space="preserve">about various hauora topics throughout the year, including immunisations. They deliver integrated services across discrete programmes and contracts, but this increases the administrative burden on providers. </w:t>
      </w:r>
    </w:p>
    <w:p w14:paraId="38960223" w14:textId="4293A154" w:rsidR="004C2E1E" w:rsidRPr="002E7B55" w:rsidRDefault="004C2E1E" w:rsidP="004C2E1E">
      <w:r w:rsidRPr="002E7B55">
        <w:t xml:space="preserve">The traditional model </w:t>
      </w:r>
      <w:r w:rsidR="0013639D" w:rsidRPr="002E7B55">
        <w:t xml:space="preserve">is based on </w:t>
      </w:r>
      <w:r w:rsidRPr="002E7B55">
        <w:t>immunisations and</w:t>
      </w:r>
      <w:r w:rsidR="00BC1040" w:rsidRPr="002E7B55">
        <w:t xml:space="preserve"> </w:t>
      </w:r>
      <w:r w:rsidRPr="002E7B55">
        <w:t xml:space="preserve">healthcare </w:t>
      </w:r>
      <w:r w:rsidR="00BC1040" w:rsidRPr="002E7B55">
        <w:t xml:space="preserve">delivery </w:t>
      </w:r>
      <w:r w:rsidR="0013639D" w:rsidRPr="002E7B55">
        <w:t>occurring</w:t>
      </w:r>
      <w:r w:rsidR="00BC1040" w:rsidRPr="002E7B55">
        <w:t xml:space="preserve"> </w:t>
      </w:r>
      <w:r w:rsidRPr="002E7B55">
        <w:t xml:space="preserve">mainly through GPs and </w:t>
      </w:r>
      <w:r w:rsidR="001A2D07" w:rsidRPr="002E7B55">
        <w:t>pharmacies</w:t>
      </w:r>
      <w:r w:rsidRPr="002E7B55">
        <w:t xml:space="preserve">. However, providers </w:t>
      </w:r>
      <w:r w:rsidR="0013639D" w:rsidRPr="002E7B55">
        <w:t xml:space="preserve">report </w:t>
      </w:r>
      <w:r w:rsidRPr="002E7B55">
        <w:t xml:space="preserve">that whānau have said they want access </w:t>
      </w:r>
      <w:r w:rsidR="00BC1040" w:rsidRPr="002E7B55">
        <w:t xml:space="preserve">to </w:t>
      </w:r>
      <w:r w:rsidRPr="002E7B55">
        <w:t xml:space="preserve">vaccinations at work, at home, in the community, and </w:t>
      </w:r>
      <w:r w:rsidRPr="002E7B55">
        <w:rPr>
          <w:i/>
          <w:iCs/>
        </w:rPr>
        <w:t xml:space="preserve">sometimes </w:t>
      </w:r>
      <w:r w:rsidRPr="002E7B55">
        <w:t>at the</w:t>
      </w:r>
      <w:r w:rsidR="0013639D" w:rsidRPr="002E7B55">
        <w:t>ir</w:t>
      </w:r>
      <w:r w:rsidRPr="002E7B55">
        <w:t xml:space="preserve"> GP</w:t>
      </w:r>
      <w:r w:rsidR="0013639D" w:rsidRPr="002E7B55">
        <w:t>s</w:t>
      </w:r>
      <w:r w:rsidRPr="002E7B55">
        <w:t xml:space="preserve">. </w:t>
      </w:r>
    </w:p>
    <w:p w14:paraId="6DDCC1FE" w14:textId="33905A0A" w:rsidR="004C2E1E" w:rsidRPr="002E7B55" w:rsidRDefault="004C2E1E" w:rsidP="004C2E1E">
      <w:r w:rsidRPr="002E7B55">
        <w:t xml:space="preserve">These whānau needs make sense when </w:t>
      </w:r>
      <w:r w:rsidR="0013639D" w:rsidRPr="002E7B55">
        <w:t xml:space="preserve">one </w:t>
      </w:r>
      <w:r w:rsidRPr="002E7B55">
        <w:t>consider</w:t>
      </w:r>
      <w:r w:rsidR="0013639D" w:rsidRPr="002E7B55">
        <w:t>s</w:t>
      </w:r>
      <w:r w:rsidRPr="002E7B55">
        <w:t xml:space="preserve"> that:</w:t>
      </w:r>
    </w:p>
    <w:p w14:paraId="490B1FD7" w14:textId="48FD80C7" w:rsidR="004C2E1E" w:rsidRPr="002E7B55" w:rsidRDefault="004C2E1E" w:rsidP="004C2E1E">
      <w:pPr>
        <w:pStyle w:val="ListParagraph"/>
        <w:numPr>
          <w:ilvl w:val="0"/>
          <w:numId w:val="8"/>
        </w:numPr>
        <w:rPr>
          <w:lang w:val="en-NZ"/>
        </w:rPr>
      </w:pPr>
      <w:r w:rsidRPr="002E7B55">
        <w:rPr>
          <w:lang w:val="en-NZ"/>
        </w:rPr>
        <w:t>some whānau work in places where it's hard</w:t>
      </w:r>
      <w:r w:rsidR="00BC1040" w:rsidRPr="002E7B55">
        <w:rPr>
          <w:lang w:val="en-NZ"/>
        </w:rPr>
        <w:t>,</w:t>
      </w:r>
      <w:r w:rsidRPr="002E7B55">
        <w:rPr>
          <w:lang w:val="en-NZ"/>
        </w:rPr>
        <w:t xml:space="preserve"> </w:t>
      </w:r>
      <w:r w:rsidR="00D767EA" w:rsidRPr="002E7B55">
        <w:rPr>
          <w:lang w:val="en-NZ"/>
        </w:rPr>
        <w:t>or they can’t afford</w:t>
      </w:r>
      <w:r w:rsidR="007E2D07" w:rsidRPr="002E7B55">
        <w:rPr>
          <w:lang w:val="en-NZ"/>
        </w:rPr>
        <w:t>,</w:t>
      </w:r>
      <w:r w:rsidR="00D767EA" w:rsidRPr="002E7B55">
        <w:rPr>
          <w:lang w:val="en-NZ"/>
        </w:rPr>
        <w:t xml:space="preserve"> </w:t>
      </w:r>
      <w:r w:rsidRPr="002E7B55">
        <w:rPr>
          <w:lang w:val="en-NZ"/>
        </w:rPr>
        <w:t xml:space="preserve">to </w:t>
      </w:r>
      <w:r w:rsidR="007E2D07" w:rsidRPr="002E7B55">
        <w:rPr>
          <w:lang w:val="en-NZ"/>
        </w:rPr>
        <w:t>take</w:t>
      </w:r>
      <w:r w:rsidRPr="002E7B55">
        <w:rPr>
          <w:lang w:val="en-NZ"/>
        </w:rPr>
        <w:t xml:space="preserve"> time off work</w:t>
      </w:r>
    </w:p>
    <w:p w14:paraId="4AD14A9B" w14:textId="4042392B" w:rsidR="004C2E1E" w:rsidRPr="002E7B55" w:rsidRDefault="004C2E1E" w:rsidP="004C2E1E">
      <w:pPr>
        <w:pStyle w:val="ListParagraph"/>
        <w:numPr>
          <w:ilvl w:val="0"/>
          <w:numId w:val="8"/>
        </w:numPr>
        <w:rPr>
          <w:lang w:val="en-NZ"/>
        </w:rPr>
      </w:pPr>
      <w:r w:rsidRPr="002E7B55">
        <w:rPr>
          <w:lang w:val="en-NZ"/>
        </w:rPr>
        <w:t>some whānau do not have transport or money for fuel and therefore need to be seen at home</w:t>
      </w:r>
    </w:p>
    <w:p w14:paraId="5A27EB6E" w14:textId="1C330414" w:rsidR="004C2E1E" w:rsidRPr="002E7B55" w:rsidRDefault="004C2E1E" w:rsidP="004C2E1E">
      <w:pPr>
        <w:pStyle w:val="ListParagraph"/>
        <w:numPr>
          <w:ilvl w:val="0"/>
          <w:numId w:val="8"/>
        </w:numPr>
        <w:rPr>
          <w:lang w:val="en-NZ"/>
        </w:rPr>
      </w:pPr>
      <w:r w:rsidRPr="002E7B55">
        <w:rPr>
          <w:lang w:val="en-NZ"/>
        </w:rPr>
        <w:t xml:space="preserve">some whānau have had poor experiences with GPs and </w:t>
      </w:r>
      <w:r w:rsidR="00BC1040" w:rsidRPr="002E7B55">
        <w:rPr>
          <w:lang w:val="en-NZ"/>
        </w:rPr>
        <w:t xml:space="preserve">the </w:t>
      </w:r>
      <w:r w:rsidRPr="002E7B55">
        <w:rPr>
          <w:lang w:val="en-NZ"/>
        </w:rPr>
        <w:t xml:space="preserve">primary healthcare system, and so </w:t>
      </w:r>
      <w:r w:rsidR="0013639D" w:rsidRPr="002E7B55">
        <w:rPr>
          <w:lang w:val="en-NZ"/>
        </w:rPr>
        <w:t xml:space="preserve">they </w:t>
      </w:r>
      <w:r w:rsidRPr="002E7B55">
        <w:rPr>
          <w:lang w:val="en-NZ"/>
        </w:rPr>
        <w:t>do not have the confidence to go to a GP</w:t>
      </w:r>
    </w:p>
    <w:p w14:paraId="487FD3F8" w14:textId="71375415" w:rsidR="004C2E1E" w:rsidRPr="002E7B55" w:rsidRDefault="004C2E1E" w:rsidP="004C2E1E">
      <w:pPr>
        <w:pStyle w:val="ListParagraph"/>
        <w:numPr>
          <w:ilvl w:val="0"/>
          <w:numId w:val="8"/>
        </w:numPr>
        <w:rPr>
          <w:lang w:val="en-NZ"/>
        </w:rPr>
      </w:pPr>
      <w:r w:rsidRPr="002E7B55">
        <w:rPr>
          <w:lang w:val="en-NZ"/>
        </w:rPr>
        <w:t>some whānau are struggling with fundamental needs, such as housing and food</w:t>
      </w:r>
      <w:r w:rsidR="0058311F" w:rsidRPr="002E7B55">
        <w:rPr>
          <w:lang w:val="en-NZ"/>
        </w:rPr>
        <w:t>.</w:t>
      </w:r>
    </w:p>
    <w:p w14:paraId="6AF3B858" w14:textId="392D7F41" w:rsidR="004C2E1E" w:rsidRPr="002E7B55" w:rsidRDefault="00D65C1E" w:rsidP="004C2E1E">
      <w:r w:rsidRPr="002E7B55">
        <w:t xml:space="preserve">Providers need contracts, funding </w:t>
      </w:r>
      <w:r w:rsidR="00B77CCF" w:rsidRPr="002E7B55">
        <w:t>and</w:t>
      </w:r>
      <w:r w:rsidRPr="002E7B55">
        <w:t xml:space="preserve"> reporting</w:t>
      </w:r>
      <w:r w:rsidR="0013639D" w:rsidRPr="002E7B55">
        <w:t xml:space="preserve"> requirements</w:t>
      </w:r>
      <w:r w:rsidRPr="002E7B55">
        <w:t xml:space="preserve"> that </w:t>
      </w:r>
      <w:r w:rsidR="0013639D" w:rsidRPr="002E7B55">
        <w:t xml:space="preserve">are designed to </w:t>
      </w:r>
      <w:r w:rsidRPr="002E7B55">
        <w:t xml:space="preserve">enable them to offer the full scope of services whenever and wherever they engage with whānau. </w:t>
      </w:r>
    </w:p>
    <w:p w14:paraId="22F3ED59" w14:textId="0D0B30C2" w:rsidR="004C2E1E" w:rsidRPr="002E7B55" w:rsidRDefault="004C2E1E" w:rsidP="0041391C">
      <w:pPr>
        <w:pStyle w:val="Heading3"/>
      </w:pPr>
      <w:r w:rsidRPr="002E7B55">
        <w:t>Invest in people (resource sufficiently</w:t>
      </w:r>
      <w:r w:rsidR="0013639D" w:rsidRPr="002E7B55">
        <w:t>,</w:t>
      </w:r>
      <w:r w:rsidRPr="002E7B55">
        <w:t xml:space="preserve"> including in people)</w:t>
      </w:r>
    </w:p>
    <w:p w14:paraId="02E54009" w14:textId="4EBAC12C" w:rsidR="004C2E1E" w:rsidRPr="002E7B55" w:rsidRDefault="004C2E1E" w:rsidP="004C2E1E">
      <w:r w:rsidRPr="002E7B55">
        <w:t xml:space="preserve">Māori providers want to invest in staff and resources </w:t>
      </w:r>
      <w:r w:rsidR="0013639D" w:rsidRPr="002E7B55">
        <w:t xml:space="preserve">so that they are able </w:t>
      </w:r>
      <w:r w:rsidRPr="002E7B55">
        <w:t xml:space="preserve">to respond to their community. </w:t>
      </w:r>
      <w:r w:rsidR="0013639D" w:rsidRPr="002E7B55">
        <w:t xml:space="preserve">To do this, these providers need more money and more certainty for their workforce. </w:t>
      </w:r>
    </w:p>
    <w:p w14:paraId="2FD63E6F" w14:textId="55ADF318" w:rsidR="004C2E1E" w:rsidRPr="002E7B55" w:rsidRDefault="70D53BCA" w:rsidP="004C2E1E">
      <w:r w:rsidRPr="002E7B55">
        <w:t xml:space="preserve">Māori providers identified a strong need for Māori clinicians and </w:t>
      </w:r>
      <w:r w:rsidR="00FD001C" w:rsidRPr="002E7B55">
        <w:t>health workers</w:t>
      </w:r>
      <w:r w:rsidRPr="002E7B55">
        <w:t xml:space="preserve"> with </w:t>
      </w:r>
      <w:r w:rsidR="0013639D" w:rsidRPr="002E7B55">
        <w:t xml:space="preserve">a Te Ao </w:t>
      </w:r>
      <w:r w:rsidRPr="002E7B55">
        <w:t xml:space="preserve">Māori </w:t>
      </w:r>
      <w:r w:rsidR="0013639D" w:rsidRPr="002E7B55">
        <w:t xml:space="preserve">(Māori </w:t>
      </w:r>
      <w:r w:rsidRPr="002E7B55">
        <w:t>world</w:t>
      </w:r>
      <w:r w:rsidR="0013639D" w:rsidRPr="002E7B55">
        <w:t xml:space="preserve"> </w:t>
      </w:r>
      <w:r w:rsidRPr="002E7B55">
        <w:t>view</w:t>
      </w:r>
      <w:r w:rsidR="0013639D" w:rsidRPr="002E7B55">
        <w:t>)</w:t>
      </w:r>
      <w:r w:rsidRPr="002E7B55">
        <w:t xml:space="preserve"> to work with whānau. Whānau want to connect with Māori staff, who know them and the local community. Whānau </w:t>
      </w:r>
      <w:r w:rsidR="0013639D" w:rsidRPr="002E7B55">
        <w:t xml:space="preserve">are </w:t>
      </w:r>
      <w:r w:rsidRPr="002E7B55">
        <w:t xml:space="preserve">more comfortable with Māori staff and </w:t>
      </w:r>
      <w:proofErr w:type="gramStart"/>
      <w:r w:rsidRPr="002E7B55">
        <w:t>put up</w:t>
      </w:r>
      <w:proofErr w:type="gramEnd"/>
      <w:r w:rsidRPr="002E7B55">
        <w:t xml:space="preserve"> fewer blocks and barriers to </w:t>
      </w:r>
      <w:r w:rsidR="00FD001C" w:rsidRPr="002E7B55">
        <w:t>engagement</w:t>
      </w:r>
      <w:r w:rsidRPr="002E7B55">
        <w:t xml:space="preserve">. Māori staff are more likely to be able to work in a way that gives effect to kaupapa Māori and tikanga Māori. </w:t>
      </w:r>
    </w:p>
    <w:p w14:paraId="492605C3" w14:textId="6F7544C1" w:rsidR="004C2E1E" w:rsidRPr="002E7B55" w:rsidRDefault="0013639D" w:rsidP="004C2E1E">
      <w:r w:rsidRPr="002E7B55">
        <w:t xml:space="preserve">A skilled, qualified Māori workforce is a critical element in the delivery of whānau-centred services. </w:t>
      </w:r>
      <w:r w:rsidR="004C2E1E" w:rsidRPr="002E7B55">
        <w:t>One of the most urgent calls from Māori providers</w:t>
      </w:r>
      <w:r w:rsidRPr="002E7B55">
        <w:t xml:space="preserve"> in this regard</w:t>
      </w:r>
      <w:r w:rsidR="004C2E1E" w:rsidRPr="002E7B55">
        <w:t xml:space="preserve"> is for multi-year contracts. Longer-term contracts of three to five years would give providers:</w:t>
      </w:r>
    </w:p>
    <w:p w14:paraId="52B7E7B9" w14:textId="77777777" w:rsidR="004C2E1E" w:rsidRPr="002E7B55" w:rsidRDefault="004C2E1E" w:rsidP="004C2E1E">
      <w:pPr>
        <w:pStyle w:val="ListParagraph"/>
        <w:numPr>
          <w:ilvl w:val="0"/>
          <w:numId w:val="7"/>
        </w:numPr>
        <w:rPr>
          <w:lang w:val="en-NZ"/>
        </w:rPr>
      </w:pPr>
      <w:r w:rsidRPr="002E7B55">
        <w:rPr>
          <w:lang w:val="en-NZ"/>
        </w:rPr>
        <w:t>more confidence to recruit and retain their workforce</w:t>
      </w:r>
    </w:p>
    <w:p w14:paraId="12FA1C97" w14:textId="37DC5C68" w:rsidR="004C2E1E" w:rsidRPr="002E7B55" w:rsidRDefault="004C2E1E" w:rsidP="004C2E1E">
      <w:pPr>
        <w:pStyle w:val="ListParagraph"/>
        <w:numPr>
          <w:ilvl w:val="0"/>
          <w:numId w:val="7"/>
        </w:numPr>
        <w:rPr>
          <w:lang w:val="en-NZ"/>
        </w:rPr>
      </w:pPr>
      <w:r w:rsidRPr="002E7B55">
        <w:rPr>
          <w:lang w:val="en-NZ"/>
        </w:rPr>
        <w:t>more confidence to take an organisational-wide approach to learning and professional development</w:t>
      </w:r>
    </w:p>
    <w:p w14:paraId="1BD1C91E" w14:textId="5DE0A437" w:rsidR="0013639D" w:rsidRPr="002E7B55" w:rsidRDefault="0013639D" w:rsidP="0013639D">
      <w:pPr>
        <w:pStyle w:val="ListParagraph"/>
        <w:numPr>
          <w:ilvl w:val="0"/>
          <w:numId w:val="7"/>
        </w:numPr>
        <w:rPr>
          <w:lang w:val="en-NZ"/>
        </w:rPr>
      </w:pPr>
      <w:r w:rsidRPr="002E7B55">
        <w:rPr>
          <w:lang w:val="en-NZ"/>
        </w:rPr>
        <w:t>support their planning and ongoing innovation</w:t>
      </w:r>
    </w:p>
    <w:p w14:paraId="20278906" w14:textId="52EA3392" w:rsidR="004C2E1E" w:rsidRPr="002E7B55" w:rsidRDefault="004C2E1E" w:rsidP="004C2E1E">
      <w:pPr>
        <w:pStyle w:val="ListParagraph"/>
        <w:numPr>
          <w:ilvl w:val="0"/>
          <w:numId w:val="7"/>
        </w:numPr>
        <w:rPr>
          <w:lang w:val="en-NZ"/>
        </w:rPr>
      </w:pPr>
      <w:r w:rsidRPr="002E7B55">
        <w:rPr>
          <w:lang w:val="en-NZ"/>
        </w:rPr>
        <w:t xml:space="preserve">reduce </w:t>
      </w:r>
      <w:r w:rsidR="005C13A6" w:rsidRPr="002E7B55">
        <w:rPr>
          <w:lang w:val="en-NZ"/>
        </w:rPr>
        <w:t>administering</w:t>
      </w:r>
      <w:r w:rsidRPr="002E7B55">
        <w:rPr>
          <w:lang w:val="en-NZ"/>
        </w:rPr>
        <w:t xml:space="preserve"> contracting on an annual or more frequent basis. </w:t>
      </w:r>
    </w:p>
    <w:p w14:paraId="15A3A3F2" w14:textId="77777777" w:rsidR="0044366D" w:rsidRDefault="0044366D">
      <w:pPr>
        <w:spacing w:before="0" w:after="160" w:line="259" w:lineRule="auto"/>
        <w:rPr>
          <w:rFonts w:asciiTheme="majorHAnsi" w:eastAsiaTheme="majorEastAsia" w:hAnsiTheme="majorHAnsi" w:cstheme="majorBidi"/>
          <w:b/>
          <w:bCs/>
          <w:color w:val="197278" w:themeColor="accent1"/>
        </w:rPr>
      </w:pPr>
      <w:r>
        <w:br w:type="page"/>
      </w:r>
    </w:p>
    <w:p w14:paraId="1EEA0BEE" w14:textId="3085BCAA" w:rsidR="004C2E1E" w:rsidRPr="002E7B55" w:rsidRDefault="004C2E1E" w:rsidP="0041391C">
      <w:pPr>
        <w:pStyle w:val="Heading3"/>
      </w:pPr>
      <w:r w:rsidRPr="002E7B55">
        <w:lastRenderedPageBreak/>
        <w:t xml:space="preserve">Support a culture of continuous learning </w:t>
      </w:r>
    </w:p>
    <w:p w14:paraId="13D87CC9" w14:textId="37CB789B" w:rsidR="004C2E1E" w:rsidRPr="002E7B55" w:rsidRDefault="004C2E1E" w:rsidP="004C2E1E">
      <w:r w:rsidRPr="002E7B55">
        <w:t xml:space="preserve">Collaboration and relationships are fundamental to working in a kaupapa Māori, whānau-centred way. </w:t>
      </w:r>
      <w:r w:rsidR="00EF0490" w:rsidRPr="002E7B55">
        <w:t xml:space="preserve">A learning community is more likely to bring about </w:t>
      </w:r>
      <w:proofErr w:type="gramStart"/>
      <w:r w:rsidR="00EF0490" w:rsidRPr="002E7B55">
        <w:t>longer</w:t>
      </w:r>
      <w:r w:rsidR="000322D2" w:rsidRPr="002E7B55">
        <w:t xml:space="preserve"> </w:t>
      </w:r>
      <w:r w:rsidR="00EF0490" w:rsidRPr="002E7B55">
        <w:t>term</w:t>
      </w:r>
      <w:proofErr w:type="gramEnd"/>
      <w:r w:rsidR="00EF0490" w:rsidRPr="002E7B55">
        <w:t xml:space="preserve"> collaboration</w:t>
      </w:r>
      <w:sdt>
        <w:sdtPr>
          <w:id w:val="-1743558892"/>
          <w:citation/>
        </w:sdtPr>
        <w:sdtEndPr/>
        <w:sdtContent>
          <w:r w:rsidR="00EF0490" w:rsidRPr="002E7B55">
            <w:fldChar w:fldCharType="begin"/>
          </w:r>
          <w:r w:rsidR="00EF0490" w:rsidRPr="002E7B55">
            <w:instrText xml:space="preserve"> CITATION Oak211 \l 1153 </w:instrText>
          </w:r>
          <w:r w:rsidR="00EF0490" w:rsidRPr="002E7B55">
            <w:fldChar w:fldCharType="separate"/>
          </w:r>
          <w:r w:rsidR="00025361" w:rsidRPr="002E7B55">
            <w:t xml:space="preserve"> (3)</w:t>
          </w:r>
          <w:r w:rsidR="00EF0490" w:rsidRPr="002E7B55">
            <w:fldChar w:fldCharType="end"/>
          </w:r>
        </w:sdtContent>
      </w:sdt>
      <w:r w:rsidR="00EF0490" w:rsidRPr="002E7B55">
        <w:t>.</w:t>
      </w:r>
    </w:p>
    <w:p w14:paraId="7337DDE5" w14:textId="18E84E3A" w:rsidR="004C2E1E" w:rsidRPr="002E7B55" w:rsidRDefault="004C2E1E" w:rsidP="004C2E1E">
      <w:r w:rsidRPr="002E7B55">
        <w:t xml:space="preserve">Māori providers </w:t>
      </w:r>
      <w:r w:rsidR="00D15C94" w:rsidRPr="002E7B55">
        <w:t xml:space="preserve">already </w:t>
      </w:r>
      <w:r w:rsidRPr="002E7B55">
        <w:t>have a culture of continuous learning</w:t>
      </w:r>
      <w:r w:rsidR="001C0573" w:rsidRPr="002E7B55">
        <w:t>.</w:t>
      </w:r>
      <w:r w:rsidRPr="002E7B55">
        <w:t xml:space="preserve"> </w:t>
      </w:r>
      <w:r w:rsidR="00D15C94" w:rsidRPr="002E7B55">
        <w:t xml:space="preserve">They have a deep passion for helping their community and, as Māori, they are motivated to make a difference. </w:t>
      </w:r>
      <w:r w:rsidRPr="002E7B55">
        <w:t xml:space="preserve">They reach out to </w:t>
      </w:r>
      <w:r w:rsidR="00BC1040" w:rsidRPr="002E7B55">
        <w:t>one another</w:t>
      </w:r>
      <w:r w:rsidRPr="002E7B55">
        <w:t>, sharing knowledge and strategies about what works</w:t>
      </w:r>
      <w:r w:rsidR="00D15C94" w:rsidRPr="002E7B55">
        <w:t>.</w:t>
      </w:r>
      <w:r w:rsidRPr="002E7B55">
        <w:t xml:space="preserve"> </w:t>
      </w:r>
      <w:r w:rsidR="00B61A02" w:rsidRPr="002E7B55">
        <w:t xml:space="preserve">This </w:t>
      </w:r>
      <w:r w:rsidR="000322D2" w:rsidRPr="002E7B55">
        <w:t xml:space="preserve">typically </w:t>
      </w:r>
      <w:r w:rsidR="00B61A02" w:rsidRPr="002E7B55">
        <w:t>happens in an informal, ad hoc way</w:t>
      </w:r>
      <w:r w:rsidR="000322D2" w:rsidRPr="002E7B55">
        <w:t>,</w:t>
      </w:r>
      <w:r w:rsidR="00B61A02" w:rsidRPr="002E7B55">
        <w:t xml:space="preserve"> </w:t>
      </w:r>
      <w:r w:rsidR="000322D2" w:rsidRPr="002E7B55">
        <w:t>yet</w:t>
      </w:r>
      <w:r w:rsidR="00B61A02" w:rsidRPr="002E7B55">
        <w:t xml:space="preserve"> service delivery demands</w:t>
      </w:r>
      <w:r w:rsidRPr="002E7B55">
        <w:t xml:space="preserve"> makes it difficult for some providers to share and connect as much as they would like. </w:t>
      </w:r>
      <w:r w:rsidR="00BC1040" w:rsidRPr="002E7B55">
        <w:t>Nevertheless, providers</w:t>
      </w:r>
      <w:r w:rsidRPr="002E7B55">
        <w:t xml:space="preserve"> said they would value the opportunity to share their knowledge and learn from other Māori providers a</w:t>
      </w:r>
      <w:r w:rsidR="00BC1040" w:rsidRPr="002E7B55">
        <w:t>nd</w:t>
      </w:r>
      <w:r w:rsidRPr="002E7B55">
        <w:t xml:space="preserve"> other people and organisations within the broader health </w:t>
      </w:r>
      <w:r w:rsidR="00A82A39" w:rsidRPr="002E7B55">
        <w:t>sector</w:t>
      </w:r>
      <w:r w:rsidR="00BC1040" w:rsidRPr="002E7B55">
        <w:t xml:space="preserve">. </w:t>
      </w:r>
    </w:p>
    <w:p w14:paraId="1583B29E" w14:textId="6B0904C3" w:rsidR="004C2E1E" w:rsidRPr="002E7B55" w:rsidRDefault="004C2E1E" w:rsidP="004C2E1E">
      <w:r w:rsidRPr="002E7B55">
        <w:t xml:space="preserve">In 2020, one </w:t>
      </w:r>
      <w:r w:rsidR="00BC1040" w:rsidRPr="002E7B55">
        <w:t>DHB</w:t>
      </w:r>
      <w:r w:rsidRPr="002E7B55">
        <w:t xml:space="preserve"> br</w:t>
      </w:r>
      <w:r w:rsidR="00BC1040" w:rsidRPr="002E7B55">
        <w:t>ought</w:t>
      </w:r>
      <w:r w:rsidRPr="002E7B55">
        <w:t xml:space="preserve"> together providers and collaborators to share data and learnings and identify actions to improve and </w:t>
      </w:r>
      <w:r w:rsidR="00BC1040" w:rsidRPr="002E7B55">
        <w:t>strengthen</w:t>
      </w:r>
      <w:r w:rsidRPr="002E7B55">
        <w:t xml:space="preserve"> their MIVP-funded activities. In 2021, some MIMVP providers </w:t>
      </w:r>
      <w:r w:rsidR="00BC1040" w:rsidRPr="002E7B55">
        <w:t>employed a similar approach</w:t>
      </w:r>
      <w:r w:rsidRPr="002E7B55">
        <w:t xml:space="preserve"> for their COVID-19 response. </w:t>
      </w:r>
    </w:p>
    <w:p w14:paraId="4A5C2636" w14:textId="621FA77F" w:rsidR="004C2E1E" w:rsidRPr="002E7B55" w:rsidRDefault="004C2E1E" w:rsidP="004C2E1E">
      <w:r w:rsidRPr="002E7B55">
        <w:t xml:space="preserve">Recognising the benefit of this work, </w:t>
      </w:r>
      <w:r w:rsidR="00632CC6" w:rsidRPr="002E7B55">
        <w:t>t</w:t>
      </w:r>
      <w:r w:rsidRPr="002E7B55">
        <w:t xml:space="preserve">he Ministry, in collaboration with the evaluation team, designed </w:t>
      </w:r>
      <w:r w:rsidR="00F87E23" w:rsidRPr="002E7B55">
        <w:t xml:space="preserve">an </w:t>
      </w:r>
      <w:r w:rsidR="001C25E8" w:rsidRPr="002E7B55">
        <w:t>insights dashboard</w:t>
      </w:r>
      <w:r w:rsidRPr="002E7B55">
        <w:t xml:space="preserve"> that included both vaccination rates (at national, regional and provider levels) and learnings from the monthly monitoring report surveys. Providers and DHBs who commented positively about the dashboards valued the examples shared and took pride in</w:t>
      </w:r>
      <w:r w:rsidR="00F87E23" w:rsidRPr="002E7B55">
        <w:t xml:space="preserve"> </w:t>
      </w:r>
      <w:r w:rsidRPr="002E7B55">
        <w:t xml:space="preserve">their efforts </w:t>
      </w:r>
      <w:r w:rsidR="00F87E23" w:rsidRPr="002E7B55">
        <w:t xml:space="preserve">being </w:t>
      </w:r>
      <w:r w:rsidR="00BC1040" w:rsidRPr="002E7B55">
        <w:t>recognised</w:t>
      </w:r>
      <w:r w:rsidRPr="002E7B55">
        <w:t xml:space="preserve"> nationally. </w:t>
      </w:r>
    </w:p>
    <w:p w14:paraId="2E889BD7" w14:textId="11F55C03" w:rsidR="00FD6369" w:rsidRPr="002E7B55" w:rsidRDefault="00632CC6" w:rsidP="004C2E1E">
      <w:r w:rsidRPr="002E7B55">
        <w:t xml:space="preserve">The </w:t>
      </w:r>
      <w:r w:rsidR="004C2E1E" w:rsidRPr="002E7B55">
        <w:t xml:space="preserve">Ministry </w:t>
      </w:r>
      <w:r w:rsidRPr="002E7B55">
        <w:t xml:space="preserve">should fund </w:t>
      </w:r>
      <w:r w:rsidR="004C2E1E" w:rsidRPr="002E7B55">
        <w:t xml:space="preserve">learning opportunities for providers to share and </w:t>
      </w:r>
      <w:r w:rsidR="00AA6D44" w:rsidRPr="002E7B55">
        <w:t xml:space="preserve">learn </w:t>
      </w:r>
      <w:r w:rsidR="004C2E1E" w:rsidRPr="002E7B55">
        <w:t xml:space="preserve">directly with </w:t>
      </w:r>
      <w:r w:rsidR="005C13A6" w:rsidRPr="002E7B55">
        <w:t>one another</w:t>
      </w:r>
      <w:r w:rsidR="004C2E1E" w:rsidRPr="002E7B55">
        <w:t xml:space="preserve">. </w:t>
      </w:r>
    </w:p>
    <w:p w14:paraId="4EAB436D" w14:textId="6523A2B7" w:rsidR="00233E3F" w:rsidRPr="002E7B55" w:rsidRDefault="00233E3F" w:rsidP="00233E3F">
      <w:pPr>
        <w:pStyle w:val="Heading2"/>
      </w:pPr>
      <w:r w:rsidRPr="002E7B55">
        <w:t>A strategic focus on Māori health equity</w:t>
      </w:r>
    </w:p>
    <w:p w14:paraId="49ADB1CD" w14:textId="2BEFBAC2" w:rsidR="00233E3F" w:rsidRPr="002E7B55" w:rsidRDefault="70D53BCA" w:rsidP="007532B3">
      <w:r w:rsidRPr="002E7B55">
        <w:t xml:space="preserve">The Aotearoa New Zealand health system is </w:t>
      </w:r>
      <w:r w:rsidR="00BC1040" w:rsidRPr="002E7B55">
        <w:t>transitioning</w:t>
      </w:r>
      <w:r w:rsidR="000322D2" w:rsidRPr="002E7B55">
        <w:t>,</w:t>
      </w:r>
      <w:r w:rsidRPr="002E7B55">
        <w:t xml:space="preserve"> with HNZ and </w:t>
      </w:r>
      <w:r w:rsidR="00803CB8" w:rsidRPr="002E7B55">
        <w:t xml:space="preserve">the </w:t>
      </w:r>
      <w:r w:rsidRPr="002E7B55">
        <w:t xml:space="preserve">MHA poised to become part of the system on 1 July this year. </w:t>
      </w:r>
      <w:r w:rsidR="00184372" w:rsidRPr="002E7B55">
        <w:t>Th</w:t>
      </w:r>
      <w:r w:rsidR="004224ED" w:rsidRPr="002E7B55">
        <w:t>ere</w:t>
      </w:r>
      <w:r w:rsidR="00BC1040" w:rsidRPr="002E7B55">
        <w:t xml:space="preserve"> is an opportunity for t</w:t>
      </w:r>
      <w:r w:rsidRPr="002E7B55">
        <w:t>he Ministry, HNZ and the MHA to</w:t>
      </w:r>
      <w:r w:rsidR="007532B3" w:rsidRPr="002E7B55">
        <w:t xml:space="preserve"> </w:t>
      </w:r>
      <w:r w:rsidR="00BC1040" w:rsidRPr="002E7B55">
        <w:t>redesign</w:t>
      </w:r>
      <w:r w:rsidRPr="002E7B55">
        <w:t xml:space="preserve"> </w:t>
      </w:r>
      <w:r w:rsidR="00A16BE2" w:rsidRPr="002E7B55">
        <w:t xml:space="preserve">the </w:t>
      </w:r>
      <w:r w:rsidRPr="002E7B55">
        <w:t xml:space="preserve">healthcare </w:t>
      </w:r>
      <w:r w:rsidR="00BC1040" w:rsidRPr="002E7B55">
        <w:t>focus on Māori health equity</w:t>
      </w:r>
      <w:r w:rsidR="007532B3" w:rsidRPr="002E7B55">
        <w:t xml:space="preserve">, and </w:t>
      </w:r>
      <w:r w:rsidR="00A16BE2" w:rsidRPr="002E7B55">
        <w:t xml:space="preserve">to </w:t>
      </w:r>
      <w:r w:rsidRPr="002E7B55">
        <w:t xml:space="preserve">implement new policies, strategies, and ways of working </w:t>
      </w:r>
      <w:r w:rsidR="00BC1040" w:rsidRPr="002E7B55">
        <w:t>that pursue</w:t>
      </w:r>
      <w:r w:rsidRPr="002E7B55">
        <w:t xml:space="preserve"> health equity for Māori.</w:t>
      </w:r>
    </w:p>
    <w:p w14:paraId="0B6D45CF" w14:textId="700DADFB" w:rsidR="00D335F8" w:rsidRPr="002E7B55" w:rsidRDefault="00465201" w:rsidP="001B30B3">
      <w:r w:rsidRPr="002E7B55">
        <w:t>The Ministry’s definition of equity acknowledges that “in Aotearoa New Zealand, people have differences in health that are not only avoidable but unfair and unjust. Equity recognises different people with different levels of advantage require different approaches and resources to get equitable health outcomes”</w:t>
      </w:r>
      <w:sdt>
        <w:sdtPr>
          <w:rPr>
            <w:i/>
            <w:iCs/>
          </w:rPr>
          <w:id w:val="-344553958"/>
          <w:citation/>
        </w:sdtPr>
        <w:sdtEndPr/>
        <w:sdtContent>
          <w:r w:rsidR="00AF00BB" w:rsidRPr="002E7B55">
            <w:rPr>
              <w:i/>
              <w:iCs/>
            </w:rPr>
            <w:fldChar w:fldCharType="begin"/>
          </w:r>
          <w:r w:rsidR="00AF00BB" w:rsidRPr="002E7B55">
            <w:rPr>
              <w:i/>
              <w:iCs/>
            </w:rPr>
            <w:instrText xml:space="preserve"> CITATION Blo19 \l 1153 </w:instrText>
          </w:r>
          <w:r w:rsidR="00AF00BB" w:rsidRPr="002E7B55">
            <w:rPr>
              <w:i/>
              <w:iCs/>
            </w:rPr>
            <w:fldChar w:fldCharType="separate"/>
          </w:r>
          <w:r w:rsidR="00025361" w:rsidRPr="002E7B55">
            <w:rPr>
              <w:i/>
              <w:iCs/>
            </w:rPr>
            <w:t xml:space="preserve"> </w:t>
          </w:r>
          <w:r w:rsidR="00025361" w:rsidRPr="002E7B55">
            <w:t>(4)</w:t>
          </w:r>
          <w:r w:rsidR="00AF00BB" w:rsidRPr="002E7B55">
            <w:rPr>
              <w:i/>
              <w:iCs/>
            </w:rPr>
            <w:fldChar w:fldCharType="end"/>
          </w:r>
        </w:sdtContent>
      </w:sdt>
      <w:r w:rsidR="00D335F8" w:rsidRPr="002E7B55">
        <w:rPr>
          <w:i/>
          <w:iCs/>
        </w:rPr>
        <w:t>.</w:t>
      </w:r>
      <w:r w:rsidR="00D335F8" w:rsidRPr="002E7B55">
        <w:t xml:space="preserve"> </w:t>
      </w:r>
    </w:p>
    <w:p w14:paraId="41F4F92D" w14:textId="60F8935B" w:rsidR="001B30B3" w:rsidRPr="002E7B55" w:rsidRDefault="70D53BCA" w:rsidP="001B30B3">
      <w:r w:rsidRPr="002E7B55">
        <w:t>Equity is about everyone receiving what they need to have access, opportunities, and a fair chance to succeed. Equity recognises that the same for everyone doesn’t always address the critical needs or individualized solutions necessary to achieve greater fairness of treatment and outcomes. For Māori</w:t>
      </w:r>
      <w:r w:rsidR="00BC1040" w:rsidRPr="002E7B55">
        <w:t>,</w:t>
      </w:r>
      <w:r w:rsidRPr="002E7B55">
        <w:t xml:space="preserve"> it is about their rights guaranteed by </w:t>
      </w:r>
      <w:r w:rsidR="00A16BE2" w:rsidRPr="002E7B55">
        <w:t>T</w:t>
      </w:r>
      <w:r w:rsidRPr="002E7B55">
        <w:t>e Tiriti o Waitangi.</w:t>
      </w:r>
    </w:p>
    <w:p w14:paraId="0C29B7E7" w14:textId="402ADF3B" w:rsidR="004D7B33" w:rsidRPr="002E7B55" w:rsidRDefault="0041391C" w:rsidP="0041391C">
      <w:pPr>
        <w:pStyle w:val="Heading3"/>
        <w:rPr>
          <w:rFonts w:ascii="Montserrat" w:hAnsi="Montserrat"/>
          <w:szCs w:val="20"/>
        </w:rPr>
      </w:pPr>
      <w:r w:rsidRPr="002E7B55">
        <w:t xml:space="preserve">Hand over </w:t>
      </w:r>
      <w:r w:rsidR="70D53BCA" w:rsidRPr="002E7B55">
        <w:t xml:space="preserve">decision-making and funding </w:t>
      </w:r>
      <w:r w:rsidRPr="002E7B55">
        <w:t xml:space="preserve">to </w:t>
      </w:r>
      <w:r w:rsidR="70D53BCA" w:rsidRPr="002E7B55">
        <w:t xml:space="preserve">Māori </w:t>
      </w:r>
    </w:p>
    <w:p w14:paraId="6153C5B3" w14:textId="4461F45F" w:rsidR="004D7B33" w:rsidRPr="002E7B55" w:rsidRDefault="004D7B33" w:rsidP="004D7B33">
      <w:r w:rsidRPr="002E7B55">
        <w:t>Central to the notion of Māori health equity is Māori control</w:t>
      </w:r>
      <w:sdt>
        <w:sdtPr>
          <w:id w:val="55446904"/>
          <w:citation/>
        </w:sdtPr>
        <w:sdtEndPr/>
        <w:sdtContent>
          <w:r w:rsidR="00A4708C" w:rsidRPr="002E7B55">
            <w:fldChar w:fldCharType="begin"/>
          </w:r>
          <w:r w:rsidR="00A4708C" w:rsidRPr="002E7B55">
            <w:instrText xml:space="preserve"> CITATION Dur99 \l 1153 </w:instrText>
          </w:r>
          <w:r w:rsidR="00A4708C" w:rsidRPr="002E7B55">
            <w:fldChar w:fldCharType="separate"/>
          </w:r>
          <w:r w:rsidR="00025361" w:rsidRPr="002E7B55">
            <w:t xml:space="preserve"> (5)</w:t>
          </w:r>
          <w:r w:rsidR="00A4708C" w:rsidRPr="002E7B55">
            <w:fldChar w:fldCharType="end"/>
          </w:r>
        </w:sdtContent>
      </w:sdt>
      <w:r w:rsidR="00D335F8" w:rsidRPr="002E7B55">
        <w:t>.</w:t>
      </w:r>
      <w:r w:rsidRPr="002E7B55">
        <w:t xml:space="preserve"> Kaupapa Māori theory</w:t>
      </w:r>
      <w:sdt>
        <w:sdtPr>
          <w:id w:val="1727951848"/>
          <w:citation/>
        </w:sdtPr>
        <w:sdtEndPr/>
        <w:sdtContent>
          <w:r w:rsidR="00A4708C" w:rsidRPr="002E7B55">
            <w:fldChar w:fldCharType="begin"/>
          </w:r>
          <w:r w:rsidR="00A4708C" w:rsidRPr="002E7B55">
            <w:instrText xml:space="preserve"> CITATION Smi97 \l 1153 </w:instrText>
          </w:r>
          <w:r w:rsidR="00A4708C" w:rsidRPr="002E7B55">
            <w:fldChar w:fldCharType="separate"/>
          </w:r>
          <w:r w:rsidR="00025361" w:rsidRPr="002E7B55">
            <w:t xml:space="preserve"> (6)</w:t>
          </w:r>
          <w:r w:rsidR="00A4708C" w:rsidRPr="002E7B55">
            <w:fldChar w:fldCharType="end"/>
          </w:r>
        </w:sdtContent>
      </w:sdt>
      <w:r w:rsidR="00D335F8" w:rsidRPr="002E7B55">
        <w:t xml:space="preserve"> </w:t>
      </w:r>
      <w:r w:rsidRPr="002E7B55">
        <w:t xml:space="preserve">asserts Māori rights to be self-determining and to exercise control and decision-making over their lives and the things that matter to Māori. </w:t>
      </w:r>
      <w:r w:rsidR="00A16BE2" w:rsidRPr="002E7B55">
        <w:t>“</w:t>
      </w:r>
      <w:r w:rsidRPr="002E7B55">
        <w:t>By Māori, for Māori, as Māori</w:t>
      </w:r>
      <w:r w:rsidR="00A16BE2" w:rsidRPr="002E7B55">
        <w:t>”</w:t>
      </w:r>
      <w:r w:rsidRPr="002E7B55">
        <w:t xml:space="preserve"> approaches show how the strengths, resources, </w:t>
      </w:r>
      <w:proofErr w:type="gramStart"/>
      <w:r w:rsidRPr="002E7B55">
        <w:t>principles</w:t>
      </w:r>
      <w:proofErr w:type="gramEnd"/>
      <w:r w:rsidRPr="002E7B55">
        <w:t xml:space="preserve"> and values within </w:t>
      </w:r>
      <w:r w:rsidR="00A16BE2" w:rsidRPr="002E7B55">
        <w:t>T</w:t>
      </w:r>
      <w:r w:rsidRPr="002E7B55">
        <w:t xml:space="preserve">e </w:t>
      </w:r>
      <w:r w:rsidR="00A16BE2" w:rsidRPr="002E7B55">
        <w:t>A</w:t>
      </w:r>
      <w:r w:rsidRPr="002E7B55">
        <w:t>o Māori, and used by Māori providers, communities and whānau, are critical to public health action in Aotearoa and particularly to reduce and prevent inequities</w:t>
      </w:r>
      <w:sdt>
        <w:sdtPr>
          <w:id w:val="-2109880931"/>
          <w:citation/>
        </w:sdtPr>
        <w:sdtEndPr/>
        <w:sdtContent>
          <w:r w:rsidR="00A4708C" w:rsidRPr="002E7B55">
            <w:fldChar w:fldCharType="begin"/>
          </w:r>
          <w:r w:rsidR="00A4708C" w:rsidRPr="002E7B55">
            <w:instrText xml:space="preserve"> CITATION Sev21 \l 1153 </w:instrText>
          </w:r>
          <w:r w:rsidR="00A4708C" w:rsidRPr="002E7B55">
            <w:fldChar w:fldCharType="separate"/>
          </w:r>
          <w:r w:rsidR="00025361" w:rsidRPr="002E7B55">
            <w:t xml:space="preserve"> (7)</w:t>
          </w:r>
          <w:r w:rsidR="00A4708C" w:rsidRPr="002E7B55">
            <w:fldChar w:fldCharType="end"/>
          </w:r>
        </w:sdtContent>
      </w:sdt>
      <w:r w:rsidR="00D335F8" w:rsidRPr="002E7B55">
        <w:t>.</w:t>
      </w:r>
      <w:r w:rsidR="00493344" w:rsidRPr="002E7B55">
        <w:t xml:space="preserve"> Māori providers know their communities and are best</w:t>
      </w:r>
      <w:r w:rsidR="00A16BE2" w:rsidRPr="002E7B55">
        <w:t>-</w:t>
      </w:r>
      <w:r w:rsidR="00493344" w:rsidRPr="002E7B55">
        <w:t>placed to engage whānau and administer vaccinations</w:t>
      </w:r>
      <w:sdt>
        <w:sdtPr>
          <w:id w:val="-1706321091"/>
          <w:citation/>
        </w:sdtPr>
        <w:sdtEndPr/>
        <w:sdtContent>
          <w:r w:rsidR="00493344" w:rsidRPr="002E7B55">
            <w:fldChar w:fldCharType="begin"/>
          </w:r>
          <w:r w:rsidR="00493344" w:rsidRPr="002E7B55">
            <w:instrText xml:space="preserve"> CITATION Weh21 \l 1153 </w:instrText>
          </w:r>
          <w:r w:rsidR="00493344" w:rsidRPr="002E7B55">
            <w:fldChar w:fldCharType="separate"/>
          </w:r>
          <w:r w:rsidR="00025361" w:rsidRPr="002E7B55">
            <w:t xml:space="preserve"> (8)</w:t>
          </w:r>
          <w:r w:rsidR="00493344" w:rsidRPr="002E7B55">
            <w:fldChar w:fldCharType="end"/>
          </w:r>
        </w:sdtContent>
      </w:sdt>
      <w:r w:rsidR="00493344" w:rsidRPr="002E7B55">
        <w:t>.</w:t>
      </w:r>
    </w:p>
    <w:p w14:paraId="04E25F9E" w14:textId="0A240A22" w:rsidR="00D3067D" w:rsidRDefault="00D3067D" w:rsidP="00AD0624">
      <w:pPr>
        <w:pStyle w:val="Chart-full-width"/>
        <w:rPr>
          <w:noProof w:val="0"/>
        </w:rPr>
      </w:pPr>
      <w:r>
        <w:lastRenderedPageBreak/>
        <w:drawing>
          <wp:inline distT="0" distB="0" distL="0" distR="0" wp14:anchorId="1C2E65B9" wp14:editId="08F3FC90">
            <wp:extent cx="6096635" cy="3429000"/>
            <wp:effectExtent l="0" t="0" r="0" b="0"/>
            <wp:docPr id="14" name="Picture 14" descr="Two axes form 4 qudrants. From left to right is Non-Māori control &quot;You decide&quot; to Māori control/self-determination &quot;I decide&quot;. From top to bottom is Good results to Poor results. From bottom-left to top-right are the power models: To, For, With, By, As. In the top-right corener is the Invitational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axes form 4 qudrants. From left to right is Non-Māori control &quot;You decide&quot; to Māori control/self-determination &quot;I decide&quot;. From top to bottom is Good results to Poor results. From bottom-left to top-right are the power models: To, For, With, By, As. In the top-right corener is the Invitational Spac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42D0046" w14:textId="32EC488F" w:rsidR="004D7B33" w:rsidRPr="002E7B55" w:rsidRDefault="004D7B33" w:rsidP="004D7B33">
      <w:pPr>
        <w:pStyle w:val="Caption"/>
      </w:pPr>
      <w:bookmarkStart w:id="3" w:name="_Ref95288790"/>
      <w:bookmarkStart w:id="4" w:name="_Ref95288796"/>
      <w:bookmarkStart w:id="5" w:name="_Toc95741420"/>
      <w:bookmarkStart w:id="6" w:name="_Toc96341680"/>
      <w:r w:rsidRPr="002E7B55">
        <w:t xml:space="preserve">Figure </w:t>
      </w:r>
      <w:r w:rsidRPr="002E7B55">
        <w:fldChar w:fldCharType="begin"/>
      </w:r>
      <w:r w:rsidRPr="002E7B55">
        <w:instrText xml:space="preserve"> SEQ Figure \* ARABIC </w:instrText>
      </w:r>
      <w:r w:rsidRPr="002E7B55">
        <w:fldChar w:fldCharType="separate"/>
      </w:r>
      <w:r w:rsidR="00886DCA" w:rsidRPr="002E7B55">
        <w:t>1</w:t>
      </w:r>
      <w:r w:rsidRPr="002E7B55">
        <w:fldChar w:fldCharType="end"/>
      </w:r>
      <w:bookmarkEnd w:id="3"/>
      <w:r w:rsidRPr="002E7B55">
        <w:t>: Shifting the locus of power model</w:t>
      </w:r>
      <w:bookmarkEnd w:id="4"/>
      <w:bookmarkEnd w:id="5"/>
      <w:sdt>
        <w:sdtPr>
          <w:id w:val="-1201628362"/>
          <w:citation/>
        </w:sdtPr>
        <w:sdtEndPr/>
        <w:sdtContent>
          <w:r w:rsidR="00400DEF" w:rsidRPr="002E7B55">
            <w:fldChar w:fldCharType="begin"/>
          </w:r>
          <w:r w:rsidR="00400DEF" w:rsidRPr="002E7B55">
            <w:instrText xml:space="preserve"> CITATION Weh191 \l 1153 </w:instrText>
          </w:r>
          <w:r w:rsidR="00400DEF" w:rsidRPr="002E7B55">
            <w:fldChar w:fldCharType="separate"/>
          </w:r>
          <w:r w:rsidR="00025361" w:rsidRPr="002E7B55">
            <w:t xml:space="preserve"> (9)</w:t>
          </w:r>
          <w:r w:rsidR="00400DEF" w:rsidRPr="002E7B55">
            <w:fldChar w:fldCharType="end"/>
          </w:r>
        </w:sdtContent>
      </w:sdt>
      <w:bookmarkEnd w:id="6"/>
    </w:p>
    <w:p w14:paraId="76619FF8" w14:textId="27B5AB63" w:rsidR="007D721E" w:rsidRPr="002E7B55" w:rsidRDefault="007D721E" w:rsidP="007D721E">
      <w:r w:rsidRPr="002E7B55">
        <w:t xml:space="preserve">One way of comparing ‘by Māori, as Māori’ with other approaches is the </w:t>
      </w:r>
      <w:r w:rsidR="00A16BE2" w:rsidRPr="002E7B55">
        <w:t>“</w:t>
      </w:r>
      <w:r w:rsidRPr="002E7B55">
        <w:t>shifting the locus of power model</w:t>
      </w:r>
      <w:r w:rsidR="00A16BE2" w:rsidRPr="002E7B55">
        <w:t>”</w:t>
      </w:r>
      <w:sdt>
        <w:sdtPr>
          <w:id w:val="-542366556"/>
          <w:citation/>
        </w:sdtPr>
        <w:sdtEndPr/>
        <w:sdtContent>
          <w:r w:rsidRPr="002E7B55">
            <w:fldChar w:fldCharType="begin"/>
          </w:r>
          <w:r w:rsidRPr="002E7B55">
            <w:instrText xml:space="preserve"> CITATION Weh191 \l 1153 </w:instrText>
          </w:r>
          <w:r w:rsidRPr="002E7B55">
            <w:fldChar w:fldCharType="separate"/>
          </w:r>
          <w:r w:rsidR="00025361" w:rsidRPr="002E7B55">
            <w:t xml:space="preserve"> (9)</w:t>
          </w:r>
          <w:r w:rsidRPr="002E7B55">
            <w:fldChar w:fldCharType="end"/>
          </w:r>
        </w:sdtContent>
      </w:sdt>
      <w:r w:rsidRPr="002E7B55">
        <w:t xml:space="preserve"> (see </w:t>
      </w:r>
      <w:r w:rsidRPr="002E7B55">
        <w:fldChar w:fldCharType="begin"/>
      </w:r>
      <w:r w:rsidRPr="002E7B55">
        <w:instrText xml:space="preserve"> REF _Ref95288790 \h </w:instrText>
      </w:r>
      <w:r w:rsidRPr="002E7B55">
        <w:fldChar w:fldCharType="separate"/>
      </w:r>
      <w:r w:rsidRPr="002E7B55">
        <w:t>Figure 1</w:t>
      </w:r>
      <w:r w:rsidRPr="002E7B55">
        <w:fldChar w:fldCharType="end"/>
      </w:r>
      <w:r w:rsidRPr="002E7B55">
        <w:t xml:space="preserve">, page </w:t>
      </w:r>
      <w:r w:rsidRPr="002E7B55">
        <w:fldChar w:fldCharType="begin"/>
      </w:r>
      <w:r w:rsidRPr="002E7B55">
        <w:instrText xml:space="preserve"> PAGEREF _Ref95288796 \h </w:instrText>
      </w:r>
      <w:r w:rsidRPr="002E7B55">
        <w:fldChar w:fldCharType="separate"/>
      </w:r>
      <w:r w:rsidRPr="002E7B55">
        <w:t>12</w:t>
      </w:r>
      <w:r w:rsidRPr="002E7B55">
        <w:fldChar w:fldCharType="end"/>
      </w:r>
      <w:r w:rsidRPr="002E7B55">
        <w:t>). This model considers power along a decision-making and consequences continuum. Implicit in the model is the assumption that more control and autonomy by Māori leads to better out</w:t>
      </w:r>
      <w:r w:rsidR="00F26C75" w:rsidRPr="002E7B55">
        <w:t>comes.</w:t>
      </w:r>
      <w:r w:rsidRPr="002E7B55">
        <w:t xml:space="preserve"> The current health system often works in </w:t>
      </w:r>
      <w:r w:rsidR="00A16BE2" w:rsidRPr="002E7B55">
        <w:t>a “</w:t>
      </w:r>
      <w:r w:rsidRPr="002E7B55">
        <w:t>done to</w:t>
      </w:r>
      <w:r w:rsidR="00A16BE2" w:rsidRPr="002E7B55">
        <w:t>”</w:t>
      </w:r>
      <w:r w:rsidRPr="002E7B55">
        <w:t xml:space="preserve"> or </w:t>
      </w:r>
      <w:r w:rsidR="00A16BE2" w:rsidRPr="002E7B55">
        <w:t>“</w:t>
      </w:r>
      <w:r w:rsidRPr="002E7B55">
        <w:t xml:space="preserve">done </w:t>
      </w:r>
      <w:r w:rsidR="00F26C75" w:rsidRPr="002E7B55">
        <w:t>for</w:t>
      </w:r>
      <w:r w:rsidR="00A16BE2" w:rsidRPr="002E7B55">
        <w:t>”</w:t>
      </w:r>
      <w:r w:rsidRPr="002E7B55">
        <w:t xml:space="preserve"> space. In </w:t>
      </w:r>
      <w:r w:rsidR="00F26C75" w:rsidRPr="002E7B55">
        <w:t>these contexts</w:t>
      </w:r>
      <w:r w:rsidRPr="002E7B55">
        <w:t xml:space="preserve">, Māori have no or little power, and the results are harmful and ineffective for Māori. In the </w:t>
      </w:r>
      <w:r w:rsidR="00A16BE2" w:rsidRPr="002E7B55">
        <w:t>“</w:t>
      </w:r>
      <w:r w:rsidRPr="002E7B55">
        <w:t>done with</w:t>
      </w:r>
      <w:r w:rsidR="00A16BE2" w:rsidRPr="002E7B55">
        <w:t>”</w:t>
      </w:r>
      <w:r w:rsidRPr="002E7B55">
        <w:t xml:space="preserve"> and </w:t>
      </w:r>
      <w:r w:rsidR="00A16BE2" w:rsidRPr="002E7B55">
        <w:t>“</w:t>
      </w:r>
      <w:r w:rsidRPr="002E7B55">
        <w:t>done by</w:t>
      </w:r>
      <w:r w:rsidR="00A16BE2" w:rsidRPr="002E7B55">
        <w:t>”</w:t>
      </w:r>
      <w:r w:rsidRPr="002E7B55">
        <w:t xml:space="preserve"> spaces, Māori and non-Māori share power and decision-making. However, </w:t>
      </w:r>
      <w:r w:rsidR="00F26C75" w:rsidRPr="002E7B55">
        <w:t xml:space="preserve">in these contexts </w:t>
      </w:r>
      <w:r w:rsidRPr="002E7B55">
        <w:t xml:space="preserve">it often requires Māori to educate, explain and justify their decisions and actions. In </w:t>
      </w:r>
      <w:r w:rsidR="00A16BE2" w:rsidRPr="002E7B55">
        <w:t>a “</w:t>
      </w:r>
      <w:r w:rsidRPr="002E7B55">
        <w:t>done as</w:t>
      </w:r>
      <w:r w:rsidR="00A16BE2" w:rsidRPr="002E7B55">
        <w:t>”</w:t>
      </w:r>
      <w:r w:rsidRPr="002E7B55">
        <w:t xml:space="preserve"> space, Māori ha</w:t>
      </w:r>
      <w:r w:rsidR="00A16BE2" w:rsidRPr="002E7B55">
        <w:t>ve</w:t>
      </w:r>
      <w:r w:rsidRPr="002E7B55">
        <w:t xml:space="preserve"> full control over decision-making, and the legitimacy and validity of their decisions and actions is taken for granted. This </w:t>
      </w:r>
      <w:r w:rsidR="00A16BE2" w:rsidRPr="002E7B55">
        <w:t>“</w:t>
      </w:r>
      <w:r w:rsidRPr="002E7B55">
        <w:t>invitational space</w:t>
      </w:r>
      <w:r w:rsidR="00A16BE2" w:rsidRPr="002E7B55">
        <w:t>”</w:t>
      </w:r>
      <w:r w:rsidRPr="002E7B55">
        <w:t xml:space="preserve"> in the model assumes no automatic or guaranteed place for non-Māori; instead, non-Māori participation is by invitation only. </w:t>
      </w:r>
    </w:p>
    <w:p w14:paraId="6F314A53" w14:textId="1624A58C" w:rsidR="007D721E" w:rsidRPr="002E7B55" w:rsidRDefault="007D721E" w:rsidP="007D721E">
      <w:r w:rsidRPr="002E7B55">
        <w:t>The transition to a new health system provides the opportunity to first shift the locus of power and decision</w:t>
      </w:r>
      <w:r w:rsidR="00B34292" w:rsidRPr="002E7B55">
        <w:t>-making</w:t>
      </w:r>
      <w:r w:rsidRPr="002E7B55">
        <w:t xml:space="preserve"> to the MHA and, second</w:t>
      </w:r>
      <w:r w:rsidR="00A16BE2" w:rsidRPr="002E7B55">
        <w:t>ly</w:t>
      </w:r>
      <w:r w:rsidRPr="002E7B55">
        <w:t xml:space="preserve">, hand over decision-making and resources to Māori providers. </w:t>
      </w:r>
    </w:p>
    <w:p w14:paraId="5024DB8F" w14:textId="421F592A" w:rsidR="70D53BCA" w:rsidRPr="002E7B55" w:rsidRDefault="70D53BCA" w:rsidP="0041391C">
      <w:pPr>
        <w:pStyle w:val="Heading3"/>
      </w:pPr>
      <w:r w:rsidRPr="002E7B55">
        <w:t xml:space="preserve">Hold the health system accountable for Māori health equity through </w:t>
      </w:r>
      <w:r w:rsidR="00637CC5" w:rsidRPr="002E7B55">
        <w:t xml:space="preserve">clear targets, </w:t>
      </w:r>
      <w:r w:rsidRPr="002E7B55">
        <w:t xml:space="preserve">public </w:t>
      </w:r>
      <w:proofErr w:type="gramStart"/>
      <w:r w:rsidRPr="002E7B55">
        <w:t>monitoring</w:t>
      </w:r>
      <w:proofErr w:type="gramEnd"/>
      <w:r w:rsidRPr="002E7B55">
        <w:t xml:space="preserve"> and </w:t>
      </w:r>
      <w:r w:rsidR="00162EDA" w:rsidRPr="002E7B55">
        <w:t>evaluation</w:t>
      </w:r>
    </w:p>
    <w:p w14:paraId="33880097" w14:textId="430F13C6" w:rsidR="70D53BCA" w:rsidRPr="002E7B55" w:rsidRDefault="70D53BCA" w:rsidP="003C166D">
      <w:pPr>
        <w:spacing w:line="240" w:lineRule="exact"/>
        <w:rPr>
          <w:rFonts w:ascii="Arial Nova Light" w:eastAsia="Arial Nova Light" w:hAnsi="Arial Nova Light" w:cs="Arial Nova Light"/>
          <w:szCs w:val="20"/>
        </w:rPr>
      </w:pPr>
      <w:r w:rsidRPr="002E7B55">
        <w:rPr>
          <w:rFonts w:eastAsia="Arial Nova Light"/>
        </w:rPr>
        <w:t>If equity is the goal, organisations, leaders, and their people need to be held accountable for progress</w:t>
      </w:r>
      <w:r w:rsidR="00AA300D" w:rsidRPr="002E7B55">
        <w:rPr>
          <w:rFonts w:eastAsia="Arial Nova Light"/>
        </w:rPr>
        <w:t>ing</w:t>
      </w:r>
      <w:r w:rsidRPr="002E7B55">
        <w:rPr>
          <w:rFonts w:eastAsia="Arial Nova Light"/>
        </w:rPr>
        <w:t xml:space="preserve"> towards </w:t>
      </w:r>
      <w:r w:rsidR="00AA300D" w:rsidRPr="002E7B55">
        <w:rPr>
          <w:rFonts w:eastAsia="Arial Nova Light"/>
        </w:rPr>
        <w:t>achieving it</w:t>
      </w:r>
      <w:r w:rsidRPr="002E7B55">
        <w:rPr>
          <w:rFonts w:eastAsia="Arial Nova Light"/>
        </w:rPr>
        <w:t>.</w:t>
      </w:r>
      <w:r w:rsidR="00162EDA" w:rsidRPr="002E7B55">
        <w:rPr>
          <w:rFonts w:eastAsia="Arial Nova Light"/>
        </w:rPr>
        <w:t xml:space="preserve"> </w:t>
      </w:r>
      <w:r w:rsidRPr="002E7B55">
        <w:rPr>
          <w:rFonts w:eastAsia="Arial Nova Light"/>
        </w:rPr>
        <w:t xml:space="preserve">In two years </w:t>
      </w:r>
      <w:r w:rsidR="00AA300D" w:rsidRPr="002E7B55">
        <w:rPr>
          <w:rFonts w:eastAsia="Arial Nova Light"/>
        </w:rPr>
        <w:t xml:space="preserve">of </w:t>
      </w:r>
      <w:r w:rsidR="002945DD" w:rsidRPr="002E7B55">
        <w:rPr>
          <w:rFonts w:eastAsia="Arial Nova Light"/>
        </w:rPr>
        <w:t>evaluating MIVP and MIMVP, t</w:t>
      </w:r>
      <w:r w:rsidR="00066613" w:rsidRPr="002E7B55">
        <w:rPr>
          <w:rFonts w:eastAsia="Arial Nova Light"/>
        </w:rPr>
        <w:t xml:space="preserve">he evaluators </w:t>
      </w:r>
      <w:r w:rsidR="00255840" w:rsidRPr="002E7B55">
        <w:rPr>
          <w:rFonts w:eastAsia="Arial Nova Light"/>
        </w:rPr>
        <w:t>have observed</w:t>
      </w:r>
      <w:r w:rsidR="002945DD" w:rsidRPr="002E7B55">
        <w:rPr>
          <w:rFonts w:eastAsia="Arial Nova Light"/>
        </w:rPr>
        <w:t xml:space="preserve"> no consequences for poor performance</w:t>
      </w:r>
      <w:r w:rsidRPr="002E7B55">
        <w:rPr>
          <w:rFonts w:eastAsia="Arial Nova Light"/>
        </w:rPr>
        <w:t xml:space="preserve">. </w:t>
      </w:r>
      <w:r w:rsidR="002945DD" w:rsidRPr="002E7B55">
        <w:rPr>
          <w:rFonts w:eastAsia="Arial Nova Light"/>
        </w:rPr>
        <w:t>The Ministry offered support</w:t>
      </w:r>
      <w:r w:rsidRPr="002E7B55">
        <w:rPr>
          <w:rFonts w:eastAsia="Arial Nova Light"/>
        </w:rPr>
        <w:t xml:space="preserve"> to particular regions of concern</w:t>
      </w:r>
      <w:r w:rsidR="00F87E23" w:rsidRPr="002E7B55">
        <w:rPr>
          <w:rFonts w:eastAsia="Arial Nova Light"/>
        </w:rPr>
        <w:t>,</w:t>
      </w:r>
      <w:r w:rsidRPr="002E7B55">
        <w:rPr>
          <w:rFonts w:eastAsia="Arial Nova Light"/>
        </w:rPr>
        <w:t xml:space="preserve"> but </w:t>
      </w:r>
      <w:r w:rsidR="002945DD" w:rsidRPr="002E7B55">
        <w:rPr>
          <w:rFonts w:eastAsia="Arial Nova Light"/>
        </w:rPr>
        <w:t>th</w:t>
      </w:r>
      <w:r w:rsidR="00AA300D" w:rsidRPr="002E7B55">
        <w:rPr>
          <w:rFonts w:eastAsia="Arial Nova Light"/>
        </w:rPr>
        <w:t xml:space="preserve">ose </w:t>
      </w:r>
      <w:r w:rsidR="00803CB8" w:rsidRPr="002E7B55">
        <w:rPr>
          <w:rFonts w:eastAsia="Arial Nova Light"/>
        </w:rPr>
        <w:t>regions</w:t>
      </w:r>
      <w:r w:rsidR="002945DD" w:rsidRPr="002E7B55">
        <w:rPr>
          <w:rFonts w:eastAsia="Arial Nova Light"/>
        </w:rPr>
        <w:t xml:space="preserve"> did </w:t>
      </w:r>
      <w:r w:rsidRPr="002E7B55">
        <w:rPr>
          <w:rFonts w:eastAsia="Arial Nova Light"/>
        </w:rPr>
        <w:t>not take</w:t>
      </w:r>
      <w:r w:rsidR="002945DD" w:rsidRPr="002E7B55">
        <w:rPr>
          <w:rFonts w:eastAsia="Arial Nova Light"/>
        </w:rPr>
        <w:t xml:space="preserve"> it </w:t>
      </w:r>
      <w:r w:rsidRPr="002E7B55">
        <w:rPr>
          <w:rFonts w:eastAsia="Arial Nova Light"/>
        </w:rPr>
        <w:t xml:space="preserve">up. In the following year, similar poor performance, while questioned, incurred no consequences. </w:t>
      </w:r>
      <w:r w:rsidR="003A349A" w:rsidRPr="002E7B55">
        <w:rPr>
          <w:rFonts w:ascii="Arial Nova Light" w:eastAsia="Arial Nova Light" w:hAnsi="Arial Nova Light" w:cs="Arial Nova Light"/>
          <w:szCs w:val="20"/>
        </w:rPr>
        <w:t>Failure to learn</w:t>
      </w:r>
      <w:r w:rsidR="00AA300D" w:rsidRPr="002E7B55">
        <w:rPr>
          <w:rFonts w:ascii="Arial Nova Light" w:eastAsia="Arial Nova Light" w:hAnsi="Arial Nova Light" w:cs="Arial Nova Light"/>
          <w:szCs w:val="20"/>
        </w:rPr>
        <w:t xml:space="preserve"> or to</w:t>
      </w:r>
      <w:r w:rsidR="003A349A" w:rsidRPr="002E7B55">
        <w:rPr>
          <w:rFonts w:ascii="Arial Nova Light" w:eastAsia="Arial Nova Light" w:hAnsi="Arial Nova Light" w:cs="Arial Nova Light"/>
          <w:szCs w:val="20"/>
        </w:rPr>
        <w:t xml:space="preserve"> share what works in </w:t>
      </w:r>
      <w:r w:rsidR="00AA300D" w:rsidRPr="002E7B55">
        <w:rPr>
          <w:rFonts w:ascii="Arial Nova Light" w:eastAsia="Arial Nova Light" w:hAnsi="Arial Nova Light" w:cs="Arial Nova Light"/>
          <w:szCs w:val="20"/>
        </w:rPr>
        <w:t xml:space="preserve">the </w:t>
      </w:r>
      <w:r w:rsidR="003A349A" w:rsidRPr="002E7B55">
        <w:rPr>
          <w:rFonts w:ascii="Arial Nova Light" w:eastAsia="Arial Nova Light" w:hAnsi="Arial Nova Light" w:cs="Arial Nova Light"/>
          <w:szCs w:val="20"/>
        </w:rPr>
        <w:t>context,</w:t>
      </w:r>
      <w:r w:rsidR="00AA300D" w:rsidRPr="002E7B55">
        <w:rPr>
          <w:rFonts w:ascii="Arial Nova Light" w:eastAsia="Arial Nova Light" w:hAnsi="Arial Nova Light" w:cs="Arial Nova Light"/>
          <w:szCs w:val="20"/>
        </w:rPr>
        <w:t xml:space="preserve"> to</w:t>
      </w:r>
      <w:r w:rsidR="003A349A" w:rsidRPr="002E7B55">
        <w:rPr>
          <w:rFonts w:ascii="Arial Nova Light" w:eastAsia="Arial Nova Light" w:hAnsi="Arial Nova Light" w:cs="Arial Nova Light"/>
          <w:szCs w:val="20"/>
        </w:rPr>
        <w:t xml:space="preserve"> </w:t>
      </w:r>
      <w:r w:rsidR="003C166D" w:rsidRPr="002E7B55">
        <w:rPr>
          <w:rFonts w:ascii="Arial Nova Light" w:eastAsia="Arial Nova Light" w:hAnsi="Arial Nova Light" w:cs="Arial Nova Light"/>
          <w:szCs w:val="20"/>
        </w:rPr>
        <w:t>adapt and innovate</w:t>
      </w:r>
      <w:r w:rsidR="00AA300D" w:rsidRPr="002E7B55">
        <w:rPr>
          <w:rFonts w:ascii="Arial Nova Light" w:eastAsia="Arial Nova Light" w:hAnsi="Arial Nova Light" w:cs="Arial Nova Light"/>
          <w:szCs w:val="20"/>
        </w:rPr>
        <w:t>,</w:t>
      </w:r>
      <w:r w:rsidR="003C166D" w:rsidRPr="002E7B55">
        <w:rPr>
          <w:rFonts w:ascii="Arial Nova Light" w:eastAsia="Arial Nova Light" w:hAnsi="Arial Nova Light" w:cs="Arial Nova Light"/>
          <w:szCs w:val="20"/>
        </w:rPr>
        <w:t xml:space="preserve"> </w:t>
      </w:r>
      <w:r w:rsidR="003A349A" w:rsidRPr="002E7B55">
        <w:rPr>
          <w:rFonts w:ascii="Arial Nova Light" w:eastAsia="Arial Nova Light" w:hAnsi="Arial Nova Light" w:cs="Arial Nova Light"/>
          <w:szCs w:val="20"/>
        </w:rPr>
        <w:t>and</w:t>
      </w:r>
      <w:r w:rsidR="00AA300D" w:rsidRPr="002E7B55">
        <w:rPr>
          <w:rFonts w:ascii="Arial Nova Light" w:eastAsia="Arial Nova Light" w:hAnsi="Arial Nova Light" w:cs="Arial Nova Light"/>
          <w:szCs w:val="20"/>
        </w:rPr>
        <w:t xml:space="preserve"> to</w:t>
      </w:r>
      <w:r w:rsidR="003A349A" w:rsidRPr="002E7B55">
        <w:rPr>
          <w:rFonts w:ascii="Arial Nova Light" w:eastAsia="Arial Nova Light" w:hAnsi="Arial Nova Light" w:cs="Arial Nova Light"/>
          <w:szCs w:val="20"/>
        </w:rPr>
        <w:t xml:space="preserve"> hold organisations accountable is why poor performance </w:t>
      </w:r>
      <w:r w:rsidR="00AA300D" w:rsidRPr="002E7B55">
        <w:rPr>
          <w:rFonts w:ascii="Courier New" w:eastAsia="Arial Nova Light" w:hAnsi="Courier New" w:cs="Courier New"/>
          <w:szCs w:val="20"/>
        </w:rPr>
        <w:t>–</w:t>
      </w:r>
      <w:r w:rsidR="003A349A" w:rsidRPr="002E7B55">
        <w:rPr>
          <w:rFonts w:ascii="Arial Nova Light" w:eastAsia="Arial Nova Light" w:hAnsi="Arial Nova Light" w:cs="Arial Nova Light"/>
          <w:szCs w:val="20"/>
        </w:rPr>
        <w:t xml:space="preserve"> and inequity </w:t>
      </w:r>
      <w:r w:rsidR="00AA300D" w:rsidRPr="002E7B55">
        <w:rPr>
          <w:rFonts w:ascii="Courier New" w:eastAsia="Arial Nova Light" w:hAnsi="Courier New" w:cs="Courier New"/>
          <w:szCs w:val="20"/>
        </w:rPr>
        <w:t>–</w:t>
      </w:r>
      <w:r w:rsidR="003A349A" w:rsidRPr="002E7B55">
        <w:rPr>
          <w:rFonts w:ascii="Arial Nova Light" w:eastAsia="Arial Nova Light" w:hAnsi="Arial Nova Light" w:cs="Arial Nova Light"/>
          <w:szCs w:val="20"/>
        </w:rPr>
        <w:t xml:space="preserve"> persists.</w:t>
      </w:r>
    </w:p>
    <w:p w14:paraId="2C3DBDE3" w14:textId="6174D1FB" w:rsidR="70D53BCA" w:rsidRPr="002E7B55" w:rsidRDefault="70D53BCA" w:rsidP="00637CC5">
      <w:pPr>
        <w:rPr>
          <w:rFonts w:eastAsia="Arial Nova Light"/>
        </w:rPr>
      </w:pPr>
      <w:r w:rsidRPr="002E7B55">
        <w:rPr>
          <w:rFonts w:eastAsia="Arial Nova Light"/>
        </w:rPr>
        <w:t>Visible public targets, regular monitoring, performance reviews and evaluation are way</w:t>
      </w:r>
      <w:r w:rsidR="002945DD" w:rsidRPr="002E7B55">
        <w:rPr>
          <w:rFonts w:eastAsia="Arial Nova Light"/>
        </w:rPr>
        <w:t>s</w:t>
      </w:r>
      <w:r w:rsidRPr="002E7B55">
        <w:rPr>
          <w:rFonts w:eastAsia="Arial Nova Light"/>
        </w:rPr>
        <w:t xml:space="preserve"> to achieve </w:t>
      </w:r>
      <w:r w:rsidR="002945DD" w:rsidRPr="002E7B55">
        <w:rPr>
          <w:rFonts w:eastAsia="Arial Nova Light"/>
        </w:rPr>
        <w:t>equitable performance</w:t>
      </w:r>
      <w:r w:rsidRPr="002E7B55">
        <w:rPr>
          <w:rFonts w:eastAsia="Arial Nova Light"/>
        </w:rPr>
        <w:t xml:space="preserve">. </w:t>
      </w:r>
      <w:r w:rsidR="000B1543" w:rsidRPr="002E7B55">
        <w:rPr>
          <w:rFonts w:eastAsia="Arial Nova Light"/>
        </w:rPr>
        <w:t>T</w:t>
      </w:r>
      <w:r w:rsidRPr="002E7B55">
        <w:rPr>
          <w:rFonts w:eastAsia="Arial Nova Light"/>
        </w:rPr>
        <w:t xml:space="preserve">he value of targets </w:t>
      </w:r>
      <w:r w:rsidR="000B1543" w:rsidRPr="002E7B55">
        <w:rPr>
          <w:rFonts w:eastAsia="Arial Nova Light"/>
        </w:rPr>
        <w:t xml:space="preserve">can be seen in </w:t>
      </w:r>
      <w:r w:rsidRPr="002E7B55">
        <w:rPr>
          <w:rFonts w:eastAsia="Arial Nova Light"/>
        </w:rPr>
        <w:t>the COVID-19 vaccination programme. When</w:t>
      </w:r>
      <w:r w:rsidR="002945DD" w:rsidRPr="002E7B55">
        <w:rPr>
          <w:rFonts w:eastAsia="Arial Nova Light"/>
        </w:rPr>
        <w:t xml:space="preserve"> the Ministry sets</w:t>
      </w:r>
      <w:r w:rsidRPr="002E7B55">
        <w:rPr>
          <w:rFonts w:eastAsia="Arial Nova Light"/>
        </w:rPr>
        <w:t xml:space="preserve"> clear targets </w:t>
      </w:r>
      <w:r w:rsidR="002945DD" w:rsidRPr="002E7B55">
        <w:rPr>
          <w:rFonts w:eastAsia="Arial Nova Light"/>
        </w:rPr>
        <w:t xml:space="preserve">and monitors </w:t>
      </w:r>
      <w:r w:rsidRPr="002E7B55">
        <w:rPr>
          <w:rFonts w:eastAsia="Arial Nova Light"/>
        </w:rPr>
        <w:t xml:space="preserve">progress </w:t>
      </w:r>
      <w:r w:rsidR="002945DD" w:rsidRPr="002E7B55">
        <w:rPr>
          <w:rFonts w:eastAsia="Arial Nova Light"/>
        </w:rPr>
        <w:t>publicly, organisations, leaders, workforce,</w:t>
      </w:r>
      <w:r w:rsidRPr="002E7B55">
        <w:rPr>
          <w:rFonts w:eastAsia="Arial Nova Light"/>
        </w:rPr>
        <w:t xml:space="preserve"> and partners are visibly held accountable for their performance.</w:t>
      </w:r>
    </w:p>
    <w:p w14:paraId="61B1CC9B" w14:textId="77A62721" w:rsidR="007574F8" w:rsidRPr="002E7B55" w:rsidRDefault="70D53BCA" w:rsidP="00637CC5">
      <w:r w:rsidRPr="002E7B55">
        <w:rPr>
          <w:rFonts w:eastAsia="Arial Nova Light"/>
        </w:rPr>
        <w:lastRenderedPageBreak/>
        <w:t xml:space="preserve">COVID-19 vaccination targets have also signalled </w:t>
      </w:r>
      <w:r w:rsidR="000F4B44" w:rsidRPr="002E7B55">
        <w:rPr>
          <w:rFonts w:eastAsia="Arial Nova Light"/>
        </w:rPr>
        <w:t xml:space="preserve">that </w:t>
      </w:r>
      <w:r w:rsidR="002945DD" w:rsidRPr="002E7B55">
        <w:rPr>
          <w:rFonts w:eastAsia="Arial Nova Light"/>
        </w:rPr>
        <w:t xml:space="preserve">extra </w:t>
      </w:r>
      <w:r w:rsidRPr="002E7B55">
        <w:rPr>
          <w:rFonts w:eastAsia="Arial Nova Light"/>
        </w:rPr>
        <w:t xml:space="preserve">effort </w:t>
      </w:r>
      <w:r w:rsidR="000F4B44" w:rsidRPr="002E7B55">
        <w:rPr>
          <w:rFonts w:eastAsia="Arial Nova Light"/>
        </w:rPr>
        <w:t xml:space="preserve">is needed </w:t>
      </w:r>
      <w:r w:rsidRPr="002E7B55">
        <w:rPr>
          <w:rFonts w:eastAsia="Arial Nova Light"/>
        </w:rPr>
        <w:t xml:space="preserve">to achieve Māori vaccination targets and that achieving Māori health equity is the responsibility of all. Non-Māori organisations in the health system </w:t>
      </w:r>
      <w:r w:rsidRPr="002E7B55">
        <w:t xml:space="preserve">need to shoulder their responsibilities and their Tiriti obligations to deliver services equitably to Māori. Currently, Māori providers carry a disproportionate load in </w:t>
      </w:r>
      <w:r w:rsidR="002945DD" w:rsidRPr="002E7B55">
        <w:t>delivering</w:t>
      </w:r>
      <w:r w:rsidRPr="002E7B55">
        <w:t xml:space="preserve"> services to Māori.</w:t>
      </w:r>
      <w:r w:rsidR="007574F8" w:rsidRPr="002E7B55">
        <w:t xml:space="preserve"> A true equity approach means non-Māori organisations adapt their services to ensure they complement the work of Māori providers to meet the needs of Māori. </w:t>
      </w:r>
    </w:p>
    <w:p w14:paraId="3C381E9D" w14:textId="21315A65" w:rsidR="00353FC0" w:rsidRPr="002E7B55" w:rsidRDefault="00353FC0" w:rsidP="00637CC5">
      <w:pPr>
        <w:rPr>
          <w:rFonts w:eastAsia="Arial Nova Light"/>
        </w:rPr>
      </w:pPr>
      <w:r w:rsidRPr="002E7B55">
        <w:rPr>
          <w:rFonts w:eastAsia="Arial Nova Light"/>
        </w:rPr>
        <w:t xml:space="preserve">There is a need to set firm equity targets, resource </w:t>
      </w:r>
      <w:r w:rsidR="008E6368" w:rsidRPr="002E7B55">
        <w:rPr>
          <w:rFonts w:eastAsia="Arial Nova Light"/>
        </w:rPr>
        <w:t>appropriately</w:t>
      </w:r>
      <w:r w:rsidRPr="002E7B55">
        <w:rPr>
          <w:rFonts w:eastAsia="Arial Nova Light"/>
        </w:rPr>
        <w:t>, hold the system accountable through public monitoring and evaluation, and ensure suitable data capture systems track performance.</w:t>
      </w:r>
      <w:r w:rsidR="008E6368" w:rsidRPr="002E7B55">
        <w:rPr>
          <w:rFonts w:eastAsia="Arial Nova Light"/>
        </w:rPr>
        <w:t xml:space="preserve"> There need to be consequences for ongoing poor performance.</w:t>
      </w:r>
    </w:p>
    <w:p w14:paraId="6F0CF15D" w14:textId="1C71DC4A" w:rsidR="00162EDA" w:rsidRPr="002E7B55" w:rsidRDefault="00162EDA" w:rsidP="00162EDA">
      <w:pPr>
        <w:pStyle w:val="Heading3"/>
      </w:pPr>
      <w:r w:rsidRPr="002E7B55">
        <w:t>Māori leadership is critical for Māori health equity</w:t>
      </w:r>
    </w:p>
    <w:p w14:paraId="3276380C" w14:textId="4D3332C7" w:rsidR="00353FC0" w:rsidRPr="002E7B55" w:rsidRDefault="00EE4B01" w:rsidP="00637CC5">
      <w:pPr>
        <w:rPr>
          <w:rFonts w:eastAsia="Arial Nova Light"/>
        </w:rPr>
      </w:pPr>
      <w:r w:rsidRPr="002E7B55">
        <w:rPr>
          <w:rFonts w:eastAsia="Arial Nova Light"/>
        </w:rPr>
        <w:t>S</w:t>
      </w:r>
      <w:r w:rsidR="70D53BCA" w:rsidRPr="002E7B55">
        <w:rPr>
          <w:rFonts w:eastAsia="Arial Nova Light"/>
        </w:rPr>
        <w:t>uccessful Māori initiatives are often criticised and over</w:t>
      </w:r>
      <w:r w:rsidR="00D40195" w:rsidRPr="002E7B55">
        <w:rPr>
          <w:rFonts w:eastAsia="Arial Nova Light"/>
        </w:rPr>
        <w:t>-</w:t>
      </w:r>
      <w:r w:rsidR="70D53BCA" w:rsidRPr="002E7B55">
        <w:rPr>
          <w:rFonts w:eastAsia="Arial Nova Light"/>
        </w:rPr>
        <w:t>scrutinised</w:t>
      </w:r>
      <w:sdt>
        <w:sdtPr>
          <w:rPr>
            <w:rFonts w:eastAsia="Arial Nova Light"/>
          </w:rPr>
          <w:id w:val="-1957402935"/>
          <w:citation/>
        </w:sdtPr>
        <w:sdtEndPr/>
        <w:sdtContent>
          <w:r w:rsidR="00A4708C" w:rsidRPr="002E7B55">
            <w:rPr>
              <w:rFonts w:eastAsia="Arial Nova Light"/>
            </w:rPr>
            <w:fldChar w:fldCharType="begin"/>
          </w:r>
          <w:r w:rsidR="00A4708C" w:rsidRPr="002E7B55">
            <w:rPr>
              <w:rFonts w:eastAsia="Arial Nova Light"/>
            </w:rPr>
            <w:instrText xml:space="preserve"> CITATION Cam22 \l 1153 </w:instrText>
          </w:r>
          <w:r w:rsidR="00A4708C" w:rsidRPr="002E7B55">
            <w:rPr>
              <w:rFonts w:eastAsia="Arial Nova Light"/>
            </w:rPr>
            <w:fldChar w:fldCharType="separate"/>
          </w:r>
          <w:r w:rsidR="00025361" w:rsidRPr="002E7B55">
            <w:rPr>
              <w:rFonts w:eastAsia="Arial Nova Light"/>
            </w:rPr>
            <w:t xml:space="preserve"> (10)</w:t>
          </w:r>
          <w:r w:rsidR="00A4708C" w:rsidRPr="002E7B55">
            <w:rPr>
              <w:rFonts w:eastAsia="Arial Nova Light"/>
            </w:rPr>
            <w:fldChar w:fldCharType="end"/>
          </w:r>
        </w:sdtContent>
      </w:sdt>
      <w:r w:rsidR="00D40195" w:rsidRPr="002E7B55">
        <w:rPr>
          <w:rFonts w:eastAsia="Arial Nova Light"/>
        </w:rPr>
        <w:t>,</w:t>
      </w:r>
      <w:r w:rsidR="00A86412" w:rsidRPr="002E7B55">
        <w:rPr>
          <w:rFonts w:eastAsia="Arial Nova Light"/>
        </w:rPr>
        <w:t xml:space="preserve"> but</w:t>
      </w:r>
      <w:r w:rsidR="70D53BCA" w:rsidRPr="002E7B55">
        <w:rPr>
          <w:rFonts w:eastAsia="Arial Nova Light"/>
        </w:rPr>
        <w:t xml:space="preserve"> the failure of mainstream services to do </w:t>
      </w:r>
      <w:r w:rsidR="00162EDA" w:rsidRPr="002E7B55">
        <w:rPr>
          <w:rFonts w:eastAsia="Arial Nova Light"/>
        </w:rPr>
        <w:t xml:space="preserve">the job they are </w:t>
      </w:r>
      <w:r w:rsidR="002945DD" w:rsidRPr="002E7B55">
        <w:rPr>
          <w:rFonts w:eastAsia="Arial Nova Light"/>
        </w:rPr>
        <w:t>funded</w:t>
      </w:r>
      <w:r w:rsidR="70D53BCA" w:rsidRPr="002E7B55">
        <w:rPr>
          <w:rFonts w:eastAsia="Arial Nova Light"/>
        </w:rPr>
        <w:t xml:space="preserve"> </w:t>
      </w:r>
      <w:r w:rsidR="00162EDA" w:rsidRPr="002E7B55">
        <w:rPr>
          <w:rFonts w:eastAsia="Arial Nova Light"/>
        </w:rPr>
        <w:t xml:space="preserve">for </w:t>
      </w:r>
      <w:r w:rsidR="70D53BCA" w:rsidRPr="002E7B55">
        <w:rPr>
          <w:rFonts w:eastAsia="Arial Nova Light"/>
        </w:rPr>
        <w:t xml:space="preserve">– including to engage successfully with Māori – </w:t>
      </w:r>
      <w:r w:rsidR="00353FC0" w:rsidRPr="002E7B55">
        <w:rPr>
          <w:rFonts w:eastAsia="Arial Nova Light"/>
        </w:rPr>
        <w:t>is rarely appraised or questioned</w:t>
      </w:r>
      <w:r w:rsidR="70D53BCA" w:rsidRPr="002E7B55">
        <w:rPr>
          <w:rFonts w:eastAsia="Arial Nova Light"/>
        </w:rPr>
        <w:t xml:space="preserve">. </w:t>
      </w:r>
    </w:p>
    <w:p w14:paraId="4857E56C" w14:textId="19DE49F9" w:rsidR="70D53BCA" w:rsidRPr="002E7B55" w:rsidRDefault="70D53BCA" w:rsidP="00637CC5">
      <w:pPr>
        <w:rPr>
          <w:rFonts w:eastAsia="Arial Nova Light"/>
        </w:rPr>
      </w:pPr>
      <w:r w:rsidRPr="002E7B55">
        <w:rPr>
          <w:rFonts w:eastAsia="Arial Nova Light"/>
        </w:rPr>
        <w:t xml:space="preserve">Māori leadership is critical in this space. </w:t>
      </w:r>
      <w:r w:rsidR="00F87E23" w:rsidRPr="002E7B55">
        <w:rPr>
          <w:rFonts w:eastAsia="Arial Nova Light"/>
        </w:rPr>
        <w:t>This function is primarily carried out within the Ministry</w:t>
      </w:r>
      <w:r w:rsidRPr="002E7B55">
        <w:rPr>
          <w:rFonts w:eastAsia="Arial Nova Light"/>
        </w:rPr>
        <w:t xml:space="preserve"> by the </w:t>
      </w:r>
      <w:r w:rsidR="005B6AB5" w:rsidRPr="002E7B55">
        <w:rPr>
          <w:rFonts w:eastAsia="Arial Nova Light"/>
        </w:rPr>
        <w:t>Māori Health Directorate (</w:t>
      </w:r>
      <w:r w:rsidRPr="002E7B55">
        <w:rPr>
          <w:rFonts w:eastAsia="Arial Nova Light"/>
        </w:rPr>
        <w:t>MHD</w:t>
      </w:r>
      <w:r w:rsidR="005B6AB5" w:rsidRPr="002E7B55">
        <w:rPr>
          <w:rFonts w:eastAsia="Arial Nova Light"/>
        </w:rPr>
        <w:t>)</w:t>
      </w:r>
      <w:r w:rsidRPr="002E7B55">
        <w:rPr>
          <w:rFonts w:eastAsia="Arial Nova Light"/>
        </w:rPr>
        <w:t>. An important step is funding a larger MHD to provide leadership across the Ministry. However, there needs to be resourcing across the Ministry to ensure equity occurs</w:t>
      </w:r>
      <w:r w:rsidR="002945DD" w:rsidRPr="002E7B55">
        <w:rPr>
          <w:rFonts w:eastAsia="Arial Nova Light"/>
        </w:rPr>
        <w:t>, including</w:t>
      </w:r>
      <w:r w:rsidRPr="002E7B55">
        <w:rPr>
          <w:rFonts w:eastAsia="Arial Nova Light"/>
        </w:rPr>
        <w:t xml:space="preserve"> expanding the equity advisory function across the Ministry.</w:t>
      </w:r>
    </w:p>
    <w:p w14:paraId="1A1C0BDF" w14:textId="77777777" w:rsidR="004C2E1E" w:rsidRPr="002E7B55" w:rsidRDefault="004C2E1E" w:rsidP="004C2E1E">
      <w:pPr>
        <w:spacing w:before="0" w:after="160" w:line="259" w:lineRule="auto"/>
        <w:rPr>
          <w:rFonts w:asciiTheme="majorHAnsi" w:eastAsiaTheme="majorEastAsia" w:hAnsiTheme="majorHAnsi" w:cstheme="majorBidi"/>
          <w:b/>
          <w:color w:val="125459" w:themeColor="accent1" w:themeShade="BF"/>
          <w:sz w:val="32"/>
          <w:szCs w:val="40"/>
        </w:rPr>
      </w:pPr>
      <w:r w:rsidRPr="002E7B55">
        <w:br w:type="page"/>
      </w:r>
    </w:p>
    <w:p w14:paraId="77682F88" w14:textId="6E531951" w:rsidR="00BC28A0" w:rsidRPr="002E7B55" w:rsidRDefault="70D53BCA" w:rsidP="00BC28A0">
      <w:pPr>
        <w:pStyle w:val="Heading1"/>
      </w:pPr>
      <w:bookmarkStart w:id="7" w:name="_Toc96341667"/>
      <w:r w:rsidRPr="002E7B55">
        <w:lastRenderedPageBreak/>
        <w:t>1 Context</w:t>
      </w:r>
      <w:bookmarkEnd w:id="7"/>
    </w:p>
    <w:p w14:paraId="3F9AF5F0" w14:textId="4C9D413C" w:rsidR="0055562F" w:rsidRPr="002E7B55" w:rsidRDefault="0055562F" w:rsidP="0055562F">
      <w:pPr>
        <w:rPr>
          <w:rFonts w:eastAsiaTheme="minorHAnsi"/>
          <w:lang w:eastAsia="en-US" w:bidi="th-TH"/>
        </w:rPr>
      </w:pPr>
      <w:r w:rsidRPr="002E7B55">
        <w:rPr>
          <w:rFonts w:eastAsiaTheme="minorHAnsi"/>
          <w:lang w:eastAsia="en-US" w:bidi="th-TH"/>
        </w:rPr>
        <w:t>Like many countries worldwide, COVID-19,</w:t>
      </w:r>
      <w:r w:rsidR="00D40195" w:rsidRPr="002E7B55">
        <w:rPr>
          <w:rFonts w:eastAsiaTheme="minorHAnsi"/>
          <w:lang w:eastAsia="en-US" w:bidi="th-TH"/>
        </w:rPr>
        <w:t xml:space="preserve"> and its variants</w:t>
      </w:r>
      <w:r w:rsidRPr="002E7B55">
        <w:rPr>
          <w:rFonts w:eastAsiaTheme="minorHAnsi"/>
          <w:lang w:eastAsia="en-US" w:bidi="th-TH"/>
        </w:rPr>
        <w:t xml:space="preserve"> </w:t>
      </w:r>
      <w:r w:rsidR="00D40195" w:rsidRPr="002E7B55">
        <w:rPr>
          <w:rFonts w:eastAsiaTheme="minorHAnsi"/>
          <w:lang w:eastAsia="en-US" w:bidi="th-TH"/>
        </w:rPr>
        <w:t xml:space="preserve">including </w:t>
      </w:r>
      <w:r w:rsidRPr="002E7B55">
        <w:rPr>
          <w:rFonts w:eastAsiaTheme="minorHAnsi"/>
          <w:lang w:eastAsia="en-US" w:bidi="th-TH"/>
        </w:rPr>
        <w:t>Delta</w:t>
      </w:r>
      <w:r w:rsidR="00D40195" w:rsidRPr="002E7B55">
        <w:rPr>
          <w:rFonts w:eastAsiaTheme="minorHAnsi"/>
          <w:lang w:eastAsia="en-US" w:bidi="th-TH"/>
        </w:rPr>
        <w:t xml:space="preserve"> and</w:t>
      </w:r>
      <w:r w:rsidRPr="002E7B55">
        <w:rPr>
          <w:rFonts w:eastAsiaTheme="minorHAnsi"/>
          <w:lang w:eastAsia="en-US" w:bidi="th-TH"/>
        </w:rPr>
        <w:t xml:space="preserve"> Omicron continue to impact our liberty and livelihoods, health systems and economy in Aotearoa New Zealand. In many countries the measures being used to control the spread of COVID-19 include temporary restrictions on movement and socialising, hygiene practices and vaccination. Governments worldwide measure their success in dealing with COVID-19 by the absence of COVID-19 in the community, hospitalisation numbers</w:t>
      </w:r>
      <w:r w:rsidR="005970C3" w:rsidRPr="002E7B55">
        <w:rPr>
          <w:rFonts w:eastAsiaTheme="minorHAnsi"/>
          <w:lang w:eastAsia="en-US" w:bidi="th-TH"/>
        </w:rPr>
        <w:t xml:space="preserve"> </w:t>
      </w:r>
      <w:r w:rsidR="005970C3" w:rsidRPr="002E7B55">
        <w:rPr>
          <w:rFonts w:ascii="Courier New" w:eastAsiaTheme="minorHAnsi" w:hAnsi="Courier New" w:cs="Courier New"/>
          <w:lang w:eastAsia="en-US" w:bidi="th-TH"/>
        </w:rPr>
        <w:t>–</w:t>
      </w:r>
      <w:r w:rsidRPr="002E7B55">
        <w:rPr>
          <w:rFonts w:eastAsiaTheme="minorHAnsi"/>
          <w:lang w:eastAsia="en-US" w:bidi="th-TH"/>
        </w:rPr>
        <w:t xml:space="preserve"> including the numbers in intensive care units, death rates from COVID-19 and COVID-19 population vaccination rates. </w:t>
      </w:r>
    </w:p>
    <w:p w14:paraId="36D9D94C" w14:textId="2FAEF485" w:rsidR="0055562F" w:rsidRPr="002E7B55" w:rsidRDefault="0055562F" w:rsidP="0055562F">
      <w:pPr>
        <w:rPr>
          <w:rFonts w:eastAsiaTheme="minorEastAsia"/>
          <w:lang w:eastAsia="en-US" w:bidi="th-TH"/>
        </w:rPr>
      </w:pPr>
      <w:r w:rsidRPr="002E7B55">
        <w:rPr>
          <w:rFonts w:eastAsiaTheme="minorEastAsia"/>
          <w:lang w:eastAsia="en-US" w:bidi="th-TH"/>
        </w:rPr>
        <w:t xml:space="preserve">As we write this report, Aotearoa New Zealand is now dealing with </w:t>
      </w:r>
      <w:r w:rsidR="005970C3" w:rsidRPr="002E7B55">
        <w:rPr>
          <w:rFonts w:eastAsiaTheme="minorEastAsia"/>
          <w:lang w:eastAsia="en-US" w:bidi="th-TH"/>
        </w:rPr>
        <w:t xml:space="preserve">transmission of </w:t>
      </w:r>
      <w:r w:rsidRPr="002E7B55">
        <w:rPr>
          <w:rFonts w:eastAsiaTheme="minorEastAsia"/>
          <w:lang w:eastAsia="en-US" w:bidi="th-TH"/>
        </w:rPr>
        <w:t>Omicron in the community, and experts advise that cases are likely to rise from hundreds to thousands of cases per day in the coming weeks. New Zealand has benefitted from a strong COVID-19 vaccination campaign, with a fully vaccinated target of 90% of the population</w:t>
      </w:r>
      <w:r w:rsidR="00803CB8" w:rsidRPr="002E7B55">
        <w:rPr>
          <w:rFonts w:eastAsiaTheme="minorEastAsia"/>
          <w:lang w:eastAsia="en-US" w:bidi="th-TH"/>
        </w:rPr>
        <w:t xml:space="preserve"> over 12 years</w:t>
      </w:r>
      <w:r w:rsidR="00803CB8" w:rsidRPr="002E7B55">
        <w:rPr>
          <w:rStyle w:val="EndnoteReference"/>
          <w:rFonts w:eastAsiaTheme="minorEastAsia"/>
          <w:lang w:eastAsia="en-US" w:bidi="th-TH"/>
        </w:rPr>
        <w:endnoteReference w:id="2"/>
      </w:r>
      <w:r w:rsidRPr="002E7B55">
        <w:rPr>
          <w:rFonts w:eastAsiaTheme="minorEastAsia"/>
          <w:lang w:eastAsia="en-US" w:bidi="th-TH"/>
        </w:rPr>
        <w:t xml:space="preserve">. As of 7 February 2022, 93% of New Zealanders </w:t>
      </w:r>
      <w:r w:rsidR="002E5007" w:rsidRPr="002E7B55">
        <w:rPr>
          <w:rFonts w:eastAsiaTheme="minorEastAsia"/>
          <w:lang w:eastAsia="en-US" w:bidi="th-TH"/>
        </w:rPr>
        <w:t xml:space="preserve">over 12 years </w:t>
      </w:r>
      <w:r w:rsidRPr="002E7B55">
        <w:rPr>
          <w:rFonts w:eastAsiaTheme="minorEastAsia"/>
          <w:lang w:eastAsia="en-US" w:bidi="th-TH"/>
        </w:rPr>
        <w:t>are fully vaccinated</w:t>
      </w:r>
      <w:r w:rsidR="002E5007" w:rsidRPr="002E7B55">
        <w:rPr>
          <w:rStyle w:val="EndnoteReference"/>
          <w:rFonts w:eastAsiaTheme="minorEastAsia"/>
          <w:lang w:eastAsia="en-US" w:bidi="th-TH"/>
        </w:rPr>
        <w:endnoteReference w:id="3"/>
      </w:r>
      <w:r w:rsidRPr="002E7B55">
        <w:rPr>
          <w:rFonts w:eastAsiaTheme="minorEastAsia"/>
          <w:lang w:eastAsia="en-US" w:bidi="th-TH"/>
        </w:rPr>
        <w:t xml:space="preserve">, and Māori vaccination rates are increasing, with 86% of Māori now fully vaccinated. To further protect New Zealanders from the worse effects of COVID-19 and stop the overrun of the New Zealand health system, the Ministry now recommends </w:t>
      </w:r>
      <w:r w:rsidR="005970C3" w:rsidRPr="002E7B55">
        <w:rPr>
          <w:rFonts w:eastAsiaTheme="minorEastAsia"/>
          <w:lang w:eastAsia="en-US" w:bidi="th-TH"/>
        </w:rPr>
        <w:t>a third “</w:t>
      </w:r>
      <w:r w:rsidRPr="002E7B55">
        <w:rPr>
          <w:rFonts w:eastAsiaTheme="minorEastAsia"/>
          <w:lang w:eastAsia="en-US" w:bidi="th-TH"/>
        </w:rPr>
        <w:t>booster</w:t>
      </w:r>
      <w:r w:rsidR="005970C3" w:rsidRPr="002E7B55">
        <w:rPr>
          <w:rFonts w:eastAsiaTheme="minorEastAsia"/>
          <w:lang w:eastAsia="en-US" w:bidi="th-TH"/>
        </w:rPr>
        <w:t>”</w:t>
      </w:r>
      <w:r w:rsidRPr="002E7B55">
        <w:rPr>
          <w:rFonts w:eastAsiaTheme="minorEastAsia"/>
          <w:lang w:eastAsia="en-US" w:bidi="th-TH"/>
        </w:rPr>
        <w:t xml:space="preserve"> vaccination</w:t>
      </w:r>
      <w:r w:rsidR="005970C3" w:rsidRPr="002E7B55">
        <w:rPr>
          <w:rFonts w:eastAsiaTheme="minorEastAsia"/>
          <w:lang w:eastAsia="en-US" w:bidi="th-TH"/>
        </w:rPr>
        <w:t>,</w:t>
      </w:r>
      <w:r w:rsidRPr="002E7B55">
        <w:rPr>
          <w:rFonts w:eastAsiaTheme="minorEastAsia"/>
          <w:lang w:eastAsia="en-US" w:bidi="th-TH"/>
        </w:rPr>
        <w:t xml:space="preserve"> and vaccinations for 5 to 11-year-olds are underway.</w:t>
      </w:r>
    </w:p>
    <w:p w14:paraId="5E71FBAB" w14:textId="513D37BA" w:rsidR="0055562F" w:rsidRPr="002E7B55" w:rsidRDefault="0055562F" w:rsidP="0055562F">
      <w:r w:rsidRPr="002E7B55">
        <w:rPr>
          <w:rFonts w:eastAsiaTheme="minorEastAsia"/>
          <w:lang w:eastAsia="en-US" w:bidi="th-TH"/>
        </w:rPr>
        <w:t>The Government has been strongly criticised by the Waitangi Tribunal</w:t>
      </w:r>
      <w:r w:rsidRPr="002E7B55">
        <w:rPr>
          <w:rStyle w:val="EndnoteReference"/>
          <w:rFonts w:eastAsiaTheme="minorEastAsia"/>
          <w:lang w:eastAsia="en-US" w:bidi="th-TH"/>
        </w:rPr>
        <w:endnoteReference w:id="4"/>
      </w:r>
      <w:r w:rsidRPr="002E7B55">
        <w:rPr>
          <w:rFonts w:eastAsiaTheme="minorEastAsia"/>
          <w:lang w:eastAsia="en-US" w:bidi="th-TH"/>
        </w:rPr>
        <w:t xml:space="preserve"> and by Māori health experts</w:t>
      </w:r>
      <w:r w:rsidRPr="002E7B55">
        <w:t xml:space="preserve"> </w:t>
      </w:r>
      <w:r w:rsidRPr="002E7B55">
        <w:rPr>
          <w:rFonts w:eastAsiaTheme="minorEastAsia"/>
          <w:lang w:eastAsia="en-US" w:bidi="th-TH"/>
        </w:rPr>
        <w:t>for prioritising a generalist, non-equity focused approach to the COVID-19 vaccine rollout</w:t>
      </w:r>
      <w:r w:rsidR="005970C3" w:rsidRPr="002E7B55">
        <w:rPr>
          <w:rFonts w:eastAsiaTheme="minorEastAsia"/>
          <w:lang w:eastAsia="en-US" w:bidi="th-TH"/>
        </w:rPr>
        <w:t>. This is considered to be</w:t>
      </w:r>
      <w:r w:rsidRPr="002E7B55">
        <w:rPr>
          <w:rFonts w:eastAsiaTheme="minorEastAsia"/>
          <w:lang w:eastAsia="en-US" w:bidi="th-TH"/>
        </w:rPr>
        <w:t xml:space="preserve"> for political expediency</w:t>
      </w:r>
      <w:r w:rsidR="005970C3" w:rsidRPr="002E7B55">
        <w:rPr>
          <w:rFonts w:eastAsiaTheme="minorEastAsia"/>
          <w:lang w:eastAsia="en-US" w:bidi="th-TH"/>
        </w:rPr>
        <w:t xml:space="preserve"> reasons</w:t>
      </w:r>
      <w:r w:rsidRPr="002E7B55">
        <w:rPr>
          <w:rFonts w:eastAsiaTheme="minorEastAsia"/>
          <w:lang w:eastAsia="en-US" w:bidi="th-TH"/>
        </w:rPr>
        <w:t xml:space="preserve">. </w:t>
      </w:r>
      <w:r w:rsidR="005970C3" w:rsidRPr="002E7B55">
        <w:rPr>
          <w:rFonts w:eastAsiaTheme="minorEastAsia"/>
          <w:lang w:eastAsia="en-US" w:bidi="th-TH"/>
        </w:rPr>
        <w:t xml:space="preserve">It </w:t>
      </w:r>
      <w:r w:rsidRPr="002E7B55">
        <w:rPr>
          <w:rFonts w:eastAsiaTheme="minorEastAsia"/>
          <w:lang w:eastAsia="en-US" w:bidi="th-TH"/>
        </w:rPr>
        <w:t>occurred despite advice from the Director-General of Health Dr Ashley Bloomfield and Ministry officials to adopt an age adjustment for Māori in the vaccine roll-out</w:t>
      </w:r>
      <w:r w:rsidR="005970C3" w:rsidRPr="002E7B55">
        <w:rPr>
          <w:rFonts w:eastAsiaTheme="minorEastAsia"/>
          <w:lang w:eastAsia="en-US" w:bidi="th-TH"/>
        </w:rPr>
        <w:t>,</w:t>
      </w:r>
      <w:r w:rsidRPr="002E7B55">
        <w:rPr>
          <w:rFonts w:eastAsiaTheme="minorEastAsia"/>
          <w:lang w:eastAsia="en-US" w:bidi="th-TH"/>
        </w:rPr>
        <w:t xml:space="preserve"> due to the Māori population’s greater risk of infection and health inequities. </w:t>
      </w:r>
      <w:r w:rsidRPr="002E7B55">
        <w:t>In addition, past pandemics (the Spanish Flu, the H1N1 virus) have disproportionately impacted Māori, and the</w:t>
      </w:r>
      <w:r w:rsidR="005970C3" w:rsidRPr="002E7B55">
        <w:t>re was a</w:t>
      </w:r>
      <w:r w:rsidRPr="002E7B55">
        <w:t xml:space="preserve"> fear </w:t>
      </w:r>
      <w:r w:rsidR="005970C3" w:rsidRPr="002E7B55">
        <w:t xml:space="preserve">expressed </w:t>
      </w:r>
      <w:r w:rsidRPr="002E7B55">
        <w:t xml:space="preserve">that death rates from COVID-19 would devastate Māori and Māori communities. </w:t>
      </w:r>
    </w:p>
    <w:p w14:paraId="55D0BEC3" w14:textId="25B38297" w:rsidR="0055562F" w:rsidRPr="002E7B55" w:rsidRDefault="0055562F" w:rsidP="0055562F">
      <w:pPr>
        <w:rPr>
          <w:rFonts w:eastAsiaTheme="minorHAnsi"/>
          <w:lang w:eastAsia="en-US" w:bidi="th-TH"/>
        </w:rPr>
      </w:pPr>
      <w:r w:rsidRPr="002E7B55">
        <w:rPr>
          <w:rFonts w:eastAsiaTheme="minorHAnsi"/>
          <w:lang w:eastAsia="en-US" w:bidi="th-TH"/>
        </w:rPr>
        <w:t>Things are beginning to change. Significant new funding has been made available to Māori health providers to support their communities</w:t>
      </w:r>
      <w:r w:rsidR="005970C3" w:rsidRPr="002E7B55">
        <w:rPr>
          <w:rFonts w:eastAsiaTheme="minorHAnsi"/>
          <w:lang w:eastAsia="en-US" w:bidi="th-TH"/>
        </w:rPr>
        <w:t>’</w:t>
      </w:r>
      <w:r w:rsidRPr="002E7B55">
        <w:rPr>
          <w:rFonts w:eastAsiaTheme="minorHAnsi"/>
          <w:lang w:eastAsia="en-US" w:bidi="th-TH"/>
        </w:rPr>
        <w:t xml:space="preserve"> respon</w:t>
      </w:r>
      <w:r w:rsidR="005970C3" w:rsidRPr="002E7B55">
        <w:rPr>
          <w:rFonts w:eastAsiaTheme="minorHAnsi"/>
          <w:lang w:eastAsia="en-US" w:bidi="th-TH"/>
        </w:rPr>
        <w:t>se</w:t>
      </w:r>
      <w:r w:rsidRPr="002E7B55">
        <w:rPr>
          <w:rFonts w:eastAsiaTheme="minorHAnsi"/>
          <w:lang w:eastAsia="en-US" w:bidi="th-TH"/>
        </w:rPr>
        <w:t xml:space="preserve"> to COVID-19. Māori providers and communities were enabled to accelerate whānau-centred services. In addition, there is now greater visibility and accountability for reporting and tracking of Māori COVID-19 vaccination rates.</w:t>
      </w:r>
    </w:p>
    <w:p w14:paraId="07BA5C2C" w14:textId="77777777" w:rsidR="00EA6D46" w:rsidRDefault="00EA6D46">
      <w:pPr>
        <w:spacing w:before="0" w:after="160" w:line="259" w:lineRule="auto"/>
        <w:rPr>
          <w:rFonts w:asciiTheme="majorHAnsi" w:eastAsiaTheme="majorEastAsia" w:hAnsiTheme="majorHAnsi" w:cstheme="majorBidi"/>
          <w:color w:val="125459" w:themeColor="accent1" w:themeShade="BF"/>
          <w:sz w:val="26"/>
          <w:szCs w:val="33"/>
          <w:lang w:eastAsia="en-US" w:bidi="th-TH"/>
        </w:rPr>
      </w:pPr>
      <w:r>
        <w:rPr>
          <w:lang w:eastAsia="en-US" w:bidi="th-TH"/>
        </w:rPr>
        <w:br w:type="page"/>
      </w:r>
    </w:p>
    <w:p w14:paraId="47112A51" w14:textId="7873A629" w:rsidR="00B859FB" w:rsidRPr="002E7B55" w:rsidRDefault="00B859FB" w:rsidP="00B859FB">
      <w:pPr>
        <w:pStyle w:val="Heading2"/>
      </w:pPr>
      <w:r w:rsidRPr="002E7B55">
        <w:rPr>
          <w:lang w:eastAsia="en-US" w:bidi="th-TH"/>
        </w:rPr>
        <w:lastRenderedPageBreak/>
        <w:t>COVID-19 has put a spotlight on inequity, particularly Māori health inequity</w:t>
      </w:r>
    </w:p>
    <w:p w14:paraId="56EC25CE" w14:textId="58235CBD" w:rsidR="00B859FB" w:rsidRPr="002E7B55" w:rsidRDefault="00B859FB" w:rsidP="00B859FB">
      <w:pPr>
        <w:rPr>
          <w:rFonts w:eastAsiaTheme="minorHAnsi"/>
          <w:lang w:eastAsia="en-US" w:bidi="th-TH"/>
        </w:rPr>
      </w:pPr>
      <w:r w:rsidRPr="002E7B55">
        <w:rPr>
          <w:rFonts w:eastAsiaTheme="minorHAnsi"/>
          <w:lang w:eastAsia="en-US" w:bidi="th-TH"/>
        </w:rPr>
        <w:t>Prime Minister Jacinda Ardern</w:t>
      </w:r>
      <w:r w:rsidR="005970C3" w:rsidRPr="002E7B55">
        <w:rPr>
          <w:rFonts w:eastAsiaTheme="minorHAnsi"/>
          <w:lang w:eastAsia="en-US" w:bidi="th-TH"/>
        </w:rPr>
        <w:t>,</w:t>
      </w:r>
      <w:sdt>
        <w:sdtPr>
          <w:rPr>
            <w:rFonts w:eastAsiaTheme="minorHAnsi"/>
            <w:lang w:eastAsia="en-US" w:bidi="th-TH"/>
          </w:rPr>
          <w:id w:val="71633068"/>
          <w:citation/>
        </w:sdtPr>
        <w:sdtEndPr/>
        <w:sdtContent>
          <w:r w:rsidR="002E5007" w:rsidRPr="002E7B55">
            <w:rPr>
              <w:rFonts w:eastAsiaTheme="minorHAnsi"/>
              <w:lang w:eastAsia="en-US" w:bidi="th-TH"/>
            </w:rPr>
            <w:fldChar w:fldCharType="begin"/>
          </w:r>
          <w:r w:rsidR="002E5007" w:rsidRPr="002E7B55">
            <w:rPr>
              <w:rFonts w:eastAsiaTheme="minorHAnsi"/>
              <w:lang w:eastAsia="en-US" w:bidi="th-TH"/>
            </w:rPr>
            <w:instrText xml:space="preserve"> CITATION Ard22 \l 1153 </w:instrText>
          </w:r>
          <w:r w:rsidR="002E5007" w:rsidRPr="002E7B55">
            <w:rPr>
              <w:rFonts w:eastAsiaTheme="minorHAnsi"/>
              <w:lang w:eastAsia="en-US" w:bidi="th-TH"/>
            </w:rPr>
            <w:fldChar w:fldCharType="separate"/>
          </w:r>
          <w:r w:rsidR="00025361" w:rsidRPr="002E7B55">
            <w:rPr>
              <w:rFonts w:eastAsiaTheme="minorHAnsi"/>
              <w:lang w:eastAsia="en-US" w:bidi="th-TH"/>
            </w:rPr>
            <w:t xml:space="preserve"> (11)</w:t>
          </w:r>
          <w:r w:rsidR="002E5007" w:rsidRPr="002E7B55">
            <w:rPr>
              <w:rFonts w:eastAsiaTheme="minorHAnsi"/>
              <w:lang w:eastAsia="en-US" w:bidi="th-TH"/>
            </w:rPr>
            <w:fldChar w:fldCharType="end"/>
          </w:r>
        </w:sdtContent>
      </w:sdt>
      <w:r w:rsidRPr="002E7B55">
        <w:rPr>
          <w:rFonts w:eastAsiaTheme="minorHAnsi"/>
          <w:lang w:eastAsia="en-US" w:bidi="th-TH"/>
        </w:rPr>
        <w:t xml:space="preserve"> in her 2022 Waitangi Day address</w:t>
      </w:r>
      <w:r w:rsidR="005970C3" w:rsidRPr="002E7B55">
        <w:rPr>
          <w:rFonts w:eastAsiaTheme="minorHAnsi"/>
          <w:lang w:eastAsia="en-US" w:bidi="th-TH"/>
        </w:rPr>
        <w:t>,</w:t>
      </w:r>
      <w:r w:rsidRPr="002E7B55">
        <w:rPr>
          <w:rFonts w:eastAsiaTheme="minorHAnsi"/>
          <w:lang w:eastAsia="en-US" w:bidi="th-TH"/>
        </w:rPr>
        <w:t xml:space="preserve"> </w:t>
      </w:r>
      <w:r w:rsidR="00151C86" w:rsidRPr="002E7B55">
        <w:rPr>
          <w:rFonts w:eastAsiaTheme="minorHAnsi"/>
          <w:lang w:eastAsia="en-US" w:bidi="th-TH"/>
        </w:rPr>
        <w:t xml:space="preserve">reiterated </w:t>
      </w:r>
      <w:r w:rsidRPr="002E7B55">
        <w:rPr>
          <w:rFonts w:eastAsiaTheme="minorHAnsi"/>
          <w:lang w:eastAsia="en-US" w:bidi="th-TH"/>
        </w:rPr>
        <w:t>the Government’s commitment to equity.</w:t>
      </w:r>
    </w:p>
    <w:p w14:paraId="3C73228F" w14:textId="690930EC" w:rsidR="00B859FB" w:rsidRPr="002E7B55" w:rsidRDefault="00B859FB" w:rsidP="00B859FB">
      <w:pPr>
        <w:pStyle w:val="Quote"/>
        <w:rPr>
          <w:rFonts w:eastAsiaTheme="minorHAnsi"/>
          <w:lang w:val="en-NZ" w:eastAsia="en-US" w:bidi="th-TH"/>
        </w:rPr>
      </w:pPr>
      <w:r w:rsidRPr="002E7B55">
        <w:rPr>
          <w:rFonts w:eastAsiaTheme="minorHAnsi"/>
          <w:lang w:val="en-NZ" w:eastAsia="en-US" w:bidi="th-TH"/>
        </w:rPr>
        <w:t>“As a Government we know we have a responsibility to protect the most vulnerable, and we know in many cases that can be our Māori communities. …</w:t>
      </w:r>
    </w:p>
    <w:p w14:paraId="28018FCF" w14:textId="347ADFBA" w:rsidR="00B859FB" w:rsidRPr="002E7B55" w:rsidRDefault="00B859FB" w:rsidP="00B859FB">
      <w:pPr>
        <w:pStyle w:val="Quote"/>
        <w:rPr>
          <w:rFonts w:eastAsiaTheme="minorHAnsi"/>
          <w:lang w:val="en-NZ" w:eastAsia="en-US" w:bidi="th-TH"/>
        </w:rPr>
      </w:pPr>
      <w:r w:rsidRPr="002E7B55">
        <w:rPr>
          <w:rFonts w:eastAsiaTheme="minorHAnsi"/>
          <w:lang w:val="en-NZ" w:eastAsia="en-US" w:bidi="th-TH"/>
        </w:rPr>
        <w:t>We want all New Zealanders to live longer and healthier lives</w:t>
      </w:r>
      <w:r w:rsidR="005970C3" w:rsidRPr="002E7B55">
        <w:rPr>
          <w:rFonts w:eastAsiaTheme="minorHAnsi"/>
          <w:lang w:val="en-NZ" w:eastAsia="en-US" w:bidi="th-TH"/>
        </w:rPr>
        <w:t>,</w:t>
      </w:r>
      <w:r w:rsidRPr="002E7B55">
        <w:rPr>
          <w:rFonts w:eastAsiaTheme="minorHAnsi"/>
          <w:lang w:val="en-NZ" w:eastAsia="en-US" w:bidi="th-TH"/>
        </w:rPr>
        <w:t xml:space="preserve"> and that is why we are working hard to reform the health sector</w:t>
      </w:r>
      <w:r w:rsidR="005970C3" w:rsidRPr="002E7B55">
        <w:rPr>
          <w:rFonts w:eastAsiaTheme="minorHAnsi"/>
          <w:lang w:val="en-NZ" w:eastAsia="en-US" w:bidi="th-TH"/>
        </w:rPr>
        <w:t>. A</w:t>
      </w:r>
      <w:r w:rsidRPr="002E7B55">
        <w:rPr>
          <w:rFonts w:eastAsiaTheme="minorHAnsi"/>
          <w:lang w:val="en-NZ" w:eastAsia="en-US" w:bidi="th-TH"/>
        </w:rPr>
        <w:t xml:space="preserve">nd we have an obligation to make sure everyone has access to the healthcare they need, and that you don’t die younger than everyone else in New Zealand because you are Māori. </w:t>
      </w:r>
    </w:p>
    <w:p w14:paraId="5EF6B317" w14:textId="77777777" w:rsidR="00B859FB" w:rsidRPr="002E7B55" w:rsidRDefault="00B859FB" w:rsidP="00B859FB">
      <w:pPr>
        <w:pStyle w:val="Quote"/>
        <w:rPr>
          <w:rFonts w:eastAsiaTheme="minorHAnsi"/>
          <w:lang w:val="en-NZ" w:eastAsia="en-US" w:bidi="th-TH"/>
        </w:rPr>
      </w:pPr>
      <w:r w:rsidRPr="002E7B55">
        <w:rPr>
          <w:rFonts w:eastAsiaTheme="minorHAnsi"/>
          <w:lang w:val="en-NZ" w:eastAsia="en-US" w:bidi="th-TH"/>
        </w:rPr>
        <w:t xml:space="preserve">And yet that is not the case. Here we have such an obvious example of where we must do better, and where we are not passing the test of our partnership together. </w:t>
      </w:r>
    </w:p>
    <w:p w14:paraId="394170B8" w14:textId="77777777" w:rsidR="00B859FB" w:rsidRPr="002E7B55" w:rsidRDefault="00B859FB" w:rsidP="00B859FB">
      <w:pPr>
        <w:pStyle w:val="Quote"/>
        <w:rPr>
          <w:rFonts w:eastAsiaTheme="minorHAnsi"/>
          <w:lang w:val="en-NZ" w:eastAsia="en-US" w:bidi="th-TH"/>
        </w:rPr>
      </w:pPr>
      <w:r w:rsidRPr="002E7B55">
        <w:rPr>
          <w:rFonts w:eastAsiaTheme="minorHAnsi"/>
          <w:lang w:val="en-NZ" w:eastAsia="en-US" w:bidi="th-TH"/>
        </w:rPr>
        <w:t xml:space="preserve">Māori die at twice the rate as non-Māori from cardiovascular disease. Māori </w:t>
      </w:r>
      <w:proofErr w:type="spellStart"/>
      <w:r w:rsidRPr="002E7B55">
        <w:rPr>
          <w:rFonts w:eastAsiaTheme="minorHAnsi"/>
          <w:lang w:val="en-NZ" w:eastAsia="en-US" w:bidi="th-TH"/>
        </w:rPr>
        <w:t>tamariki</w:t>
      </w:r>
      <w:proofErr w:type="spellEnd"/>
      <w:r w:rsidRPr="002E7B55">
        <w:rPr>
          <w:rFonts w:eastAsiaTheme="minorHAnsi"/>
          <w:lang w:val="en-NZ" w:eastAsia="en-US" w:bidi="th-TH"/>
        </w:rPr>
        <w:t xml:space="preserve"> have a mortality rate one-and-a-half times the rate found in non-Māori children. Māori are more likely to be diagnosed and die from cancer. And Māori die on average 7 years earlier than non-Māori.</w:t>
      </w:r>
    </w:p>
    <w:p w14:paraId="1E8E03E2" w14:textId="77777777" w:rsidR="00B859FB" w:rsidRPr="002E7B55" w:rsidRDefault="00B859FB" w:rsidP="00B859FB">
      <w:pPr>
        <w:pStyle w:val="Quote"/>
        <w:rPr>
          <w:rFonts w:eastAsiaTheme="minorHAnsi"/>
          <w:lang w:val="en-NZ" w:eastAsia="en-US" w:bidi="th-TH"/>
        </w:rPr>
      </w:pPr>
      <w:r w:rsidRPr="002E7B55">
        <w:rPr>
          <w:rFonts w:eastAsiaTheme="minorHAnsi"/>
          <w:lang w:val="en-NZ" w:eastAsia="en-US" w:bidi="th-TH"/>
        </w:rPr>
        <w:t>That is the problem that we have to address. And if we are to make progress as a nation, we have to be willing to question practices that have resulted over and over in the same or even worse outcomes.”</w:t>
      </w:r>
    </w:p>
    <w:p w14:paraId="04A4876E" w14:textId="77777777" w:rsidR="008D469A" w:rsidRPr="002E7B55" w:rsidRDefault="008D469A" w:rsidP="00FE3756"/>
    <w:p w14:paraId="726A772E" w14:textId="60D425A5" w:rsidR="00FE3756" w:rsidRPr="002E7B55" w:rsidRDefault="00FE3756" w:rsidP="00FE3756">
      <w:pPr>
        <w:rPr>
          <w:rFonts w:eastAsiaTheme="minorHAnsi"/>
          <w:lang w:eastAsia="en-US" w:bidi="th-TH"/>
        </w:rPr>
      </w:pPr>
      <w:r w:rsidRPr="002E7B55">
        <w:t>Over-representation of Māori occurs for almost every type of illness and every known determinant that leads to poor health. “Māori health is characterised by systemic inequities in health outcomes, differential exposure to the determinants of health, inequitable access to health and social systems, disproportionate marginalisation and inadequate representation in the health workforce”</w:t>
      </w:r>
      <w:sdt>
        <w:sdtPr>
          <w:rPr>
            <w:i/>
            <w:iCs/>
          </w:rPr>
          <w:id w:val="-1628616045"/>
          <w:citation/>
        </w:sdtPr>
        <w:sdtEndPr/>
        <w:sdtContent>
          <w:r w:rsidR="00A4708C" w:rsidRPr="002E7B55">
            <w:rPr>
              <w:i/>
              <w:iCs/>
            </w:rPr>
            <w:fldChar w:fldCharType="begin"/>
          </w:r>
          <w:r w:rsidR="00A4708C" w:rsidRPr="002E7B55">
            <w:rPr>
              <w:i/>
              <w:iCs/>
            </w:rPr>
            <w:instrText xml:space="preserve"> CITATION Rei \l 1153 </w:instrText>
          </w:r>
          <w:r w:rsidR="00A4708C" w:rsidRPr="002E7B55">
            <w:rPr>
              <w:i/>
              <w:iCs/>
            </w:rPr>
            <w:fldChar w:fldCharType="separate"/>
          </w:r>
          <w:r w:rsidR="00025361" w:rsidRPr="002E7B55">
            <w:rPr>
              <w:i/>
              <w:iCs/>
            </w:rPr>
            <w:t xml:space="preserve"> </w:t>
          </w:r>
          <w:r w:rsidR="00025361" w:rsidRPr="002E7B55">
            <w:t>(12)</w:t>
          </w:r>
          <w:r w:rsidR="00A4708C" w:rsidRPr="002E7B55">
            <w:rPr>
              <w:i/>
              <w:iCs/>
            </w:rPr>
            <w:fldChar w:fldCharType="end"/>
          </w:r>
        </w:sdtContent>
      </w:sdt>
      <w:r w:rsidR="00D335F8" w:rsidRPr="002E7B55">
        <w:rPr>
          <w:i/>
          <w:iCs/>
        </w:rPr>
        <w:t>.</w:t>
      </w:r>
      <w:r w:rsidR="00D335F8" w:rsidRPr="002E7B55">
        <w:t xml:space="preserve"> </w:t>
      </w:r>
      <w:r w:rsidRPr="002E7B55">
        <w:t xml:space="preserve">As a result, Māori experience inequitable rates of many chronic conditions and co-morbidities and are at an increased risk of COVID-19 infection and mortality. </w:t>
      </w:r>
    </w:p>
    <w:p w14:paraId="53C15E28" w14:textId="77777777" w:rsidR="00B33CC6" w:rsidRPr="002E7B55" w:rsidRDefault="006062D7" w:rsidP="00447D4A">
      <w:pPr>
        <w:rPr>
          <w:rFonts w:eastAsiaTheme="minorHAnsi"/>
          <w:lang w:eastAsia="en-US" w:bidi="th-TH"/>
        </w:rPr>
      </w:pPr>
      <w:r w:rsidRPr="002E7B55">
        <w:rPr>
          <w:rFonts w:eastAsiaTheme="minorHAnsi"/>
          <w:lang w:eastAsia="en-US" w:bidi="th-TH"/>
        </w:rPr>
        <w:t xml:space="preserve">Health equity has been defined as the principle underlying a commitment to reduce </w:t>
      </w:r>
      <w:r w:rsidR="000557D8" w:rsidRPr="002E7B55">
        <w:rPr>
          <w:rFonts w:eastAsiaTheme="minorHAnsi"/>
          <w:lang w:eastAsia="en-US" w:bidi="th-TH"/>
        </w:rPr>
        <w:t>and</w:t>
      </w:r>
      <w:r w:rsidRPr="002E7B55">
        <w:rPr>
          <w:rFonts w:eastAsiaTheme="minorHAnsi"/>
          <w:lang w:eastAsia="en-US" w:bidi="th-TH"/>
        </w:rPr>
        <w:t xml:space="preserve"> eliminate </w:t>
      </w:r>
      <w:r w:rsidR="00651AE1" w:rsidRPr="002E7B55">
        <w:rPr>
          <w:rFonts w:eastAsiaTheme="minorHAnsi"/>
          <w:lang w:eastAsia="en-US" w:bidi="th-TH"/>
        </w:rPr>
        <w:t>disparities in health and its determinants.</w:t>
      </w:r>
      <w:r w:rsidR="00447D4A" w:rsidRPr="002E7B55">
        <w:rPr>
          <w:rFonts w:eastAsiaTheme="minorHAnsi"/>
          <w:lang w:eastAsia="en-US" w:bidi="th-TH"/>
        </w:rPr>
        <w:t xml:space="preserve"> </w:t>
      </w:r>
    </w:p>
    <w:p w14:paraId="6317215F" w14:textId="2F273781" w:rsidR="00B33CC6" w:rsidRPr="002E7B55" w:rsidRDefault="00447D4A" w:rsidP="00B33CC6">
      <w:pPr>
        <w:pStyle w:val="Quote"/>
        <w:rPr>
          <w:lang w:val="en-NZ"/>
        </w:rPr>
      </w:pPr>
      <w:r w:rsidRPr="002E7B55">
        <w:rPr>
          <w:lang w:val="en-NZ"/>
        </w:rPr>
        <w:t xml:space="preserve">“In Aotearoa New Zealand, people have differences in health that are not only avoidable but unfair and unjust. Equity recognises </w:t>
      </w:r>
      <w:r w:rsidR="00CC38CA" w:rsidRPr="002E7B55">
        <w:rPr>
          <w:lang w:val="en-NZ"/>
        </w:rPr>
        <w:t xml:space="preserve">[that] </w:t>
      </w:r>
      <w:r w:rsidRPr="002E7B55">
        <w:rPr>
          <w:lang w:val="en-NZ"/>
        </w:rPr>
        <w:t>different people with different levels of advantage require different approaches and resources to get equitable health outcomes”</w:t>
      </w:r>
      <w:sdt>
        <w:sdtPr>
          <w:rPr>
            <w:lang w:val="en-NZ"/>
          </w:rPr>
          <w:id w:val="708772988"/>
          <w:citation/>
        </w:sdtPr>
        <w:sdtEndPr>
          <w:rPr>
            <w:i/>
            <w:iCs/>
          </w:rPr>
        </w:sdtEndPr>
        <w:sdtContent>
          <w:r w:rsidR="00A4708C" w:rsidRPr="002E7B55">
            <w:rPr>
              <w:i/>
              <w:iCs/>
              <w:lang w:val="en-NZ"/>
            </w:rPr>
            <w:fldChar w:fldCharType="begin"/>
          </w:r>
          <w:r w:rsidR="00A4708C" w:rsidRPr="002E7B55">
            <w:rPr>
              <w:i/>
              <w:iCs/>
              <w:lang w:val="en-NZ"/>
            </w:rPr>
            <w:instrText xml:space="preserve"> CITATION Blo19 \l 1153 </w:instrText>
          </w:r>
          <w:r w:rsidR="00A4708C" w:rsidRPr="002E7B55">
            <w:rPr>
              <w:i/>
              <w:iCs/>
              <w:lang w:val="en-NZ"/>
            </w:rPr>
            <w:fldChar w:fldCharType="separate"/>
          </w:r>
          <w:r w:rsidR="00025361" w:rsidRPr="002E7B55">
            <w:rPr>
              <w:i/>
              <w:iCs/>
              <w:lang w:val="en-NZ"/>
            </w:rPr>
            <w:t xml:space="preserve"> </w:t>
          </w:r>
          <w:r w:rsidR="00025361" w:rsidRPr="002E7B55">
            <w:rPr>
              <w:lang w:val="en-NZ"/>
            </w:rPr>
            <w:t>(4)</w:t>
          </w:r>
          <w:r w:rsidR="00A4708C" w:rsidRPr="002E7B55">
            <w:rPr>
              <w:i/>
              <w:iCs/>
              <w:lang w:val="en-NZ"/>
            </w:rPr>
            <w:fldChar w:fldCharType="end"/>
          </w:r>
        </w:sdtContent>
      </w:sdt>
      <w:r w:rsidR="00BA78A1" w:rsidRPr="002E7B55">
        <w:rPr>
          <w:i/>
          <w:iCs/>
          <w:lang w:val="en-NZ"/>
        </w:rPr>
        <w:t>.</w:t>
      </w:r>
      <w:r w:rsidRPr="002E7B55">
        <w:rPr>
          <w:rStyle w:val="FootnoteReference"/>
          <w:lang w:val="en-NZ"/>
        </w:rPr>
        <w:t xml:space="preserve"> </w:t>
      </w:r>
    </w:p>
    <w:p w14:paraId="1AB1ADD5" w14:textId="77777777" w:rsidR="00EA6D46" w:rsidRDefault="00EA6D46" w:rsidP="00447D4A"/>
    <w:p w14:paraId="081EF02B" w14:textId="136EBF68" w:rsidR="00447D4A" w:rsidRPr="002E7B55" w:rsidRDefault="00CC38CA" w:rsidP="00447D4A">
      <w:r w:rsidRPr="002E7B55">
        <w:t>D</w:t>
      </w:r>
      <w:r w:rsidR="00447D4A" w:rsidRPr="002E7B55">
        <w:t>oing more of the same is rarely effective for social groups whose needs are not met. Instead, different social groups need targeted interventions, policies and programmes designed to meet their specific needs</w:t>
      </w:r>
      <w:sdt>
        <w:sdtPr>
          <w:rPr>
            <w:i/>
            <w:iCs/>
          </w:rPr>
          <w:id w:val="786156500"/>
          <w:citation/>
        </w:sdtPr>
        <w:sdtEndPr/>
        <w:sdtContent>
          <w:r w:rsidR="00A4708C" w:rsidRPr="002E7B55">
            <w:rPr>
              <w:i/>
              <w:iCs/>
            </w:rPr>
            <w:fldChar w:fldCharType="begin"/>
          </w:r>
          <w:r w:rsidR="00A4708C" w:rsidRPr="002E7B55">
            <w:rPr>
              <w:i/>
              <w:iCs/>
            </w:rPr>
            <w:instrText xml:space="preserve"> CITATION Hea19 \l 1153 </w:instrText>
          </w:r>
          <w:r w:rsidR="00A4708C" w:rsidRPr="002E7B55">
            <w:rPr>
              <w:i/>
              <w:iCs/>
            </w:rPr>
            <w:fldChar w:fldCharType="separate"/>
          </w:r>
          <w:r w:rsidR="00025361" w:rsidRPr="002E7B55">
            <w:rPr>
              <w:i/>
              <w:iCs/>
            </w:rPr>
            <w:t xml:space="preserve"> </w:t>
          </w:r>
          <w:r w:rsidR="00025361" w:rsidRPr="002E7B55">
            <w:t>(13)</w:t>
          </w:r>
          <w:r w:rsidR="00A4708C" w:rsidRPr="002E7B55">
            <w:rPr>
              <w:i/>
              <w:iCs/>
            </w:rPr>
            <w:fldChar w:fldCharType="end"/>
          </w:r>
        </w:sdtContent>
      </w:sdt>
      <w:r w:rsidR="00447D4A" w:rsidRPr="002E7B55">
        <w:rPr>
          <w:i/>
          <w:iCs/>
        </w:rPr>
        <w:t>.</w:t>
      </w:r>
      <w:r w:rsidR="00447D4A" w:rsidRPr="002E7B55">
        <w:t xml:space="preserve"> This </w:t>
      </w:r>
      <w:r w:rsidR="000557D8" w:rsidRPr="002E7B55">
        <w:t>representation</w:t>
      </w:r>
      <w:r w:rsidR="00447D4A" w:rsidRPr="002E7B55">
        <w:t xml:space="preserve"> of </w:t>
      </w:r>
      <w:r w:rsidR="000557D8" w:rsidRPr="002E7B55">
        <w:t>equity</w:t>
      </w:r>
      <w:r w:rsidR="00447D4A" w:rsidRPr="002E7B55">
        <w:t xml:space="preserve"> was the premise of MIVP.</w:t>
      </w:r>
    </w:p>
    <w:p w14:paraId="52863666" w14:textId="77777777" w:rsidR="00EA6D46" w:rsidRDefault="00EA6D46">
      <w:pPr>
        <w:spacing w:before="0" w:after="160" w:line="259" w:lineRule="auto"/>
        <w:rPr>
          <w:rFonts w:asciiTheme="majorHAnsi" w:eastAsiaTheme="majorEastAsia" w:hAnsiTheme="majorHAnsi" w:cstheme="majorBidi"/>
          <w:color w:val="125459" w:themeColor="accent1" w:themeShade="BF"/>
          <w:sz w:val="26"/>
          <w:szCs w:val="33"/>
        </w:rPr>
      </w:pPr>
      <w:r>
        <w:br w:type="page"/>
      </w:r>
    </w:p>
    <w:p w14:paraId="56A498ED" w14:textId="2D668EEF" w:rsidR="00FD589C" w:rsidRPr="002E7B55" w:rsidRDefault="00383DB0" w:rsidP="00FD589C">
      <w:pPr>
        <w:pStyle w:val="Heading2"/>
      </w:pPr>
      <w:r w:rsidRPr="002E7B55">
        <w:lastRenderedPageBreak/>
        <w:t>MIVP</w:t>
      </w:r>
      <w:r w:rsidR="00FD589C" w:rsidRPr="002E7B55">
        <w:t xml:space="preserve"> </w:t>
      </w:r>
      <w:r w:rsidR="006B4FF8" w:rsidRPr="002E7B55">
        <w:t>(2020)</w:t>
      </w:r>
      <w:r w:rsidRPr="002E7B55">
        <w:t xml:space="preserve"> and MIMVP (2021)</w:t>
      </w:r>
    </w:p>
    <w:p w14:paraId="7BE7BBFB" w14:textId="13D194F1" w:rsidR="006B4FF8" w:rsidRPr="002E7B55" w:rsidRDefault="00FD589C" w:rsidP="00FD589C">
      <w:r w:rsidRPr="002E7B55">
        <w:t>In 2020, in the early stages of the COVID-19 pandemic, there was concern about the potential health impacts of Māori getting influenza (the flu</w:t>
      </w:r>
      <w:r w:rsidR="00FE3756" w:rsidRPr="002E7B55">
        <w:t xml:space="preserve">). </w:t>
      </w:r>
      <w:r w:rsidR="000557D8" w:rsidRPr="002E7B55">
        <w:t>Therefore, as</w:t>
      </w:r>
      <w:r w:rsidR="00E11204" w:rsidRPr="002E7B55">
        <w:t xml:space="preserve"> part of its COVID-19 Māori health response, </w:t>
      </w:r>
      <w:r w:rsidR="000557D8" w:rsidRPr="002E7B55">
        <w:t>the</w:t>
      </w:r>
      <w:r w:rsidR="00A55144" w:rsidRPr="002E7B55">
        <w:t xml:space="preserve"> Ministry initiated a new approach to flu immunisations</w:t>
      </w:r>
      <w:r w:rsidR="006B4FF8" w:rsidRPr="002E7B55">
        <w:t>, MIVP.</w:t>
      </w:r>
    </w:p>
    <w:p w14:paraId="639C7A66" w14:textId="7DC759C1" w:rsidR="006B4FF8" w:rsidRPr="002E7B55" w:rsidRDefault="00A7761C" w:rsidP="00FD589C">
      <w:r w:rsidRPr="002E7B55">
        <w:t xml:space="preserve">Māori have lower rates of flu immunisation than Pacific Peoples and non-Māori non-Pacific populations. </w:t>
      </w:r>
      <w:r w:rsidR="006B4FF8" w:rsidRPr="002E7B55">
        <w:t xml:space="preserve">The aim of MIVP, led by the Māori Health </w:t>
      </w:r>
      <w:r w:rsidR="000557D8" w:rsidRPr="002E7B55">
        <w:t xml:space="preserve">Directorate </w:t>
      </w:r>
      <w:r w:rsidR="006B4FF8" w:rsidRPr="002E7B55">
        <w:t>(MHD), was to reduce the equity gap between Māori and non-Māori influenza vaccination rates</w:t>
      </w:r>
      <w:r w:rsidR="001A2D07" w:rsidRPr="002E7B55">
        <w:t xml:space="preserve">. </w:t>
      </w:r>
      <w:r w:rsidR="006B4FF8" w:rsidRPr="002E7B55">
        <w:t xml:space="preserve">MIVP supported Māori service providers and District Health Boards (DHBs) to improve equity for Māori by increasing access to flu vaccinations. </w:t>
      </w:r>
      <w:r w:rsidR="000557D8" w:rsidRPr="002E7B55">
        <w:t>In addition, the</w:t>
      </w:r>
      <w:r w:rsidR="006B4FF8" w:rsidRPr="002E7B55">
        <w:t xml:space="preserve"> Ministry commissioned an evaluation to assess its effectiveness and generate insights about what works to support </w:t>
      </w:r>
      <w:r w:rsidR="000557D8" w:rsidRPr="002E7B55">
        <w:t xml:space="preserve">the </w:t>
      </w:r>
      <w:r w:rsidR="006B4FF8" w:rsidRPr="002E7B55">
        <w:t>vaccinations of Māori.</w:t>
      </w:r>
    </w:p>
    <w:p w14:paraId="67337D4E" w14:textId="71504FEC" w:rsidR="007532B3" w:rsidRPr="002E7B55" w:rsidRDefault="007532B3" w:rsidP="007532B3">
      <w:r w:rsidRPr="002E7B55">
        <w:t xml:space="preserve">Building off the findings </w:t>
      </w:r>
      <w:r w:rsidR="00ED7791" w:rsidRPr="002E7B55">
        <w:t xml:space="preserve">of </w:t>
      </w:r>
      <w:r w:rsidRPr="002E7B55">
        <w:t xml:space="preserve">what works, </w:t>
      </w:r>
      <w:r w:rsidR="00ED7791" w:rsidRPr="002E7B55">
        <w:t xml:space="preserve">as </w:t>
      </w:r>
      <w:r w:rsidRPr="002E7B55">
        <w:t xml:space="preserve">outlined in the 2020 evaluation report, the Ministry implemented MIVP for a second year. The 2021 programme included a focus on both influenza and </w:t>
      </w:r>
      <w:proofErr w:type="gramStart"/>
      <w:r w:rsidRPr="002E7B55">
        <w:t>measles</w:t>
      </w:r>
      <w:r w:rsidR="00ED7791" w:rsidRPr="002E7B55">
        <w:t>,</w:t>
      </w:r>
      <w:r w:rsidRPr="002E7B55">
        <w:t xml:space="preserve"> and</w:t>
      </w:r>
      <w:proofErr w:type="gramEnd"/>
      <w:r w:rsidRPr="002E7B55">
        <w:t xml:space="preserve"> became known as the MIMVP. </w:t>
      </w:r>
    </w:p>
    <w:p w14:paraId="437EF2B0" w14:textId="77777777" w:rsidR="00AD0E6D" w:rsidRPr="002E7B55" w:rsidRDefault="00AD0E6D" w:rsidP="00747751">
      <w:pPr>
        <w:pStyle w:val="Heading2"/>
      </w:pPr>
      <w:r w:rsidRPr="002E7B55">
        <w:t>COVID-19 has been the biggest disruptor to flu and measles vaccinations</w:t>
      </w:r>
    </w:p>
    <w:p w14:paraId="0FDD3EFA" w14:textId="2BD0A0BB" w:rsidR="00AD0E6D" w:rsidRPr="002E7B55" w:rsidRDefault="00AD0E6D" w:rsidP="00AD0E6D">
      <w:r w:rsidRPr="002E7B55">
        <w:t xml:space="preserve">In 2021, the spread of COVID-19 presented a real risk to the health and wellbeing of all New Zealanders, particularly to our senior citizens (over 65 years) and those with underlying health conditions. </w:t>
      </w:r>
      <w:r w:rsidR="00ED7791" w:rsidRPr="002E7B55">
        <w:t>Research showed b</w:t>
      </w:r>
      <w:r w:rsidRPr="002E7B55">
        <w:t>eing fully vaccinated presents the best protection</w:t>
      </w:r>
      <w:r w:rsidR="00ED7791" w:rsidRPr="002E7B55">
        <w:t>. P</w:t>
      </w:r>
      <w:r w:rsidR="00C62850" w:rsidRPr="002E7B55">
        <w:t>roviders and DHBs prioritised</w:t>
      </w:r>
      <w:r w:rsidR="00ED7791" w:rsidRPr="002E7B55">
        <w:t xml:space="preserve"> and shifted resources to</w:t>
      </w:r>
      <w:r w:rsidR="00C62850" w:rsidRPr="002E7B55">
        <w:t xml:space="preserve"> COVID-19 testing and vaccinations</w:t>
      </w:r>
      <w:r w:rsidRPr="002E7B55">
        <w:t xml:space="preserve">. </w:t>
      </w:r>
      <w:r w:rsidR="00C62850" w:rsidRPr="002E7B55">
        <w:t>W</w:t>
      </w:r>
      <w:r w:rsidRPr="002E7B55">
        <w:t xml:space="preserve">hile this may not have been the plan, it is what eventuated. This focus on COVID-19 had an impact on MIMVP. </w:t>
      </w:r>
    </w:p>
    <w:p w14:paraId="29C4C6B9" w14:textId="5F42F194" w:rsidR="007532B3" w:rsidRPr="002E7B55" w:rsidRDefault="007532B3" w:rsidP="007532B3">
      <w:r w:rsidRPr="002E7B55">
        <w:rPr>
          <w:rFonts w:eastAsia="Arial Nova Light"/>
        </w:rPr>
        <w:t>Amongst unimmunised populations, COVID-19 presents a crisis, and therefore it has priority over other vaccination programmes within Aotearoa New Zealand (a</w:t>
      </w:r>
      <w:r w:rsidR="00FC6A03" w:rsidRPr="002E7B55">
        <w:rPr>
          <w:rFonts w:eastAsia="Arial Nova Light"/>
        </w:rPr>
        <w:t>s it does</w:t>
      </w:r>
      <w:r w:rsidRPr="002E7B55">
        <w:rPr>
          <w:rFonts w:eastAsia="Arial Nova Light"/>
        </w:rPr>
        <w:t xml:space="preserve"> worldwide). However, while COVID-19 is one of the vaccination priorities, the Ministry of Health nevertheless funded and planned for providers to continue to deliver other vaccination programmes such as flu and MMR to improve equity for Māori. Longer-term, while the scale of the health and economic impacts from the flu are less than for COVID-19, the flu still results in around 500 deaths per year in this country, many of which are preventable.</w:t>
      </w:r>
      <w:sdt>
        <w:sdtPr>
          <w:rPr>
            <w:rFonts w:eastAsia="Arial Nova Light"/>
          </w:rPr>
          <w:id w:val="248008836"/>
          <w:citation/>
        </w:sdtPr>
        <w:sdtEndPr/>
        <w:sdtContent>
          <w:r w:rsidR="00EF6CA7" w:rsidRPr="002E7B55">
            <w:rPr>
              <w:rFonts w:eastAsia="Arial Nova Light"/>
            </w:rPr>
            <w:fldChar w:fldCharType="begin"/>
          </w:r>
          <w:r w:rsidR="00EF6CA7" w:rsidRPr="002E7B55">
            <w:rPr>
              <w:rFonts w:eastAsia="Arial Nova Light"/>
            </w:rPr>
            <w:instrText xml:space="preserve"> CITATION Khi17 \l 1153 </w:instrText>
          </w:r>
          <w:r w:rsidR="00EF6CA7" w:rsidRPr="002E7B55">
            <w:rPr>
              <w:rFonts w:eastAsia="Arial Nova Light"/>
            </w:rPr>
            <w:fldChar w:fldCharType="separate"/>
          </w:r>
          <w:r w:rsidR="00025361" w:rsidRPr="002E7B55">
            <w:rPr>
              <w:rFonts w:eastAsia="Arial Nova Light"/>
            </w:rPr>
            <w:t xml:space="preserve"> (14)</w:t>
          </w:r>
          <w:r w:rsidR="00EF6CA7" w:rsidRPr="002E7B55">
            <w:rPr>
              <w:rFonts w:eastAsia="Arial Nova Light"/>
            </w:rPr>
            <w:fldChar w:fldCharType="end"/>
          </w:r>
        </w:sdtContent>
      </w:sdt>
    </w:p>
    <w:p w14:paraId="48E9EAF0" w14:textId="791A554A" w:rsidR="007532B3" w:rsidRPr="002E7B55" w:rsidRDefault="007532B3" w:rsidP="007532B3">
      <w:r w:rsidRPr="002E7B55">
        <w:t xml:space="preserve">Measles, </w:t>
      </w:r>
      <w:proofErr w:type="gramStart"/>
      <w:r w:rsidRPr="002E7B55">
        <w:t>mumps</w:t>
      </w:r>
      <w:proofErr w:type="gramEnd"/>
      <w:r w:rsidRPr="002E7B55">
        <w:t xml:space="preserve"> and rubella can devastate unvaccinated communities, as seen during the measles epidemic in 2019. Currently, immunisation rates in Aotearoa New Zealand, are below the 95% level required for herd immunity</w:t>
      </w:r>
      <w:r w:rsidR="00EF6CA7" w:rsidRPr="002E7B55">
        <w:rPr>
          <w:rStyle w:val="EndnoteReference"/>
        </w:rPr>
        <w:endnoteReference w:id="5"/>
      </w:r>
      <w:r w:rsidRPr="002E7B55">
        <w:t>. There is also evidence that regular childhood immunisations are falling behind. Sinclair and Grant</w:t>
      </w:r>
      <w:sdt>
        <w:sdtPr>
          <w:id w:val="2087873981"/>
          <w:citation/>
        </w:sdtPr>
        <w:sdtEndPr/>
        <w:sdtContent>
          <w:r w:rsidR="00EF6CA7" w:rsidRPr="002E7B55">
            <w:fldChar w:fldCharType="begin"/>
          </w:r>
          <w:r w:rsidR="00EF6CA7" w:rsidRPr="002E7B55">
            <w:instrText xml:space="preserve"> CITATION Sin21 \l 1153 </w:instrText>
          </w:r>
          <w:r w:rsidR="00EF6CA7" w:rsidRPr="002E7B55">
            <w:fldChar w:fldCharType="separate"/>
          </w:r>
          <w:r w:rsidR="00025361" w:rsidRPr="002E7B55">
            <w:t xml:space="preserve"> (15)</w:t>
          </w:r>
          <w:r w:rsidR="00EF6CA7" w:rsidRPr="002E7B55">
            <w:fldChar w:fldCharType="end"/>
          </w:r>
        </w:sdtContent>
      </w:sdt>
      <w:r w:rsidRPr="002E7B55">
        <w:t xml:space="preserve"> observe, “The current age six-months immunisation percentage for Māori is a dire 54%” (p.92).  Again, there may be significant, preventable impacts if children miss these immunisations. </w:t>
      </w:r>
    </w:p>
    <w:p w14:paraId="2AA5A3E6" w14:textId="2480BDB9" w:rsidR="006B3835" w:rsidRPr="002E7B55" w:rsidRDefault="006B3835" w:rsidP="006B3835">
      <w:r w:rsidRPr="002E7B55">
        <w:t>If we keep focusing on COVID-19 at the expense of the flu, MMR and other childhood immunisations, there is a risk of longer-term effects for whānau and the health system. An outbreak of any of these illnesses is preventable. Yet, longer-term lower immunisation rates set Māori up for being more severely affected by these illnesses</w:t>
      </w:r>
      <w:r w:rsidR="00FC6A03" w:rsidRPr="002E7B55">
        <w:t xml:space="preserve"> in future</w:t>
      </w:r>
      <w:r w:rsidRPr="002E7B55">
        <w:t xml:space="preserve">, resulting in deaths and </w:t>
      </w:r>
      <w:r w:rsidR="00DF60FC" w:rsidRPr="002E7B55">
        <w:t>further entrenching Māori health inequity.</w:t>
      </w:r>
    </w:p>
    <w:p w14:paraId="4C222954" w14:textId="77777777" w:rsidR="00EA6D46" w:rsidRDefault="00EA6D46">
      <w:pPr>
        <w:spacing w:before="0" w:after="160" w:line="259" w:lineRule="auto"/>
        <w:rPr>
          <w:rFonts w:asciiTheme="majorHAnsi" w:eastAsiaTheme="majorEastAsia" w:hAnsiTheme="majorHAnsi" w:cstheme="majorBidi"/>
          <w:color w:val="125459" w:themeColor="accent1" w:themeShade="BF"/>
          <w:sz w:val="26"/>
          <w:szCs w:val="33"/>
        </w:rPr>
      </w:pPr>
      <w:r>
        <w:br w:type="page"/>
      </w:r>
    </w:p>
    <w:p w14:paraId="5855C204" w14:textId="01E1BD27" w:rsidR="00D563F5" w:rsidRPr="002E7B55" w:rsidRDefault="00546FF3" w:rsidP="00B859FB">
      <w:pPr>
        <w:pStyle w:val="Heading2"/>
      </w:pPr>
      <w:r w:rsidRPr="002E7B55">
        <w:lastRenderedPageBreak/>
        <w:t>Enabling a shift towards integrated immunisations</w:t>
      </w:r>
    </w:p>
    <w:p w14:paraId="7436FA9F" w14:textId="57EEEBA6" w:rsidR="00084669" w:rsidRPr="002E7B55" w:rsidRDefault="00084669" w:rsidP="00084669">
      <w:r w:rsidRPr="002E7B55">
        <w:t>The Ministry</w:t>
      </w:r>
      <w:r w:rsidR="00FC6A03" w:rsidRPr="002E7B55">
        <w:t xml:space="preserve"> is in the early stages of its</w:t>
      </w:r>
      <w:r w:rsidRPr="002E7B55">
        <w:t xml:space="preserve"> response to this predicament. </w:t>
      </w:r>
      <w:r w:rsidR="00FC6A03" w:rsidRPr="002E7B55">
        <w:t>In late 2021, t</w:t>
      </w:r>
      <w:r w:rsidRPr="002E7B55">
        <w:t>he Ministry combined its COVID</w:t>
      </w:r>
      <w:r w:rsidR="00ED6997" w:rsidRPr="002E7B55">
        <w:t>-19</w:t>
      </w:r>
      <w:r w:rsidRPr="002E7B55">
        <w:t xml:space="preserve"> and immunisation teams into one unit</w:t>
      </w:r>
      <w:r w:rsidR="00A10274" w:rsidRPr="002E7B55">
        <w:t xml:space="preserve"> – The National Immunisation Programme</w:t>
      </w:r>
      <w:r w:rsidR="00FC6A03" w:rsidRPr="002E7B55">
        <w:t xml:space="preserve">, </w:t>
      </w:r>
      <w:r w:rsidRPr="002E7B55">
        <w:t xml:space="preserve">and the plan for 2022 is an integrated approach to immunisations. </w:t>
      </w:r>
      <w:r w:rsidR="00FC6A03" w:rsidRPr="002E7B55">
        <w:t xml:space="preserve">The </w:t>
      </w:r>
      <w:r w:rsidR="00546FF3" w:rsidRPr="002E7B55">
        <w:t>MIMVP funding both flu and MMR vaccinations and seeking learnings for childhood immunisations was one step towards a more integrated approach to immunisations.</w:t>
      </w:r>
    </w:p>
    <w:p w14:paraId="221F4C6D" w14:textId="5A1A52F5" w:rsidR="00747751" w:rsidRPr="002E7B55" w:rsidRDefault="00747751" w:rsidP="00747751">
      <w:r w:rsidRPr="002E7B55">
        <w:t>The World Health Organisation (WHO) suggests the purpose of integrated health services is to manage and deliver services so that people receive a continuum of care and treatment, coordinated across the different level and sites of care within and beyond the health sector and according to their needs throughout the course of the life.</w:t>
      </w:r>
      <w:sdt>
        <w:sdtPr>
          <w:id w:val="-1827730446"/>
          <w:citation/>
        </w:sdtPr>
        <w:sdtEndPr/>
        <w:sdtContent>
          <w:r w:rsidR="00EF6CA7" w:rsidRPr="002E7B55">
            <w:fldChar w:fldCharType="begin"/>
          </w:r>
          <w:r w:rsidR="00EF6CA7" w:rsidRPr="002E7B55">
            <w:instrText xml:space="preserve"> CITATION Wor18 \l 1153 </w:instrText>
          </w:r>
          <w:r w:rsidR="00EF6CA7" w:rsidRPr="002E7B55">
            <w:fldChar w:fldCharType="separate"/>
          </w:r>
          <w:r w:rsidR="00025361" w:rsidRPr="002E7B55">
            <w:t xml:space="preserve"> (16)</w:t>
          </w:r>
          <w:r w:rsidR="00EF6CA7" w:rsidRPr="002E7B55">
            <w:fldChar w:fldCharType="end"/>
          </w:r>
        </w:sdtContent>
      </w:sdt>
      <w:r w:rsidRPr="002E7B55">
        <w:t xml:space="preserve"> The Global Vaccine Action Plan (GVAP) 2011–2020 emphasises strong </w:t>
      </w:r>
      <w:r w:rsidR="002E7B55">
        <w:t>immunisation</w:t>
      </w:r>
      <w:r w:rsidRPr="002E7B55">
        <w:t xml:space="preserve"> systems, as part of broader health systems</w:t>
      </w:r>
      <w:r w:rsidR="00FC6A03" w:rsidRPr="002E7B55">
        <w:t xml:space="preserve"> and</w:t>
      </w:r>
      <w:r w:rsidRPr="002E7B55">
        <w:t xml:space="preserve"> closely coordinated with other primary health care delivery programmes as essential for achieving </w:t>
      </w:r>
      <w:r w:rsidR="002E7B55">
        <w:t>immunisation</w:t>
      </w:r>
      <w:r w:rsidRPr="002E7B55">
        <w:t xml:space="preserve"> goals. </w:t>
      </w:r>
      <w:sdt>
        <w:sdtPr>
          <w:id w:val="987674351"/>
          <w:citation/>
        </w:sdtPr>
        <w:sdtEndPr/>
        <w:sdtContent>
          <w:r w:rsidR="00EF6CA7" w:rsidRPr="002E7B55">
            <w:fldChar w:fldCharType="begin"/>
          </w:r>
          <w:r w:rsidR="00EF6CA7" w:rsidRPr="002E7B55">
            <w:instrText xml:space="preserve"> CITATION Wor13 \l 1153 </w:instrText>
          </w:r>
          <w:r w:rsidR="00EF6CA7" w:rsidRPr="002E7B55">
            <w:fldChar w:fldCharType="separate"/>
          </w:r>
          <w:r w:rsidR="00025361" w:rsidRPr="002E7B55">
            <w:t>(17)</w:t>
          </w:r>
          <w:r w:rsidR="00EF6CA7" w:rsidRPr="002E7B55">
            <w:fldChar w:fldCharType="end"/>
          </w:r>
        </w:sdtContent>
      </w:sdt>
    </w:p>
    <w:p w14:paraId="753D7B48" w14:textId="267DC6A6" w:rsidR="006307F1" w:rsidRPr="002E7B55" w:rsidRDefault="00747751" w:rsidP="00747751">
      <w:r w:rsidRPr="002E7B55">
        <w:t>Deciding on how to structure the integration of health services to achieve optimal service delivery efficiency, alongside optimal service quality, is reported as a critical decision for countries and their health organisations.</w:t>
      </w:r>
      <w:sdt>
        <w:sdtPr>
          <w:id w:val="-1576820779"/>
          <w:citation/>
        </w:sdtPr>
        <w:sdtEndPr/>
        <w:sdtContent>
          <w:r w:rsidR="00EF6CA7" w:rsidRPr="002E7B55">
            <w:fldChar w:fldCharType="begin"/>
          </w:r>
          <w:r w:rsidR="00EF6CA7" w:rsidRPr="002E7B55">
            <w:instrText xml:space="preserve"> CITATION Wor18 \l 1153 </w:instrText>
          </w:r>
          <w:r w:rsidR="00EF6CA7" w:rsidRPr="002E7B55">
            <w:fldChar w:fldCharType="separate"/>
          </w:r>
          <w:r w:rsidR="00025361" w:rsidRPr="002E7B55">
            <w:t xml:space="preserve"> (16)</w:t>
          </w:r>
          <w:r w:rsidR="00EF6CA7" w:rsidRPr="002E7B55">
            <w:fldChar w:fldCharType="end"/>
          </w:r>
        </w:sdtContent>
      </w:sdt>
      <w:r w:rsidRPr="002E7B55">
        <w:t xml:space="preserve"> </w:t>
      </w:r>
    </w:p>
    <w:p w14:paraId="25C3A7EC" w14:textId="4ED73637" w:rsidR="00747751" w:rsidRPr="002E7B55" w:rsidRDefault="00747751" w:rsidP="00747751">
      <w:r w:rsidRPr="002E7B55">
        <w:t xml:space="preserve">It is not </w:t>
      </w:r>
      <w:r w:rsidR="004770A0" w:rsidRPr="002E7B55">
        <w:t xml:space="preserve">yet </w:t>
      </w:r>
      <w:r w:rsidRPr="002E7B55">
        <w:t xml:space="preserve">clear how the </w:t>
      </w:r>
      <w:r w:rsidR="004770A0" w:rsidRPr="002E7B55">
        <w:t xml:space="preserve">National Immunisation </w:t>
      </w:r>
      <w:r w:rsidRPr="002E7B55">
        <w:t xml:space="preserve">Programme </w:t>
      </w:r>
      <w:r w:rsidR="004770A0" w:rsidRPr="002E7B55">
        <w:t xml:space="preserve">will </w:t>
      </w:r>
      <w:r w:rsidRPr="002E7B55">
        <w:t xml:space="preserve">work. </w:t>
      </w:r>
      <w:r w:rsidR="006307F1" w:rsidRPr="002E7B55">
        <w:t xml:space="preserve">Currently, </w:t>
      </w:r>
      <w:r w:rsidR="00284DA9" w:rsidRPr="002E7B55">
        <w:t xml:space="preserve">each immunisation </w:t>
      </w:r>
      <w:r w:rsidR="006307F1" w:rsidRPr="002E7B55">
        <w:t>programme has its own</w:t>
      </w:r>
      <w:r w:rsidR="00FC6A03" w:rsidRPr="002E7B55">
        <w:t>:</w:t>
      </w:r>
      <w:r w:rsidR="006307F1" w:rsidRPr="002E7B55">
        <w:t xml:space="preserve"> systems and processes,</w:t>
      </w:r>
      <w:r w:rsidR="00D9533B" w:rsidRPr="002E7B55">
        <w:t xml:space="preserve"> </w:t>
      </w:r>
      <w:r w:rsidR="006307F1" w:rsidRPr="002E7B55">
        <w:t>separate contracts, different funding rates per vaccination</w:t>
      </w:r>
      <w:r w:rsidR="00D9533B" w:rsidRPr="002E7B55">
        <w:t>,</w:t>
      </w:r>
      <w:r w:rsidR="006307F1" w:rsidRPr="002E7B55">
        <w:t xml:space="preserve"> </w:t>
      </w:r>
      <w:r w:rsidR="00D9533B" w:rsidRPr="002E7B55">
        <w:t xml:space="preserve">data entry </w:t>
      </w:r>
      <w:r w:rsidR="006307F1" w:rsidRPr="002E7B55">
        <w:t>requirements</w:t>
      </w:r>
      <w:r w:rsidR="00D9533B" w:rsidRPr="002E7B55">
        <w:t xml:space="preserve"> and reporting conditions</w:t>
      </w:r>
      <w:r w:rsidR="006307F1" w:rsidRPr="002E7B55">
        <w:t>.</w:t>
      </w:r>
    </w:p>
    <w:p w14:paraId="77AAB9B1" w14:textId="24D7A731" w:rsidR="00084697" w:rsidRPr="002E7B55" w:rsidRDefault="00FB6AB9" w:rsidP="00FB6AB9">
      <w:r w:rsidRPr="002E7B55">
        <w:t>For Māori provider</w:t>
      </w:r>
      <w:r w:rsidR="00084697" w:rsidRPr="002E7B55">
        <w:t>s integration would ideally combine and streamline systems and processes across all immunisations. This would include</w:t>
      </w:r>
      <w:r w:rsidR="00FC6A03" w:rsidRPr="002E7B55">
        <w:t>:</w:t>
      </w:r>
    </w:p>
    <w:p w14:paraId="167AAFCC" w14:textId="2EFEAF60" w:rsidR="00FB6AB9" w:rsidRPr="002E7B55" w:rsidRDefault="00FB6AB9" w:rsidP="009E0372">
      <w:pPr>
        <w:pStyle w:val="ListParagraph"/>
        <w:numPr>
          <w:ilvl w:val="0"/>
          <w:numId w:val="43"/>
        </w:numPr>
        <w:rPr>
          <w:lang w:val="en-NZ"/>
        </w:rPr>
      </w:pPr>
      <w:r w:rsidRPr="002E7B55">
        <w:rPr>
          <w:lang w:val="en-NZ"/>
        </w:rPr>
        <w:t>A single contract</w:t>
      </w:r>
      <w:r w:rsidR="00817ED0" w:rsidRPr="002E7B55">
        <w:rPr>
          <w:lang w:val="en-NZ"/>
        </w:rPr>
        <w:t xml:space="preserve"> </w:t>
      </w:r>
      <w:r w:rsidR="00FD707A" w:rsidRPr="002E7B55">
        <w:rPr>
          <w:lang w:val="en-NZ"/>
        </w:rPr>
        <w:t xml:space="preserve">combining </w:t>
      </w:r>
      <w:r w:rsidR="00817ED0" w:rsidRPr="002E7B55">
        <w:rPr>
          <w:lang w:val="en-NZ"/>
        </w:rPr>
        <w:t xml:space="preserve">all </w:t>
      </w:r>
      <w:r w:rsidR="00084697" w:rsidRPr="002E7B55">
        <w:rPr>
          <w:lang w:val="en-NZ"/>
        </w:rPr>
        <w:t xml:space="preserve">of the </w:t>
      </w:r>
      <w:r w:rsidR="009E0372" w:rsidRPr="002E7B55">
        <w:rPr>
          <w:lang w:val="en-NZ"/>
        </w:rPr>
        <w:t xml:space="preserve">vaccinations </w:t>
      </w:r>
      <w:r w:rsidR="00FC6A03" w:rsidRPr="002E7B55">
        <w:rPr>
          <w:lang w:val="en-NZ"/>
        </w:rPr>
        <w:t xml:space="preserve">that </w:t>
      </w:r>
      <w:r w:rsidR="009E0372" w:rsidRPr="002E7B55">
        <w:rPr>
          <w:lang w:val="en-NZ"/>
        </w:rPr>
        <w:t>a provider will deliver</w:t>
      </w:r>
      <w:r w:rsidR="00FD707A" w:rsidRPr="002E7B55">
        <w:rPr>
          <w:lang w:val="en-NZ"/>
        </w:rPr>
        <w:t xml:space="preserve"> and funding</w:t>
      </w:r>
    </w:p>
    <w:p w14:paraId="18427DA4" w14:textId="48D5245F" w:rsidR="009E0372" w:rsidRPr="002E7B55" w:rsidRDefault="00A6420C" w:rsidP="009E0372">
      <w:pPr>
        <w:pStyle w:val="ListParagraph"/>
        <w:numPr>
          <w:ilvl w:val="0"/>
          <w:numId w:val="43"/>
        </w:numPr>
        <w:rPr>
          <w:lang w:val="en-NZ"/>
        </w:rPr>
      </w:pPr>
      <w:r w:rsidRPr="002E7B55">
        <w:rPr>
          <w:lang w:val="en-NZ"/>
        </w:rPr>
        <w:t xml:space="preserve">An integrated </w:t>
      </w:r>
      <w:r w:rsidR="009E0372" w:rsidRPr="002E7B55">
        <w:rPr>
          <w:lang w:val="en-NZ"/>
        </w:rPr>
        <w:t>payment system –</w:t>
      </w:r>
      <w:r w:rsidR="00284DA9" w:rsidRPr="002E7B55">
        <w:rPr>
          <w:lang w:val="en-NZ"/>
        </w:rPr>
        <w:t xml:space="preserve"> </w:t>
      </w:r>
      <w:r w:rsidR="00FC6A03" w:rsidRPr="002E7B55">
        <w:rPr>
          <w:lang w:val="en-NZ"/>
        </w:rPr>
        <w:t xml:space="preserve">as currently </w:t>
      </w:r>
      <w:r w:rsidR="00284DA9" w:rsidRPr="002E7B55">
        <w:rPr>
          <w:lang w:val="en-NZ"/>
        </w:rPr>
        <w:t xml:space="preserve">providers need to claim </w:t>
      </w:r>
      <w:r w:rsidR="00FD707A" w:rsidRPr="002E7B55">
        <w:rPr>
          <w:lang w:val="en-NZ"/>
        </w:rPr>
        <w:t>sep</w:t>
      </w:r>
      <w:r w:rsidR="000A47C3" w:rsidRPr="002E7B55">
        <w:rPr>
          <w:lang w:val="en-NZ"/>
        </w:rPr>
        <w:t>a</w:t>
      </w:r>
      <w:r w:rsidR="00FD707A" w:rsidRPr="002E7B55">
        <w:rPr>
          <w:lang w:val="en-NZ"/>
        </w:rPr>
        <w:t xml:space="preserve">rately </w:t>
      </w:r>
      <w:r w:rsidR="00284DA9" w:rsidRPr="002E7B55">
        <w:rPr>
          <w:lang w:val="en-NZ"/>
        </w:rPr>
        <w:t xml:space="preserve">for </w:t>
      </w:r>
      <w:r w:rsidR="00817ED0" w:rsidRPr="002E7B55">
        <w:rPr>
          <w:lang w:val="en-NZ"/>
        </w:rPr>
        <w:t>reimburs</w:t>
      </w:r>
      <w:r w:rsidR="00FC6A03" w:rsidRPr="002E7B55">
        <w:rPr>
          <w:lang w:val="en-NZ"/>
        </w:rPr>
        <w:t>e</w:t>
      </w:r>
      <w:r w:rsidR="00817ED0" w:rsidRPr="002E7B55">
        <w:rPr>
          <w:lang w:val="en-NZ"/>
        </w:rPr>
        <w:t xml:space="preserve">ment </w:t>
      </w:r>
      <w:r w:rsidR="00284DA9" w:rsidRPr="002E7B55">
        <w:rPr>
          <w:lang w:val="en-NZ"/>
        </w:rPr>
        <w:t xml:space="preserve">of </w:t>
      </w:r>
      <w:r w:rsidR="009E0372" w:rsidRPr="002E7B55">
        <w:rPr>
          <w:lang w:val="en-NZ"/>
        </w:rPr>
        <w:t>vaccine costs</w:t>
      </w:r>
      <w:r w:rsidR="00284DA9" w:rsidRPr="002E7B55">
        <w:rPr>
          <w:lang w:val="en-NZ"/>
        </w:rPr>
        <w:t xml:space="preserve"> for each vaccine </w:t>
      </w:r>
    </w:p>
    <w:p w14:paraId="27A8A916" w14:textId="4869363B" w:rsidR="009E0372" w:rsidRPr="002E7B55" w:rsidRDefault="009E0372" w:rsidP="009E0372">
      <w:pPr>
        <w:pStyle w:val="ListParagraph"/>
        <w:numPr>
          <w:ilvl w:val="0"/>
          <w:numId w:val="43"/>
        </w:numPr>
        <w:rPr>
          <w:lang w:val="en-NZ"/>
        </w:rPr>
      </w:pPr>
      <w:r w:rsidRPr="002E7B55">
        <w:rPr>
          <w:lang w:val="en-NZ"/>
        </w:rPr>
        <w:t xml:space="preserve">A single reporting system – each </w:t>
      </w:r>
      <w:r w:rsidR="002E7B55" w:rsidRPr="002E7B55">
        <w:rPr>
          <w:lang w:val="en-NZ"/>
        </w:rPr>
        <w:t>immunisation</w:t>
      </w:r>
      <w:r w:rsidRPr="002E7B55">
        <w:rPr>
          <w:lang w:val="en-NZ"/>
        </w:rPr>
        <w:t xml:space="preserve"> programme has its own reporting requirements</w:t>
      </w:r>
    </w:p>
    <w:p w14:paraId="430C1130" w14:textId="4253E7AA" w:rsidR="009E0372" w:rsidRPr="002E7B55" w:rsidRDefault="00623EBC" w:rsidP="00623EBC">
      <w:r w:rsidRPr="002E7B55">
        <w:t xml:space="preserve">There are currently </w:t>
      </w:r>
      <w:r w:rsidR="009E0372" w:rsidRPr="002E7B55">
        <w:t xml:space="preserve">different levels of funding for </w:t>
      </w:r>
      <w:r w:rsidRPr="002E7B55">
        <w:t>differen</w:t>
      </w:r>
      <w:r w:rsidR="00817ED0" w:rsidRPr="002E7B55">
        <w:t>t</w:t>
      </w:r>
      <w:r w:rsidRPr="002E7B55">
        <w:t xml:space="preserve"> vaccinations</w:t>
      </w:r>
      <w:r w:rsidR="00FC6A03" w:rsidRPr="002E7B55">
        <w:t>,</w:t>
      </w:r>
      <w:r w:rsidRPr="002E7B55">
        <w:t xml:space="preserve"> </w:t>
      </w:r>
      <w:r w:rsidR="00817ED0" w:rsidRPr="002E7B55">
        <w:t xml:space="preserve">and </w:t>
      </w:r>
      <w:r w:rsidRPr="002E7B55">
        <w:t xml:space="preserve">some </w:t>
      </w:r>
      <w:r w:rsidR="00817ED0" w:rsidRPr="002E7B55">
        <w:t xml:space="preserve">immunisation </w:t>
      </w:r>
      <w:r w:rsidRPr="002E7B55">
        <w:t xml:space="preserve">contracts provide for after-hours or weekend delivery. For example, COVID-19 </w:t>
      </w:r>
      <w:r w:rsidR="00887CCD" w:rsidRPr="002E7B55">
        <w:t xml:space="preserve">funding </w:t>
      </w:r>
      <w:r w:rsidRPr="002E7B55">
        <w:t xml:space="preserve">per vaccination </w:t>
      </w:r>
      <w:r w:rsidR="00887CCD" w:rsidRPr="002E7B55">
        <w:t xml:space="preserve">is </w:t>
      </w:r>
      <w:r w:rsidRPr="002E7B55">
        <w:t xml:space="preserve">higher than for flu and MMR. </w:t>
      </w:r>
      <w:r w:rsidR="00887CCD" w:rsidRPr="002E7B55">
        <w:t>Further</w:t>
      </w:r>
      <w:r w:rsidR="00FC6A03" w:rsidRPr="002E7B55">
        <w:t>,</w:t>
      </w:r>
      <w:r w:rsidR="00887CCD" w:rsidRPr="002E7B55">
        <w:t xml:space="preserve"> COVID-19 supported the use of incentives to reduce barriers and encourage vaccinations. Continuing the use of incentives for </w:t>
      </w:r>
      <w:r w:rsidR="005D583F" w:rsidRPr="002E7B55">
        <w:t xml:space="preserve">other </w:t>
      </w:r>
      <w:r w:rsidR="00887CCD" w:rsidRPr="002E7B55">
        <w:t xml:space="preserve">known </w:t>
      </w:r>
      <w:r w:rsidR="005D583F" w:rsidRPr="002E7B55">
        <w:t xml:space="preserve">vaccination </w:t>
      </w:r>
      <w:r w:rsidR="00887CCD" w:rsidRPr="002E7B55">
        <w:t>barriers such as the cost of birth certificat</w:t>
      </w:r>
      <w:r w:rsidR="005D583F" w:rsidRPr="002E7B55">
        <w:t>es</w:t>
      </w:r>
      <w:r w:rsidR="00887CCD" w:rsidRPr="002E7B55">
        <w:t xml:space="preserve"> for childhood immunisations warrants consideration. </w:t>
      </w:r>
    </w:p>
    <w:p w14:paraId="21A6DC5F" w14:textId="12A94398" w:rsidR="005907A7" w:rsidRPr="002E7B55" w:rsidRDefault="005907A7" w:rsidP="005907A7">
      <w:r w:rsidRPr="002E7B55">
        <w:t xml:space="preserve">Integrated immunisations are, at their core, an example of a whānau-centred approach. As much as possible, Māori providers already </w:t>
      </w:r>
      <w:r w:rsidR="00FC6A03" w:rsidRPr="002E7B55">
        <w:t>aim to</w:t>
      </w:r>
      <w:r w:rsidRPr="002E7B55">
        <w:t xml:space="preserve"> administer multiple immunisations. </w:t>
      </w:r>
      <w:r w:rsidR="00FD707A" w:rsidRPr="002E7B55">
        <w:t>A whānau-centred approach means Māori providers will support whānau, irrespective of age</w:t>
      </w:r>
      <w:r w:rsidR="00A6420C" w:rsidRPr="002E7B55">
        <w:t xml:space="preserve"> </w:t>
      </w:r>
      <w:r w:rsidR="00FD707A" w:rsidRPr="002E7B55">
        <w:t xml:space="preserve">or the ability to pay. </w:t>
      </w:r>
      <w:r w:rsidR="0001183E" w:rsidRPr="002E7B55">
        <w:t>It will be important for Māori providers to have clinical research and operational policy to support whānau-centred delivery</w:t>
      </w:r>
      <w:r w:rsidR="00FC6A03" w:rsidRPr="002E7B55">
        <w:t>,</w:t>
      </w:r>
      <w:r w:rsidR="00A6420C" w:rsidRPr="002E7B55">
        <w:t xml:space="preserve"> and assistance </w:t>
      </w:r>
      <w:r w:rsidR="0001183E" w:rsidRPr="002E7B55">
        <w:t xml:space="preserve">to build vaccination capacity across the suite of vaccines. </w:t>
      </w:r>
    </w:p>
    <w:p w14:paraId="3CAB01C3" w14:textId="45A07155" w:rsidR="00FB6AB9" w:rsidRPr="002E7B55" w:rsidRDefault="00A034F4" w:rsidP="00FB6AB9">
      <w:r w:rsidRPr="002E7B55">
        <w:t xml:space="preserve">Going forward, it </w:t>
      </w:r>
      <w:r w:rsidR="00FB6AB9" w:rsidRPr="002E7B55">
        <w:t xml:space="preserve">will be important to track how an integrated National Immunisation Programme meets the need of Māori providers, delivers greater </w:t>
      </w:r>
      <w:proofErr w:type="gramStart"/>
      <w:r w:rsidR="00FB6AB9" w:rsidRPr="002E7B55">
        <w:t>efficiencies</w:t>
      </w:r>
      <w:proofErr w:type="gramEnd"/>
      <w:r w:rsidR="00FB6AB9" w:rsidRPr="002E7B55">
        <w:t xml:space="preserve"> and ultimately results in improved vaccination rates and equity for Māori.</w:t>
      </w:r>
    </w:p>
    <w:p w14:paraId="49369CBD" w14:textId="41B4DB55" w:rsidR="00A034F4" w:rsidRPr="002E7B55" w:rsidRDefault="00A034F4" w:rsidP="00747751"/>
    <w:p w14:paraId="524F317B" w14:textId="77777777" w:rsidR="008E3B65" w:rsidRPr="002E7B55" w:rsidRDefault="008E3B65" w:rsidP="00747751"/>
    <w:p w14:paraId="71AB7F44" w14:textId="339FBCF4" w:rsidR="002B4F56" w:rsidRPr="002E7B55" w:rsidRDefault="70D53BCA" w:rsidP="002B4F56">
      <w:pPr>
        <w:pStyle w:val="Heading1"/>
      </w:pPr>
      <w:bookmarkStart w:id="8" w:name="_Toc96341668"/>
      <w:r w:rsidRPr="002E7B55">
        <w:lastRenderedPageBreak/>
        <w:t>2 MIMVP results</w:t>
      </w:r>
      <w:bookmarkEnd w:id="8"/>
      <w:r w:rsidRPr="002E7B55">
        <w:t xml:space="preserve"> </w:t>
      </w:r>
    </w:p>
    <w:p w14:paraId="00E75163" w14:textId="36FD16D7" w:rsidR="00B81D29" w:rsidRPr="002E7B55" w:rsidRDefault="00833547" w:rsidP="00B81D29">
      <w:r w:rsidRPr="002E7B55">
        <w:t xml:space="preserve">This section summarises the flu vaccination </w:t>
      </w:r>
      <w:r w:rsidR="00B81D29" w:rsidRPr="002E7B55">
        <w:t>results</w:t>
      </w:r>
      <w:r w:rsidRPr="002E7B55">
        <w:t xml:space="preserve"> achieved in 2021</w:t>
      </w:r>
      <w:r w:rsidR="005C4F96" w:rsidRPr="002E7B55">
        <w:t>,</w:t>
      </w:r>
      <w:r w:rsidR="00431517" w:rsidRPr="002E7B55">
        <w:rPr>
          <w:rStyle w:val="EndnoteReference"/>
        </w:rPr>
        <w:endnoteReference w:id="6"/>
      </w:r>
      <w:r w:rsidRPr="002E7B55">
        <w:t xml:space="preserve"> including trends across the country. </w:t>
      </w:r>
      <w:r w:rsidR="00B81D29" w:rsidRPr="002E7B55">
        <w:t>Vaccination results between regions were tracked on three indicators:</w:t>
      </w:r>
    </w:p>
    <w:p w14:paraId="4529E355" w14:textId="75F2C182" w:rsidR="00B81D29" w:rsidRPr="002E7B55" w:rsidRDefault="00B81D29" w:rsidP="00B81D29">
      <w:pPr>
        <w:pStyle w:val="ListParagraph"/>
        <w:numPr>
          <w:ilvl w:val="0"/>
          <w:numId w:val="9"/>
        </w:numPr>
        <w:rPr>
          <w:lang w:val="en-NZ"/>
        </w:rPr>
      </w:pPr>
      <w:r w:rsidRPr="002E7B55">
        <w:rPr>
          <w:lang w:val="en-NZ"/>
        </w:rPr>
        <w:t xml:space="preserve">The vaccination rate, that is, the percentage of Māori 65+ vaccinated as a proportion </w:t>
      </w:r>
      <w:r w:rsidR="00EA4286" w:rsidRPr="002E7B55">
        <w:rPr>
          <w:lang w:val="en-NZ"/>
        </w:rPr>
        <w:t xml:space="preserve">of </w:t>
      </w:r>
      <w:r w:rsidRPr="002E7B55">
        <w:rPr>
          <w:lang w:val="en-NZ"/>
        </w:rPr>
        <w:t>the estimated Māori 65+ population</w:t>
      </w:r>
    </w:p>
    <w:p w14:paraId="73031FB3" w14:textId="77777777" w:rsidR="00B81D29" w:rsidRPr="002E7B55" w:rsidRDefault="00B81D29" w:rsidP="00B81D29">
      <w:pPr>
        <w:pStyle w:val="ListParagraph"/>
        <w:numPr>
          <w:ilvl w:val="0"/>
          <w:numId w:val="9"/>
        </w:numPr>
        <w:rPr>
          <w:lang w:val="en-NZ"/>
        </w:rPr>
      </w:pPr>
      <w:r w:rsidRPr="002E7B55">
        <w:rPr>
          <w:lang w:val="en-NZ"/>
        </w:rPr>
        <w:t xml:space="preserve">The equity gap, that is, the difference between the vaccination rate of Māori 65+ and non-Māori non-Pacific 65+ </w:t>
      </w:r>
    </w:p>
    <w:p w14:paraId="2786FEBD" w14:textId="1E64A72C" w:rsidR="00B81D29" w:rsidRPr="002E7B55" w:rsidRDefault="00B81D29" w:rsidP="004D500B">
      <w:pPr>
        <w:pStyle w:val="ListParagraph"/>
        <w:numPr>
          <w:ilvl w:val="0"/>
          <w:numId w:val="9"/>
        </w:numPr>
        <w:rPr>
          <w:lang w:val="en-NZ"/>
        </w:rPr>
      </w:pPr>
      <w:r w:rsidRPr="002E7B55">
        <w:rPr>
          <w:lang w:val="en-NZ"/>
        </w:rPr>
        <w:t>The number of vaccinated people, that is, the cumulative sum of actual Māori 65+ vaccinated</w:t>
      </w:r>
      <w:r w:rsidR="00B64DBF" w:rsidRPr="002E7B55">
        <w:rPr>
          <w:lang w:val="en-NZ"/>
        </w:rPr>
        <w:t>.</w:t>
      </w:r>
    </w:p>
    <w:p w14:paraId="67D2FC94" w14:textId="77777777" w:rsidR="00833547" w:rsidRPr="002E7B55" w:rsidRDefault="00833547" w:rsidP="00833547">
      <w:pPr>
        <w:pStyle w:val="Accentheading2"/>
        <w:rPr>
          <w:lang w:val="en-NZ"/>
        </w:rPr>
      </w:pPr>
      <w:r w:rsidRPr="002E7B55">
        <w:rPr>
          <w:lang w:val="en-NZ"/>
        </w:rPr>
        <w:t>Key findings</w:t>
      </w:r>
    </w:p>
    <w:p w14:paraId="125E1AA1" w14:textId="73509F21" w:rsidR="00833547" w:rsidRPr="002E7B55" w:rsidRDefault="23D00F57" w:rsidP="00833547">
      <w:pPr>
        <w:pStyle w:val="ListParagraph"/>
        <w:rPr>
          <w:lang w:val="en-NZ"/>
        </w:rPr>
      </w:pPr>
      <w:r w:rsidRPr="002E7B55">
        <w:rPr>
          <w:lang w:val="en-NZ"/>
        </w:rPr>
        <w:t xml:space="preserve">The percentage of Māori 65+ </w:t>
      </w:r>
      <w:r w:rsidR="00EA4286" w:rsidRPr="002E7B55">
        <w:rPr>
          <w:lang w:val="en-NZ"/>
        </w:rPr>
        <w:t xml:space="preserve">who </w:t>
      </w:r>
      <w:r w:rsidRPr="002E7B55">
        <w:rPr>
          <w:lang w:val="en-NZ"/>
        </w:rPr>
        <w:t xml:space="preserve">received a flu vaccination in 2021 was less than 2020 but remains a notable improvement </w:t>
      </w:r>
      <w:proofErr w:type="gramStart"/>
      <w:r w:rsidRPr="002E7B55">
        <w:rPr>
          <w:lang w:val="en-NZ"/>
        </w:rPr>
        <w:t>on</w:t>
      </w:r>
      <w:proofErr w:type="gramEnd"/>
      <w:r w:rsidRPr="002E7B55">
        <w:rPr>
          <w:lang w:val="en-NZ"/>
        </w:rPr>
        <w:t xml:space="preserve"> 2019 and previous years.</w:t>
      </w:r>
    </w:p>
    <w:p w14:paraId="3F30412B" w14:textId="16CB0174" w:rsidR="00833547" w:rsidRPr="002E7B55" w:rsidRDefault="23D00F57" w:rsidP="00833547">
      <w:pPr>
        <w:pStyle w:val="ListParagraph"/>
        <w:rPr>
          <w:lang w:val="en-NZ"/>
        </w:rPr>
      </w:pPr>
      <w:r w:rsidRPr="002E7B55">
        <w:rPr>
          <w:lang w:val="en-NZ"/>
        </w:rPr>
        <w:t xml:space="preserve">Fewer non-Māori non-Pacific people 65+ received a flu vaccination in 2021 than in 2020, indicating the lower uptake of flu vaccinations in 2020 </w:t>
      </w:r>
      <w:r w:rsidR="00EA4286" w:rsidRPr="002E7B55">
        <w:rPr>
          <w:lang w:val="en-NZ"/>
        </w:rPr>
        <w:t xml:space="preserve">indicating </w:t>
      </w:r>
      <w:r w:rsidRPr="002E7B55">
        <w:rPr>
          <w:lang w:val="en-NZ"/>
        </w:rPr>
        <w:t>Māori</w:t>
      </w:r>
      <w:r w:rsidR="00EA4286" w:rsidRPr="002E7B55">
        <w:rPr>
          <w:lang w:val="en-NZ"/>
        </w:rPr>
        <w:t xml:space="preserve"> were not alone in this</w:t>
      </w:r>
      <w:r w:rsidRPr="002E7B55">
        <w:rPr>
          <w:lang w:val="en-NZ"/>
        </w:rPr>
        <w:t xml:space="preserve">. </w:t>
      </w:r>
    </w:p>
    <w:p w14:paraId="3940EEAE" w14:textId="2308A61D" w:rsidR="00833547" w:rsidRPr="002E7B55" w:rsidRDefault="23D00F57" w:rsidP="00833547">
      <w:pPr>
        <w:pStyle w:val="ListParagraph"/>
        <w:rPr>
          <w:lang w:val="en-NZ"/>
        </w:rPr>
      </w:pPr>
      <w:r w:rsidRPr="002E7B55">
        <w:rPr>
          <w:lang w:val="en-NZ"/>
        </w:rPr>
        <w:t xml:space="preserve">The equity gap (the gap between Māori and non-Māori non-Pacific vaccination rates) persists and is worse in 2021 than in 2020. </w:t>
      </w:r>
    </w:p>
    <w:p w14:paraId="4E08E875" w14:textId="0F4DDDF4" w:rsidR="007F71D7" w:rsidRPr="002E7B55" w:rsidRDefault="23D00F57" w:rsidP="007F71D7">
      <w:pPr>
        <w:pStyle w:val="ListParagraph"/>
        <w:rPr>
          <w:lang w:val="en-NZ"/>
        </w:rPr>
      </w:pPr>
      <w:r w:rsidRPr="002E7B55">
        <w:rPr>
          <w:lang w:val="en-NZ"/>
        </w:rPr>
        <w:t xml:space="preserve">Auckland Metro regions continue to perform poorly in comparison to other </w:t>
      </w:r>
      <w:r w:rsidR="00F87E23" w:rsidRPr="002E7B55">
        <w:rPr>
          <w:lang w:val="en-NZ"/>
        </w:rPr>
        <w:t>areas</w:t>
      </w:r>
      <w:r w:rsidRPr="002E7B55">
        <w:rPr>
          <w:lang w:val="en-NZ"/>
        </w:rPr>
        <w:t>. Given the proportion of Māori who live in these regions, it is crucial to improve vaccination rates</w:t>
      </w:r>
      <w:r w:rsidR="00EA4286" w:rsidRPr="002E7B55">
        <w:rPr>
          <w:lang w:val="en-NZ"/>
        </w:rPr>
        <w:t xml:space="preserve"> there in order</w:t>
      </w:r>
      <w:r w:rsidRPr="002E7B55">
        <w:rPr>
          <w:lang w:val="en-NZ"/>
        </w:rPr>
        <w:t xml:space="preserve"> to achieve equity nationally. </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5"/>
      </w:tblGrid>
      <w:tr w:rsidR="005042D8" w:rsidRPr="002E7B55" w14:paraId="1985B853" w14:textId="77777777" w:rsidTr="005042D8">
        <w:tc>
          <w:tcPr>
            <w:tcW w:w="9375" w:type="dxa"/>
            <w:shd w:val="clear" w:color="auto" w:fill="FBDCD9" w:themeFill="accent3" w:themeFillTint="33"/>
          </w:tcPr>
          <w:p w14:paraId="07C7DD69" w14:textId="77777777" w:rsidR="005042D8" w:rsidRPr="002E7B55" w:rsidRDefault="005042D8" w:rsidP="0081467C">
            <w:pPr>
              <w:pStyle w:val="Actionsheading"/>
              <w:rPr>
                <w:lang w:val="en-NZ"/>
              </w:rPr>
            </w:pPr>
            <w:r w:rsidRPr="002E7B55">
              <w:rPr>
                <w:lang w:val="en-NZ"/>
              </w:rPr>
              <w:t>Actions</w:t>
            </w:r>
          </w:p>
        </w:tc>
      </w:tr>
      <w:tr w:rsidR="005042D8" w:rsidRPr="002E7B55" w14:paraId="6B359893" w14:textId="77777777" w:rsidTr="005042D8">
        <w:tc>
          <w:tcPr>
            <w:tcW w:w="9375" w:type="dxa"/>
            <w:shd w:val="clear" w:color="auto" w:fill="FBDCD9" w:themeFill="accent3" w:themeFillTint="33"/>
          </w:tcPr>
          <w:p w14:paraId="68C1AB20" w14:textId="647B74ED" w:rsidR="005042D8" w:rsidRPr="002E7B55" w:rsidRDefault="005042D8" w:rsidP="005042D8">
            <w:pPr>
              <w:pStyle w:val="Actionslist"/>
            </w:pPr>
            <w:r w:rsidRPr="002E7B55">
              <w:t>Set clear targets that provide a motivational goal</w:t>
            </w:r>
            <w:r w:rsidR="00F87E23" w:rsidRPr="002E7B55">
              <w:t xml:space="preserve"> </w:t>
            </w:r>
            <w:r w:rsidR="00EA4286" w:rsidRPr="002E7B55">
              <w:t>that</w:t>
            </w:r>
            <w:r w:rsidR="00F87E23" w:rsidRPr="002E7B55">
              <w:t xml:space="preserve"> </w:t>
            </w:r>
            <w:r w:rsidRPr="002E7B55">
              <w:t>everyone can wor</w:t>
            </w:r>
            <w:r w:rsidR="00F87E23" w:rsidRPr="002E7B55">
              <w:t>k</w:t>
            </w:r>
            <w:r w:rsidR="00EA4286" w:rsidRPr="002E7B55">
              <w:t xml:space="preserve"> towards</w:t>
            </w:r>
            <w:r w:rsidR="00B64DBF" w:rsidRPr="002E7B55">
              <w:t>.</w:t>
            </w:r>
          </w:p>
          <w:p w14:paraId="6DD8C95A" w14:textId="77777777" w:rsidR="000A47C3" w:rsidRPr="002E7B55" w:rsidRDefault="000A47C3" w:rsidP="000A47C3">
            <w:pPr>
              <w:pStyle w:val="Actionslist"/>
            </w:pPr>
            <w:r w:rsidRPr="002E7B55">
              <w:t>Resource providers as part of a contracting environment that enables responsiveness and innovation</w:t>
            </w:r>
          </w:p>
          <w:p w14:paraId="74A4A407" w14:textId="7DC15A59" w:rsidR="005042D8" w:rsidRPr="002E7B55" w:rsidRDefault="005042D8" w:rsidP="005042D8">
            <w:pPr>
              <w:pStyle w:val="Actionslist"/>
            </w:pPr>
            <w:r w:rsidRPr="002E7B55">
              <w:t>Track progress publicly to increase accountability</w:t>
            </w:r>
            <w:r w:rsidR="00B64DBF" w:rsidRPr="002E7B55">
              <w:t>.</w:t>
            </w:r>
          </w:p>
        </w:tc>
      </w:tr>
    </w:tbl>
    <w:p w14:paraId="61766F67" w14:textId="1B419CC2" w:rsidR="00833547" w:rsidRPr="002E7B55" w:rsidRDefault="00833547" w:rsidP="00833547">
      <w:pPr>
        <w:pStyle w:val="Heading2"/>
      </w:pPr>
      <w:bookmarkStart w:id="9" w:name="_Toc86956729"/>
      <w:r w:rsidRPr="002E7B55">
        <w:t xml:space="preserve">Flu vaccination rates for Māori 65+ are lower in 2021 than </w:t>
      </w:r>
      <w:bookmarkEnd w:id="9"/>
      <w:r w:rsidR="00B21A91" w:rsidRPr="002E7B55">
        <w:t>2020</w:t>
      </w:r>
      <w:r w:rsidR="00264C51" w:rsidRPr="002E7B55">
        <w:t>,</w:t>
      </w:r>
      <w:r w:rsidR="00B21A91" w:rsidRPr="002E7B55">
        <w:t xml:space="preserve"> and the equity gap </w:t>
      </w:r>
      <w:r w:rsidR="00F87E23" w:rsidRPr="002E7B55">
        <w:t>worsened</w:t>
      </w:r>
      <w:r w:rsidR="00B21A91" w:rsidRPr="002E7B55">
        <w:t>.</w:t>
      </w:r>
    </w:p>
    <w:p w14:paraId="179CA88C" w14:textId="6A7A0F69" w:rsidR="00833547" w:rsidRPr="002E7B55" w:rsidRDefault="00833547" w:rsidP="004D500B">
      <w:r w:rsidRPr="002E7B55">
        <w:t xml:space="preserve">MIMVP achieved lower vaccination rates in 2021 than </w:t>
      </w:r>
      <w:r w:rsidR="00F87E23" w:rsidRPr="002E7B55">
        <w:t xml:space="preserve">in </w:t>
      </w:r>
      <w:r w:rsidRPr="002E7B55">
        <w:t>2020. As of 10 September, 49.8</w:t>
      </w:r>
      <w:r w:rsidR="009D2139" w:rsidRPr="002E7B55">
        <w:t xml:space="preserve"> percent</w:t>
      </w:r>
      <w:r w:rsidRPr="002E7B55">
        <w:t xml:space="preserve"> of the Māori population aged 65+ were vaccinated, compared with 58.9</w:t>
      </w:r>
      <w:r w:rsidR="009D2139" w:rsidRPr="002E7B55">
        <w:t xml:space="preserve"> percent</w:t>
      </w:r>
      <w:r w:rsidRPr="002E7B55">
        <w:t xml:space="preserve"> at a similar time </w:t>
      </w:r>
      <w:r w:rsidR="00264C51" w:rsidRPr="002E7B55">
        <w:t xml:space="preserve">the previous </w:t>
      </w:r>
      <w:r w:rsidRPr="002E7B55">
        <w:t>year. However, the 2021 Māori immunisation rates were higher than for 2019 (43.6</w:t>
      </w:r>
      <w:r w:rsidR="009D2139" w:rsidRPr="002E7B55">
        <w:t xml:space="preserve"> percent</w:t>
      </w:r>
      <w:r w:rsidRPr="002E7B55">
        <w:t xml:space="preserve">) and previous years. </w:t>
      </w:r>
    </w:p>
    <w:p w14:paraId="6FFACC70" w14:textId="41CA72E1" w:rsidR="00833547" w:rsidRPr="002E7B55" w:rsidRDefault="00833547" w:rsidP="004D500B">
      <w:r w:rsidRPr="002E7B55">
        <w:t xml:space="preserve">The vaccination trajectory reached a plateau slightly later than in previous years. Due to the </w:t>
      </w:r>
      <w:r w:rsidR="00F87E23" w:rsidRPr="002E7B55">
        <w:t xml:space="preserve">DHBs and the Ministry </w:t>
      </w:r>
      <w:r w:rsidRPr="002E7B55">
        <w:t>prioritis</w:t>
      </w:r>
      <w:r w:rsidR="00F87E23" w:rsidRPr="002E7B55">
        <w:t>ing</w:t>
      </w:r>
      <w:r w:rsidRPr="002E7B55">
        <w:t xml:space="preserve"> COVID-19 vaccinatio</w:t>
      </w:r>
      <w:r w:rsidR="00F87E23" w:rsidRPr="002E7B55">
        <w:t>ns</w:t>
      </w:r>
      <w:r w:rsidRPr="002E7B55">
        <w:t xml:space="preserve">, </w:t>
      </w:r>
      <w:r w:rsidR="00264C51" w:rsidRPr="002E7B55">
        <w:t xml:space="preserve">in 2021 </w:t>
      </w:r>
      <w:r w:rsidRPr="002E7B55">
        <w:t xml:space="preserve">providers either delayed or extended their flu vaccination activity. </w:t>
      </w:r>
    </w:p>
    <w:p w14:paraId="5C9E8BC2" w14:textId="77777777" w:rsidR="00CD11FB" w:rsidRPr="002E7B55" w:rsidRDefault="00CD11FB">
      <w:pPr>
        <w:spacing w:before="0" w:after="160" w:line="259" w:lineRule="auto"/>
        <w:rPr>
          <w:rFonts w:asciiTheme="majorHAnsi" w:eastAsiaTheme="majorEastAsia" w:hAnsiTheme="majorHAnsi" w:cstheme="majorBidi"/>
          <w:b/>
          <w:bCs/>
          <w:color w:val="197278" w:themeColor="accent1"/>
        </w:rPr>
      </w:pPr>
      <w:bookmarkStart w:id="10" w:name="_Ref87736064"/>
      <w:bookmarkStart w:id="11" w:name="_Ref86748107"/>
      <w:bookmarkStart w:id="12" w:name="_Toc86959583"/>
      <w:r w:rsidRPr="002E7B55">
        <w:br w:type="page"/>
      </w:r>
    </w:p>
    <w:p w14:paraId="637BC0F3" w14:textId="2F6F51B6" w:rsidR="00CA18DA" w:rsidRPr="002E7B55" w:rsidRDefault="00CA18DA" w:rsidP="00CA18DA">
      <w:pPr>
        <w:pStyle w:val="Heading3"/>
      </w:pPr>
      <w:r w:rsidRPr="002E7B55">
        <w:lastRenderedPageBreak/>
        <w:t xml:space="preserve">Flu vaccination rates were lower in 2021 than 2020 for both Māori and non-Māori non-Pacific </w:t>
      </w:r>
    </w:p>
    <w:p w14:paraId="214E0EFF" w14:textId="6FD2C020" w:rsidR="00CA18DA" w:rsidRPr="002E7B55" w:rsidRDefault="00CA18DA" w:rsidP="00CA18DA">
      <w:r w:rsidRPr="002E7B55">
        <w:t xml:space="preserve">The increase in flu vaccinations by Māori 65+ in 2020 did not continue in 2021. However, the 2021 rates were still a notable increase on 2019 and previous years. Further, Māori were not alone in a lower uptake of flu vaccinations in 2021. The flu vaccination rate for non-Māori non-Pacific 65+ was lower in 2021 than in 2020. For both Māori and non-Māori non-Pacific groups, the increase between 2019 and 2021 (not including 2020) shows a marked increase on the years preceding 2019. </w:t>
      </w:r>
    </w:p>
    <w:p w14:paraId="06DF1A56" w14:textId="0216DCEE" w:rsidR="005E3717" w:rsidRPr="002E7B55" w:rsidRDefault="00CA18DA" w:rsidP="006A1996">
      <w:r w:rsidRPr="002E7B55">
        <w:t xml:space="preserve">The evaluators note that MIVP 2020 occurred during the beginning of the COVID-19 pandemic when there was little the general public could do to mitigate risks and address concerns about COVID-19. In 2021, the flu vaccination season occurred at a similar time to the roll-out of the COVID-19 vaccination. </w:t>
      </w:r>
      <w:r w:rsidR="00264C51" w:rsidRPr="002E7B55">
        <w:t>In the context of COVID-19 vaccination, t</w:t>
      </w:r>
      <w:r w:rsidRPr="002E7B55">
        <w:t>he public become increasingly anxious</w:t>
      </w:r>
      <w:r w:rsidR="00264C51" w:rsidRPr="002E7B55">
        <w:t xml:space="preserve"> and</w:t>
      </w:r>
      <w:r w:rsidRPr="002E7B55">
        <w:t xml:space="preserve"> hesitant about vaccinations and sometimes refused vaccinations</w:t>
      </w:r>
      <w:r w:rsidR="00812A98" w:rsidRPr="002E7B55">
        <w:t>.</w:t>
      </w:r>
      <w:r w:rsidR="006A1996" w:rsidRPr="002E7B55">
        <w:rPr>
          <w:noProof/>
        </w:rPr>
        <w:drawing>
          <wp:inline distT="0" distB="0" distL="0" distR="0" wp14:anchorId="21E42B83" wp14:editId="05B612D3">
            <wp:extent cx="6096635" cy="3429000"/>
            <wp:effectExtent l="0" t="0" r="0" b="0"/>
            <wp:docPr id="35" name="Picture 35" descr="2021 rates are lower and started later than 2020, but higher and somewhat earlier than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2021 rates are lower and started later than 2020, but higher and somewhat earlier than 2015-2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bookmarkEnd w:id="10"/>
      <w:bookmarkEnd w:id="11"/>
      <w:bookmarkEnd w:id="12"/>
    </w:p>
    <w:p w14:paraId="3C5DFCDC" w14:textId="76BB2BE8" w:rsidR="00CA18DA" w:rsidRPr="002E7B55" w:rsidRDefault="00CA18DA" w:rsidP="00CA18DA">
      <w:pPr>
        <w:pStyle w:val="Caption"/>
      </w:pPr>
      <w:bookmarkStart w:id="13" w:name="_Toc95741421"/>
      <w:bookmarkStart w:id="14" w:name="_Toc96341681"/>
      <w:r w:rsidRPr="002E7B55">
        <w:t xml:space="preserve">Figure </w:t>
      </w:r>
      <w:r w:rsidRPr="002E7B55">
        <w:fldChar w:fldCharType="begin"/>
      </w:r>
      <w:r w:rsidRPr="002E7B55">
        <w:instrText xml:space="preserve"> SEQ Figure \* ARABIC </w:instrText>
      </w:r>
      <w:r w:rsidRPr="002E7B55">
        <w:fldChar w:fldCharType="separate"/>
      </w:r>
      <w:r w:rsidR="00886DCA" w:rsidRPr="002E7B55">
        <w:t>2</w:t>
      </w:r>
      <w:r w:rsidRPr="002E7B55">
        <w:fldChar w:fldCharType="end"/>
      </w:r>
      <w:r w:rsidRPr="002E7B55">
        <w:t>: Flu immunisation rates for Māori 65+ in 2015-2021, as a percentage of Māori 65+ population</w:t>
      </w:r>
      <w:bookmarkEnd w:id="13"/>
      <w:r w:rsidR="005E3717" w:rsidRPr="002E7B55">
        <w:rPr>
          <w:rStyle w:val="EndnoteReference"/>
        </w:rPr>
        <w:endnoteReference w:id="7"/>
      </w:r>
      <w:bookmarkEnd w:id="14"/>
    </w:p>
    <w:p w14:paraId="0995B7B4" w14:textId="77777777" w:rsidR="00CD11FB" w:rsidRPr="002E7B55" w:rsidRDefault="00CD11FB">
      <w:pPr>
        <w:spacing w:before="0" w:after="160" w:line="259" w:lineRule="auto"/>
      </w:pPr>
      <w:bookmarkStart w:id="15" w:name="_Toc86956730"/>
      <w:r w:rsidRPr="002E7B55">
        <w:br w:type="page"/>
      </w:r>
    </w:p>
    <w:p w14:paraId="0FE2FD8D" w14:textId="2342659C" w:rsidR="00B117CD" w:rsidRPr="002E7B55" w:rsidRDefault="00B117CD" w:rsidP="00833547">
      <w:pPr>
        <w:pStyle w:val="Chart-full-width"/>
        <w:rPr>
          <w:noProof w:val="0"/>
        </w:rPr>
      </w:pPr>
      <w:r w:rsidRPr="002E7B55">
        <w:lastRenderedPageBreak/>
        <w:drawing>
          <wp:inline distT="0" distB="0" distL="0" distR="0" wp14:anchorId="24823CA2" wp14:editId="1648BF14">
            <wp:extent cx="6096635" cy="3429000"/>
            <wp:effectExtent l="0" t="0" r="0" b="0"/>
            <wp:docPr id="29" name="Picture 29" descr="2021 rates are lower and started later than 2020, but higher and somewhat earlier than 2018-2019. The gap between 2020 and 2021 is wider for Māori than for Non-Māori non-Pacific, but the gap between 2021 and 2019 is sim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021 rates are lower and started later than 2020, but higher and somewhat earlier than 2018-2019. The gap between 2020 and 2021 is wider for Māori than for Non-Māori non-Pacific, but the gap between 2021 and 2019 is simila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7726F54" w14:textId="5071BC8D" w:rsidR="00CD11FB" w:rsidRPr="002E7B55" w:rsidRDefault="00CD11FB" w:rsidP="00CD11FB">
      <w:pPr>
        <w:pStyle w:val="Caption"/>
      </w:pPr>
      <w:bookmarkStart w:id="16" w:name="_Toc96341682"/>
      <w:r w:rsidRPr="002E7B55">
        <w:t xml:space="preserve">Figure </w:t>
      </w:r>
      <w:r w:rsidRPr="002E7B55">
        <w:fldChar w:fldCharType="begin"/>
      </w:r>
      <w:r w:rsidRPr="002E7B55">
        <w:instrText xml:space="preserve"> SEQ Figure \* ARABIC </w:instrText>
      </w:r>
      <w:r w:rsidRPr="002E7B55">
        <w:fldChar w:fldCharType="separate"/>
      </w:r>
      <w:r w:rsidR="00886DCA" w:rsidRPr="002E7B55">
        <w:t>3</w:t>
      </w:r>
      <w:r w:rsidRPr="002E7B55">
        <w:fldChar w:fldCharType="end"/>
      </w:r>
      <w:r w:rsidRPr="002E7B55">
        <w:t xml:space="preserve"> Flu immunisations rates for Māori 65+ in 2018-2021, as a percentage of Māori 65+ population</w:t>
      </w:r>
      <w:bookmarkEnd w:id="16"/>
    </w:p>
    <w:p w14:paraId="78239AF0" w14:textId="7805CFD8" w:rsidR="00833547" w:rsidRPr="002E7B55" w:rsidRDefault="00B117CD" w:rsidP="00833547">
      <w:pPr>
        <w:pStyle w:val="Chart-full-width"/>
        <w:rPr>
          <w:noProof w:val="0"/>
        </w:rPr>
      </w:pPr>
      <w:r w:rsidRPr="002E7B55">
        <w:drawing>
          <wp:inline distT="0" distB="0" distL="0" distR="0" wp14:anchorId="1B0F28C6" wp14:editId="7CD9841E">
            <wp:extent cx="6096635" cy="3429000"/>
            <wp:effectExtent l="0" t="0" r="0" b="0"/>
            <wp:docPr id="33" name="Picture 33" descr="2021 rates are lower and started later than 2020, but higher and somewhat earlier than 2018-2019. The gap between 2020 and 2021 is wider for Māori than for Non-Māori non-Pacific, but the gap between 2021 and 2019 is sim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021 rates are lower and started later than 2020, but higher and somewhat earlier than 2018-2019. The gap between 2020 and 2021 is wider for Māori than for Non-Māori non-Pacific, but the gap between 2021 and 2019 is simila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1EDD07D" w14:textId="57E6DAEE" w:rsidR="002D7C32" w:rsidRPr="002E7B55" w:rsidRDefault="002D7C32" w:rsidP="002D7C32">
      <w:pPr>
        <w:pStyle w:val="Caption"/>
      </w:pPr>
      <w:bookmarkStart w:id="17" w:name="_Toc96341683"/>
      <w:r w:rsidRPr="002E7B55">
        <w:t xml:space="preserve">Figure </w:t>
      </w:r>
      <w:r w:rsidRPr="002E7B55">
        <w:fldChar w:fldCharType="begin"/>
      </w:r>
      <w:r w:rsidRPr="002E7B55">
        <w:instrText xml:space="preserve"> SEQ Figure \* ARABIC </w:instrText>
      </w:r>
      <w:r w:rsidRPr="002E7B55">
        <w:fldChar w:fldCharType="separate"/>
      </w:r>
      <w:r w:rsidR="00886DCA" w:rsidRPr="002E7B55">
        <w:t>4</w:t>
      </w:r>
      <w:r w:rsidRPr="002E7B55">
        <w:fldChar w:fldCharType="end"/>
      </w:r>
      <w:r w:rsidR="00CD11FB" w:rsidRPr="002E7B55">
        <w:t>: Flu immunisations rates for Non-Māori non-Pacific 65+ in 2018-2021, as a percentage of Non-Māori non-Pacific 65+ population</w:t>
      </w:r>
      <w:bookmarkEnd w:id="17"/>
    </w:p>
    <w:p w14:paraId="394312A9" w14:textId="77777777" w:rsidR="00812A98" w:rsidRPr="002E7B55" w:rsidRDefault="00812A98">
      <w:pPr>
        <w:spacing w:before="0" w:after="160" w:line="259" w:lineRule="auto"/>
        <w:rPr>
          <w:rFonts w:asciiTheme="majorHAnsi" w:eastAsiaTheme="majorEastAsia" w:hAnsiTheme="majorHAnsi" w:cstheme="majorBidi"/>
          <w:b/>
          <w:bCs/>
          <w:color w:val="197278" w:themeColor="accent1"/>
        </w:rPr>
      </w:pPr>
      <w:r w:rsidRPr="002E7B55">
        <w:br w:type="page"/>
      </w:r>
    </w:p>
    <w:p w14:paraId="3F448065" w14:textId="03218DA1" w:rsidR="00833547" w:rsidRPr="002E7B55" w:rsidRDefault="00833547" w:rsidP="0041391C">
      <w:pPr>
        <w:pStyle w:val="Heading3"/>
      </w:pPr>
      <w:r w:rsidRPr="002E7B55">
        <w:lastRenderedPageBreak/>
        <w:t>The overall equity gap for flu vaccination rates for Mā</w:t>
      </w:r>
      <w:r w:rsidRPr="002E7B55">
        <w:rPr>
          <w:rFonts w:cs="Arial"/>
        </w:rPr>
        <w:t>o</w:t>
      </w:r>
      <w:r w:rsidRPr="002E7B55">
        <w:t>ri is worse in 2021 than 2020</w:t>
      </w:r>
      <w:bookmarkEnd w:id="15"/>
    </w:p>
    <w:p w14:paraId="41FE70C4" w14:textId="0440B9A4" w:rsidR="00833547" w:rsidRPr="002E7B55" w:rsidRDefault="00833547" w:rsidP="004D500B">
      <w:r w:rsidRPr="002E7B55">
        <w:t>In 2021, cumulatively fewer Mā</w:t>
      </w:r>
      <w:r w:rsidRPr="002E7B55">
        <w:rPr>
          <w:rFonts w:cs="Arial"/>
        </w:rPr>
        <w:t>o</w:t>
      </w:r>
      <w:r w:rsidRPr="002E7B55">
        <w:t xml:space="preserve">ri 65+ were vaccinated for the flu than in 2020, while other ethnic groups retained or improved their </w:t>
      </w:r>
      <w:r w:rsidR="00F87E23" w:rsidRPr="002E7B55">
        <w:t>flu vaccination levels</w:t>
      </w:r>
      <w:r w:rsidRPr="002E7B55">
        <w:t xml:space="preserve">. Therefore, a greater equity gap occurred for Māori – particularly at the start of the flu vaccination season around Week 20 (21 May). </w:t>
      </w:r>
    </w:p>
    <w:p w14:paraId="5938F362" w14:textId="3F1C9614" w:rsidR="00833547" w:rsidRPr="002E7B55" w:rsidRDefault="00833547" w:rsidP="004D500B">
      <w:r w:rsidRPr="002E7B55">
        <w:t xml:space="preserve">In 2021 the equity gap for Māori 65+ flu immunisations was higher than for the past three years. In Week 20, the equity gap was </w:t>
      </w:r>
      <w:r w:rsidR="00264C51" w:rsidRPr="002E7B55">
        <w:t>minus</w:t>
      </w:r>
      <w:r w:rsidRPr="002E7B55">
        <w:t>17.4</w:t>
      </w:r>
      <w:r w:rsidR="009D2139" w:rsidRPr="002E7B55">
        <w:t xml:space="preserve"> percent</w:t>
      </w:r>
      <w:r w:rsidRPr="002E7B55">
        <w:t xml:space="preserve"> – the greatest at any time since 2018. While the gap between flu immunisation rates of Māori 65+ and non-Māori, non-Pacific 65+ in 2021 reduced somewhat by 10 September 2021, (to </w:t>
      </w:r>
      <w:r w:rsidR="00264C51" w:rsidRPr="002E7B55">
        <w:t xml:space="preserve">minus </w:t>
      </w:r>
      <w:r w:rsidRPr="002E7B55">
        <w:t>15.1</w:t>
      </w:r>
      <w:r w:rsidR="009D2139" w:rsidRPr="002E7B55">
        <w:t xml:space="preserve"> percent</w:t>
      </w:r>
      <w:r w:rsidRPr="002E7B55">
        <w:t xml:space="preserve">), the gap was still worse than </w:t>
      </w:r>
      <w:r w:rsidR="00264C51" w:rsidRPr="002E7B55">
        <w:t xml:space="preserve">either </w:t>
      </w:r>
      <w:r w:rsidRPr="002E7B55">
        <w:t xml:space="preserve">2020 </w:t>
      </w:r>
      <w:r w:rsidR="00264C51" w:rsidRPr="002E7B55">
        <w:t>or</w:t>
      </w:r>
      <w:r w:rsidRPr="002E7B55">
        <w:t xml:space="preserve"> 2018. </w:t>
      </w:r>
    </w:p>
    <w:p w14:paraId="78DDCAD1" w14:textId="1443416B" w:rsidR="00833547" w:rsidRPr="002E7B55" w:rsidRDefault="00833547" w:rsidP="004D500B">
      <w:r w:rsidRPr="002E7B55">
        <w:t xml:space="preserve">The 2021 equity gap was on par with the equity gap </w:t>
      </w:r>
      <w:r w:rsidR="00264C51" w:rsidRPr="002E7B55">
        <w:t>at</w:t>
      </w:r>
      <w:r w:rsidRPr="002E7B55">
        <w:t xml:space="preserve"> the end of 2019 (</w:t>
      </w:r>
      <w:r w:rsidR="00264C51" w:rsidRPr="002E7B55">
        <w:t xml:space="preserve">minus </w:t>
      </w:r>
      <w:r w:rsidRPr="002E7B55">
        <w:t>15.1</w:t>
      </w:r>
      <w:r w:rsidR="009D2139" w:rsidRPr="002E7B55">
        <w:t xml:space="preserve"> percent</w:t>
      </w:r>
      <w:r w:rsidRPr="002E7B55">
        <w:t xml:space="preserve">) despite a larger proportion of the Māori 65+ population receiving a flu vaccination in 2021. This may seem counterintuitive as more Māori got flu vaccinations in 2021 than in any other year except 2020. The </w:t>
      </w:r>
      <w:r w:rsidR="00F87E23" w:rsidRPr="002E7B55">
        <w:t>equity gap has grown because</w:t>
      </w:r>
      <w:r w:rsidRPr="002E7B55">
        <w:t xml:space="preserve"> improvements in vaccination rates for Māori have not kept pace with the rest of the population. There remains a need for a focused approach to </w:t>
      </w:r>
      <w:r w:rsidR="00F87E23" w:rsidRPr="002E7B55">
        <w:t xml:space="preserve">reducing </w:t>
      </w:r>
      <w:r w:rsidRPr="002E7B55">
        <w:t>the equity gap.</w:t>
      </w:r>
    </w:p>
    <w:p w14:paraId="1F24F68C" w14:textId="43E56429" w:rsidR="00833547" w:rsidRPr="002E7B55" w:rsidRDefault="006A1996" w:rsidP="00BA7DE0">
      <w:pPr>
        <w:pStyle w:val="Chart-full-width"/>
        <w:rPr>
          <w:noProof w:val="0"/>
        </w:rPr>
      </w:pPr>
      <w:r w:rsidRPr="002E7B55">
        <w:drawing>
          <wp:inline distT="0" distB="0" distL="0" distR="0" wp14:anchorId="5612B3CF" wp14:editId="2B4AC448">
            <wp:extent cx="6096635" cy="3429000"/>
            <wp:effectExtent l="0" t="0" r="0" b="0"/>
            <wp:docPr id="36" name="Picture 36" descr="The 2021 equity gap drops sharply lower than 2018-2020 rates, comes up to approximate 2019 rates. There is a larger gap between 2020 and 2018, compared to 2018-2029 and 20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2021 equity gap drops sharply lower than 2018-2020 rates, comes up to approximate 2019 rates. There is a larger gap between 2020 and 2018, compared to 2018-2029 and 2020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CCAD7F3" w14:textId="5C7AE2F5" w:rsidR="00CA18DA" w:rsidRPr="002E7B55" w:rsidRDefault="00CA18DA" w:rsidP="00CA18DA">
      <w:pPr>
        <w:pStyle w:val="Caption"/>
      </w:pPr>
      <w:bookmarkStart w:id="18" w:name="_Toc95741422"/>
      <w:bookmarkStart w:id="19" w:name="_Toc96341684"/>
      <w:r w:rsidRPr="002E7B55">
        <w:t xml:space="preserve">Figure </w:t>
      </w:r>
      <w:r w:rsidRPr="002E7B55">
        <w:fldChar w:fldCharType="begin"/>
      </w:r>
      <w:r w:rsidRPr="002E7B55">
        <w:instrText xml:space="preserve"> SEQ Figure \* ARABIC </w:instrText>
      </w:r>
      <w:r w:rsidRPr="002E7B55">
        <w:fldChar w:fldCharType="separate"/>
      </w:r>
      <w:r w:rsidR="00886DCA" w:rsidRPr="002E7B55">
        <w:t>5</w:t>
      </w:r>
      <w:r w:rsidRPr="002E7B55">
        <w:fldChar w:fldCharType="end"/>
      </w:r>
      <w:r w:rsidRPr="002E7B55">
        <w:t>: Equity gap of flu immunisation rates for Māori 65+ vs non-Māori non-Pacific 65+, 2018-2021</w:t>
      </w:r>
      <w:bookmarkEnd w:id="18"/>
      <w:r w:rsidR="00431517" w:rsidRPr="002E7B55">
        <w:rPr>
          <w:rStyle w:val="EndnoteReference"/>
        </w:rPr>
        <w:endnoteReference w:id="8"/>
      </w:r>
      <w:bookmarkEnd w:id="19"/>
    </w:p>
    <w:p w14:paraId="413409BB" w14:textId="77777777" w:rsidR="00833547" w:rsidRPr="002E7B55" w:rsidRDefault="00833547" w:rsidP="00833547">
      <w:pPr>
        <w:pStyle w:val="Heading2"/>
      </w:pPr>
      <w:r w:rsidRPr="002E7B55">
        <w:t>Regional disparity persists</w:t>
      </w:r>
    </w:p>
    <w:p w14:paraId="6DF28B71" w14:textId="15D8A1D4" w:rsidR="00833547" w:rsidRPr="002E7B55" w:rsidRDefault="00833547" w:rsidP="00833547">
      <w:r w:rsidRPr="002E7B55">
        <w:t>Whanganui remain</w:t>
      </w:r>
      <w:r w:rsidR="00264C51" w:rsidRPr="002E7B55">
        <w:t>ed</w:t>
      </w:r>
      <w:r w:rsidRPr="002E7B55">
        <w:t xml:space="preserve"> a high</w:t>
      </w:r>
      <w:r w:rsidR="00264C51" w:rsidRPr="002E7B55">
        <w:t xml:space="preserve"> </w:t>
      </w:r>
      <w:r w:rsidRPr="002E7B55">
        <w:t>performer in 2021, building on 2020, with the highest proportion of the estimated Māori 65+ population (64.5</w:t>
      </w:r>
      <w:r w:rsidR="009D2139" w:rsidRPr="002E7B55">
        <w:t xml:space="preserve"> percent</w:t>
      </w:r>
      <w:r w:rsidRPr="002E7B55">
        <w:t xml:space="preserve">) </w:t>
      </w:r>
      <w:r w:rsidR="00264C51" w:rsidRPr="002E7B55">
        <w:t xml:space="preserve">vaccinated for flu, </w:t>
      </w:r>
      <w:r w:rsidRPr="002E7B55">
        <w:t>and one of the lowest equity gap</w:t>
      </w:r>
      <w:r w:rsidR="00264C51" w:rsidRPr="002E7B55">
        <w:t>s</w:t>
      </w:r>
      <w:r w:rsidRPr="002E7B55">
        <w:t xml:space="preserve"> across the country (</w:t>
      </w:r>
      <w:r w:rsidR="00264C51" w:rsidRPr="002E7B55">
        <w:t xml:space="preserve">minus </w:t>
      </w:r>
      <w:r w:rsidRPr="002E7B55">
        <w:t xml:space="preserve">6.5 </w:t>
      </w:r>
      <w:r w:rsidR="00264C51" w:rsidRPr="002E7B55">
        <w:t xml:space="preserve">percentage </w:t>
      </w:r>
      <w:r w:rsidRPr="002E7B55">
        <w:t>p</w:t>
      </w:r>
      <w:r w:rsidR="00264C51" w:rsidRPr="002E7B55">
        <w:t>oin</w:t>
      </w:r>
      <w:r w:rsidRPr="002E7B55">
        <w:t xml:space="preserve">ts). </w:t>
      </w:r>
    </w:p>
    <w:p w14:paraId="0CDC662A" w14:textId="5EE806E8" w:rsidR="00833547" w:rsidRPr="002E7B55" w:rsidRDefault="00833547" w:rsidP="00833547">
      <w:r w:rsidRPr="002E7B55">
        <w:t>Waikato and Northland achieved high numbers of vaccinated Māori (3408 and 3285 respectively), which is important given the</w:t>
      </w:r>
      <w:r w:rsidR="00F87E23" w:rsidRPr="002E7B55">
        <w:t>ir</w:t>
      </w:r>
      <w:r w:rsidRPr="002E7B55">
        <w:t xml:space="preserve"> higher numbers of Māori overall. For Northland, although they achieved a </w:t>
      </w:r>
      <w:r w:rsidR="00F87E23" w:rsidRPr="002E7B55">
        <w:t xml:space="preserve">modest </w:t>
      </w:r>
      <w:r w:rsidRPr="002E7B55">
        <w:t>vaccination rate as a percentage of the Māori 65+ population (50.3</w:t>
      </w:r>
      <w:r w:rsidR="009D2139" w:rsidRPr="002E7B55">
        <w:t xml:space="preserve"> percent</w:t>
      </w:r>
      <w:r w:rsidRPr="002E7B55">
        <w:t>), the vaccination of a high number of Māori resulted in the second-lowest equity gap (</w:t>
      </w:r>
      <w:r w:rsidR="00264C51" w:rsidRPr="002E7B55">
        <w:t xml:space="preserve">minus </w:t>
      </w:r>
      <w:r w:rsidRPr="002E7B55">
        <w:t>6.3 pts).</w:t>
      </w:r>
    </w:p>
    <w:p w14:paraId="7E481353" w14:textId="261699DD" w:rsidR="00833547" w:rsidRPr="002E7B55" w:rsidRDefault="23D00F57" w:rsidP="00833547">
      <w:r w:rsidRPr="002E7B55">
        <w:lastRenderedPageBreak/>
        <w:t xml:space="preserve">The evaluators note that there are limitations to comparing regions with each other </w:t>
      </w:r>
      <w:r w:rsidR="00F87E23" w:rsidRPr="002E7B55">
        <w:t>without</w:t>
      </w:r>
      <w:r w:rsidRPr="002E7B55">
        <w:t xml:space="preserve"> a flu vaccination target. In contrast to COVID-19 vaccinations, there is no mandated target for flu vaccinations. However, one DHB used a target of 75</w:t>
      </w:r>
      <w:r w:rsidR="009D2139" w:rsidRPr="002E7B55">
        <w:t xml:space="preserve"> percent</w:t>
      </w:r>
      <w:r w:rsidRPr="002E7B55">
        <w:t xml:space="preserve"> to assess the performance of their contracted providers. </w:t>
      </w:r>
    </w:p>
    <w:p w14:paraId="5A8D5E2E" w14:textId="5B578EC1" w:rsidR="00833547" w:rsidRPr="002E7B55" w:rsidRDefault="23D00F57" w:rsidP="005042D8">
      <w:r w:rsidRPr="002E7B55">
        <w:t xml:space="preserve">There is a clear need to set national flu vaccination targets. The COVID-19 vaccination campaign has demonstrated that </w:t>
      </w:r>
      <w:r w:rsidR="00F87E23" w:rsidRPr="002E7B55">
        <w:t>national vaccination targets are achieva</w:t>
      </w:r>
      <w:r w:rsidRPr="002E7B55">
        <w:t>ble</w:t>
      </w:r>
      <w:r w:rsidR="00F87E23" w:rsidRPr="002E7B55">
        <w:t xml:space="preserve"> and valuable</w:t>
      </w:r>
      <w:r w:rsidRPr="002E7B55">
        <w:t xml:space="preserve">. </w:t>
      </w:r>
      <w:r w:rsidR="00F87E23" w:rsidRPr="002E7B55">
        <w:t>Using national targets</w:t>
      </w:r>
      <w:r w:rsidRPr="002E7B55">
        <w:t xml:space="preserve"> </w:t>
      </w:r>
      <w:r w:rsidR="00F87E23" w:rsidRPr="002E7B55">
        <w:t xml:space="preserve">demonstrated </w:t>
      </w:r>
      <w:r w:rsidRPr="002E7B55">
        <w:t>that additional effort is needed to achieve Māori vaccination targets</w:t>
      </w:r>
      <w:r w:rsidR="00F87E23" w:rsidRPr="002E7B55">
        <w:t>.</w:t>
      </w:r>
      <w:r w:rsidRPr="002E7B55">
        <w:t xml:space="preserve"> Māori providers </w:t>
      </w:r>
      <w:r w:rsidR="00F87E23" w:rsidRPr="002E7B55">
        <w:t>were</w:t>
      </w:r>
      <w:r w:rsidRPr="002E7B55">
        <w:t xml:space="preserve"> at the forefront in terms of </w:t>
      </w:r>
      <w:r w:rsidR="00F87E23" w:rsidRPr="002E7B55">
        <w:t xml:space="preserve">attaining </w:t>
      </w:r>
      <w:r w:rsidRPr="002E7B55">
        <w:t xml:space="preserve">Māori </w:t>
      </w:r>
      <w:r w:rsidR="00264C51" w:rsidRPr="002E7B55">
        <w:t xml:space="preserve">COVID-19 </w:t>
      </w:r>
      <w:r w:rsidRPr="002E7B55">
        <w:t xml:space="preserve">vaccination rates. </w:t>
      </w:r>
    </w:p>
    <w:p w14:paraId="4245BF03" w14:textId="45A82263" w:rsidR="00833547" w:rsidRPr="002E7B55" w:rsidRDefault="23D00F57" w:rsidP="00833547">
      <w:r w:rsidRPr="002E7B55">
        <w:t xml:space="preserve">Observations of the COVID-19 vaccination response indicated that </w:t>
      </w:r>
      <w:r w:rsidR="00F87E23" w:rsidRPr="002E7B55">
        <w:t>organisations are more visibly held accountable for their performance</w:t>
      </w:r>
      <w:r w:rsidR="00264C51" w:rsidRPr="002E7B55">
        <w:t xml:space="preserve"> in cases</w:t>
      </w:r>
      <w:r w:rsidR="00F87E23" w:rsidRPr="002E7B55">
        <w:t xml:space="preserve"> where targets are clearly </w:t>
      </w:r>
      <w:proofErr w:type="gramStart"/>
      <w:r w:rsidR="00F87E23" w:rsidRPr="002E7B55">
        <w:t>set</w:t>
      </w:r>
      <w:proofErr w:type="gramEnd"/>
      <w:r w:rsidR="00F87E23" w:rsidRPr="002E7B55">
        <w:t xml:space="preserve"> and progress is publicly monitored and assessed</w:t>
      </w:r>
      <w:r w:rsidRPr="002E7B55">
        <w:t xml:space="preserve">. However, there is a risk that targets can fail to recognise the different implementation contexts and stifle innovation. When this occurs, service providers can feel demoralised and unsupported. </w:t>
      </w:r>
      <w:r w:rsidR="00833547" w:rsidRPr="002E7B55">
        <w:t xml:space="preserve">For targets to act as motivational and aspirational, they need to be accompanied by sufficient resourcing and a permissive environment that empowers providers to be responsive to the needs of their community. </w:t>
      </w:r>
    </w:p>
    <w:p w14:paraId="08BDACDC" w14:textId="77777777" w:rsidR="00833547" w:rsidRPr="002E7B55" w:rsidRDefault="00833547" w:rsidP="0041391C">
      <w:pPr>
        <w:pStyle w:val="Heading3"/>
      </w:pPr>
      <w:r w:rsidRPr="002E7B55">
        <w:t>Regions with higher proportion of Māori 65+ population</w:t>
      </w:r>
    </w:p>
    <w:p w14:paraId="6F9D346F" w14:textId="78164EC0" w:rsidR="00833547" w:rsidRPr="002E7B55" w:rsidRDefault="00833547" w:rsidP="00833547">
      <w:r w:rsidRPr="002E7B55">
        <w:t xml:space="preserve">Regions with a higher proportion of Māori 65+ and the Auckland Metro area had middling to low overall </w:t>
      </w:r>
      <w:r w:rsidR="00264C51" w:rsidRPr="002E7B55">
        <w:t xml:space="preserve">flu </w:t>
      </w:r>
      <w:r w:rsidRPr="002E7B55">
        <w:t xml:space="preserve">vaccination rates, compared with the </w:t>
      </w:r>
      <w:r w:rsidR="00F87E23" w:rsidRPr="002E7B55">
        <w:t>higher-</w:t>
      </w:r>
      <w:r w:rsidRPr="002E7B55">
        <w:t xml:space="preserve">performing regions (Whanganui) and lower performing regions (Waitematā). As in 2020, if we want to make a difference to equity, there needs to be </w:t>
      </w:r>
      <w:r w:rsidR="00F87E23" w:rsidRPr="002E7B55">
        <w:t xml:space="preserve">a </w:t>
      </w:r>
      <w:r w:rsidRPr="002E7B55">
        <w:t xml:space="preserve">targeted effort to improve vaccination rates in regions with higher numbers of Māori 65+. </w:t>
      </w:r>
    </w:p>
    <w:p w14:paraId="7FE56CA8" w14:textId="2446A690" w:rsidR="006A1996" w:rsidRPr="002E7B55" w:rsidRDefault="00951BEE" w:rsidP="00833547">
      <w:pPr>
        <w:pStyle w:val="Chart-full-width"/>
        <w:rPr>
          <w:noProof w:val="0"/>
        </w:rPr>
      </w:pPr>
      <w:r>
        <w:drawing>
          <wp:inline distT="0" distB="0" distL="0" distR="0" wp14:anchorId="66CCCDAE" wp14:editId="458DCB8B">
            <wp:extent cx="5962015" cy="3353435"/>
            <wp:effectExtent l="0" t="0" r="635" b="0"/>
            <wp:docPr id="7" name="Graphic 7" descr="There is a large gap between Whanganui and Bay of Plenty. Four regions (Bay of Plenty, Northland, Waikato and Counties-Manukau) are clustered around and slightly below the National Average. There is a small gap between Counties-Manukau and Waitemat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here is a large gap between Whanganui and Bay of Plenty. Four regions (Bay of Plenty, Northland, Waikato and Counties-Manukau) are clustered around and slightly below the National Average. There is a small gap between Counties-Manukau and Waitematā. "/>
                    <pic:cNvPicPr/>
                  </pic:nvPicPr>
                  <pic:blipFill>
                    <a:blip r:embed="rId19">
                      <a:extLst>
                        <a:ext uri="{96DAC541-7B7A-43D3-8B79-37D633B846F1}">
                          <asvg:svgBlip xmlns:asvg="http://schemas.microsoft.com/office/drawing/2016/SVG/main" r:embed="rId20"/>
                        </a:ext>
                      </a:extLst>
                    </a:blip>
                    <a:stretch>
                      <a:fillRect/>
                    </a:stretch>
                  </pic:blipFill>
                  <pic:spPr>
                    <a:xfrm>
                      <a:off x="0" y="0"/>
                      <a:ext cx="5962015" cy="3353435"/>
                    </a:xfrm>
                    <a:prstGeom prst="rect">
                      <a:avLst/>
                    </a:prstGeom>
                  </pic:spPr>
                </pic:pic>
              </a:graphicData>
            </a:graphic>
          </wp:inline>
        </w:drawing>
      </w:r>
    </w:p>
    <w:p w14:paraId="6D9E36F4" w14:textId="15D70E52" w:rsidR="00EB2C5C" w:rsidRPr="002E7B55" w:rsidRDefault="00EB2C5C" w:rsidP="00EB2C5C">
      <w:pPr>
        <w:pStyle w:val="Caption"/>
      </w:pPr>
      <w:bookmarkStart w:id="20" w:name="_Toc95741423"/>
      <w:bookmarkStart w:id="21" w:name="_Toc96341685"/>
      <w:r w:rsidRPr="002E7B55">
        <w:t xml:space="preserve">Figure </w:t>
      </w:r>
      <w:r w:rsidRPr="002E7B55">
        <w:fldChar w:fldCharType="begin"/>
      </w:r>
      <w:r w:rsidRPr="002E7B55">
        <w:instrText xml:space="preserve"> SEQ Figure \* ARABIC </w:instrText>
      </w:r>
      <w:r w:rsidRPr="002E7B55">
        <w:fldChar w:fldCharType="separate"/>
      </w:r>
      <w:r w:rsidR="00886DCA" w:rsidRPr="002E7B55">
        <w:t>6</w:t>
      </w:r>
      <w:r w:rsidRPr="002E7B55">
        <w:fldChar w:fldCharType="end"/>
      </w:r>
      <w:r w:rsidRPr="002E7B55">
        <w:t xml:space="preserve">: Flu immunisation rates for Māori 65+ in 2021, comparing Whanganui (highest), Waitematā (lowest) and </w:t>
      </w:r>
      <w:r w:rsidR="00A3371B" w:rsidRPr="002E7B55">
        <w:t>four</w:t>
      </w:r>
      <w:r w:rsidRPr="002E7B55">
        <w:t xml:space="preserve"> regions with highest estimated population of Māori 65+</w:t>
      </w:r>
      <w:bookmarkEnd w:id="20"/>
      <w:r w:rsidR="00A3371B" w:rsidRPr="002E7B55">
        <w:rPr>
          <w:rStyle w:val="EndnoteReference"/>
        </w:rPr>
        <w:endnoteReference w:id="9"/>
      </w:r>
      <w:bookmarkEnd w:id="21"/>
    </w:p>
    <w:p w14:paraId="00062525" w14:textId="77777777" w:rsidR="0025757E" w:rsidRDefault="0025757E">
      <w:pPr>
        <w:spacing w:before="0" w:after="160" w:line="259" w:lineRule="auto"/>
        <w:rPr>
          <w:rFonts w:asciiTheme="majorHAnsi" w:eastAsiaTheme="majorEastAsia" w:hAnsiTheme="majorHAnsi" w:cstheme="majorBidi"/>
          <w:b/>
          <w:bCs/>
          <w:color w:val="197278" w:themeColor="accent1"/>
        </w:rPr>
      </w:pPr>
      <w:r>
        <w:br w:type="page"/>
      </w:r>
    </w:p>
    <w:p w14:paraId="49F733F3" w14:textId="2B769A31" w:rsidR="00833547" w:rsidRPr="002E7B55" w:rsidRDefault="00833547" w:rsidP="0041391C">
      <w:pPr>
        <w:pStyle w:val="Heading3"/>
      </w:pPr>
      <w:r w:rsidRPr="002E7B55">
        <w:lastRenderedPageBreak/>
        <w:t>Auckland Metro regions continue to perform poorly</w:t>
      </w:r>
    </w:p>
    <w:p w14:paraId="19AC78A9" w14:textId="08B30CE6" w:rsidR="003407D0" w:rsidRPr="002E7B55" w:rsidRDefault="00833547" w:rsidP="003407D0">
      <w:r w:rsidRPr="002E7B55">
        <w:t>A high proportion of the Māori population live in the Auckland Metro DHB regions (Auckland, Counties Manukau and Waitematā), including 22</w:t>
      </w:r>
      <w:r w:rsidR="009D2139" w:rsidRPr="002E7B55">
        <w:t xml:space="preserve"> percent</w:t>
      </w:r>
      <w:r w:rsidRPr="002E7B55">
        <w:t xml:space="preserve"> of Māori aged over 65 years.</w:t>
      </w:r>
      <w:r w:rsidR="00431517" w:rsidRPr="002E7B55">
        <w:rPr>
          <w:rStyle w:val="EndnoteReference"/>
        </w:rPr>
        <w:endnoteReference w:id="10"/>
      </w:r>
      <w:r w:rsidRPr="002E7B55">
        <w:t xml:space="preserve"> To positively impact equity for Māori nationally, it is crucial to make a difference to immunisation rates in these regions. </w:t>
      </w:r>
      <w:r w:rsidR="003407D0" w:rsidRPr="002E7B55">
        <w:t>Despite significant funding for Auckland Metro DHBs, inequity for Māori persists.</w:t>
      </w:r>
    </w:p>
    <w:p w14:paraId="13438A56" w14:textId="6E2791E1" w:rsidR="003407D0" w:rsidRPr="002E7B55" w:rsidRDefault="00C957F4" w:rsidP="009A020F">
      <w:r w:rsidRPr="002E7B55">
        <w:t xml:space="preserve">The results in 2021 reflect a persistent and ongoing trend. </w:t>
      </w:r>
      <w:r w:rsidR="009A020F" w:rsidRPr="002E7B55">
        <w:t xml:space="preserve">For the sixth year running, Auckland Metro DHBs have struggled to deliver well on getting vaccinations to Māori (see </w:t>
      </w:r>
      <w:r w:rsidR="00515272" w:rsidRPr="002E7B55">
        <w:fldChar w:fldCharType="begin"/>
      </w:r>
      <w:r w:rsidR="00515272" w:rsidRPr="002E7B55">
        <w:instrText xml:space="preserve"> REF _Ref95159844 \h </w:instrText>
      </w:r>
      <w:r w:rsidR="00515272" w:rsidRPr="002E7B55">
        <w:fldChar w:fldCharType="separate"/>
      </w:r>
      <w:r w:rsidR="0099386A" w:rsidRPr="002E7B55">
        <w:t>Table 1</w:t>
      </w:r>
      <w:r w:rsidR="00515272" w:rsidRPr="002E7B55">
        <w:fldChar w:fldCharType="end"/>
      </w:r>
      <w:r w:rsidR="00B537A1" w:rsidRPr="002E7B55">
        <w:t xml:space="preserve">, page </w:t>
      </w:r>
      <w:r w:rsidR="00515272" w:rsidRPr="002E7B55">
        <w:fldChar w:fldCharType="begin"/>
      </w:r>
      <w:r w:rsidR="00515272" w:rsidRPr="002E7B55">
        <w:instrText xml:space="preserve"> PAGEREF _Ref95159849 \h </w:instrText>
      </w:r>
      <w:r w:rsidR="00515272" w:rsidRPr="002E7B55">
        <w:fldChar w:fldCharType="separate"/>
      </w:r>
      <w:r w:rsidR="0099386A" w:rsidRPr="002E7B55">
        <w:t>63</w:t>
      </w:r>
      <w:r w:rsidR="00515272" w:rsidRPr="002E7B55">
        <w:fldChar w:fldCharType="end"/>
      </w:r>
      <w:r w:rsidR="009A020F" w:rsidRPr="002E7B55">
        <w:t>).</w:t>
      </w:r>
      <w:r w:rsidR="00431517" w:rsidRPr="002E7B55">
        <w:rPr>
          <w:rStyle w:val="EndnoteReference"/>
        </w:rPr>
        <w:endnoteReference w:id="11"/>
      </w:r>
      <w:r w:rsidR="00431517" w:rsidRPr="002E7B55">
        <w:t xml:space="preserve"> </w:t>
      </w:r>
      <w:r w:rsidR="003407D0" w:rsidRPr="002E7B55">
        <w:t xml:space="preserve">As in 2020, the Auckland Metro DHBs </w:t>
      </w:r>
      <w:r w:rsidR="004C37DC" w:rsidRPr="002E7B55">
        <w:t xml:space="preserve">got </w:t>
      </w:r>
      <w:r w:rsidR="003407D0" w:rsidRPr="002E7B55">
        <w:t xml:space="preserve">some of the lowest vaccination rates in the country. </w:t>
      </w:r>
    </w:p>
    <w:p w14:paraId="170A68E6" w14:textId="1E703B82" w:rsidR="003407D0" w:rsidRPr="002E7B55" w:rsidRDefault="009A020F" w:rsidP="003407D0">
      <w:r w:rsidRPr="002E7B55">
        <w:t>As in 2020, the Auckland Metro DHBs received the largest</w:t>
      </w:r>
      <w:r w:rsidR="00F87E23" w:rsidRPr="002E7B55">
        <w:t xml:space="preserve"> amount of</w:t>
      </w:r>
      <w:r w:rsidRPr="002E7B55">
        <w:t xml:space="preserve"> contract funding. </w:t>
      </w:r>
      <w:r w:rsidR="003407D0" w:rsidRPr="002E7B55">
        <w:t>They were late in contracting providers and getting funding out</w:t>
      </w:r>
      <w:r w:rsidR="004C37DC" w:rsidRPr="002E7B55">
        <w:t>,</w:t>
      </w:r>
      <w:r w:rsidR="003407D0" w:rsidRPr="002E7B55">
        <w:t xml:space="preserve"> and </w:t>
      </w:r>
      <w:r w:rsidR="004C37DC" w:rsidRPr="002E7B55">
        <w:t xml:space="preserve">they </w:t>
      </w:r>
      <w:r w:rsidR="003407D0" w:rsidRPr="002E7B55">
        <w:t>struggled to secure provider services. Impending changes to the New Zealand health system will exacerbate the challenges for the Auckland Metro DHBs.</w:t>
      </w:r>
    </w:p>
    <w:p w14:paraId="2D93AC49" w14:textId="70FEDED8" w:rsidR="00833547" w:rsidRPr="002E7B55" w:rsidRDefault="00833547" w:rsidP="004D500B">
      <w:r w:rsidRPr="002E7B55">
        <w:t xml:space="preserve">As of 1 October 2021, vaccination data showed: </w:t>
      </w:r>
    </w:p>
    <w:p w14:paraId="154542C4" w14:textId="0833D4D2" w:rsidR="00833547" w:rsidRPr="002E7B55" w:rsidRDefault="00833547" w:rsidP="001F1051">
      <w:pPr>
        <w:pStyle w:val="Bullet"/>
      </w:pPr>
      <w:r w:rsidRPr="002E7B55">
        <w:t xml:space="preserve">Counties Manukau performed moderately well in terms of equity, with an equity gap of </w:t>
      </w:r>
      <w:r w:rsidR="004C37DC" w:rsidRPr="002E7B55">
        <w:t>minus</w:t>
      </w:r>
      <w:r w:rsidRPr="002E7B55">
        <w:t>12.9 pts (ranking ninth in the country). However, despite having the fourth-largest number of Māori 65+ vaccinated (2501), they have the fourth-lowest percentage of Māori 65+ vaccinated (46.5</w:t>
      </w:r>
      <w:r w:rsidR="009D2139" w:rsidRPr="002E7B55">
        <w:t xml:space="preserve"> percent</w:t>
      </w:r>
      <w:r w:rsidRPr="002E7B55">
        <w:t xml:space="preserve">) </w:t>
      </w:r>
    </w:p>
    <w:p w14:paraId="6E82F951" w14:textId="081266E2" w:rsidR="003F3267" w:rsidRPr="002E7B55" w:rsidRDefault="00833547" w:rsidP="001F1051">
      <w:pPr>
        <w:pStyle w:val="Bullet"/>
      </w:pPr>
      <w:r w:rsidRPr="002E7B55">
        <w:t>Auckland and Waitematā are among the poorest performers nationally for equity gap</w:t>
      </w:r>
      <w:r w:rsidR="00F87E23" w:rsidRPr="002E7B55">
        <w:t xml:space="preserve"> and the </w:t>
      </w:r>
      <w:r w:rsidRPr="002E7B55">
        <w:t>percentage of Māori 65+ population vaccinated. Auckland has the greatest equity gap (</w:t>
      </w:r>
      <w:r w:rsidR="004C37DC" w:rsidRPr="002E7B55">
        <w:t xml:space="preserve">minus </w:t>
      </w:r>
      <w:r w:rsidRPr="002E7B55">
        <w:t>23.1 pts) and second-lowest percentage of Māori 65+ vaccinated (42.6</w:t>
      </w:r>
      <w:r w:rsidR="009D2139" w:rsidRPr="002E7B55">
        <w:t xml:space="preserve"> percent</w:t>
      </w:r>
      <w:r w:rsidRPr="002E7B55">
        <w:t>). Waitematā has the lowest percentage of Māori 65+ vaccinated (42.5</w:t>
      </w:r>
      <w:r w:rsidR="009D2139" w:rsidRPr="002E7B55">
        <w:t xml:space="preserve"> percent</w:t>
      </w:r>
      <w:r w:rsidRPr="002E7B55">
        <w:t>) with the fourth-lowest equity gap (</w:t>
      </w:r>
      <w:r w:rsidR="004C37DC" w:rsidRPr="002E7B55">
        <w:t xml:space="preserve">minus </w:t>
      </w:r>
      <w:r w:rsidRPr="002E7B55">
        <w:t xml:space="preserve">18.7 pts). </w:t>
      </w:r>
    </w:p>
    <w:p w14:paraId="6255A983" w14:textId="6CA2833A" w:rsidR="001A38C8" w:rsidRPr="002E7B55" w:rsidRDefault="001A38C8" w:rsidP="00833547">
      <w:pPr>
        <w:pStyle w:val="Chart-full-width"/>
        <w:rPr>
          <w:noProof w:val="0"/>
        </w:rPr>
      </w:pPr>
      <w:r w:rsidRPr="002E7B55">
        <w:drawing>
          <wp:inline distT="0" distB="0" distL="0" distR="0" wp14:anchorId="79CC9728" wp14:editId="51010D1A">
            <wp:extent cx="6096635" cy="3429000"/>
            <wp:effectExtent l="0" t="0" r="0" b="0"/>
            <wp:docPr id="42" name="Picture 42" descr="There is a medium gap between Whanganui and next two regions (Wairarapa and Hutt Valley). There is a larger gap between Hutt Valley and the National Average. There is a small gap and then cluster of Counties-Manukau, Auckland and Waitematā below the National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re is a medium gap between Whanganui and next two regions (Wairarapa and Hutt Valley). There is a larger gap between Hutt Valley and the National Average. There is a small gap and then cluster of Counties-Manukau, Auckland and Waitematā below the National Averag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69A7BA4" w14:textId="2E7D902B" w:rsidR="00EB2C5C" w:rsidRPr="002E7B55" w:rsidRDefault="00EB2C5C" w:rsidP="00EB2C5C">
      <w:pPr>
        <w:pStyle w:val="Caption"/>
      </w:pPr>
      <w:bookmarkStart w:id="22" w:name="_Toc95741424"/>
      <w:bookmarkStart w:id="23" w:name="_Toc96341686"/>
      <w:r w:rsidRPr="002E7B55">
        <w:t xml:space="preserve">Figure </w:t>
      </w:r>
      <w:r w:rsidRPr="002E7B55">
        <w:fldChar w:fldCharType="begin"/>
      </w:r>
      <w:r w:rsidRPr="002E7B55">
        <w:instrText xml:space="preserve"> SEQ Figure \* ARABIC </w:instrText>
      </w:r>
      <w:r w:rsidRPr="002E7B55">
        <w:fldChar w:fldCharType="separate"/>
      </w:r>
      <w:r w:rsidR="00886DCA" w:rsidRPr="002E7B55">
        <w:t>7</w:t>
      </w:r>
      <w:r w:rsidRPr="002E7B55">
        <w:fldChar w:fldCharType="end"/>
      </w:r>
      <w:r w:rsidRPr="002E7B55">
        <w:t>: Flu immunisation rates for Māori 65+ in 2021, comparing Whanganui, Wairarapa, and Hutt Valley (three highest), and three Auckland Metro regions (Counties-Manukau, Auckland, and Waitematā)</w:t>
      </w:r>
      <w:bookmarkEnd w:id="22"/>
      <w:bookmarkEnd w:id="23"/>
    </w:p>
    <w:p w14:paraId="4BD2E274" w14:textId="77777777" w:rsidR="0025757E" w:rsidRDefault="0025757E">
      <w:pPr>
        <w:spacing w:before="0" w:after="160" w:line="259" w:lineRule="auto"/>
      </w:pPr>
      <w:r>
        <w:br w:type="page"/>
      </w:r>
    </w:p>
    <w:p w14:paraId="591601F5" w14:textId="06CB99AB" w:rsidR="009A020F" w:rsidRPr="002E7B55" w:rsidRDefault="009A020F" w:rsidP="009A020F">
      <w:r w:rsidRPr="002E7B55">
        <w:lastRenderedPageBreak/>
        <w:t xml:space="preserve">At the same time, in 2021, Auckland Metro shouldered a significant burden of New Zealand’s COVID-19 testing and vaccinations, with two Alert Level 4 lockdowns and notably the 17 August Delta variant outbreak. </w:t>
      </w:r>
    </w:p>
    <w:p w14:paraId="3CF6E11B" w14:textId="2575B328" w:rsidR="003F3267" w:rsidRPr="002E7B55" w:rsidRDefault="003F3267" w:rsidP="003F3267">
      <w:r w:rsidRPr="002E7B55">
        <w:t>In contrast</w:t>
      </w:r>
      <w:r w:rsidR="00EC0BF4" w:rsidRPr="002E7B55">
        <w:t xml:space="preserve"> to flu vaccination results</w:t>
      </w:r>
      <w:r w:rsidRPr="002E7B55">
        <w:t xml:space="preserve">, the evaluators note the performance of Auckland Metro DHBs in achieving COVID-19 vaccination targets for Māori. </w:t>
      </w:r>
      <w:r w:rsidR="00EC2D0A" w:rsidRPr="002E7B55">
        <w:t xml:space="preserve">Māori providers played a critical role in connecting with, educating and vaccinating Māori. </w:t>
      </w:r>
    </w:p>
    <w:p w14:paraId="050C0CB8" w14:textId="12F64F1D" w:rsidR="00EC1527" w:rsidRPr="002E7B55" w:rsidRDefault="00E60119" w:rsidP="00235ED6">
      <w:pPr>
        <w:pStyle w:val="Quote"/>
        <w:rPr>
          <w:lang w:val="en-NZ"/>
        </w:rPr>
      </w:pPr>
      <w:r w:rsidRPr="002E7B55">
        <w:rPr>
          <w:lang w:val="en-NZ"/>
        </w:rPr>
        <w:t>“</w:t>
      </w:r>
      <w:r w:rsidR="23D00F57" w:rsidRPr="002E7B55">
        <w:rPr>
          <w:lang w:val="en-NZ"/>
        </w:rPr>
        <w:t xml:space="preserve">It was Māori and Pacific whānau who stood up and did the mahi, kanohi </w:t>
      </w:r>
      <w:proofErr w:type="spellStart"/>
      <w:r w:rsidR="23D00F57" w:rsidRPr="002E7B55">
        <w:rPr>
          <w:lang w:val="en-NZ"/>
        </w:rPr>
        <w:t>ki</w:t>
      </w:r>
      <w:proofErr w:type="spellEnd"/>
      <w:r w:rsidR="23D00F57" w:rsidRPr="002E7B55">
        <w:rPr>
          <w:lang w:val="en-NZ"/>
        </w:rPr>
        <w:t xml:space="preserve"> </w:t>
      </w:r>
      <w:proofErr w:type="spellStart"/>
      <w:r w:rsidR="23D00F57" w:rsidRPr="002E7B55">
        <w:rPr>
          <w:lang w:val="en-NZ"/>
        </w:rPr>
        <w:t>te</w:t>
      </w:r>
      <w:proofErr w:type="spellEnd"/>
      <w:r w:rsidR="23D00F57" w:rsidRPr="002E7B55">
        <w:rPr>
          <w:lang w:val="en-NZ"/>
        </w:rPr>
        <w:t xml:space="preserve"> kanohi, showing us what it takes to reach out and engage. It was incredible... We have seen what happens when the funding is put with the right people. Bring on the Māori Health Authority/Te Mana Hauora Māori and let’s start to get some equity.</w:t>
      </w:r>
      <w:r w:rsidRPr="002E7B55">
        <w:rPr>
          <w:lang w:val="en-NZ"/>
        </w:rPr>
        <w:t>”</w:t>
      </w:r>
      <w:r w:rsidR="23D00F57" w:rsidRPr="002E7B55">
        <w:rPr>
          <w:lang w:val="en-NZ"/>
        </w:rPr>
        <w:t xml:space="preserve"> (Dr Lucy O’Hagan)</w:t>
      </w:r>
      <w:sdt>
        <w:sdtPr>
          <w:rPr>
            <w:lang w:val="en-NZ"/>
          </w:rPr>
          <w:id w:val="-352341818"/>
          <w:citation/>
        </w:sdtPr>
        <w:sdtEndPr/>
        <w:sdtContent>
          <w:r w:rsidR="00A4708C" w:rsidRPr="002E7B55">
            <w:rPr>
              <w:lang w:val="en-NZ"/>
            </w:rPr>
            <w:fldChar w:fldCharType="begin"/>
          </w:r>
          <w:r w:rsidR="00A4708C" w:rsidRPr="002E7B55">
            <w:rPr>
              <w:lang w:val="en-NZ"/>
            </w:rPr>
            <w:instrText xml:space="preserve"> CITATION Con22 \l 1153 </w:instrText>
          </w:r>
          <w:r w:rsidR="00A4708C" w:rsidRPr="002E7B55">
            <w:rPr>
              <w:lang w:val="en-NZ"/>
            </w:rPr>
            <w:fldChar w:fldCharType="separate"/>
          </w:r>
          <w:r w:rsidR="00025361" w:rsidRPr="002E7B55">
            <w:rPr>
              <w:lang w:val="en-NZ"/>
            </w:rPr>
            <w:t xml:space="preserve"> (18)</w:t>
          </w:r>
          <w:r w:rsidR="00A4708C" w:rsidRPr="002E7B55">
            <w:rPr>
              <w:lang w:val="en-NZ"/>
            </w:rPr>
            <w:fldChar w:fldCharType="end"/>
          </w:r>
        </w:sdtContent>
      </w:sdt>
    </w:p>
    <w:p w14:paraId="4ACB1761" w14:textId="77777777" w:rsidR="0025757E" w:rsidRDefault="0025757E" w:rsidP="00EC1527"/>
    <w:p w14:paraId="71AFFD97" w14:textId="74465F83" w:rsidR="00EC1527" w:rsidRPr="002E7B55" w:rsidRDefault="00EC1527" w:rsidP="00EC1527">
      <w:r w:rsidRPr="002E7B55">
        <w:t>Th</w:t>
      </w:r>
      <w:r w:rsidR="00F87E23" w:rsidRPr="002E7B55">
        <w:t>ese findings</w:t>
      </w:r>
      <w:r w:rsidRPr="002E7B55">
        <w:t xml:space="preserve"> signal that the Auckland Metro region should be able to achieve improved flu and MMR vaccination rates. Māori vaccination equity </w:t>
      </w:r>
      <w:r w:rsidR="00F87E23" w:rsidRPr="002E7B55">
        <w:t>must</w:t>
      </w:r>
      <w:r w:rsidRPr="002E7B55">
        <w:t xml:space="preserve"> be at the forefront of program</w:t>
      </w:r>
      <w:r w:rsidR="004C37DC" w:rsidRPr="002E7B55">
        <w:t>me</w:t>
      </w:r>
      <w:r w:rsidRPr="002E7B55">
        <w:t xml:space="preserve"> design</w:t>
      </w:r>
      <w:r w:rsidR="004C37DC" w:rsidRPr="002E7B55">
        <w:t>,</w:t>
      </w:r>
      <w:r w:rsidRPr="002E7B55">
        <w:t xml:space="preserve"> </w:t>
      </w:r>
      <w:r w:rsidR="00F87E23" w:rsidRPr="002E7B55">
        <w:t xml:space="preserve">with a permissive environment </w:t>
      </w:r>
      <w:r w:rsidRPr="002E7B55">
        <w:t>allow</w:t>
      </w:r>
      <w:r w:rsidR="00F87E23" w:rsidRPr="002E7B55">
        <w:t>ing</w:t>
      </w:r>
      <w:r w:rsidRPr="002E7B55">
        <w:t xml:space="preserve"> providers to be innovative and responsive to local needs. </w:t>
      </w:r>
    </w:p>
    <w:p w14:paraId="6B7BCB5F" w14:textId="0B83228A" w:rsidR="00635B8E" w:rsidRPr="002E7B55" w:rsidRDefault="23D00F57" w:rsidP="23D00F57">
      <w:pPr>
        <w:pStyle w:val="Heading2"/>
      </w:pPr>
      <w:r w:rsidRPr="002E7B55">
        <w:t>The immunisation landscape was already complicated; COVID-19 disrupted it further</w:t>
      </w:r>
    </w:p>
    <w:p w14:paraId="0EE70F12" w14:textId="77777777" w:rsidR="00635B8E" w:rsidRPr="002E7B55" w:rsidRDefault="23D00F57" w:rsidP="0041391C">
      <w:pPr>
        <w:pStyle w:val="Heading3"/>
      </w:pPr>
      <w:bookmarkStart w:id="24" w:name="_Toc86956739"/>
      <w:r w:rsidRPr="002E7B55">
        <w:t>The flu vaccination rollout was more complicated in 2021 than in 2020</w:t>
      </w:r>
      <w:bookmarkEnd w:id="24"/>
    </w:p>
    <w:p w14:paraId="6656801A" w14:textId="5887E635" w:rsidR="000231DF" w:rsidRPr="002E7B55" w:rsidRDefault="23D00F57" w:rsidP="005042D8">
      <w:r w:rsidRPr="002E7B55">
        <w:t xml:space="preserve">In 2021, </w:t>
      </w:r>
      <w:r w:rsidR="000231DF" w:rsidRPr="002E7B55">
        <w:t>several factors complicat</w:t>
      </w:r>
      <w:r w:rsidR="004C37DC" w:rsidRPr="002E7B55">
        <w:t>ed</w:t>
      </w:r>
      <w:r w:rsidR="000231DF" w:rsidRPr="002E7B55">
        <w:t xml:space="preserve"> the MIMVP rollout, including:</w:t>
      </w:r>
    </w:p>
    <w:p w14:paraId="43603038" w14:textId="6F4D5C19" w:rsidR="003E5291" w:rsidRPr="002E7B55" w:rsidRDefault="003E5291" w:rsidP="001F1051">
      <w:pPr>
        <w:pStyle w:val="Bullet"/>
      </w:pPr>
      <w:r w:rsidRPr="002E7B55">
        <w:t xml:space="preserve">two new </w:t>
      </w:r>
      <w:r w:rsidR="23D00F57" w:rsidRPr="002E7B55">
        <w:t>flu vaccines approved for different age groups, compared to two in 2020</w:t>
      </w:r>
    </w:p>
    <w:p w14:paraId="209C57E7" w14:textId="3399F4A9" w:rsidR="003E5291" w:rsidRPr="002E7B55" w:rsidRDefault="00635B8E" w:rsidP="001F1051">
      <w:pPr>
        <w:pStyle w:val="Bullet"/>
      </w:pPr>
      <w:r w:rsidRPr="002E7B55">
        <w:t xml:space="preserve">flu vaccines and the COVID-19 vaccine used age as a </w:t>
      </w:r>
      <w:r w:rsidR="00F87E23" w:rsidRPr="002E7B55">
        <w:t xml:space="preserve">critical </w:t>
      </w:r>
      <w:r w:rsidRPr="002E7B55">
        <w:t>criterion for eligibility (</w:t>
      </w:r>
      <w:r w:rsidR="003832A7" w:rsidRPr="002E7B55">
        <w:t xml:space="preserve">see </w:t>
      </w:r>
      <w:r w:rsidR="003832A7" w:rsidRPr="002E7B55">
        <w:fldChar w:fldCharType="begin"/>
      </w:r>
      <w:r w:rsidR="003832A7" w:rsidRPr="002E7B55">
        <w:instrText xml:space="preserve"> REF _Ref95160275 \h </w:instrText>
      </w:r>
      <w:r w:rsidR="003832A7" w:rsidRPr="002E7B55">
        <w:fldChar w:fldCharType="separate"/>
      </w:r>
      <w:r w:rsidR="0099386A" w:rsidRPr="002E7B55">
        <w:t>Table 2</w:t>
      </w:r>
      <w:r w:rsidR="003832A7" w:rsidRPr="002E7B55">
        <w:fldChar w:fldCharType="end"/>
      </w:r>
      <w:r w:rsidR="003832A7" w:rsidRPr="002E7B55">
        <w:t xml:space="preserve">, page </w:t>
      </w:r>
      <w:r w:rsidR="003832A7" w:rsidRPr="002E7B55">
        <w:fldChar w:fldCharType="begin"/>
      </w:r>
      <w:r w:rsidR="003832A7" w:rsidRPr="002E7B55">
        <w:instrText xml:space="preserve"> PAGEREF _Ref95160267 \h </w:instrText>
      </w:r>
      <w:r w:rsidR="003832A7" w:rsidRPr="002E7B55">
        <w:fldChar w:fldCharType="separate"/>
      </w:r>
      <w:r w:rsidR="0099386A" w:rsidRPr="002E7B55">
        <w:t>63</w:t>
      </w:r>
      <w:r w:rsidR="003832A7" w:rsidRPr="002E7B55">
        <w:fldChar w:fldCharType="end"/>
      </w:r>
      <w:r w:rsidRPr="002E7B55">
        <w:t>)</w:t>
      </w:r>
    </w:p>
    <w:p w14:paraId="20527595" w14:textId="77594337" w:rsidR="003E5291" w:rsidRPr="002E7B55" w:rsidRDefault="004C37DC" w:rsidP="001F1051">
      <w:pPr>
        <w:pStyle w:val="Bullet"/>
      </w:pPr>
      <w:r w:rsidRPr="002E7B55">
        <w:t xml:space="preserve">the </w:t>
      </w:r>
      <w:r w:rsidR="00635B8E" w:rsidRPr="002E7B55">
        <w:t>flu immunisation campaign for people over 65 years began earlier than other age groups</w:t>
      </w:r>
      <w:r w:rsidR="006E0FEA" w:rsidRPr="002E7B55">
        <w:t>.</w:t>
      </w:r>
    </w:p>
    <w:p w14:paraId="4EA9ACA2" w14:textId="435CA96C" w:rsidR="23D00F57" w:rsidRPr="002E7B55" w:rsidRDefault="006E0FEA" w:rsidP="005042D8">
      <w:r w:rsidRPr="002E7B55">
        <w:t>Overall, t</w:t>
      </w:r>
      <w:r w:rsidR="00635B8E" w:rsidRPr="002E7B55">
        <w:t xml:space="preserve">he age-based eligibility for timing and funding made it difficult for some providers to deliver a whānau-centred approach, for example, where </w:t>
      </w:r>
      <w:r w:rsidR="00F87E23" w:rsidRPr="002E7B55">
        <w:t xml:space="preserve">the </w:t>
      </w:r>
      <w:r w:rsidR="00635B8E" w:rsidRPr="002E7B55">
        <w:t>whole whānau can present and</w:t>
      </w:r>
      <w:r w:rsidR="00F87E23" w:rsidRPr="002E7B55">
        <w:t xml:space="preserve"> be </w:t>
      </w:r>
      <w:r w:rsidR="00635B8E" w:rsidRPr="002E7B55">
        <w:t xml:space="preserve">seen together. </w:t>
      </w:r>
      <w:r w:rsidR="23D00F57" w:rsidRPr="002E7B55">
        <w:t>Many providers</w:t>
      </w:r>
      <w:r w:rsidRPr="002E7B55">
        <w:t xml:space="preserve"> </w:t>
      </w:r>
      <w:r w:rsidR="23D00F57" w:rsidRPr="002E7B55">
        <w:t xml:space="preserve">have multiple vaccination contracts. However, </w:t>
      </w:r>
      <w:r w:rsidR="004C37DC" w:rsidRPr="002E7B55">
        <w:t xml:space="preserve">often </w:t>
      </w:r>
      <w:r w:rsidR="23D00F57" w:rsidRPr="002E7B55">
        <w:t xml:space="preserve">these contracts are </w:t>
      </w:r>
      <w:r w:rsidR="004C37DC" w:rsidRPr="002E7B55">
        <w:t xml:space="preserve">each </w:t>
      </w:r>
      <w:r w:rsidR="23D00F57" w:rsidRPr="002E7B55">
        <w:t>managed in isolation</w:t>
      </w:r>
      <w:r w:rsidR="00F87E23" w:rsidRPr="002E7B55">
        <w:t>,</w:t>
      </w:r>
      <w:r w:rsidR="23D00F57" w:rsidRPr="002E7B55">
        <w:t xml:space="preserve"> and not all providers are contracted to deliver all vaccines. As a result, different providers may offer </w:t>
      </w:r>
      <w:r w:rsidR="00F87E23" w:rsidRPr="002E7B55">
        <w:t xml:space="preserve">additional </w:t>
      </w:r>
      <w:r w:rsidR="23D00F57" w:rsidRPr="002E7B55">
        <w:t xml:space="preserve">vaccinations in the same community. </w:t>
      </w:r>
      <w:r w:rsidRPr="002E7B55">
        <w:t>M</w:t>
      </w:r>
      <w:r w:rsidR="23D00F57" w:rsidRPr="002E7B55">
        <w:t xml:space="preserve">ultiple concurrent vaccination campaigns </w:t>
      </w:r>
      <w:r w:rsidRPr="002E7B55">
        <w:t xml:space="preserve">also </w:t>
      </w:r>
      <w:r w:rsidR="00F87E23" w:rsidRPr="002E7B55">
        <w:t>confused providers and whānau with</w:t>
      </w:r>
      <w:r w:rsidR="23D00F57" w:rsidRPr="002E7B55">
        <w:t xml:space="preserve"> competing messaging and conflicting prioritie</w:t>
      </w:r>
      <w:r w:rsidR="00F87E23" w:rsidRPr="002E7B55">
        <w:t>s</w:t>
      </w:r>
      <w:r w:rsidR="23D00F57" w:rsidRPr="002E7B55">
        <w:t xml:space="preserve">. </w:t>
      </w:r>
    </w:p>
    <w:p w14:paraId="05F253F2" w14:textId="2E01B1CD" w:rsidR="00930491" w:rsidRPr="002E7B55" w:rsidRDefault="23D00F57" w:rsidP="0041391C">
      <w:pPr>
        <w:pStyle w:val="Heading3"/>
      </w:pPr>
      <w:r w:rsidRPr="002E7B55">
        <w:t>The impact of COVID</w:t>
      </w:r>
      <w:r w:rsidR="00ED6997" w:rsidRPr="002E7B55">
        <w:t>-19</w:t>
      </w:r>
    </w:p>
    <w:p w14:paraId="09E19C30" w14:textId="183DC7C6" w:rsidR="23D00F57" w:rsidRPr="002E7B55" w:rsidRDefault="00F87E23" w:rsidP="23D00F57">
      <w:r w:rsidRPr="002E7B55">
        <w:t xml:space="preserve">This year, providers and DHBs said the most significant </w:t>
      </w:r>
      <w:r w:rsidR="004C37DC" w:rsidRPr="002E7B55">
        <w:t xml:space="preserve">factor </w:t>
      </w:r>
      <w:r w:rsidRPr="002E7B55">
        <w:t>impact</w:t>
      </w:r>
      <w:r w:rsidR="004C37DC" w:rsidRPr="002E7B55">
        <w:t>ing</w:t>
      </w:r>
      <w:r w:rsidRPr="002E7B55">
        <w:t xml:space="preserve"> on their MIMVP-funded plans</w:t>
      </w:r>
      <w:r w:rsidR="23D00F57" w:rsidRPr="002E7B55">
        <w:t xml:space="preserve"> was COVID-19. About half</w:t>
      </w:r>
      <w:r w:rsidR="00431517" w:rsidRPr="002E7B55">
        <w:rPr>
          <w:rStyle w:val="EndnoteReference"/>
        </w:rPr>
        <w:endnoteReference w:id="12"/>
      </w:r>
      <w:r w:rsidR="00431517" w:rsidRPr="002E7B55">
        <w:t xml:space="preserve"> </w:t>
      </w:r>
      <w:r w:rsidR="23D00F57" w:rsidRPr="002E7B55">
        <w:t xml:space="preserve">of providers contracted for MIMVP also held a contract for COVID-19 testing, education and vaccination. </w:t>
      </w:r>
    </w:p>
    <w:p w14:paraId="2B843EAC" w14:textId="5037685B" w:rsidR="00930491" w:rsidRPr="002E7B55" w:rsidRDefault="23D00F57" w:rsidP="23D00F57">
      <w:r w:rsidRPr="002E7B55">
        <w:t>Many providers noted that for flu</w:t>
      </w:r>
      <w:r w:rsidR="00F87E23" w:rsidRPr="002E7B55">
        <w:t>,</w:t>
      </w:r>
      <w:r w:rsidRPr="002E7B55">
        <w:t xml:space="preserve"> there is an identified window of time when vaccination is more effective and deemed more relevant to whānau. Flu vaccinations this year have competed with and lost out to speculation about, and availability of, COVID-19 vaccinations throughout that time.</w:t>
      </w:r>
      <w:r w:rsidR="00FB4608" w:rsidRPr="002E7B55">
        <w:t xml:space="preserve"> </w:t>
      </w:r>
      <w:r w:rsidRPr="002E7B55">
        <w:t>Providers said the message to them from DHBs and the Ministry</w:t>
      </w:r>
      <w:r w:rsidR="00F87E23" w:rsidRPr="002E7B55">
        <w:t>,</w:t>
      </w:r>
      <w:r w:rsidRPr="002E7B55">
        <w:t xml:space="preserve"> was that COVID-19 was the priority. </w:t>
      </w:r>
      <w:r w:rsidR="004C37DC" w:rsidRPr="002E7B55">
        <w:t>Also, w</w:t>
      </w:r>
      <w:r w:rsidR="00FB4608" w:rsidRPr="002E7B55">
        <w:t xml:space="preserve">hānau </w:t>
      </w:r>
      <w:r w:rsidR="004C37DC" w:rsidRPr="002E7B55">
        <w:t xml:space="preserve">themselves </w:t>
      </w:r>
      <w:r w:rsidR="00FB4608" w:rsidRPr="002E7B55">
        <w:t xml:space="preserve">prioritised getting their COVID-19 vaccine over the flu vaccine. To respond to the need, </w:t>
      </w:r>
      <w:r w:rsidRPr="002E7B55">
        <w:t xml:space="preserve">many providers and DHBs diverted people and resources from flu vaccination to COVID-19 testing and vaccination. </w:t>
      </w:r>
    </w:p>
    <w:p w14:paraId="0B650908" w14:textId="2B00DF9D" w:rsidR="00930491" w:rsidRPr="002E7B55" w:rsidRDefault="23D00F57" w:rsidP="23D00F57">
      <w:r w:rsidRPr="002E7B55">
        <w:t xml:space="preserve">Despite published dates for the age-based rollout for COVID-19 vaccinations, the community was confused and hesitant. Providers said that in some cases, whānau were affected by delays in COVID-19 vaccine availability and communications. </w:t>
      </w:r>
    </w:p>
    <w:p w14:paraId="1975DE6D" w14:textId="166F529B" w:rsidR="00930491" w:rsidRPr="002E7B55" w:rsidRDefault="23D00F57" w:rsidP="23D00F57">
      <w:pPr>
        <w:pStyle w:val="Quote"/>
        <w:rPr>
          <w:szCs w:val="20"/>
          <w:lang w:val="en-NZ"/>
        </w:rPr>
      </w:pPr>
      <w:r w:rsidRPr="002E7B55">
        <w:rPr>
          <w:lang w:val="en-NZ"/>
        </w:rPr>
        <w:lastRenderedPageBreak/>
        <w:t>“Even though we are meant to be vaccinating Tier 3 for COVID-19 we have many over</w:t>
      </w:r>
      <w:r w:rsidR="004C37DC" w:rsidRPr="002E7B55">
        <w:rPr>
          <w:lang w:val="en-NZ"/>
        </w:rPr>
        <w:t>-</w:t>
      </w:r>
      <w:r w:rsidRPr="002E7B55">
        <w:rPr>
          <w:lang w:val="en-NZ"/>
        </w:rPr>
        <w:t>65s here that have not had their letters to get vaccinated yet for COVID-19. So they are postponing their flu in case they suddenly get their letter.” (Provider)</w:t>
      </w:r>
    </w:p>
    <w:p w14:paraId="1CE1D6AC" w14:textId="561AE26F" w:rsidR="23D00F57" w:rsidRPr="002E7B55" w:rsidRDefault="23D00F57" w:rsidP="23D00F57">
      <w:pPr>
        <w:pStyle w:val="Heading2"/>
      </w:pPr>
      <w:r w:rsidRPr="002E7B55">
        <w:t>Providers applied learnings between MIVP, MIMVP and COVID-19</w:t>
      </w:r>
    </w:p>
    <w:p w14:paraId="235E5DA4" w14:textId="401E3F6F" w:rsidR="23D00F57" w:rsidRPr="002E7B55" w:rsidRDefault="23D00F57" w:rsidP="23D00F57">
      <w:r w:rsidRPr="002E7B55">
        <w:t>MIMVP providers shared that they utilised the activities and lessons learned in 2020 as part of their MIMVP and COVID-19 approaches in 2021. Two-thirds of providers</w:t>
      </w:r>
      <w:r w:rsidR="00431517" w:rsidRPr="002E7B55">
        <w:t xml:space="preserve"> b</w:t>
      </w:r>
      <w:r w:rsidRPr="002E7B55">
        <w:t>elieved their work in 2020 helped them prepare for 2021.</w:t>
      </w:r>
      <w:r w:rsidR="004E4EA0" w:rsidRPr="002E7B55">
        <w:rPr>
          <w:rStyle w:val="EndnoteReference"/>
        </w:rPr>
        <w:endnoteReference w:id="13"/>
      </w:r>
      <w:r w:rsidRPr="002E7B55">
        <w:t xml:space="preserve"> In particular, providers continued with the following communications activities that were effective in 2020: mobile outreach, community champions and </w:t>
      </w:r>
      <w:r w:rsidR="004C37DC" w:rsidRPr="002E7B55">
        <w:t xml:space="preserve">using </w:t>
      </w:r>
      <w:r w:rsidRPr="002E7B55">
        <w:t>multiple communications channels.</w:t>
      </w:r>
    </w:p>
    <w:p w14:paraId="25CC205B" w14:textId="3ECE7DC3" w:rsidR="00930491" w:rsidRPr="002E7B55" w:rsidRDefault="23D00F57" w:rsidP="005042D8">
      <w:r w:rsidRPr="002E7B55">
        <w:t>Some providers said COVID-19 activities helped them build and strengthen relationships that they could leverage for other immunisation and health initiatives in the future. Some providers noted that COVID-19 activities allowed them to expand and test their whānau-centred approaches.</w:t>
      </w:r>
    </w:p>
    <w:p w14:paraId="230218DB" w14:textId="67FC46BA" w:rsidR="00930491" w:rsidRPr="002E7B55" w:rsidRDefault="23D00F57" w:rsidP="23D00F57">
      <w:pPr>
        <w:pStyle w:val="Quote"/>
        <w:rPr>
          <w:szCs w:val="20"/>
          <w:lang w:val="en-NZ"/>
        </w:rPr>
      </w:pPr>
      <w:r w:rsidRPr="002E7B55">
        <w:rPr>
          <w:lang w:val="en-NZ"/>
        </w:rPr>
        <w:t>“Working with the [local community] on the COVID-19 Vaccination roll</w:t>
      </w:r>
      <w:r w:rsidR="004C37DC" w:rsidRPr="002E7B55">
        <w:rPr>
          <w:lang w:val="en-NZ"/>
        </w:rPr>
        <w:t>-</w:t>
      </w:r>
      <w:r w:rsidRPr="002E7B55">
        <w:rPr>
          <w:lang w:val="en-NZ"/>
        </w:rPr>
        <w:t>out has worked well. We have worked collaboratively to book people in for vaccinations and developed a Community Awareness Raising plan and Communications Strategy.” (Provider)</w:t>
      </w:r>
    </w:p>
    <w:p w14:paraId="7043D165" w14:textId="2EB8D2EF" w:rsidR="00472E6D" w:rsidRPr="002E7B55" w:rsidRDefault="00472E6D" w:rsidP="00625710">
      <w:pPr>
        <w:rPr>
          <w:rFonts w:eastAsiaTheme="majorEastAsia"/>
        </w:rPr>
      </w:pPr>
      <w:r w:rsidRPr="002E7B55">
        <w:br w:type="page"/>
      </w:r>
    </w:p>
    <w:p w14:paraId="5919B68E" w14:textId="383FB615" w:rsidR="008754EA" w:rsidRPr="002E7B55" w:rsidRDefault="70D53BCA" w:rsidP="008754EA">
      <w:pPr>
        <w:pStyle w:val="Heading1"/>
      </w:pPr>
      <w:bookmarkStart w:id="25" w:name="_Toc96341669"/>
      <w:r w:rsidRPr="002E7B55">
        <w:lastRenderedPageBreak/>
        <w:t>3 The role of commissioning in the pursuit of equity</w:t>
      </w:r>
      <w:bookmarkEnd w:id="25"/>
    </w:p>
    <w:p w14:paraId="02E9D810" w14:textId="4C259E21" w:rsidR="0029236D" w:rsidRPr="002E7B55" w:rsidRDefault="0029236D" w:rsidP="006B4FF8">
      <w:r w:rsidRPr="002E7B55">
        <w:t xml:space="preserve">This section </w:t>
      </w:r>
      <w:r w:rsidR="00901127" w:rsidRPr="002E7B55">
        <w:t xml:space="preserve">discusses the </w:t>
      </w:r>
      <w:r w:rsidR="004C37DC" w:rsidRPr="002E7B55">
        <w:t xml:space="preserve">Ministry’s </w:t>
      </w:r>
      <w:r w:rsidR="00901127" w:rsidRPr="002E7B55">
        <w:t>design and commissioning responsibilities</w:t>
      </w:r>
      <w:r w:rsidR="00EC1527" w:rsidRPr="002E7B55">
        <w:t>. Here we describe</w:t>
      </w:r>
      <w:r w:rsidR="00901127" w:rsidRPr="002E7B55">
        <w:t xml:space="preserve"> four principles of better commissioning </w:t>
      </w:r>
      <w:r w:rsidR="003B5A74" w:rsidRPr="002E7B55">
        <w:t>to frame the analysis</w:t>
      </w:r>
      <w:r w:rsidR="00B254F0" w:rsidRPr="002E7B55">
        <w:t xml:space="preserve"> of</w:t>
      </w:r>
      <w:r w:rsidR="003B5A74" w:rsidRPr="002E7B55">
        <w:t xml:space="preserve"> </w:t>
      </w:r>
      <w:r w:rsidR="00901127" w:rsidRPr="002E7B55">
        <w:t>MIMVP</w:t>
      </w:r>
      <w:r w:rsidR="003B5A74" w:rsidRPr="002E7B55">
        <w:t xml:space="preserve"> design and results</w:t>
      </w:r>
      <w:r w:rsidR="00901127" w:rsidRPr="002E7B55">
        <w:t>. This section then proposes a</w:t>
      </w:r>
      <w:r w:rsidR="003B5A74" w:rsidRPr="002E7B55">
        <w:t xml:space="preserve">n adaptation </w:t>
      </w:r>
      <w:r w:rsidR="00901127" w:rsidRPr="002E7B55">
        <w:t>of these principles</w:t>
      </w:r>
      <w:r w:rsidR="003B5A74" w:rsidRPr="002E7B55">
        <w:t>, to align with the key emergent themes and findings of the MIMVP</w:t>
      </w:r>
      <w:r w:rsidR="004C37DC" w:rsidRPr="002E7B55">
        <w:t xml:space="preserve"> evaluation</w:t>
      </w:r>
      <w:r w:rsidR="003B5A74" w:rsidRPr="002E7B55">
        <w:t xml:space="preserve">. </w:t>
      </w:r>
    </w:p>
    <w:p w14:paraId="446AC967" w14:textId="303C7A26" w:rsidR="0029236D" w:rsidRPr="002E7B55" w:rsidRDefault="0029236D" w:rsidP="0029236D">
      <w:pPr>
        <w:pStyle w:val="Heading2"/>
      </w:pPr>
      <w:r w:rsidRPr="002E7B55">
        <w:t>Principles of better commissioning</w:t>
      </w:r>
    </w:p>
    <w:p w14:paraId="13A89F4B" w14:textId="06AAD272" w:rsidR="006B4FF8" w:rsidRPr="002E7B55" w:rsidRDefault="006B4FF8" w:rsidP="006B4FF8">
      <w:r w:rsidRPr="002E7B55">
        <w:t>Under Te Tiriti o Waitangi, the Ministry</w:t>
      </w:r>
      <w:r w:rsidR="00F92463" w:rsidRPr="002E7B55">
        <w:t xml:space="preserve"> </w:t>
      </w:r>
      <w:r w:rsidR="00F92463" w:rsidRPr="002E7B55">
        <w:rPr>
          <w:rFonts w:ascii="Courier New" w:hAnsi="Courier New" w:cs="Courier New"/>
        </w:rPr>
        <w:t>–</w:t>
      </w:r>
      <w:r w:rsidR="00F92463" w:rsidRPr="002E7B55">
        <w:t xml:space="preserve"> </w:t>
      </w:r>
      <w:r w:rsidRPr="002E7B55">
        <w:t>as the kaitiaki of the health and disability system</w:t>
      </w:r>
      <w:r w:rsidR="00F92463" w:rsidRPr="002E7B55">
        <w:t xml:space="preserve"> </w:t>
      </w:r>
      <w:r w:rsidR="00F92463" w:rsidRPr="002E7B55">
        <w:rPr>
          <w:rFonts w:ascii="Courier New" w:hAnsi="Courier New" w:cs="Courier New"/>
        </w:rPr>
        <w:t>–</w:t>
      </w:r>
      <w:r w:rsidRPr="002E7B55">
        <w:t xml:space="preserve"> </w:t>
      </w:r>
      <w:r w:rsidR="00F92463" w:rsidRPr="002E7B55">
        <w:t>is</w:t>
      </w:r>
      <w:r w:rsidRPr="002E7B55">
        <w:t xml:space="preserve"> responsib</w:t>
      </w:r>
      <w:r w:rsidR="00F92463" w:rsidRPr="002E7B55">
        <w:t>le for</w:t>
      </w:r>
      <w:r w:rsidRPr="002E7B55">
        <w:t xml:space="preserve"> enabl</w:t>
      </w:r>
      <w:r w:rsidR="00F92463" w:rsidRPr="002E7B55">
        <w:t>ing</w:t>
      </w:r>
      <w:r w:rsidRPr="002E7B55">
        <w:t xml:space="preserve"> Māori to exercise authority over their health and wellbeing</w:t>
      </w:r>
      <w:r w:rsidR="00EC1527" w:rsidRPr="002E7B55">
        <w:t>. The Ministry also has to achieve equitable health outcomes for Māori in ways that allow Māori to live, thrive and flourish as Māor</w:t>
      </w:r>
      <w:r w:rsidR="00F87E23" w:rsidRPr="002E7B55">
        <w:t>i</w:t>
      </w:r>
      <w:r w:rsidR="00EC1527" w:rsidRPr="002E7B55" w:rsidDel="00EC1527">
        <w:t xml:space="preserve"> </w:t>
      </w:r>
      <w:sdt>
        <w:sdtPr>
          <w:id w:val="-1997342164"/>
          <w:citation/>
        </w:sdtPr>
        <w:sdtEndPr/>
        <w:sdtContent>
          <w:r w:rsidR="00A4708C" w:rsidRPr="002E7B55">
            <w:fldChar w:fldCharType="begin"/>
          </w:r>
          <w:r w:rsidR="00A4708C" w:rsidRPr="002E7B55">
            <w:instrText xml:space="preserve"> CITATION Min20 \l 1153 </w:instrText>
          </w:r>
          <w:r w:rsidR="00A4708C" w:rsidRPr="002E7B55">
            <w:fldChar w:fldCharType="separate"/>
          </w:r>
          <w:r w:rsidR="00025361" w:rsidRPr="002E7B55">
            <w:t>(1)</w:t>
          </w:r>
          <w:r w:rsidR="00A4708C" w:rsidRPr="002E7B55">
            <w:fldChar w:fldCharType="end"/>
          </w:r>
        </w:sdtContent>
      </w:sdt>
      <w:r w:rsidR="00431517" w:rsidRPr="002E7B55">
        <w:t>.</w:t>
      </w:r>
      <w:r w:rsidRPr="002E7B55">
        <w:t xml:space="preserve"> </w:t>
      </w:r>
    </w:p>
    <w:p w14:paraId="7F247CD5" w14:textId="12A0F3D0" w:rsidR="001C0B89" w:rsidRPr="002E7B55" w:rsidRDefault="0027052E" w:rsidP="006B4FF8">
      <w:pPr>
        <w:rPr>
          <w:rFonts w:ascii="Arial Nova Light" w:hAnsi="Arial Nova Light"/>
          <w:szCs w:val="20"/>
        </w:rPr>
      </w:pPr>
      <w:r w:rsidRPr="002E7B55">
        <w:rPr>
          <w:rFonts w:ascii="Arial Nova Light" w:hAnsi="Arial Nova Light"/>
          <w:szCs w:val="20"/>
        </w:rPr>
        <w:t xml:space="preserve">MIMVP has demonstrated, as MIVP </w:t>
      </w:r>
      <w:r w:rsidR="00F92463" w:rsidRPr="002E7B55">
        <w:rPr>
          <w:rFonts w:ascii="Arial Nova Light" w:hAnsi="Arial Nova Light"/>
          <w:szCs w:val="20"/>
        </w:rPr>
        <w:t xml:space="preserve">did </w:t>
      </w:r>
      <w:r w:rsidRPr="002E7B55">
        <w:rPr>
          <w:rFonts w:ascii="Arial Nova Light" w:hAnsi="Arial Nova Light"/>
          <w:szCs w:val="20"/>
        </w:rPr>
        <w:t xml:space="preserve">in 2020, the benefits for Māori of targeted programmes and funding that enable providers </w:t>
      </w:r>
      <w:r w:rsidR="00F87E23" w:rsidRPr="002E7B55">
        <w:rPr>
          <w:rFonts w:ascii="Arial Nova Light" w:hAnsi="Arial Nova Light"/>
          <w:szCs w:val="20"/>
        </w:rPr>
        <w:t xml:space="preserve">to </w:t>
      </w:r>
      <w:r w:rsidRPr="002E7B55">
        <w:rPr>
          <w:rFonts w:ascii="Arial Nova Light" w:hAnsi="Arial Nova Light"/>
          <w:szCs w:val="20"/>
        </w:rPr>
        <w:t xml:space="preserve">deliver services in ways that work better for Māori. </w:t>
      </w:r>
      <w:r w:rsidR="0002714F" w:rsidRPr="002E7B55">
        <w:rPr>
          <w:rFonts w:ascii="Arial Nova Light" w:hAnsi="Arial Nova Light"/>
          <w:szCs w:val="20"/>
        </w:rPr>
        <w:t>However, t</w:t>
      </w:r>
      <w:r w:rsidRPr="002E7B55">
        <w:rPr>
          <w:rFonts w:ascii="Arial Nova Light" w:hAnsi="Arial Nova Light"/>
          <w:szCs w:val="20"/>
        </w:rPr>
        <w:t xml:space="preserve">here remains a gap between the intentions of MIMVP and the anticipated outcomes. </w:t>
      </w:r>
    </w:p>
    <w:p w14:paraId="3E076553" w14:textId="5FD0F76A" w:rsidR="0027052E" w:rsidRPr="002E7B55" w:rsidRDefault="00B33ADC" w:rsidP="006B4FF8">
      <w:pPr>
        <w:rPr>
          <w:rFonts w:ascii="Arial Nova Light" w:hAnsi="Arial Nova Light"/>
          <w:szCs w:val="20"/>
        </w:rPr>
      </w:pPr>
      <w:r w:rsidRPr="002E7B55">
        <w:rPr>
          <w:rFonts w:ascii="Arial Nova Light" w:hAnsi="Arial Nova Light"/>
          <w:szCs w:val="20"/>
        </w:rPr>
        <w:t xml:space="preserve">The evaluators note multiple factors that may have contributed to this gap, many </w:t>
      </w:r>
      <w:r w:rsidR="00F87E23" w:rsidRPr="002E7B55">
        <w:rPr>
          <w:rFonts w:ascii="Arial Nova Light" w:hAnsi="Arial Nova Light"/>
          <w:szCs w:val="20"/>
        </w:rPr>
        <w:t>outside the Ministry's control and influence</w:t>
      </w:r>
      <w:r w:rsidRPr="002E7B55">
        <w:rPr>
          <w:rFonts w:ascii="Arial Nova Light" w:hAnsi="Arial Nova Light"/>
          <w:szCs w:val="20"/>
        </w:rPr>
        <w:t xml:space="preserve"> and outside the scope of MIMVP evaluation. An important factor </w:t>
      </w:r>
      <w:r w:rsidR="00F87E23" w:rsidRPr="002E7B55">
        <w:rPr>
          <w:rFonts w:ascii="Arial Nova Light" w:hAnsi="Arial Nova Light"/>
          <w:szCs w:val="20"/>
        </w:rPr>
        <w:t>within the Ministry’s control is the design and commissioning of MIMVP and how the Ministry commissions programmes to enable or hinder equitable outcomes</w:t>
      </w:r>
      <w:r w:rsidRPr="002E7B55">
        <w:rPr>
          <w:rFonts w:ascii="Arial Nova Light" w:hAnsi="Arial Nova Light"/>
          <w:szCs w:val="20"/>
        </w:rPr>
        <w:t xml:space="preserve">. </w:t>
      </w:r>
    </w:p>
    <w:p w14:paraId="1BDA12DA" w14:textId="5692EDD5" w:rsidR="007F43A5" w:rsidRPr="002E7B55" w:rsidRDefault="00703DA3" w:rsidP="006B4FF8">
      <w:r w:rsidRPr="002E7B55">
        <w:t>R</w:t>
      </w:r>
      <w:r w:rsidR="006B4FF8" w:rsidRPr="002E7B55">
        <w:t xml:space="preserve">esearch by </w:t>
      </w:r>
      <w:proofErr w:type="spellStart"/>
      <w:r w:rsidR="006B4FF8" w:rsidRPr="002E7B55">
        <w:t>Riboldi</w:t>
      </w:r>
      <w:proofErr w:type="spellEnd"/>
      <w:r w:rsidR="006B4FF8" w:rsidRPr="002E7B55">
        <w:t xml:space="preserve"> et al, 2021</w:t>
      </w:r>
      <w:sdt>
        <w:sdtPr>
          <w:id w:val="-1057699887"/>
          <w:citation/>
        </w:sdtPr>
        <w:sdtEndPr/>
        <w:sdtContent>
          <w:r w:rsidR="00A4708C" w:rsidRPr="002E7B55">
            <w:fldChar w:fldCharType="begin"/>
          </w:r>
          <w:r w:rsidR="00A4708C" w:rsidRPr="002E7B55">
            <w:instrText xml:space="preserve"> CITATION Rib21 \l 1153 </w:instrText>
          </w:r>
          <w:r w:rsidR="00A4708C" w:rsidRPr="002E7B55">
            <w:fldChar w:fldCharType="separate"/>
          </w:r>
          <w:r w:rsidR="00025361" w:rsidRPr="002E7B55">
            <w:t xml:space="preserve"> (2)</w:t>
          </w:r>
          <w:r w:rsidR="00A4708C" w:rsidRPr="002E7B55">
            <w:fldChar w:fldCharType="end"/>
          </w:r>
        </w:sdtContent>
      </w:sdt>
      <w:r w:rsidR="006B4FF8" w:rsidRPr="002E7B55">
        <w:t xml:space="preserve"> identified a gap between commissioning and implementation and outlines four principles for better commissioning</w:t>
      </w:r>
      <w:r w:rsidR="00B33ADC" w:rsidRPr="002E7B55">
        <w:t xml:space="preserve"> in the public sector</w:t>
      </w:r>
      <w:r w:rsidR="00366BAB" w:rsidRPr="002E7B55">
        <w:t>:</w:t>
      </w:r>
    </w:p>
    <w:p w14:paraId="1C8E9290" w14:textId="4F3E5858" w:rsidR="006B4FF8" w:rsidRPr="002E7B55" w:rsidRDefault="006B4FF8" w:rsidP="00B33ADC">
      <w:pPr>
        <w:ind w:left="720"/>
      </w:pPr>
      <w:r w:rsidRPr="002E7B55">
        <w:rPr>
          <w:b/>
          <w:bCs/>
        </w:rPr>
        <w:t>Principle 1: Put relationships first</w:t>
      </w:r>
      <w:r w:rsidRPr="002E7B55">
        <w:t xml:space="preserve"> –</w:t>
      </w:r>
      <w:r w:rsidR="001C0B89" w:rsidRPr="002E7B55">
        <w:t xml:space="preserve"> is </w:t>
      </w:r>
      <w:r w:rsidRPr="002E7B55">
        <w:t>fundamental to successful commissioning (irrespective of funding and timing constraints)</w:t>
      </w:r>
      <w:r w:rsidR="001C0B89" w:rsidRPr="002E7B55">
        <w:t>, building trust and social capital</w:t>
      </w:r>
      <w:r w:rsidRPr="002E7B55">
        <w:t>.</w:t>
      </w:r>
    </w:p>
    <w:p w14:paraId="427D3F89" w14:textId="2B282134" w:rsidR="006B4FF8" w:rsidRPr="002E7B55" w:rsidRDefault="006B4FF8" w:rsidP="00B33ADC">
      <w:pPr>
        <w:ind w:left="720"/>
      </w:pPr>
      <w:r w:rsidRPr="002E7B55">
        <w:rPr>
          <w:b/>
          <w:bCs/>
        </w:rPr>
        <w:t>Principle 2: Let communities lead</w:t>
      </w:r>
      <w:r w:rsidRPr="002E7B55">
        <w:t xml:space="preserve"> –</w:t>
      </w:r>
      <w:r w:rsidR="001C0B89" w:rsidRPr="002E7B55">
        <w:t xml:space="preserve"> </w:t>
      </w:r>
      <w:r w:rsidRPr="002E7B55">
        <w:t>engaging community members</w:t>
      </w:r>
      <w:r w:rsidR="001C0B89" w:rsidRPr="002E7B55">
        <w:t xml:space="preserve"> </w:t>
      </w:r>
      <w:r w:rsidRPr="002E7B55">
        <w:t>in commissioning practice and developing local solutions anchored in community needs and aspiration</w:t>
      </w:r>
      <w:r w:rsidR="001C0B89" w:rsidRPr="002E7B55">
        <w:t xml:space="preserve">. </w:t>
      </w:r>
    </w:p>
    <w:p w14:paraId="478DA927" w14:textId="785F0D71" w:rsidR="006B4FF8" w:rsidRPr="002E7B55" w:rsidRDefault="006B4FF8" w:rsidP="00B33ADC">
      <w:pPr>
        <w:ind w:left="720"/>
      </w:pPr>
      <w:r w:rsidRPr="002E7B55">
        <w:rPr>
          <w:b/>
          <w:bCs/>
        </w:rPr>
        <w:t>Principle 3: Embed learning</w:t>
      </w:r>
      <w:r w:rsidRPr="002E7B55">
        <w:t xml:space="preserve"> –</w:t>
      </w:r>
      <w:r w:rsidR="001C0B89" w:rsidRPr="002E7B55">
        <w:t xml:space="preserve"> within a flexible environment of continual learning aligned with context-specific and localised solutions.</w:t>
      </w:r>
    </w:p>
    <w:p w14:paraId="50AB7196" w14:textId="3BBAAC46" w:rsidR="006B4FF8" w:rsidRPr="002E7B55" w:rsidRDefault="006B4FF8" w:rsidP="00B33ADC">
      <w:pPr>
        <w:ind w:left="720"/>
      </w:pPr>
      <w:r w:rsidRPr="002E7B55">
        <w:rPr>
          <w:b/>
          <w:bCs/>
        </w:rPr>
        <w:t>Principle 4: Invest in people</w:t>
      </w:r>
      <w:r w:rsidRPr="002E7B55">
        <w:t xml:space="preserve"> –</w:t>
      </w:r>
      <w:r w:rsidR="001C0B89" w:rsidRPr="002E7B55">
        <w:t xml:space="preserve"> </w:t>
      </w:r>
      <w:r w:rsidR="00F87E23" w:rsidRPr="002E7B55">
        <w:t>fund</w:t>
      </w:r>
      <w:r w:rsidR="001C0B89" w:rsidRPr="002E7B55">
        <w:t>ing</w:t>
      </w:r>
      <w:r w:rsidRPr="002E7B55">
        <w:t xml:space="preserve"> strategic and collaborative activities and align</w:t>
      </w:r>
      <w:r w:rsidR="001C0B89" w:rsidRPr="002E7B55">
        <w:t>ing with</w:t>
      </w:r>
      <w:r w:rsidRPr="002E7B55">
        <w:t xml:space="preserve"> community-orientated</w:t>
      </w:r>
      <w:r w:rsidR="001C0B89" w:rsidRPr="002E7B55">
        <w:t xml:space="preserve">, </w:t>
      </w:r>
      <w:r w:rsidRPr="002E7B55">
        <w:t>network-led approaches</w:t>
      </w:r>
      <w:r w:rsidR="001C0B89" w:rsidRPr="002E7B55">
        <w:t>,</w:t>
      </w:r>
      <w:r w:rsidRPr="002E7B55">
        <w:t xml:space="preserve"> and strengths-based approaches to service delivery.</w:t>
      </w:r>
    </w:p>
    <w:p w14:paraId="22C06772" w14:textId="16C02A19" w:rsidR="00D00A0B" w:rsidRPr="002E7B55" w:rsidRDefault="00D00A0B" w:rsidP="00D00A0B">
      <w:r w:rsidRPr="002E7B55">
        <w:t>Similarly, Oakden et al</w:t>
      </w:r>
      <w:sdt>
        <w:sdtPr>
          <w:id w:val="2110083435"/>
          <w:citation/>
        </w:sdtPr>
        <w:sdtEndPr/>
        <w:sdtContent>
          <w:r w:rsidR="00002643" w:rsidRPr="002E7B55">
            <w:fldChar w:fldCharType="begin"/>
          </w:r>
          <w:r w:rsidR="00002643" w:rsidRPr="002E7B55">
            <w:instrText xml:space="preserve"> CITATION Oak211 \l 1153 </w:instrText>
          </w:r>
          <w:r w:rsidR="00002643" w:rsidRPr="002E7B55">
            <w:fldChar w:fldCharType="separate"/>
          </w:r>
          <w:r w:rsidR="00025361" w:rsidRPr="002E7B55">
            <w:t xml:space="preserve"> (3)</w:t>
          </w:r>
          <w:r w:rsidR="00002643" w:rsidRPr="002E7B55">
            <w:fldChar w:fldCharType="end"/>
          </w:r>
        </w:sdtContent>
      </w:sdt>
      <w:r w:rsidRPr="002E7B55">
        <w:t xml:space="preserve"> found </w:t>
      </w:r>
      <w:r w:rsidR="00F87E23" w:rsidRPr="002E7B55">
        <w:t>a need for effective contracting of public health services</w:t>
      </w:r>
      <w:r w:rsidR="001C0B89" w:rsidRPr="002E7B55">
        <w:t xml:space="preserve"> that</w:t>
      </w:r>
      <w:r w:rsidR="00F92463" w:rsidRPr="002E7B55">
        <w:t>:</w:t>
      </w:r>
      <w:r w:rsidR="00F87E23" w:rsidRPr="002E7B55">
        <w:t xml:space="preserve"> </w:t>
      </w:r>
      <w:r w:rsidRPr="002E7B55">
        <w:t>buil</w:t>
      </w:r>
      <w:r w:rsidR="001C0B89" w:rsidRPr="002E7B55">
        <w:t>ds</w:t>
      </w:r>
      <w:r w:rsidRPr="002E7B55">
        <w:t xml:space="preserve"> trusted relationships</w:t>
      </w:r>
      <w:r w:rsidR="001C0B89" w:rsidRPr="002E7B55">
        <w:t xml:space="preserve">, </w:t>
      </w:r>
      <w:r w:rsidRPr="002E7B55">
        <w:t>encourage</w:t>
      </w:r>
      <w:r w:rsidR="001C0B89" w:rsidRPr="002E7B55">
        <w:t>s</w:t>
      </w:r>
      <w:r w:rsidRPr="002E7B55">
        <w:t xml:space="preserve"> funders and providers to learn </w:t>
      </w:r>
      <w:r w:rsidR="00A62F6C" w:rsidRPr="002E7B55">
        <w:t>together</w:t>
      </w:r>
      <w:r w:rsidR="00F92463" w:rsidRPr="002E7B55">
        <w:t>,</w:t>
      </w:r>
      <w:r w:rsidR="00A62F6C" w:rsidRPr="002E7B55">
        <w:t xml:space="preserve"> </w:t>
      </w:r>
      <w:r w:rsidR="001C0B89" w:rsidRPr="002E7B55">
        <w:t xml:space="preserve">and </w:t>
      </w:r>
      <w:r w:rsidRPr="002E7B55">
        <w:t>focus</w:t>
      </w:r>
      <w:r w:rsidR="00A62F6C" w:rsidRPr="002E7B55">
        <w:t>es</w:t>
      </w:r>
      <w:r w:rsidRPr="002E7B55">
        <w:t xml:space="preserve"> on the needs of the community. </w:t>
      </w:r>
    </w:p>
    <w:p w14:paraId="55948381" w14:textId="6C369668" w:rsidR="006B4FF8" w:rsidRPr="002E7B55" w:rsidRDefault="00D00A0B" w:rsidP="00D00A0B">
      <w:pPr>
        <w:pStyle w:val="Heading2"/>
      </w:pPr>
      <w:r w:rsidRPr="002E7B55">
        <w:t xml:space="preserve">Adapting </w:t>
      </w:r>
      <w:proofErr w:type="spellStart"/>
      <w:r w:rsidRPr="002E7B55">
        <w:t>Riboldi's</w:t>
      </w:r>
      <w:proofErr w:type="spellEnd"/>
      <w:r w:rsidRPr="002E7B55">
        <w:t xml:space="preserve"> principles as a framing for analysing MIMVP</w:t>
      </w:r>
    </w:p>
    <w:p w14:paraId="4A0A28DE" w14:textId="7621F654" w:rsidR="0029236D" w:rsidRPr="002E7B55" w:rsidRDefault="0029236D" w:rsidP="0029236D">
      <w:r w:rsidRPr="002E7B55">
        <w:t xml:space="preserve">Overall, the </w:t>
      </w:r>
      <w:r w:rsidR="00F87E23" w:rsidRPr="002E7B55">
        <w:t>main</w:t>
      </w:r>
      <w:r w:rsidRPr="002E7B55">
        <w:t xml:space="preserve"> difference the Ministry can take to </w:t>
      </w:r>
      <w:r w:rsidR="00F87E23" w:rsidRPr="002E7B55">
        <w:t>influence Māori health equity positivel</w:t>
      </w:r>
      <w:r w:rsidRPr="002E7B55">
        <w:t xml:space="preserve">y is to improve commissioning. </w:t>
      </w:r>
    </w:p>
    <w:p w14:paraId="4C15F558" w14:textId="77777777" w:rsidR="00D00A0B" w:rsidRPr="002E7B55" w:rsidRDefault="00D00A0B" w:rsidP="00D00A0B">
      <w:r w:rsidRPr="002E7B55">
        <w:t xml:space="preserve">Māori providers know what works in their community, and they want to be trusted to do the mahi. Māori providers put relationships with whānau first. They listen to their communities and want to respond to their needs. They want to invest in staff and resources sufficiently to respond to their community. Māori providers also have a culture of continuous learning because they are intrinsically motivated, with a deep passion for helping their community. They would value the opportunity to share their knowledge and learn from others within the broader health system to improve immunisation and more general health outcomes for Māori. </w:t>
      </w:r>
    </w:p>
    <w:p w14:paraId="757C6BBB" w14:textId="256D2923" w:rsidR="00D00A0B" w:rsidRPr="002E7B55" w:rsidRDefault="00D00A0B" w:rsidP="00D00A0B">
      <w:r w:rsidRPr="002E7B55">
        <w:lastRenderedPageBreak/>
        <w:t>Recent research in Aotearoa New Zealand on strengthening public health contracting also confirms these findings. Came et al</w:t>
      </w:r>
      <w:sdt>
        <w:sdtPr>
          <w:id w:val="307830554"/>
          <w:citation/>
        </w:sdtPr>
        <w:sdtEndPr/>
        <w:sdtContent>
          <w:r w:rsidR="00002643" w:rsidRPr="002E7B55">
            <w:fldChar w:fldCharType="begin"/>
          </w:r>
          <w:r w:rsidR="00002643" w:rsidRPr="002E7B55">
            <w:instrText xml:space="preserve"> CITATION Cam22 \l 1153 </w:instrText>
          </w:r>
          <w:r w:rsidR="00002643" w:rsidRPr="002E7B55">
            <w:fldChar w:fldCharType="separate"/>
          </w:r>
          <w:r w:rsidR="00025361" w:rsidRPr="002E7B55">
            <w:t xml:space="preserve"> (10)</w:t>
          </w:r>
          <w:r w:rsidR="00002643" w:rsidRPr="002E7B55">
            <w:fldChar w:fldCharType="end"/>
          </w:r>
        </w:sdtContent>
      </w:sdt>
      <w:r w:rsidRPr="002E7B55">
        <w:t xml:space="preserve"> observe</w:t>
      </w:r>
      <w:r w:rsidR="00703DA3" w:rsidRPr="002E7B55">
        <w:t>:</w:t>
      </w:r>
      <w:r w:rsidRPr="002E7B55">
        <w:t xml:space="preserve"> </w:t>
      </w:r>
    </w:p>
    <w:p w14:paraId="413DD34E" w14:textId="3A35499E" w:rsidR="00D00A0B" w:rsidRPr="002E7B55" w:rsidRDefault="00D00A0B" w:rsidP="00D00A0B">
      <w:pPr>
        <w:pStyle w:val="Quote"/>
        <w:rPr>
          <w:lang w:val="en-NZ"/>
        </w:rPr>
      </w:pPr>
      <w:r w:rsidRPr="002E7B55">
        <w:rPr>
          <w:lang w:val="en-NZ"/>
        </w:rPr>
        <w:t>“Māori providers were frustrated by contracting environments. They wanted to be recognised as Te Tiriti o Waitangi partners, with flexibility, certainty of investment (longer contracts)</w:t>
      </w:r>
      <w:r w:rsidR="00C3143D" w:rsidRPr="002E7B55">
        <w:rPr>
          <w:lang w:val="en-NZ"/>
        </w:rPr>
        <w:t xml:space="preserve"> and</w:t>
      </w:r>
      <w:r w:rsidRPr="002E7B55">
        <w:rPr>
          <w:lang w:val="en-NZ"/>
        </w:rPr>
        <w:t xml:space="preserve"> support (infrastructure investment) to be able to meet the high needs of their communities” (p1).</w:t>
      </w:r>
    </w:p>
    <w:p w14:paraId="2B252C27" w14:textId="475F986A" w:rsidR="0029236D" w:rsidRPr="002E7B55" w:rsidRDefault="007E5031" w:rsidP="0029236D">
      <w:pPr>
        <w:rPr>
          <w:rFonts w:ascii="Arial Nova Light" w:hAnsi="Arial Nova Light"/>
          <w:szCs w:val="20"/>
        </w:rPr>
      </w:pPr>
      <w:proofErr w:type="spellStart"/>
      <w:r w:rsidRPr="002E7B55">
        <w:t>Riboldi</w:t>
      </w:r>
      <w:proofErr w:type="spellEnd"/>
      <w:r w:rsidRPr="002E7B55">
        <w:t xml:space="preserve"> et </w:t>
      </w:r>
      <w:proofErr w:type="spellStart"/>
      <w:r w:rsidRPr="002E7B55">
        <w:t>al’s</w:t>
      </w:r>
      <w:proofErr w:type="spellEnd"/>
      <w:r w:rsidR="003E4042" w:rsidRPr="002E7B55">
        <w:t xml:space="preserve"> </w:t>
      </w:r>
      <w:r w:rsidRPr="002E7B55">
        <w:t xml:space="preserve">principles resonated with the emerging findings of MIMVP and the insights gathered from MIVP 2020. </w:t>
      </w:r>
      <w:r w:rsidR="00204DCD" w:rsidRPr="002E7B55">
        <w:t xml:space="preserve">The evaluators adapted </w:t>
      </w:r>
      <w:proofErr w:type="spellStart"/>
      <w:r w:rsidR="00204DCD" w:rsidRPr="002E7B55">
        <w:t>Riboldi</w:t>
      </w:r>
      <w:proofErr w:type="spellEnd"/>
      <w:r w:rsidR="00204DCD" w:rsidRPr="002E7B55">
        <w:t xml:space="preserve"> et </w:t>
      </w:r>
      <w:proofErr w:type="spellStart"/>
      <w:r w:rsidR="00204DCD" w:rsidRPr="002E7B55">
        <w:t>al’s</w:t>
      </w:r>
      <w:proofErr w:type="spellEnd"/>
      <w:r w:rsidR="00204DCD" w:rsidRPr="002E7B55">
        <w:t xml:space="preserve"> principles based on the links, patterns and associations observed in the data. The resulting framework provides a series of lenses to </w:t>
      </w:r>
      <w:r w:rsidR="00F87E23" w:rsidRPr="002E7B55">
        <w:t>analyse and interpret</w:t>
      </w:r>
      <w:r w:rsidR="00204DCD" w:rsidRPr="002E7B55">
        <w:t xml:space="preserve"> findings. </w:t>
      </w:r>
      <w:r w:rsidR="008B27AA" w:rsidRPr="002E7B55">
        <w:t>The framework</w:t>
      </w:r>
      <w:r w:rsidR="00204DCD" w:rsidRPr="002E7B55">
        <w:t xml:space="preserve"> also </w:t>
      </w:r>
      <w:r w:rsidR="008B27AA" w:rsidRPr="002E7B55">
        <w:t xml:space="preserve">offers </w:t>
      </w:r>
      <w:r w:rsidR="00204DCD" w:rsidRPr="002E7B55">
        <w:t xml:space="preserve">a way to explore </w:t>
      </w:r>
      <w:r w:rsidR="00F87E23" w:rsidRPr="002E7B55">
        <w:t>when</w:t>
      </w:r>
      <w:r w:rsidR="0029236D" w:rsidRPr="002E7B55">
        <w:rPr>
          <w:rFonts w:ascii="Arial Nova Light" w:hAnsi="Arial Nova Light"/>
          <w:szCs w:val="20"/>
        </w:rPr>
        <w:t xml:space="preserve"> MIMVP commissioning</w:t>
      </w:r>
      <w:r w:rsidR="008B27AA" w:rsidRPr="002E7B55">
        <w:rPr>
          <w:rFonts w:ascii="Arial Nova Light" w:hAnsi="Arial Nova Light"/>
          <w:szCs w:val="20"/>
        </w:rPr>
        <w:t xml:space="preserve"> design and implementation</w:t>
      </w:r>
      <w:r w:rsidR="0029236D" w:rsidRPr="002E7B55">
        <w:rPr>
          <w:rFonts w:ascii="Arial Nova Light" w:hAnsi="Arial Nova Light"/>
          <w:szCs w:val="20"/>
        </w:rPr>
        <w:t xml:space="preserve"> </w:t>
      </w:r>
      <w:r w:rsidR="00F87E23" w:rsidRPr="002E7B55">
        <w:rPr>
          <w:rFonts w:ascii="Arial Nova Light" w:hAnsi="Arial Nova Light"/>
          <w:szCs w:val="20"/>
        </w:rPr>
        <w:t xml:space="preserve">is </w:t>
      </w:r>
      <w:r w:rsidR="0029236D" w:rsidRPr="002E7B55">
        <w:rPr>
          <w:rFonts w:ascii="Arial Nova Light" w:hAnsi="Arial Nova Light"/>
          <w:szCs w:val="20"/>
        </w:rPr>
        <w:t>aligned with th</w:t>
      </w:r>
      <w:r w:rsidR="008B27AA" w:rsidRPr="002E7B55">
        <w:rPr>
          <w:rFonts w:ascii="Arial Nova Light" w:hAnsi="Arial Nova Light"/>
          <w:szCs w:val="20"/>
        </w:rPr>
        <w:t>e</w:t>
      </w:r>
      <w:r w:rsidR="0029236D" w:rsidRPr="002E7B55">
        <w:rPr>
          <w:rFonts w:ascii="Arial Nova Light" w:hAnsi="Arial Nova Light"/>
          <w:szCs w:val="20"/>
        </w:rPr>
        <w:t xml:space="preserve"> principles of better commissioning</w:t>
      </w:r>
      <w:r w:rsidR="00F87E23" w:rsidRPr="002E7B55">
        <w:rPr>
          <w:rFonts w:ascii="Arial Nova Light" w:hAnsi="Arial Nova Light"/>
          <w:szCs w:val="20"/>
        </w:rPr>
        <w:t xml:space="preserve"> </w:t>
      </w:r>
      <w:r w:rsidR="0029236D" w:rsidRPr="002E7B55">
        <w:rPr>
          <w:rFonts w:ascii="Arial Nova Light" w:hAnsi="Arial Nova Light"/>
          <w:szCs w:val="20"/>
        </w:rPr>
        <w:t xml:space="preserve">what </w:t>
      </w:r>
      <w:r w:rsidR="00204DCD" w:rsidRPr="002E7B55">
        <w:rPr>
          <w:rFonts w:ascii="Arial Nova Light" w:hAnsi="Arial Nova Light"/>
          <w:szCs w:val="20"/>
        </w:rPr>
        <w:t>the principles</w:t>
      </w:r>
      <w:r w:rsidR="0029236D" w:rsidRPr="002E7B55">
        <w:rPr>
          <w:rFonts w:ascii="Arial Nova Light" w:hAnsi="Arial Nova Light"/>
          <w:szCs w:val="20"/>
        </w:rPr>
        <w:t xml:space="preserve"> look like </w:t>
      </w:r>
      <w:r w:rsidR="008B27AA" w:rsidRPr="002E7B55">
        <w:rPr>
          <w:rFonts w:ascii="Arial Nova Light" w:hAnsi="Arial Nova Light"/>
          <w:szCs w:val="20"/>
        </w:rPr>
        <w:t>for</w:t>
      </w:r>
      <w:r w:rsidR="0029236D" w:rsidRPr="002E7B55">
        <w:rPr>
          <w:rFonts w:ascii="Arial Nova Light" w:hAnsi="Arial Nova Light"/>
          <w:szCs w:val="20"/>
        </w:rPr>
        <w:t xml:space="preserve"> MIMVP</w:t>
      </w:r>
      <w:r w:rsidR="00204DCD" w:rsidRPr="002E7B55">
        <w:rPr>
          <w:rFonts w:ascii="Arial Nova Light" w:hAnsi="Arial Nova Light"/>
          <w:szCs w:val="20"/>
        </w:rPr>
        <w:t xml:space="preserve">. </w:t>
      </w:r>
    </w:p>
    <w:p w14:paraId="761F2CDA" w14:textId="3A0A2B81" w:rsidR="006B4FF8" w:rsidRPr="002E7B55" w:rsidRDefault="00204DCD" w:rsidP="00204DCD">
      <w:pPr>
        <w:pStyle w:val="Heading2"/>
      </w:pPr>
      <w:r w:rsidRPr="002E7B55">
        <w:t xml:space="preserve">The </w:t>
      </w:r>
      <w:proofErr w:type="spellStart"/>
      <w:r w:rsidRPr="002E7B55">
        <w:t>pou</w:t>
      </w:r>
      <w:proofErr w:type="spellEnd"/>
      <w:r w:rsidRPr="002E7B55">
        <w:t xml:space="preserve"> of equitable commissioning</w:t>
      </w:r>
    </w:p>
    <w:p w14:paraId="3398C341" w14:textId="3732AEB0" w:rsidR="00204DCD" w:rsidRPr="002E7B55" w:rsidRDefault="00204DCD" w:rsidP="006B4FF8">
      <w:pPr>
        <w:rPr>
          <w:rFonts w:ascii="Arial Nova Light" w:hAnsi="Arial Nova Light"/>
          <w:szCs w:val="20"/>
        </w:rPr>
      </w:pPr>
      <w:r w:rsidRPr="002E7B55">
        <w:rPr>
          <w:rFonts w:ascii="Arial Nova Light" w:hAnsi="Arial Nova Light"/>
          <w:szCs w:val="20"/>
        </w:rPr>
        <w:t xml:space="preserve">Equitable commissioning </w:t>
      </w:r>
      <w:r w:rsidR="00C3143D" w:rsidRPr="002E7B55">
        <w:rPr>
          <w:rFonts w:ascii="Arial Nova Light" w:hAnsi="Arial Nova Light"/>
          <w:szCs w:val="20"/>
        </w:rPr>
        <w:t xml:space="preserve">results from </w:t>
      </w:r>
      <w:r w:rsidR="003D6128" w:rsidRPr="002E7B55">
        <w:rPr>
          <w:rFonts w:ascii="Arial Nova Light" w:hAnsi="Arial Nova Light"/>
          <w:szCs w:val="20"/>
        </w:rPr>
        <w:t xml:space="preserve">a focus on both the design of the programme itself – what it funds and how – and the broader context in which the programme </w:t>
      </w:r>
      <w:r w:rsidR="008B27AA" w:rsidRPr="002E7B55">
        <w:rPr>
          <w:rFonts w:ascii="Arial Nova Light" w:hAnsi="Arial Nova Light"/>
          <w:szCs w:val="20"/>
        </w:rPr>
        <w:t>runs</w:t>
      </w:r>
      <w:r w:rsidR="003D6128" w:rsidRPr="002E7B55">
        <w:rPr>
          <w:rFonts w:ascii="Arial Nova Light" w:hAnsi="Arial Nova Light"/>
          <w:szCs w:val="20"/>
        </w:rPr>
        <w:t xml:space="preserve">. </w:t>
      </w:r>
    </w:p>
    <w:p w14:paraId="11C47188" w14:textId="2126BF3C" w:rsidR="006B4FF8" w:rsidRPr="002E7B55" w:rsidRDefault="003D6128" w:rsidP="00EE253B">
      <w:r w:rsidRPr="002E7B55">
        <w:rPr>
          <w:rFonts w:ascii="Arial Nova Light" w:hAnsi="Arial Nova Light"/>
          <w:szCs w:val="20"/>
        </w:rPr>
        <w:t>In th</w:t>
      </w:r>
      <w:r w:rsidR="00681F8D" w:rsidRPr="002E7B55">
        <w:rPr>
          <w:rFonts w:ascii="Arial Nova Light" w:hAnsi="Arial Nova Light"/>
          <w:szCs w:val="20"/>
        </w:rPr>
        <w:t>is diagram</w:t>
      </w:r>
      <w:r w:rsidRPr="002E7B55">
        <w:rPr>
          <w:rFonts w:ascii="Arial Nova Light" w:hAnsi="Arial Nova Light"/>
          <w:szCs w:val="20"/>
        </w:rPr>
        <w:t xml:space="preserve">, </w:t>
      </w:r>
      <w:r w:rsidR="002C4486" w:rsidRPr="002E7B55">
        <w:rPr>
          <w:rFonts w:ascii="Arial Nova Light" w:hAnsi="Arial Nova Light"/>
          <w:szCs w:val="20"/>
        </w:rPr>
        <w:t>equity is the focus</w:t>
      </w:r>
      <w:r w:rsidR="00681F8D" w:rsidRPr="002E7B55">
        <w:rPr>
          <w:rFonts w:ascii="Arial Nova Light" w:hAnsi="Arial Nova Light"/>
          <w:szCs w:val="20"/>
        </w:rPr>
        <w:t xml:space="preserve"> and intentionally prioritised</w:t>
      </w:r>
      <w:r w:rsidR="002C4486" w:rsidRPr="002E7B55">
        <w:rPr>
          <w:rFonts w:ascii="Arial Nova Light" w:hAnsi="Arial Nova Light"/>
          <w:szCs w:val="20"/>
        </w:rPr>
        <w:t>. T</w:t>
      </w:r>
      <w:r w:rsidRPr="002E7B55">
        <w:rPr>
          <w:rFonts w:ascii="Arial Nova Light" w:hAnsi="Arial Nova Light"/>
          <w:szCs w:val="20"/>
        </w:rPr>
        <w:t xml:space="preserve">he </w:t>
      </w:r>
      <w:proofErr w:type="spellStart"/>
      <w:r w:rsidRPr="002E7B55">
        <w:rPr>
          <w:rFonts w:ascii="Arial Nova Light" w:hAnsi="Arial Nova Light"/>
          <w:szCs w:val="20"/>
        </w:rPr>
        <w:t>pou</w:t>
      </w:r>
      <w:proofErr w:type="spellEnd"/>
      <w:r w:rsidRPr="002E7B55">
        <w:rPr>
          <w:rFonts w:ascii="Arial Nova Light" w:hAnsi="Arial Nova Light"/>
          <w:szCs w:val="20"/>
        </w:rPr>
        <w:t xml:space="preserve"> are </w:t>
      </w:r>
      <w:r w:rsidR="002C4486" w:rsidRPr="002E7B55">
        <w:rPr>
          <w:rFonts w:ascii="Arial Nova Light" w:hAnsi="Arial Nova Light"/>
          <w:szCs w:val="20"/>
        </w:rPr>
        <w:t xml:space="preserve">represented by </w:t>
      </w:r>
      <w:r w:rsidRPr="002E7B55">
        <w:rPr>
          <w:rFonts w:ascii="Arial Nova Light" w:hAnsi="Arial Nova Light"/>
          <w:szCs w:val="20"/>
        </w:rPr>
        <w:t xml:space="preserve">the programme-specific elements and the broader context elements. </w:t>
      </w:r>
      <w:r w:rsidR="006B4FF8" w:rsidRPr="002E7B55">
        <w:rPr>
          <w:rFonts w:ascii="Arial Nova Light" w:hAnsi="Arial Nova Light"/>
          <w:szCs w:val="20"/>
        </w:rPr>
        <w:t>The programme</w:t>
      </w:r>
      <w:r w:rsidR="00C3143D" w:rsidRPr="002E7B55">
        <w:rPr>
          <w:rFonts w:ascii="Arial Nova Light" w:hAnsi="Arial Nova Light"/>
          <w:szCs w:val="20"/>
        </w:rPr>
        <w:t>-</w:t>
      </w:r>
      <w:r w:rsidR="006B4FF8" w:rsidRPr="002E7B55">
        <w:rPr>
          <w:rFonts w:ascii="Arial Nova Light" w:hAnsi="Arial Nova Light"/>
          <w:szCs w:val="20"/>
        </w:rPr>
        <w:t xml:space="preserve">specific elements </w:t>
      </w:r>
      <w:r w:rsidRPr="002E7B55">
        <w:rPr>
          <w:rFonts w:ascii="Arial Nova Light" w:hAnsi="Arial Nova Light"/>
          <w:szCs w:val="20"/>
        </w:rPr>
        <w:t xml:space="preserve">that enable </w:t>
      </w:r>
      <w:r w:rsidR="00A41790" w:rsidRPr="002E7B55">
        <w:rPr>
          <w:rFonts w:ascii="Arial Nova Light" w:hAnsi="Arial Nova Light"/>
          <w:szCs w:val="20"/>
        </w:rPr>
        <w:t xml:space="preserve">and support </w:t>
      </w:r>
      <w:r w:rsidRPr="002E7B55">
        <w:rPr>
          <w:rFonts w:ascii="Arial Nova Light" w:hAnsi="Arial Nova Light"/>
          <w:szCs w:val="20"/>
        </w:rPr>
        <w:t xml:space="preserve">equity </w:t>
      </w:r>
      <w:r w:rsidR="006B4FF8" w:rsidRPr="002E7B55">
        <w:rPr>
          <w:rFonts w:ascii="Arial Nova Light" w:hAnsi="Arial Nova Light"/>
          <w:szCs w:val="20"/>
        </w:rPr>
        <w:t>are:</w:t>
      </w:r>
      <w:r w:rsidR="00EE253B" w:rsidRPr="002E7B55">
        <w:rPr>
          <w:rFonts w:ascii="Arial Nova Light" w:hAnsi="Arial Nova Light"/>
          <w:szCs w:val="20"/>
        </w:rPr>
        <w:t xml:space="preserve"> </w:t>
      </w:r>
      <w:r w:rsidR="00B64DBF" w:rsidRPr="002E7B55">
        <w:t>w</w:t>
      </w:r>
      <w:r w:rsidRPr="002E7B55">
        <w:t>hānau-centred approach</w:t>
      </w:r>
      <w:r w:rsidR="00EE253B" w:rsidRPr="002E7B55">
        <w:t xml:space="preserve">; </w:t>
      </w:r>
      <w:r w:rsidR="00B64DBF" w:rsidRPr="002E7B55">
        <w:t>c</w:t>
      </w:r>
      <w:r w:rsidRPr="002E7B55">
        <w:t>ontracting and funding</w:t>
      </w:r>
      <w:r w:rsidR="00EE253B" w:rsidRPr="002E7B55">
        <w:t xml:space="preserve">; and </w:t>
      </w:r>
      <w:r w:rsidR="00B64DBF" w:rsidRPr="002E7B55">
        <w:t>c</w:t>
      </w:r>
      <w:r w:rsidRPr="002E7B55">
        <w:t xml:space="preserve">ommunications and learning </w:t>
      </w:r>
      <w:r w:rsidR="00B64DBF" w:rsidRPr="002E7B55">
        <w:t>r</w:t>
      </w:r>
      <w:r w:rsidRPr="002E7B55">
        <w:t>elationships and collaboration</w:t>
      </w:r>
      <w:r w:rsidR="00EE253B" w:rsidRPr="002E7B55">
        <w:t xml:space="preserve">. </w:t>
      </w:r>
      <w:r w:rsidR="00541D98" w:rsidRPr="002E7B55">
        <w:rPr>
          <w:rFonts w:ascii="Arial Nova Light" w:hAnsi="Arial Nova Light"/>
          <w:szCs w:val="20"/>
        </w:rPr>
        <w:t xml:space="preserve">The contextual elements that enable equity </w:t>
      </w:r>
      <w:r w:rsidR="00F12246" w:rsidRPr="002E7B55">
        <w:rPr>
          <w:rFonts w:ascii="Arial Nova Light" w:hAnsi="Arial Nova Light"/>
          <w:szCs w:val="20"/>
        </w:rPr>
        <w:t xml:space="preserve">and drive commissioning change </w:t>
      </w:r>
      <w:proofErr w:type="gramStart"/>
      <w:r w:rsidR="00541D98" w:rsidRPr="002E7B55">
        <w:rPr>
          <w:rFonts w:ascii="Arial Nova Light" w:hAnsi="Arial Nova Light"/>
          <w:szCs w:val="20"/>
        </w:rPr>
        <w:t>are:</w:t>
      </w:r>
      <w:proofErr w:type="gramEnd"/>
      <w:r w:rsidR="00EE253B" w:rsidRPr="002E7B55">
        <w:rPr>
          <w:rFonts w:ascii="Arial Nova Light" w:hAnsi="Arial Nova Light"/>
          <w:szCs w:val="20"/>
        </w:rPr>
        <w:t xml:space="preserve"> </w:t>
      </w:r>
      <w:r w:rsidR="00B64DBF" w:rsidRPr="002E7B55">
        <w:t>u</w:t>
      </w:r>
      <w:r w:rsidR="006B4FF8" w:rsidRPr="002E7B55">
        <w:t>rgency</w:t>
      </w:r>
      <w:r w:rsidR="00541D98" w:rsidRPr="002E7B55">
        <w:t xml:space="preserve"> –</w:t>
      </w:r>
      <w:r w:rsidR="00F12246" w:rsidRPr="002E7B55">
        <w:t xml:space="preserve"> working </w:t>
      </w:r>
      <w:r w:rsidR="00541D98" w:rsidRPr="002E7B55">
        <w:t>at pace to make a difference for equity</w:t>
      </w:r>
      <w:r w:rsidR="00EE253B" w:rsidRPr="002E7B55">
        <w:t xml:space="preserve">; </w:t>
      </w:r>
      <w:r w:rsidR="00B64DBF" w:rsidRPr="002E7B55">
        <w:t>s</w:t>
      </w:r>
      <w:r w:rsidR="006B4FF8" w:rsidRPr="002E7B55">
        <w:t>ustainability</w:t>
      </w:r>
      <w:r w:rsidR="00541D98" w:rsidRPr="002E7B55">
        <w:t xml:space="preserve"> –</w:t>
      </w:r>
      <w:r w:rsidR="00F12246" w:rsidRPr="002E7B55">
        <w:t xml:space="preserve"> </w:t>
      </w:r>
      <w:r w:rsidR="00541D98" w:rsidRPr="002E7B55">
        <w:t>implement</w:t>
      </w:r>
      <w:r w:rsidR="00F12246" w:rsidRPr="002E7B55">
        <w:t xml:space="preserve"> sustainable </w:t>
      </w:r>
      <w:r w:rsidR="00541D98" w:rsidRPr="002E7B55">
        <w:t>long-term</w:t>
      </w:r>
      <w:r w:rsidR="00F12246" w:rsidRPr="002E7B55">
        <w:t xml:space="preserve"> changes</w:t>
      </w:r>
      <w:r w:rsidR="00681F8D" w:rsidRPr="002E7B55">
        <w:t>.</w:t>
      </w:r>
    </w:p>
    <w:p w14:paraId="363923AF" w14:textId="77777777" w:rsidR="00EE253B" w:rsidRPr="002E7B55" w:rsidRDefault="00EE253B" w:rsidP="0025757E">
      <w:pPr>
        <w:pStyle w:val="Chart-full-width"/>
        <w:rPr>
          <w:noProof w:val="0"/>
        </w:rPr>
      </w:pPr>
      <w:r w:rsidRPr="002E7B55">
        <w:drawing>
          <wp:inline distT="0" distB="0" distL="0" distR="0" wp14:anchorId="207E5C97" wp14:editId="0B3A5FF7">
            <wp:extent cx="3671615" cy="3087155"/>
            <wp:effectExtent l="0" t="0" r="5080" b="0"/>
            <wp:docPr id="1" name="Picture 1" descr="Diagram of overall triangle shape. In the centre is Equity. Three triangles around it are Whānau-centred, Commissioning, and Communications and learning to form one larger triangle. Around all of these, one on each side, are: Collaboration, Relationships, and Urgency and Sustain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overall triangle shape. In the centre is Equity. Three triangles around it are Whānau-centred, Commissioning, and Communications and learning to form one larger triangle. Around all of these, one on each side, are: Collaboration, Relationships, and Urgency and Sustainability.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724" t="11611" r="17457" b="11231"/>
                    <a:stretch/>
                  </pic:blipFill>
                  <pic:spPr bwMode="auto">
                    <a:xfrm>
                      <a:off x="0" y="0"/>
                      <a:ext cx="3708734" cy="3118365"/>
                    </a:xfrm>
                    <a:prstGeom prst="rect">
                      <a:avLst/>
                    </a:prstGeom>
                    <a:noFill/>
                    <a:ln>
                      <a:noFill/>
                    </a:ln>
                    <a:extLst>
                      <a:ext uri="{53640926-AAD7-44D8-BBD7-CCE9431645EC}">
                        <a14:shadowObscured xmlns:a14="http://schemas.microsoft.com/office/drawing/2010/main"/>
                      </a:ext>
                    </a:extLst>
                  </pic:spPr>
                </pic:pic>
              </a:graphicData>
            </a:graphic>
          </wp:inline>
        </w:drawing>
      </w:r>
    </w:p>
    <w:p w14:paraId="491AB429" w14:textId="5BA79084" w:rsidR="00EE253B" w:rsidRPr="002E7B55" w:rsidRDefault="00EE253B" w:rsidP="00EE253B">
      <w:pPr>
        <w:pStyle w:val="Caption"/>
      </w:pPr>
      <w:bookmarkStart w:id="26" w:name="_Toc96341687"/>
      <w:r w:rsidRPr="002E7B55">
        <w:t xml:space="preserve">Figure </w:t>
      </w:r>
      <w:r w:rsidRPr="002E7B55">
        <w:fldChar w:fldCharType="begin"/>
      </w:r>
      <w:r w:rsidRPr="002E7B55">
        <w:instrText xml:space="preserve"> SEQ Figure \* ARABIC </w:instrText>
      </w:r>
      <w:r w:rsidRPr="002E7B55">
        <w:fldChar w:fldCharType="separate"/>
      </w:r>
      <w:r w:rsidR="00886DCA" w:rsidRPr="002E7B55">
        <w:t>8</w:t>
      </w:r>
      <w:r w:rsidRPr="002E7B55">
        <w:fldChar w:fldCharType="end"/>
      </w:r>
      <w:r w:rsidRPr="002E7B55">
        <w:t xml:space="preserve">: </w:t>
      </w:r>
      <w:proofErr w:type="spellStart"/>
      <w:r w:rsidRPr="002E7B55">
        <w:t>Pou</w:t>
      </w:r>
      <w:proofErr w:type="spellEnd"/>
      <w:r w:rsidRPr="002E7B55">
        <w:t xml:space="preserve"> of equitable commissioning diagram</w:t>
      </w:r>
      <w:bookmarkEnd w:id="26"/>
    </w:p>
    <w:p w14:paraId="799C6BA6" w14:textId="7CA66C0B" w:rsidR="00C50FE4" w:rsidRPr="002E7B55" w:rsidRDefault="00EE253B" w:rsidP="00625710">
      <w:pPr>
        <w:rPr>
          <w:rFonts w:eastAsiaTheme="majorEastAsia"/>
        </w:rPr>
      </w:pPr>
      <w:r w:rsidRPr="002E7B55">
        <w:t xml:space="preserve">The next three sections explore MIMVP outcomes and future opportunities through the programme-specific lenses: whānau-centred approach; contracting and funding – supports equity when contracts put empowering relationships first and invest in providers; and communications and learning – support equity when providers can take multiple approaches to reach and talk to </w:t>
      </w:r>
      <w:proofErr w:type="gramStart"/>
      <w:r w:rsidRPr="002E7B55">
        <w:t>whānau, and</w:t>
      </w:r>
      <w:proofErr w:type="gramEnd"/>
      <w:r w:rsidRPr="002E7B55">
        <w:t xml:space="preserve"> use contracts that support continuous learning.</w:t>
      </w:r>
      <w:r w:rsidR="00C50FE4" w:rsidRPr="002E7B55">
        <w:br w:type="page"/>
      </w:r>
    </w:p>
    <w:p w14:paraId="12649576" w14:textId="10E4162F" w:rsidR="002B4F56" w:rsidRPr="002E7B55" w:rsidRDefault="70D53BCA" w:rsidP="23D00F57">
      <w:pPr>
        <w:pStyle w:val="Heading1"/>
      </w:pPr>
      <w:bookmarkStart w:id="27" w:name="_Toc96341670"/>
      <w:r w:rsidRPr="002E7B55">
        <w:lastRenderedPageBreak/>
        <w:t>4 A whānau-centred approach is an essential equity strategy</w:t>
      </w:r>
      <w:bookmarkEnd w:id="27"/>
    </w:p>
    <w:p w14:paraId="39E6F52C" w14:textId="38BF1C66" w:rsidR="00B3052D" w:rsidRPr="002E7B55" w:rsidRDefault="6E687390" w:rsidP="00CD4B56">
      <w:r w:rsidRPr="002E7B55">
        <w:rPr>
          <w:rFonts w:eastAsia="Arial Nova Light"/>
        </w:rPr>
        <w:t xml:space="preserve">This section describes </w:t>
      </w:r>
      <w:r w:rsidR="008B27AA" w:rsidRPr="002E7B55">
        <w:rPr>
          <w:rFonts w:eastAsia="Arial Nova Light"/>
        </w:rPr>
        <w:t>a whānau-centred approach, its key elements,</w:t>
      </w:r>
      <w:r w:rsidRPr="002E7B55">
        <w:rPr>
          <w:rFonts w:eastAsia="Arial Nova Light"/>
        </w:rPr>
        <w:t xml:space="preserve"> and </w:t>
      </w:r>
      <w:r w:rsidR="008B27AA" w:rsidRPr="002E7B55">
        <w:rPr>
          <w:rFonts w:eastAsia="Arial Nova Light"/>
        </w:rPr>
        <w:t>application</w:t>
      </w:r>
      <w:r w:rsidRPr="002E7B55">
        <w:rPr>
          <w:rFonts w:eastAsia="Arial Nova Light"/>
        </w:rPr>
        <w:t xml:space="preserve"> in MIMVP 2021. It then reflects on the value and impact of whānau-centred approaches and suggests ways to better respond in the future. </w:t>
      </w:r>
      <w:r w:rsidRPr="002E7B55">
        <w:rPr>
          <w:rFonts w:eastAsia="Arial Nova Light" w:cs="Arial Nova Light"/>
          <w:szCs w:val="20"/>
        </w:rPr>
        <w:t>The</w:t>
      </w:r>
      <w:r w:rsidRPr="002E7B55">
        <w:rPr>
          <w:rFonts w:eastAsia="Arial Nova Light"/>
        </w:rPr>
        <w:t xml:space="preserve"> implications </w:t>
      </w:r>
      <w:r w:rsidRPr="002E7B55">
        <w:rPr>
          <w:rFonts w:eastAsia="Arial Nova Light" w:cs="Arial Nova Light"/>
          <w:szCs w:val="20"/>
        </w:rPr>
        <w:t>and actions for</w:t>
      </w:r>
      <w:r w:rsidRPr="002E7B55">
        <w:rPr>
          <w:rFonts w:eastAsia="Arial Nova Light"/>
        </w:rPr>
        <w:t xml:space="preserve"> a whānau-centred approach </w:t>
      </w:r>
      <w:r w:rsidRPr="002E7B55">
        <w:rPr>
          <w:rFonts w:eastAsia="Arial Nova Light" w:cs="Arial Nova Light"/>
          <w:szCs w:val="20"/>
        </w:rPr>
        <w:t>in MIMVP are then discussed.</w:t>
      </w:r>
    </w:p>
    <w:p w14:paraId="75B304C0" w14:textId="48A63648" w:rsidR="00B3052D" w:rsidRPr="002E7B55" w:rsidRDefault="6E687390" w:rsidP="00CD4B56">
      <w:pPr>
        <w:pStyle w:val="Accentheading2"/>
        <w:rPr>
          <w:lang w:val="en-NZ"/>
        </w:rPr>
      </w:pPr>
      <w:r w:rsidRPr="002E7B55">
        <w:rPr>
          <w:lang w:val="en-NZ"/>
        </w:rPr>
        <w:t>Key findings</w:t>
      </w:r>
    </w:p>
    <w:p w14:paraId="6B03C938" w14:textId="77777777" w:rsidR="00681F8D" w:rsidRPr="002E7B55" w:rsidRDefault="00681F8D" w:rsidP="001F1051">
      <w:pPr>
        <w:pStyle w:val="Bullet"/>
        <w:rPr>
          <w:rFonts w:eastAsia="Arial Nova Light"/>
        </w:rPr>
      </w:pPr>
      <w:r w:rsidRPr="002E7B55">
        <w:rPr>
          <w:rFonts w:eastAsia="Arial Nova Light"/>
        </w:rPr>
        <w:t>Whānau access to services is critical.</w:t>
      </w:r>
    </w:p>
    <w:p w14:paraId="667C16D1" w14:textId="2C0D336F" w:rsidR="00CD4B56" w:rsidRPr="002E7B55" w:rsidRDefault="6E687390" w:rsidP="00681F8D">
      <w:pPr>
        <w:pStyle w:val="Bullet"/>
        <w:rPr>
          <w:rFonts w:eastAsia="Arial Nova Light"/>
        </w:rPr>
      </w:pPr>
      <w:r w:rsidRPr="002E7B55">
        <w:rPr>
          <w:rFonts w:eastAsia="Arial Nova Light"/>
        </w:rPr>
        <w:t>A whānau-centred approach is an essential equity strategy</w:t>
      </w:r>
      <w:r w:rsidR="00681F8D" w:rsidRPr="002E7B55">
        <w:rPr>
          <w:rFonts w:eastAsia="Arial Nova Light"/>
        </w:rPr>
        <w:t xml:space="preserve"> and </w:t>
      </w:r>
      <w:r w:rsidR="00CD4B56" w:rsidRPr="002E7B55">
        <w:rPr>
          <w:rFonts w:eastAsia="Arial Nova Light"/>
        </w:rPr>
        <w:t>improves Māori access to vaccination services and contributes to improved health equity.</w:t>
      </w:r>
    </w:p>
    <w:p w14:paraId="0F76DAEA" w14:textId="00B55598" w:rsidR="00CD4B56" w:rsidRPr="002E7B55" w:rsidRDefault="00CD4B56" w:rsidP="001F1051">
      <w:pPr>
        <w:pStyle w:val="Bullet"/>
        <w:rPr>
          <w:rFonts w:eastAsia="Arial Nova Light"/>
        </w:rPr>
      </w:pPr>
      <w:r w:rsidRPr="002E7B55">
        <w:rPr>
          <w:rFonts w:eastAsia="Arial Nova Light"/>
        </w:rPr>
        <w:t>Māori providers are pivotal to the design and delivery of whānau-centred services</w:t>
      </w:r>
      <w:r w:rsidR="00B64DBF" w:rsidRPr="002E7B55">
        <w:rPr>
          <w:rFonts w:eastAsia="Arial Nova Light"/>
        </w:rPr>
        <w:t>.</w:t>
      </w:r>
    </w:p>
    <w:p w14:paraId="22FDFD2F" w14:textId="66831A31" w:rsidR="00CD4B56" w:rsidRPr="002E7B55" w:rsidRDefault="00CD4B56" w:rsidP="001F1051">
      <w:pPr>
        <w:pStyle w:val="Bullet"/>
        <w:rPr>
          <w:rFonts w:eastAsia="Arial Nova Light"/>
        </w:rPr>
      </w:pPr>
      <w:r w:rsidRPr="002E7B55">
        <w:rPr>
          <w:rFonts w:eastAsia="Arial Nova Light"/>
        </w:rPr>
        <w:t>Māori providers deliver a holistic, wrap</w:t>
      </w:r>
      <w:r w:rsidR="00A50966" w:rsidRPr="002E7B55">
        <w:rPr>
          <w:rFonts w:eastAsia="Arial Nova Light"/>
        </w:rPr>
        <w:t>-</w:t>
      </w:r>
      <w:r w:rsidRPr="002E7B55">
        <w:rPr>
          <w:rFonts w:eastAsia="Arial Nova Light"/>
        </w:rPr>
        <w:t xml:space="preserve">around, culturally anchored service. </w:t>
      </w:r>
      <w:r w:rsidR="00A50966" w:rsidRPr="002E7B55">
        <w:rPr>
          <w:rFonts w:eastAsia="Arial Nova Light"/>
        </w:rPr>
        <w:t xml:space="preserve">Such a service </w:t>
      </w:r>
      <w:r w:rsidRPr="002E7B55">
        <w:rPr>
          <w:rFonts w:eastAsia="Arial Nova Light"/>
        </w:rPr>
        <w:t xml:space="preserve">is underpinned by whakapapa, whanaungatanga, </w:t>
      </w:r>
      <w:proofErr w:type="spellStart"/>
      <w:r w:rsidRPr="002E7B55">
        <w:rPr>
          <w:rFonts w:eastAsia="Arial Nova Light"/>
        </w:rPr>
        <w:t>manaakitanga</w:t>
      </w:r>
      <w:proofErr w:type="spellEnd"/>
      <w:r w:rsidRPr="002E7B55">
        <w:rPr>
          <w:rFonts w:eastAsia="Arial Nova Light"/>
        </w:rPr>
        <w:t xml:space="preserve"> and rangatiratanga.</w:t>
      </w:r>
    </w:p>
    <w:p w14:paraId="28CD56F5" w14:textId="77777777" w:rsidR="001F1051" w:rsidRPr="002E7B55" w:rsidRDefault="001F1051" w:rsidP="001F1051">
      <w:pPr>
        <w:pStyle w:val="Bullet"/>
        <w:rPr>
          <w:rFonts w:eastAsia="Arial Nova Light"/>
        </w:rPr>
      </w:pPr>
      <w:r w:rsidRPr="002E7B55">
        <w:rPr>
          <w:rFonts w:eastAsia="Arial Nova Light"/>
        </w:rPr>
        <w:t>Māori providers do more than just vaccinate; they respond to whānau needs. This may include providing food parcels, hygiene packs, and other support and healthcare services.</w:t>
      </w:r>
    </w:p>
    <w:p w14:paraId="22B706C4" w14:textId="683BAA86" w:rsidR="00CD4B56" w:rsidRPr="002E7B55" w:rsidRDefault="00CD4B56" w:rsidP="001F1051">
      <w:pPr>
        <w:pStyle w:val="Bullet"/>
        <w:rPr>
          <w:rFonts w:eastAsia="Arial Nova Light"/>
        </w:rPr>
      </w:pPr>
      <w:r w:rsidRPr="002E7B55">
        <w:rPr>
          <w:rFonts w:eastAsia="Arial Nova Light"/>
        </w:rPr>
        <w:t>Māori providers collaborate with a range of partners to deliver whānau-centred services.</w:t>
      </w:r>
    </w:p>
    <w:p w14:paraId="5D04D101" w14:textId="4750B507" w:rsidR="00B3052D" w:rsidRPr="002E7B55" w:rsidRDefault="00D97DEA" w:rsidP="001F1051">
      <w:pPr>
        <w:pStyle w:val="Bullet"/>
        <w:rPr>
          <w:rFonts w:eastAsia="Arial Nova Light"/>
        </w:rPr>
      </w:pPr>
      <w:r w:rsidRPr="002E7B55">
        <w:rPr>
          <w:rFonts w:eastAsia="Arial Nova Light"/>
        </w:rPr>
        <w:t>Whānau</w:t>
      </w:r>
      <w:r w:rsidR="70D53BCA" w:rsidRPr="002E7B55">
        <w:rPr>
          <w:rFonts w:eastAsia="Arial Nova Light"/>
        </w:rPr>
        <w:t xml:space="preserve"> access to services is critical. Māori </w:t>
      </w:r>
      <w:r w:rsidR="00EC1527" w:rsidRPr="002E7B55">
        <w:rPr>
          <w:rFonts w:eastAsia="Arial Nova Light"/>
        </w:rPr>
        <w:t>p</w:t>
      </w:r>
      <w:r w:rsidR="70D53BCA" w:rsidRPr="002E7B55">
        <w:rPr>
          <w:rFonts w:eastAsia="Arial Nova Light"/>
        </w:rPr>
        <w:t>roviders take services to whānau, bring whānau to the service, and reduce barriers to access.</w:t>
      </w:r>
    </w:p>
    <w:tbl>
      <w:tblPr>
        <w:tblStyle w:val="TableGrid"/>
        <w:tblW w:w="0" w:type="auto"/>
        <w:tblBorders>
          <w:top w:val="single" w:sz="8" w:space="0" w:color="FBDCD9" w:themeColor="accent3" w:themeTint="33"/>
          <w:left w:val="single" w:sz="8" w:space="0" w:color="FBDCD9" w:themeColor="accent3" w:themeTint="33"/>
          <w:bottom w:val="single" w:sz="8" w:space="0" w:color="FBDCD9" w:themeColor="accent3" w:themeTint="33"/>
          <w:right w:val="single" w:sz="8" w:space="0" w:color="FBDCD9" w:themeColor="accent3" w:themeTint="33"/>
          <w:insideH w:val="single" w:sz="8" w:space="0" w:color="FBDCD9" w:themeColor="accent3" w:themeTint="33"/>
          <w:insideV w:val="single" w:sz="8" w:space="0" w:color="FBDCD9" w:themeColor="accent3" w:themeTint="33"/>
        </w:tblBorders>
        <w:shd w:val="clear" w:color="auto" w:fill="FBDCD9" w:themeFill="accent3" w:themeFillTint="33"/>
        <w:tblLayout w:type="fixed"/>
        <w:tblLook w:val="06A0" w:firstRow="1" w:lastRow="0" w:firstColumn="1" w:lastColumn="0" w:noHBand="1" w:noVBand="1"/>
      </w:tblPr>
      <w:tblGrid>
        <w:gridCol w:w="9375"/>
      </w:tblGrid>
      <w:tr w:rsidR="6E687390" w:rsidRPr="002E7B55" w14:paraId="3FA2A28E" w14:textId="77777777" w:rsidTr="00CD4B56">
        <w:tc>
          <w:tcPr>
            <w:tcW w:w="9375" w:type="dxa"/>
            <w:shd w:val="clear" w:color="auto" w:fill="FBDCD9" w:themeFill="accent3" w:themeFillTint="33"/>
          </w:tcPr>
          <w:p w14:paraId="4BAA9714" w14:textId="0A777B0A" w:rsidR="6E687390" w:rsidRPr="002E7B55" w:rsidRDefault="6E687390" w:rsidP="00CD4B56">
            <w:pPr>
              <w:pStyle w:val="Actionsheading"/>
              <w:rPr>
                <w:lang w:val="en-NZ"/>
              </w:rPr>
            </w:pPr>
            <w:r w:rsidRPr="002E7B55">
              <w:rPr>
                <w:lang w:val="en-NZ"/>
              </w:rPr>
              <w:t>Actions</w:t>
            </w:r>
          </w:p>
        </w:tc>
      </w:tr>
      <w:tr w:rsidR="6E687390" w:rsidRPr="002E7B55" w14:paraId="2B6C6B5A" w14:textId="77777777" w:rsidTr="00CD4B56">
        <w:tc>
          <w:tcPr>
            <w:tcW w:w="9375" w:type="dxa"/>
            <w:shd w:val="clear" w:color="auto" w:fill="FBDCD9" w:themeFill="accent3" w:themeFillTint="33"/>
          </w:tcPr>
          <w:p w14:paraId="664F9D6F" w14:textId="77777777" w:rsidR="001F1051" w:rsidRPr="002E7B55" w:rsidRDefault="001F1051" w:rsidP="001F1051">
            <w:pPr>
              <w:pStyle w:val="Actionslist"/>
            </w:pPr>
            <w:r w:rsidRPr="002E7B55">
              <w:t>Prioritise a whānau-centred approach to accelerate equity for Māori.</w:t>
            </w:r>
          </w:p>
          <w:p w14:paraId="175789A9" w14:textId="77777777" w:rsidR="001F1051" w:rsidRPr="002E7B55" w:rsidRDefault="001F1051" w:rsidP="001F1051">
            <w:pPr>
              <w:pStyle w:val="Actionslist"/>
            </w:pPr>
            <w:r w:rsidRPr="002E7B55">
              <w:t>Contract and resource providers for the full scope of whānau-centred approaches.</w:t>
            </w:r>
          </w:p>
          <w:p w14:paraId="1448E62C" w14:textId="77777777" w:rsidR="001F1051" w:rsidRPr="002E7B55" w:rsidRDefault="001F1051" w:rsidP="001F1051">
            <w:pPr>
              <w:pStyle w:val="Actionslist"/>
            </w:pPr>
            <w:r w:rsidRPr="002E7B55">
              <w:t>Embed a whānau-centred approach across the new integrated immunisation programme</w:t>
            </w:r>
          </w:p>
          <w:p w14:paraId="0F0C0DD1" w14:textId="6F097086" w:rsidR="6E687390" w:rsidRPr="002E7B55" w:rsidRDefault="001F1051" w:rsidP="00CD4B56">
            <w:pPr>
              <w:pStyle w:val="Actionslist"/>
            </w:pPr>
            <w:r w:rsidRPr="002E7B55">
              <w:t>Change health policy to enable providers to take a whānau-centred approach.</w:t>
            </w:r>
          </w:p>
        </w:tc>
      </w:tr>
    </w:tbl>
    <w:p w14:paraId="76142069" w14:textId="77777777" w:rsidR="00485E60" w:rsidRPr="002E7B55" w:rsidRDefault="00485E60" w:rsidP="00485E60">
      <w:pPr>
        <w:pStyle w:val="Heading2"/>
      </w:pPr>
      <w:r w:rsidRPr="002E7B55">
        <w:t>What is a whānau-centred approach?</w:t>
      </w:r>
    </w:p>
    <w:p w14:paraId="6EF5A68B" w14:textId="77777777" w:rsidR="00485E60" w:rsidRPr="002E7B55" w:rsidRDefault="00485E60" w:rsidP="00485E60">
      <w:r w:rsidRPr="002E7B55">
        <w:t xml:space="preserve">The key attributes of a whānau-centred approach from the perspective of providers and DHBs are outlined below. </w:t>
      </w:r>
    </w:p>
    <w:p w14:paraId="46730546" w14:textId="0B765296" w:rsidR="00485E60" w:rsidRPr="002E7B55" w:rsidRDefault="00485E60" w:rsidP="00485E60">
      <w:r w:rsidRPr="002E7B55">
        <w:t xml:space="preserve">Through a </w:t>
      </w:r>
      <w:r w:rsidR="00A50966" w:rsidRPr="002E7B55">
        <w:t>T</w:t>
      </w:r>
      <w:r w:rsidRPr="002E7B55">
        <w:t xml:space="preserve">e </w:t>
      </w:r>
      <w:r w:rsidR="00A50966" w:rsidRPr="002E7B55">
        <w:t>A</w:t>
      </w:r>
      <w:r w:rsidRPr="002E7B55">
        <w:t xml:space="preserve">o Māori </w:t>
      </w:r>
      <w:r w:rsidR="00A50966" w:rsidRPr="002E7B55">
        <w:t xml:space="preserve">(Māori </w:t>
      </w:r>
      <w:r w:rsidRPr="002E7B55">
        <w:t>world</w:t>
      </w:r>
      <w:r w:rsidR="00A50966" w:rsidRPr="002E7B55">
        <w:t xml:space="preserve"> </w:t>
      </w:r>
      <w:r w:rsidRPr="002E7B55">
        <w:t>view</w:t>
      </w:r>
      <w:r w:rsidR="00A50966" w:rsidRPr="002E7B55">
        <w:t>)</w:t>
      </w:r>
      <w:r w:rsidRPr="002E7B55">
        <w:t xml:space="preserve"> and </w:t>
      </w:r>
      <w:proofErr w:type="spellStart"/>
      <w:r w:rsidRPr="002E7B55">
        <w:t>ngā</w:t>
      </w:r>
      <w:proofErr w:type="spellEnd"/>
      <w:r w:rsidRPr="002E7B55">
        <w:t xml:space="preserve"> </w:t>
      </w:r>
      <w:proofErr w:type="spellStart"/>
      <w:r w:rsidRPr="002E7B55">
        <w:t>matapono</w:t>
      </w:r>
      <w:proofErr w:type="spellEnd"/>
      <w:r w:rsidRPr="002E7B55">
        <w:t xml:space="preserve"> (values), providers connect with whānau and their community. Initial engagement is relational</w:t>
      </w:r>
      <w:r w:rsidR="00A50966" w:rsidRPr="002E7B55">
        <w:t>:</w:t>
      </w:r>
      <w:r w:rsidRPr="002E7B55">
        <w:t xml:space="preserve"> connections are made through whakapapa and whanaungatanga. Providers engage as whānau first and then as </w:t>
      </w:r>
      <w:proofErr w:type="spellStart"/>
      <w:r w:rsidRPr="002E7B55">
        <w:t>kaimahi</w:t>
      </w:r>
      <w:proofErr w:type="spellEnd"/>
      <w:r w:rsidRPr="002E7B55">
        <w:t xml:space="preserve">. </w:t>
      </w:r>
    </w:p>
    <w:p w14:paraId="459E1623" w14:textId="2E5ED532" w:rsidR="00485E60" w:rsidRPr="002E7B55" w:rsidRDefault="00485E60" w:rsidP="00485E60">
      <w:r w:rsidRPr="002E7B55">
        <w:t xml:space="preserve">The principle of </w:t>
      </w:r>
      <w:proofErr w:type="spellStart"/>
      <w:r w:rsidRPr="002E7B55">
        <w:t>manaakitanga</w:t>
      </w:r>
      <w:proofErr w:type="spellEnd"/>
      <w:r w:rsidRPr="002E7B55">
        <w:t xml:space="preserve"> means providers take a holistic view of wellbeing, respond to broad whānau needs, and focus on vaccinations and healthcare. Whānau-centred</w:t>
      </w:r>
      <w:r w:rsidR="00A50966" w:rsidRPr="002E7B55">
        <w:t xml:space="preserve"> service</w:t>
      </w:r>
      <w:r w:rsidRPr="002E7B55">
        <w:t xml:space="preserve"> is whānau-led </w:t>
      </w:r>
      <w:r w:rsidR="00A50966" w:rsidRPr="002E7B55">
        <w:rPr>
          <w:rFonts w:ascii="Courier New" w:hAnsi="Courier New" w:cs="Courier New"/>
        </w:rPr>
        <w:t>–</w:t>
      </w:r>
      <w:r w:rsidRPr="002E7B55">
        <w:t xml:space="preserve"> support</w:t>
      </w:r>
      <w:r w:rsidR="00A50966" w:rsidRPr="002E7B55">
        <w:t>ing</w:t>
      </w:r>
      <w:r w:rsidRPr="002E7B55">
        <w:t xml:space="preserve"> whānau to determine what they </w:t>
      </w:r>
      <w:r w:rsidR="00A50966" w:rsidRPr="002E7B55">
        <w:t xml:space="preserve">will </w:t>
      </w:r>
      <w:r w:rsidRPr="002E7B55">
        <w:t>do about vaccinations and what they do next, giving expression to rangatiratanga. For Māori providers, this means there are no fixed pathways or ways of working, and at times they need to think outside the box to respond to whānau needs and aspirations.</w:t>
      </w:r>
    </w:p>
    <w:p w14:paraId="6A0F9EA7" w14:textId="230E1880" w:rsidR="00485E60" w:rsidRPr="002E7B55" w:rsidRDefault="00485E60" w:rsidP="00485E60">
      <w:r w:rsidRPr="002E7B55">
        <w:t xml:space="preserve">This was the approach that Māori providers </w:t>
      </w:r>
      <w:r w:rsidR="00A50966" w:rsidRPr="002E7B55">
        <w:t xml:space="preserve">employed </w:t>
      </w:r>
      <w:r w:rsidRPr="002E7B55">
        <w:t>successfully in 2020 as part of the MIVP</w:t>
      </w:r>
      <w:sdt>
        <w:sdtPr>
          <w:id w:val="-602806854"/>
          <w:citation/>
        </w:sdtPr>
        <w:sdtEndPr/>
        <w:sdtContent>
          <w:r w:rsidR="00A4708C" w:rsidRPr="002E7B55">
            <w:fldChar w:fldCharType="begin"/>
          </w:r>
          <w:r w:rsidR="00A4708C" w:rsidRPr="002E7B55">
            <w:instrText xml:space="preserve"> CITATION Weh21 \l 1153 </w:instrText>
          </w:r>
          <w:r w:rsidR="00A4708C" w:rsidRPr="002E7B55">
            <w:fldChar w:fldCharType="separate"/>
          </w:r>
          <w:r w:rsidR="00025361" w:rsidRPr="002E7B55">
            <w:t xml:space="preserve"> (8)</w:t>
          </w:r>
          <w:r w:rsidR="00A4708C" w:rsidRPr="002E7B55">
            <w:fldChar w:fldCharType="end"/>
          </w:r>
        </w:sdtContent>
      </w:sdt>
      <w:r w:rsidRPr="002E7B55">
        <w:t xml:space="preserve"> and again in 2021.</w:t>
      </w:r>
    </w:p>
    <w:p w14:paraId="1B3DDB81" w14:textId="74466500" w:rsidR="00414382" w:rsidRPr="002E7B55" w:rsidRDefault="00414382" w:rsidP="00485E60"/>
    <w:tbl>
      <w:tblPr>
        <w:tblStyle w:val="TableGrid"/>
        <w:tblW w:w="0" w:type="auto"/>
        <w:tblBorders>
          <w:insideH w:val="none" w:sz="0" w:space="0" w:color="auto"/>
          <w:insideV w:val="none" w:sz="0" w:space="0" w:color="auto"/>
        </w:tblBorders>
        <w:shd w:val="clear" w:color="auto" w:fill="61C9A8"/>
        <w:tblLook w:val="04A0" w:firstRow="1" w:lastRow="0" w:firstColumn="1" w:lastColumn="0" w:noHBand="0" w:noVBand="1"/>
      </w:tblPr>
      <w:tblGrid>
        <w:gridCol w:w="9236"/>
      </w:tblGrid>
      <w:tr w:rsidR="00414382" w:rsidRPr="002E7B55" w14:paraId="17B82C18" w14:textId="77777777" w:rsidTr="009F53DE">
        <w:tc>
          <w:tcPr>
            <w:tcW w:w="9236" w:type="dxa"/>
            <w:shd w:val="clear" w:color="auto" w:fill="auto"/>
          </w:tcPr>
          <w:p w14:paraId="3A493580" w14:textId="77777777" w:rsidR="00414382" w:rsidRPr="002E7B55" w:rsidRDefault="00414382" w:rsidP="0041391C">
            <w:pPr>
              <w:pStyle w:val="Accentheading3"/>
            </w:pPr>
            <w:r w:rsidRPr="002E7B55">
              <w:lastRenderedPageBreak/>
              <w:t>A whānau-centred approach</w:t>
            </w:r>
          </w:p>
          <w:p w14:paraId="25964E5C" w14:textId="3C4AFD8A" w:rsidR="00414382" w:rsidRPr="002E7B55" w:rsidRDefault="00414382" w:rsidP="009F53DE">
            <w:pPr>
              <w:pStyle w:val="TableText"/>
              <w:numPr>
                <w:ilvl w:val="0"/>
                <w:numId w:val="42"/>
              </w:numPr>
              <w:rPr>
                <w:rFonts w:asciiTheme="minorHAnsi" w:hAnsiTheme="minorHAnsi"/>
              </w:rPr>
            </w:pPr>
            <w:r w:rsidRPr="002E7B55">
              <w:rPr>
                <w:rFonts w:asciiTheme="minorHAnsi" w:hAnsiTheme="minorHAnsi"/>
                <w:b/>
                <w:bCs/>
              </w:rPr>
              <w:t>It takes a whole-of-whānau approach</w:t>
            </w:r>
            <w:r w:rsidRPr="002E7B55">
              <w:rPr>
                <w:rFonts w:asciiTheme="minorHAnsi" w:hAnsiTheme="minorHAnsi"/>
              </w:rPr>
              <w:t xml:space="preserve">, working in a dynamic and flexible way with individuals, immediate whānau and broader collectives. Examples include working with marae, kura, kōhanga reo, iwi and Māori clubs and organisations, or </w:t>
            </w:r>
            <w:r w:rsidR="00A50966" w:rsidRPr="002E7B55">
              <w:rPr>
                <w:rFonts w:asciiTheme="minorHAnsi" w:hAnsiTheme="minorHAnsi"/>
              </w:rPr>
              <w:t xml:space="preserve">the </w:t>
            </w:r>
            <w:r w:rsidRPr="002E7B55">
              <w:rPr>
                <w:rFonts w:asciiTheme="minorHAnsi" w:hAnsiTheme="minorHAnsi"/>
              </w:rPr>
              <w:t>koro and nanny. Importantly, whānau define the whānau unit, which becomes the focus of engagement.</w:t>
            </w:r>
          </w:p>
          <w:p w14:paraId="1248F79E" w14:textId="77777777" w:rsidR="00414382" w:rsidRPr="002E7B55" w:rsidRDefault="00414382" w:rsidP="009F53DE">
            <w:pPr>
              <w:pStyle w:val="TableText"/>
              <w:numPr>
                <w:ilvl w:val="0"/>
                <w:numId w:val="42"/>
              </w:numPr>
              <w:rPr>
                <w:rFonts w:asciiTheme="minorHAnsi" w:hAnsiTheme="minorHAnsi"/>
              </w:rPr>
            </w:pPr>
            <w:r w:rsidRPr="002E7B55">
              <w:rPr>
                <w:rFonts w:asciiTheme="minorHAnsi" w:hAnsiTheme="minorHAnsi"/>
              </w:rPr>
              <w:t xml:space="preserve">It acknowledges health equity issues for Māori and is </w:t>
            </w:r>
            <w:r w:rsidRPr="002E7B55">
              <w:rPr>
                <w:rFonts w:asciiTheme="minorHAnsi" w:hAnsiTheme="minorHAnsi"/>
                <w:b/>
                <w:bCs/>
              </w:rPr>
              <w:t>anchored by a deep understanding of the concept of whānau</w:t>
            </w:r>
            <w:r w:rsidRPr="002E7B55">
              <w:rPr>
                <w:rFonts w:asciiTheme="minorHAnsi" w:hAnsiTheme="minorHAnsi"/>
              </w:rPr>
              <w:t xml:space="preserve"> – based on whakapapa, collectivism and inherent roles and responsibilities. </w:t>
            </w:r>
          </w:p>
          <w:p w14:paraId="145013DC" w14:textId="71EDC2E0" w:rsidR="00414382" w:rsidRPr="002E7B55" w:rsidRDefault="00414382" w:rsidP="009F53DE">
            <w:pPr>
              <w:pStyle w:val="TableText"/>
              <w:numPr>
                <w:ilvl w:val="0"/>
                <w:numId w:val="42"/>
              </w:numPr>
              <w:rPr>
                <w:rFonts w:asciiTheme="minorHAnsi" w:hAnsiTheme="minorHAnsi"/>
              </w:rPr>
            </w:pPr>
            <w:r w:rsidRPr="002E7B55">
              <w:rPr>
                <w:rFonts w:asciiTheme="minorHAnsi" w:hAnsiTheme="minorHAnsi"/>
                <w:b/>
                <w:bCs/>
              </w:rPr>
              <w:t>It draws on the cultural capital</w:t>
            </w:r>
            <w:r w:rsidRPr="002E7B55">
              <w:rPr>
                <w:rFonts w:asciiTheme="minorHAnsi" w:hAnsiTheme="minorHAnsi"/>
              </w:rPr>
              <w:t xml:space="preserve"> (understanding, </w:t>
            </w:r>
            <w:proofErr w:type="gramStart"/>
            <w:r w:rsidRPr="002E7B55">
              <w:rPr>
                <w:rFonts w:asciiTheme="minorHAnsi" w:hAnsiTheme="minorHAnsi"/>
              </w:rPr>
              <w:t>knowledge</w:t>
            </w:r>
            <w:proofErr w:type="gramEnd"/>
            <w:r w:rsidRPr="002E7B55">
              <w:rPr>
                <w:rFonts w:asciiTheme="minorHAnsi" w:hAnsiTheme="minorHAnsi"/>
              </w:rPr>
              <w:t xml:space="preserve"> and intuition) that comes from being Māori and relational capital (whanaungatanga, whakapapa and tikanga) that guide</w:t>
            </w:r>
            <w:r w:rsidR="00A50966" w:rsidRPr="002E7B55">
              <w:rPr>
                <w:rFonts w:asciiTheme="minorHAnsi" w:hAnsiTheme="minorHAnsi"/>
              </w:rPr>
              <w:t>s</w:t>
            </w:r>
            <w:r w:rsidRPr="002E7B55">
              <w:rPr>
                <w:rFonts w:asciiTheme="minorHAnsi" w:hAnsiTheme="minorHAnsi"/>
              </w:rPr>
              <w:t xml:space="preserve"> ways of engaging with whānau.</w:t>
            </w:r>
          </w:p>
          <w:p w14:paraId="5F169FE2" w14:textId="27CE9064" w:rsidR="00414382" w:rsidRPr="002E7B55" w:rsidRDefault="00414382" w:rsidP="009F53DE">
            <w:pPr>
              <w:pStyle w:val="TableText"/>
              <w:numPr>
                <w:ilvl w:val="0"/>
                <w:numId w:val="42"/>
              </w:numPr>
              <w:rPr>
                <w:rFonts w:asciiTheme="minorHAnsi" w:hAnsiTheme="minorHAnsi"/>
              </w:rPr>
            </w:pPr>
            <w:r w:rsidRPr="002E7B55">
              <w:rPr>
                <w:rFonts w:asciiTheme="minorHAnsi" w:hAnsiTheme="minorHAnsi"/>
                <w:b/>
                <w:bCs/>
              </w:rPr>
              <w:t>It provides holistic services that respond to whānau needs and aspirations</w:t>
            </w:r>
            <w:r w:rsidR="00A50966" w:rsidRPr="002E7B55">
              <w:rPr>
                <w:rFonts w:asciiTheme="minorHAnsi" w:hAnsiTheme="minorHAnsi"/>
              </w:rPr>
              <w:t>,</w:t>
            </w:r>
            <w:r w:rsidRPr="002E7B55">
              <w:rPr>
                <w:rFonts w:asciiTheme="minorHAnsi" w:hAnsiTheme="minorHAnsi"/>
              </w:rPr>
              <w:t xml:space="preserve"> not only the condition they present with at the time. This includes looking after physical, emotional, spiritual health and welfare needs. It also includes providing support and services to other whānau members at the same time</w:t>
            </w:r>
            <w:r w:rsidR="004A368D" w:rsidRPr="002E7B55">
              <w:rPr>
                <w:rFonts w:asciiTheme="minorHAnsi" w:hAnsiTheme="minorHAnsi"/>
              </w:rPr>
              <w:t xml:space="preserve"> as delivering a single targeted service (such as a vaccination) to one member of a whānau</w:t>
            </w:r>
            <w:r w:rsidRPr="002E7B55">
              <w:rPr>
                <w:rFonts w:asciiTheme="minorHAnsi" w:hAnsiTheme="minorHAnsi"/>
              </w:rPr>
              <w:t xml:space="preserve">, irrespective of the original engagement purpose. For example, </w:t>
            </w:r>
            <w:r w:rsidR="00A50966" w:rsidRPr="002E7B55">
              <w:rPr>
                <w:rFonts w:asciiTheme="minorHAnsi" w:hAnsiTheme="minorHAnsi"/>
              </w:rPr>
              <w:t>with</w:t>
            </w:r>
            <w:r w:rsidRPr="002E7B55">
              <w:rPr>
                <w:rFonts w:asciiTheme="minorHAnsi" w:hAnsiTheme="minorHAnsi"/>
              </w:rPr>
              <w:t>in MIMVP 2021 (and in</w:t>
            </w:r>
            <w:r w:rsidR="00A50966" w:rsidRPr="002E7B55">
              <w:rPr>
                <w:rFonts w:asciiTheme="minorHAnsi" w:hAnsiTheme="minorHAnsi"/>
              </w:rPr>
              <w:t xml:space="preserve"> the</w:t>
            </w:r>
            <w:r w:rsidRPr="002E7B55">
              <w:rPr>
                <w:rFonts w:asciiTheme="minorHAnsi" w:hAnsiTheme="minorHAnsi"/>
              </w:rPr>
              <w:t xml:space="preserve"> COVID-19 pandemic</w:t>
            </w:r>
            <w:r w:rsidR="00A50966" w:rsidRPr="002E7B55">
              <w:rPr>
                <w:rFonts w:asciiTheme="minorHAnsi" w:hAnsiTheme="minorHAnsi"/>
              </w:rPr>
              <w:t xml:space="preserve"> context</w:t>
            </w:r>
            <w:r w:rsidRPr="002E7B55">
              <w:rPr>
                <w:rFonts w:asciiTheme="minorHAnsi" w:hAnsiTheme="minorHAnsi"/>
              </w:rPr>
              <w:t>), there was considerable need for food in addition to vaccinating and testing.</w:t>
            </w:r>
          </w:p>
          <w:p w14:paraId="6A3F4147" w14:textId="11833171" w:rsidR="00414382" w:rsidRPr="002E7B55" w:rsidRDefault="00414382" w:rsidP="009F53DE">
            <w:pPr>
              <w:pStyle w:val="TableText"/>
              <w:numPr>
                <w:ilvl w:val="0"/>
                <w:numId w:val="42"/>
              </w:numPr>
            </w:pPr>
            <w:r w:rsidRPr="002E7B55">
              <w:rPr>
                <w:rFonts w:asciiTheme="minorHAnsi" w:hAnsiTheme="minorHAnsi"/>
                <w:b/>
                <w:bCs/>
              </w:rPr>
              <w:t>It reaches out to where whānau are</w:t>
            </w:r>
            <w:r w:rsidR="00A50966" w:rsidRPr="002E7B55">
              <w:rPr>
                <w:rFonts w:asciiTheme="minorHAnsi" w:hAnsiTheme="minorHAnsi"/>
              </w:rPr>
              <w:t>,</w:t>
            </w:r>
            <w:r w:rsidRPr="002E7B55">
              <w:rPr>
                <w:rFonts w:asciiTheme="minorHAnsi" w:hAnsiTheme="minorHAnsi"/>
              </w:rPr>
              <w:t xml:space="preserve"> making it as easy as possible for whānau to be vaccinated, by taking services to whānau or transporting whānau to the services.</w:t>
            </w:r>
            <w:r w:rsidRPr="002E7B55">
              <w:t xml:space="preserve"> </w:t>
            </w:r>
          </w:p>
        </w:tc>
      </w:tr>
      <w:tr w:rsidR="00414382" w:rsidRPr="002E7B55" w14:paraId="38AF9716" w14:textId="77777777" w:rsidTr="009F53DE">
        <w:tc>
          <w:tcPr>
            <w:tcW w:w="9236" w:type="dxa"/>
            <w:shd w:val="clear" w:color="auto" w:fill="auto"/>
          </w:tcPr>
          <w:p w14:paraId="0F806366" w14:textId="77777777" w:rsidR="00414382" w:rsidRPr="002E7B55" w:rsidRDefault="00414382" w:rsidP="009F53DE">
            <w:pPr>
              <w:pStyle w:val="TableText"/>
            </w:pPr>
          </w:p>
          <w:p w14:paraId="4B71E8E4" w14:textId="00ADCA59" w:rsidR="00414382" w:rsidRPr="002E7B55" w:rsidRDefault="00414382" w:rsidP="009F53DE">
            <w:pPr>
              <w:pStyle w:val="Quote"/>
              <w:rPr>
                <w:lang w:val="en-NZ"/>
              </w:rPr>
            </w:pPr>
            <w:r w:rsidRPr="002E7B55">
              <w:rPr>
                <w:lang w:val="en-NZ"/>
              </w:rPr>
              <w:t>“It has been so important being able to take services out to whānau, removing access problems. While also being able to build relationships with whānau who haven't always had the chance to access health services.” (DHB)</w:t>
            </w:r>
          </w:p>
          <w:p w14:paraId="2638783F" w14:textId="77777777" w:rsidR="00002643" w:rsidRPr="002E7B55" w:rsidRDefault="00002643" w:rsidP="00002643">
            <w:pPr>
              <w:pStyle w:val="Quotebreak"/>
              <w:rPr>
                <w:lang w:val="en-NZ"/>
              </w:rPr>
            </w:pPr>
          </w:p>
          <w:p w14:paraId="6C004C71" w14:textId="5F69E067" w:rsidR="00414382" w:rsidRPr="002E7B55" w:rsidRDefault="00414382" w:rsidP="009F53DE">
            <w:pPr>
              <w:pStyle w:val="Quote"/>
              <w:rPr>
                <w:lang w:val="en-NZ"/>
              </w:rPr>
            </w:pPr>
            <w:r w:rsidRPr="002E7B55">
              <w:rPr>
                <w:lang w:val="en-NZ"/>
              </w:rPr>
              <w:t>“Having a broad conversation with whānau on what matters to them and their health care, providing support on their priorities, respecting their decisions without judgement.” (Provider)</w:t>
            </w:r>
          </w:p>
          <w:p w14:paraId="7BD2BAC0" w14:textId="77777777" w:rsidR="00002643" w:rsidRPr="002E7B55" w:rsidRDefault="00002643" w:rsidP="00002643">
            <w:pPr>
              <w:pStyle w:val="Quotebreak"/>
              <w:rPr>
                <w:lang w:val="en-NZ"/>
              </w:rPr>
            </w:pPr>
          </w:p>
          <w:p w14:paraId="62816E2E" w14:textId="5E534C7D" w:rsidR="00414382" w:rsidRPr="002E7B55" w:rsidRDefault="00414382" w:rsidP="009F53DE">
            <w:pPr>
              <w:pStyle w:val="Quote"/>
              <w:rPr>
                <w:lang w:val="en-NZ"/>
              </w:rPr>
            </w:pPr>
            <w:r w:rsidRPr="002E7B55">
              <w:rPr>
                <w:lang w:val="en-NZ"/>
              </w:rPr>
              <w:t xml:space="preserve">“We offer vaccination to the whole whānau – Covid-19 Vaccinations were a good example of this – rather than just offering the vaccination to the MOH-approved age group, we took the opportunity to offer the vaccination to the whole </w:t>
            </w:r>
            <w:proofErr w:type="gramStart"/>
            <w:r w:rsidRPr="002E7B55">
              <w:rPr>
                <w:lang w:val="en-NZ"/>
              </w:rPr>
              <w:t>whānau</w:t>
            </w:r>
            <w:proofErr w:type="gramEnd"/>
            <w:r w:rsidRPr="002E7B55">
              <w:rPr>
                <w:lang w:val="en-NZ"/>
              </w:rPr>
              <w:t xml:space="preserve"> so they were all able to be vaccinated at the same time.” (Provider)</w:t>
            </w:r>
          </w:p>
          <w:p w14:paraId="3CAA3140" w14:textId="77777777" w:rsidR="00002643" w:rsidRPr="002E7B55" w:rsidRDefault="00002643" w:rsidP="00002643">
            <w:pPr>
              <w:pStyle w:val="Quotebreak"/>
              <w:rPr>
                <w:lang w:val="en-NZ"/>
              </w:rPr>
            </w:pPr>
          </w:p>
          <w:p w14:paraId="1A6CC08B" w14:textId="77777777" w:rsidR="00414382" w:rsidRPr="002E7B55" w:rsidRDefault="00414382" w:rsidP="009F53DE">
            <w:pPr>
              <w:pStyle w:val="Quote"/>
              <w:rPr>
                <w:lang w:val="en-NZ"/>
              </w:rPr>
            </w:pPr>
            <w:r w:rsidRPr="002E7B55">
              <w:rPr>
                <w:lang w:val="en-NZ"/>
              </w:rPr>
              <w:t>“We make a real effort to deliver our services at a whānau, hapū and iwi level by taking our services to the people and we prioritise whānau needs, in terms of how we deliver the vaccinations.” (Provider)</w:t>
            </w:r>
          </w:p>
          <w:p w14:paraId="59234233" w14:textId="77777777" w:rsidR="00414382" w:rsidRPr="002E7B55" w:rsidRDefault="00414382" w:rsidP="009F53DE"/>
        </w:tc>
      </w:tr>
    </w:tbl>
    <w:p w14:paraId="2B8E2481" w14:textId="77777777" w:rsidR="00414382" w:rsidRPr="002E7B55" w:rsidRDefault="00414382" w:rsidP="00CD4B56"/>
    <w:p w14:paraId="381AB042" w14:textId="77777777" w:rsidR="00414382" w:rsidRPr="002E7B55" w:rsidRDefault="00414382" w:rsidP="00CD4B56"/>
    <w:p w14:paraId="7DE473E0" w14:textId="77777777" w:rsidR="009E7703" w:rsidRPr="002E7B55" w:rsidRDefault="009E7703">
      <w:pPr>
        <w:spacing w:before="0" w:after="160" w:line="259" w:lineRule="auto"/>
        <w:rPr>
          <w:rFonts w:asciiTheme="majorHAnsi" w:eastAsiaTheme="majorEastAsia" w:hAnsiTheme="majorHAnsi" w:cstheme="majorBidi"/>
          <w:color w:val="125459" w:themeColor="accent1" w:themeShade="BF"/>
          <w:sz w:val="26"/>
          <w:szCs w:val="33"/>
        </w:rPr>
      </w:pPr>
      <w:r w:rsidRPr="002E7B55">
        <w:br w:type="page"/>
      </w:r>
    </w:p>
    <w:p w14:paraId="7019BA5E" w14:textId="3656FBCD" w:rsidR="00CD4B56" w:rsidRPr="002E7B55" w:rsidRDefault="00CD4B56" w:rsidP="00CD4B56">
      <w:pPr>
        <w:pStyle w:val="Heading2"/>
      </w:pPr>
      <w:r w:rsidRPr="002E7B55">
        <w:lastRenderedPageBreak/>
        <w:t>What does a whānau-centred approach look like in practice?</w:t>
      </w:r>
    </w:p>
    <w:p w14:paraId="4206BA32" w14:textId="72DC1E42" w:rsidR="00CD4B56" w:rsidRPr="002E7B55" w:rsidRDefault="00CD4B56" w:rsidP="00CD4B56">
      <w:r w:rsidRPr="002E7B55">
        <w:t xml:space="preserve">The following example, constructed from a range of providers and provider feedback, illustrates what a whānau-centred approach might look like in practice. </w:t>
      </w:r>
    </w:p>
    <w:tbl>
      <w:tblPr>
        <w:tblStyle w:val="TableGrid"/>
        <w:tblW w:w="0" w:type="auto"/>
        <w:tblLook w:val="04A0" w:firstRow="1" w:lastRow="0" w:firstColumn="1" w:lastColumn="0" w:noHBand="0" w:noVBand="1"/>
      </w:tblPr>
      <w:tblGrid>
        <w:gridCol w:w="7366"/>
        <w:gridCol w:w="2013"/>
      </w:tblGrid>
      <w:tr w:rsidR="00C50FE4" w:rsidRPr="002E7B55" w14:paraId="66F31FDF" w14:textId="77777777" w:rsidTr="00CD4B56">
        <w:tc>
          <w:tcPr>
            <w:tcW w:w="7366" w:type="dxa"/>
          </w:tcPr>
          <w:p w14:paraId="4B3E82AA" w14:textId="331FAC2A" w:rsidR="00C50FE4" w:rsidRPr="002E7B55" w:rsidRDefault="00C50FE4" w:rsidP="0041391C">
            <w:pPr>
              <w:pStyle w:val="Accentheading3"/>
            </w:pPr>
            <w:r w:rsidRPr="002E7B55">
              <w:t xml:space="preserve">Whānau-centred </w:t>
            </w:r>
            <w:r w:rsidR="00CD4B56" w:rsidRPr="002E7B55">
              <w:t xml:space="preserve">practice </w:t>
            </w:r>
            <w:r w:rsidRPr="002E7B55">
              <w:t xml:space="preserve">in action </w:t>
            </w:r>
          </w:p>
          <w:p w14:paraId="5E2E323F" w14:textId="22158768" w:rsidR="00C50FE4" w:rsidRPr="00627DD6" w:rsidRDefault="00C50FE4" w:rsidP="00E42970">
            <w:pPr>
              <w:pStyle w:val="TableText"/>
              <w:spacing w:after="240"/>
              <w:rPr>
                <w:rFonts w:asciiTheme="minorHAnsi" w:hAnsiTheme="minorHAnsi"/>
              </w:rPr>
            </w:pPr>
            <w:r w:rsidRPr="00627DD6">
              <w:rPr>
                <w:rFonts w:asciiTheme="minorHAnsi" w:hAnsiTheme="minorHAnsi"/>
              </w:rPr>
              <w:t xml:space="preserve">Not </w:t>
            </w:r>
            <w:r w:rsidR="00A50966" w:rsidRPr="00627DD6">
              <w:rPr>
                <w:rFonts w:asciiTheme="minorHAnsi" w:hAnsiTheme="minorHAnsi"/>
              </w:rPr>
              <w:t>distracted by</w:t>
            </w:r>
            <w:r w:rsidRPr="00627DD6">
              <w:rPr>
                <w:rFonts w:asciiTheme="minorHAnsi" w:hAnsiTheme="minorHAnsi"/>
              </w:rPr>
              <w:t xml:space="preserve"> several unanswered phone calls, Nurse Janice grabs the resources she will need and drives two hours to visit whānau, who she knows are isolated from accessing healthcare</w:t>
            </w:r>
            <w:r w:rsidR="00A50966" w:rsidRPr="00627DD6">
              <w:rPr>
                <w:rFonts w:asciiTheme="minorHAnsi" w:hAnsiTheme="minorHAnsi"/>
              </w:rPr>
              <w:t xml:space="preserve"> because of distance from any services and past negative experiences</w:t>
            </w:r>
            <w:r w:rsidRPr="00627DD6">
              <w:rPr>
                <w:rFonts w:asciiTheme="minorHAnsi" w:hAnsiTheme="minorHAnsi"/>
              </w:rPr>
              <w:t>. Although cold</w:t>
            </w:r>
            <w:r w:rsidR="00F7196E" w:rsidRPr="00627DD6">
              <w:rPr>
                <w:rFonts w:asciiTheme="minorHAnsi" w:hAnsiTheme="minorHAnsi"/>
              </w:rPr>
              <w:t>-</w:t>
            </w:r>
            <w:r w:rsidRPr="00627DD6">
              <w:rPr>
                <w:rFonts w:asciiTheme="minorHAnsi" w:hAnsiTheme="minorHAnsi"/>
              </w:rPr>
              <w:t xml:space="preserve">calling can be challenging, with the ability to connect with whānau through </w:t>
            </w:r>
            <w:proofErr w:type="spellStart"/>
            <w:r w:rsidRPr="00627DD6">
              <w:rPr>
                <w:rFonts w:asciiTheme="minorHAnsi" w:hAnsiTheme="minorHAnsi"/>
              </w:rPr>
              <w:t>te</w:t>
            </w:r>
            <w:proofErr w:type="spellEnd"/>
            <w:r w:rsidRPr="00627DD6">
              <w:rPr>
                <w:rFonts w:asciiTheme="minorHAnsi" w:hAnsiTheme="minorHAnsi"/>
              </w:rPr>
              <w:t xml:space="preserve"> </w:t>
            </w:r>
            <w:proofErr w:type="spellStart"/>
            <w:r w:rsidRPr="00627DD6">
              <w:rPr>
                <w:rFonts w:asciiTheme="minorHAnsi" w:hAnsiTheme="minorHAnsi"/>
              </w:rPr>
              <w:t>reo</w:t>
            </w:r>
            <w:proofErr w:type="spellEnd"/>
            <w:r w:rsidRPr="00627DD6">
              <w:rPr>
                <w:rFonts w:asciiTheme="minorHAnsi" w:hAnsiTheme="minorHAnsi"/>
              </w:rPr>
              <w:t xml:space="preserve"> and </w:t>
            </w:r>
            <w:proofErr w:type="spellStart"/>
            <w:r w:rsidRPr="00627DD6">
              <w:rPr>
                <w:rFonts w:asciiTheme="minorHAnsi" w:hAnsiTheme="minorHAnsi"/>
              </w:rPr>
              <w:t>whakaw</w:t>
            </w:r>
            <w:r w:rsidR="00B17C4D" w:rsidRPr="00627DD6">
              <w:rPr>
                <w:rFonts w:asciiTheme="minorHAnsi" w:hAnsiTheme="minorHAnsi"/>
              </w:rPr>
              <w:t>h</w:t>
            </w:r>
            <w:r w:rsidR="00CD4B56" w:rsidRPr="00627DD6">
              <w:rPr>
                <w:rFonts w:asciiTheme="minorHAnsi" w:hAnsiTheme="minorHAnsi"/>
              </w:rPr>
              <w:t>a</w:t>
            </w:r>
            <w:r w:rsidR="00B17C4D" w:rsidRPr="00627DD6">
              <w:rPr>
                <w:rFonts w:asciiTheme="minorHAnsi" w:hAnsiTheme="minorHAnsi"/>
              </w:rPr>
              <w:t>nau</w:t>
            </w:r>
            <w:r w:rsidRPr="00627DD6">
              <w:rPr>
                <w:rFonts w:asciiTheme="minorHAnsi" w:hAnsiTheme="minorHAnsi"/>
              </w:rPr>
              <w:t>ngatanga</w:t>
            </w:r>
            <w:proofErr w:type="spellEnd"/>
            <w:r w:rsidRPr="00627DD6">
              <w:rPr>
                <w:rFonts w:asciiTheme="minorHAnsi" w:hAnsiTheme="minorHAnsi"/>
              </w:rPr>
              <w:t xml:space="preserve">, she </w:t>
            </w:r>
            <w:r w:rsidR="008B27AA" w:rsidRPr="00627DD6">
              <w:rPr>
                <w:rFonts w:asciiTheme="minorHAnsi" w:hAnsiTheme="minorHAnsi"/>
              </w:rPr>
              <w:t>feels</w:t>
            </w:r>
            <w:r w:rsidRPr="00627DD6">
              <w:rPr>
                <w:rFonts w:asciiTheme="minorHAnsi" w:hAnsiTheme="minorHAnsi"/>
              </w:rPr>
              <w:t xml:space="preserve"> confident.</w:t>
            </w:r>
            <w:r w:rsidR="00EC1527" w:rsidRPr="00627DD6">
              <w:rPr>
                <w:rFonts w:asciiTheme="minorHAnsi" w:hAnsiTheme="minorHAnsi"/>
              </w:rPr>
              <w:t xml:space="preserve"> </w:t>
            </w:r>
            <w:r w:rsidRPr="00627DD6">
              <w:rPr>
                <w:rFonts w:asciiTheme="minorHAnsi" w:hAnsiTheme="minorHAnsi"/>
              </w:rPr>
              <w:t>Knocking on the door</w:t>
            </w:r>
            <w:r w:rsidR="008B27AA" w:rsidRPr="00627DD6">
              <w:rPr>
                <w:rFonts w:asciiTheme="minorHAnsi" w:hAnsiTheme="minorHAnsi"/>
              </w:rPr>
              <w:t>,</w:t>
            </w:r>
            <w:r w:rsidRPr="00627DD6">
              <w:rPr>
                <w:rFonts w:asciiTheme="minorHAnsi" w:hAnsiTheme="minorHAnsi"/>
              </w:rPr>
              <w:t xml:space="preserve"> she is greeted with suspicion and reservation. However, </w:t>
            </w:r>
            <w:r w:rsidR="008B27AA" w:rsidRPr="00627DD6">
              <w:rPr>
                <w:rFonts w:asciiTheme="minorHAnsi" w:hAnsiTheme="minorHAnsi"/>
              </w:rPr>
              <w:t>Nurse Janice know</w:t>
            </w:r>
            <w:r w:rsidRPr="00627DD6">
              <w:rPr>
                <w:rFonts w:asciiTheme="minorHAnsi" w:hAnsiTheme="minorHAnsi"/>
              </w:rPr>
              <w:t xml:space="preserve">s that whānau want the best for their </w:t>
            </w:r>
            <w:proofErr w:type="spellStart"/>
            <w:r w:rsidRPr="00627DD6">
              <w:rPr>
                <w:rFonts w:asciiTheme="minorHAnsi" w:hAnsiTheme="minorHAnsi"/>
              </w:rPr>
              <w:t>pakeke</w:t>
            </w:r>
            <w:proofErr w:type="spellEnd"/>
            <w:r w:rsidRPr="00627DD6">
              <w:rPr>
                <w:rFonts w:asciiTheme="minorHAnsi" w:hAnsiTheme="minorHAnsi"/>
              </w:rPr>
              <w:t xml:space="preserve"> and </w:t>
            </w:r>
            <w:proofErr w:type="spellStart"/>
            <w:r w:rsidRPr="00627DD6">
              <w:rPr>
                <w:rFonts w:asciiTheme="minorHAnsi" w:hAnsiTheme="minorHAnsi"/>
              </w:rPr>
              <w:t>mokopuna</w:t>
            </w:r>
            <w:proofErr w:type="spellEnd"/>
            <w:r w:rsidRPr="00627DD6">
              <w:rPr>
                <w:rFonts w:asciiTheme="minorHAnsi" w:hAnsiTheme="minorHAnsi"/>
              </w:rPr>
              <w:t>. She presents the kai she has bought with her</w:t>
            </w:r>
            <w:r w:rsidR="00F7196E" w:rsidRPr="00627DD6">
              <w:rPr>
                <w:rFonts w:asciiTheme="minorHAnsi" w:hAnsiTheme="minorHAnsi"/>
              </w:rPr>
              <w:t xml:space="preserve"> </w:t>
            </w:r>
            <w:r w:rsidR="00F7196E" w:rsidRPr="00627DD6">
              <w:rPr>
                <w:rFonts w:asciiTheme="minorHAnsi" w:hAnsiTheme="minorHAnsi" w:cs="Courier New"/>
              </w:rPr>
              <w:t>–</w:t>
            </w:r>
            <w:r w:rsidRPr="00627DD6">
              <w:rPr>
                <w:rFonts w:asciiTheme="minorHAnsi" w:hAnsiTheme="minorHAnsi"/>
              </w:rPr>
              <w:t xml:space="preserve"> hot chicken, </w:t>
            </w:r>
            <w:proofErr w:type="gramStart"/>
            <w:r w:rsidRPr="00627DD6">
              <w:rPr>
                <w:rFonts w:asciiTheme="minorHAnsi" w:hAnsiTheme="minorHAnsi"/>
              </w:rPr>
              <w:t>coleslaw</w:t>
            </w:r>
            <w:proofErr w:type="gramEnd"/>
            <w:r w:rsidRPr="00627DD6">
              <w:rPr>
                <w:rFonts w:asciiTheme="minorHAnsi" w:hAnsiTheme="minorHAnsi"/>
              </w:rPr>
              <w:t xml:space="preserve"> and buns</w:t>
            </w:r>
            <w:r w:rsidR="00F7196E" w:rsidRPr="00627DD6">
              <w:rPr>
                <w:rFonts w:asciiTheme="minorHAnsi" w:hAnsiTheme="minorHAnsi"/>
              </w:rPr>
              <w:t xml:space="preserve"> </w:t>
            </w:r>
            <w:r w:rsidR="00F7196E" w:rsidRPr="00627DD6">
              <w:rPr>
                <w:rFonts w:asciiTheme="minorHAnsi" w:hAnsiTheme="minorHAnsi" w:cs="Courier New"/>
              </w:rPr>
              <w:t>–</w:t>
            </w:r>
            <w:r w:rsidRPr="00627DD6">
              <w:rPr>
                <w:rFonts w:asciiTheme="minorHAnsi" w:hAnsiTheme="minorHAnsi"/>
              </w:rPr>
              <w:t xml:space="preserve"> enough for a good, shared lunch. Nurse Janice at this point is quite ready to hand over the kai and leave some printed material</w:t>
            </w:r>
            <w:r w:rsidR="008B27AA" w:rsidRPr="00627DD6">
              <w:rPr>
                <w:rFonts w:asciiTheme="minorHAnsi" w:hAnsiTheme="minorHAnsi"/>
              </w:rPr>
              <w:t>. H</w:t>
            </w:r>
            <w:r w:rsidRPr="00627DD6">
              <w:rPr>
                <w:rFonts w:asciiTheme="minorHAnsi" w:hAnsiTheme="minorHAnsi"/>
              </w:rPr>
              <w:t>owever, as hoped</w:t>
            </w:r>
            <w:r w:rsidR="008B27AA" w:rsidRPr="00627DD6">
              <w:rPr>
                <w:rFonts w:asciiTheme="minorHAnsi" w:hAnsiTheme="minorHAnsi"/>
              </w:rPr>
              <w:t>,</w:t>
            </w:r>
            <w:r w:rsidRPr="00627DD6">
              <w:rPr>
                <w:rFonts w:asciiTheme="minorHAnsi" w:hAnsiTheme="minorHAnsi"/>
              </w:rPr>
              <w:t xml:space="preserve"> she is invited into the whare. The relationship has begun. She joins the whānau in the kitchen, helping get the kai ready. No clinical information has been shared, instead</w:t>
            </w:r>
            <w:r w:rsidR="008B27AA" w:rsidRPr="00627DD6">
              <w:rPr>
                <w:rFonts w:asciiTheme="minorHAnsi" w:hAnsiTheme="minorHAnsi"/>
              </w:rPr>
              <w:t>,</w:t>
            </w:r>
            <w:r w:rsidRPr="00627DD6">
              <w:rPr>
                <w:rFonts w:asciiTheme="minorHAnsi" w:hAnsiTheme="minorHAnsi"/>
              </w:rPr>
              <w:t xml:space="preserve"> they are learning about each other, “</w:t>
            </w:r>
            <w:r w:rsidR="00F7196E" w:rsidRPr="00627DD6">
              <w:rPr>
                <w:rFonts w:asciiTheme="minorHAnsi" w:hAnsiTheme="minorHAnsi"/>
              </w:rPr>
              <w:t>K</w:t>
            </w:r>
            <w:r w:rsidRPr="00627DD6">
              <w:rPr>
                <w:rFonts w:asciiTheme="minorHAnsi" w:hAnsiTheme="minorHAnsi"/>
              </w:rPr>
              <w:t xml:space="preserve">o </w:t>
            </w:r>
            <w:proofErr w:type="spellStart"/>
            <w:r w:rsidRPr="00627DD6">
              <w:rPr>
                <w:rFonts w:asciiTheme="minorHAnsi" w:hAnsiTheme="minorHAnsi"/>
              </w:rPr>
              <w:t>wai</w:t>
            </w:r>
            <w:proofErr w:type="spellEnd"/>
            <w:r w:rsidRPr="00627DD6">
              <w:rPr>
                <w:rFonts w:asciiTheme="minorHAnsi" w:hAnsiTheme="minorHAnsi"/>
              </w:rPr>
              <w:t xml:space="preserve"> au?” </w:t>
            </w:r>
          </w:p>
          <w:p w14:paraId="1FC28ED6" w14:textId="02B2A1B4" w:rsidR="00C50FE4" w:rsidRPr="00627DD6" w:rsidRDefault="00C50FE4" w:rsidP="00E42970">
            <w:pPr>
              <w:pStyle w:val="TableText"/>
              <w:spacing w:after="240"/>
              <w:rPr>
                <w:rFonts w:asciiTheme="minorHAnsi" w:hAnsiTheme="minorHAnsi"/>
              </w:rPr>
            </w:pPr>
            <w:r w:rsidRPr="00627DD6">
              <w:rPr>
                <w:rFonts w:asciiTheme="minorHAnsi" w:hAnsiTheme="minorHAnsi"/>
              </w:rPr>
              <w:t>After lunch, Koro says</w:t>
            </w:r>
            <w:r w:rsidR="008B27AA" w:rsidRPr="00627DD6">
              <w:rPr>
                <w:rFonts w:asciiTheme="minorHAnsi" w:hAnsiTheme="minorHAnsi"/>
              </w:rPr>
              <w:t>,</w:t>
            </w:r>
            <w:r w:rsidRPr="00627DD6">
              <w:rPr>
                <w:rFonts w:asciiTheme="minorHAnsi" w:hAnsiTheme="minorHAnsi"/>
              </w:rPr>
              <w:t xml:space="preserve"> “Well you better tell </w:t>
            </w:r>
            <w:r w:rsidR="006522BF" w:rsidRPr="00627DD6">
              <w:rPr>
                <w:rFonts w:asciiTheme="minorHAnsi" w:hAnsiTheme="minorHAnsi"/>
              </w:rPr>
              <w:t>us</w:t>
            </w:r>
            <w:r w:rsidRPr="00627DD6">
              <w:rPr>
                <w:rFonts w:asciiTheme="minorHAnsi" w:hAnsiTheme="minorHAnsi"/>
              </w:rPr>
              <w:t xml:space="preserve"> what you’re here for then.” With that opening</w:t>
            </w:r>
            <w:r w:rsidR="008B27AA" w:rsidRPr="00627DD6">
              <w:rPr>
                <w:rFonts w:asciiTheme="minorHAnsi" w:hAnsiTheme="minorHAnsi"/>
              </w:rPr>
              <w:t>,</w:t>
            </w:r>
            <w:r w:rsidRPr="00627DD6">
              <w:rPr>
                <w:rFonts w:asciiTheme="minorHAnsi" w:hAnsiTheme="minorHAnsi"/>
              </w:rPr>
              <w:t xml:space="preserve"> she shares information about COVID</w:t>
            </w:r>
            <w:r w:rsidR="00EF64B6" w:rsidRPr="00627DD6">
              <w:rPr>
                <w:rFonts w:asciiTheme="minorHAnsi" w:hAnsiTheme="minorHAnsi"/>
              </w:rPr>
              <w:t xml:space="preserve">-19 </w:t>
            </w:r>
            <w:r w:rsidRPr="00627DD6">
              <w:rPr>
                <w:rFonts w:asciiTheme="minorHAnsi" w:hAnsiTheme="minorHAnsi"/>
              </w:rPr>
              <w:t>and flu vaccines. Nurse Janice uses language like “protecting whakapapa”</w:t>
            </w:r>
            <w:r w:rsidR="00F7196E" w:rsidRPr="00627DD6">
              <w:rPr>
                <w:rFonts w:asciiTheme="minorHAnsi" w:hAnsiTheme="minorHAnsi"/>
              </w:rPr>
              <w:t>,</w:t>
            </w:r>
            <w:r w:rsidRPr="00627DD6">
              <w:rPr>
                <w:rFonts w:asciiTheme="minorHAnsi" w:hAnsiTheme="minorHAnsi"/>
              </w:rPr>
              <w:t xml:space="preserve"> “looking after </w:t>
            </w:r>
            <w:proofErr w:type="spellStart"/>
            <w:r w:rsidRPr="00627DD6">
              <w:rPr>
                <w:rFonts w:asciiTheme="minorHAnsi" w:hAnsiTheme="minorHAnsi"/>
              </w:rPr>
              <w:t>mokopuna</w:t>
            </w:r>
            <w:proofErr w:type="spellEnd"/>
            <w:r w:rsidRPr="00627DD6">
              <w:rPr>
                <w:rFonts w:asciiTheme="minorHAnsi" w:hAnsiTheme="minorHAnsi"/>
              </w:rPr>
              <w:t xml:space="preserve">.” She explains she can administer the flu vaccine today if they feel comfortable with that. Whānau are not forced to comply; they are free to </w:t>
            </w:r>
            <w:r w:rsidR="008B27AA" w:rsidRPr="00627DD6">
              <w:rPr>
                <w:rFonts w:asciiTheme="minorHAnsi" w:hAnsiTheme="minorHAnsi"/>
              </w:rPr>
              <w:t xml:space="preserve">choose </w:t>
            </w:r>
            <w:r w:rsidR="00F7196E" w:rsidRPr="00627DD6">
              <w:rPr>
                <w:rFonts w:asciiTheme="minorHAnsi" w:hAnsiTheme="minorHAnsi"/>
              </w:rPr>
              <w:t>w</w:t>
            </w:r>
            <w:r w:rsidR="008B27AA" w:rsidRPr="00627DD6">
              <w:rPr>
                <w:rFonts w:asciiTheme="minorHAnsi" w:hAnsiTheme="minorHAnsi"/>
              </w:rPr>
              <w:t>hat best suits</w:t>
            </w:r>
            <w:r w:rsidRPr="00627DD6">
              <w:rPr>
                <w:rFonts w:asciiTheme="minorHAnsi" w:hAnsiTheme="minorHAnsi"/>
              </w:rPr>
              <w:t xml:space="preserve"> them and their whānau. Without saying a word</w:t>
            </w:r>
            <w:r w:rsidR="008B27AA" w:rsidRPr="00627DD6">
              <w:rPr>
                <w:rFonts w:asciiTheme="minorHAnsi" w:hAnsiTheme="minorHAnsi"/>
              </w:rPr>
              <w:t>,</w:t>
            </w:r>
            <w:r w:rsidRPr="00627DD6">
              <w:rPr>
                <w:rFonts w:asciiTheme="minorHAnsi" w:hAnsiTheme="minorHAnsi"/>
              </w:rPr>
              <w:t xml:space="preserve"> Koro picks up the phone. Speaking in te reo, he appears to be inviting more whānau to the whare. He then rolls up his sleeve and says, “</w:t>
            </w:r>
            <w:r w:rsidR="00F7196E" w:rsidRPr="00627DD6">
              <w:rPr>
                <w:rFonts w:asciiTheme="minorHAnsi" w:hAnsiTheme="minorHAnsi"/>
              </w:rPr>
              <w:t>L</w:t>
            </w:r>
            <w:r w:rsidRPr="00627DD6">
              <w:rPr>
                <w:rFonts w:asciiTheme="minorHAnsi" w:hAnsiTheme="minorHAnsi"/>
              </w:rPr>
              <w:t xml:space="preserve">et’s get on with it then.” Within 30 minutes, Nurse Janice has met at least 10 other whānau or community members and shared the information on vaccines. She has also taken the time to do some wellbeing assessments for two young mums who have turned up with their </w:t>
            </w:r>
            <w:proofErr w:type="spellStart"/>
            <w:r w:rsidRPr="00627DD6">
              <w:rPr>
                <w:rFonts w:asciiTheme="minorHAnsi" w:hAnsiTheme="minorHAnsi"/>
              </w:rPr>
              <w:t>tamariki</w:t>
            </w:r>
            <w:proofErr w:type="spellEnd"/>
            <w:r w:rsidRPr="00627DD6">
              <w:rPr>
                <w:rFonts w:asciiTheme="minorHAnsi" w:hAnsiTheme="minorHAnsi"/>
              </w:rPr>
              <w:t>. Together they have decided that Nurse Janice will visit the following week</w:t>
            </w:r>
            <w:r w:rsidR="008B27AA" w:rsidRPr="00627DD6">
              <w:rPr>
                <w:rFonts w:asciiTheme="minorHAnsi" w:hAnsiTheme="minorHAnsi"/>
              </w:rPr>
              <w:t>,</w:t>
            </w:r>
            <w:r w:rsidRPr="00627DD6">
              <w:rPr>
                <w:rFonts w:asciiTheme="minorHAnsi" w:hAnsiTheme="minorHAnsi"/>
              </w:rPr>
              <w:t xml:space="preserve"> and she will bring her Whānau Ora work colleague with her so whānau can learn about additional supports and resources available. </w:t>
            </w:r>
          </w:p>
          <w:p w14:paraId="24A9DF75" w14:textId="001494D8" w:rsidR="00C50FE4" w:rsidRPr="002E7B55" w:rsidRDefault="00C50FE4" w:rsidP="00E42970">
            <w:pPr>
              <w:pStyle w:val="TableText"/>
              <w:spacing w:after="240"/>
            </w:pPr>
            <w:r w:rsidRPr="00627DD6">
              <w:rPr>
                <w:rFonts w:asciiTheme="minorHAnsi" w:hAnsiTheme="minorHAnsi"/>
              </w:rPr>
              <w:t>The following week Nurse Janice and her colleague return. The kawa and tikanga of the whare is respected</w:t>
            </w:r>
            <w:r w:rsidR="00F7196E" w:rsidRPr="00627DD6">
              <w:rPr>
                <w:rFonts w:asciiTheme="minorHAnsi" w:hAnsiTheme="minorHAnsi"/>
              </w:rPr>
              <w:t>,</w:t>
            </w:r>
            <w:r w:rsidRPr="00627DD6">
              <w:rPr>
                <w:rFonts w:asciiTheme="minorHAnsi" w:hAnsiTheme="minorHAnsi"/>
              </w:rPr>
              <w:t xml:space="preserve"> and once again the visit starts with mihi, </w:t>
            </w:r>
            <w:proofErr w:type="spellStart"/>
            <w:r w:rsidRPr="00627DD6">
              <w:rPr>
                <w:rFonts w:asciiTheme="minorHAnsi" w:hAnsiTheme="minorHAnsi"/>
              </w:rPr>
              <w:t>karakia</w:t>
            </w:r>
            <w:proofErr w:type="spellEnd"/>
            <w:r w:rsidRPr="00627DD6">
              <w:rPr>
                <w:rFonts w:asciiTheme="minorHAnsi" w:hAnsiTheme="minorHAnsi"/>
              </w:rPr>
              <w:t xml:space="preserve"> and kai, followed with vaccinations. A long-term relationship establish</w:t>
            </w:r>
            <w:r w:rsidR="008B27AA" w:rsidRPr="00627DD6">
              <w:rPr>
                <w:rFonts w:asciiTheme="minorHAnsi" w:hAnsiTheme="minorHAnsi"/>
              </w:rPr>
              <w:t>es</w:t>
            </w:r>
            <w:r w:rsidRPr="00627DD6">
              <w:rPr>
                <w:rFonts w:asciiTheme="minorHAnsi" w:hAnsiTheme="minorHAnsi"/>
              </w:rPr>
              <w:t xml:space="preserve"> with the community</w:t>
            </w:r>
            <w:r w:rsidR="008B27AA" w:rsidRPr="00627DD6">
              <w:rPr>
                <w:rFonts w:asciiTheme="minorHAnsi" w:hAnsiTheme="minorHAnsi"/>
              </w:rPr>
              <w:t>,</w:t>
            </w:r>
            <w:r w:rsidRPr="00627DD6">
              <w:rPr>
                <w:rFonts w:asciiTheme="minorHAnsi" w:hAnsiTheme="minorHAnsi"/>
              </w:rPr>
              <w:t xml:space="preserve"> and over time whānau learn to trust</w:t>
            </w:r>
            <w:r w:rsidR="00F7196E" w:rsidRPr="00627DD6">
              <w:rPr>
                <w:rFonts w:asciiTheme="minorHAnsi" w:hAnsiTheme="minorHAnsi"/>
              </w:rPr>
              <w:t xml:space="preserve"> her and her colleagues as health providers</w:t>
            </w:r>
            <w:r w:rsidRPr="00627DD6">
              <w:rPr>
                <w:rFonts w:asciiTheme="minorHAnsi" w:hAnsiTheme="minorHAnsi"/>
              </w:rPr>
              <w:t>. Most importantly, for Nurse Janice, whānau become</w:t>
            </w:r>
            <w:r w:rsidR="008B27AA" w:rsidRPr="00627DD6">
              <w:rPr>
                <w:rFonts w:asciiTheme="minorHAnsi" w:hAnsiTheme="minorHAnsi"/>
              </w:rPr>
              <w:t>s</w:t>
            </w:r>
            <w:r w:rsidRPr="00627DD6">
              <w:rPr>
                <w:rFonts w:asciiTheme="minorHAnsi" w:hAnsiTheme="minorHAnsi"/>
              </w:rPr>
              <w:t xml:space="preserve"> active participants in their wellbeing, pushing her to deliver the best whānau-centred practice she can. </w:t>
            </w:r>
          </w:p>
        </w:tc>
        <w:tc>
          <w:tcPr>
            <w:tcW w:w="2013" w:type="dxa"/>
          </w:tcPr>
          <w:p w14:paraId="23EE4D25" w14:textId="2577C8CF" w:rsidR="00C50FE4" w:rsidRPr="002E7B55" w:rsidRDefault="00C50FE4" w:rsidP="004A67F9">
            <w:pPr>
              <w:pStyle w:val="TableText"/>
              <w:jc w:val="center"/>
            </w:pPr>
          </w:p>
          <w:p w14:paraId="7F5F7799" w14:textId="77777777" w:rsidR="00E42970" w:rsidRPr="002E7B55" w:rsidRDefault="00E42970" w:rsidP="004A67F9">
            <w:pPr>
              <w:pStyle w:val="TableText"/>
              <w:jc w:val="center"/>
            </w:pPr>
          </w:p>
          <w:p w14:paraId="23F77A18" w14:textId="0CE2D83D" w:rsidR="00F7196E" w:rsidRPr="00627DD6" w:rsidRDefault="00F7196E" w:rsidP="004A67F9">
            <w:pPr>
              <w:pStyle w:val="TableText"/>
              <w:jc w:val="center"/>
              <w:rPr>
                <w:rFonts w:asciiTheme="minorHAnsi" w:hAnsiTheme="minorHAnsi"/>
                <w:b/>
                <w:bCs/>
              </w:rPr>
            </w:pPr>
            <w:r w:rsidRPr="00627DD6">
              <w:rPr>
                <w:rFonts w:asciiTheme="minorHAnsi" w:hAnsiTheme="minorHAnsi"/>
                <w:b/>
                <w:bCs/>
              </w:rPr>
              <w:t>Reaches out to where whānau are</w:t>
            </w:r>
          </w:p>
          <w:p w14:paraId="3EA47C49" w14:textId="68CD9139" w:rsidR="00C50FE4" w:rsidRDefault="00C50FE4" w:rsidP="004A67F9">
            <w:pPr>
              <w:pStyle w:val="TableText"/>
              <w:jc w:val="center"/>
              <w:rPr>
                <w:rFonts w:asciiTheme="minorHAnsi" w:hAnsiTheme="minorHAnsi"/>
                <w:b/>
                <w:bCs/>
              </w:rPr>
            </w:pPr>
          </w:p>
          <w:p w14:paraId="4CC1E40C" w14:textId="45567F98" w:rsidR="00627DD6" w:rsidRDefault="00627DD6" w:rsidP="004A67F9">
            <w:pPr>
              <w:pStyle w:val="TableText"/>
              <w:jc w:val="center"/>
              <w:rPr>
                <w:rFonts w:asciiTheme="minorHAnsi" w:hAnsiTheme="minorHAnsi"/>
                <w:b/>
                <w:bCs/>
              </w:rPr>
            </w:pPr>
          </w:p>
          <w:p w14:paraId="2269BEE4" w14:textId="77777777" w:rsidR="00627DD6" w:rsidRPr="00627DD6" w:rsidRDefault="00627DD6" w:rsidP="004A67F9">
            <w:pPr>
              <w:pStyle w:val="TableText"/>
              <w:jc w:val="center"/>
              <w:rPr>
                <w:rFonts w:asciiTheme="minorHAnsi" w:hAnsiTheme="minorHAnsi"/>
                <w:b/>
                <w:bCs/>
              </w:rPr>
            </w:pPr>
          </w:p>
          <w:p w14:paraId="4740C4D3" w14:textId="77777777" w:rsidR="00C50FE4" w:rsidRPr="00627DD6" w:rsidRDefault="00C50FE4" w:rsidP="004A67F9">
            <w:pPr>
              <w:pStyle w:val="TableText"/>
              <w:jc w:val="center"/>
              <w:rPr>
                <w:rFonts w:asciiTheme="minorHAnsi" w:hAnsiTheme="minorHAnsi"/>
                <w:b/>
                <w:bCs/>
              </w:rPr>
            </w:pPr>
          </w:p>
          <w:p w14:paraId="1ACBB75C" w14:textId="77777777" w:rsidR="00C50FE4" w:rsidRPr="00627DD6" w:rsidRDefault="00C50FE4" w:rsidP="004A67F9">
            <w:pPr>
              <w:pStyle w:val="TableText"/>
              <w:jc w:val="center"/>
              <w:rPr>
                <w:rFonts w:asciiTheme="minorHAnsi" w:hAnsiTheme="minorHAnsi"/>
                <w:b/>
                <w:bCs/>
              </w:rPr>
            </w:pPr>
          </w:p>
          <w:p w14:paraId="1445FCB2" w14:textId="77777777" w:rsidR="00C50FE4" w:rsidRPr="00627DD6" w:rsidRDefault="00C50FE4" w:rsidP="004A67F9">
            <w:pPr>
              <w:pStyle w:val="TableText"/>
              <w:jc w:val="center"/>
              <w:rPr>
                <w:rFonts w:asciiTheme="minorHAnsi" w:hAnsiTheme="minorHAnsi"/>
                <w:b/>
                <w:bCs/>
              </w:rPr>
            </w:pPr>
            <w:r w:rsidRPr="00627DD6">
              <w:rPr>
                <w:rFonts w:asciiTheme="minorHAnsi" w:hAnsiTheme="minorHAnsi"/>
                <w:b/>
                <w:bCs/>
              </w:rPr>
              <w:t>Anchored by a deep understanding of the concept of whānau</w:t>
            </w:r>
          </w:p>
          <w:p w14:paraId="6CFD7776" w14:textId="77777777" w:rsidR="00C50FE4" w:rsidRPr="00627DD6" w:rsidRDefault="00C50FE4" w:rsidP="004A67F9">
            <w:pPr>
              <w:pStyle w:val="TableText"/>
              <w:jc w:val="center"/>
              <w:rPr>
                <w:rFonts w:asciiTheme="minorHAnsi" w:hAnsiTheme="minorHAnsi"/>
                <w:b/>
                <w:bCs/>
              </w:rPr>
            </w:pPr>
          </w:p>
          <w:p w14:paraId="52DCD012" w14:textId="77777777" w:rsidR="00C50FE4" w:rsidRPr="00627DD6" w:rsidRDefault="00C50FE4" w:rsidP="004A67F9">
            <w:pPr>
              <w:pStyle w:val="TableText"/>
              <w:jc w:val="center"/>
              <w:rPr>
                <w:rFonts w:asciiTheme="minorHAnsi" w:hAnsiTheme="minorHAnsi"/>
                <w:b/>
                <w:bCs/>
              </w:rPr>
            </w:pPr>
          </w:p>
          <w:p w14:paraId="62783CF3" w14:textId="77777777" w:rsidR="00CD4B56" w:rsidRPr="00627DD6" w:rsidRDefault="00CD4B56" w:rsidP="004A67F9">
            <w:pPr>
              <w:pStyle w:val="TableText"/>
              <w:jc w:val="center"/>
              <w:rPr>
                <w:rFonts w:asciiTheme="minorHAnsi" w:hAnsiTheme="minorHAnsi"/>
                <w:b/>
                <w:bCs/>
              </w:rPr>
            </w:pPr>
          </w:p>
          <w:p w14:paraId="283A589C" w14:textId="77777777" w:rsidR="00CD4B56" w:rsidRPr="00627DD6" w:rsidRDefault="00CD4B56" w:rsidP="004A67F9">
            <w:pPr>
              <w:pStyle w:val="TableText"/>
              <w:jc w:val="center"/>
              <w:rPr>
                <w:rFonts w:asciiTheme="minorHAnsi" w:hAnsiTheme="minorHAnsi"/>
                <w:b/>
                <w:bCs/>
              </w:rPr>
            </w:pPr>
          </w:p>
          <w:p w14:paraId="277ECAD8" w14:textId="77777777" w:rsidR="00CD4B56" w:rsidRPr="00627DD6" w:rsidRDefault="00CD4B56" w:rsidP="004A67F9">
            <w:pPr>
              <w:pStyle w:val="TableText"/>
              <w:jc w:val="center"/>
              <w:rPr>
                <w:rFonts w:asciiTheme="minorHAnsi" w:hAnsiTheme="minorHAnsi"/>
                <w:b/>
                <w:bCs/>
              </w:rPr>
            </w:pPr>
          </w:p>
          <w:p w14:paraId="7C271315" w14:textId="01E76A74" w:rsidR="00C50FE4" w:rsidRPr="00627DD6" w:rsidRDefault="00C50FE4" w:rsidP="004A67F9">
            <w:pPr>
              <w:pStyle w:val="TableText"/>
              <w:jc w:val="center"/>
              <w:rPr>
                <w:rFonts w:asciiTheme="minorHAnsi" w:hAnsiTheme="minorHAnsi"/>
                <w:b/>
                <w:bCs/>
              </w:rPr>
            </w:pPr>
            <w:r w:rsidRPr="00627DD6">
              <w:rPr>
                <w:rFonts w:asciiTheme="minorHAnsi" w:hAnsiTheme="minorHAnsi"/>
                <w:b/>
                <w:bCs/>
              </w:rPr>
              <w:t>Draws on cultur</w:t>
            </w:r>
            <w:r w:rsidR="00F7196E" w:rsidRPr="00627DD6">
              <w:rPr>
                <w:rFonts w:asciiTheme="minorHAnsi" w:hAnsiTheme="minorHAnsi"/>
                <w:b/>
                <w:bCs/>
              </w:rPr>
              <w:t xml:space="preserve">al </w:t>
            </w:r>
            <w:r w:rsidR="00CD4B56" w:rsidRPr="00627DD6">
              <w:rPr>
                <w:rFonts w:asciiTheme="minorHAnsi" w:hAnsiTheme="minorHAnsi"/>
                <w:b/>
                <w:bCs/>
              </w:rPr>
              <w:t>knowledge</w:t>
            </w:r>
          </w:p>
          <w:p w14:paraId="021416F3" w14:textId="77777777" w:rsidR="00C50FE4" w:rsidRPr="00627DD6" w:rsidRDefault="00C50FE4" w:rsidP="004A67F9">
            <w:pPr>
              <w:pStyle w:val="TableText"/>
              <w:jc w:val="center"/>
              <w:rPr>
                <w:rFonts w:asciiTheme="minorHAnsi" w:hAnsiTheme="minorHAnsi"/>
                <w:b/>
                <w:bCs/>
              </w:rPr>
            </w:pPr>
          </w:p>
          <w:p w14:paraId="57C127BE" w14:textId="62F5D17E" w:rsidR="00C50FE4" w:rsidRDefault="00C50FE4" w:rsidP="004A67F9">
            <w:pPr>
              <w:pStyle w:val="TableText"/>
              <w:jc w:val="center"/>
              <w:rPr>
                <w:rFonts w:asciiTheme="minorHAnsi" w:hAnsiTheme="minorHAnsi"/>
                <w:b/>
                <w:bCs/>
              </w:rPr>
            </w:pPr>
          </w:p>
          <w:p w14:paraId="0B72AE63" w14:textId="4998B6C0" w:rsidR="00627DD6" w:rsidRDefault="00627DD6" w:rsidP="004A67F9">
            <w:pPr>
              <w:pStyle w:val="TableText"/>
              <w:jc w:val="center"/>
              <w:rPr>
                <w:rFonts w:asciiTheme="minorHAnsi" w:hAnsiTheme="minorHAnsi"/>
                <w:b/>
                <w:bCs/>
              </w:rPr>
            </w:pPr>
          </w:p>
          <w:p w14:paraId="02A7B2BA" w14:textId="76804E47" w:rsidR="00627DD6" w:rsidRDefault="00627DD6" w:rsidP="004A67F9">
            <w:pPr>
              <w:pStyle w:val="TableText"/>
              <w:jc w:val="center"/>
              <w:rPr>
                <w:rFonts w:asciiTheme="minorHAnsi" w:hAnsiTheme="minorHAnsi"/>
                <w:b/>
                <w:bCs/>
              </w:rPr>
            </w:pPr>
          </w:p>
          <w:p w14:paraId="3347E94A" w14:textId="77777777" w:rsidR="00627DD6" w:rsidRPr="00627DD6" w:rsidRDefault="00627DD6" w:rsidP="004A67F9">
            <w:pPr>
              <w:pStyle w:val="TableText"/>
              <w:jc w:val="center"/>
              <w:rPr>
                <w:rFonts w:asciiTheme="minorHAnsi" w:hAnsiTheme="minorHAnsi"/>
                <w:b/>
                <w:bCs/>
              </w:rPr>
            </w:pPr>
          </w:p>
          <w:p w14:paraId="22980371" w14:textId="77777777" w:rsidR="00F7196E" w:rsidRPr="00627DD6" w:rsidRDefault="00F7196E" w:rsidP="004A67F9">
            <w:pPr>
              <w:pStyle w:val="TableText"/>
              <w:jc w:val="center"/>
              <w:rPr>
                <w:rFonts w:asciiTheme="minorHAnsi" w:hAnsiTheme="minorHAnsi"/>
                <w:b/>
                <w:bCs/>
              </w:rPr>
            </w:pPr>
            <w:r w:rsidRPr="00627DD6">
              <w:rPr>
                <w:rFonts w:asciiTheme="minorHAnsi" w:hAnsiTheme="minorHAnsi"/>
                <w:b/>
                <w:bCs/>
              </w:rPr>
              <w:t>A whole-of-whānau approach</w:t>
            </w:r>
          </w:p>
          <w:p w14:paraId="281E7819" w14:textId="77777777" w:rsidR="00C50FE4" w:rsidRPr="00627DD6" w:rsidRDefault="00C50FE4" w:rsidP="004A67F9">
            <w:pPr>
              <w:pStyle w:val="TableText"/>
              <w:jc w:val="center"/>
              <w:rPr>
                <w:rFonts w:asciiTheme="minorHAnsi" w:hAnsiTheme="minorHAnsi"/>
                <w:b/>
                <w:bCs/>
              </w:rPr>
            </w:pPr>
          </w:p>
          <w:p w14:paraId="33F219EB" w14:textId="77777777" w:rsidR="00C50FE4" w:rsidRPr="00627DD6" w:rsidRDefault="00C50FE4" w:rsidP="004A67F9">
            <w:pPr>
              <w:pStyle w:val="TableText"/>
              <w:jc w:val="center"/>
              <w:rPr>
                <w:rFonts w:asciiTheme="minorHAnsi" w:hAnsiTheme="minorHAnsi"/>
                <w:b/>
                <w:bCs/>
              </w:rPr>
            </w:pPr>
          </w:p>
          <w:p w14:paraId="47DEFECC" w14:textId="749F9BF7" w:rsidR="00CD4B56" w:rsidRDefault="00CD4B56" w:rsidP="004A67F9">
            <w:pPr>
              <w:pStyle w:val="TableText"/>
              <w:jc w:val="center"/>
              <w:rPr>
                <w:rFonts w:asciiTheme="minorHAnsi" w:hAnsiTheme="minorHAnsi"/>
                <w:b/>
                <w:bCs/>
              </w:rPr>
            </w:pPr>
          </w:p>
          <w:p w14:paraId="29C6A1F0" w14:textId="49D50532" w:rsidR="00627DD6" w:rsidRDefault="00627DD6" w:rsidP="004A67F9">
            <w:pPr>
              <w:pStyle w:val="TableText"/>
              <w:jc w:val="center"/>
              <w:rPr>
                <w:rFonts w:asciiTheme="minorHAnsi" w:hAnsiTheme="minorHAnsi"/>
                <w:b/>
                <w:bCs/>
              </w:rPr>
            </w:pPr>
          </w:p>
          <w:p w14:paraId="4B003B75" w14:textId="77777777" w:rsidR="00627DD6" w:rsidRPr="00627DD6" w:rsidRDefault="00627DD6" w:rsidP="004A67F9">
            <w:pPr>
              <w:pStyle w:val="TableText"/>
              <w:jc w:val="center"/>
              <w:rPr>
                <w:rFonts w:asciiTheme="minorHAnsi" w:hAnsiTheme="minorHAnsi"/>
                <w:b/>
                <w:bCs/>
              </w:rPr>
            </w:pPr>
          </w:p>
          <w:p w14:paraId="3B5AED17" w14:textId="1282454B" w:rsidR="00C50FE4" w:rsidRPr="00627DD6" w:rsidRDefault="00C50FE4" w:rsidP="004A67F9">
            <w:pPr>
              <w:pStyle w:val="TableText"/>
              <w:jc w:val="center"/>
              <w:rPr>
                <w:rFonts w:asciiTheme="minorHAnsi" w:hAnsiTheme="minorHAnsi"/>
                <w:b/>
                <w:bCs/>
              </w:rPr>
            </w:pPr>
            <w:r w:rsidRPr="00627DD6">
              <w:rPr>
                <w:rFonts w:asciiTheme="minorHAnsi" w:hAnsiTheme="minorHAnsi"/>
                <w:b/>
                <w:bCs/>
              </w:rPr>
              <w:t>Provides holistic services that respond to needs and aspirations</w:t>
            </w:r>
          </w:p>
          <w:p w14:paraId="2A465337" w14:textId="546E4B11" w:rsidR="00C50FE4" w:rsidRPr="002E7B55" w:rsidRDefault="00C50FE4" w:rsidP="00E42970">
            <w:pPr>
              <w:pStyle w:val="TableText"/>
            </w:pPr>
          </w:p>
        </w:tc>
      </w:tr>
    </w:tbl>
    <w:p w14:paraId="181AA560" w14:textId="3E6B50A5" w:rsidR="00C50FE4" w:rsidRPr="002E7B55" w:rsidRDefault="00C50FE4" w:rsidP="00C50FE4"/>
    <w:p w14:paraId="6D12FAF2" w14:textId="77777777" w:rsidR="00CD4B56" w:rsidRPr="002E7B55" w:rsidRDefault="00CD4B56">
      <w:pPr>
        <w:spacing w:before="0" w:after="160" w:line="259" w:lineRule="auto"/>
        <w:rPr>
          <w:rFonts w:asciiTheme="majorHAnsi" w:eastAsiaTheme="majorEastAsia" w:hAnsiTheme="majorHAnsi" w:cstheme="majorBidi"/>
          <w:color w:val="125459" w:themeColor="accent1" w:themeShade="BF"/>
          <w:sz w:val="26"/>
          <w:szCs w:val="33"/>
        </w:rPr>
      </w:pPr>
      <w:r w:rsidRPr="002E7B55">
        <w:br w:type="page"/>
      </w:r>
    </w:p>
    <w:p w14:paraId="79735020" w14:textId="401B297A" w:rsidR="00CD4B56" w:rsidRPr="002E7B55" w:rsidRDefault="00CD4B56" w:rsidP="00CD4B56">
      <w:pPr>
        <w:pStyle w:val="Heading2"/>
      </w:pPr>
      <w:r w:rsidRPr="002E7B55">
        <w:lastRenderedPageBreak/>
        <w:t>Impacts and value of whānau-centred approaches in 2021</w:t>
      </w:r>
    </w:p>
    <w:p w14:paraId="4FFF8DBD" w14:textId="1109BDBC" w:rsidR="00E1732B" w:rsidRPr="002E7B55" w:rsidRDefault="00E1732B" w:rsidP="00E1732B">
      <w:r w:rsidRPr="002E7B55">
        <w:t>Throughout MIMVP</w:t>
      </w:r>
      <w:r w:rsidR="00F7196E" w:rsidRPr="002E7B55">
        <w:t xml:space="preserve"> delivery</w:t>
      </w:r>
      <w:r w:rsidRPr="002E7B55">
        <w:t xml:space="preserve"> </w:t>
      </w:r>
      <w:r w:rsidR="00CD4B56" w:rsidRPr="002E7B55">
        <w:t xml:space="preserve">both DHB and </w:t>
      </w:r>
      <w:r w:rsidR="006522BF" w:rsidRPr="002E7B55">
        <w:t>d</w:t>
      </w:r>
      <w:r w:rsidR="00CD4B56" w:rsidRPr="002E7B55">
        <w:t>irect-funded providers applied whānau-centred approaches to vaccinate whānau.</w:t>
      </w:r>
      <w:r w:rsidRPr="002E7B55">
        <w:t xml:space="preserve"> In practice, they were holistic and responsive. Providers focused their practice through a whānau-centred lens, zooming in on whānau needs and then panning out to encompass the community context, provider relationships and support.</w:t>
      </w:r>
    </w:p>
    <w:p w14:paraId="24C50B80" w14:textId="1AC19305" w:rsidR="00CD4B56" w:rsidRPr="002E7B55" w:rsidRDefault="00B00E81" w:rsidP="00CD4B56">
      <w:pPr>
        <w:pStyle w:val="Quote"/>
        <w:rPr>
          <w:lang w:val="en-NZ"/>
        </w:rPr>
      </w:pPr>
      <w:r w:rsidRPr="002E7B55">
        <w:rPr>
          <w:lang w:val="en-NZ"/>
        </w:rPr>
        <w:t>“</w:t>
      </w:r>
      <w:r w:rsidR="00CD4B56" w:rsidRPr="002E7B55">
        <w:rPr>
          <w:lang w:val="en-NZ"/>
        </w:rPr>
        <w:t>Having Iwi Māori lead in the decisions of locations and time. Providing space and time to inform the approach, being in locations that they are to provide that feedback and taking a whānau</w:t>
      </w:r>
      <w:r w:rsidR="00F7196E" w:rsidRPr="002E7B55">
        <w:rPr>
          <w:lang w:val="en-NZ"/>
        </w:rPr>
        <w:t>-</w:t>
      </w:r>
      <w:r w:rsidR="00CD4B56" w:rsidRPr="002E7B55">
        <w:rPr>
          <w:lang w:val="en-NZ"/>
        </w:rPr>
        <w:t>inclusive approach.</w:t>
      </w:r>
      <w:r w:rsidRPr="002E7B55">
        <w:rPr>
          <w:lang w:val="en-NZ"/>
        </w:rPr>
        <w:t>”</w:t>
      </w:r>
      <w:r w:rsidR="00CD4B56" w:rsidRPr="002E7B55">
        <w:rPr>
          <w:lang w:val="en-NZ"/>
        </w:rPr>
        <w:t xml:space="preserve"> (Provider)</w:t>
      </w:r>
    </w:p>
    <w:p w14:paraId="3601ADBF" w14:textId="77777777" w:rsidR="00CD4B56" w:rsidRPr="002E7B55" w:rsidRDefault="00CD4B56" w:rsidP="00C50FE4"/>
    <w:p w14:paraId="514714E9" w14:textId="26A31BD8" w:rsidR="00C50FE4" w:rsidRPr="002E7B55" w:rsidRDefault="00CD4B56" w:rsidP="0041391C">
      <w:pPr>
        <w:pStyle w:val="Heading3"/>
      </w:pPr>
      <w:r w:rsidRPr="002E7B55">
        <w:t xml:space="preserve">When needed, providers take services out to where whānau are </w:t>
      </w:r>
    </w:p>
    <w:p w14:paraId="1AE15015" w14:textId="06ACBBD0" w:rsidR="00CD4B56" w:rsidRPr="002E7B55" w:rsidRDefault="00D97DEA" w:rsidP="00CD4B56">
      <w:pPr>
        <w:rPr>
          <w:rFonts w:eastAsia="Arial Nova Light"/>
        </w:rPr>
      </w:pPr>
      <w:r w:rsidRPr="002E7B55">
        <w:rPr>
          <w:rFonts w:eastAsia="Arial Nova Light"/>
        </w:rPr>
        <w:t>Whānau</w:t>
      </w:r>
      <w:r w:rsidR="70D53BCA" w:rsidRPr="002E7B55">
        <w:rPr>
          <w:rFonts w:eastAsia="Arial Nova Light"/>
        </w:rPr>
        <w:t xml:space="preserve"> access to services is critical. Māori </w:t>
      </w:r>
      <w:r w:rsidR="006522BF" w:rsidRPr="002E7B55">
        <w:rPr>
          <w:rFonts w:eastAsia="Arial Nova Light"/>
        </w:rPr>
        <w:t>p</w:t>
      </w:r>
      <w:r w:rsidR="70D53BCA" w:rsidRPr="002E7B55">
        <w:rPr>
          <w:rFonts w:eastAsia="Arial Nova Light"/>
        </w:rPr>
        <w:t>roviders take services to whānau</w:t>
      </w:r>
      <w:r w:rsidR="00F7196E" w:rsidRPr="002E7B55">
        <w:rPr>
          <w:rFonts w:eastAsia="Arial Nova Light"/>
        </w:rPr>
        <w:t xml:space="preserve"> or</w:t>
      </w:r>
      <w:r w:rsidR="70D53BCA" w:rsidRPr="002E7B55">
        <w:rPr>
          <w:rFonts w:eastAsia="Arial Nova Light"/>
        </w:rPr>
        <w:t xml:space="preserve"> bring whānau to the </w:t>
      </w:r>
      <w:proofErr w:type="gramStart"/>
      <w:r w:rsidR="70D53BCA" w:rsidRPr="002E7B55">
        <w:rPr>
          <w:rFonts w:eastAsia="Arial Nova Light"/>
        </w:rPr>
        <w:t>service, and</w:t>
      </w:r>
      <w:proofErr w:type="gramEnd"/>
      <w:r w:rsidR="70D53BCA" w:rsidRPr="002E7B55">
        <w:rPr>
          <w:rFonts w:eastAsia="Arial Nova Light"/>
        </w:rPr>
        <w:t xml:space="preserve"> reduce </w:t>
      </w:r>
      <w:r w:rsidR="00F7196E" w:rsidRPr="002E7B55">
        <w:rPr>
          <w:rFonts w:eastAsia="Arial Nova Light"/>
        </w:rPr>
        <w:t xml:space="preserve">any other </w:t>
      </w:r>
      <w:r w:rsidR="70D53BCA" w:rsidRPr="002E7B55">
        <w:rPr>
          <w:rFonts w:eastAsia="Arial Nova Light"/>
        </w:rPr>
        <w:t>barriers to access.</w:t>
      </w:r>
    </w:p>
    <w:p w14:paraId="2EFA21F6" w14:textId="40BE3313" w:rsidR="00C50FE4" w:rsidRPr="002E7B55" w:rsidRDefault="00C50FE4" w:rsidP="004D500B">
      <w:r w:rsidRPr="002E7B55">
        <w:t xml:space="preserve">In the final </w:t>
      </w:r>
      <w:r w:rsidR="00DF097E" w:rsidRPr="002E7B55">
        <w:t xml:space="preserve">monitoring report survey, </w:t>
      </w:r>
      <w:r w:rsidRPr="002E7B55">
        <w:t>most providers (74</w:t>
      </w:r>
      <w:r w:rsidR="009D2139" w:rsidRPr="002E7B55">
        <w:t xml:space="preserve"> percent</w:t>
      </w:r>
      <w:r w:rsidRPr="002E7B55">
        <w:t>) felt that their MIMVP</w:t>
      </w:r>
      <w:r w:rsidR="00F7196E" w:rsidRPr="002E7B55">
        <w:t>-</w:t>
      </w:r>
      <w:r w:rsidRPr="002E7B55">
        <w:t xml:space="preserve">funded approach was centred on whānau with an overarching goal to </w:t>
      </w:r>
      <w:r w:rsidR="008B27AA" w:rsidRPr="002E7B55">
        <w:t>serve the Māori community better</w:t>
      </w:r>
      <w:r w:rsidRPr="002E7B55">
        <w:t xml:space="preserve">. In 2021, as in 2020, providers understood the need to connect with whānau in the places they frequent, including work, home, community settings and at doctors’ surgeries. </w:t>
      </w:r>
    </w:p>
    <w:p w14:paraId="4CF5A2BF" w14:textId="43FC967B" w:rsidR="00C50FE4" w:rsidRPr="002E7B55" w:rsidRDefault="00C50FE4" w:rsidP="004D500B">
      <w:r w:rsidRPr="002E7B55">
        <w:t>Providers felt that MIMVP accelerated and spread the delivery of kaupapa Māori and whānau</w:t>
      </w:r>
      <w:r w:rsidR="00F7196E" w:rsidRPr="002E7B55">
        <w:t>-</w:t>
      </w:r>
      <w:r w:rsidRPr="002E7B55">
        <w:t xml:space="preserve">centred services across DHB and </w:t>
      </w:r>
      <w:r w:rsidR="00F7196E" w:rsidRPr="002E7B55">
        <w:t>d</w:t>
      </w:r>
      <w:r w:rsidR="00B17C4D" w:rsidRPr="002E7B55">
        <w:t>irect-funded</w:t>
      </w:r>
      <w:r w:rsidRPr="002E7B55">
        <w:t xml:space="preserve"> providers. </w:t>
      </w:r>
    </w:p>
    <w:p w14:paraId="64C92A45" w14:textId="20DF41CF" w:rsidR="00305C78" w:rsidRPr="002E7B55" w:rsidRDefault="00B00E81" w:rsidP="00305C78">
      <w:pPr>
        <w:pStyle w:val="Quote"/>
        <w:rPr>
          <w:lang w:val="en-NZ"/>
        </w:rPr>
      </w:pPr>
      <w:r w:rsidRPr="002E7B55">
        <w:rPr>
          <w:lang w:val="en-NZ"/>
        </w:rPr>
        <w:t>“</w:t>
      </w:r>
      <w:r w:rsidR="00C50FE4" w:rsidRPr="002E7B55">
        <w:rPr>
          <w:lang w:val="en-NZ"/>
        </w:rPr>
        <w:t>We were able to get services out to whānau who typically either could not or would not engage with primary care services. We’re finally being able to take services out to our most vulnerable, with a true kaupapa Māori approach.</w:t>
      </w:r>
      <w:r w:rsidRPr="002E7B55">
        <w:rPr>
          <w:lang w:val="en-NZ"/>
        </w:rPr>
        <w:t>”</w:t>
      </w:r>
      <w:r w:rsidR="00C50FE4" w:rsidRPr="002E7B55">
        <w:rPr>
          <w:lang w:val="en-NZ"/>
        </w:rPr>
        <w:t xml:space="preserve"> (DHB) </w:t>
      </w:r>
    </w:p>
    <w:p w14:paraId="4AAF4665" w14:textId="77777777" w:rsidR="00E1732B" w:rsidRPr="002E7B55" w:rsidRDefault="00E1732B" w:rsidP="00E1732B"/>
    <w:p w14:paraId="654B3B16" w14:textId="1973733F" w:rsidR="00C50FE4" w:rsidRPr="002E7B55" w:rsidRDefault="00CD4B56" w:rsidP="0041391C">
      <w:pPr>
        <w:pStyle w:val="Heading3"/>
      </w:pPr>
      <w:r w:rsidRPr="002E7B55">
        <w:t xml:space="preserve">Providers utilised a diversity of approaches and activities when engaging with </w:t>
      </w:r>
      <w:r w:rsidR="00D97DEA" w:rsidRPr="002E7B55">
        <w:t>whānau</w:t>
      </w:r>
    </w:p>
    <w:p w14:paraId="52F58B9A" w14:textId="77777777" w:rsidR="00550C1E" w:rsidRPr="002E7B55" w:rsidRDefault="00550C1E" w:rsidP="00550C1E">
      <w:r w:rsidRPr="002E7B55">
        <w:t xml:space="preserve">Across all MIMVP activities, providers used diverse engagement, delivery and partnering options to engage in their communities and reach whānau in their local environments. </w:t>
      </w:r>
    </w:p>
    <w:p w14:paraId="1226A23F" w14:textId="0F171037" w:rsidR="00C50FE4" w:rsidRPr="002E7B55" w:rsidRDefault="00C50FE4" w:rsidP="004D500B">
      <w:r w:rsidRPr="002E7B55">
        <w:t>Many providers delivered educational activities and raised awareness of flu and MMR vaccinations.</w:t>
      </w:r>
      <w:r w:rsidR="0000213B" w:rsidRPr="002E7B55">
        <w:rPr>
          <w:rStyle w:val="EndnoteReference"/>
        </w:rPr>
        <w:endnoteReference w:id="14"/>
      </w:r>
      <w:r w:rsidRPr="002E7B55">
        <w:t xml:space="preserve"> Travelling to provide vaccinations in the community, transporting kaumatua and whānau to a clinic, and making home visits were the </w:t>
      </w:r>
      <w:r w:rsidR="00B21A91" w:rsidRPr="002E7B55">
        <w:t xml:space="preserve">next </w:t>
      </w:r>
      <w:r w:rsidRPr="002E7B55">
        <w:t xml:space="preserve">most </w:t>
      </w:r>
      <w:r w:rsidR="00B21A91" w:rsidRPr="002E7B55">
        <w:t xml:space="preserve">frequently </w:t>
      </w:r>
      <w:r w:rsidRPr="002E7B55">
        <w:t>mentioned activities</w:t>
      </w:r>
      <w:r w:rsidR="00F7196E" w:rsidRPr="002E7B55">
        <w:t>, cited</w:t>
      </w:r>
      <w:r w:rsidRPr="002E7B55">
        <w:t xml:space="preserve"> by around half of the providers.</w:t>
      </w:r>
      <w:r w:rsidR="008A2A3E" w:rsidRPr="002E7B55">
        <w:rPr>
          <w:rStyle w:val="EndnoteReference"/>
        </w:rPr>
        <w:endnoteReference w:id="15"/>
      </w:r>
      <w:r w:rsidRPr="002E7B55">
        <w:t xml:space="preserve"> A third of all providers also described setting up temporary pop-up clinics </w:t>
      </w:r>
      <w:r w:rsidR="00F7196E" w:rsidRPr="002E7B55">
        <w:t xml:space="preserve">such as in </w:t>
      </w:r>
      <w:r w:rsidR="008B27AA" w:rsidRPr="002E7B55">
        <w:t>a supermarket carpark</w:t>
      </w:r>
      <w:r w:rsidRPr="002E7B55">
        <w:t>. Nearly all d</w:t>
      </w:r>
      <w:r w:rsidR="00B17C4D" w:rsidRPr="002E7B55">
        <w:t>irect-funded</w:t>
      </w:r>
      <w:r w:rsidRPr="002E7B55">
        <w:t xml:space="preserve"> providers mentioned setting up temporary pop-up clinics in a Māori</w:t>
      </w:r>
      <w:r w:rsidR="00F7196E" w:rsidRPr="002E7B55">
        <w:t xml:space="preserve">-connected </w:t>
      </w:r>
      <w:r w:rsidRPr="002E7B55">
        <w:t>site, such as a marae.</w:t>
      </w:r>
      <w:r w:rsidR="008A2A3E" w:rsidRPr="002E7B55">
        <w:rPr>
          <w:rStyle w:val="EndnoteReference"/>
        </w:rPr>
        <w:endnoteReference w:id="16"/>
      </w:r>
      <w:r w:rsidRPr="002E7B55">
        <w:t xml:space="preserve"> Many also partnered with other organisations delivering vaccinations on their sites, such as in a pharmacy or workplace.</w:t>
      </w:r>
    </w:p>
    <w:p w14:paraId="6F2B09E6" w14:textId="0099705A" w:rsidR="00C50FE4" w:rsidRPr="002E7B55" w:rsidRDefault="00C50FE4" w:rsidP="004D500B">
      <w:r w:rsidRPr="002E7B55">
        <w:t xml:space="preserve">Most </w:t>
      </w:r>
      <w:r w:rsidR="00B17C4D" w:rsidRPr="002E7B55">
        <w:t>DHB-funded</w:t>
      </w:r>
      <w:r w:rsidRPr="002E7B55">
        <w:t xml:space="preserve"> providers and all d</w:t>
      </w:r>
      <w:r w:rsidR="00B17C4D" w:rsidRPr="002E7B55">
        <w:t>irect-funded</w:t>
      </w:r>
      <w:r w:rsidRPr="002E7B55">
        <w:t xml:space="preserve"> providers delivered flu vaccinations in 2021. Many providers also offered COVID-19 vaccinations and MMR vaccinations. A half or fewer </w:t>
      </w:r>
      <w:r w:rsidR="00B21A91" w:rsidRPr="002E7B55">
        <w:t xml:space="preserve">administered </w:t>
      </w:r>
      <w:r w:rsidRPr="002E7B55">
        <w:t>childhood immunisations and other vaccinations.</w:t>
      </w:r>
    </w:p>
    <w:p w14:paraId="09977C5F" w14:textId="3C59FDCB" w:rsidR="006E6509" w:rsidRPr="002E7B55" w:rsidRDefault="006E6509" w:rsidP="006E6509">
      <w:pPr>
        <w:pStyle w:val="Chart-full-width"/>
      </w:pPr>
      <w:r>
        <w:lastRenderedPageBreak/>
        <w:drawing>
          <wp:inline distT="0" distB="0" distL="0" distR="0" wp14:anchorId="3A0EB5BB" wp14:editId="55EA1570">
            <wp:extent cx="6096635" cy="3429000"/>
            <wp:effectExtent l="0" t="0" r="0" b="0"/>
            <wp:docPr id="21" name="Picture 21" descr="Graph of activities and approaches provdiers use. Educational activities and Awareness raising activities in the community are the highest. There are similar splits between DHB-funded and direct-funded providers across other options. However, the biggest difference is 'pop-up clinic' which was reported by 9 direct-funded providers but only 5 DHB-funded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of activities and approaches provdiers use. Educational activities and Awareness raising activities in the community are the highest. There are similar splits between DHB-funded and direct-funded providers across other options. However, the biggest difference is 'pop-up clinic' which was reported by 9 direct-funded providers but only 5 DHB-funded provide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7983E3A" w14:textId="798E5325" w:rsidR="002D7C32" w:rsidRPr="002E7B55" w:rsidRDefault="002D7C32" w:rsidP="002D7C32">
      <w:pPr>
        <w:pStyle w:val="Caption"/>
      </w:pPr>
      <w:bookmarkStart w:id="28" w:name="_Toc96341688"/>
      <w:r w:rsidRPr="002E7B55">
        <w:t xml:space="preserve">Figure </w:t>
      </w:r>
      <w:r w:rsidRPr="002E7B55">
        <w:fldChar w:fldCharType="begin"/>
      </w:r>
      <w:r w:rsidRPr="002E7B55">
        <w:instrText xml:space="preserve"> SEQ Figure \* ARABIC </w:instrText>
      </w:r>
      <w:r w:rsidRPr="002E7B55">
        <w:fldChar w:fldCharType="separate"/>
      </w:r>
      <w:r w:rsidR="00886DCA" w:rsidRPr="002E7B55">
        <w:t>9</w:t>
      </w:r>
      <w:r w:rsidRPr="002E7B55">
        <w:fldChar w:fldCharType="end"/>
      </w:r>
      <w:r w:rsidR="005964C7" w:rsidRPr="002E7B55">
        <w:t xml:space="preserve">: Activities and approaches providers delivered as part of their MIMVP-funded work </w:t>
      </w:r>
      <w:r w:rsidR="00362977" w:rsidRPr="002E7B55">
        <w:rPr>
          <w:rStyle w:val="EndnoteReference"/>
        </w:rPr>
        <w:endnoteReference w:id="17"/>
      </w:r>
      <w:bookmarkEnd w:id="28"/>
    </w:p>
    <w:p w14:paraId="174C1AA5" w14:textId="75B5EE5F" w:rsidR="00C50FE4" w:rsidRPr="002E7B55" w:rsidRDefault="00C50FE4" w:rsidP="0041391C">
      <w:pPr>
        <w:pStyle w:val="Heading3"/>
      </w:pPr>
      <w:r w:rsidRPr="002E7B55">
        <w:t xml:space="preserve">Holistic services are responsive to </w:t>
      </w:r>
      <w:r w:rsidR="0096399B" w:rsidRPr="002E7B55">
        <w:t>whānau</w:t>
      </w:r>
      <w:r w:rsidRPr="002E7B55">
        <w:t xml:space="preserve"> need</w:t>
      </w:r>
    </w:p>
    <w:p w14:paraId="5DA6F273" w14:textId="4F55B909" w:rsidR="00C50FE4" w:rsidRPr="002E7B55" w:rsidRDefault="00C50FE4" w:rsidP="004D500B">
      <w:r w:rsidRPr="002E7B55">
        <w:t xml:space="preserve">In line with </w:t>
      </w:r>
      <w:proofErr w:type="spellStart"/>
      <w:r w:rsidRPr="002E7B55">
        <w:t>Te</w:t>
      </w:r>
      <w:proofErr w:type="spellEnd"/>
      <w:r w:rsidRPr="002E7B55">
        <w:t xml:space="preserve"> Whare Tapa </w:t>
      </w:r>
      <w:proofErr w:type="spellStart"/>
      <w:r w:rsidRPr="002E7B55">
        <w:t>Wha</w:t>
      </w:r>
      <w:proofErr w:type="spellEnd"/>
      <w:sdt>
        <w:sdtPr>
          <w:id w:val="-1897885864"/>
          <w:citation/>
        </w:sdtPr>
        <w:sdtEndPr/>
        <w:sdtContent>
          <w:r w:rsidR="004A368D" w:rsidRPr="002E7B55">
            <w:fldChar w:fldCharType="begin"/>
          </w:r>
          <w:r w:rsidR="004A368D" w:rsidRPr="002E7B55">
            <w:instrText xml:space="preserve"> CITATION Dur22 \l 1153 </w:instrText>
          </w:r>
          <w:r w:rsidR="004A368D" w:rsidRPr="002E7B55">
            <w:fldChar w:fldCharType="separate"/>
          </w:r>
          <w:r w:rsidR="00025361" w:rsidRPr="002E7B55">
            <w:t xml:space="preserve"> (19)</w:t>
          </w:r>
          <w:r w:rsidR="004A368D" w:rsidRPr="002E7B55">
            <w:fldChar w:fldCharType="end"/>
          </w:r>
        </w:sdtContent>
      </w:sdt>
      <w:r w:rsidR="004A368D" w:rsidRPr="002E7B55">
        <w:t>,</w:t>
      </w:r>
      <w:r w:rsidRPr="002E7B55">
        <w:t xml:space="preserve"> </w:t>
      </w:r>
      <w:r w:rsidR="001453D8" w:rsidRPr="002E7B55">
        <w:t xml:space="preserve">the </w:t>
      </w:r>
      <w:r w:rsidR="00925842" w:rsidRPr="002E7B55">
        <w:t>provider</w:t>
      </w:r>
      <w:r w:rsidRPr="002E7B55">
        <w:t xml:space="preserve"> whānau-centred approach</w:t>
      </w:r>
      <w:r w:rsidR="00925842" w:rsidRPr="002E7B55">
        <w:t>es</w:t>
      </w:r>
      <w:r w:rsidRPr="002E7B55">
        <w:t xml:space="preserve"> recognise</w:t>
      </w:r>
      <w:r w:rsidR="00925842" w:rsidRPr="002E7B55">
        <w:t>d</w:t>
      </w:r>
      <w:r w:rsidRPr="002E7B55">
        <w:t xml:space="preserve"> that health care is only one aspect of wellbeing. </w:t>
      </w:r>
    </w:p>
    <w:p w14:paraId="427E071D" w14:textId="1F2F0023" w:rsidR="00C50FE4" w:rsidRPr="002E7B55" w:rsidRDefault="00362977" w:rsidP="00305C78">
      <w:pPr>
        <w:pStyle w:val="Quote"/>
        <w:rPr>
          <w:lang w:val="en-NZ"/>
        </w:rPr>
      </w:pPr>
      <w:r w:rsidRPr="002E7B55">
        <w:rPr>
          <w:lang w:val="en-NZ"/>
        </w:rPr>
        <w:t>“</w:t>
      </w:r>
      <w:r w:rsidR="00C50FE4" w:rsidRPr="002E7B55">
        <w:rPr>
          <w:lang w:val="en-NZ"/>
        </w:rPr>
        <w:t xml:space="preserve">Assessing a </w:t>
      </w:r>
      <w:r w:rsidR="0096399B" w:rsidRPr="002E7B55">
        <w:rPr>
          <w:lang w:val="en-NZ"/>
        </w:rPr>
        <w:t>whānau</w:t>
      </w:r>
      <w:r w:rsidR="00C50FE4" w:rsidRPr="002E7B55">
        <w:rPr>
          <w:lang w:val="en-NZ"/>
        </w:rPr>
        <w:t xml:space="preserve"> as a whole [are they] financially ok; just about everyone has a need for food.</w:t>
      </w:r>
      <w:r w:rsidRPr="002E7B55">
        <w:rPr>
          <w:lang w:val="en-NZ"/>
        </w:rPr>
        <w:t>”</w:t>
      </w:r>
      <w:r w:rsidR="00C50FE4" w:rsidRPr="002E7B55">
        <w:rPr>
          <w:lang w:val="en-NZ"/>
        </w:rPr>
        <w:t xml:space="preserve"> (Provider)</w:t>
      </w:r>
    </w:p>
    <w:p w14:paraId="3CA46D4D" w14:textId="77777777" w:rsidR="001435C5" w:rsidRDefault="001435C5" w:rsidP="004D500B"/>
    <w:p w14:paraId="77E3C431" w14:textId="74F02ABC" w:rsidR="00C50FE4" w:rsidRPr="002E7B55" w:rsidRDefault="00C50FE4" w:rsidP="004D500B">
      <w:r w:rsidRPr="002E7B55">
        <w:t xml:space="preserve">Māori providers understood that whānau </w:t>
      </w:r>
      <w:r w:rsidR="00E251E2" w:rsidRPr="002E7B55">
        <w:t>could not</w:t>
      </w:r>
      <w:r w:rsidRPr="002E7B55">
        <w:t xml:space="preserve"> respond to their health needs if they </w:t>
      </w:r>
      <w:r w:rsidR="00E251E2" w:rsidRPr="002E7B55">
        <w:t>we</w:t>
      </w:r>
      <w:r w:rsidRPr="002E7B55">
        <w:t>re stress</w:t>
      </w:r>
      <w:r w:rsidR="00EC1527" w:rsidRPr="002E7B55">
        <w:t>ed</w:t>
      </w:r>
      <w:r w:rsidRPr="002E7B55">
        <w:t xml:space="preserve"> and overwhelmed with bills, rent and a lack of food. To alleviate the</w:t>
      </w:r>
      <w:r w:rsidR="00E251E2" w:rsidRPr="002E7B55">
        <w:t>se</w:t>
      </w:r>
      <w:r w:rsidRPr="002E7B55">
        <w:t xml:space="preserve"> situations</w:t>
      </w:r>
      <w:r w:rsidR="00E251E2" w:rsidRPr="002E7B55">
        <w:t>,</w:t>
      </w:r>
      <w:r w:rsidRPr="002E7B55">
        <w:t xml:space="preserve"> whānau </w:t>
      </w:r>
      <w:r w:rsidR="00E251E2" w:rsidRPr="002E7B55">
        <w:t>received</w:t>
      </w:r>
      <w:r w:rsidRPr="002E7B55">
        <w:t xml:space="preserve"> food parcels, </w:t>
      </w:r>
      <w:proofErr w:type="gramStart"/>
      <w:r w:rsidRPr="002E7B55">
        <w:t>petrol</w:t>
      </w:r>
      <w:proofErr w:type="gramEnd"/>
      <w:r w:rsidRPr="002E7B55">
        <w:t xml:space="preserve"> and supermarket </w:t>
      </w:r>
      <w:r w:rsidR="00305C78" w:rsidRPr="002E7B55">
        <w:t>vouchers</w:t>
      </w:r>
      <w:r w:rsidRPr="002E7B55">
        <w:t>.</w:t>
      </w:r>
      <w:r w:rsidR="00E251E2" w:rsidRPr="002E7B55">
        <w:t xml:space="preserve"> Providers also gave f</w:t>
      </w:r>
      <w:r w:rsidRPr="002E7B55">
        <w:t>lu vaccinations to whānau who did not meet the criteria and support</w:t>
      </w:r>
      <w:r w:rsidR="00E251E2" w:rsidRPr="002E7B55">
        <w:t>ed</w:t>
      </w:r>
      <w:r w:rsidRPr="002E7B55">
        <w:t xml:space="preserve"> </w:t>
      </w:r>
      <w:r w:rsidR="00E251E2" w:rsidRPr="002E7B55">
        <w:t>their</w:t>
      </w:r>
      <w:r w:rsidRPr="002E7B55">
        <w:t xml:space="preserve"> </w:t>
      </w:r>
      <w:r w:rsidR="00E251E2" w:rsidRPr="002E7B55">
        <w:t xml:space="preserve">needs for </w:t>
      </w:r>
      <w:r w:rsidRPr="002E7B55">
        <w:t xml:space="preserve">medication and supplies. In addition, healthcare assessments </w:t>
      </w:r>
      <w:r w:rsidR="00E251E2" w:rsidRPr="002E7B55">
        <w:t>linked whānau to relevant services</w:t>
      </w:r>
      <w:r w:rsidRPr="002E7B55">
        <w:t xml:space="preserve">. </w:t>
      </w:r>
    </w:p>
    <w:p w14:paraId="77EA71C6" w14:textId="55FFE0F0" w:rsidR="00C50FE4" w:rsidRPr="002E7B55" w:rsidRDefault="6E687390" w:rsidP="004D500B">
      <w:r w:rsidRPr="002E7B55">
        <w:t>On average</w:t>
      </w:r>
      <w:r w:rsidR="00E96168" w:rsidRPr="002E7B55">
        <w:t>,</w:t>
      </w:r>
      <w:r w:rsidRPr="002E7B55">
        <w:t xml:space="preserve"> direct-funded providers offered seven different types of support, while DHB-funded providers offered, on average, five other types of support. The kinds of support provided included:</w:t>
      </w:r>
    </w:p>
    <w:p w14:paraId="781BC15F" w14:textId="77777777" w:rsidR="00C50FE4" w:rsidRPr="002E7B55" w:rsidRDefault="00C50FE4" w:rsidP="00695245">
      <w:pPr>
        <w:pStyle w:val="ListParagraph"/>
        <w:numPr>
          <w:ilvl w:val="0"/>
          <w:numId w:val="13"/>
        </w:numPr>
        <w:rPr>
          <w:lang w:val="en-NZ"/>
        </w:rPr>
      </w:pPr>
      <w:r w:rsidRPr="002E7B55">
        <w:rPr>
          <w:lang w:val="en-NZ"/>
        </w:rPr>
        <w:t xml:space="preserve">hygiene packs and food parcels </w:t>
      </w:r>
    </w:p>
    <w:p w14:paraId="5BD650DF" w14:textId="6A399DD8" w:rsidR="00C50FE4" w:rsidRPr="002E7B55" w:rsidRDefault="00C50FE4" w:rsidP="00695245">
      <w:pPr>
        <w:pStyle w:val="ListParagraph"/>
        <w:numPr>
          <w:ilvl w:val="0"/>
          <w:numId w:val="13"/>
        </w:numPr>
        <w:rPr>
          <w:lang w:val="en-NZ"/>
        </w:rPr>
      </w:pPr>
      <w:r w:rsidRPr="002E7B55">
        <w:rPr>
          <w:lang w:val="en-NZ"/>
        </w:rPr>
        <w:t>COVID</w:t>
      </w:r>
      <w:r w:rsidR="00562F72" w:rsidRPr="002E7B55">
        <w:rPr>
          <w:lang w:val="en-NZ"/>
        </w:rPr>
        <w:t>-19</w:t>
      </w:r>
      <w:r w:rsidRPr="002E7B55">
        <w:rPr>
          <w:lang w:val="en-NZ"/>
        </w:rPr>
        <w:t xml:space="preserve"> vaccination and testing </w:t>
      </w:r>
    </w:p>
    <w:p w14:paraId="47E9627D" w14:textId="77777777" w:rsidR="00C50FE4" w:rsidRPr="002E7B55" w:rsidRDefault="00C50FE4" w:rsidP="00695245">
      <w:pPr>
        <w:pStyle w:val="ListParagraph"/>
        <w:numPr>
          <w:ilvl w:val="0"/>
          <w:numId w:val="13"/>
        </w:numPr>
        <w:rPr>
          <w:lang w:val="en-NZ"/>
        </w:rPr>
      </w:pPr>
      <w:r w:rsidRPr="002E7B55">
        <w:rPr>
          <w:lang w:val="en-NZ"/>
        </w:rPr>
        <w:t xml:space="preserve">other vaccines such as measles and shingles and catch-up vaccines for babies and young children </w:t>
      </w:r>
    </w:p>
    <w:p w14:paraId="5F742954" w14:textId="437CB885" w:rsidR="00C50FE4" w:rsidRPr="002E7B55" w:rsidRDefault="00C50FE4" w:rsidP="00695245">
      <w:pPr>
        <w:pStyle w:val="ListParagraph"/>
        <w:numPr>
          <w:ilvl w:val="0"/>
          <w:numId w:val="13"/>
        </w:numPr>
        <w:rPr>
          <w:lang w:val="en-NZ"/>
        </w:rPr>
      </w:pPr>
      <w:r w:rsidRPr="002E7B55">
        <w:rPr>
          <w:lang w:val="en-NZ"/>
        </w:rPr>
        <w:t>flu vaccin</w:t>
      </w:r>
      <w:r w:rsidR="00216589" w:rsidRPr="002E7B55">
        <w:rPr>
          <w:lang w:val="en-NZ"/>
        </w:rPr>
        <w:t>ation</w:t>
      </w:r>
      <w:r w:rsidRPr="002E7B55">
        <w:rPr>
          <w:lang w:val="en-NZ"/>
        </w:rPr>
        <w:t xml:space="preserve"> for other </w:t>
      </w:r>
      <w:r w:rsidR="0096399B" w:rsidRPr="002E7B55">
        <w:rPr>
          <w:lang w:val="en-NZ"/>
        </w:rPr>
        <w:t>whānau</w:t>
      </w:r>
      <w:r w:rsidRPr="002E7B55">
        <w:rPr>
          <w:lang w:val="en-NZ"/>
        </w:rPr>
        <w:t xml:space="preserve">, including flu vaccinations for </w:t>
      </w:r>
      <w:r w:rsidR="0096399B" w:rsidRPr="002E7B55">
        <w:rPr>
          <w:lang w:val="en-NZ"/>
        </w:rPr>
        <w:t>whānau</w:t>
      </w:r>
      <w:r w:rsidRPr="002E7B55">
        <w:rPr>
          <w:lang w:val="en-NZ"/>
        </w:rPr>
        <w:t xml:space="preserve"> who did not meet the eligibility criteria (</w:t>
      </w:r>
      <w:r w:rsidR="004A368D" w:rsidRPr="002E7B55">
        <w:rPr>
          <w:lang w:val="en-NZ"/>
        </w:rPr>
        <w:t>some providers asked ineligible whānau to pay for flu vaccinations and others did not</w:t>
      </w:r>
      <w:r w:rsidRPr="002E7B55">
        <w:rPr>
          <w:lang w:val="en-NZ"/>
        </w:rPr>
        <w:t>)</w:t>
      </w:r>
      <w:r w:rsidR="004A368D" w:rsidRPr="002E7B55" w:rsidDel="004A368D">
        <w:rPr>
          <w:lang w:val="en-NZ"/>
        </w:rPr>
        <w:t xml:space="preserve"> </w:t>
      </w:r>
    </w:p>
    <w:p w14:paraId="06626624" w14:textId="3F696845" w:rsidR="00C50FE4" w:rsidRPr="002E7B55" w:rsidRDefault="00C50FE4" w:rsidP="00695245">
      <w:pPr>
        <w:pStyle w:val="ListParagraph"/>
        <w:numPr>
          <w:ilvl w:val="0"/>
          <w:numId w:val="13"/>
        </w:numPr>
        <w:rPr>
          <w:lang w:val="en-NZ"/>
        </w:rPr>
      </w:pPr>
      <w:r w:rsidRPr="002E7B55">
        <w:rPr>
          <w:lang w:val="en-NZ"/>
        </w:rPr>
        <w:t>other medical assistance and health care assessments</w:t>
      </w:r>
    </w:p>
    <w:p w14:paraId="07F538C4" w14:textId="5B02A7C7" w:rsidR="00C50FE4" w:rsidRPr="002E7B55" w:rsidRDefault="00C50FE4" w:rsidP="00695245">
      <w:pPr>
        <w:pStyle w:val="ListParagraph"/>
        <w:numPr>
          <w:ilvl w:val="0"/>
          <w:numId w:val="13"/>
        </w:numPr>
        <w:rPr>
          <w:lang w:val="en-NZ"/>
        </w:rPr>
      </w:pPr>
      <w:r w:rsidRPr="002E7B55">
        <w:rPr>
          <w:lang w:val="en-NZ"/>
        </w:rPr>
        <w:t>vouchers for the supermarket</w:t>
      </w:r>
      <w:r w:rsidR="004A368D" w:rsidRPr="002E7B55">
        <w:rPr>
          <w:lang w:val="en-NZ"/>
        </w:rPr>
        <w:t xml:space="preserve"> or</w:t>
      </w:r>
      <w:r w:rsidRPr="002E7B55">
        <w:rPr>
          <w:lang w:val="en-NZ"/>
        </w:rPr>
        <w:t xml:space="preserve"> for petrol.</w:t>
      </w:r>
    </w:p>
    <w:p w14:paraId="3F3670BB" w14:textId="7B1DC35F" w:rsidR="00C50FE4" w:rsidRPr="002E7B55" w:rsidRDefault="6E687390" w:rsidP="0041391C">
      <w:pPr>
        <w:pStyle w:val="Heading3"/>
      </w:pPr>
      <w:r w:rsidRPr="002E7B55">
        <w:lastRenderedPageBreak/>
        <w:t>Māori providers know their communities and have or build trusted relationships with whānau</w:t>
      </w:r>
    </w:p>
    <w:p w14:paraId="268F91B9" w14:textId="257B18CD" w:rsidR="00C50FE4" w:rsidRPr="002E7B55" w:rsidRDefault="00C50FE4" w:rsidP="004D500B">
      <w:r w:rsidRPr="002E7B55">
        <w:t xml:space="preserve">Whānau commented on the </w:t>
      </w:r>
      <w:r w:rsidR="00E251E2" w:rsidRPr="002E7B55">
        <w:t xml:space="preserve">importance </w:t>
      </w:r>
      <w:r w:rsidRPr="002E7B55">
        <w:t xml:space="preserve">of </w:t>
      </w:r>
      <w:r w:rsidR="00216589" w:rsidRPr="002E7B55">
        <w:t>a “</w:t>
      </w:r>
      <w:r w:rsidRPr="002E7B55">
        <w:t>by Māori</w:t>
      </w:r>
      <w:r w:rsidR="00216589" w:rsidRPr="002E7B55">
        <w:t>,</w:t>
      </w:r>
      <w:r w:rsidRPr="002E7B55">
        <w:t xml:space="preserve"> for Māori</w:t>
      </w:r>
      <w:r w:rsidR="00216589" w:rsidRPr="002E7B55">
        <w:t>” approach</w:t>
      </w:r>
      <w:r w:rsidRPr="002E7B55">
        <w:t>. Māori providers connect</w:t>
      </w:r>
      <w:r w:rsidR="00E251E2" w:rsidRPr="002E7B55">
        <w:t>ed</w:t>
      </w:r>
      <w:r w:rsidRPr="002E7B55">
        <w:t xml:space="preserve"> and engage</w:t>
      </w:r>
      <w:r w:rsidR="00E251E2" w:rsidRPr="002E7B55">
        <w:t>d</w:t>
      </w:r>
      <w:r w:rsidRPr="002E7B55">
        <w:t xml:space="preserve"> whānau in a non-judging, affirming way. Simi</w:t>
      </w:r>
      <w:r w:rsidR="00B21A91" w:rsidRPr="002E7B55">
        <w:t>l</w:t>
      </w:r>
      <w:r w:rsidRPr="002E7B55">
        <w:t xml:space="preserve">arly to MIVP </w:t>
      </w:r>
      <w:r w:rsidR="00E251E2" w:rsidRPr="002E7B55">
        <w:t xml:space="preserve">in </w:t>
      </w:r>
      <w:r w:rsidRPr="002E7B55">
        <w:t>2020</w:t>
      </w:r>
      <w:r w:rsidR="00E251E2" w:rsidRPr="002E7B55">
        <w:t>,</w:t>
      </w:r>
      <w:r w:rsidRPr="002E7B55">
        <w:t xml:space="preserve"> the general sentiment in 2021 was</w:t>
      </w:r>
      <w:r w:rsidR="00216589" w:rsidRPr="002E7B55">
        <w:t>,</w:t>
      </w:r>
      <w:r w:rsidRPr="002E7B55">
        <w:t xml:space="preserve"> “Māori providers know their communities best, and are the best</w:t>
      </w:r>
      <w:r w:rsidR="00216589" w:rsidRPr="002E7B55">
        <w:t>-</w:t>
      </w:r>
      <w:r w:rsidRPr="002E7B55">
        <w:t xml:space="preserve">placed to </w:t>
      </w:r>
      <w:r w:rsidR="00FD001C" w:rsidRPr="002E7B55">
        <w:t>administer</w:t>
      </w:r>
      <w:r w:rsidRPr="002E7B55">
        <w:t xml:space="preserve"> vaccinations.”</w:t>
      </w:r>
    </w:p>
    <w:p w14:paraId="6F925E7D" w14:textId="2AC68358" w:rsidR="00C50FE4" w:rsidRPr="002E7B55" w:rsidRDefault="00362977" w:rsidP="00235ED6">
      <w:pPr>
        <w:pStyle w:val="Quote"/>
        <w:rPr>
          <w:lang w:val="en-NZ"/>
        </w:rPr>
      </w:pPr>
      <w:r w:rsidRPr="002E7B55">
        <w:rPr>
          <w:lang w:val="en-NZ"/>
        </w:rPr>
        <w:t>“</w:t>
      </w:r>
      <w:r w:rsidR="00C50FE4" w:rsidRPr="002E7B55">
        <w:rPr>
          <w:lang w:val="en-NZ"/>
        </w:rPr>
        <w:t xml:space="preserve">Having the services led by Māori providers. Many whānau commented they accessed the services mainly because it was run by Māori for Māori. Things like </w:t>
      </w:r>
      <w:proofErr w:type="spellStart"/>
      <w:r w:rsidR="00C50FE4" w:rsidRPr="002E7B55">
        <w:rPr>
          <w:lang w:val="en-NZ"/>
        </w:rPr>
        <w:t>whakawh</w:t>
      </w:r>
      <w:r w:rsidR="002C7208" w:rsidRPr="002E7B55">
        <w:rPr>
          <w:lang w:val="en-NZ"/>
        </w:rPr>
        <w:t>a</w:t>
      </w:r>
      <w:r w:rsidR="00C50FE4" w:rsidRPr="002E7B55">
        <w:rPr>
          <w:lang w:val="en-NZ"/>
        </w:rPr>
        <w:t>naungatanga</w:t>
      </w:r>
      <w:proofErr w:type="spellEnd"/>
      <w:r w:rsidR="00C50FE4" w:rsidRPr="002E7B55">
        <w:rPr>
          <w:lang w:val="en-NZ"/>
        </w:rPr>
        <w:t xml:space="preserve"> and the </w:t>
      </w:r>
      <w:proofErr w:type="spellStart"/>
      <w:r w:rsidR="00C50FE4" w:rsidRPr="002E7B55">
        <w:rPr>
          <w:lang w:val="en-NZ"/>
        </w:rPr>
        <w:t>manaakitanga</w:t>
      </w:r>
      <w:proofErr w:type="spellEnd"/>
      <w:r w:rsidR="00C50FE4" w:rsidRPr="002E7B55">
        <w:rPr>
          <w:lang w:val="en-NZ"/>
        </w:rPr>
        <w:t xml:space="preserve"> staff offered was key to this programme</w:t>
      </w:r>
      <w:r w:rsidR="00216589" w:rsidRPr="002E7B55">
        <w:rPr>
          <w:lang w:val="en-NZ"/>
        </w:rPr>
        <w:t>.</w:t>
      </w:r>
      <w:r w:rsidRPr="002E7B55">
        <w:rPr>
          <w:lang w:val="en-NZ"/>
        </w:rPr>
        <w:t>”</w:t>
      </w:r>
      <w:r w:rsidR="00C50FE4" w:rsidRPr="002E7B55">
        <w:rPr>
          <w:lang w:val="en-NZ"/>
        </w:rPr>
        <w:t xml:space="preserve"> (DHB)</w:t>
      </w:r>
      <w:bookmarkStart w:id="29" w:name="_Toc86956733"/>
    </w:p>
    <w:p w14:paraId="7C817E87" w14:textId="77777777" w:rsidR="001435C5" w:rsidRDefault="001435C5" w:rsidP="004D500B"/>
    <w:p w14:paraId="5D3FDFD0" w14:textId="274AD2B0" w:rsidR="00C50FE4" w:rsidRPr="002E7B55" w:rsidRDefault="00C50FE4" w:rsidP="004D500B">
      <w:r w:rsidRPr="002E7B55">
        <w:t xml:space="preserve">Māori providers build trusted </w:t>
      </w:r>
      <w:r w:rsidR="00305C78" w:rsidRPr="002E7B55">
        <w:t xml:space="preserve">relationships. </w:t>
      </w:r>
      <w:r w:rsidRPr="002E7B55">
        <w:t>Use of community champions</w:t>
      </w:r>
      <w:r w:rsidR="00216589" w:rsidRPr="002E7B55">
        <w:t xml:space="preserve"> </w:t>
      </w:r>
      <w:r w:rsidR="00216589" w:rsidRPr="002E7B55">
        <w:rPr>
          <w:rFonts w:ascii="Courier New" w:hAnsi="Courier New" w:cs="Courier New"/>
        </w:rPr>
        <w:t>–</w:t>
      </w:r>
      <w:r w:rsidRPr="002E7B55">
        <w:t xml:space="preserve"> those people well-known and trusted in the community</w:t>
      </w:r>
      <w:r w:rsidR="00216589" w:rsidRPr="002E7B55">
        <w:t xml:space="preserve"> </w:t>
      </w:r>
      <w:r w:rsidR="00216589" w:rsidRPr="002E7B55">
        <w:rPr>
          <w:rFonts w:ascii="Courier New" w:hAnsi="Courier New" w:cs="Courier New"/>
        </w:rPr>
        <w:t>–</w:t>
      </w:r>
      <w:r w:rsidR="001453D8" w:rsidRPr="002E7B55">
        <w:t xml:space="preserve"> </w:t>
      </w:r>
      <w:r w:rsidR="00E251E2" w:rsidRPr="002E7B55">
        <w:t>provide</w:t>
      </w:r>
      <w:r w:rsidR="001453D8" w:rsidRPr="002E7B55">
        <w:t>d</w:t>
      </w:r>
      <w:r w:rsidR="00E251E2" w:rsidRPr="002E7B55">
        <w:t xml:space="preserve"> an effective way to reach out </w:t>
      </w:r>
      <w:r w:rsidR="00216589" w:rsidRPr="002E7B55">
        <w:t xml:space="preserve">in </w:t>
      </w:r>
      <w:r w:rsidR="00E251E2" w:rsidRPr="002E7B55">
        <w:t>community settings such as schools, marae,</w:t>
      </w:r>
      <w:r w:rsidRPr="002E7B55">
        <w:t xml:space="preserve"> and sports clubs. </w:t>
      </w:r>
    </w:p>
    <w:p w14:paraId="767A18E2" w14:textId="10C754DD" w:rsidR="00C50FE4" w:rsidRPr="002E7B55" w:rsidRDefault="00B00E81" w:rsidP="004D500B">
      <w:pPr>
        <w:pStyle w:val="Quote"/>
        <w:rPr>
          <w:lang w:val="en-NZ"/>
        </w:rPr>
      </w:pPr>
      <w:r w:rsidRPr="002E7B55">
        <w:rPr>
          <w:lang w:val="en-NZ"/>
        </w:rPr>
        <w:t>“</w:t>
      </w:r>
      <w:r w:rsidR="00C50FE4" w:rsidRPr="002E7B55">
        <w:rPr>
          <w:lang w:val="en-NZ"/>
        </w:rPr>
        <w:t>We make a real effort to deliver our services at a whānau, hapū and iwi level by taking our services to whānau and the community</w:t>
      </w:r>
      <w:r w:rsidR="00216589" w:rsidRPr="002E7B55">
        <w:rPr>
          <w:lang w:val="en-NZ"/>
        </w:rPr>
        <w:t>.</w:t>
      </w:r>
      <w:r w:rsidRPr="002E7B55">
        <w:rPr>
          <w:lang w:val="en-NZ"/>
        </w:rPr>
        <w:t>”</w:t>
      </w:r>
      <w:r w:rsidR="00C50FE4" w:rsidRPr="002E7B55">
        <w:rPr>
          <w:lang w:val="en-NZ"/>
        </w:rPr>
        <w:t xml:space="preserve"> (Provider)</w:t>
      </w:r>
    </w:p>
    <w:p w14:paraId="4306FAC6" w14:textId="77777777" w:rsidR="001435C5" w:rsidRDefault="001435C5" w:rsidP="001435C5"/>
    <w:p w14:paraId="003530D8" w14:textId="0EE00405" w:rsidR="00C50FE4" w:rsidRPr="002E7B55" w:rsidRDefault="6E687390" w:rsidP="0041391C">
      <w:pPr>
        <w:pStyle w:val="Heading3"/>
      </w:pPr>
      <w:r w:rsidRPr="002E7B55">
        <w:t>Māori providers collaborate with a broad range of partners</w:t>
      </w:r>
    </w:p>
    <w:p w14:paraId="139F89F7" w14:textId="46880938" w:rsidR="00C50FE4" w:rsidRPr="002E7B55" w:rsidRDefault="00C50FE4" w:rsidP="004D500B">
      <w:r w:rsidRPr="002E7B55">
        <w:t xml:space="preserve">Māori providers incorporated a whole community approach, looking across </w:t>
      </w:r>
      <w:r w:rsidR="00305C78" w:rsidRPr="002E7B55">
        <w:t>social</w:t>
      </w:r>
      <w:r w:rsidRPr="002E7B55">
        <w:t xml:space="preserve"> and health services to address multiple whānau needs. Working with a diverse range of </w:t>
      </w:r>
      <w:r w:rsidR="00305C78" w:rsidRPr="002E7B55">
        <w:t>organisations</w:t>
      </w:r>
      <w:r w:rsidRPr="002E7B55">
        <w:t xml:space="preserve">, providers </w:t>
      </w:r>
      <w:r w:rsidR="00E251E2" w:rsidRPr="002E7B55">
        <w:t>improved</w:t>
      </w:r>
      <w:r w:rsidRPr="002E7B55">
        <w:t xml:space="preserve"> access to whānau.</w:t>
      </w:r>
      <w:bookmarkEnd w:id="29"/>
    </w:p>
    <w:p w14:paraId="2B528A3F" w14:textId="1290243C" w:rsidR="00C50FE4" w:rsidRPr="002E7B55" w:rsidRDefault="00C50FE4" w:rsidP="00F46731">
      <w:r w:rsidRPr="002E7B55">
        <w:t>In the final 2021 survey</w:t>
      </w:r>
      <w:r w:rsidR="00EC1527" w:rsidRPr="002E7B55">
        <w:t>,</w:t>
      </w:r>
      <w:r w:rsidRPr="002E7B55">
        <w:t xml:space="preserve"> DHB and </w:t>
      </w:r>
      <w:r w:rsidR="00C813FE" w:rsidRPr="002E7B55">
        <w:t>d</w:t>
      </w:r>
      <w:r w:rsidR="00B17C4D" w:rsidRPr="002E7B55">
        <w:t>irect-funded</w:t>
      </w:r>
      <w:r w:rsidRPr="002E7B55">
        <w:t xml:space="preserve"> providers indicated that local iwi, hapū, and Māori providers were the most helpful. </w:t>
      </w:r>
      <w:r w:rsidR="00E251E2" w:rsidRPr="002E7B55">
        <w:t xml:space="preserve">In addition, connecting </w:t>
      </w:r>
      <w:r w:rsidRPr="002E7B55">
        <w:t xml:space="preserve">with local education organisations such as </w:t>
      </w:r>
      <w:r w:rsidR="00305C78" w:rsidRPr="002E7B55">
        <w:t>kōhanga</w:t>
      </w:r>
      <w:r w:rsidRPr="002E7B55">
        <w:t xml:space="preserve"> reo and kura </w:t>
      </w:r>
      <w:r w:rsidR="00E251E2" w:rsidRPr="002E7B55">
        <w:t>was</w:t>
      </w:r>
      <w:r w:rsidRPr="002E7B55">
        <w:t xml:space="preserve"> beneficial. Again, in line with a whānau-centred approach, building relationships with organisations and places that whānau</w:t>
      </w:r>
      <w:r w:rsidR="00216589" w:rsidRPr="002E7B55">
        <w:t xml:space="preserve"> frequently</w:t>
      </w:r>
      <w:r w:rsidRPr="002E7B55">
        <w:t xml:space="preserve"> engage with </w:t>
      </w:r>
      <w:r w:rsidR="00E251E2" w:rsidRPr="002E7B55">
        <w:t>helped</w:t>
      </w:r>
      <w:r w:rsidRPr="002E7B55">
        <w:t xml:space="preserve"> </w:t>
      </w:r>
      <w:r w:rsidR="00216589" w:rsidRPr="002E7B55">
        <w:t xml:space="preserve">the providers </w:t>
      </w:r>
      <w:r w:rsidRPr="002E7B55">
        <w:t xml:space="preserve">connect with whānau. </w:t>
      </w:r>
      <w:r w:rsidR="001558C2" w:rsidRPr="002E7B55">
        <w:t xml:space="preserve">Collective approaches, including sharing data and information, supported seamless service. On average, Māori providers collaborated with four to five different organisations when connecting and engaging with whānau. </w:t>
      </w:r>
    </w:p>
    <w:p w14:paraId="2C7A5DC4" w14:textId="6F0251FA" w:rsidR="006E6509" w:rsidRPr="002E7B55" w:rsidRDefault="006E6509" w:rsidP="00235ED6">
      <w:pPr>
        <w:pStyle w:val="Chart-full-width"/>
        <w:rPr>
          <w:noProof w:val="0"/>
        </w:rPr>
      </w:pPr>
      <w:r>
        <w:drawing>
          <wp:inline distT="0" distB="0" distL="0" distR="0" wp14:anchorId="07586117" wp14:editId="4260BEA5">
            <wp:extent cx="5088447" cy="2861953"/>
            <wp:effectExtent l="0" t="0" r="0" b="0"/>
            <wp:docPr id="22" name="Picture 22" descr="Graph of organisations that providers partners with to deliver MIMVP in 2021. Highest are local iwi, hapū, marae and Māori organisations, and local DHB. Lowest is pharma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of organisations that providers partners with to deliver MIMVP in 2021. Highest are local iwi, hapū, marae and Māori organisations, and local DHB. Lowest is pharmaci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5445" cy="2882762"/>
                    </a:xfrm>
                    <a:prstGeom prst="rect">
                      <a:avLst/>
                    </a:prstGeom>
                    <a:noFill/>
                  </pic:spPr>
                </pic:pic>
              </a:graphicData>
            </a:graphic>
          </wp:inline>
        </w:drawing>
      </w:r>
    </w:p>
    <w:p w14:paraId="39A63EFA" w14:textId="339EEA01" w:rsidR="002D7C32" w:rsidRPr="002E7B55" w:rsidRDefault="002D7C32" w:rsidP="002D7C32">
      <w:pPr>
        <w:pStyle w:val="Caption"/>
      </w:pPr>
      <w:bookmarkStart w:id="30" w:name="_Toc96341689"/>
      <w:r w:rsidRPr="002E7B55">
        <w:t xml:space="preserve">Figure </w:t>
      </w:r>
      <w:r w:rsidRPr="002E7B55">
        <w:fldChar w:fldCharType="begin"/>
      </w:r>
      <w:r w:rsidRPr="002E7B55">
        <w:instrText xml:space="preserve"> SEQ Figure \* ARABIC </w:instrText>
      </w:r>
      <w:r w:rsidRPr="002E7B55">
        <w:fldChar w:fldCharType="separate"/>
      </w:r>
      <w:r w:rsidR="00886DCA" w:rsidRPr="002E7B55">
        <w:t>10</w:t>
      </w:r>
      <w:r w:rsidRPr="002E7B55">
        <w:fldChar w:fldCharType="end"/>
      </w:r>
      <w:r w:rsidR="005964C7" w:rsidRPr="002E7B55">
        <w:t>: Organisations providers partnered with to deliver MIMVP in 2021</w:t>
      </w:r>
      <w:r w:rsidR="005964C7" w:rsidRPr="002E7B55">
        <w:rPr>
          <w:rStyle w:val="EndnoteReference"/>
        </w:rPr>
        <w:endnoteReference w:id="18"/>
      </w:r>
      <w:bookmarkEnd w:id="30"/>
    </w:p>
    <w:p w14:paraId="07DA3856" w14:textId="423A2B4D" w:rsidR="00C50FE4" w:rsidRPr="002E7B55" w:rsidRDefault="00C50FE4" w:rsidP="004D500B">
      <w:r w:rsidRPr="002E7B55">
        <w:lastRenderedPageBreak/>
        <w:t xml:space="preserve">Partnering with </w:t>
      </w:r>
      <w:r w:rsidR="00E251E2" w:rsidRPr="002E7B55">
        <w:t xml:space="preserve">other </w:t>
      </w:r>
      <w:r w:rsidRPr="002E7B55">
        <w:t>organisations extended Māori provider</w:t>
      </w:r>
      <w:r w:rsidR="00895A4A" w:rsidRPr="002E7B55">
        <w:t>s’</w:t>
      </w:r>
      <w:r w:rsidRPr="002E7B55">
        <w:t xml:space="preserve"> reach to </w:t>
      </w:r>
      <w:r w:rsidR="004B57CE" w:rsidRPr="002E7B55">
        <w:t xml:space="preserve">those </w:t>
      </w:r>
      <w:r w:rsidRPr="002E7B55">
        <w:t xml:space="preserve">more vulnerable and not connected to primary healthcare services. New organisations included: </w:t>
      </w:r>
    </w:p>
    <w:p w14:paraId="59AFE4C0" w14:textId="77777777" w:rsidR="00C50FE4" w:rsidRPr="002E7B55" w:rsidRDefault="00C50FE4" w:rsidP="001F1051">
      <w:pPr>
        <w:pStyle w:val="Bullet"/>
      </w:pPr>
      <w:r w:rsidRPr="002E7B55">
        <w:t>emergency and transitional housing providers</w:t>
      </w:r>
    </w:p>
    <w:p w14:paraId="4BE78BB7" w14:textId="77777777" w:rsidR="00C50FE4" w:rsidRPr="002E7B55" w:rsidRDefault="00C50FE4" w:rsidP="001F1051">
      <w:pPr>
        <w:pStyle w:val="Bullet"/>
      </w:pPr>
      <w:r w:rsidRPr="002E7B55">
        <w:t>providers who work with the homeless</w:t>
      </w:r>
    </w:p>
    <w:p w14:paraId="0CE7CFE3" w14:textId="77777777" w:rsidR="00C50FE4" w:rsidRPr="002E7B55" w:rsidRDefault="00C50FE4" w:rsidP="001F1051">
      <w:pPr>
        <w:pStyle w:val="Bullet"/>
      </w:pPr>
      <w:r w:rsidRPr="002E7B55">
        <w:t>mental health providers</w:t>
      </w:r>
    </w:p>
    <w:p w14:paraId="237256D8" w14:textId="0D481CFA" w:rsidR="00C50FE4" w:rsidRPr="002E7B55" w:rsidRDefault="00C50FE4" w:rsidP="001F1051">
      <w:pPr>
        <w:pStyle w:val="Bullet"/>
      </w:pPr>
      <w:r w:rsidRPr="002E7B55">
        <w:t>drug and alcohol providers.</w:t>
      </w:r>
    </w:p>
    <w:p w14:paraId="747A52CA" w14:textId="76537CFF" w:rsidR="00C50FE4" w:rsidRPr="002E7B55" w:rsidRDefault="00932ECD" w:rsidP="6E687390">
      <w:pPr>
        <w:pStyle w:val="Accentheading2"/>
        <w:rPr>
          <w:lang w:val="en-NZ"/>
        </w:rPr>
      </w:pPr>
      <w:r w:rsidRPr="002E7B55">
        <w:rPr>
          <w:lang w:val="en-NZ"/>
        </w:rPr>
        <w:t>Missed opportunities for</w:t>
      </w:r>
      <w:r w:rsidR="00962724" w:rsidRPr="002E7B55">
        <w:rPr>
          <w:lang w:val="en-NZ"/>
        </w:rPr>
        <w:t xml:space="preserve"> a whānau-centred approach</w:t>
      </w:r>
    </w:p>
    <w:p w14:paraId="24767144" w14:textId="2769FABA" w:rsidR="00C5624A" w:rsidRPr="002E7B55" w:rsidRDefault="00732916" w:rsidP="6E687390">
      <w:r w:rsidRPr="002E7B55">
        <w:t xml:space="preserve">MIMVP </w:t>
      </w:r>
      <w:r w:rsidR="005D2D3A" w:rsidRPr="002E7B55">
        <w:t xml:space="preserve">highlighted </w:t>
      </w:r>
      <w:r w:rsidR="6E687390" w:rsidRPr="002E7B55">
        <w:t>what is needed to continue to deliver whānau-centred services. Māori providers and Ministry staff commented on the importance of Māori providers leading and designing whānau-centred approaches</w:t>
      </w:r>
      <w:r w:rsidR="00E251E2" w:rsidRPr="002E7B55">
        <w:t xml:space="preserve"> to recognise</w:t>
      </w:r>
      <w:r w:rsidR="6E687390" w:rsidRPr="002E7B55">
        <w:t xml:space="preserve"> their deep connection and understanding of their communities. </w:t>
      </w:r>
    </w:p>
    <w:p w14:paraId="04000155" w14:textId="5325DCED" w:rsidR="00C50FE4" w:rsidRPr="002E7B55" w:rsidRDefault="6E687390" w:rsidP="6E687390">
      <w:r w:rsidRPr="002E7B55">
        <w:t>Support and resources need to acknowledge and value the efforts of Māori providers</w:t>
      </w:r>
      <w:r w:rsidR="00216589" w:rsidRPr="002E7B55">
        <w:t xml:space="preserve"> and in particular</w:t>
      </w:r>
      <w:r w:rsidRPr="002E7B55">
        <w:t xml:space="preserve"> the fusion between clinical and cultural expertise in whānau-centred practice. As one provider </w:t>
      </w:r>
      <w:r w:rsidR="00962724" w:rsidRPr="002E7B55">
        <w:t>commented</w:t>
      </w:r>
      <w:r w:rsidRPr="002E7B55">
        <w:t xml:space="preserve">, </w:t>
      </w:r>
    </w:p>
    <w:p w14:paraId="0F3FC963" w14:textId="06DBC2CE" w:rsidR="00C50FE4" w:rsidRPr="002E7B55" w:rsidRDefault="00B00E81" w:rsidP="6E687390">
      <w:pPr>
        <w:pStyle w:val="Quote"/>
        <w:rPr>
          <w:lang w:val="en-NZ"/>
        </w:rPr>
      </w:pPr>
      <w:r w:rsidRPr="002E7B55">
        <w:rPr>
          <w:lang w:val="en-NZ"/>
        </w:rPr>
        <w:t>“</w:t>
      </w:r>
      <w:r w:rsidR="6E687390" w:rsidRPr="002E7B55">
        <w:rPr>
          <w:lang w:val="en-NZ"/>
        </w:rPr>
        <w:t xml:space="preserve">There needs to be recognition that engaging Māori whānau is different to non-Māori – so </w:t>
      </w:r>
      <w:r w:rsidRPr="002E7B55">
        <w:rPr>
          <w:lang w:val="en-NZ"/>
        </w:rPr>
        <w:t>let’s</w:t>
      </w:r>
      <w:r w:rsidR="6E687390" w:rsidRPr="002E7B55">
        <w:rPr>
          <w:lang w:val="en-NZ"/>
        </w:rPr>
        <w:t xml:space="preserve"> price this work accordingly.</w:t>
      </w:r>
      <w:r w:rsidRPr="002E7B55">
        <w:rPr>
          <w:lang w:val="en-NZ"/>
        </w:rPr>
        <w:t>”</w:t>
      </w:r>
      <w:r w:rsidR="6E687390" w:rsidRPr="002E7B55">
        <w:rPr>
          <w:lang w:val="en-NZ"/>
        </w:rPr>
        <w:t xml:space="preserve"> (Provider)</w:t>
      </w:r>
    </w:p>
    <w:p w14:paraId="12DA0C1F" w14:textId="773D24F0" w:rsidR="00C50FE4" w:rsidRPr="002E7B55" w:rsidRDefault="00C5624A" w:rsidP="6E687390">
      <w:r w:rsidRPr="002E7B55">
        <w:t xml:space="preserve">Māori vaccinations and Māori health equity are the responsibility of all who work in the health system. There is a </w:t>
      </w:r>
      <w:r w:rsidR="6E687390" w:rsidRPr="002E7B55">
        <w:t>need for a whole</w:t>
      </w:r>
      <w:r w:rsidR="00216589" w:rsidRPr="002E7B55">
        <w:t>-</w:t>
      </w:r>
      <w:r w:rsidR="6E687390" w:rsidRPr="002E7B55">
        <w:t>system approach to strengthen and sustain whānau-centred primary healthcare across Aotearoa</w:t>
      </w:r>
      <w:r w:rsidR="00216589" w:rsidRPr="002E7B55">
        <w:t xml:space="preserve"> New Zealand</w:t>
      </w:r>
      <w:r w:rsidR="6E687390" w:rsidRPr="002E7B55">
        <w:t xml:space="preserve">. Māori </w:t>
      </w:r>
      <w:r w:rsidRPr="002E7B55">
        <w:t xml:space="preserve">identified </w:t>
      </w:r>
      <w:r w:rsidR="6E687390" w:rsidRPr="002E7B55">
        <w:t xml:space="preserve">the need to have funding, </w:t>
      </w:r>
      <w:proofErr w:type="gramStart"/>
      <w:r w:rsidR="6E687390" w:rsidRPr="002E7B55">
        <w:t>resources</w:t>
      </w:r>
      <w:proofErr w:type="gramEnd"/>
      <w:r w:rsidR="6E687390" w:rsidRPr="002E7B55">
        <w:t xml:space="preserve"> and Māori at the </w:t>
      </w:r>
      <w:r w:rsidR="00216589" w:rsidRPr="002E7B55">
        <w:t xml:space="preserve">decision-making </w:t>
      </w:r>
      <w:r w:rsidR="6E687390" w:rsidRPr="002E7B55">
        <w:t>table to demonstrate and lead initiatives for whānau-centred</w:t>
      </w:r>
      <w:r w:rsidRPr="002E7B55">
        <w:t xml:space="preserve"> </w:t>
      </w:r>
      <w:r w:rsidR="6E687390" w:rsidRPr="002E7B55">
        <w:t>programme</w:t>
      </w:r>
      <w:r w:rsidR="00245713" w:rsidRPr="002E7B55">
        <w:t>s</w:t>
      </w:r>
      <w:r w:rsidR="6E687390" w:rsidRPr="002E7B55">
        <w:t>.</w:t>
      </w:r>
    </w:p>
    <w:p w14:paraId="520FBBA1" w14:textId="27C4827F" w:rsidR="00C50FE4" w:rsidRPr="002E7B55" w:rsidRDefault="6E687390" w:rsidP="6E687390">
      <w:r w:rsidRPr="002E7B55">
        <w:t xml:space="preserve">Governance and </w:t>
      </w:r>
      <w:r w:rsidR="00962F55" w:rsidRPr="002E7B55">
        <w:t xml:space="preserve">Māori </w:t>
      </w:r>
      <w:r w:rsidRPr="002E7B55">
        <w:t xml:space="preserve">leadership in the health sector is needed to continue to grow whānau-centred approaches that build relational trust with whānau. </w:t>
      </w:r>
    </w:p>
    <w:p w14:paraId="3BAC9537" w14:textId="1A799CE4" w:rsidR="00962724" w:rsidRPr="002E7B55" w:rsidRDefault="00B00E81" w:rsidP="00962724">
      <w:pPr>
        <w:pStyle w:val="Quote"/>
        <w:rPr>
          <w:lang w:val="en-NZ"/>
        </w:rPr>
      </w:pPr>
      <w:r w:rsidRPr="002E7B55">
        <w:rPr>
          <w:lang w:val="en-NZ"/>
        </w:rPr>
        <w:t>“</w:t>
      </w:r>
      <w:r w:rsidR="6E687390" w:rsidRPr="002E7B55">
        <w:rPr>
          <w:lang w:val="en-NZ"/>
        </w:rPr>
        <w:t>Commitment to more whānau-centred models of care, that allow us to support our Māori clients, whānau in a more holistic manner.</w:t>
      </w:r>
      <w:r w:rsidRPr="002E7B55">
        <w:rPr>
          <w:lang w:val="en-NZ"/>
        </w:rPr>
        <w:t>”</w:t>
      </w:r>
      <w:r w:rsidR="6E687390" w:rsidRPr="002E7B55">
        <w:rPr>
          <w:lang w:val="en-NZ"/>
        </w:rPr>
        <w:t xml:space="preserve"> (Provider)</w:t>
      </w:r>
    </w:p>
    <w:p w14:paraId="7EE221A1" w14:textId="10BD4197" w:rsidR="00962724" w:rsidRPr="002E7B55" w:rsidRDefault="00962724" w:rsidP="00962724">
      <w:r w:rsidRPr="002E7B55">
        <w:t xml:space="preserve">The outstanding efforts of Māori providers in vaccinating Māori for COVID-19 has elevated the value of whānau-centred approaches. MIMVP 2021 provided opportunities for Māori providers to focus and commit to whānau-centred models of care, to reach and support whānau. Applying whānau-centred strategies to the COVID-19 vaccination programme resulted in </w:t>
      </w:r>
      <w:r w:rsidR="00E251E2" w:rsidRPr="002E7B55">
        <w:t xml:space="preserve">favourable </w:t>
      </w:r>
      <w:r w:rsidRPr="002E7B55">
        <w:t xml:space="preserve">vaccination rates for all New Zealanders. We know that these were the strategies that providers employed in 2020 and again in 2021. </w:t>
      </w:r>
    </w:p>
    <w:p w14:paraId="446B54AA" w14:textId="167499E0" w:rsidR="00962724" w:rsidRPr="002E7B55" w:rsidRDefault="00962724" w:rsidP="00962724">
      <w:r w:rsidRPr="002E7B55">
        <w:t>Across the funded MIMVP services</w:t>
      </w:r>
      <w:r w:rsidR="00E251E2" w:rsidRPr="002E7B55">
        <w:t>,</w:t>
      </w:r>
      <w:r w:rsidRPr="002E7B55">
        <w:t xml:space="preserve"> Māori providers have pursued equity by privileging whānau experience, </w:t>
      </w:r>
      <w:proofErr w:type="gramStart"/>
      <w:r w:rsidRPr="002E7B55">
        <w:t>context</w:t>
      </w:r>
      <w:proofErr w:type="gramEnd"/>
      <w:r w:rsidRPr="002E7B55">
        <w:t xml:space="preserve"> and knowledge. Values critical to Māori have underpinned engagement processes</w:t>
      </w:r>
      <w:r w:rsidR="00E251E2" w:rsidRPr="002E7B55">
        <w:t>,</w:t>
      </w:r>
      <w:r w:rsidRPr="002E7B55">
        <w:t xml:space="preserve"> and whānau-centred approaches have continued to utilise tikanga Māori and </w:t>
      </w:r>
      <w:r w:rsidR="00216589" w:rsidRPr="002E7B55">
        <w:t>k</w:t>
      </w:r>
      <w:r w:rsidRPr="002E7B55">
        <w:t>aupapa Māori frameworks. Māori providers understand that context matters and where whānau live impacts their a</w:t>
      </w:r>
      <w:r w:rsidR="00E251E2" w:rsidRPr="002E7B55">
        <w:t>ccess to</w:t>
      </w:r>
      <w:r w:rsidRPr="002E7B55">
        <w:t xml:space="preserve"> healthcare. In these </w:t>
      </w:r>
      <w:r w:rsidR="00B64DBF" w:rsidRPr="002E7B55">
        <w:t>situations,</w:t>
      </w:r>
      <w:r w:rsidRPr="002E7B55">
        <w:t xml:space="preserve"> holistic assessments and </w:t>
      </w:r>
      <w:r w:rsidR="00E251E2" w:rsidRPr="002E7B55">
        <w:t xml:space="preserve">the </w:t>
      </w:r>
      <w:r w:rsidRPr="002E7B55">
        <w:t>whole</w:t>
      </w:r>
      <w:r w:rsidR="00216589" w:rsidRPr="002E7B55">
        <w:t>-</w:t>
      </w:r>
      <w:r w:rsidRPr="002E7B55">
        <w:t>whānau approach are even more critical.</w:t>
      </w:r>
    </w:p>
    <w:p w14:paraId="318734EB" w14:textId="77777777" w:rsidR="00B75873" w:rsidRPr="002E7B55" w:rsidRDefault="00B75873" w:rsidP="00B75873"/>
    <w:p w14:paraId="585403A5" w14:textId="2A1CB113" w:rsidR="00962724" w:rsidRPr="002E7B55" w:rsidRDefault="00962724" w:rsidP="00962724">
      <w:pPr>
        <w:sectPr w:rsidR="00962724" w:rsidRPr="002E7B55" w:rsidSect="009A14B7">
          <w:pgSz w:w="11906" w:h="16838"/>
          <w:pgMar w:top="1701" w:right="1077" w:bottom="1440" w:left="1440" w:header="709" w:footer="709" w:gutter="0"/>
          <w:cols w:space="708"/>
          <w:docGrid w:linePitch="360"/>
        </w:sectPr>
      </w:pPr>
    </w:p>
    <w:p w14:paraId="33215EDF" w14:textId="469343D2" w:rsidR="002B4F56" w:rsidRPr="002E7B55" w:rsidRDefault="70D53BCA" w:rsidP="00962724">
      <w:pPr>
        <w:pStyle w:val="Heading1"/>
      </w:pPr>
      <w:bookmarkStart w:id="31" w:name="_Toc96341671"/>
      <w:r w:rsidRPr="002E7B55">
        <w:lastRenderedPageBreak/>
        <w:t>5 Commissioning, contracting, and funding</w:t>
      </w:r>
      <w:bookmarkEnd w:id="31"/>
    </w:p>
    <w:p w14:paraId="40BAE28E" w14:textId="096F32A9" w:rsidR="00517C7C" w:rsidRPr="002E7B55" w:rsidRDefault="00E74212" w:rsidP="00517C7C">
      <w:pPr>
        <w:pStyle w:val="Accentheading2"/>
        <w:rPr>
          <w:lang w:val="en-NZ"/>
        </w:rPr>
      </w:pPr>
      <w:r w:rsidRPr="002E7B55">
        <w:rPr>
          <w:lang w:val="en-NZ"/>
        </w:rPr>
        <w:t>Key findings</w:t>
      </w:r>
      <w:r w:rsidR="00EC1527" w:rsidRPr="002E7B55">
        <w:rPr>
          <w:lang w:val="en-NZ"/>
        </w:rPr>
        <w:t xml:space="preserve"> </w:t>
      </w:r>
    </w:p>
    <w:p w14:paraId="59630423" w14:textId="3CFBB600" w:rsidR="004339D0" w:rsidRPr="002E7B55" w:rsidRDefault="00305C78" w:rsidP="00B05EBF">
      <w:pPr>
        <w:pStyle w:val="ListParagraph"/>
        <w:rPr>
          <w:lang w:val="en-NZ"/>
        </w:rPr>
      </w:pPr>
      <w:r w:rsidRPr="002E7B55">
        <w:rPr>
          <w:lang w:val="en-NZ"/>
        </w:rPr>
        <w:t xml:space="preserve">MIMVP </w:t>
      </w:r>
      <w:r w:rsidR="004339D0" w:rsidRPr="002E7B55">
        <w:rPr>
          <w:lang w:val="en-NZ"/>
        </w:rPr>
        <w:t>planning started earlier in 2021 than it had the previous year. However, it was still not early enough for providers to plan for MIMVP and organisational purposes, particularly workforce requirements.</w:t>
      </w:r>
    </w:p>
    <w:p w14:paraId="46A2880F" w14:textId="77777777" w:rsidR="004339D0" w:rsidRPr="002E7B55" w:rsidRDefault="004339D0" w:rsidP="0037225C">
      <w:pPr>
        <w:pStyle w:val="ListParagraph"/>
        <w:rPr>
          <w:lang w:val="en-NZ"/>
        </w:rPr>
      </w:pPr>
      <w:r w:rsidRPr="002E7B55">
        <w:rPr>
          <w:lang w:val="en-NZ"/>
        </w:rPr>
        <w:t>The Ministry favoured contracting through DHBs, despite Māori providers’ clear preference in 2020 (and in 2021) to be direct-funded by the Ministry.</w:t>
      </w:r>
    </w:p>
    <w:p w14:paraId="644A7D04" w14:textId="77777777" w:rsidR="004339D0" w:rsidRPr="002E7B55" w:rsidRDefault="004339D0" w:rsidP="0037225C">
      <w:pPr>
        <w:pStyle w:val="ListParagraph"/>
        <w:rPr>
          <w:lang w:val="en-NZ"/>
        </w:rPr>
      </w:pPr>
      <w:r w:rsidRPr="002E7B55">
        <w:rPr>
          <w:lang w:val="en-NZ"/>
        </w:rPr>
        <w:t>The Ministry got funding out to direct-funded providers and DHBs earlier than in 2020, in most cases by late March 2021. But many DHBs were slow to get funding out to providers, some as late as September and October 2021. As a result, many Māori providers started delivering their MIMVP activities before they received funding.</w:t>
      </w:r>
    </w:p>
    <w:p w14:paraId="18AAECEE" w14:textId="77777777" w:rsidR="004339D0" w:rsidRPr="002E7B55" w:rsidRDefault="004339D0" w:rsidP="0037225C">
      <w:pPr>
        <w:pStyle w:val="ListParagraph"/>
        <w:rPr>
          <w:lang w:val="en-NZ"/>
        </w:rPr>
      </w:pPr>
      <w:r w:rsidRPr="002E7B55">
        <w:rPr>
          <w:lang w:val="en-NZ"/>
        </w:rPr>
        <w:t>Simplified reporting was less time-consuming, enabling faster feedback.</w:t>
      </w:r>
    </w:p>
    <w:p w14:paraId="70501E34" w14:textId="77777777" w:rsidR="004339D0" w:rsidRPr="002E7B55" w:rsidRDefault="004339D0" w:rsidP="0037225C">
      <w:pPr>
        <w:pStyle w:val="ListParagraph"/>
        <w:rPr>
          <w:lang w:val="en-NZ"/>
        </w:rPr>
      </w:pPr>
      <w:r w:rsidRPr="002E7B55">
        <w:rPr>
          <w:lang w:val="en-NZ"/>
        </w:rPr>
        <w:t xml:space="preserve">DHBs and DHB-funded providers were less engaged in monitoring reporting. </w:t>
      </w:r>
    </w:p>
    <w:p w14:paraId="4CA3B67D" w14:textId="77777777" w:rsidR="004339D0" w:rsidRPr="002E7B55" w:rsidRDefault="004339D0" w:rsidP="004339D0">
      <w:pPr>
        <w:pStyle w:val="ListParagraph"/>
        <w:rPr>
          <w:lang w:val="en-NZ"/>
        </w:rPr>
      </w:pPr>
      <w:r w:rsidRPr="002E7B55">
        <w:rPr>
          <w:lang w:val="en-NZ"/>
        </w:rPr>
        <w:t xml:space="preserve">Māori providers used the funding to develop their workforce and support increased collaboration with other Māori and non-Māori providers and organisations. </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9"/>
      </w:tblGrid>
      <w:tr w:rsidR="006D69F8" w:rsidRPr="002E7B55" w14:paraId="6028FFAF" w14:textId="77777777" w:rsidTr="006D69F8">
        <w:tc>
          <w:tcPr>
            <w:tcW w:w="9379" w:type="dxa"/>
            <w:shd w:val="clear" w:color="auto" w:fill="FBDCD9" w:themeFill="accent3" w:themeFillTint="33"/>
          </w:tcPr>
          <w:p w14:paraId="0B5BE9E7" w14:textId="1EDF8422" w:rsidR="006D69F8" w:rsidRPr="002E7B55" w:rsidRDefault="006D69F8" w:rsidP="005042D8">
            <w:pPr>
              <w:pStyle w:val="Actionsheading"/>
              <w:rPr>
                <w:lang w:val="en-NZ"/>
              </w:rPr>
            </w:pPr>
            <w:r w:rsidRPr="002E7B55">
              <w:rPr>
                <w:lang w:val="en-NZ"/>
              </w:rPr>
              <w:t xml:space="preserve">Actions </w:t>
            </w:r>
          </w:p>
        </w:tc>
      </w:tr>
      <w:tr w:rsidR="006D69F8" w:rsidRPr="002E7B55" w14:paraId="4C5CDD9E" w14:textId="77777777" w:rsidTr="006D69F8">
        <w:tc>
          <w:tcPr>
            <w:tcW w:w="9379" w:type="dxa"/>
            <w:shd w:val="clear" w:color="auto" w:fill="FBDCD9" w:themeFill="accent3" w:themeFillTint="33"/>
          </w:tcPr>
          <w:p w14:paraId="227C0012" w14:textId="77777777" w:rsidR="004339D0" w:rsidRPr="002E7B55" w:rsidRDefault="006D69F8" w:rsidP="004339D0">
            <w:pPr>
              <w:pStyle w:val="Actionslist"/>
            </w:pPr>
            <w:r w:rsidRPr="002E7B55">
              <w:t xml:space="preserve">Provide </w:t>
            </w:r>
            <w:r w:rsidR="004339D0" w:rsidRPr="002E7B55">
              <w:t>advance notice to providers of funding intentions.</w:t>
            </w:r>
          </w:p>
          <w:p w14:paraId="0A1B760E" w14:textId="77777777" w:rsidR="004339D0" w:rsidRPr="002E7B55" w:rsidRDefault="004339D0" w:rsidP="004339D0">
            <w:pPr>
              <w:pStyle w:val="Actionslist"/>
            </w:pPr>
            <w:r w:rsidRPr="002E7B55">
              <w:t>Get funding out to providers earlier – before the scheduled vaccination start dates.</w:t>
            </w:r>
          </w:p>
          <w:p w14:paraId="5A8C9D73" w14:textId="77777777" w:rsidR="004339D0" w:rsidRPr="002E7B55" w:rsidRDefault="004339D0" w:rsidP="004339D0">
            <w:pPr>
              <w:pStyle w:val="Actionslist"/>
            </w:pPr>
            <w:r w:rsidRPr="002E7B55">
              <w:t>Change commissioning processes to ensure a provider-led approach is enabled and prioritised.</w:t>
            </w:r>
          </w:p>
          <w:p w14:paraId="5F811E9D" w14:textId="77777777" w:rsidR="004339D0" w:rsidRPr="002E7B55" w:rsidRDefault="004339D0" w:rsidP="004339D0">
            <w:pPr>
              <w:pStyle w:val="Actionslist"/>
            </w:pPr>
            <w:r w:rsidRPr="002E7B55">
              <w:t>Direct-fund providers to deliver MIMVP vaccinations.</w:t>
            </w:r>
          </w:p>
          <w:p w14:paraId="77806511" w14:textId="77777777" w:rsidR="004339D0" w:rsidRPr="002E7B55" w:rsidRDefault="004339D0" w:rsidP="004339D0">
            <w:pPr>
              <w:pStyle w:val="Actionslist"/>
            </w:pPr>
            <w:r w:rsidRPr="002E7B55">
              <w:t>Fund DHBs (or their equivalent) as partners and collaborators.</w:t>
            </w:r>
          </w:p>
          <w:p w14:paraId="1FE5C254" w14:textId="0B4480C5" w:rsidR="005E1E0C" w:rsidRPr="002E7B55" w:rsidRDefault="004339D0" w:rsidP="00305C78">
            <w:pPr>
              <w:pStyle w:val="Actionslist"/>
            </w:pPr>
            <w:r w:rsidRPr="002E7B55">
              <w:t>Implement long-term multi-year contracts.</w:t>
            </w:r>
          </w:p>
        </w:tc>
      </w:tr>
    </w:tbl>
    <w:p w14:paraId="622424E9" w14:textId="489D9DC8" w:rsidR="00E74212" w:rsidRPr="002E7B55" w:rsidRDefault="00D02684" w:rsidP="00E74212">
      <w:pPr>
        <w:pStyle w:val="Heading2"/>
      </w:pPr>
      <w:r w:rsidRPr="002E7B55">
        <w:t xml:space="preserve">Context: </w:t>
      </w:r>
      <w:r w:rsidR="00E74212" w:rsidRPr="002E7B55">
        <w:t>MIMVP commissioning intentions</w:t>
      </w:r>
    </w:p>
    <w:p w14:paraId="592D182E" w14:textId="40D91E6B" w:rsidR="00D02684" w:rsidRPr="002E7B55" w:rsidRDefault="70D53BCA" w:rsidP="00E74212">
      <w:r w:rsidRPr="002E7B55">
        <w:t xml:space="preserve">In response to feedback and insights from MIVP 2020, the Ministry aimed to improve commissioning and contracting for MIMVP 2021. Specifically, the Ministry wanted to: </w:t>
      </w:r>
    </w:p>
    <w:p w14:paraId="67A959BD" w14:textId="294CE14B" w:rsidR="70D53BCA" w:rsidRPr="002E7B55" w:rsidRDefault="00B64DBF" w:rsidP="70D53BCA">
      <w:pPr>
        <w:pStyle w:val="ListParagraph"/>
        <w:rPr>
          <w:lang w:val="en-NZ"/>
        </w:rPr>
      </w:pPr>
      <w:r w:rsidRPr="002E7B55">
        <w:rPr>
          <w:lang w:val="en-NZ"/>
        </w:rPr>
        <w:t>e</w:t>
      </w:r>
      <w:r w:rsidR="70D53BCA" w:rsidRPr="002E7B55">
        <w:rPr>
          <w:lang w:val="en-NZ"/>
        </w:rPr>
        <w:t xml:space="preserve">mpower providers to adapt MIMVP </w:t>
      </w:r>
      <w:r w:rsidR="00DF5F08" w:rsidRPr="002E7B55">
        <w:rPr>
          <w:lang w:val="en-NZ"/>
        </w:rPr>
        <w:t xml:space="preserve">to </w:t>
      </w:r>
      <w:r w:rsidR="70D53BCA" w:rsidRPr="002E7B55">
        <w:rPr>
          <w:lang w:val="en-NZ"/>
        </w:rPr>
        <w:t>their local context by contracting through a high-trust model</w:t>
      </w:r>
    </w:p>
    <w:p w14:paraId="72889352" w14:textId="3AE2EFAD" w:rsidR="00E74212" w:rsidRPr="002E7B55" w:rsidRDefault="00B64DBF" w:rsidP="0081467C">
      <w:pPr>
        <w:pStyle w:val="ListParagraph"/>
        <w:rPr>
          <w:lang w:val="en-NZ"/>
        </w:rPr>
      </w:pPr>
      <w:r w:rsidRPr="002E7B55">
        <w:rPr>
          <w:lang w:val="en-NZ"/>
        </w:rPr>
        <w:t>g</w:t>
      </w:r>
      <w:r w:rsidR="70D53BCA" w:rsidRPr="002E7B55">
        <w:rPr>
          <w:lang w:val="en-NZ"/>
        </w:rPr>
        <w:t>et funding out earlier by starting the planning and commissioning process earlier and offering a higher first milestone payment</w:t>
      </w:r>
    </w:p>
    <w:p w14:paraId="5B6C8CC6" w14:textId="3B62986D" w:rsidR="00B64DBF" w:rsidRPr="002E7B55" w:rsidRDefault="00B64DBF" w:rsidP="00D02684">
      <w:pPr>
        <w:pStyle w:val="ListParagraph"/>
        <w:rPr>
          <w:lang w:val="en-NZ"/>
        </w:rPr>
      </w:pPr>
      <w:r w:rsidRPr="002E7B55">
        <w:rPr>
          <w:lang w:val="en-NZ"/>
        </w:rPr>
        <w:t>e</w:t>
      </w:r>
      <w:r w:rsidR="23D00F57" w:rsidRPr="002E7B55">
        <w:rPr>
          <w:lang w:val="en-NZ"/>
        </w:rPr>
        <w:t xml:space="preserve">nsure MIMVP-funded activities occurred in all 20 DHB regions </w:t>
      </w:r>
      <w:r w:rsidR="00DF5F08" w:rsidRPr="002E7B55">
        <w:rPr>
          <w:lang w:val="en-NZ"/>
        </w:rPr>
        <w:t xml:space="preserve">streamlining application </w:t>
      </w:r>
      <w:r w:rsidR="23D00F57" w:rsidRPr="002E7B55">
        <w:rPr>
          <w:lang w:val="en-NZ"/>
        </w:rPr>
        <w:t xml:space="preserve">for DHBs and Māori providers </w:t>
      </w:r>
    </w:p>
    <w:p w14:paraId="7C88A30D" w14:textId="7933200E" w:rsidR="00E74212" w:rsidRPr="002E7B55" w:rsidRDefault="23D00F57" w:rsidP="00D02684">
      <w:pPr>
        <w:pStyle w:val="ListParagraph"/>
        <w:rPr>
          <w:lang w:val="en-NZ"/>
        </w:rPr>
      </w:pPr>
      <w:r w:rsidRPr="002E7B55">
        <w:rPr>
          <w:lang w:val="en-NZ"/>
        </w:rPr>
        <w:t>continu</w:t>
      </w:r>
      <w:r w:rsidR="00B64DBF" w:rsidRPr="002E7B55">
        <w:rPr>
          <w:lang w:val="en-NZ"/>
        </w:rPr>
        <w:t>e</w:t>
      </w:r>
      <w:r w:rsidRPr="002E7B55">
        <w:rPr>
          <w:lang w:val="en-NZ"/>
        </w:rPr>
        <w:t xml:space="preserve"> to offer two contracting alternatives – contracting with DHBs (to then sub-contract local providers) or contracting direct</w:t>
      </w:r>
      <w:r w:rsidR="00E251E2" w:rsidRPr="002E7B55">
        <w:rPr>
          <w:lang w:val="en-NZ"/>
        </w:rPr>
        <w:t>ly</w:t>
      </w:r>
      <w:r w:rsidRPr="002E7B55">
        <w:rPr>
          <w:lang w:val="en-NZ"/>
        </w:rPr>
        <w:t xml:space="preserve"> with Māori providers </w:t>
      </w:r>
    </w:p>
    <w:p w14:paraId="6C2EFA95" w14:textId="6EA89C49" w:rsidR="00E74212" w:rsidRPr="002E7B55" w:rsidRDefault="00B64DBF" w:rsidP="00E74212">
      <w:pPr>
        <w:pStyle w:val="ListParagraph"/>
        <w:rPr>
          <w:lang w:val="en-NZ"/>
        </w:rPr>
      </w:pPr>
      <w:r w:rsidRPr="002E7B55">
        <w:rPr>
          <w:lang w:val="en-NZ"/>
        </w:rPr>
        <w:t>s</w:t>
      </w:r>
      <w:r w:rsidR="23D00F57" w:rsidRPr="002E7B55">
        <w:rPr>
          <w:lang w:val="en-NZ"/>
        </w:rPr>
        <w:t>implif</w:t>
      </w:r>
      <w:r w:rsidRPr="002E7B55">
        <w:rPr>
          <w:lang w:val="en-NZ"/>
        </w:rPr>
        <w:t>y</w:t>
      </w:r>
      <w:r w:rsidR="23D00F57" w:rsidRPr="002E7B55">
        <w:rPr>
          <w:lang w:val="en-NZ"/>
        </w:rPr>
        <w:t xml:space="preserve"> milestone reporting and improve feedback and continuous learning opportunities for the Ministry and providers </w:t>
      </w:r>
      <w:r w:rsidR="00DF5F08" w:rsidRPr="002E7B55">
        <w:rPr>
          <w:lang w:val="en-NZ"/>
        </w:rPr>
        <w:t xml:space="preserve">through </w:t>
      </w:r>
      <w:r w:rsidR="23D00F57" w:rsidRPr="002E7B55">
        <w:rPr>
          <w:lang w:val="en-NZ"/>
        </w:rPr>
        <w:t>short monitoring report</w:t>
      </w:r>
      <w:r w:rsidR="00E251E2" w:rsidRPr="002E7B55">
        <w:rPr>
          <w:lang w:val="en-NZ"/>
        </w:rPr>
        <w:t>s</w:t>
      </w:r>
      <w:r w:rsidR="23D00F57" w:rsidRPr="002E7B55">
        <w:rPr>
          <w:lang w:val="en-NZ"/>
        </w:rPr>
        <w:t xml:space="preserve"> (delivered as surveys)</w:t>
      </w:r>
    </w:p>
    <w:p w14:paraId="22E42E99" w14:textId="3DF5C5D3" w:rsidR="00E74212" w:rsidRPr="002E7B55" w:rsidRDefault="00B64DBF" w:rsidP="00D02684">
      <w:pPr>
        <w:pStyle w:val="ListParagraph"/>
        <w:rPr>
          <w:lang w:val="en-NZ"/>
        </w:rPr>
      </w:pPr>
      <w:r w:rsidRPr="002E7B55">
        <w:rPr>
          <w:lang w:val="en-NZ"/>
        </w:rPr>
        <w:t>a</w:t>
      </w:r>
      <w:r w:rsidR="70D53BCA" w:rsidRPr="002E7B55">
        <w:rPr>
          <w:lang w:val="en-NZ"/>
        </w:rPr>
        <w:t xml:space="preserve">chieve more collaboration between </w:t>
      </w:r>
      <w:proofErr w:type="spellStart"/>
      <w:r w:rsidR="70D53BCA" w:rsidRPr="002E7B55">
        <w:rPr>
          <w:lang w:val="en-NZ"/>
        </w:rPr>
        <w:t>i</w:t>
      </w:r>
      <w:proofErr w:type="spellEnd"/>
      <w:r w:rsidR="70D53BCA" w:rsidRPr="002E7B55">
        <w:rPr>
          <w:lang w:val="en-NZ"/>
        </w:rPr>
        <w:t xml:space="preserve">) DHBs and Māori providers, ii) Māori providers, and iii) Māori providers, other health and community services and businesses by encouraging DHBs to act as contract holders. </w:t>
      </w:r>
    </w:p>
    <w:p w14:paraId="13FC078B" w14:textId="7446CB6B" w:rsidR="004339D0" w:rsidRPr="002E7B55" w:rsidRDefault="70D53BCA" w:rsidP="70D53BCA">
      <w:r w:rsidRPr="002E7B55">
        <w:lastRenderedPageBreak/>
        <w:t xml:space="preserve">In total, 51 providers took part in MIMVP. </w:t>
      </w:r>
      <w:r w:rsidR="004339D0" w:rsidRPr="002E7B55">
        <w:t>The Ministry contracted with 12 providers directly, (known as “direct-funded providers”)</w:t>
      </w:r>
      <w:r w:rsidRPr="002E7B55">
        <w:t xml:space="preserve"> and 10 DHBs covering 1</w:t>
      </w:r>
      <w:r w:rsidR="00CF43C4" w:rsidRPr="002E7B55">
        <w:t>3</w:t>
      </w:r>
      <w:r w:rsidRPr="002E7B55">
        <w:t xml:space="preserve"> DHBs.</w:t>
      </w:r>
      <w:r w:rsidR="00431517" w:rsidRPr="002E7B55">
        <w:rPr>
          <w:rStyle w:val="EndnoteReference"/>
        </w:rPr>
        <w:endnoteReference w:id="19"/>
      </w:r>
      <w:r w:rsidR="00431517" w:rsidRPr="002E7B55">
        <w:t xml:space="preserve"> </w:t>
      </w:r>
      <w:r w:rsidR="004339D0" w:rsidRPr="002E7B55">
        <w:t>The DHBs contracted with 39 providers, of which 36 were independent Māori health providers, and three were internal provider arms of DHBs.</w:t>
      </w:r>
      <w:r w:rsidRPr="002E7B55">
        <w:t xml:space="preserve"> </w:t>
      </w:r>
    </w:p>
    <w:p w14:paraId="0149BF02" w14:textId="35F9BF6E" w:rsidR="70D53BCA" w:rsidRPr="002E7B55" w:rsidRDefault="70D53BCA" w:rsidP="70D53BCA">
      <w:pPr>
        <w:pStyle w:val="Heading2"/>
        <w:rPr>
          <w:rFonts w:ascii="Montserrat" w:hAnsi="Montserrat"/>
          <w:b/>
          <w:bCs/>
          <w:szCs w:val="26"/>
        </w:rPr>
      </w:pPr>
      <w:r w:rsidRPr="002E7B55">
        <w:t xml:space="preserve">Timing of contracting and funding was an improvement </w:t>
      </w:r>
      <w:proofErr w:type="gramStart"/>
      <w:r w:rsidRPr="002E7B55">
        <w:t>on</w:t>
      </w:r>
      <w:proofErr w:type="gramEnd"/>
      <w:r w:rsidRPr="002E7B55">
        <w:t xml:space="preserve"> 2020, but needs to be improved further</w:t>
      </w:r>
    </w:p>
    <w:p w14:paraId="32333315" w14:textId="4A308AFF" w:rsidR="00E33B08" w:rsidRPr="002E7B55" w:rsidRDefault="0075462C" w:rsidP="0041391C">
      <w:pPr>
        <w:pStyle w:val="Heading3"/>
      </w:pPr>
      <w:r w:rsidRPr="002E7B55">
        <w:t xml:space="preserve">Ministry planning started earlier in 2021, but </w:t>
      </w:r>
      <w:r w:rsidR="00726F49" w:rsidRPr="002E7B55">
        <w:t>too late to optimise provider planning</w:t>
      </w:r>
      <w:r w:rsidR="003A6F76" w:rsidRPr="002E7B55">
        <w:t xml:space="preserve"> </w:t>
      </w:r>
    </w:p>
    <w:p w14:paraId="0B0663AC" w14:textId="37A36479" w:rsidR="0008238D" w:rsidRPr="002E7B55" w:rsidRDefault="0008238D" w:rsidP="0008238D">
      <w:r w:rsidRPr="002E7B55">
        <w:t>In 2021, the national influenza vaccination programme and MIMVP programme officially started on 14 April. The Ministry completed most contracts in late March 2021 and distributed most of the first round of funding by 20 April. This was earlier than the 2020 funding distribution and demonstrated an improvement in the Ministry’s activities.</w:t>
      </w:r>
    </w:p>
    <w:p w14:paraId="5718435A" w14:textId="45AF6AF0" w:rsidR="0008238D" w:rsidRPr="002E7B55" w:rsidRDefault="0008238D" w:rsidP="0008238D">
      <w:pPr>
        <w:rPr>
          <w:rFonts w:ascii="Arial Nova Light" w:hAnsi="Arial Nova Light"/>
          <w:szCs w:val="20"/>
        </w:rPr>
      </w:pPr>
      <w:r w:rsidRPr="002E7B55">
        <w:t>However, a</w:t>
      </w:r>
      <w:r w:rsidR="70D53BCA" w:rsidRPr="002E7B55">
        <w:t>ccording to providers, starting the application process in February 2021 was still not early enough</w:t>
      </w:r>
      <w:r w:rsidR="009F28E1" w:rsidRPr="002E7B55">
        <w:t xml:space="preserve">. </w:t>
      </w:r>
      <w:r w:rsidRPr="002E7B55">
        <w:rPr>
          <w:rFonts w:ascii="Arial Nova Light" w:hAnsi="Arial Nova Light"/>
          <w:szCs w:val="20"/>
        </w:rPr>
        <w:t>Late MIMVP application and contracting processes impacted many providers</w:t>
      </w:r>
      <w:r w:rsidR="00431517" w:rsidRPr="002E7B55">
        <w:rPr>
          <w:rStyle w:val="EndnoteReference"/>
        </w:rPr>
        <w:endnoteReference w:id="20"/>
      </w:r>
      <w:r w:rsidR="00431517" w:rsidRPr="002E7B55">
        <w:t xml:space="preserve"> ability</w:t>
      </w:r>
      <w:r w:rsidRPr="002E7B55">
        <w:t xml:space="preserve"> to carry out MIMVP</w:t>
      </w:r>
      <w:r w:rsidR="00216589" w:rsidRPr="002E7B55">
        <w:t>-</w:t>
      </w:r>
      <w:r w:rsidRPr="002E7B55">
        <w:t xml:space="preserve">funded activities. </w:t>
      </w:r>
    </w:p>
    <w:p w14:paraId="145B425D" w14:textId="252AB138" w:rsidR="000130BA" w:rsidRPr="002E7B55" w:rsidRDefault="70D53BCA" w:rsidP="70D53BCA">
      <w:r w:rsidRPr="002E7B55">
        <w:t xml:space="preserve">Flu and MMR vaccinations are just one part of the suite of hauora services </w:t>
      </w:r>
      <w:r w:rsidR="00216589" w:rsidRPr="002E7B55">
        <w:t xml:space="preserve">that </w:t>
      </w:r>
      <w:r w:rsidR="0008238D" w:rsidRPr="002E7B55">
        <w:t>providers</w:t>
      </w:r>
      <w:r w:rsidRPr="002E7B55">
        <w:t xml:space="preserve"> deliver</w:t>
      </w:r>
      <w:r w:rsidR="00216589" w:rsidRPr="002E7B55">
        <w:t xml:space="preserve">. </w:t>
      </w:r>
      <w:r w:rsidRPr="002E7B55">
        <w:t>Providers need to design and implement MIMVP as part of an overall integrated organisational approach with workforce recruitment, retention and training a critical consideration.</w:t>
      </w:r>
      <w:r w:rsidR="00D37DCB" w:rsidRPr="002E7B55">
        <w:t xml:space="preserve"> </w:t>
      </w:r>
      <w:r w:rsidR="00216589" w:rsidRPr="002E7B55">
        <w:t>They would like advance notice of the intention to implement MIMVP as early as possible.</w:t>
      </w:r>
    </w:p>
    <w:p w14:paraId="3F6B0562" w14:textId="7DF4F9A2" w:rsidR="003A6F76" w:rsidRPr="002E7B55" w:rsidRDefault="003A6F76" w:rsidP="0041391C">
      <w:pPr>
        <w:pStyle w:val="Heading3"/>
      </w:pPr>
      <w:r w:rsidRPr="002E7B55">
        <w:t>DHB</w:t>
      </w:r>
      <w:r w:rsidR="00B040EF" w:rsidRPr="002E7B55">
        <w:t xml:space="preserve">s </w:t>
      </w:r>
      <w:r w:rsidR="0008238D" w:rsidRPr="002E7B55">
        <w:t xml:space="preserve">were </w:t>
      </w:r>
      <w:r w:rsidR="00B040EF" w:rsidRPr="002E7B55">
        <w:t xml:space="preserve">generally </w:t>
      </w:r>
      <w:r w:rsidR="0008238D" w:rsidRPr="002E7B55">
        <w:t xml:space="preserve">slower to release </w:t>
      </w:r>
      <w:r w:rsidR="00B040EF" w:rsidRPr="002E7B55">
        <w:t>funds</w:t>
      </w:r>
    </w:p>
    <w:p w14:paraId="65FDFFDC" w14:textId="3F7E5791" w:rsidR="008F0763" w:rsidRPr="002E7B55" w:rsidRDefault="70D53BCA" w:rsidP="70D53BCA">
      <w:r w:rsidRPr="002E7B55">
        <w:t xml:space="preserve">DHBs exhibited variable capability to sub-contract local providers and get funding out to providers quickly. </w:t>
      </w:r>
      <w:r w:rsidR="00B040EF" w:rsidRPr="002E7B55">
        <w:t>While some DHBs got funding out to Māori providers relatively quickly, i</w:t>
      </w:r>
      <w:r w:rsidRPr="002E7B55">
        <w:t xml:space="preserve">n other regions DHB-funded providers experienced a challenging commissioning process. </w:t>
      </w:r>
      <w:r w:rsidR="00B040EF" w:rsidRPr="002E7B55">
        <w:t xml:space="preserve">Some DHB-funded providers commented that they did not receive their MIMVP funding until September or </w:t>
      </w:r>
      <w:r w:rsidR="00431517" w:rsidRPr="002E7B55">
        <w:t>October.</w:t>
      </w:r>
      <w:r w:rsidR="00431517" w:rsidRPr="002E7B55">
        <w:rPr>
          <w:rStyle w:val="EndnoteReference"/>
        </w:rPr>
        <w:endnoteReference w:id="21"/>
      </w:r>
      <w:r w:rsidR="00431517" w:rsidRPr="002E7B55">
        <w:t xml:space="preserve"> </w:t>
      </w:r>
      <w:r w:rsidR="00B040EF" w:rsidRPr="002E7B55">
        <w:t xml:space="preserve">In some cases </w:t>
      </w:r>
      <w:r w:rsidRPr="002E7B55">
        <w:t xml:space="preserve">DHBs contributed to delays because they were slow to identify and contract their </w:t>
      </w:r>
      <w:proofErr w:type="gramStart"/>
      <w:r w:rsidRPr="002E7B55">
        <w:t xml:space="preserve">providers, </w:t>
      </w:r>
      <w:r w:rsidR="00D12F22" w:rsidRPr="002E7B55">
        <w:t>and</w:t>
      </w:r>
      <w:proofErr w:type="gramEnd"/>
      <w:r w:rsidR="00D12F22" w:rsidRPr="002E7B55">
        <w:t xml:space="preserve"> </w:t>
      </w:r>
      <w:r w:rsidRPr="002E7B55">
        <w:t xml:space="preserve">slow to determine what proportion of MIMVP funding </w:t>
      </w:r>
      <w:r w:rsidR="00D12F22" w:rsidRPr="002E7B55">
        <w:t>to allocate</w:t>
      </w:r>
      <w:r w:rsidRPr="002E7B55">
        <w:t xml:space="preserve"> to providers (and how much DHBs would retain for administration and coordination)</w:t>
      </w:r>
      <w:r w:rsidR="00D12F22" w:rsidRPr="002E7B55">
        <w:t>.</w:t>
      </w:r>
    </w:p>
    <w:p w14:paraId="1090CF12" w14:textId="20C2C674" w:rsidR="008F0763" w:rsidRPr="002E7B55" w:rsidRDefault="70D53BCA" w:rsidP="70D53BCA">
      <w:pPr>
        <w:rPr>
          <w:rFonts w:ascii="Arial Nova Light" w:hAnsi="Arial Nova Light"/>
          <w:szCs w:val="20"/>
        </w:rPr>
      </w:pPr>
      <w:r w:rsidRPr="002E7B55">
        <w:t>Of particular note, the Auckland Metro DHBs did not have a plan for contracting Māori providers to deliver MIMV</w:t>
      </w:r>
      <w:r w:rsidR="00C954D5" w:rsidRPr="002E7B55">
        <w:t xml:space="preserve">P until months after the </w:t>
      </w:r>
      <w:r w:rsidR="00A06BB7" w:rsidRPr="002E7B55">
        <w:t>P</w:t>
      </w:r>
      <w:r w:rsidR="00C954D5" w:rsidRPr="002E7B55">
        <w:t>rogramme started</w:t>
      </w:r>
      <w:r w:rsidRPr="002E7B55">
        <w:t>. Instead, they wanted to reallocate the funding for COVID-19 initiatives. Despite a lack of a confirmed MIMVP plan</w:t>
      </w:r>
      <w:r w:rsidR="00B459AC" w:rsidRPr="002E7B55">
        <w:t xml:space="preserve"> and </w:t>
      </w:r>
      <w:r w:rsidRPr="002E7B55">
        <w:t>findings from the MIVP 2020 evaluation calling for increased scrutiny and accountability on the Auckland Metro DHBs, the Ministry still funded the Auckland Metro DHBs rather than take an alternative course of action and look to fund Māori providers directly.</w:t>
      </w:r>
    </w:p>
    <w:p w14:paraId="0F49BAE7" w14:textId="77777777" w:rsidR="00E00310" w:rsidRDefault="00E00310">
      <w:pPr>
        <w:spacing w:before="0" w:after="160" w:line="259" w:lineRule="auto"/>
        <w:rPr>
          <w:rFonts w:asciiTheme="majorHAnsi" w:eastAsiaTheme="majorEastAsia" w:hAnsiTheme="majorHAnsi" w:cstheme="majorBidi"/>
          <w:b/>
          <w:bCs/>
          <w:color w:val="197278" w:themeColor="accent1"/>
        </w:rPr>
      </w:pPr>
      <w:r>
        <w:br w:type="page"/>
      </w:r>
    </w:p>
    <w:p w14:paraId="11DE5924" w14:textId="613A2928" w:rsidR="00E74212" w:rsidRPr="002E7B55" w:rsidRDefault="70D53BCA" w:rsidP="0041391C">
      <w:pPr>
        <w:pStyle w:val="Heading3"/>
      </w:pPr>
      <w:r w:rsidRPr="002E7B55">
        <w:lastRenderedPageBreak/>
        <w:t xml:space="preserve">Many providers started flu and MMR vaccinations before they received funding </w:t>
      </w:r>
    </w:p>
    <w:p w14:paraId="791F24D9" w14:textId="790F20E5" w:rsidR="001A4300" w:rsidRPr="002E7B55" w:rsidRDefault="70D53BCA" w:rsidP="70D53BCA">
      <w:pPr>
        <w:rPr>
          <w:rFonts w:ascii="Arial Nova Light" w:hAnsi="Arial Nova Light"/>
          <w:szCs w:val="20"/>
        </w:rPr>
      </w:pPr>
      <w:r w:rsidRPr="002E7B55">
        <w:rPr>
          <w:rFonts w:ascii="Arial Nova Light" w:hAnsi="Arial Nova Light"/>
          <w:szCs w:val="20"/>
        </w:rPr>
        <w:t>The delay</w:t>
      </w:r>
      <w:r w:rsidR="00A06BB7" w:rsidRPr="002E7B55">
        <w:rPr>
          <w:rFonts w:ascii="Arial Nova Light" w:hAnsi="Arial Nova Light"/>
          <w:szCs w:val="20"/>
        </w:rPr>
        <w:t>s</w:t>
      </w:r>
      <w:r w:rsidRPr="002E7B55">
        <w:rPr>
          <w:rFonts w:ascii="Arial Nova Light" w:hAnsi="Arial Nova Light"/>
          <w:szCs w:val="20"/>
        </w:rPr>
        <w:t xml:space="preserve"> in </w:t>
      </w:r>
      <w:r w:rsidR="00D12F22" w:rsidRPr="002E7B55">
        <w:rPr>
          <w:rFonts w:ascii="Arial Nova Light" w:hAnsi="Arial Nova Light"/>
          <w:szCs w:val="20"/>
        </w:rPr>
        <w:t xml:space="preserve">the </w:t>
      </w:r>
      <w:r w:rsidRPr="002E7B55">
        <w:rPr>
          <w:rFonts w:ascii="Arial Nova Light" w:hAnsi="Arial Nova Light"/>
          <w:szCs w:val="20"/>
        </w:rPr>
        <w:t xml:space="preserve">notice about MIMVP and </w:t>
      </w:r>
      <w:r w:rsidR="00D12F22" w:rsidRPr="002E7B55">
        <w:rPr>
          <w:rFonts w:ascii="Arial Nova Light" w:hAnsi="Arial Nova Light"/>
          <w:szCs w:val="20"/>
        </w:rPr>
        <w:t>funding dispersal</w:t>
      </w:r>
      <w:r w:rsidRPr="002E7B55">
        <w:rPr>
          <w:rFonts w:ascii="Arial Nova Light" w:hAnsi="Arial Nova Light"/>
          <w:szCs w:val="20"/>
        </w:rPr>
        <w:t xml:space="preserve"> meant that many providers started </w:t>
      </w:r>
      <w:r w:rsidR="00A06BB7" w:rsidRPr="002E7B55">
        <w:rPr>
          <w:rFonts w:ascii="Arial Nova Light" w:hAnsi="Arial Nova Light"/>
          <w:szCs w:val="20"/>
        </w:rPr>
        <w:t xml:space="preserve">giving </w:t>
      </w:r>
      <w:r w:rsidRPr="002E7B55">
        <w:rPr>
          <w:rFonts w:ascii="Arial Nova Light" w:hAnsi="Arial Nova Light"/>
          <w:szCs w:val="20"/>
        </w:rPr>
        <w:t xml:space="preserve">flu and MMR vaccinations before </w:t>
      </w:r>
      <w:r w:rsidR="00D12F22" w:rsidRPr="002E7B55">
        <w:rPr>
          <w:rFonts w:ascii="Arial Nova Light" w:hAnsi="Arial Nova Light"/>
          <w:szCs w:val="20"/>
        </w:rPr>
        <w:t>receiving</w:t>
      </w:r>
      <w:r w:rsidRPr="002E7B55">
        <w:rPr>
          <w:rFonts w:ascii="Arial Nova Light" w:hAnsi="Arial Nova Light"/>
          <w:szCs w:val="20"/>
        </w:rPr>
        <w:t xml:space="preserve"> funding. </w:t>
      </w:r>
    </w:p>
    <w:p w14:paraId="7F574376" w14:textId="0136E084" w:rsidR="001A4300" w:rsidRPr="002E7B55" w:rsidRDefault="70D53BCA" w:rsidP="70D53BCA">
      <w:pPr>
        <w:rPr>
          <w:rFonts w:ascii="Arial Nova Light" w:hAnsi="Arial Nova Light"/>
          <w:szCs w:val="20"/>
        </w:rPr>
      </w:pPr>
      <w:r w:rsidRPr="002E7B55">
        <w:rPr>
          <w:rFonts w:ascii="Arial Nova Light" w:hAnsi="Arial Nova Light"/>
          <w:szCs w:val="20"/>
        </w:rPr>
        <w:t>In 2021, the Ministry used a higher-trust model</w:t>
      </w:r>
      <w:r w:rsidR="00A06BB7" w:rsidRPr="002E7B55">
        <w:rPr>
          <w:rFonts w:ascii="Arial Nova Light" w:hAnsi="Arial Nova Light"/>
          <w:szCs w:val="20"/>
        </w:rPr>
        <w:t>,</w:t>
      </w:r>
      <w:r w:rsidRPr="002E7B55">
        <w:rPr>
          <w:rFonts w:ascii="Arial Nova Light" w:hAnsi="Arial Nova Light"/>
          <w:szCs w:val="20"/>
        </w:rPr>
        <w:t xml:space="preserve"> paying out 80</w:t>
      </w:r>
      <w:r w:rsidR="009D2139" w:rsidRPr="002E7B55">
        <w:rPr>
          <w:rFonts w:ascii="Arial Nova Light" w:hAnsi="Arial Nova Light"/>
          <w:szCs w:val="20"/>
        </w:rPr>
        <w:t xml:space="preserve"> percent</w:t>
      </w:r>
      <w:r w:rsidRPr="002E7B55">
        <w:rPr>
          <w:rFonts w:ascii="Arial Nova Light" w:hAnsi="Arial Nova Light"/>
          <w:szCs w:val="20"/>
        </w:rPr>
        <w:t xml:space="preserve"> of the contracted budget to DHBs and Māori service providers at Milestone One. </w:t>
      </w:r>
      <w:r w:rsidR="00B040EF" w:rsidRPr="002E7B55">
        <w:rPr>
          <w:rFonts w:ascii="Arial Nova Light" w:hAnsi="Arial Nova Light"/>
          <w:szCs w:val="20"/>
        </w:rPr>
        <w:t>However, despite t</w:t>
      </w:r>
      <w:r w:rsidRPr="002E7B55">
        <w:rPr>
          <w:rFonts w:ascii="Arial Nova Light" w:hAnsi="Arial Nova Light"/>
          <w:szCs w:val="20"/>
        </w:rPr>
        <w:t>he Ministry distribut</w:t>
      </w:r>
      <w:r w:rsidR="00B040EF" w:rsidRPr="002E7B55">
        <w:rPr>
          <w:rFonts w:ascii="Arial Nova Light" w:hAnsi="Arial Nova Light"/>
          <w:szCs w:val="20"/>
        </w:rPr>
        <w:t>ing</w:t>
      </w:r>
      <w:r w:rsidRPr="002E7B55">
        <w:rPr>
          <w:rFonts w:ascii="Arial Nova Light" w:hAnsi="Arial Nova Light"/>
          <w:szCs w:val="20"/>
        </w:rPr>
        <w:t xml:space="preserve"> most of its funding in April 2021, some</w:t>
      </w:r>
      <w:r w:rsidR="004339D0" w:rsidRPr="002E7B55">
        <w:rPr>
          <w:rFonts w:ascii="Arial Nova Light" w:hAnsi="Arial Nova Light"/>
          <w:szCs w:val="20"/>
        </w:rPr>
        <w:t xml:space="preserve"> direct-funded</w:t>
      </w:r>
      <w:r w:rsidRPr="002E7B55">
        <w:rPr>
          <w:rFonts w:ascii="Arial Nova Light" w:hAnsi="Arial Nova Light"/>
          <w:szCs w:val="20"/>
        </w:rPr>
        <w:t xml:space="preserve"> providers and DHBs were slow to invoice the Ministry. As a result, most direct-funded providers</w:t>
      </w:r>
      <w:r w:rsidR="00431517" w:rsidRPr="002E7B55">
        <w:rPr>
          <w:rStyle w:val="EndnoteReference"/>
        </w:rPr>
        <w:endnoteReference w:id="22"/>
      </w:r>
      <w:r w:rsidR="00431517" w:rsidRPr="002E7B55">
        <w:rPr>
          <w:rFonts w:ascii="Arial Nova Light" w:hAnsi="Arial Nova Light"/>
          <w:szCs w:val="20"/>
        </w:rPr>
        <w:t xml:space="preserve"> </w:t>
      </w:r>
      <w:r w:rsidRPr="002E7B55">
        <w:rPr>
          <w:rFonts w:ascii="Arial Nova Light" w:hAnsi="Arial Nova Light"/>
          <w:szCs w:val="20"/>
        </w:rPr>
        <w:t>received their funding by July 2021, compared with only a third</w:t>
      </w:r>
      <w:r w:rsidR="0077749E" w:rsidRPr="002E7B55">
        <w:rPr>
          <w:rStyle w:val="EndnoteReference"/>
        </w:rPr>
        <w:endnoteReference w:id="23"/>
      </w:r>
      <w:r w:rsidR="0077749E" w:rsidRPr="002E7B55">
        <w:rPr>
          <w:rFonts w:ascii="Arial Nova Light" w:hAnsi="Arial Nova Light"/>
          <w:szCs w:val="20"/>
        </w:rPr>
        <w:t xml:space="preserve"> of the</w:t>
      </w:r>
      <w:r w:rsidRPr="002E7B55">
        <w:rPr>
          <w:rFonts w:ascii="Arial Nova Light" w:hAnsi="Arial Nova Light"/>
          <w:szCs w:val="20"/>
        </w:rPr>
        <w:t xml:space="preserve"> DHB-funded providers</w:t>
      </w:r>
      <w:r w:rsidR="00292A6D" w:rsidRPr="002E7B55">
        <w:rPr>
          <w:rFonts w:ascii="Arial Nova Light" w:hAnsi="Arial Nova Light"/>
          <w:szCs w:val="20"/>
        </w:rPr>
        <w:t>. Some DHB-funded providers did not receive funds until September or October.</w:t>
      </w:r>
    </w:p>
    <w:p w14:paraId="2015924B" w14:textId="313DA0E4" w:rsidR="003C07AE" w:rsidRPr="002E7B55" w:rsidRDefault="003C07AE" w:rsidP="003C07AE">
      <w:pPr>
        <w:pStyle w:val="Quote"/>
        <w:rPr>
          <w:szCs w:val="20"/>
          <w:lang w:val="en-NZ"/>
        </w:rPr>
      </w:pPr>
      <w:r w:rsidRPr="002E7B55">
        <w:rPr>
          <w:lang w:val="en-NZ"/>
        </w:rPr>
        <w:t>“Providers started vaccinations prior to funding agreement to ensure a start to the programme</w:t>
      </w:r>
      <w:r w:rsidR="00A06BB7" w:rsidRPr="002E7B55">
        <w:rPr>
          <w:lang w:val="en-NZ"/>
        </w:rPr>
        <w:t>.</w:t>
      </w:r>
      <w:r w:rsidRPr="002E7B55">
        <w:rPr>
          <w:lang w:val="en-NZ"/>
        </w:rPr>
        <w:t>” (DHB)</w:t>
      </w:r>
    </w:p>
    <w:p w14:paraId="38B19CD7" w14:textId="514A5154" w:rsidR="70D53BCA" w:rsidRPr="002E7B55" w:rsidRDefault="70D53BCA" w:rsidP="00C954D5">
      <w:pPr>
        <w:rPr>
          <w:rFonts w:ascii="Arial Nova Light" w:hAnsi="Arial Nova Light"/>
          <w:szCs w:val="20"/>
        </w:rPr>
      </w:pPr>
      <w:r w:rsidRPr="002E7B55">
        <w:t>Nevertheless, most providers</w:t>
      </w:r>
      <w:r w:rsidR="002D7C32" w:rsidRPr="002E7B55">
        <w:t xml:space="preserve"> (especially direct-funded)</w:t>
      </w:r>
      <w:r w:rsidRPr="002E7B55">
        <w:t xml:space="preserve"> started giving flu vaccinations by the end of </w:t>
      </w:r>
      <w:r w:rsidR="00CB3806" w:rsidRPr="002E7B55">
        <w:t>June</w:t>
      </w:r>
      <w:r w:rsidRPr="002E7B55">
        <w:t xml:space="preserve"> 2021</w:t>
      </w:r>
      <w:r w:rsidR="0077749E" w:rsidRPr="002E7B55">
        <w:rPr>
          <w:rStyle w:val="EndnoteReference"/>
        </w:rPr>
        <w:endnoteReference w:id="24"/>
      </w:r>
      <w:r w:rsidR="00D12F22" w:rsidRPr="002E7B55">
        <w:t xml:space="preserve">, </w:t>
      </w:r>
      <w:r w:rsidRPr="002E7B55">
        <w:t xml:space="preserve">and many started giving MMR vaccinations by the end of </w:t>
      </w:r>
      <w:r w:rsidR="00672465" w:rsidRPr="002E7B55">
        <w:t>May</w:t>
      </w:r>
      <w:r w:rsidRPr="002E7B55">
        <w:t xml:space="preserve"> 2021</w:t>
      </w:r>
      <w:r w:rsidR="0077749E" w:rsidRPr="002E7B55">
        <w:rPr>
          <w:rStyle w:val="EndnoteReference"/>
        </w:rPr>
        <w:endnoteReference w:id="25"/>
      </w:r>
      <w:r w:rsidR="0077749E" w:rsidRPr="002E7B55">
        <w:t xml:space="preserve">. </w:t>
      </w:r>
      <w:r w:rsidR="00292A6D" w:rsidRPr="002E7B55">
        <w:t xml:space="preserve">This was later than first </w:t>
      </w:r>
      <w:r w:rsidRPr="002E7B55">
        <w:t xml:space="preserve">planned by the Ministry. </w:t>
      </w:r>
      <w:r w:rsidR="00C954D5" w:rsidRPr="002E7B55">
        <w:t xml:space="preserve">Most direct-funded providers </w:t>
      </w:r>
      <w:r w:rsidRPr="002E7B55">
        <w:t>started giving flu vaccinations by May</w:t>
      </w:r>
      <w:r w:rsidR="0077749E" w:rsidRPr="002E7B55">
        <w:rPr>
          <w:rStyle w:val="EndnoteReference"/>
        </w:rPr>
        <w:endnoteReference w:id="26"/>
      </w:r>
      <w:r w:rsidR="00D12F22" w:rsidRPr="002E7B55">
        <w:t xml:space="preserve">, </w:t>
      </w:r>
      <w:r w:rsidR="003C07AE" w:rsidRPr="002E7B55">
        <w:t>and almost half</w:t>
      </w:r>
      <w:r w:rsidR="0077749E" w:rsidRPr="002E7B55">
        <w:rPr>
          <w:rStyle w:val="EndnoteReference"/>
        </w:rPr>
        <w:endnoteReference w:id="27"/>
      </w:r>
      <w:r w:rsidR="0077749E" w:rsidRPr="002E7B55">
        <w:t xml:space="preserve"> </w:t>
      </w:r>
      <w:r w:rsidR="00D12F22" w:rsidRPr="002E7B55">
        <w:t xml:space="preserve">began </w:t>
      </w:r>
      <w:r w:rsidRPr="002E7B55">
        <w:t>work after the contract confirmation but before receiving funding.</w:t>
      </w:r>
    </w:p>
    <w:p w14:paraId="35B58C9A" w14:textId="5BB4A15F" w:rsidR="00962724" w:rsidRDefault="00962724" w:rsidP="00951BEE">
      <w:pPr>
        <w:pStyle w:val="Chart-full-width"/>
        <w:ind w:left="0"/>
        <w:jc w:val="left"/>
        <w:rPr>
          <w:noProof w:val="0"/>
        </w:rPr>
      </w:pPr>
    </w:p>
    <w:p w14:paraId="0EF22CBC" w14:textId="3C3081C5" w:rsidR="00951BEE" w:rsidRPr="002E7B55" w:rsidRDefault="00951BEE" w:rsidP="00276E6C">
      <w:pPr>
        <w:pStyle w:val="Chart-full-width"/>
        <w:rPr>
          <w:noProof w:val="0"/>
        </w:rPr>
      </w:pPr>
      <w:r>
        <w:drawing>
          <wp:inline distT="0" distB="0" distL="0" distR="0" wp14:anchorId="2BB7668B" wp14:editId="18E1DD1C">
            <wp:extent cx="6096635" cy="3429000"/>
            <wp:effectExtent l="0" t="0" r="0" b="0"/>
            <wp:docPr id="18" name="Picture 18" descr="Graph indicating when providers received funding in comparison to when they started delivering flu and MMR vaccinations. Started flu line is well above and peaks earlier than Started MMR, which is also well above and peaks earlier than Received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indicating when providers received funding in comparison to when they started delivering flu and MMR vaccinations. Started flu line is well above and peaks earlier than Started MMR, which is also well above and peaks earlier than Received fundi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E8B0FD5" w14:textId="2811E958" w:rsidR="003C07AE" w:rsidRPr="002E7B55" w:rsidRDefault="003C07AE" w:rsidP="003C07AE">
      <w:pPr>
        <w:pStyle w:val="Caption"/>
      </w:pPr>
      <w:bookmarkStart w:id="32" w:name="_Toc95741426"/>
      <w:bookmarkStart w:id="33" w:name="_Toc96341690"/>
      <w:r w:rsidRPr="002E7B55">
        <w:t xml:space="preserve">Figure </w:t>
      </w:r>
      <w:r w:rsidRPr="002E7B55">
        <w:fldChar w:fldCharType="begin"/>
      </w:r>
      <w:r w:rsidRPr="002E7B55">
        <w:instrText xml:space="preserve"> SEQ Figure \* ARABIC </w:instrText>
      </w:r>
      <w:r w:rsidRPr="002E7B55">
        <w:fldChar w:fldCharType="separate"/>
      </w:r>
      <w:r w:rsidR="00886DCA" w:rsidRPr="002E7B55">
        <w:t>11</w:t>
      </w:r>
      <w:r w:rsidRPr="002E7B55">
        <w:fldChar w:fldCharType="end"/>
      </w:r>
      <w:r w:rsidRPr="002E7B55">
        <w:t>: Cumulative number of providers who said they started flu or MMR vaccinations vs when they received funding over time</w:t>
      </w:r>
      <w:bookmarkEnd w:id="32"/>
      <w:bookmarkEnd w:id="33"/>
    </w:p>
    <w:p w14:paraId="7B955ECF" w14:textId="77777777" w:rsidR="005F616E" w:rsidRPr="002E7B55" w:rsidRDefault="70D53BCA" w:rsidP="0041391C">
      <w:pPr>
        <w:pStyle w:val="Heading3"/>
      </w:pPr>
      <w:r w:rsidRPr="002E7B55">
        <w:t>MIMVP funded activities in every region</w:t>
      </w:r>
    </w:p>
    <w:p w14:paraId="06F65B8F" w14:textId="5F17F845" w:rsidR="00517C7C" w:rsidRPr="002E7B55" w:rsidRDefault="005F616E" w:rsidP="009144CD">
      <w:r w:rsidRPr="002E7B55">
        <w:t xml:space="preserve">MIMVP-funded activities occurred in all DHB regions in 2021, </w:t>
      </w:r>
      <w:r w:rsidR="00A06BB7" w:rsidRPr="002E7B55">
        <w:t>up</w:t>
      </w:r>
      <w:r w:rsidRPr="002E7B55">
        <w:t xml:space="preserve"> from 19 regions in 2020. The Ministry invited MIVP contract holders to apply for funding </w:t>
      </w:r>
      <w:r w:rsidR="00EA4785" w:rsidRPr="002E7B55">
        <w:t xml:space="preserve">and </w:t>
      </w:r>
      <w:r w:rsidRPr="002E7B55">
        <w:t>intentionally sought applications from regions not funded in 2020 (South Canterbury)</w:t>
      </w:r>
      <w:r w:rsidR="004339D0" w:rsidRPr="002E7B55">
        <w:t xml:space="preserve"> and</w:t>
      </w:r>
      <w:r w:rsidRPr="002E7B55">
        <w:t xml:space="preserve"> to increase regional coverage (Tairāwhiti). </w:t>
      </w:r>
    </w:p>
    <w:p w14:paraId="0321E81B" w14:textId="4DCE38B5" w:rsidR="0085769B" w:rsidRPr="002E7B55" w:rsidRDefault="0085769B" w:rsidP="0085769B">
      <w:pPr>
        <w:pStyle w:val="Heading2"/>
      </w:pPr>
      <w:r w:rsidRPr="002E7B55">
        <w:lastRenderedPageBreak/>
        <w:t>Relationships and collaboration was mixed</w:t>
      </w:r>
    </w:p>
    <w:p w14:paraId="7EC8196F" w14:textId="15E82C40" w:rsidR="00CD44B5" w:rsidRPr="002E7B55" w:rsidRDefault="00D04DA7" w:rsidP="0041391C">
      <w:pPr>
        <w:pStyle w:val="Heading3"/>
      </w:pPr>
      <w:r w:rsidRPr="002E7B55">
        <w:t xml:space="preserve">Providers have </w:t>
      </w:r>
      <w:r w:rsidR="00FB27E0" w:rsidRPr="002E7B55">
        <w:t>mixed perceptions of the value of contracting through DHBs.</w:t>
      </w:r>
    </w:p>
    <w:p w14:paraId="16FF7D24" w14:textId="3B62BF41" w:rsidR="00864BC8" w:rsidRPr="002E7B55" w:rsidRDefault="00632A79" w:rsidP="00EA4785">
      <w:r w:rsidRPr="002E7B55">
        <w:t>In 2021</w:t>
      </w:r>
      <w:r w:rsidR="009B14EE" w:rsidRPr="002E7B55">
        <w:t>,</w:t>
      </w:r>
      <w:r w:rsidRPr="002E7B55">
        <w:t xml:space="preserve"> as in 2020, the </w:t>
      </w:r>
      <w:r w:rsidR="00CD44B5" w:rsidRPr="002E7B55">
        <w:t xml:space="preserve">Ministry </w:t>
      </w:r>
      <w:r w:rsidRPr="002E7B55">
        <w:t xml:space="preserve">envisaged </w:t>
      </w:r>
      <w:r w:rsidR="00CD44B5" w:rsidRPr="002E7B55">
        <w:t>that MIMVP would support stronger working relationships between DHBs and Māori providers</w:t>
      </w:r>
      <w:r w:rsidR="00D12F22" w:rsidRPr="002E7B55">
        <w:t>. This</w:t>
      </w:r>
      <w:r w:rsidR="00436DE1" w:rsidRPr="002E7B55">
        <w:t xml:space="preserve"> would lead to better local coordination and delivery of services between DHBs and providers</w:t>
      </w:r>
      <w:r w:rsidR="00CD44B5" w:rsidRPr="002E7B55">
        <w:t xml:space="preserve">. </w:t>
      </w:r>
      <w:r w:rsidR="00D12F22" w:rsidRPr="002E7B55">
        <w:t>The plan assumed</w:t>
      </w:r>
      <w:r w:rsidRPr="002E7B55">
        <w:t xml:space="preserve"> that</w:t>
      </w:r>
      <w:r w:rsidR="00EA4785" w:rsidRPr="002E7B55">
        <w:t xml:space="preserve"> </w:t>
      </w:r>
      <w:r w:rsidRPr="002E7B55">
        <w:t xml:space="preserve">DHBs </w:t>
      </w:r>
      <w:r w:rsidR="00436DE1" w:rsidRPr="002E7B55">
        <w:t xml:space="preserve">had good working relationships with their </w:t>
      </w:r>
      <w:r w:rsidR="00864BC8" w:rsidRPr="002E7B55">
        <w:t>providers</w:t>
      </w:r>
      <w:r w:rsidR="00436DE1" w:rsidRPr="002E7B55">
        <w:t xml:space="preserve">, who </w:t>
      </w:r>
      <w:r w:rsidR="00A06BB7" w:rsidRPr="002E7B55">
        <w:t xml:space="preserve">in turn </w:t>
      </w:r>
      <w:r w:rsidR="00436DE1" w:rsidRPr="002E7B55">
        <w:t xml:space="preserve">had strong relationships with </w:t>
      </w:r>
      <w:r w:rsidR="00864BC8" w:rsidRPr="002E7B55">
        <w:t>the</w:t>
      </w:r>
      <w:r w:rsidR="00436DE1" w:rsidRPr="002E7B55">
        <w:t>ir</w:t>
      </w:r>
      <w:r w:rsidR="00864BC8" w:rsidRPr="002E7B55">
        <w:t xml:space="preserve"> community, </w:t>
      </w:r>
      <w:r w:rsidR="00EA4785" w:rsidRPr="002E7B55">
        <w:t xml:space="preserve">and </w:t>
      </w:r>
      <w:r w:rsidR="00864BC8" w:rsidRPr="002E7B55">
        <w:t xml:space="preserve">that DHBs could provide necessary coordination </w:t>
      </w:r>
      <w:r w:rsidR="009B14EE" w:rsidRPr="002E7B55">
        <w:t xml:space="preserve">and </w:t>
      </w:r>
      <w:r w:rsidR="00864BC8" w:rsidRPr="002E7B55">
        <w:t xml:space="preserve">support </w:t>
      </w:r>
      <w:r w:rsidR="009B14EE" w:rsidRPr="002E7B55">
        <w:t xml:space="preserve">to </w:t>
      </w:r>
      <w:r w:rsidR="00864BC8" w:rsidRPr="002E7B55">
        <w:t>providers</w:t>
      </w:r>
      <w:r w:rsidR="00D12F22" w:rsidRPr="002E7B55">
        <w:t>. I</w:t>
      </w:r>
      <w:r w:rsidR="008459C8" w:rsidRPr="002E7B55">
        <w:t xml:space="preserve">n addition, having </w:t>
      </w:r>
      <w:r w:rsidR="00C21DC5" w:rsidRPr="002E7B55">
        <w:t xml:space="preserve">DHBs subcontract providers reduced </w:t>
      </w:r>
      <w:r w:rsidR="008459C8" w:rsidRPr="002E7B55">
        <w:t xml:space="preserve">the Ministry’s administration and </w:t>
      </w:r>
      <w:r w:rsidR="00C21DC5" w:rsidRPr="002E7B55">
        <w:t xml:space="preserve">contracting </w:t>
      </w:r>
      <w:r w:rsidR="008459C8" w:rsidRPr="002E7B55">
        <w:t xml:space="preserve">load and shifted this on to DHBs. </w:t>
      </w:r>
    </w:p>
    <w:p w14:paraId="3A48E20D" w14:textId="3C7ED5E8" w:rsidR="00FB27E0" w:rsidRPr="002E7B55" w:rsidRDefault="00FB27E0" w:rsidP="00EA4785">
      <w:r w:rsidRPr="002E7B55">
        <w:t>There are mixed views amongst providers of the value of contracting through DHBs.</w:t>
      </w:r>
    </w:p>
    <w:p w14:paraId="1FA9AFE2" w14:textId="77777777" w:rsidR="00D04DA7" w:rsidRPr="002E7B55" w:rsidRDefault="00D04DA7" w:rsidP="000F7FA7">
      <w:pPr>
        <w:pStyle w:val="Heading4"/>
      </w:pPr>
      <w:r w:rsidRPr="002E7B55">
        <w:t>Positive perceptions</w:t>
      </w:r>
    </w:p>
    <w:p w14:paraId="702792DD" w14:textId="4BD529F3" w:rsidR="005C784F" w:rsidRPr="002E7B55" w:rsidRDefault="00DB09B2" w:rsidP="002F1593">
      <w:r w:rsidRPr="002E7B55">
        <w:t>On the one hand, in some regions</w:t>
      </w:r>
      <w:r w:rsidR="00864BC8" w:rsidRPr="002E7B55">
        <w:t xml:space="preserve"> providers found the coordination and resource support of DHBs </w:t>
      </w:r>
      <w:r w:rsidR="00D12F22" w:rsidRPr="002E7B55">
        <w:t>helpful</w:t>
      </w:r>
      <w:r w:rsidR="00864BC8" w:rsidRPr="002E7B55">
        <w:t>. In these regions, the DHBs focus</w:t>
      </w:r>
      <w:r w:rsidR="00F0689C" w:rsidRPr="002E7B55">
        <w:t>ed</w:t>
      </w:r>
      <w:r w:rsidR="00864BC8" w:rsidRPr="002E7B55">
        <w:t xml:space="preserve"> on providing complementary services to support local Māori providers acquiring and managing resources</w:t>
      </w:r>
      <w:r w:rsidRPr="002E7B55">
        <w:t>.</w:t>
      </w:r>
      <w:r w:rsidR="00EC1527" w:rsidRPr="002E7B55">
        <w:t xml:space="preserve"> </w:t>
      </w:r>
      <w:r w:rsidR="00CD44B5" w:rsidRPr="002E7B55">
        <w:t xml:space="preserve">There were many </w:t>
      </w:r>
      <w:r w:rsidR="005C784F" w:rsidRPr="002E7B55">
        <w:t>ways providers indicated receiving practical support from their DHB</w:t>
      </w:r>
      <w:r w:rsidR="001207B7" w:rsidRPr="002E7B55">
        <w:t xml:space="preserve">, in particular </w:t>
      </w:r>
      <w:r w:rsidR="00A06BB7" w:rsidRPr="002E7B55">
        <w:t xml:space="preserve">supply of </w:t>
      </w:r>
      <w:r w:rsidR="001207B7" w:rsidRPr="002E7B55">
        <w:t xml:space="preserve">vaccines, </w:t>
      </w:r>
      <w:r w:rsidR="00D15E52" w:rsidRPr="002E7B55">
        <w:t>equipment</w:t>
      </w:r>
      <w:r w:rsidR="001207B7" w:rsidRPr="002E7B55">
        <w:t xml:space="preserve">, </w:t>
      </w:r>
      <w:r w:rsidR="00D15E52" w:rsidRPr="002E7B55">
        <w:t>and training</w:t>
      </w:r>
      <w:r w:rsidR="005C784F" w:rsidRPr="002E7B55">
        <w:t xml:space="preserve">. </w:t>
      </w:r>
    </w:p>
    <w:p w14:paraId="50396506" w14:textId="1AE54C37" w:rsidR="00951BEE" w:rsidRPr="002E7B55" w:rsidRDefault="000246F7" w:rsidP="00A9461A">
      <w:pPr>
        <w:pStyle w:val="Chart-full-width"/>
        <w:rPr>
          <w:noProof w:val="0"/>
        </w:rPr>
      </w:pPr>
      <w:r>
        <w:drawing>
          <wp:inline distT="0" distB="0" distL="0" distR="0" wp14:anchorId="64817A6C" wp14:editId="171E7078">
            <wp:extent cx="5954395" cy="3348990"/>
            <wp:effectExtent l="0" t="0" r="8255" b="3810"/>
            <wp:docPr id="40" name="Picture 40" descr="Graph of the types of supports providers indicated they received from DHBs. Overall, DHB-funded providers received more supports, very few direct-funded providers indicated they received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 of the types of supports providers indicated they received from DHBs. Overall, DHB-funded providers received more supports, very few direct-funded providers indicated they received suppor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4395" cy="3348990"/>
                    </a:xfrm>
                    <a:prstGeom prst="rect">
                      <a:avLst/>
                    </a:prstGeom>
                    <a:noFill/>
                    <a:ln>
                      <a:noFill/>
                    </a:ln>
                  </pic:spPr>
                </pic:pic>
              </a:graphicData>
            </a:graphic>
          </wp:inline>
        </w:drawing>
      </w:r>
    </w:p>
    <w:p w14:paraId="10FC0BC7" w14:textId="7D231CD4" w:rsidR="002F1593" w:rsidRPr="002E7B55" w:rsidRDefault="002F1593" w:rsidP="002F1593">
      <w:pPr>
        <w:pStyle w:val="Caption"/>
      </w:pPr>
      <w:bookmarkStart w:id="34" w:name="_Toc95741427"/>
      <w:bookmarkStart w:id="35" w:name="_Toc96341691"/>
      <w:r w:rsidRPr="002E7B55">
        <w:t xml:space="preserve">Figure </w:t>
      </w:r>
      <w:r w:rsidRPr="002E7B55">
        <w:fldChar w:fldCharType="begin"/>
      </w:r>
      <w:r w:rsidRPr="002E7B55">
        <w:instrText xml:space="preserve"> SEQ Figure \* ARABIC </w:instrText>
      </w:r>
      <w:r w:rsidRPr="002E7B55">
        <w:fldChar w:fldCharType="separate"/>
      </w:r>
      <w:r w:rsidR="00886DCA" w:rsidRPr="002E7B55">
        <w:t>12</w:t>
      </w:r>
      <w:r w:rsidRPr="002E7B55">
        <w:fldChar w:fldCharType="end"/>
      </w:r>
      <w:r w:rsidRPr="002E7B55">
        <w:t>: Types of practical support providers said they received from their DHBs</w:t>
      </w:r>
      <w:bookmarkEnd w:id="34"/>
      <w:r w:rsidR="001F1EAA" w:rsidRPr="002E7B55">
        <w:rPr>
          <w:rStyle w:val="EndnoteReference"/>
        </w:rPr>
        <w:endnoteReference w:id="28"/>
      </w:r>
      <w:bookmarkEnd w:id="35"/>
    </w:p>
    <w:p w14:paraId="74981AFF" w14:textId="78D29E1B" w:rsidR="00104031" w:rsidRPr="002E7B55" w:rsidRDefault="001207B7" w:rsidP="00CD44B5">
      <w:r w:rsidRPr="002E7B55">
        <w:t>M</w:t>
      </w:r>
      <w:r w:rsidR="00D12F22" w:rsidRPr="002E7B55">
        <w:t>ost Māori providers believed</w:t>
      </w:r>
      <w:r w:rsidR="00CD44B5" w:rsidRPr="002E7B55">
        <w:t xml:space="preserve"> DHBs trusted their organisation. Many also thought DHBs were helpful and realistic in developing plans to a moderate or high degree. </w:t>
      </w:r>
    </w:p>
    <w:p w14:paraId="43086B92" w14:textId="17C657D8" w:rsidR="00D525C3" w:rsidRPr="002E7B55" w:rsidRDefault="000B7407" w:rsidP="00A9461A">
      <w:pPr>
        <w:pStyle w:val="Chart-full-width"/>
        <w:rPr>
          <w:noProof w:val="0"/>
        </w:rPr>
      </w:pPr>
      <w:r w:rsidRPr="002E7B55">
        <w:lastRenderedPageBreak/>
        <w:drawing>
          <wp:inline distT="0" distB="0" distL="0" distR="0" wp14:anchorId="0C17BB61" wp14:editId="643E7817">
            <wp:extent cx="6096635" cy="2280285"/>
            <wp:effectExtent l="0" t="0" r="0" b="0"/>
            <wp:docPr id="5" name="Picture 5" descr="Graph of extent to which providers thought their local DHB trusts their organisation to deliver their MIMVP-funded plan. DHB-funded providers higher proportion of 'to a high degree', but one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of extent to which providers thought their local DHB trusts their organisation to deliver their MIMVP-funded plan. DHB-funded providers higher proportion of 'to a high degree', but one 'Not at 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2280285"/>
                    </a:xfrm>
                    <a:prstGeom prst="rect">
                      <a:avLst/>
                    </a:prstGeom>
                    <a:noFill/>
                  </pic:spPr>
                </pic:pic>
              </a:graphicData>
            </a:graphic>
          </wp:inline>
        </w:drawing>
      </w:r>
    </w:p>
    <w:p w14:paraId="2C972855" w14:textId="2F24BDA8" w:rsidR="00D525C3" w:rsidRPr="002E7B55" w:rsidRDefault="000B7407" w:rsidP="00A9461A">
      <w:pPr>
        <w:pStyle w:val="Chart-full-width"/>
        <w:rPr>
          <w:noProof w:val="0"/>
        </w:rPr>
      </w:pPr>
      <w:r w:rsidRPr="002E7B55">
        <w:drawing>
          <wp:inline distT="0" distB="0" distL="0" distR="0" wp14:anchorId="2FF4FEA5" wp14:editId="405CA980">
            <wp:extent cx="6096635" cy="2451100"/>
            <wp:effectExtent l="0" t="0" r="0" b="0"/>
            <wp:docPr id="6" name="Picture 6" descr="Graph of extent to which providers thought the relationship with their local DHB was helpful to implement their MIMVP-funded plan. Direct-funded providers higher proportion of 'to a high degree', but one 'Not at all'. DHB-funded providers more split across 'to a high degree', 'to a moderate degree' and smaller 'to a limited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of extent to which providers thought the relationship with their local DHB was helpful to implement their MIMVP-funded plan. Direct-funded providers higher proportion of 'to a high degree', but one 'Not at all'. DHB-funded providers more split across 'to a high degree', 'to a moderate degree' and smaller 'to a limited deg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2451100"/>
                    </a:xfrm>
                    <a:prstGeom prst="rect">
                      <a:avLst/>
                    </a:prstGeom>
                    <a:noFill/>
                  </pic:spPr>
                </pic:pic>
              </a:graphicData>
            </a:graphic>
          </wp:inline>
        </w:drawing>
      </w:r>
    </w:p>
    <w:p w14:paraId="2268790E" w14:textId="3D7D1B96" w:rsidR="00CD44B5" w:rsidRPr="002E7B55" w:rsidRDefault="00886DCA" w:rsidP="00886DCA">
      <w:pPr>
        <w:pStyle w:val="Caption"/>
      </w:pPr>
      <w:bookmarkStart w:id="36" w:name="_Toc95741428"/>
      <w:bookmarkStart w:id="37" w:name="_Toc96341692"/>
      <w:r w:rsidRPr="002E7B55">
        <w:t xml:space="preserve">Figure </w:t>
      </w:r>
      <w:r w:rsidRPr="002E7B55">
        <w:fldChar w:fldCharType="begin"/>
      </w:r>
      <w:r w:rsidRPr="002E7B55">
        <w:instrText xml:space="preserve"> SEQ Figure \* ARABIC </w:instrText>
      </w:r>
      <w:r w:rsidRPr="002E7B55">
        <w:fldChar w:fldCharType="separate"/>
      </w:r>
      <w:r w:rsidRPr="002E7B55">
        <w:t>13</w:t>
      </w:r>
      <w:r w:rsidRPr="002E7B55">
        <w:fldChar w:fldCharType="end"/>
      </w:r>
      <w:r w:rsidRPr="002E7B55">
        <w:t>: Providers’ perceptions of relationships with DHBs to a moderate or high degree</w:t>
      </w:r>
      <w:r w:rsidRPr="002E7B55">
        <w:rPr>
          <w:rStyle w:val="EndnoteReference"/>
        </w:rPr>
        <w:endnoteReference w:id="29"/>
      </w:r>
      <w:bookmarkEnd w:id="36"/>
      <w:bookmarkEnd w:id="37"/>
    </w:p>
    <w:p w14:paraId="1CE65B0E" w14:textId="409D3810" w:rsidR="00D04DA7" w:rsidRPr="002E7B55" w:rsidRDefault="00D04DA7" w:rsidP="000F7FA7">
      <w:pPr>
        <w:pStyle w:val="Heading4"/>
      </w:pPr>
      <w:r w:rsidRPr="002E7B55">
        <w:t>Negative perceptions</w:t>
      </w:r>
    </w:p>
    <w:p w14:paraId="45254E40" w14:textId="54BE2734" w:rsidR="00882496" w:rsidRPr="002E7B55" w:rsidRDefault="00FB27E0" w:rsidP="000A4B37">
      <w:r w:rsidRPr="002E7B55">
        <w:t xml:space="preserve">In other regions, the relationship between providers and the local DHB </w:t>
      </w:r>
      <w:r w:rsidR="00D12F22" w:rsidRPr="002E7B55">
        <w:t>is less amicable</w:t>
      </w:r>
      <w:r w:rsidR="00255AFA" w:rsidRPr="002E7B55">
        <w:t xml:space="preserve">. </w:t>
      </w:r>
      <w:r w:rsidR="00882496" w:rsidRPr="002E7B55">
        <w:t>S</w:t>
      </w:r>
      <w:r w:rsidR="002D6113" w:rsidRPr="002E7B55">
        <w:t>ome provider</w:t>
      </w:r>
      <w:r w:rsidR="00882496" w:rsidRPr="002E7B55">
        <w:t>s</w:t>
      </w:r>
      <w:r w:rsidR="002D6113" w:rsidRPr="002E7B55">
        <w:t xml:space="preserve"> </w:t>
      </w:r>
      <w:r w:rsidRPr="002E7B55">
        <w:t>felt</w:t>
      </w:r>
      <w:r w:rsidR="00882496" w:rsidRPr="002E7B55">
        <w:t xml:space="preserve"> </w:t>
      </w:r>
      <w:r w:rsidRPr="002E7B55">
        <w:t xml:space="preserve">forced </w:t>
      </w:r>
      <w:r w:rsidR="002D6113" w:rsidRPr="002E7B55">
        <w:t xml:space="preserve">into an </w:t>
      </w:r>
      <w:r w:rsidRPr="002E7B55">
        <w:t>“</w:t>
      </w:r>
      <w:r w:rsidR="000A4B37" w:rsidRPr="002E7B55">
        <w:t xml:space="preserve">unhappy </w:t>
      </w:r>
      <w:r w:rsidR="002D6113" w:rsidRPr="002E7B55">
        <w:t xml:space="preserve">arranged </w:t>
      </w:r>
      <w:r w:rsidRPr="002E7B55">
        <w:t>marriage”</w:t>
      </w:r>
      <w:r w:rsidR="00D12F22" w:rsidRPr="002E7B55">
        <w:t>,</w:t>
      </w:r>
      <w:r w:rsidRPr="002E7B55">
        <w:t xml:space="preserve"> required to contract through their DHB despite their preference to contract directly with the Ministry. </w:t>
      </w:r>
      <w:r w:rsidR="000A4B37" w:rsidRPr="002E7B55">
        <w:t>Some providers commented that their DHB tried to direct or restrict their MIMVP activities</w:t>
      </w:r>
      <w:r w:rsidR="00D12F22" w:rsidRPr="002E7B55">
        <w:t>.</w:t>
      </w:r>
      <w:r w:rsidR="00413670" w:rsidRPr="002E7B55">
        <w:t xml:space="preserve"> </w:t>
      </w:r>
      <w:r w:rsidR="00D12F22" w:rsidRPr="002E7B55">
        <w:t>I</w:t>
      </w:r>
      <w:r w:rsidR="00413670" w:rsidRPr="002E7B55">
        <w:t>n the</w:t>
      </w:r>
      <w:r w:rsidR="00D12F22" w:rsidRPr="002E7B55">
        <w:t xml:space="preserve"> providers</w:t>
      </w:r>
      <w:r w:rsidR="00A06BB7" w:rsidRPr="002E7B55">
        <w:t>’</w:t>
      </w:r>
      <w:r w:rsidR="00413670" w:rsidRPr="002E7B55">
        <w:t xml:space="preserve"> view, </w:t>
      </w:r>
      <w:r w:rsidR="00D12F22" w:rsidRPr="002E7B55">
        <w:t xml:space="preserve">DHBs did not </w:t>
      </w:r>
      <w:r w:rsidR="00413670" w:rsidRPr="002E7B55">
        <w:t>hav</w:t>
      </w:r>
      <w:r w:rsidR="00D12F22" w:rsidRPr="002E7B55">
        <w:t>e</w:t>
      </w:r>
      <w:r w:rsidR="00413670" w:rsidRPr="002E7B55">
        <w:t xml:space="preserve"> an in-depth understanding </w:t>
      </w:r>
      <w:r w:rsidR="003C643C" w:rsidRPr="002E7B55">
        <w:t xml:space="preserve">of </w:t>
      </w:r>
      <w:r w:rsidR="00D12F22" w:rsidRPr="002E7B55">
        <w:t xml:space="preserve">the </w:t>
      </w:r>
      <w:r w:rsidR="003C643C" w:rsidRPr="002E7B55">
        <w:t>needs</w:t>
      </w:r>
      <w:r w:rsidR="00D12F22" w:rsidRPr="002E7B55">
        <w:t xml:space="preserve"> </w:t>
      </w:r>
      <w:r w:rsidR="003C643C" w:rsidRPr="002E7B55">
        <w:t>for</w:t>
      </w:r>
      <w:r w:rsidR="00413670" w:rsidRPr="002E7B55">
        <w:t xml:space="preserve"> </w:t>
      </w:r>
      <w:r w:rsidR="003C643C" w:rsidRPr="002E7B55">
        <w:t xml:space="preserve">effectively </w:t>
      </w:r>
      <w:r w:rsidR="00413670" w:rsidRPr="002E7B55">
        <w:t>engag</w:t>
      </w:r>
      <w:r w:rsidR="003C643C" w:rsidRPr="002E7B55">
        <w:t>ing</w:t>
      </w:r>
      <w:r w:rsidR="00413670" w:rsidRPr="002E7B55">
        <w:t xml:space="preserve"> </w:t>
      </w:r>
      <w:r w:rsidR="00D12F22" w:rsidRPr="002E7B55">
        <w:t>whānau and their communities</w:t>
      </w:r>
      <w:r w:rsidR="003C643C" w:rsidRPr="002E7B55">
        <w:t xml:space="preserve">. </w:t>
      </w:r>
      <w:r w:rsidR="00E12267" w:rsidRPr="002E7B55">
        <w:t>Providers want</w:t>
      </w:r>
      <w:r w:rsidR="003C643C" w:rsidRPr="002E7B55">
        <w:t>ed</w:t>
      </w:r>
      <w:r w:rsidR="00E12267" w:rsidRPr="002E7B55">
        <w:t xml:space="preserve"> to design and determine what they d</w:t>
      </w:r>
      <w:r w:rsidR="003C643C" w:rsidRPr="002E7B55">
        <w:t>id</w:t>
      </w:r>
      <w:r w:rsidR="00AF4B3D" w:rsidRPr="002E7B55">
        <w:t xml:space="preserve"> in their communities. </w:t>
      </w:r>
    </w:p>
    <w:p w14:paraId="740525E0" w14:textId="511796F4" w:rsidR="00413670" w:rsidRPr="002E7B55" w:rsidRDefault="003C643C" w:rsidP="000A4B37">
      <w:r w:rsidRPr="002E7B55">
        <w:t xml:space="preserve">Providers also had some </w:t>
      </w:r>
      <w:r w:rsidR="00A06BB7" w:rsidRPr="002E7B55">
        <w:t>“</w:t>
      </w:r>
      <w:r w:rsidRPr="002E7B55">
        <w:t>grumblings</w:t>
      </w:r>
      <w:r w:rsidR="00A06BB7" w:rsidRPr="002E7B55">
        <w:t>”</w:t>
      </w:r>
      <w:r w:rsidR="00005240" w:rsidRPr="002E7B55">
        <w:t xml:space="preserve"> about the </w:t>
      </w:r>
      <w:r w:rsidR="00413670" w:rsidRPr="002E7B55">
        <w:t xml:space="preserve">lack of transparency </w:t>
      </w:r>
      <w:r w:rsidRPr="002E7B55">
        <w:t>regarding the</w:t>
      </w:r>
      <w:r w:rsidR="00413670" w:rsidRPr="002E7B55">
        <w:t xml:space="preserve"> </w:t>
      </w:r>
      <w:r w:rsidR="00005240" w:rsidRPr="002E7B55">
        <w:t xml:space="preserve">funding DHBs </w:t>
      </w:r>
      <w:r w:rsidRPr="002E7B55">
        <w:t>retained</w:t>
      </w:r>
      <w:r w:rsidR="00005240" w:rsidRPr="002E7B55">
        <w:t xml:space="preserve"> as part of the total regional budget. </w:t>
      </w:r>
      <w:r w:rsidRPr="002E7B55">
        <w:t>There was no</w:t>
      </w:r>
      <w:r w:rsidR="00005240" w:rsidRPr="002E7B55">
        <w:t xml:space="preserve"> explanation </w:t>
      </w:r>
      <w:r w:rsidRPr="002E7B55">
        <w:t xml:space="preserve">to providers </w:t>
      </w:r>
      <w:r w:rsidR="00005240" w:rsidRPr="002E7B55">
        <w:t xml:space="preserve">about the share of MIMVP regional funding DHBs </w:t>
      </w:r>
      <w:r w:rsidR="0048152C" w:rsidRPr="002E7B55">
        <w:t>allocate</w:t>
      </w:r>
      <w:r w:rsidRPr="002E7B55">
        <w:t>d</w:t>
      </w:r>
      <w:r w:rsidR="0048152C" w:rsidRPr="002E7B55">
        <w:t xml:space="preserve"> themselves</w:t>
      </w:r>
      <w:r w:rsidR="00005240" w:rsidRPr="002E7B55">
        <w:t xml:space="preserve"> </w:t>
      </w:r>
      <w:r w:rsidR="0048152C" w:rsidRPr="002E7B55">
        <w:t xml:space="preserve">and how </w:t>
      </w:r>
      <w:r w:rsidRPr="002E7B55">
        <w:t>they used it</w:t>
      </w:r>
      <w:r w:rsidR="0048152C" w:rsidRPr="002E7B55">
        <w:t xml:space="preserve">, </w:t>
      </w:r>
      <w:r w:rsidRPr="002E7B55">
        <w:t>leaving an impression that</w:t>
      </w:r>
      <w:r w:rsidR="0048152C" w:rsidRPr="002E7B55">
        <w:t xml:space="preserve"> DHBs </w:t>
      </w:r>
      <w:r w:rsidRPr="002E7B55">
        <w:t>took</w:t>
      </w:r>
      <w:r w:rsidR="0048152C" w:rsidRPr="002E7B55">
        <w:t xml:space="preserve"> </w:t>
      </w:r>
      <w:r w:rsidR="009144CD" w:rsidRPr="002E7B55">
        <w:t>more than their fair share</w:t>
      </w:r>
      <w:r w:rsidR="0048152C" w:rsidRPr="002E7B55">
        <w:t xml:space="preserve">. </w:t>
      </w:r>
    </w:p>
    <w:p w14:paraId="060C9A34" w14:textId="5325BE84" w:rsidR="00D525C3" w:rsidRPr="002E7B55" w:rsidRDefault="0048152C" w:rsidP="00FB27E0">
      <w:r w:rsidRPr="002E7B55">
        <w:t xml:space="preserve">Further, three DHBs allocated MIMVP funding to </w:t>
      </w:r>
      <w:r w:rsidR="00FB27E0" w:rsidRPr="002E7B55">
        <w:t>their internal provider</w:t>
      </w:r>
      <w:r w:rsidR="00A06BB7" w:rsidRPr="002E7B55">
        <w:t xml:space="preserve"> </w:t>
      </w:r>
      <w:r w:rsidRPr="002E7B55">
        <w:t xml:space="preserve">arms. </w:t>
      </w:r>
      <w:r w:rsidR="003C643C" w:rsidRPr="002E7B55">
        <w:t>Some providers believed this was somewhat</w:t>
      </w:r>
      <w:r w:rsidR="004E1B2C" w:rsidRPr="002E7B55">
        <w:t xml:space="preserve"> disingenuous and </w:t>
      </w:r>
      <w:r w:rsidR="00AD5C81" w:rsidRPr="002E7B55">
        <w:t>not in the spirit of MIMVP</w:t>
      </w:r>
      <w:r w:rsidR="00E12267" w:rsidRPr="002E7B55">
        <w:t xml:space="preserve">. </w:t>
      </w:r>
      <w:r w:rsidR="00054411" w:rsidRPr="002E7B55">
        <w:t>Regardless of</w:t>
      </w:r>
      <w:r w:rsidR="00E12267" w:rsidRPr="002E7B55">
        <w:t xml:space="preserve"> </w:t>
      </w:r>
      <w:r w:rsidR="00054411" w:rsidRPr="002E7B55">
        <w:t xml:space="preserve">the </w:t>
      </w:r>
      <w:r w:rsidR="00E12267" w:rsidRPr="002E7B55">
        <w:t xml:space="preserve">work </w:t>
      </w:r>
      <w:r w:rsidR="00054411" w:rsidRPr="002E7B55">
        <w:t>carried out by these units, it reinforce</w:t>
      </w:r>
      <w:r w:rsidR="003C643C" w:rsidRPr="002E7B55">
        <w:t>d</w:t>
      </w:r>
      <w:r w:rsidR="00054411" w:rsidRPr="002E7B55">
        <w:t xml:space="preserve"> a perception </w:t>
      </w:r>
      <w:r w:rsidR="00A06BB7" w:rsidRPr="002E7B55">
        <w:t>that</w:t>
      </w:r>
      <w:r w:rsidR="00054411" w:rsidRPr="002E7B55">
        <w:t xml:space="preserve"> some DHBs</w:t>
      </w:r>
      <w:r w:rsidR="003C643C" w:rsidRPr="002E7B55">
        <w:t xml:space="preserve"> were</w:t>
      </w:r>
      <w:r w:rsidR="00054411" w:rsidRPr="002E7B55">
        <w:t xml:space="preserve"> self-serving.</w:t>
      </w:r>
      <w:r w:rsidR="00EC1527" w:rsidRPr="002E7B55">
        <w:t xml:space="preserve"> </w:t>
      </w:r>
      <w:r w:rsidR="003C643C" w:rsidRPr="002E7B55">
        <w:t>Providers suggested</w:t>
      </w:r>
      <w:r w:rsidR="00054411" w:rsidRPr="002E7B55">
        <w:t xml:space="preserve"> funding should only go to independent Māori providers.</w:t>
      </w:r>
    </w:p>
    <w:p w14:paraId="63ACBB10" w14:textId="43D6A5C7" w:rsidR="00362B2A" w:rsidRPr="002E7B55" w:rsidRDefault="000B7407" w:rsidP="00362B2A">
      <w:pPr>
        <w:pStyle w:val="Chart-full-width"/>
        <w:rPr>
          <w:noProof w:val="0"/>
        </w:rPr>
      </w:pPr>
      <w:r w:rsidRPr="002E7B55">
        <w:lastRenderedPageBreak/>
        <w:drawing>
          <wp:inline distT="0" distB="0" distL="0" distR="0" wp14:anchorId="72737BE5" wp14:editId="2ADF84DB">
            <wp:extent cx="6096635" cy="2231390"/>
            <wp:effectExtent l="0" t="0" r="0" b="0"/>
            <wp:docPr id="8" name="Picture 8" descr="Graph of extent to wich provdiers thought their local DHB supports their MIMVP-funded plan. DHB-funded providers higher proportion of 'to a high degree', but two 'Not at all'. Only 1 direct-funded provider indicated 'to a high degree', and one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of extent to wich provdiers thought their local DHB supports their MIMVP-funded plan. DHB-funded providers higher proportion of 'to a high degree', but two 'Not at all'. Only 1 direct-funded provider indicated 'to a high degree', and one 'not at 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2231390"/>
                    </a:xfrm>
                    <a:prstGeom prst="rect">
                      <a:avLst/>
                    </a:prstGeom>
                    <a:noFill/>
                  </pic:spPr>
                </pic:pic>
              </a:graphicData>
            </a:graphic>
          </wp:inline>
        </w:drawing>
      </w:r>
    </w:p>
    <w:p w14:paraId="599A9FF1" w14:textId="3F333E80" w:rsidR="00D525C3" w:rsidRPr="002E7B55" w:rsidRDefault="000B7407" w:rsidP="00A9461A">
      <w:pPr>
        <w:pStyle w:val="Chart-full-width"/>
        <w:rPr>
          <w:noProof w:val="0"/>
        </w:rPr>
      </w:pPr>
      <w:r w:rsidRPr="002E7B55">
        <w:drawing>
          <wp:inline distT="0" distB="0" distL="0" distR="0" wp14:anchorId="12D65667" wp14:editId="7A00F7C0">
            <wp:extent cx="6096635" cy="2298700"/>
            <wp:effectExtent l="0" t="0" r="0" b="0"/>
            <wp:docPr id="9" name="Picture 9" descr="Graph of extent to wich provdiers thought their local DHB is being realistic when setting objectives and taking into account Māori contexts and circumstances. DHB-funded providers higher proportion of 'to a high degree', but one 'Not at all'. There is a more even spread for direct-funded providers, with two 'to a high de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of extent to wich provdiers thought their local DHB is being realistic when setting objectives and taking into account Māori contexts and circumstances. DHB-funded providers higher proportion of 'to a high degree', but one 'Not at all'. There is a more even spread for direct-funded providers, with two 'to a high degre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2298700"/>
                    </a:xfrm>
                    <a:prstGeom prst="rect">
                      <a:avLst/>
                    </a:prstGeom>
                    <a:noFill/>
                  </pic:spPr>
                </pic:pic>
              </a:graphicData>
            </a:graphic>
          </wp:inline>
        </w:drawing>
      </w:r>
    </w:p>
    <w:p w14:paraId="2AABDCB4" w14:textId="2BF1898C" w:rsidR="00D525C3" w:rsidRPr="002E7B55" w:rsidRDefault="000B7407" w:rsidP="00A9461A">
      <w:pPr>
        <w:pStyle w:val="Chart-full-width"/>
        <w:rPr>
          <w:noProof w:val="0"/>
        </w:rPr>
      </w:pPr>
      <w:r w:rsidRPr="002E7B55">
        <w:drawing>
          <wp:inline distT="0" distB="0" distL="0" distR="0" wp14:anchorId="4EA6341C" wp14:editId="2A58746B">
            <wp:extent cx="5993130" cy="2383790"/>
            <wp:effectExtent l="0" t="0" r="0" b="0"/>
            <wp:docPr id="10" name="Picture 10" descr="Graph of extent to wich provdiers thought their local DHB is developing joint solutions to address Māori immunisation disparities. DHB-funded providers higher proportion of 'to a high degree', but one 'Not at all'. Only 1 direct-funded provider indicated 'to a high degree', with most indicated 'to a limited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of extent to wich provdiers thought their local DHB is developing joint solutions to address Māori immunisation disparities. DHB-funded providers higher proportion of 'to a high degree', but one 'Not at all'. Only 1 direct-funded provider indicated 'to a high degree', with most indicated 'to a limited degr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3130" cy="2383790"/>
                    </a:xfrm>
                    <a:prstGeom prst="rect">
                      <a:avLst/>
                    </a:prstGeom>
                    <a:noFill/>
                  </pic:spPr>
                </pic:pic>
              </a:graphicData>
            </a:graphic>
          </wp:inline>
        </w:drawing>
      </w:r>
    </w:p>
    <w:p w14:paraId="24FBFD37" w14:textId="0341FF4F" w:rsidR="00886DCA" w:rsidRPr="002E7B55" w:rsidRDefault="00886DCA" w:rsidP="00886DCA">
      <w:pPr>
        <w:pStyle w:val="Caption"/>
      </w:pPr>
      <w:bookmarkStart w:id="38" w:name="_Toc96341693"/>
      <w:r w:rsidRPr="002E7B55">
        <w:t xml:space="preserve">Figure </w:t>
      </w:r>
      <w:r w:rsidRPr="002E7B55">
        <w:fldChar w:fldCharType="begin"/>
      </w:r>
      <w:r w:rsidRPr="002E7B55">
        <w:instrText xml:space="preserve"> SEQ Figure \* ARABIC </w:instrText>
      </w:r>
      <w:r w:rsidRPr="002E7B55">
        <w:fldChar w:fldCharType="separate"/>
      </w:r>
      <w:r w:rsidRPr="002E7B55">
        <w:t>14</w:t>
      </w:r>
      <w:r w:rsidRPr="002E7B55">
        <w:fldChar w:fldCharType="end"/>
      </w:r>
      <w:r w:rsidRPr="002E7B55">
        <w:t>: Providers’ perceptions of relationships with DHBs to a moderate or high degree</w:t>
      </w:r>
      <w:r w:rsidRPr="002E7B55">
        <w:rPr>
          <w:rStyle w:val="EndnoteReference"/>
        </w:rPr>
        <w:endnoteReference w:id="30"/>
      </w:r>
      <w:bookmarkEnd w:id="38"/>
    </w:p>
    <w:p w14:paraId="02ADC043" w14:textId="1874AEF8" w:rsidR="00B33D64" w:rsidRPr="002E7B55" w:rsidRDefault="004C320C" w:rsidP="0041391C">
      <w:pPr>
        <w:pStyle w:val="Heading3"/>
      </w:pPr>
      <w:r w:rsidRPr="002E7B55">
        <w:t>The MIMVP contracts did not reinforce the goal of</w:t>
      </w:r>
      <w:r w:rsidR="003C643C" w:rsidRPr="002E7B55">
        <w:t xml:space="preserve"> </w:t>
      </w:r>
      <w:r w:rsidRPr="002E7B55">
        <w:t>collaboration</w:t>
      </w:r>
    </w:p>
    <w:p w14:paraId="4CB6918F" w14:textId="3932E002" w:rsidR="00B33D64" w:rsidRPr="002E7B55" w:rsidRDefault="00B33D64" w:rsidP="00B33D64">
      <w:r w:rsidRPr="002E7B55">
        <w:t xml:space="preserve">One of the primary levers that the Ministry has as a policy agency to achieve its goals of collaboration and nurturing relationships is the </w:t>
      </w:r>
      <w:r w:rsidR="00AC27C2" w:rsidRPr="002E7B55">
        <w:t xml:space="preserve">nature and wording of its contracts. </w:t>
      </w:r>
    </w:p>
    <w:p w14:paraId="19E8C8A6" w14:textId="5B2AB8D9" w:rsidR="00AC27C2" w:rsidRPr="002E7B55" w:rsidRDefault="00AC27C2" w:rsidP="00B33D64">
      <w:r w:rsidRPr="002E7B55">
        <w:t>The contract language gave the DHBs the autonomy for regional decision-making</w:t>
      </w:r>
      <w:r w:rsidR="00A06BB7" w:rsidRPr="002E7B55">
        <w:t>. For example:</w:t>
      </w:r>
      <w:r w:rsidR="00B33D64" w:rsidRPr="002E7B55">
        <w:t xml:space="preserve"> “Māori providers </w:t>
      </w:r>
      <w:r w:rsidR="00B33D64" w:rsidRPr="002E7B55">
        <w:rPr>
          <w:b/>
          <w:bCs/>
        </w:rPr>
        <w:t>are expected to collaborate</w:t>
      </w:r>
      <w:r w:rsidR="00B33D64" w:rsidRPr="002E7B55">
        <w:t xml:space="preserve"> with broader stakeholders that support the success of their initiatives”</w:t>
      </w:r>
      <w:r w:rsidRPr="002E7B55">
        <w:t>,</w:t>
      </w:r>
      <w:r w:rsidR="00B33D64" w:rsidRPr="002E7B55">
        <w:t xml:space="preserve"> </w:t>
      </w:r>
      <w:r w:rsidRPr="002E7B55">
        <w:lastRenderedPageBreak/>
        <w:t>whereas</w:t>
      </w:r>
      <w:r w:rsidR="00B33D64" w:rsidRPr="002E7B55">
        <w:t xml:space="preserve"> “DHBs are </w:t>
      </w:r>
      <w:r w:rsidR="00B33D64" w:rsidRPr="002E7B55">
        <w:rPr>
          <w:b/>
          <w:bCs/>
        </w:rPr>
        <w:t>expected to engage with Providers</w:t>
      </w:r>
      <w:r w:rsidR="00B33D64" w:rsidRPr="002E7B55">
        <w:t xml:space="preserve"> to achieve an outcome that represents an </w:t>
      </w:r>
      <w:r w:rsidR="00B33D64" w:rsidRPr="002E7B55">
        <w:rPr>
          <w:b/>
          <w:bCs/>
        </w:rPr>
        <w:t>efficient use of DHB and Provider resources</w:t>
      </w:r>
      <w:r w:rsidR="00A06BB7" w:rsidRPr="002E7B55">
        <w:rPr>
          <w:b/>
          <w:bCs/>
        </w:rPr>
        <w:t>,</w:t>
      </w:r>
      <w:r w:rsidR="00B33D64" w:rsidRPr="002E7B55">
        <w:t xml:space="preserve">” </w:t>
      </w:r>
      <w:r w:rsidR="000F7FA7" w:rsidRPr="002E7B55">
        <w:t>(emphasis added)</w:t>
      </w:r>
      <w:r w:rsidR="00A06BB7" w:rsidRPr="002E7B55">
        <w:t>.</w:t>
      </w:r>
    </w:p>
    <w:p w14:paraId="351C9840" w14:textId="33953141" w:rsidR="00CD44B5" w:rsidRPr="002E7B55" w:rsidRDefault="00B33D64" w:rsidP="00CD44B5">
      <w:r w:rsidRPr="002E7B55">
        <w:t>This</w:t>
      </w:r>
      <w:r w:rsidR="003C643C" w:rsidRPr="002E7B55">
        <w:t xml:space="preserve"> wording</w:t>
      </w:r>
      <w:r w:rsidRPr="002E7B55">
        <w:t xml:space="preserve"> differ</w:t>
      </w:r>
      <w:r w:rsidR="003C643C" w:rsidRPr="002E7B55">
        <w:t>ed</w:t>
      </w:r>
      <w:r w:rsidRPr="002E7B55">
        <w:t xml:space="preserve"> from the stated intent that DHBs collaborate with Māori providers, jointly deciding how best to meet the needs of Māori whānau, hapū and iwi in the area. </w:t>
      </w:r>
      <w:r w:rsidR="00AC27C2" w:rsidRPr="002E7B55">
        <w:t>T</w:t>
      </w:r>
      <w:r w:rsidRPr="002E7B55">
        <w:t>he contract language d</w:t>
      </w:r>
      <w:r w:rsidR="003C643C" w:rsidRPr="002E7B55">
        <w:t>id</w:t>
      </w:r>
      <w:r w:rsidRPr="002E7B55">
        <w:t xml:space="preserve"> not force </w:t>
      </w:r>
      <w:r w:rsidR="003C643C" w:rsidRPr="002E7B55">
        <w:t xml:space="preserve">a </w:t>
      </w:r>
      <w:r w:rsidRPr="002E7B55">
        <w:t>partnership to occur</w:t>
      </w:r>
      <w:r w:rsidR="003C643C" w:rsidRPr="002E7B55">
        <w:t>.</w:t>
      </w:r>
      <w:r w:rsidRPr="002E7B55">
        <w:t xml:space="preserve"> </w:t>
      </w:r>
      <w:r w:rsidR="003C643C" w:rsidRPr="002E7B55">
        <w:t>I</w:t>
      </w:r>
      <w:r w:rsidRPr="002E7B55">
        <w:t>nstead</w:t>
      </w:r>
      <w:r w:rsidR="003C643C" w:rsidRPr="002E7B55">
        <w:t>,</w:t>
      </w:r>
      <w:r w:rsidRPr="002E7B55">
        <w:t xml:space="preserve"> it </w:t>
      </w:r>
      <w:r w:rsidR="003C643C" w:rsidRPr="002E7B55">
        <w:t xml:space="preserve">was left </w:t>
      </w:r>
      <w:r w:rsidRPr="002E7B55">
        <w:t xml:space="preserve">to the discretion of DHBs to </w:t>
      </w:r>
      <w:r w:rsidR="00AC27C2" w:rsidRPr="002E7B55">
        <w:t>engage with</w:t>
      </w:r>
      <w:r w:rsidRPr="002E7B55">
        <w:t xml:space="preserve"> providers. Thus the contract wording suggests and supports a model where DHBs have power over </w:t>
      </w:r>
      <w:r w:rsidR="00681ABA" w:rsidRPr="002E7B55">
        <w:t xml:space="preserve">providers, </w:t>
      </w:r>
      <w:r w:rsidR="00AC27C2" w:rsidRPr="002E7B55">
        <w:t xml:space="preserve">where actions are </w:t>
      </w:r>
      <w:r w:rsidR="00A06BB7" w:rsidRPr="002E7B55">
        <w:t>“</w:t>
      </w:r>
      <w:r w:rsidR="00AC27C2" w:rsidRPr="002E7B55">
        <w:t>done to</w:t>
      </w:r>
      <w:r w:rsidR="00A06BB7" w:rsidRPr="002E7B55">
        <w:t>”</w:t>
      </w:r>
      <w:r w:rsidR="00AC27C2" w:rsidRPr="002E7B55">
        <w:t xml:space="preserve"> </w:t>
      </w:r>
      <w:r w:rsidR="00681ABA" w:rsidRPr="002E7B55">
        <w:t>them</w:t>
      </w:r>
      <w:sdt>
        <w:sdtPr>
          <w:id w:val="-1875070273"/>
          <w:citation/>
        </w:sdtPr>
        <w:sdtEndPr/>
        <w:sdtContent>
          <w:r w:rsidR="00A4708C" w:rsidRPr="002E7B55">
            <w:fldChar w:fldCharType="begin"/>
          </w:r>
          <w:r w:rsidR="00A4708C" w:rsidRPr="002E7B55">
            <w:instrText xml:space="preserve"> CITATION Weh191 \l 1153 </w:instrText>
          </w:r>
          <w:r w:rsidR="00A4708C" w:rsidRPr="002E7B55">
            <w:fldChar w:fldCharType="separate"/>
          </w:r>
          <w:r w:rsidR="00025361" w:rsidRPr="002E7B55">
            <w:t xml:space="preserve"> (9)</w:t>
          </w:r>
          <w:r w:rsidR="00A4708C" w:rsidRPr="002E7B55">
            <w:fldChar w:fldCharType="end"/>
          </w:r>
        </w:sdtContent>
      </w:sdt>
      <w:r w:rsidR="00E53036" w:rsidRPr="002E7B55">
        <w:t>. In contrast</w:t>
      </w:r>
      <w:r w:rsidR="00681ABA" w:rsidRPr="002E7B55">
        <w:t xml:space="preserve">, </w:t>
      </w:r>
      <w:r w:rsidR="00E53036" w:rsidRPr="002E7B55">
        <w:t xml:space="preserve">contracts with appropriate </w:t>
      </w:r>
      <w:r w:rsidR="003C643C" w:rsidRPr="002E7B55">
        <w:t xml:space="preserve">language </w:t>
      </w:r>
      <w:r w:rsidR="00E53036" w:rsidRPr="002E7B55">
        <w:t xml:space="preserve">can explicitly support </w:t>
      </w:r>
      <w:r w:rsidRPr="002E7B55">
        <w:t>a partnership with Māori providers</w:t>
      </w:r>
      <w:r w:rsidR="00A06BB7" w:rsidRPr="002E7B55">
        <w:t>. This p</w:t>
      </w:r>
      <w:r w:rsidR="003C643C" w:rsidRPr="002E7B55">
        <w:t>romot</w:t>
      </w:r>
      <w:r w:rsidR="00A06BB7" w:rsidRPr="002E7B55">
        <w:t>es</w:t>
      </w:r>
      <w:r w:rsidR="00681ABA" w:rsidRPr="002E7B55">
        <w:t xml:space="preserve"> a learning community, which is necessary for continued change in complex settings</w:t>
      </w:r>
      <w:sdt>
        <w:sdtPr>
          <w:id w:val="-1492556286"/>
          <w:citation/>
        </w:sdtPr>
        <w:sdtEndPr/>
        <w:sdtContent>
          <w:r w:rsidR="00A4708C" w:rsidRPr="002E7B55">
            <w:fldChar w:fldCharType="begin"/>
          </w:r>
          <w:r w:rsidR="00A4708C" w:rsidRPr="002E7B55">
            <w:instrText xml:space="preserve"> CITATION Rib21 \l 1153 </w:instrText>
          </w:r>
          <w:r w:rsidR="00A4708C" w:rsidRPr="002E7B55">
            <w:fldChar w:fldCharType="separate"/>
          </w:r>
          <w:r w:rsidR="00025361" w:rsidRPr="002E7B55">
            <w:t xml:space="preserve"> (2)</w:t>
          </w:r>
          <w:r w:rsidR="00A4708C" w:rsidRPr="002E7B55">
            <w:fldChar w:fldCharType="end"/>
          </w:r>
        </w:sdtContent>
      </w:sdt>
      <w:r w:rsidR="00E53036" w:rsidRPr="002E7B55">
        <w:t>.</w:t>
      </w:r>
    </w:p>
    <w:p w14:paraId="0AEBFCD0" w14:textId="23BA9B71" w:rsidR="006D6939" w:rsidRPr="002E7B55" w:rsidRDefault="00D04DA7" w:rsidP="0041391C">
      <w:pPr>
        <w:pStyle w:val="Heading3"/>
      </w:pPr>
      <w:r w:rsidRPr="002E7B55">
        <w:t>P</w:t>
      </w:r>
      <w:r w:rsidR="006D6939" w:rsidRPr="002E7B55">
        <w:t>roviders shared a clear preference for direct funding</w:t>
      </w:r>
    </w:p>
    <w:p w14:paraId="65DD8870" w14:textId="6AE03C38" w:rsidR="00CD44B5" w:rsidRPr="002E7B55" w:rsidRDefault="006D6939" w:rsidP="005F616E">
      <w:r w:rsidRPr="002E7B55">
        <w:t xml:space="preserve">In 2021, as in 2020, half of </w:t>
      </w:r>
      <w:r w:rsidR="003C643C" w:rsidRPr="002E7B55">
        <w:t xml:space="preserve">the </w:t>
      </w:r>
      <w:r w:rsidRPr="002E7B55">
        <w:t>providers</w:t>
      </w:r>
      <w:r w:rsidR="0077749E" w:rsidRPr="002E7B55">
        <w:t xml:space="preserve"> overall</w:t>
      </w:r>
      <w:r w:rsidR="0077749E" w:rsidRPr="002E7B55">
        <w:rPr>
          <w:rStyle w:val="EndnoteReference"/>
        </w:rPr>
        <w:endnoteReference w:id="31"/>
      </w:r>
      <w:r w:rsidR="0077749E" w:rsidRPr="002E7B55">
        <w:t xml:space="preserve"> </w:t>
      </w:r>
      <w:r w:rsidRPr="002E7B55">
        <w:t xml:space="preserve">signalled their preference for future contracting directly with the Ministry. </w:t>
      </w:r>
      <w:r w:rsidR="0077749E" w:rsidRPr="002E7B55">
        <w:t>Most d</w:t>
      </w:r>
      <w:r w:rsidRPr="002E7B55">
        <w:t xml:space="preserve">irect-funded providers </w:t>
      </w:r>
      <w:r w:rsidR="0077749E" w:rsidRPr="002E7B55">
        <w:t xml:space="preserve">indicated this preference </w:t>
      </w:r>
      <w:r w:rsidRPr="002E7B55">
        <w:t>in 2021</w:t>
      </w:r>
      <w:r w:rsidR="0077749E" w:rsidRPr="002E7B55">
        <w:rPr>
          <w:rStyle w:val="EndnoteReference"/>
        </w:rPr>
        <w:endnoteReference w:id="32"/>
      </w:r>
      <w:r w:rsidR="00255AFA" w:rsidRPr="002E7B55">
        <w:t>, however v</w:t>
      </w:r>
      <w:r w:rsidRPr="002E7B55">
        <w:t xml:space="preserve">iews of providers who contracted through their DHB were </w:t>
      </w:r>
      <w:r w:rsidR="003C643C" w:rsidRPr="002E7B55">
        <w:t>divided</w:t>
      </w:r>
      <w:r w:rsidR="009F28E1" w:rsidRPr="002E7B55">
        <w:t xml:space="preserve">. </w:t>
      </w:r>
      <w:r w:rsidR="00255AFA" w:rsidRPr="002E7B55">
        <w:t>A</w:t>
      </w:r>
      <w:r w:rsidR="002E3298" w:rsidRPr="002E7B55">
        <w:t xml:space="preserve">bout half </w:t>
      </w:r>
      <w:r w:rsidRPr="002E7B55">
        <w:t>preferred direct funding with the Ministry</w:t>
      </w:r>
      <w:r w:rsidR="00A06BB7" w:rsidRPr="002E7B55">
        <w:t>;</w:t>
      </w:r>
      <w:r w:rsidRPr="002E7B55">
        <w:t xml:space="preserve"> </w:t>
      </w:r>
      <w:r w:rsidR="00EC059A" w:rsidRPr="002E7B55">
        <w:t xml:space="preserve">a few </w:t>
      </w:r>
      <w:r w:rsidRPr="002E7B55">
        <w:t xml:space="preserve">preferred contracting through their local DHB (or its future equivalent), and </w:t>
      </w:r>
      <w:r w:rsidR="00EC059A" w:rsidRPr="002E7B55">
        <w:t xml:space="preserve">a few </w:t>
      </w:r>
      <w:r w:rsidRPr="002E7B55">
        <w:t>were unsure</w:t>
      </w:r>
      <w:r w:rsidR="0077749E" w:rsidRPr="002E7B55">
        <w:rPr>
          <w:rStyle w:val="EndnoteReference"/>
        </w:rPr>
        <w:endnoteReference w:id="33"/>
      </w:r>
      <w:r w:rsidR="0077749E" w:rsidRPr="002E7B55">
        <w:t>.</w:t>
      </w:r>
    </w:p>
    <w:p w14:paraId="3EE1232F" w14:textId="78012724" w:rsidR="0082558C" w:rsidRPr="002E7B55" w:rsidRDefault="00255AFA" w:rsidP="005F616E">
      <w:r w:rsidRPr="002E7B55">
        <w:t xml:space="preserve">As identified in 2020, </w:t>
      </w:r>
      <w:r w:rsidR="0082558C" w:rsidRPr="002E7B55">
        <w:t xml:space="preserve">DHBs </w:t>
      </w:r>
      <w:r w:rsidR="00A06BB7" w:rsidRPr="002E7B55">
        <w:t>varied in their</w:t>
      </w:r>
      <w:r w:rsidR="0082558C" w:rsidRPr="002E7B55">
        <w:t xml:space="preserve"> ability to sub-contract local Māori providers.</w:t>
      </w:r>
      <w:r w:rsidRPr="002E7B55">
        <w:t xml:space="preserve"> Also </w:t>
      </w:r>
      <w:r w:rsidR="0082558C" w:rsidRPr="002E7B55">
        <w:t xml:space="preserve">Māori providers </w:t>
      </w:r>
      <w:r w:rsidR="00A06BB7" w:rsidRPr="002E7B55">
        <w:t>that had a less-than-</w:t>
      </w:r>
      <w:r w:rsidR="0082558C" w:rsidRPr="002E7B55">
        <w:t xml:space="preserve">optimal relationship with </w:t>
      </w:r>
      <w:r w:rsidR="00A06BB7" w:rsidRPr="002E7B55">
        <w:t xml:space="preserve">their </w:t>
      </w:r>
      <w:r w:rsidR="0082558C" w:rsidRPr="002E7B55">
        <w:t>DHB could not altogether bypass them. For example, those delivering influenza and measles vaccinations also needed a vaccination services agreement with the DHB to claim back vaccine costs.</w:t>
      </w:r>
    </w:p>
    <w:p w14:paraId="44307542" w14:textId="5DE42D8B" w:rsidR="00E74212" w:rsidRPr="002E7B55" w:rsidRDefault="00E74212" w:rsidP="00E74212">
      <w:pPr>
        <w:pStyle w:val="Heading2"/>
      </w:pPr>
      <w:r w:rsidRPr="002E7B55">
        <w:t xml:space="preserve">Simplified reporting </w:t>
      </w:r>
      <w:r w:rsidR="00B15335" w:rsidRPr="002E7B55">
        <w:t>enabled faster feedback</w:t>
      </w:r>
    </w:p>
    <w:p w14:paraId="706FDFB0" w14:textId="4074ECDA" w:rsidR="00A138AE" w:rsidRPr="002E7B55" w:rsidRDefault="00A138AE" w:rsidP="00A138AE">
      <w:r w:rsidRPr="002E7B55">
        <w:t>New in 2021, was a monthly monitoring reporting process for providers and DHBs. Designed to simplify the contracting proces</w:t>
      </w:r>
      <w:r w:rsidR="00B401A2" w:rsidRPr="002E7B55">
        <w:t>s by r</w:t>
      </w:r>
      <w:r w:rsidRPr="002E7B55">
        <w:t>eplac</w:t>
      </w:r>
      <w:r w:rsidR="00B401A2" w:rsidRPr="002E7B55">
        <w:t xml:space="preserve">ing </w:t>
      </w:r>
      <w:r w:rsidRPr="002E7B55">
        <w:t>a final written report at the end of the contract, the monthly monitoring reports were administered as short (5</w:t>
      </w:r>
      <w:r w:rsidR="00FB0DA2" w:rsidRPr="002E7B55">
        <w:t xml:space="preserve"> to </w:t>
      </w:r>
      <w:r w:rsidRPr="002E7B55">
        <w:t>8</w:t>
      </w:r>
      <w:r w:rsidR="00FB0DA2" w:rsidRPr="002E7B55">
        <w:t>-</w:t>
      </w:r>
      <w:r w:rsidRPr="002E7B55">
        <w:t>minute) surveys. This monthly survey-based reporting enabled providers and DHBs to share information faster and more regularly with the Ministry. In turn, this allowed the Ministry to respond to the needs of providers. Almost all providers indicated that they preferred the monthly monitoring report survey approach over final written reports.</w:t>
      </w:r>
      <w:r w:rsidR="00D75451" w:rsidRPr="002E7B55">
        <w:rPr>
          <w:rStyle w:val="EndnoteReference"/>
        </w:rPr>
        <w:t xml:space="preserve"> </w:t>
      </w:r>
      <w:r w:rsidR="00D75451" w:rsidRPr="002E7B55">
        <w:rPr>
          <w:rStyle w:val="EndnoteReference"/>
        </w:rPr>
        <w:endnoteReference w:id="34"/>
      </w:r>
      <w:r w:rsidRPr="002E7B55">
        <w:t xml:space="preserve"> </w:t>
      </w:r>
    </w:p>
    <w:p w14:paraId="494EA101" w14:textId="673D693C" w:rsidR="00383D80" w:rsidRPr="002E7B55" w:rsidRDefault="00383D80" w:rsidP="00383D80">
      <w:r w:rsidRPr="002E7B55">
        <w:t>In a few cases, DHBs also imposed additional monitoring requirements. In one instance, a DHB</w:t>
      </w:r>
      <w:r w:rsidR="00554E0B" w:rsidRPr="002E7B55">
        <w:t xml:space="preserve"> </w:t>
      </w:r>
      <w:r w:rsidRPr="002E7B55">
        <w:t>added extra reporting over that needed by the Ministry as part of their internal contract milestone reporting. Thus four Māori health and disability providers did not benefit from the intended streamlined contracting process planned by the Ministry.</w:t>
      </w:r>
      <w:r w:rsidR="00AB6916" w:rsidRPr="002E7B55">
        <w:t xml:space="preserve"> </w:t>
      </w:r>
    </w:p>
    <w:p w14:paraId="731856FC" w14:textId="119F681A" w:rsidR="00AD59B1" w:rsidRPr="002E7B55" w:rsidRDefault="00AB6916" w:rsidP="00E74212">
      <w:r w:rsidRPr="002E7B55">
        <w:t>Also, as one DHB-funded provider noted</w:t>
      </w:r>
      <w:r w:rsidR="00FB0DA2" w:rsidRPr="002E7B55">
        <w:t>,</w:t>
      </w:r>
      <w:r w:rsidRPr="002E7B55">
        <w:t xml:space="preserve"> monitoring reports</w:t>
      </w:r>
      <w:r w:rsidR="00E74212" w:rsidRPr="002E7B55">
        <w:t xml:space="preserve"> are not necessarily the only way to track progress. </w:t>
      </w:r>
    </w:p>
    <w:p w14:paraId="21446352" w14:textId="53A48806" w:rsidR="00AD59B1" w:rsidRDefault="00E74212" w:rsidP="00AD59B1">
      <w:pPr>
        <w:pStyle w:val="Quote"/>
        <w:rPr>
          <w:lang w:val="en-NZ"/>
        </w:rPr>
      </w:pPr>
      <w:r w:rsidRPr="002E7B55">
        <w:rPr>
          <w:lang w:val="en-NZ"/>
        </w:rPr>
        <w:t xml:space="preserve">“Any opportunity to provide data is important. [Also it would be good </w:t>
      </w:r>
      <w:proofErr w:type="gramStart"/>
      <w:r w:rsidRPr="002E7B55">
        <w:rPr>
          <w:lang w:val="en-NZ"/>
        </w:rPr>
        <w:t>if ]</w:t>
      </w:r>
      <w:proofErr w:type="gramEnd"/>
      <w:r w:rsidRPr="002E7B55">
        <w:rPr>
          <w:lang w:val="en-NZ"/>
        </w:rPr>
        <w:t xml:space="preserve"> every provider gets an opportunity for a face</w:t>
      </w:r>
      <w:r w:rsidR="00FB0DA2" w:rsidRPr="002E7B55">
        <w:rPr>
          <w:lang w:val="en-NZ"/>
        </w:rPr>
        <w:t>-</w:t>
      </w:r>
      <w:r w:rsidRPr="002E7B55">
        <w:rPr>
          <w:lang w:val="en-NZ"/>
        </w:rPr>
        <w:t>to</w:t>
      </w:r>
      <w:r w:rsidR="00FB0DA2" w:rsidRPr="002E7B55">
        <w:rPr>
          <w:lang w:val="en-NZ"/>
        </w:rPr>
        <w:t>-</w:t>
      </w:r>
      <w:r w:rsidRPr="002E7B55">
        <w:rPr>
          <w:lang w:val="en-NZ"/>
        </w:rPr>
        <w:t>face korero</w:t>
      </w:r>
      <w:r w:rsidR="00AD59B1" w:rsidRPr="002E7B55">
        <w:rPr>
          <w:lang w:val="en-NZ"/>
        </w:rPr>
        <w:t>.</w:t>
      </w:r>
      <w:r w:rsidRPr="002E7B55">
        <w:rPr>
          <w:lang w:val="en-NZ"/>
        </w:rPr>
        <w:t xml:space="preserve">” </w:t>
      </w:r>
      <w:r w:rsidR="00AD59B1" w:rsidRPr="002E7B55">
        <w:rPr>
          <w:lang w:val="en-NZ"/>
        </w:rPr>
        <w:t>(DHB)</w:t>
      </w:r>
    </w:p>
    <w:p w14:paraId="6A032312" w14:textId="77777777" w:rsidR="004C56E2" w:rsidRPr="004C56E2" w:rsidRDefault="004C56E2" w:rsidP="004C56E2">
      <w:pPr>
        <w:pStyle w:val="Quotebreak"/>
      </w:pPr>
    </w:p>
    <w:p w14:paraId="20487FD3" w14:textId="77777777" w:rsidR="00E74212" w:rsidRPr="002E7B55" w:rsidRDefault="00E74212" w:rsidP="0041391C">
      <w:pPr>
        <w:pStyle w:val="Heading3"/>
      </w:pPr>
      <w:r w:rsidRPr="002E7B55">
        <w:t>Lower engagement from DHBs and DHB-funded providers</w:t>
      </w:r>
    </w:p>
    <w:p w14:paraId="6693AA8D" w14:textId="57041D6C" w:rsidR="00433DD1" w:rsidRPr="002E7B55" w:rsidRDefault="00433DD1" w:rsidP="00433DD1">
      <w:r w:rsidRPr="002E7B55">
        <w:t xml:space="preserve">The evaluators utilised the monthly monitoring reports and invited some providers to share additional feedback about their MIMVP activities, </w:t>
      </w:r>
      <w:proofErr w:type="gramStart"/>
      <w:r w:rsidRPr="002E7B55">
        <w:t>experiences</w:t>
      </w:r>
      <w:proofErr w:type="gramEnd"/>
      <w:r w:rsidRPr="002E7B55">
        <w:t xml:space="preserve"> and outcomes. This information was used to inform MIMVP monthly insights dashboards </w:t>
      </w:r>
      <w:r w:rsidR="00FB0DA2" w:rsidRPr="002E7B55">
        <w:t xml:space="preserve">which were </w:t>
      </w:r>
      <w:r w:rsidRPr="002E7B55">
        <w:t xml:space="preserve">distributed to DHB and provider contacts and </w:t>
      </w:r>
      <w:r w:rsidR="00FB0DA2" w:rsidRPr="002E7B55">
        <w:t xml:space="preserve">used for </w:t>
      </w:r>
      <w:r w:rsidRPr="002E7B55">
        <w:t xml:space="preserve">sense-making sessions with the Ministry. </w:t>
      </w:r>
    </w:p>
    <w:p w14:paraId="125AC484" w14:textId="5B4623C7" w:rsidR="00433DD1" w:rsidRPr="002E7B55" w:rsidRDefault="00154639" w:rsidP="00433DD1">
      <w:r w:rsidRPr="002E7B55">
        <w:t xml:space="preserve">As noted, </w:t>
      </w:r>
      <w:r w:rsidR="00433DD1" w:rsidRPr="002E7B55">
        <w:t xml:space="preserve">the evaluators received more monitoring reports from the direct-funded providers. DHBs and DHB-funded providers appeared to be less aware of the reporting requirements, despite the Ministry communicating the reporting requirements to DHBs. The evaluators also contacted the DHBs directly seeking </w:t>
      </w:r>
      <w:r w:rsidR="00433DD1" w:rsidRPr="002E7B55">
        <w:lastRenderedPageBreak/>
        <w:t xml:space="preserve">their providers' names and the DHB contact who would best be responsible for completing the monitoring reports. </w:t>
      </w:r>
    </w:p>
    <w:p w14:paraId="7B02E297" w14:textId="3C3A03E8" w:rsidR="00433DD1" w:rsidRPr="002E7B55" w:rsidRDefault="00433DD1" w:rsidP="00433DD1">
      <w:r w:rsidRPr="002E7B55">
        <w:t xml:space="preserve">The reduced awareness of reporting requirements suggests a lack of attention to the reporting requirements as part of their contacts and communication between DHBs and the Ministry and between DHBs and DHB-funded providers. In addition, at times different people were involved in contracting from those delivering the contracts and </w:t>
      </w:r>
      <w:r w:rsidR="00FB0DA2" w:rsidRPr="002E7B55">
        <w:t xml:space="preserve">they </w:t>
      </w:r>
      <w:r w:rsidRPr="002E7B55">
        <w:t>were unaware of the reporting requirements.</w:t>
      </w:r>
    </w:p>
    <w:p w14:paraId="59A46826" w14:textId="5DC2B5CD" w:rsidR="00E74212" w:rsidRPr="002E7B55" w:rsidRDefault="00433DD1" w:rsidP="00E74212">
      <w:r w:rsidRPr="002E7B55">
        <w:t xml:space="preserve">Another </w:t>
      </w:r>
      <w:r w:rsidR="00E74212" w:rsidRPr="002E7B55">
        <w:t xml:space="preserve">possible explanation </w:t>
      </w:r>
      <w:r w:rsidR="00330AAD" w:rsidRPr="002E7B55">
        <w:t xml:space="preserve">for the lower engagement of </w:t>
      </w:r>
      <w:r w:rsidR="00B17C4D" w:rsidRPr="002E7B55">
        <w:t>DHB-funded</w:t>
      </w:r>
      <w:r w:rsidR="00330AAD" w:rsidRPr="002E7B55">
        <w:t xml:space="preserve"> providers </w:t>
      </w:r>
      <w:r w:rsidR="00E74212" w:rsidRPr="002E7B55">
        <w:t xml:space="preserve">is that some DHBs were slow to contract </w:t>
      </w:r>
      <w:r w:rsidR="00330AAD" w:rsidRPr="002E7B55">
        <w:t xml:space="preserve">their </w:t>
      </w:r>
      <w:r w:rsidR="00E74212" w:rsidRPr="002E7B55">
        <w:t>Māori providers</w:t>
      </w:r>
      <w:r w:rsidR="00FB0DA2" w:rsidRPr="002E7B55">
        <w:t>,</w:t>
      </w:r>
      <w:r w:rsidR="00E74212" w:rsidRPr="002E7B55">
        <w:t xml:space="preserve"> </w:t>
      </w:r>
      <w:r w:rsidR="00330AAD" w:rsidRPr="002E7B55">
        <w:t xml:space="preserve">and </w:t>
      </w:r>
      <w:r w:rsidR="00FB0DA2" w:rsidRPr="002E7B55">
        <w:t xml:space="preserve">they </w:t>
      </w:r>
      <w:r w:rsidR="00330AAD" w:rsidRPr="002E7B55">
        <w:t xml:space="preserve">shared provider contact details later in the year, or not at all. </w:t>
      </w:r>
      <w:r w:rsidR="003C643C" w:rsidRPr="002E7B55">
        <w:t>Therefore, the evaluators could not identify providers subcontracted by the DHBs nor invite them to complete their monitoring reports without this information</w:t>
      </w:r>
      <w:r w:rsidR="00E74212" w:rsidRPr="002E7B55">
        <w:t xml:space="preserve">. This partially explains why only 21 of the 39 DHB-funded providers responded to the surveys. </w:t>
      </w:r>
    </w:p>
    <w:p w14:paraId="0F7C50DD" w14:textId="32DC9562" w:rsidR="006E6509" w:rsidRPr="002E7B55" w:rsidRDefault="00534038" w:rsidP="00AB4EEE">
      <w:pPr>
        <w:pStyle w:val="Chart-full-width"/>
        <w:rPr>
          <w:noProof w:val="0"/>
        </w:rPr>
      </w:pPr>
      <w:r>
        <w:drawing>
          <wp:inline distT="0" distB="0" distL="0" distR="0" wp14:anchorId="6BC6E190" wp14:editId="7E0313B3">
            <wp:extent cx="5556084" cy="1574358"/>
            <wp:effectExtent l="0" t="0" r="6985" b="6985"/>
            <wp:docPr id="41" name="Picture 41" descr="Graph comparing number of providers contracted vs response rates. Almost all direct-funded providers responded, but only about half of DHB-funded providers respo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comparing number of providers contracted vs response rates. Almost all direct-funded providers responded, but only about half of DHB-funded providers responded. "/>
                    <pic:cNvPicPr>
                      <a:picLocks noChangeAspect="1" noChangeArrowheads="1"/>
                    </pic:cNvPicPr>
                  </pic:nvPicPr>
                  <pic:blipFill rotWithShape="1">
                    <a:blip r:embed="rId32">
                      <a:extLst>
                        <a:ext uri="{28A0092B-C50C-407E-A947-70E740481C1C}">
                          <a14:useLocalDpi xmlns:a14="http://schemas.microsoft.com/office/drawing/2010/main" val="0"/>
                        </a:ext>
                      </a:extLst>
                    </a:blip>
                    <a:srcRect b="49620"/>
                    <a:stretch/>
                  </pic:blipFill>
                  <pic:spPr bwMode="auto">
                    <a:xfrm>
                      <a:off x="0" y="0"/>
                      <a:ext cx="5593437" cy="1584942"/>
                    </a:xfrm>
                    <a:prstGeom prst="rect">
                      <a:avLst/>
                    </a:prstGeom>
                    <a:noFill/>
                    <a:ln>
                      <a:noFill/>
                    </a:ln>
                    <a:extLst>
                      <a:ext uri="{53640926-AAD7-44D8-BBD7-CCE9431645EC}">
                        <a14:shadowObscured xmlns:a14="http://schemas.microsoft.com/office/drawing/2010/main"/>
                      </a:ext>
                    </a:extLst>
                  </pic:spPr>
                </pic:pic>
              </a:graphicData>
            </a:graphic>
          </wp:inline>
        </w:drawing>
      </w:r>
    </w:p>
    <w:p w14:paraId="5CF74532" w14:textId="15D868C2" w:rsidR="00AB4EEE" w:rsidRPr="002E7B55" w:rsidRDefault="00AB4EEE" w:rsidP="00AB4EEE">
      <w:pPr>
        <w:pStyle w:val="Caption"/>
      </w:pPr>
      <w:bookmarkStart w:id="39" w:name="_Toc96341694"/>
      <w:r w:rsidRPr="002E7B55">
        <w:t xml:space="preserve">Figure </w:t>
      </w:r>
      <w:r w:rsidRPr="002E7B55">
        <w:fldChar w:fldCharType="begin"/>
      </w:r>
      <w:r w:rsidRPr="002E7B55">
        <w:instrText xml:space="preserve"> SEQ Figure \* ARABIC </w:instrText>
      </w:r>
      <w:r w:rsidRPr="002E7B55">
        <w:fldChar w:fldCharType="separate"/>
      </w:r>
      <w:r w:rsidRPr="002E7B55">
        <w:t>15</w:t>
      </w:r>
      <w:r w:rsidRPr="002E7B55">
        <w:fldChar w:fldCharType="end"/>
      </w:r>
      <w:r w:rsidRPr="002E7B55">
        <w:t>: Response rate of providers to monitoring report surveys</w:t>
      </w:r>
      <w:bookmarkEnd w:id="39"/>
    </w:p>
    <w:p w14:paraId="7A406826" w14:textId="0B7BEEF1" w:rsidR="006D6939" w:rsidRPr="002E7B55" w:rsidRDefault="00A41CC2" w:rsidP="00EC4FA5">
      <w:pPr>
        <w:pStyle w:val="Heading2"/>
      </w:pPr>
      <w:r w:rsidRPr="002E7B55">
        <w:t>Funding was not split evenly between direct-funded and DHB-funded providers</w:t>
      </w:r>
    </w:p>
    <w:p w14:paraId="069BB0A5" w14:textId="4F491176" w:rsidR="009D73B8" w:rsidRPr="002E7B55" w:rsidRDefault="00534038" w:rsidP="00E00310">
      <w:pPr>
        <w:pStyle w:val="Chart-full-width"/>
        <w:rPr>
          <w:noProof w:val="0"/>
          <w:highlight w:val="yellow"/>
        </w:rPr>
      </w:pPr>
      <w:r>
        <w:drawing>
          <wp:inline distT="0" distB="0" distL="0" distR="0" wp14:anchorId="670726F9" wp14:editId="3A79BAB3">
            <wp:extent cx="5947410" cy="3347720"/>
            <wp:effectExtent l="0" t="0" r="0" b="5080"/>
            <wp:docPr id="44" name="Picture 44" descr="Graph of funding split. Overall, direct-funded providers appeared to receive higher split of funding, compared to DHB-funded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 of funding split. Overall, direct-funded providers appeared to receive higher split of funding, compared to DHB-funded provider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3347720"/>
                    </a:xfrm>
                    <a:prstGeom prst="rect">
                      <a:avLst/>
                    </a:prstGeom>
                    <a:noFill/>
                    <a:ln>
                      <a:noFill/>
                    </a:ln>
                  </pic:spPr>
                </pic:pic>
              </a:graphicData>
            </a:graphic>
          </wp:inline>
        </w:drawing>
      </w:r>
    </w:p>
    <w:p w14:paraId="55543D6A" w14:textId="6918249E" w:rsidR="00A41CC2" w:rsidRPr="002E7B55" w:rsidRDefault="00A41CC2" w:rsidP="00A41CC2">
      <w:pPr>
        <w:pStyle w:val="Caption"/>
        <w:rPr>
          <w:highlight w:val="yellow"/>
        </w:rPr>
      </w:pPr>
      <w:bookmarkStart w:id="40" w:name="_Toc95741429"/>
      <w:bookmarkStart w:id="41" w:name="_Toc96341695"/>
      <w:r w:rsidRPr="002E7B55">
        <w:t xml:space="preserve">Figure </w:t>
      </w:r>
      <w:r w:rsidRPr="002E7B55">
        <w:fldChar w:fldCharType="begin"/>
      </w:r>
      <w:r w:rsidRPr="002E7B55">
        <w:instrText xml:space="preserve"> SEQ Figure \* ARABIC </w:instrText>
      </w:r>
      <w:r w:rsidRPr="002E7B55">
        <w:fldChar w:fldCharType="separate"/>
      </w:r>
      <w:r w:rsidR="004A3284" w:rsidRPr="002E7B55">
        <w:t>16</w:t>
      </w:r>
      <w:r w:rsidRPr="002E7B55">
        <w:fldChar w:fldCharType="end"/>
      </w:r>
      <w:r w:rsidRPr="002E7B55">
        <w:t>: Split of funding per provider, assuming an even distribution between providers and DHBs take no share. Diamond annotation shows share of funding for DHB-funded providers assuming even split with DHBs</w:t>
      </w:r>
      <w:bookmarkEnd w:id="40"/>
      <w:bookmarkEnd w:id="41"/>
    </w:p>
    <w:p w14:paraId="1D512C11" w14:textId="12B5728F" w:rsidR="00043AB4" w:rsidRPr="002E7B55" w:rsidRDefault="00043AB4" w:rsidP="00043AB4">
      <w:r w:rsidRPr="002E7B55">
        <w:lastRenderedPageBreak/>
        <w:t>In 2021, most</w:t>
      </w:r>
      <w:r w:rsidR="00756578" w:rsidRPr="002E7B55">
        <w:t xml:space="preserve"> </w:t>
      </w:r>
      <w:r w:rsidRPr="002E7B55">
        <w:t xml:space="preserve">direct-funded providers received </w:t>
      </w:r>
      <w:r w:rsidR="00756578" w:rsidRPr="002E7B55">
        <w:t xml:space="preserve">more </w:t>
      </w:r>
      <w:r w:rsidRPr="002E7B55">
        <w:t xml:space="preserve">funding than DHB-funded providers. Overall, direct-funded providers received on average $186,636. By comparison, assuming DHBs passed all funding from contracts to providers, DHB-funded providers received an average of $136,626. </w:t>
      </w:r>
      <w:r w:rsidR="003C643C" w:rsidRPr="002E7B55">
        <w:t xml:space="preserve">Moreover, the </w:t>
      </w:r>
      <w:r w:rsidRPr="002E7B55">
        <w:t>share for providers reduces further if</w:t>
      </w:r>
      <w:r w:rsidR="00EC1527" w:rsidRPr="002E7B55">
        <w:t xml:space="preserve"> we</w:t>
      </w:r>
      <w:r w:rsidRPr="002E7B55">
        <w:t xml:space="preserve"> </w:t>
      </w:r>
      <w:r w:rsidR="003C643C" w:rsidRPr="002E7B55">
        <w:t>pre</w:t>
      </w:r>
      <w:r w:rsidRPr="002E7B55">
        <w:t>sum</w:t>
      </w:r>
      <w:r w:rsidR="00EC1527" w:rsidRPr="002E7B55">
        <w:t>e</w:t>
      </w:r>
      <w:r w:rsidRPr="002E7B55">
        <w:t xml:space="preserve"> that DHBs split the funding evenly between the DHB and their sub-contracted providers; in this scenario, DHB-funded providers received an average of only $105,366 </w:t>
      </w:r>
      <w:r w:rsidR="003C643C" w:rsidRPr="002E7B55">
        <w:t xml:space="preserve">for </w:t>
      </w:r>
      <w:r w:rsidRPr="002E7B55">
        <w:t>each provider.</w:t>
      </w:r>
    </w:p>
    <w:p w14:paraId="1E3494DD" w14:textId="025768E3" w:rsidR="001D267F" w:rsidRPr="002E7B55" w:rsidRDefault="00043AB4" w:rsidP="00043AB4">
      <w:r w:rsidRPr="002E7B55">
        <w:t xml:space="preserve">The contracts and funding information between DHBs and their subcontracted providers was not available for this evaluation. </w:t>
      </w:r>
      <w:r w:rsidR="003C643C" w:rsidRPr="002E7B55">
        <w:t xml:space="preserve">As a result, it </w:t>
      </w:r>
      <w:r w:rsidRPr="002E7B55">
        <w:t>is unclear what the $71,000 on average per provider is intended to deliver</w:t>
      </w:r>
      <w:r w:rsidR="00A80B27" w:rsidRPr="002E7B55">
        <w:t xml:space="preserve"> (being the difference between the average amount direct-funded providers received compared to the amount DHB-funded providers received when assuming an </w:t>
      </w:r>
      <w:r w:rsidR="00A74F63" w:rsidRPr="002E7B55">
        <w:t>equal share</w:t>
      </w:r>
      <w:r w:rsidR="00A80B27" w:rsidRPr="002E7B55">
        <w:t xml:space="preserve"> with DHBs)</w:t>
      </w:r>
      <w:r w:rsidRPr="002E7B55">
        <w:t xml:space="preserve">. </w:t>
      </w:r>
      <w:r w:rsidR="003C643C" w:rsidRPr="002E7B55">
        <w:t xml:space="preserve">For example, it </w:t>
      </w:r>
      <w:r w:rsidRPr="002E7B55">
        <w:t>may reflect the DHBs</w:t>
      </w:r>
      <w:r w:rsidR="00756578" w:rsidRPr="002E7B55">
        <w:t>’</w:t>
      </w:r>
      <w:r w:rsidRPr="002E7B55">
        <w:t xml:space="preserve"> costs of coordination and administration or possible efficiencies of scale. </w:t>
      </w:r>
    </w:p>
    <w:p w14:paraId="25004A29" w14:textId="77777777" w:rsidR="001D267F" w:rsidRPr="002E7B55" w:rsidRDefault="001D267F" w:rsidP="001D267F">
      <w:r w:rsidRPr="002E7B55">
        <w:t xml:space="preserve">Irrespective of how DHBs allocate funding, the value of the services that DHBs provide is difficult to assess. </w:t>
      </w:r>
    </w:p>
    <w:p w14:paraId="3DCE3B16" w14:textId="0D4DD4DB" w:rsidR="001D267F" w:rsidRPr="002E7B55" w:rsidRDefault="001D267F" w:rsidP="001D267F">
      <w:r w:rsidRPr="002E7B55">
        <w:t xml:space="preserve">The lack of information about the amount of funding that DHBs withhold to support the MIMVP provider effort in comparison to the amount they allocate to providers therefore contributes to the sense that DHB-funded providers are worse off. For some, there is the perception that DHBs are ‘taking more than their fair share’ and being self-serving. </w:t>
      </w:r>
    </w:p>
    <w:p w14:paraId="22F53BAE" w14:textId="7506E774" w:rsidR="00E74212" w:rsidRPr="002E7B55" w:rsidRDefault="70D53BCA" w:rsidP="0085769B">
      <w:pPr>
        <w:pStyle w:val="Heading2"/>
      </w:pPr>
      <w:r w:rsidRPr="002E7B55">
        <w:t>Funding was used to adapt and expand existing services and to develop the workforce</w:t>
      </w:r>
    </w:p>
    <w:p w14:paraId="45331658" w14:textId="3FD391C1" w:rsidR="70D53BCA" w:rsidRPr="002E7B55" w:rsidRDefault="70D53BCA" w:rsidP="70D53BCA">
      <w:r w:rsidRPr="002E7B55">
        <w:t>In 2021, as in 2020, some providers use</w:t>
      </w:r>
      <w:r w:rsidR="003C643C" w:rsidRPr="002E7B55">
        <w:t>d</w:t>
      </w:r>
      <w:r w:rsidRPr="002E7B55">
        <w:t xml:space="preserve"> MIMVP-funding to enhance and extend existing activities, deliver new activities, and work with current and new providers, </w:t>
      </w:r>
      <w:proofErr w:type="gramStart"/>
      <w:r w:rsidRPr="002E7B55">
        <w:t>communities</w:t>
      </w:r>
      <w:proofErr w:type="gramEnd"/>
      <w:r w:rsidRPr="002E7B55">
        <w:t xml:space="preserve"> and partners.</w:t>
      </w:r>
    </w:p>
    <w:p w14:paraId="390D40A2" w14:textId="64D77F8B" w:rsidR="0085769B" w:rsidRPr="002E7B55" w:rsidRDefault="00E74212" w:rsidP="0041391C">
      <w:pPr>
        <w:pStyle w:val="Heading3"/>
      </w:pPr>
      <w:r w:rsidRPr="002E7B55">
        <w:t xml:space="preserve">Supporting </w:t>
      </w:r>
      <w:r w:rsidR="00F76B93" w:rsidRPr="002E7B55">
        <w:t>workforce development</w:t>
      </w:r>
    </w:p>
    <w:p w14:paraId="30DECAD4" w14:textId="4661E929" w:rsidR="00E74212" w:rsidRPr="002E7B55" w:rsidRDefault="00E74212" w:rsidP="00E74212">
      <w:r w:rsidRPr="002E7B55">
        <w:t xml:space="preserve">Overall, </w:t>
      </w:r>
      <w:r w:rsidR="002B1BB9" w:rsidRPr="002E7B55">
        <w:t xml:space="preserve">about half of </w:t>
      </w:r>
      <w:r w:rsidRPr="002E7B55">
        <w:t xml:space="preserve">providers thought that vaccinator capacity (having enough people to deliver vaccinations) </w:t>
      </w:r>
      <w:r w:rsidR="002B1BB9" w:rsidRPr="002E7B55">
        <w:t xml:space="preserve">significantly </w:t>
      </w:r>
      <w:r w:rsidRPr="002E7B55">
        <w:t>affected their ability to implement their MIMVP-funded plan in 2021.</w:t>
      </w:r>
      <w:r w:rsidR="00362977" w:rsidRPr="002E7B55">
        <w:rPr>
          <w:rStyle w:val="EndnoteReference"/>
        </w:rPr>
        <w:endnoteReference w:id="35"/>
      </w:r>
    </w:p>
    <w:p w14:paraId="6E18020D" w14:textId="1BAE9564" w:rsidR="00E74212" w:rsidRPr="002E7B55" w:rsidRDefault="00E74212" w:rsidP="00E74212">
      <w:r w:rsidRPr="002E7B55">
        <w:t xml:space="preserve">In 2021, </w:t>
      </w:r>
      <w:r w:rsidR="001213D7" w:rsidRPr="002E7B55">
        <w:t>a small number of</w:t>
      </w:r>
      <w:r w:rsidRPr="002E7B55">
        <w:t xml:space="preserve"> providers commented that they had lost vaccinator staff or administrative staff.</w:t>
      </w:r>
      <w:r w:rsidR="001213D7" w:rsidRPr="002E7B55">
        <w:rPr>
          <w:rStyle w:val="EndnoteReference"/>
        </w:rPr>
        <w:endnoteReference w:id="36"/>
      </w:r>
      <w:r w:rsidRPr="002E7B55">
        <w:t xml:space="preserve"> All providers undertook two to three actions on average to develop their workforce. The most common actions were:</w:t>
      </w:r>
    </w:p>
    <w:p w14:paraId="2A13A12A" w14:textId="2054A4DC" w:rsidR="00E74212" w:rsidRPr="002E7B55" w:rsidRDefault="00E74212" w:rsidP="00695245">
      <w:pPr>
        <w:pStyle w:val="ListParagraph"/>
        <w:numPr>
          <w:ilvl w:val="0"/>
          <w:numId w:val="14"/>
        </w:numPr>
        <w:rPr>
          <w:lang w:val="en-NZ"/>
        </w:rPr>
      </w:pPr>
      <w:r w:rsidRPr="002E7B55">
        <w:rPr>
          <w:lang w:val="en-NZ"/>
        </w:rPr>
        <w:t xml:space="preserve">hiring new vaccinator staff </w:t>
      </w:r>
    </w:p>
    <w:p w14:paraId="05DBA296" w14:textId="77777777" w:rsidR="001213D7" w:rsidRPr="002E7B55" w:rsidRDefault="001213D7" w:rsidP="001213D7">
      <w:pPr>
        <w:pStyle w:val="ListParagraph"/>
        <w:numPr>
          <w:ilvl w:val="0"/>
          <w:numId w:val="14"/>
        </w:numPr>
        <w:rPr>
          <w:lang w:val="en-NZ"/>
        </w:rPr>
      </w:pPr>
      <w:r w:rsidRPr="002E7B55">
        <w:rPr>
          <w:lang w:val="en-NZ"/>
        </w:rPr>
        <w:t xml:space="preserve">hiring new administrative support staff </w:t>
      </w:r>
    </w:p>
    <w:p w14:paraId="4E1A8639" w14:textId="2025B23F" w:rsidR="00E74212" w:rsidRPr="002E7B55" w:rsidRDefault="00E74212" w:rsidP="00695245">
      <w:pPr>
        <w:pStyle w:val="ListParagraph"/>
        <w:numPr>
          <w:ilvl w:val="0"/>
          <w:numId w:val="14"/>
        </w:numPr>
        <w:rPr>
          <w:lang w:val="en-NZ"/>
        </w:rPr>
      </w:pPr>
      <w:r w:rsidRPr="002E7B55">
        <w:rPr>
          <w:lang w:val="en-NZ"/>
        </w:rPr>
        <w:t xml:space="preserve">attending or delivering flu vaccinator training </w:t>
      </w:r>
    </w:p>
    <w:p w14:paraId="4C787B9B" w14:textId="145F5C8C" w:rsidR="001213D7" w:rsidRPr="002E7B55" w:rsidRDefault="001213D7" w:rsidP="00695245">
      <w:pPr>
        <w:pStyle w:val="ListParagraph"/>
        <w:numPr>
          <w:ilvl w:val="0"/>
          <w:numId w:val="14"/>
        </w:numPr>
        <w:rPr>
          <w:lang w:val="en-NZ"/>
        </w:rPr>
      </w:pPr>
      <w:r w:rsidRPr="002E7B55">
        <w:rPr>
          <w:lang w:val="en-NZ"/>
        </w:rPr>
        <w:t>attending or facilitating flu vaccination planning sessions</w:t>
      </w:r>
      <w:r w:rsidRPr="002E7B55">
        <w:rPr>
          <w:rStyle w:val="EndnoteReference"/>
          <w:lang w:val="en-NZ"/>
        </w:rPr>
        <w:endnoteReference w:id="37"/>
      </w:r>
    </w:p>
    <w:p w14:paraId="270C62A9" w14:textId="21DC1EE2" w:rsidR="00E74212" w:rsidRPr="002E7B55" w:rsidRDefault="00E74212" w:rsidP="00E74212">
      <w:r w:rsidRPr="002E7B55">
        <w:rPr>
          <w:b/>
          <w:bCs/>
        </w:rPr>
        <w:t xml:space="preserve">The </w:t>
      </w:r>
      <w:r w:rsidR="00756578" w:rsidRPr="002E7B55">
        <w:rPr>
          <w:b/>
          <w:bCs/>
        </w:rPr>
        <w:t xml:space="preserve">main </w:t>
      </w:r>
      <w:r w:rsidRPr="002E7B55">
        <w:rPr>
          <w:b/>
          <w:bCs/>
        </w:rPr>
        <w:t>challenge</w:t>
      </w:r>
      <w:r w:rsidRPr="002E7B55">
        <w:t xml:space="preserve"> </w:t>
      </w:r>
      <w:r w:rsidR="00756578" w:rsidRPr="002E7B55">
        <w:t xml:space="preserve">that </w:t>
      </w:r>
      <w:r w:rsidRPr="002E7B55">
        <w:t>providers found deeply affected their ability to carry out their MIMVP-funded plan in 2021 was to find available training spots for their staff (</w:t>
      </w:r>
      <w:r w:rsidR="00756578" w:rsidRPr="002E7B55">
        <w:t>for example, for</w:t>
      </w:r>
      <w:r w:rsidRPr="002E7B55">
        <w:t xml:space="preserve"> CPR</w:t>
      </w:r>
      <w:r w:rsidR="00756578" w:rsidRPr="002E7B55">
        <w:t xml:space="preserve"> training</w:t>
      </w:r>
      <w:r w:rsidRPr="002E7B55">
        <w:t>).</w:t>
      </w:r>
      <w:r w:rsidR="000E558B" w:rsidRPr="002E7B55">
        <w:rPr>
          <w:rStyle w:val="EndnoteReference"/>
        </w:rPr>
        <w:endnoteReference w:id="38"/>
      </w:r>
      <w:r w:rsidRPr="002E7B55">
        <w:t xml:space="preserve"> </w:t>
      </w:r>
      <w:r w:rsidR="000E558B" w:rsidRPr="002E7B55">
        <w:t xml:space="preserve">For DHB-funded providers, the next </w:t>
      </w:r>
      <w:r w:rsidR="00756578" w:rsidRPr="002E7B55">
        <w:t xml:space="preserve">main </w:t>
      </w:r>
      <w:r w:rsidR="000E558B" w:rsidRPr="002E7B55">
        <w:t>challenge was finding time to send staff to other relevant training.</w:t>
      </w:r>
      <w:r w:rsidR="000E558B" w:rsidRPr="002E7B55">
        <w:rPr>
          <w:rStyle w:val="EndnoteReference"/>
        </w:rPr>
        <w:endnoteReference w:id="39"/>
      </w:r>
      <w:r w:rsidR="000E558B" w:rsidRPr="002E7B55">
        <w:t xml:space="preserve"> In comparison</w:t>
      </w:r>
      <w:r w:rsidR="00756578" w:rsidRPr="002E7B55">
        <w:t>,</w:t>
      </w:r>
      <w:r w:rsidR="000E558B" w:rsidRPr="002E7B55">
        <w:t xml:space="preserve"> d</w:t>
      </w:r>
      <w:r w:rsidRPr="002E7B55">
        <w:t>irect-funded providers also found it challenging to find time for staff to attend vaccination-specific training.</w:t>
      </w:r>
      <w:r w:rsidR="000E558B" w:rsidRPr="002E7B55">
        <w:rPr>
          <w:rStyle w:val="EndnoteReference"/>
        </w:rPr>
        <w:endnoteReference w:id="40"/>
      </w:r>
    </w:p>
    <w:p w14:paraId="2131BED9" w14:textId="4BE91D49" w:rsidR="00E74212" w:rsidRPr="002E7B55" w:rsidRDefault="00E74212" w:rsidP="00E74212">
      <w:r w:rsidRPr="002E7B55">
        <w:t>Both finding and keeping vaccinator staff were a challenge, and to a slightly lesser extent, so was recruiting administration and operation support staff.</w:t>
      </w:r>
      <w:r w:rsidR="000E558B" w:rsidRPr="002E7B55">
        <w:rPr>
          <w:rStyle w:val="EndnoteReference"/>
        </w:rPr>
        <w:endnoteReference w:id="41"/>
      </w:r>
    </w:p>
    <w:p w14:paraId="0C733FF6" w14:textId="7BD4F6A6" w:rsidR="00E74212" w:rsidRPr="002E7B55" w:rsidRDefault="00E74212" w:rsidP="00E74212">
      <w:r w:rsidRPr="002E7B55">
        <w:t>The Ministry is focusing on delivering the following objectives for Māori by 2025</w:t>
      </w:r>
      <w:r w:rsidR="003C643C" w:rsidRPr="002E7B55">
        <w:t>,</w:t>
      </w:r>
      <w:r w:rsidRPr="002E7B55">
        <w:t xml:space="preserve"> and </w:t>
      </w:r>
      <w:r w:rsidR="00AA5079" w:rsidRPr="002E7B55">
        <w:t xml:space="preserve">many </w:t>
      </w:r>
      <w:r w:rsidRPr="002E7B55">
        <w:t>Māori providers believe these following objectives are evident in MIMVP to a moderate or high degree:</w:t>
      </w:r>
    </w:p>
    <w:p w14:paraId="3C696B87" w14:textId="1E73973C" w:rsidR="00E74212" w:rsidRPr="002E7B55" w:rsidRDefault="00E74212" w:rsidP="00695245">
      <w:pPr>
        <w:pStyle w:val="ListParagraph"/>
        <w:numPr>
          <w:ilvl w:val="0"/>
          <w:numId w:val="6"/>
        </w:numPr>
        <w:rPr>
          <w:lang w:val="en-NZ"/>
        </w:rPr>
      </w:pPr>
      <w:r w:rsidRPr="002E7B55">
        <w:rPr>
          <w:lang w:val="en-NZ"/>
        </w:rPr>
        <w:t>speed up and spread the delivery of kaupapa Māori and whānau-centred services</w:t>
      </w:r>
    </w:p>
    <w:p w14:paraId="334EE57F" w14:textId="537DA167" w:rsidR="00E74212" w:rsidRPr="002E7B55" w:rsidRDefault="23D00F57" w:rsidP="00E74212">
      <w:pPr>
        <w:pStyle w:val="ListParagraph"/>
        <w:rPr>
          <w:lang w:val="en-NZ"/>
        </w:rPr>
      </w:pPr>
      <w:r w:rsidRPr="002E7B55">
        <w:rPr>
          <w:lang w:val="en-NZ"/>
        </w:rPr>
        <w:t>shift cultural and social norms</w:t>
      </w:r>
    </w:p>
    <w:p w14:paraId="74C70F9A" w14:textId="15A5C6A2" w:rsidR="00E74212" w:rsidRPr="002E7B55" w:rsidRDefault="23D00F57" w:rsidP="00E74212">
      <w:pPr>
        <w:pStyle w:val="ListParagraph"/>
        <w:rPr>
          <w:lang w:val="en-NZ"/>
        </w:rPr>
      </w:pPr>
      <w:r w:rsidRPr="002E7B55">
        <w:rPr>
          <w:lang w:val="en-NZ"/>
        </w:rPr>
        <w:lastRenderedPageBreak/>
        <w:t>strengthen system accountability settings</w:t>
      </w:r>
    </w:p>
    <w:p w14:paraId="13AE7851" w14:textId="3FCC608A" w:rsidR="00E74212" w:rsidRPr="002E7B55" w:rsidRDefault="23D00F57" w:rsidP="00E74212">
      <w:pPr>
        <w:pStyle w:val="ListParagraph"/>
        <w:rPr>
          <w:lang w:val="en-NZ"/>
        </w:rPr>
      </w:pPr>
      <w:r w:rsidRPr="002E7B55">
        <w:rPr>
          <w:lang w:val="en-NZ"/>
        </w:rPr>
        <w:t>reduce health inequities and health loss for Māor</w:t>
      </w:r>
      <w:r w:rsidR="00E508C5" w:rsidRPr="002E7B55">
        <w:rPr>
          <w:lang w:val="en-NZ"/>
        </w:rPr>
        <w:t>i</w:t>
      </w:r>
      <w:r w:rsidR="00B64DBF" w:rsidRPr="002E7B55">
        <w:rPr>
          <w:lang w:val="en-NZ"/>
        </w:rPr>
        <w:t>.</w:t>
      </w:r>
      <w:r w:rsidR="00E508C5" w:rsidRPr="002E7B55">
        <w:rPr>
          <w:rStyle w:val="EndnoteReference"/>
          <w:lang w:val="en-NZ"/>
        </w:rPr>
        <w:t xml:space="preserve"> </w:t>
      </w:r>
      <w:r w:rsidR="00E508C5" w:rsidRPr="002E7B55">
        <w:rPr>
          <w:rStyle w:val="EndnoteReference"/>
          <w:lang w:val="en-NZ"/>
        </w:rPr>
        <w:endnoteReference w:id="42"/>
      </w:r>
    </w:p>
    <w:p w14:paraId="7D48839A" w14:textId="1AD3B395" w:rsidR="00E74212" w:rsidRPr="002E7B55" w:rsidRDefault="00275461" w:rsidP="00275461">
      <w:pPr>
        <w:pStyle w:val="Accentheading2"/>
        <w:rPr>
          <w:lang w:val="en-NZ"/>
        </w:rPr>
      </w:pPr>
      <w:r w:rsidRPr="002E7B55">
        <w:rPr>
          <w:lang w:val="en-NZ"/>
        </w:rPr>
        <w:t xml:space="preserve">Missed opportunities for </w:t>
      </w:r>
      <w:r w:rsidR="00E74212" w:rsidRPr="002E7B55">
        <w:rPr>
          <w:lang w:val="en-NZ"/>
        </w:rPr>
        <w:t>commissioning</w:t>
      </w:r>
      <w:r w:rsidRPr="002E7B55">
        <w:rPr>
          <w:lang w:val="en-NZ"/>
        </w:rPr>
        <w:t xml:space="preserve">, </w:t>
      </w:r>
      <w:proofErr w:type="gramStart"/>
      <w:r w:rsidRPr="002E7B55">
        <w:rPr>
          <w:lang w:val="en-NZ"/>
        </w:rPr>
        <w:t>contracting</w:t>
      </w:r>
      <w:proofErr w:type="gramEnd"/>
      <w:r w:rsidRPr="002E7B55">
        <w:rPr>
          <w:lang w:val="en-NZ"/>
        </w:rPr>
        <w:t xml:space="preserve"> and funding</w:t>
      </w:r>
    </w:p>
    <w:p w14:paraId="61EDA946" w14:textId="1C43003C" w:rsidR="00E74212" w:rsidRPr="002E7B55" w:rsidRDefault="00E74212" w:rsidP="00E74212">
      <w:r w:rsidRPr="002E7B55">
        <w:t>While COVID-19 heavily impacted the delivery of MIMVP, the pandemic also provided opportunities for Māori providers. On the one hand, Ministry personnel said it was easier to get money out to Māori providers, and funding was often timely. But in other cases, funding time lags meant funding was slow to arrive.</w:t>
      </w:r>
      <w:r w:rsidR="00756578" w:rsidRPr="002E7B55">
        <w:t xml:space="preserve"> S</w:t>
      </w:r>
      <w:r w:rsidRPr="002E7B55">
        <w:t xml:space="preserve">low distribution of funding was critical as it impacted hiring </w:t>
      </w:r>
      <w:r w:rsidR="00756578" w:rsidRPr="002E7B55">
        <w:t xml:space="preserve">of </w:t>
      </w:r>
      <w:r w:rsidRPr="002E7B55">
        <w:t>staff and left providers exposed until the money came. This is not unusual for Māori health providers</w:t>
      </w:r>
      <w:sdt>
        <w:sdtPr>
          <w:id w:val="202608171"/>
          <w:citation/>
        </w:sdtPr>
        <w:sdtEndPr/>
        <w:sdtContent>
          <w:r w:rsidR="00E508C5" w:rsidRPr="002E7B55">
            <w:fldChar w:fldCharType="begin"/>
          </w:r>
          <w:r w:rsidR="00E508C5" w:rsidRPr="002E7B55">
            <w:instrText xml:space="preserve"> CITATION Cam22 \l 1153 </w:instrText>
          </w:r>
          <w:r w:rsidR="00E508C5" w:rsidRPr="002E7B55">
            <w:fldChar w:fldCharType="separate"/>
          </w:r>
          <w:r w:rsidR="00025361" w:rsidRPr="002E7B55">
            <w:t xml:space="preserve"> (10)</w:t>
          </w:r>
          <w:r w:rsidR="00E508C5" w:rsidRPr="002E7B55">
            <w:fldChar w:fldCharType="end"/>
          </w:r>
        </w:sdtContent>
      </w:sdt>
      <w:r w:rsidRPr="002E7B55">
        <w:t xml:space="preserve">. But managing slow payments is challenging for Māori providers who are also developing and trying to retain a workforce. </w:t>
      </w:r>
    </w:p>
    <w:p w14:paraId="7583C5DB" w14:textId="77777777" w:rsidR="00E74212" w:rsidRPr="002E7B55" w:rsidRDefault="00E74212" w:rsidP="00E74212">
      <w:r w:rsidRPr="002E7B55">
        <w:t xml:space="preserve">Māori providers found the 2021 MIMVP commissioning favoured the Ministry’s needs at their expense. As there is a high administrative burden from annual contracting, we suggest the current policy does not meet the needs of the Ministry particularly well either. </w:t>
      </w:r>
    </w:p>
    <w:p w14:paraId="5B4A642F" w14:textId="1CD969E3" w:rsidR="00E74212" w:rsidRPr="002E7B55" w:rsidRDefault="008D458D" w:rsidP="00E74212">
      <w:r w:rsidRPr="002E7B55">
        <w:t>Plus,</w:t>
      </w:r>
      <w:r w:rsidR="00E74212" w:rsidRPr="002E7B55">
        <w:t xml:space="preserve"> funding is not always suitable for the job. First, there is a need for the broader health system to focus on Māori needs, including the welfare of the Māori community. Second, there is a need to fund administrative support and program</w:t>
      </w:r>
      <w:r w:rsidR="00756578" w:rsidRPr="002E7B55">
        <w:t>me</w:t>
      </w:r>
      <w:r w:rsidR="00E74212" w:rsidRPr="002E7B55">
        <w:t xml:space="preserve"> delivery. Third, there is a need to invest in longer</w:t>
      </w:r>
      <w:r w:rsidR="00756578" w:rsidRPr="002E7B55">
        <w:t xml:space="preserve"> </w:t>
      </w:r>
      <w:r w:rsidR="00E74212" w:rsidRPr="002E7B55">
        <w:t>term</w:t>
      </w:r>
      <w:r w:rsidR="00756578" w:rsidRPr="002E7B55">
        <w:t>, that is, multi-year</w:t>
      </w:r>
      <w:r w:rsidR="00E74212" w:rsidRPr="002E7B55">
        <w:t xml:space="preserve"> delivery rather than short-term contracts</w:t>
      </w:r>
      <w:r w:rsidR="00756578" w:rsidRPr="002E7B55">
        <w:t xml:space="preserve"> as these</w:t>
      </w:r>
      <w:r w:rsidR="00E74212" w:rsidRPr="002E7B55">
        <w:t xml:space="preserve"> breed uncertainty in the workforce and programme delivery. Fourth, there is a need to allow capable providers latitude to spend the funding in opportunistic ways. For instance, some providers have money </w:t>
      </w:r>
      <w:r w:rsidR="00756578" w:rsidRPr="002E7B55">
        <w:t xml:space="preserve">that was allocated to them but is </w:t>
      </w:r>
      <w:r w:rsidR="00E74212" w:rsidRPr="002E7B55">
        <w:t xml:space="preserve">unspent because their focus was on other areas. If they had longer-term contracts, providers could carry this funding over to start work on next year’s immunisations rather than repaying it. </w:t>
      </w:r>
    </w:p>
    <w:p w14:paraId="4FF24234" w14:textId="7FE569D4" w:rsidR="00E74212" w:rsidRPr="002E7B55" w:rsidRDefault="00E74212" w:rsidP="00E74212">
      <w:r w:rsidRPr="002E7B55">
        <w:t>Of course one of the challenges is that spending has to fit within accounting practices. These current accounting requirements mean timing of the expenditure can be at odds with delivering equity for Māori. The Ministry may need to challenge the timing constraints around payments</w:t>
      </w:r>
      <w:r w:rsidR="00F52ECA" w:rsidRPr="002E7B55">
        <w:t xml:space="preserve"> and</w:t>
      </w:r>
      <w:r w:rsidRPr="002E7B55">
        <w:t xml:space="preserve"> work around current accounting accrual practices. Overall, there needs to be a consistent approach to managing the funding that supports greater sustainability and innovation within Māori provider organisations. </w:t>
      </w:r>
    </w:p>
    <w:p w14:paraId="3D2CCAAB" w14:textId="77777777" w:rsidR="00B75873" w:rsidRPr="002E7B55" w:rsidRDefault="00B75873" w:rsidP="00B75873"/>
    <w:p w14:paraId="5D2373D8" w14:textId="5BE961B4" w:rsidR="70D53BCA" w:rsidRPr="002E7B55" w:rsidRDefault="70D53BCA">
      <w:r w:rsidRPr="002E7B55">
        <w:br w:type="page"/>
      </w:r>
    </w:p>
    <w:p w14:paraId="68DA1926" w14:textId="4F32035B" w:rsidR="002B4F56" w:rsidRPr="002E7B55" w:rsidRDefault="70D53BCA" w:rsidP="002B4F56">
      <w:pPr>
        <w:pStyle w:val="Heading1"/>
      </w:pPr>
      <w:bookmarkStart w:id="42" w:name="_Toc96341672"/>
      <w:r w:rsidRPr="002E7B55">
        <w:lastRenderedPageBreak/>
        <w:t>6 Communications and learning</w:t>
      </w:r>
      <w:bookmarkEnd w:id="42"/>
    </w:p>
    <w:p w14:paraId="21F33722" w14:textId="1635528E" w:rsidR="00770B4E" w:rsidRPr="002E7B55" w:rsidRDefault="00770B4E" w:rsidP="00770B4E">
      <w:r w:rsidRPr="002E7B55">
        <w:t xml:space="preserve">This section describes the communications activities and needs of providers. It also describes the organisational learning activities that providers, DHBs and the Ministry </w:t>
      </w:r>
      <w:r w:rsidR="00756578" w:rsidRPr="002E7B55">
        <w:t>undertook</w:t>
      </w:r>
      <w:r w:rsidRPr="002E7B55">
        <w:t xml:space="preserve">. </w:t>
      </w:r>
    </w:p>
    <w:p w14:paraId="0A96D79D" w14:textId="77777777" w:rsidR="00770B4E" w:rsidRPr="002E7B55" w:rsidRDefault="00770B4E" w:rsidP="005042D8">
      <w:pPr>
        <w:pStyle w:val="Accentheading2"/>
        <w:rPr>
          <w:lang w:val="en-NZ"/>
        </w:rPr>
      </w:pPr>
      <w:r w:rsidRPr="002E7B55">
        <w:rPr>
          <w:lang w:val="en-NZ"/>
        </w:rPr>
        <w:t>Key findings</w:t>
      </w:r>
    </w:p>
    <w:p w14:paraId="60A83D5E" w14:textId="3D0ADCD2" w:rsidR="00082D4A" w:rsidRPr="002E7B55" w:rsidRDefault="23D00F57" w:rsidP="007D4470">
      <w:pPr>
        <w:pStyle w:val="ListParagraph"/>
        <w:rPr>
          <w:lang w:val="en-NZ"/>
        </w:rPr>
      </w:pPr>
      <w:r w:rsidRPr="002E7B55">
        <w:rPr>
          <w:lang w:val="en-NZ"/>
        </w:rPr>
        <w:t xml:space="preserve">Providers </w:t>
      </w:r>
      <w:r w:rsidR="00082D4A" w:rsidRPr="002E7B55">
        <w:rPr>
          <w:lang w:val="en-NZ"/>
        </w:rPr>
        <w:t>used multiple channels and messages for communication with whānau and the community.</w:t>
      </w:r>
    </w:p>
    <w:p w14:paraId="31472CC5" w14:textId="77777777" w:rsidR="00082D4A" w:rsidRPr="002E7B55" w:rsidRDefault="00082D4A" w:rsidP="0037225C">
      <w:pPr>
        <w:pStyle w:val="ListParagraph"/>
        <w:rPr>
          <w:lang w:val="en-NZ"/>
        </w:rPr>
      </w:pPr>
      <w:r w:rsidRPr="002E7B55">
        <w:rPr>
          <w:lang w:val="en-NZ"/>
        </w:rPr>
        <w:t>Providers faced challenges addressing vaccine misinformation and hesitancy, and community confusion about COVID-19 as opposed to the flu and MMR vaccinations.</w:t>
      </w:r>
    </w:p>
    <w:p w14:paraId="128D5171" w14:textId="77777777" w:rsidR="00082D4A" w:rsidRPr="002E7B55" w:rsidRDefault="00082D4A" w:rsidP="0037225C">
      <w:pPr>
        <w:pStyle w:val="ListParagraph"/>
        <w:rPr>
          <w:lang w:val="en-NZ"/>
        </w:rPr>
      </w:pPr>
      <w:r w:rsidRPr="002E7B55">
        <w:rPr>
          <w:lang w:val="en-NZ"/>
        </w:rPr>
        <w:t>Providers generally found communications from the Ministry helpful, but they needed further help to address the concerns of whānau and the community.</w:t>
      </w:r>
    </w:p>
    <w:p w14:paraId="527A27A7" w14:textId="77777777" w:rsidR="00082D4A" w:rsidRPr="002E7B55" w:rsidRDefault="00082D4A" w:rsidP="00082D4A">
      <w:pPr>
        <w:pStyle w:val="ListParagraph"/>
        <w:rPr>
          <w:lang w:val="en-NZ"/>
        </w:rPr>
      </w:pPr>
      <w:r w:rsidRPr="002E7B55">
        <w:rPr>
          <w:lang w:val="en-NZ"/>
        </w:rPr>
        <w:t xml:space="preserve">Providers want opportunities to share with and learn from each other about means to communicate effectively with whānau and the community. </w:t>
      </w:r>
    </w:p>
    <w:tbl>
      <w:tblPr>
        <w:tblStyle w:val="TableGrid"/>
        <w:tblW w:w="0" w:type="auto"/>
        <w:tblBorders>
          <w:top w:val="single" w:sz="4" w:space="0" w:color="FBDCD9" w:themeColor="accent3" w:themeTint="33"/>
          <w:left w:val="single" w:sz="4" w:space="0" w:color="FBDCD9" w:themeColor="accent3" w:themeTint="33"/>
          <w:bottom w:val="single" w:sz="4" w:space="0" w:color="FBDCD9" w:themeColor="accent3" w:themeTint="33"/>
          <w:right w:val="single" w:sz="4" w:space="0" w:color="FBDCD9" w:themeColor="accent3" w:themeTint="33"/>
          <w:insideH w:val="single" w:sz="4" w:space="0" w:color="FBDCD9" w:themeColor="accent3" w:themeTint="33"/>
          <w:insideV w:val="single" w:sz="4" w:space="0" w:color="FBDCD9" w:themeColor="accent3" w:themeTint="33"/>
        </w:tblBorders>
        <w:shd w:val="clear" w:color="auto" w:fill="FBDCD9" w:themeFill="accent3" w:themeFillTint="33"/>
        <w:tblLook w:val="04A0" w:firstRow="1" w:lastRow="0" w:firstColumn="1" w:lastColumn="0" w:noHBand="0" w:noVBand="1"/>
      </w:tblPr>
      <w:tblGrid>
        <w:gridCol w:w="9379"/>
      </w:tblGrid>
      <w:tr w:rsidR="00305C78" w:rsidRPr="002E7B55" w14:paraId="01D80FA0" w14:textId="77777777" w:rsidTr="0081467C">
        <w:tc>
          <w:tcPr>
            <w:tcW w:w="9379" w:type="dxa"/>
            <w:shd w:val="clear" w:color="auto" w:fill="FBDCD9" w:themeFill="accent3" w:themeFillTint="33"/>
          </w:tcPr>
          <w:p w14:paraId="193E3085" w14:textId="77777777" w:rsidR="00305C78" w:rsidRPr="002E7B55" w:rsidRDefault="00305C78" w:rsidP="0081467C">
            <w:pPr>
              <w:pStyle w:val="Actionsheading"/>
              <w:rPr>
                <w:lang w:val="en-NZ"/>
              </w:rPr>
            </w:pPr>
            <w:r w:rsidRPr="002E7B55">
              <w:rPr>
                <w:lang w:val="en-NZ"/>
              </w:rPr>
              <w:t>Actions</w:t>
            </w:r>
          </w:p>
        </w:tc>
      </w:tr>
      <w:tr w:rsidR="00305C78" w:rsidRPr="002E7B55" w14:paraId="2C360B46" w14:textId="77777777" w:rsidTr="0081467C">
        <w:tc>
          <w:tcPr>
            <w:tcW w:w="9379" w:type="dxa"/>
            <w:shd w:val="clear" w:color="auto" w:fill="FBDCD9" w:themeFill="accent3" w:themeFillTint="33"/>
          </w:tcPr>
          <w:p w14:paraId="1113D132" w14:textId="60D51B3D" w:rsidR="00082D4A" w:rsidRPr="002E7B55" w:rsidRDefault="00D2212C" w:rsidP="00082D4A">
            <w:pPr>
              <w:pStyle w:val="Actionslist"/>
            </w:pPr>
            <w:r w:rsidRPr="002E7B55">
              <w:t xml:space="preserve">Resource providers </w:t>
            </w:r>
            <w:r w:rsidR="00082D4A" w:rsidRPr="002E7B55">
              <w:t xml:space="preserve">to develop communications tailored to local needs, communities and whānau. </w:t>
            </w:r>
          </w:p>
          <w:p w14:paraId="404D33C5" w14:textId="77777777" w:rsidR="00082D4A" w:rsidRPr="002E7B55" w:rsidRDefault="00082D4A" w:rsidP="00082D4A">
            <w:pPr>
              <w:pStyle w:val="Actionslist"/>
            </w:pPr>
            <w:r w:rsidRPr="002E7B55">
              <w:t xml:space="preserve">Fund providers for the time and effort needed to build and maintain trusting relationships with partner organisations and local Māori and community groups. </w:t>
            </w:r>
          </w:p>
          <w:p w14:paraId="6CC7E6C7" w14:textId="77777777" w:rsidR="00082D4A" w:rsidRPr="002E7B55" w:rsidRDefault="00082D4A" w:rsidP="00082D4A">
            <w:pPr>
              <w:pStyle w:val="Actionslist"/>
            </w:pPr>
            <w:r w:rsidRPr="002E7B55">
              <w:t xml:space="preserve">As part of a shift towards integrated immunisations, refine messaging from the Ministry to present a balanced and integrated view of all immunisations. </w:t>
            </w:r>
          </w:p>
          <w:p w14:paraId="4BED54CE" w14:textId="77777777" w:rsidR="00082D4A" w:rsidRPr="002E7B55" w:rsidRDefault="00082D4A" w:rsidP="00082D4A">
            <w:pPr>
              <w:pStyle w:val="Actionslist"/>
            </w:pPr>
            <w:r w:rsidRPr="002E7B55">
              <w:t xml:space="preserve">Continue to offer and expand training and support materials, especially clinical advice in plain English and te reo Māori. </w:t>
            </w:r>
          </w:p>
          <w:p w14:paraId="770C4167" w14:textId="6B6CE0C2" w:rsidR="00305C78" w:rsidRPr="002E7B55" w:rsidRDefault="00082D4A" w:rsidP="00D2212C">
            <w:pPr>
              <w:pStyle w:val="Actionslist"/>
            </w:pPr>
            <w:r w:rsidRPr="002E7B55">
              <w:t>Resource providers directly to support them sharing insights with one another in a provider-led space.</w:t>
            </w:r>
          </w:p>
        </w:tc>
      </w:tr>
    </w:tbl>
    <w:p w14:paraId="36884250" w14:textId="1FE8DC02" w:rsidR="00770B4E" w:rsidRPr="002E7B55" w:rsidRDefault="00B27A60" w:rsidP="00770B4E">
      <w:pPr>
        <w:pStyle w:val="Heading2"/>
      </w:pPr>
      <w:r w:rsidRPr="002E7B55">
        <w:t>Context: The communications and information landscape for providers and whānau is complex</w:t>
      </w:r>
    </w:p>
    <w:p w14:paraId="1320247E" w14:textId="21F62715" w:rsidR="006133F7" w:rsidRPr="002E7B55" w:rsidRDefault="006133F7" w:rsidP="00770B4E">
      <w:r w:rsidRPr="002E7B55">
        <w:t>The environment in which providers are trying to communicate with whānau and the community is complex, with multiple competing messages. At the same time, providers communicat</w:t>
      </w:r>
      <w:r w:rsidR="003C643C" w:rsidRPr="002E7B55">
        <w:t>e</w:t>
      </w:r>
      <w:r w:rsidRPr="002E7B55">
        <w:t xml:space="preserve"> and shar</w:t>
      </w:r>
      <w:r w:rsidR="003C643C" w:rsidRPr="002E7B55">
        <w:t>e</w:t>
      </w:r>
      <w:r w:rsidRPr="002E7B55">
        <w:t xml:space="preserve"> information with </w:t>
      </w:r>
      <w:r w:rsidR="003C643C" w:rsidRPr="002E7B55">
        <w:t xml:space="preserve">numerous </w:t>
      </w:r>
      <w:r w:rsidRPr="002E7B55">
        <w:t xml:space="preserve">partners and stakeholders, adding </w:t>
      </w:r>
      <w:r w:rsidR="001C450F" w:rsidRPr="002E7B55">
        <w:t xml:space="preserve">further </w:t>
      </w:r>
      <w:r w:rsidRPr="002E7B55">
        <w:t xml:space="preserve">complexity. </w:t>
      </w:r>
    </w:p>
    <w:p w14:paraId="4B613792" w14:textId="394B26E6" w:rsidR="00770B4E" w:rsidRPr="002E7B55" w:rsidRDefault="00770B4E" w:rsidP="00770B4E">
      <w:r w:rsidRPr="002E7B55">
        <w:t>Many providers spoke of communications and information flowing in multiple directions.</w:t>
      </w:r>
    </w:p>
    <w:p w14:paraId="6B9DC277" w14:textId="6D485876" w:rsidR="00770B4E" w:rsidRPr="002E7B55" w:rsidRDefault="23D00F57" w:rsidP="00770B4E">
      <w:pPr>
        <w:pStyle w:val="ListParagraph"/>
        <w:rPr>
          <w:lang w:val="en-NZ"/>
        </w:rPr>
      </w:pPr>
      <w:r w:rsidRPr="002E7B55">
        <w:rPr>
          <w:lang w:val="en-NZ"/>
        </w:rPr>
        <w:t xml:space="preserve">With whānau and the broader community, providers share </w:t>
      </w:r>
      <w:r w:rsidR="003C643C" w:rsidRPr="002E7B55">
        <w:rPr>
          <w:lang w:val="en-NZ"/>
        </w:rPr>
        <w:t>general information about immunisations and</w:t>
      </w:r>
      <w:r w:rsidRPr="002E7B55">
        <w:rPr>
          <w:lang w:val="en-NZ"/>
        </w:rPr>
        <w:t xml:space="preserve"> specific vaccination programs. Whānau also receive this information from the Ministry through national campaigns and, at times, through mainstream health partners such as their DHB, GP and local pharmacy. </w:t>
      </w:r>
      <w:r w:rsidR="003C643C" w:rsidRPr="002E7B55">
        <w:rPr>
          <w:lang w:val="en-NZ"/>
        </w:rPr>
        <w:t xml:space="preserve">In addition, providers </w:t>
      </w:r>
      <w:r w:rsidRPr="002E7B55">
        <w:rPr>
          <w:lang w:val="en-NZ"/>
        </w:rPr>
        <w:t xml:space="preserve">receive information from whānau about their concerns and needs </w:t>
      </w:r>
      <w:r w:rsidR="003C643C" w:rsidRPr="002E7B55">
        <w:rPr>
          <w:lang w:val="en-NZ"/>
        </w:rPr>
        <w:t>concerning</w:t>
      </w:r>
      <w:r w:rsidRPr="002E7B55">
        <w:rPr>
          <w:lang w:val="en-NZ"/>
        </w:rPr>
        <w:t xml:space="preserve"> immunisation and other aspects of health.</w:t>
      </w:r>
      <w:r w:rsidR="00EC1527" w:rsidRPr="002E7B55">
        <w:rPr>
          <w:lang w:val="en-NZ"/>
        </w:rPr>
        <w:t xml:space="preserve"> </w:t>
      </w:r>
    </w:p>
    <w:p w14:paraId="1E3A34B0" w14:textId="77777777" w:rsidR="00770B4E" w:rsidRPr="002E7B55" w:rsidRDefault="23D00F57" w:rsidP="00770B4E">
      <w:pPr>
        <w:pStyle w:val="ListParagraph"/>
        <w:rPr>
          <w:lang w:val="en-NZ"/>
        </w:rPr>
      </w:pPr>
      <w:r w:rsidRPr="002E7B55">
        <w:rPr>
          <w:lang w:val="en-NZ"/>
        </w:rPr>
        <w:t xml:space="preserve">With partners in the mainstream health system, providers share information about eligible whānau and immunisations. </w:t>
      </w:r>
    </w:p>
    <w:p w14:paraId="3A03F551" w14:textId="77777777" w:rsidR="00770B4E" w:rsidRPr="002E7B55" w:rsidRDefault="23D00F57" w:rsidP="00770B4E">
      <w:pPr>
        <w:pStyle w:val="ListParagraph"/>
        <w:rPr>
          <w:lang w:val="en-NZ"/>
        </w:rPr>
      </w:pPr>
      <w:r w:rsidRPr="002E7B55">
        <w:rPr>
          <w:lang w:val="en-NZ"/>
        </w:rPr>
        <w:t xml:space="preserve">With the Ministry of Health, providers share information about their immunisation activities and receive information about immunisations in general and specific vaccination programs. </w:t>
      </w:r>
    </w:p>
    <w:p w14:paraId="44E6F2CD" w14:textId="77777777" w:rsidR="00770B4E" w:rsidRPr="002E7B55" w:rsidRDefault="23D00F57" w:rsidP="00770B4E">
      <w:pPr>
        <w:pStyle w:val="ListParagraph"/>
        <w:rPr>
          <w:lang w:val="en-NZ"/>
        </w:rPr>
      </w:pPr>
      <w:r w:rsidRPr="002E7B55">
        <w:rPr>
          <w:lang w:val="en-NZ"/>
        </w:rPr>
        <w:t xml:space="preserve">With other providers, providers want to share information about their innovations and learnings about what is working. </w:t>
      </w:r>
    </w:p>
    <w:p w14:paraId="6AFD7C29" w14:textId="12E1194F" w:rsidR="00770B4E" w:rsidRPr="002E7B55" w:rsidRDefault="003C643C" w:rsidP="00770B4E">
      <w:pPr>
        <w:pStyle w:val="ListParagraph"/>
        <w:rPr>
          <w:lang w:val="en-NZ"/>
        </w:rPr>
      </w:pPr>
      <w:r w:rsidRPr="002E7B55">
        <w:rPr>
          <w:lang w:val="en-NZ"/>
        </w:rPr>
        <w:lastRenderedPageBreak/>
        <w:t>Although they may have occurred through other means, communications from whānau and the community to the Ministry or to mainstream health partners was not a part of MIMVP</w:t>
      </w:r>
      <w:r w:rsidR="23D00F57" w:rsidRPr="002E7B55">
        <w:rPr>
          <w:lang w:val="en-NZ"/>
        </w:rPr>
        <w:t>.</w:t>
      </w:r>
    </w:p>
    <w:p w14:paraId="78CBEA64" w14:textId="15F8EB17" w:rsidR="00B27A60" w:rsidRPr="002E7B55" w:rsidRDefault="00C22D7E" w:rsidP="00B27A60">
      <w:r w:rsidRPr="002E7B55">
        <w:t>Providers compete</w:t>
      </w:r>
      <w:r w:rsidR="00011493" w:rsidRPr="002E7B55">
        <w:t>d</w:t>
      </w:r>
      <w:r w:rsidRPr="002E7B55">
        <w:t xml:space="preserve"> with and </w:t>
      </w:r>
      <w:r w:rsidR="00011493" w:rsidRPr="002E7B55">
        <w:t>had</w:t>
      </w:r>
      <w:r w:rsidRPr="002E7B55">
        <w:t xml:space="preserve"> to counter the noise of informal communications that whānau </w:t>
      </w:r>
      <w:r w:rsidR="001C450F" w:rsidRPr="002E7B55">
        <w:t xml:space="preserve">inevitably </w:t>
      </w:r>
      <w:r w:rsidRPr="002E7B55">
        <w:t xml:space="preserve">receive through friends, social </w:t>
      </w:r>
      <w:proofErr w:type="gramStart"/>
      <w:r w:rsidRPr="002E7B55">
        <w:t>media</w:t>
      </w:r>
      <w:proofErr w:type="gramEnd"/>
      <w:r w:rsidRPr="002E7B55">
        <w:t xml:space="preserve"> and news media. In some circumstances, providers also felt </w:t>
      </w:r>
      <w:r w:rsidR="003C643C" w:rsidRPr="002E7B55">
        <w:t xml:space="preserve">they </w:t>
      </w:r>
      <w:r w:rsidRPr="002E7B55">
        <w:t>compet</w:t>
      </w:r>
      <w:r w:rsidR="003C643C" w:rsidRPr="002E7B55">
        <w:t>ed</w:t>
      </w:r>
      <w:r w:rsidRPr="002E7B55">
        <w:t xml:space="preserve"> with messaging from the Ministry and DHBs. In particular, </w:t>
      </w:r>
      <w:r w:rsidR="00011493" w:rsidRPr="002E7B55">
        <w:t xml:space="preserve">communications about the importance of the </w:t>
      </w:r>
      <w:r w:rsidRPr="002E7B55">
        <w:t xml:space="preserve">flu and MMR </w:t>
      </w:r>
      <w:r w:rsidR="00011493" w:rsidRPr="002E7B55">
        <w:t xml:space="preserve">vaccinations </w:t>
      </w:r>
      <w:r w:rsidR="00867296" w:rsidRPr="002E7B55">
        <w:t>were</w:t>
      </w:r>
      <w:r w:rsidRPr="002E7B55">
        <w:t xml:space="preserve"> </w:t>
      </w:r>
      <w:r w:rsidR="00011493" w:rsidRPr="002E7B55">
        <w:t xml:space="preserve">overwhelmed by </w:t>
      </w:r>
      <w:r w:rsidR="003C643C" w:rsidRPr="002E7B55">
        <w:t xml:space="preserve">the </w:t>
      </w:r>
      <w:r w:rsidR="00011493" w:rsidRPr="002E7B55">
        <w:t xml:space="preserve">urgency of COVID-19 vaccinations. </w:t>
      </w:r>
      <w:r w:rsidR="00B27A60" w:rsidRPr="002E7B55">
        <w:t>When the communications and information that whānau receive is not aligned,</w:t>
      </w:r>
      <w:r w:rsidRPr="002E7B55">
        <w:t xml:space="preserve"> </w:t>
      </w:r>
      <w:r w:rsidR="00011493" w:rsidRPr="002E7B55">
        <w:t xml:space="preserve">providers have additional work and effort to address confusion and encourage whānau to receive vaccinations. </w:t>
      </w:r>
    </w:p>
    <w:p w14:paraId="18CFCA78" w14:textId="05644331" w:rsidR="00B27A60" w:rsidRPr="002E7B55" w:rsidRDefault="00B27A60" w:rsidP="00B27A60">
      <w:r w:rsidRPr="002E7B55">
        <w:rPr>
          <w:noProof/>
        </w:rPr>
        <mc:AlternateContent>
          <mc:Choice Requires="wpg">
            <w:drawing>
              <wp:anchor distT="0" distB="0" distL="114300" distR="114300" simplePos="0" relativeHeight="251665408" behindDoc="0" locked="0" layoutInCell="1" allowOverlap="1" wp14:anchorId="76971F9A" wp14:editId="5717BB21">
                <wp:simplePos x="0" y="0"/>
                <wp:positionH relativeFrom="column">
                  <wp:posOffset>1712794</wp:posOffset>
                </wp:positionH>
                <wp:positionV relativeFrom="paragraph">
                  <wp:posOffset>645615</wp:posOffset>
                </wp:positionV>
                <wp:extent cx="2057336" cy="513980"/>
                <wp:effectExtent l="0" t="38100" r="19685" b="38735"/>
                <wp:wrapNone/>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57336" cy="513980"/>
                          <a:chOff x="0" y="0"/>
                          <a:chExt cx="2057336" cy="513980"/>
                        </a:xfrm>
                      </wpg:grpSpPr>
                      <wps:wsp>
                        <wps:cNvPr id="25" name="Straight Arrow Connector 25"/>
                        <wps:cNvCnPr/>
                        <wps:spPr>
                          <a:xfrm flipV="1">
                            <a:off x="0" y="13648"/>
                            <a:ext cx="569344" cy="500332"/>
                          </a:xfrm>
                          <a:prstGeom prst="straightConnector1">
                            <a:avLst/>
                          </a:prstGeom>
                          <a:ln w="12700">
                            <a:headEnd type="none"/>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491587" y="0"/>
                            <a:ext cx="565749" cy="488111"/>
                          </a:xfrm>
                          <a:prstGeom prst="straightConnector1">
                            <a:avLst/>
                          </a:prstGeom>
                          <a:ln w="12700">
                            <a:headEnd type="triangle"/>
                            <a:tailEnd type="non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9FCF" id="Group 24" o:spid="_x0000_s1026" alt="&quot;&quot;" style="position:absolute;margin-left:134.85pt;margin-top:50.85pt;width:162pt;height:40.45pt;z-index:251665408" coordsize="2057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">
                <v:shapetype id="_x0000_t32" coordsize="21600,21600" o:spt="32" o:oned="t" path="m,l21600,21600e" filled="f">
                  <v:path arrowok="t" fillok="f" o:connecttype="none"/>
                  <o:lock v:ext="edit" shapetype="t"/>
                </v:shapetype>
                <v:shape id="Straight Arrow Connector 25" o:spid="_x0000_s1027" type="#_x0000_t32" style="position:absolute;top:136;width:5693;height:5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" strokecolor="black [3200]" strokeweight="1pt">
                  <v:stroke endarrow="block" joinstyle="miter"/>
                </v:shape>
                <v:shape id="Straight Arrow Connector 26" o:spid="_x0000_s1028" type="#_x0000_t32" style="position:absolute;left:14915;width:5658;height:4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" strokecolor="black [3200]" strokeweight="1pt">
                  <v:stroke startarrow="block" joinstyle="miter"/>
                </v:shape>
              </v:group>
            </w:pict>
          </mc:Fallback>
        </mc:AlternateContent>
      </w:r>
      <w:r w:rsidR="00535F87" w:rsidRPr="002E7B55">
        <w:rPr>
          <w:noProof/>
        </w:rPr>
        <w:drawing>
          <wp:inline distT="0" distB="0" distL="0" distR="0" wp14:anchorId="365C01E8" wp14:editId="1FEFA882">
            <wp:extent cx="5492750" cy="3206750"/>
            <wp:effectExtent l="0" t="0" r="0" b="0"/>
            <wp:docPr id="12" name="Picture 12" descr="Visual depiction of the communications landscape. Māori Health Providers are at the centre. Above are Whānau &amp; Community, connected with two-way arrow. To the left is the Ministry of Health, connected with two-way arrow. To the right are Mainstream health partners, connected with two-way arrow. Below are Other Māori providers, connected with two-way arrow. Whānau &amp; Community are connected to Ministry of Health and Mainstream health partners with a one-way arrow to Whānau &amp;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depiction of the communications landscape. Māori Health Providers are at the centre. Above are Whānau &amp; Community, connected with two-way arrow. To the left is the Ministry of Health, connected with two-way arrow. To the right are Mainstream health partners, connected with two-way arrow. Below are Other Māori providers, connected with two-way arrow. Whānau &amp; Community are connected to Ministry of Health and Mainstream health partners with a one-way arrow to Whānau &amp; Communit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pic:spPr>
                </pic:pic>
              </a:graphicData>
            </a:graphic>
          </wp:inline>
        </w:drawing>
      </w:r>
    </w:p>
    <w:p w14:paraId="621C5385" w14:textId="15D2881B" w:rsidR="003D76E9" w:rsidRPr="002E7B55" w:rsidRDefault="003D76E9" w:rsidP="003D76E9">
      <w:pPr>
        <w:pStyle w:val="Caption"/>
      </w:pPr>
      <w:bookmarkStart w:id="43" w:name="_Toc95741431"/>
      <w:bookmarkStart w:id="44" w:name="_Toc96341696"/>
      <w:r w:rsidRPr="002E7B55">
        <w:t xml:space="preserve">Figure </w:t>
      </w:r>
      <w:r w:rsidRPr="002E7B55">
        <w:fldChar w:fldCharType="begin"/>
      </w:r>
      <w:r w:rsidRPr="002E7B55">
        <w:instrText xml:space="preserve"> SEQ Figure \* ARABIC </w:instrText>
      </w:r>
      <w:r w:rsidRPr="002E7B55">
        <w:fldChar w:fldCharType="separate"/>
      </w:r>
      <w:r w:rsidR="004A3284" w:rsidRPr="002E7B55">
        <w:t>17</w:t>
      </w:r>
      <w:r w:rsidRPr="002E7B55">
        <w:fldChar w:fldCharType="end"/>
      </w:r>
      <w:r w:rsidRPr="002E7B55">
        <w:t>: Visual depiction of the communications landscape of Māori Health Providers</w:t>
      </w:r>
      <w:bookmarkEnd w:id="43"/>
      <w:bookmarkEnd w:id="44"/>
    </w:p>
    <w:p w14:paraId="19911AFF" w14:textId="59EC7106" w:rsidR="00770B4E" w:rsidRPr="002E7B55" w:rsidRDefault="00770B4E" w:rsidP="00770B4E">
      <w:pPr>
        <w:pStyle w:val="Heading2"/>
      </w:pPr>
      <w:r w:rsidRPr="002E7B55">
        <w:t>Effective communications with whānau and the community weave multiple channels and messages</w:t>
      </w:r>
    </w:p>
    <w:p w14:paraId="6EC563E7" w14:textId="3F660E8B" w:rsidR="00770B4E" w:rsidRPr="002E7B55" w:rsidRDefault="00770B4E" w:rsidP="00770B4E">
      <w:r w:rsidRPr="002E7B55">
        <w:t>Providers continued to use the successful strategies and actions identified in MIVP 2020 as a core ten</w:t>
      </w:r>
      <w:r w:rsidR="001C450F" w:rsidRPr="002E7B55">
        <w:t>e</w:t>
      </w:r>
      <w:r w:rsidRPr="002E7B55">
        <w:t xml:space="preserve">t of working in a whānau-centred way. They used multiple methods and channels to </w:t>
      </w:r>
      <w:r w:rsidR="001C450F" w:rsidRPr="002E7B55">
        <w:t>reach</w:t>
      </w:r>
      <w:r w:rsidRPr="002E7B55">
        <w:t xml:space="preserve"> and engage whānau, combining technology</w:t>
      </w:r>
      <w:r w:rsidR="001C450F" w:rsidRPr="002E7B55">
        <w:t>-based methods</w:t>
      </w:r>
      <w:r w:rsidRPr="002E7B55">
        <w:t xml:space="preserve"> and the </w:t>
      </w:r>
      <w:r w:rsidR="001C450F" w:rsidRPr="002E7B55">
        <w:t>“</w:t>
      </w:r>
      <w:r w:rsidRPr="002E7B55">
        <w:t>kumara vine</w:t>
      </w:r>
      <w:r w:rsidR="001C450F" w:rsidRPr="002E7B55">
        <w:t>”</w:t>
      </w:r>
      <w:r w:rsidRPr="002E7B55">
        <w:t xml:space="preserve">. They tailored their messages to the needs of their community and used multiple approaches to ensure their messages reached Māori. </w:t>
      </w:r>
    </w:p>
    <w:p w14:paraId="49E2B94F" w14:textId="04F3D9F6" w:rsidR="00077739" w:rsidRPr="002E7B55" w:rsidRDefault="00077739" w:rsidP="00770B4E">
      <w:r w:rsidRPr="002E7B55">
        <w:t xml:space="preserve">Many of these effective communications channels require strong and trusted relationships, especially between providers and whānau and between providers and their local DHB or </w:t>
      </w:r>
      <w:r w:rsidR="00082D4A" w:rsidRPr="002E7B55">
        <w:t>primary health organisation(s) (</w:t>
      </w:r>
      <w:r w:rsidRPr="002E7B55">
        <w:t>PHO</w:t>
      </w:r>
      <w:r w:rsidR="00082D4A" w:rsidRPr="002E7B55">
        <w:t>s)</w:t>
      </w:r>
      <w:r w:rsidRPr="002E7B55">
        <w:t xml:space="preserve">. Providers are a connecting glue between the community and the clinical system. </w:t>
      </w:r>
    </w:p>
    <w:p w14:paraId="53ED4339" w14:textId="5B29FA8D" w:rsidR="00077739" w:rsidRPr="002E7B55" w:rsidRDefault="00077739" w:rsidP="00770B4E">
      <w:r w:rsidRPr="002E7B55">
        <w:t xml:space="preserve">Trusted relationships are built and maintained over time. They are </w:t>
      </w:r>
      <w:r w:rsidR="000E36D8" w:rsidRPr="002E7B55">
        <w:t>nurtured</w:t>
      </w:r>
      <w:r w:rsidRPr="002E7B55">
        <w:t xml:space="preserve"> through </w:t>
      </w:r>
      <w:r w:rsidR="000E36D8" w:rsidRPr="002E7B55">
        <w:t xml:space="preserve">kanohi </w:t>
      </w:r>
      <w:proofErr w:type="spellStart"/>
      <w:r w:rsidR="000E36D8" w:rsidRPr="002E7B55">
        <w:t>ki</w:t>
      </w:r>
      <w:proofErr w:type="spellEnd"/>
      <w:r w:rsidR="000E36D8" w:rsidRPr="002E7B55">
        <w:t xml:space="preserve"> </w:t>
      </w:r>
      <w:proofErr w:type="spellStart"/>
      <w:r w:rsidR="000E36D8" w:rsidRPr="002E7B55">
        <w:t>te</w:t>
      </w:r>
      <w:proofErr w:type="spellEnd"/>
      <w:r w:rsidR="000E36D8" w:rsidRPr="002E7B55">
        <w:t xml:space="preserve"> kanohi (face</w:t>
      </w:r>
      <w:r w:rsidR="001C450F" w:rsidRPr="002E7B55">
        <w:t>-</w:t>
      </w:r>
      <w:r w:rsidR="000E36D8" w:rsidRPr="002E7B55">
        <w:t>to</w:t>
      </w:r>
      <w:r w:rsidR="001C450F" w:rsidRPr="002E7B55">
        <w:t>-</w:t>
      </w:r>
      <w:r w:rsidR="000E36D8" w:rsidRPr="002E7B55">
        <w:t xml:space="preserve">face) engagement, </w:t>
      </w:r>
      <w:r w:rsidRPr="002E7B55">
        <w:t>regular conversations</w:t>
      </w:r>
      <w:r w:rsidR="000E36D8" w:rsidRPr="002E7B55">
        <w:t xml:space="preserve"> (</w:t>
      </w:r>
      <w:r w:rsidRPr="002E7B55">
        <w:t>both formal and informal</w:t>
      </w:r>
      <w:r w:rsidR="000E36D8" w:rsidRPr="002E7B55">
        <w:t>),</w:t>
      </w:r>
      <w:r w:rsidRPr="002E7B55">
        <w:t xml:space="preserve"> and </w:t>
      </w:r>
      <w:r w:rsidR="001C450F" w:rsidRPr="002E7B55">
        <w:t xml:space="preserve">by </w:t>
      </w:r>
      <w:r w:rsidR="000E36D8" w:rsidRPr="002E7B55">
        <w:t xml:space="preserve">parties </w:t>
      </w:r>
      <w:r w:rsidR="001C450F" w:rsidRPr="002E7B55">
        <w:t xml:space="preserve">being </w:t>
      </w:r>
      <w:r w:rsidR="000E36D8" w:rsidRPr="002E7B55">
        <w:t xml:space="preserve">tika (correct) and </w:t>
      </w:r>
      <w:proofErr w:type="spellStart"/>
      <w:r w:rsidR="000E36D8" w:rsidRPr="002E7B55">
        <w:t>pono</w:t>
      </w:r>
      <w:proofErr w:type="spellEnd"/>
      <w:r w:rsidR="000E36D8" w:rsidRPr="002E7B55">
        <w:t xml:space="preserve"> (with integrity) about what they do and </w:t>
      </w:r>
      <w:proofErr w:type="gramStart"/>
      <w:r w:rsidR="000E36D8" w:rsidRPr="002E7B55">
        <w:t>say</w:t>
      </w:r>
      <w:proofErr w:type="gramEnd"/>
      <w:r w:rsidRPr="002E7B55">
        <w:t xml:space="preserve">. </w:t>
      </w:r>
    </w:p>
    <w:p w14:paraId="76BA88D4" w14:textId="77777777" w:rsidR="00047E13" w:rsidRDefault="00047E13">
      <w:pPr>
        <w:spacing w:before="0" w:after="160" w:line="259" w:lineRule="auto"/>
        <w:rPr>
          <w:rFonts w:asciiTheme="majorHAnsi" w:eastAsiaTheme="majorEastAsia" w:hAnsiTheme="majorHAnsi" w:cstheme="majorBidi"/>
          <w:b/>
          <w:bCs/>
          <w:color w:val="197278" w:themeColor="accent1"/>
        </w:rPr>
      </w:pPr>
      <w:r>
        <w:br w:type="page"/>
      </w:r>
    </w:p>
    <w:p w14:paraId="259688C2" w14:textId="680DDBEA" w:rsidR="00770B4E" w:rsidRPr="002E7B55" w:rsidRDefault="00770B4E" w:rsidP="0041391C">
      <w:pPr>
        <w:pStyle w:val="Heading3"/>
      </w:pPr>
      <w:r w:rsidRPr="002E7B55">
        <w:lastRenderedPageBreak/>
        <w:t xml:space="preserve">Providers combined a variety of channels, places, times to find and engage Māori </w:t>
      </w:r>
    </w:p>
    <w:p w14:paraId="1B094D6D" w14:textId="415E56AE" w:rsidR="00770B4E" w:rsidRPr="002E7B55" w:rsidRDefault="00770B4E" w:rsidP="00770B4E">
      <w:r w:rsidRPr="002E7B55">
        <w:t xml:space="preserve">Providers used a variety of channels to find and talk to unvaccinated Māori, </w:t>
      </w:r>
      <w:r w:rsidR="001C450F" w:rsidRPr="002E7B55">
        <w:t>from</w:t>
      </w:r>
      <w:r w:rsidRPr="002E7B55">
        <w:t xml:space="preserve"> </w:t>
      </w:r>
      <w:r w:rsidR="001C450F" w:rsidRPr="002E7B55">
        <w:t>direct referrals or using</w:t>
      </w:r>
      <w:r w:rsidRPr="002E7B55">
        <w:t xml:space="preserve"> a database</w:t>
      </w:r>
      <w:r w:rsidR="001C450F" w:rsidRPr="002E7B55">
        <w:t xml:space="preserve"> to </w:t>
      </w:r>
      <w:r w:rsidRPr="002E7B55">
        <w:t xml:space="preserve">social media, word of mouth, community champions, being present in the community or at </w:t>
      </w:r>
      <w:r w:rsidR="003C643C" w:rsidRPr="002E7B55">
        <w:t xml:space="preserve">the </w:t>
      </w:r>
      <w:r w:rsidRPr="002E7B55">
        <w:t xml:space="preserve">local marae, </w:t>
      </w:r>
      <w:r w:rsidR="001C450F" w:rsidRPr="002E7B55">
        <w:t xml:space="preserve">and </w:t>
      </w:r>
      <w:r w:rsidRPr="002E7B55">
        <w:t xml:space="preserve">mass text messages. </w:t>
      </w:r>
    </w:p>
    <w:p w14:paraId="4EEC04FF" w14:textId="787CE262" w:rsidR="00770B4E" w:rsidRPr="002E7B55" w:rsidRDefault="00770B4E" w:rsidP="00770B4E">
      <w:r w:rsidRPr="002E7B55">
        <w:t>All providers used, on average, six different ways of contacting Māori about flu and MMR vaccinations this year</w:t>
      </w:r>
      <w:r w:rsidR="0077749E" w:rsidRPr="002E7B55">
        <w:rPr>
          <w:rStyle w:val="EndnoteReference"/>
        </w:rPr>
        <w:endnoteReference w:id="43"/>
      </w:r>
      <w:r w:rsidR="0077749E" w:rsidRPr="002E7B55">
        <w:t>. Direct</w:t>
      </w:r>
      <w:r w:rsidR="00B17C4D" w:rsidRPr="002E7B55">
        <w:t>-funded</w:t>
      </w:r>
      <w:r w:rsidRPr="002E7B55">
        <w:t xml:space="preserve"> providers used seven different ways to contact Māori whānau, whereas </w:t>
      </w:r>
      <w:r w:rsidR="00B17C4D" w:rsidRPr="002E7B55">
        <w:t>DHB-funded</w:t>
      </w:r>
      <w:r w:rsidRPr="002E7B55">
        <w:t xml:space="preserve"> providers used six. The most frequently mentioned ways of reaching </w:t>
      </w:r>
      <w:r w:rsidR="0096399B" w:rsidRPr="002E7B55">
        <w:t>whānau</w:t>
      </w:r>
      <w:r w:rsidRPr="002E7B55">
        <w:t xml:space="preserve"> </w:t>
      </w:r>
      <w:proofErr w:type="gramStart"/>
      <w:r w:rsidRPr="002E7B55">
        <w:t>were</w:t>
      </w:r>
      <w:r w:rsidR="001C450F" w:rsidRPr="002E7B55">
        <w:t>:</w:t>
      </w:r>
      <w:proofErr w:type="gramEnd"/>
      <w:r w:rsidRPr="002E7B55">
        <w:t xml:space="preserve"> direct communication by </w:t>
      </w:r>
      <w:r w:rsidR="002C2994" w:rsidRPr="002E7B55">
        <w:t>phone, social media posts and just having a presence in the community</w:t>
      </w:r>
      <w:r w:rsidR="0077749E" w:rsidRPr="002E7B55">
        <w:rPr>
          <w:rStyle w:val="EndnoteReference"/>
        </w:rPr>
        <w:endnoteReference w:id="44"/>
      </w:r>
      <w:r w:rsidR="0077749E" w:rsidRPr="002E7B55">
        <w:t xml:space="preserve">. </w:t>
      </w:r>
      <w:r w:rsidRPr="002E7B55">
        <w:t xml:space="preserve">Providers </w:t>
      </w:r>
      <w:r w:rsidR="001C450F" w:rsidRPr="002E7B55">
        <w:t xml:space="preserve">also </w:t>
      </w:r>
      <w:r w:rsidRPr="002E7B55">
        <w:t>mentioned using networks such as trusted Māori contacts, schools</w:t>
      </w:r>
      <w:r w:rsidR="003C643C" w:rsidRPr="002E7B55">
        <w:t>,</w:t>
      </w:r>
      <w:r w:rsidRPr="002E7B55">
        <w:t xml:space="preserve"> workplaces and sports groups, and </w:t>
      </w:r>
      <w:r w:rsidR="002C2994" w:rsidRPr="002E7B55">
        <w:t>home visits</w:t>
      </w:r>
      <w:r w:rsidR="0077749E" w:rsidRPr="002E7B55">
        <w:rPr>
          <w:rStyle w:val="EndnoteReference"/>
        </w:rPr>
        <w:endnoteReference w:id="45"/>
      </w:r>
      <w:r w:rsidR="0077749E" w:rsidRPr="002E7B55">
        <w:t xml:space="preserve">. </w:t>
      </w:r>
      <w:r w:rsidRPr="002E7B55">
        <w:t xml:space="preserve">Finally, social media </w:t>
      </w:r>
      <w:r w:rsidR="002C2994" w:rsidRPr="002E7B55">
        <w:t xml:space="preserve">ads, messages through newsletters, direct communication by email </w:t>
      </w:r>
      <w:r w:rsidRPr="002E7B55">
        <w:t xml:space="preserve">and </w:t>
      </w:r>
      <w:r w:rsidR="002C2994" w:rsidRPr="002E7B55">
        <w:t xml:space="preserve">ads on </w:t>
      </w:r>
      <w:r w:rsidRPr="002E7B55">
        <w:t xml:space="preserve">other media were </w:t>
      </w:r>
      <w:r w:rsidR="002C2994" w:rsidRPr="002E7B55">
        <w:t>other</w:t>
      </w:r>
      <w:r w:rsidRPr="002E7B55">
        <w:t xml:space="preserve"> way</w:t>
      </w:r>
      <w:r w:rsidR="002C2994" w:rsidRPr="002E7B55">
        <w:t>s</w:t>
      </w:r>
      <w:r w:rsidRPr="002E7B55">
        <w:t xml:space="preserve"> of reaching Māori mentioned by providers</w:t>
      </w:r>
      <w:r w:rsidR="0077749E" w:rsidRPr="002E7B55">
        <w:t>.</w:t>
      </w:r>
      <w:r w:rsidR="0077749E" w:rsidRPr="002E7B55">
        <w:rPr>
          <w:rStyle w:val="EndnoteReference"/>
        </w:rPr>
        <w:endnoteReference w:id="46"/>
      </w:r>
    </w:p>
    <w:p w14:paraId="5E813B5B" w14:textId="115E0D9C" w:rsidR="00E66393" w:rsidRPr="002E7B55" w:rsidRDefault="009C7B4C" w:rsidP="00770B4E">
      <w:r w:rsidRPr="002E7B55">
        <w:rPr>
          <w:noProof/>
        </w:rPr>
        <w:drawing>
          <wp:inline distT="0" distB="0" distL="0" distR="0" wp14:anchorId="156FFF91" wp14:editId="67CDF4EE">
            <wp:extent cx="6096635" cy="3426460"/>
            <wp:effectExtent l="0" t="0" r="0" b="0"/>
            <wp:docPr id="17" name="Picture 17" descr="Graph of communications channels used to contact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of communications channels used to contact Māori.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6460"/>
                    </a:xfrm>
                    <a:prstGeom prst="rect">
                      <a:avLst/>
                    </a:prstGeom>
                    <a:noFill/>
                  </pic:spPr>
                </pic:pic>
              </a:graphicData>
            </a:graphic>
          </wp:inline>
        </w:drawing>
      </w:r>
    </w:p>
    <w:p w14:paraId="48BC1819" w14:textId="6C5055F7" w:rsidR="00E66393" w:rsidRPr="002E7B55" w:rsidRDefault="00E66393" w:rsidP="00235ED6">
      <w:pPr>
        <w:pStyle w:val="Caption"/>
      </w:pPr>
      <w:bookmarkStart w:id="45" w:name="_Toc95741432"/>
      <w:bookmarkStart w:id="46" w:name="_Toc96341697"/>
      <w:r w:rsidRPr="002E7B55">
        <w:t xml:space="preserve">Figure </w:t>
      </w:r>
      <w:r w:rsidRPr="002E7B55">
        <w:rPr>
          <w:i w:val="0"/>
          <w:iCs w:val="0"/>
        </w:rPr>
        <w:fldChar w:fldCharType="begin"/>
      </w:r>
      <w:r w:rsidRPr="002E7B55">
        <w:instrText xml:space="preserve"> SEQ Figure \* ARABIC </w:instrText>
      </w:r>
      <w:r w:rsidRPr="002E7B55">
        <w:rPr>
          <w:i w:val="0"/>
          <w:iCs w:val="0"/>
        </w:rPr>
        <w:fldChar w:fldCharType="separate"/>
      </w:r>
      <w:r w:rsidR="004A3284" w:rsidRPr="002E7B55">
        <w:t>18</w:t>
      </w:r>
      <w:r w:rsidRPr="002E7B55">
        <w:rPr>
          <w:i w:val="0"/>
          <w:iCs w:val="0"/>
        </w:rPr>
        <w:fldChar w:fldCharType="end"/>
      </w:r>
      <w:r w:rsidRPr="002E7B55">
        <w:t>: Communication channels providers indicated they used to contact Māori</w:t>
      </w:r>
      <w:r w:rsidR="0077749E" w:rsidRPr="002E7B55">
        <w:rPr>
          <w:rStyle w:val="EndnoteReference"/>
        </w:rPr>
        <w:endnoteReference w:id="47"/>
      </w:r>
      <w:bookmarkEnd w:id="45"/>
      <w:bookmarkEnd w:id="46"/>
    </w:p>
    <w:p w14:paraId="4F887F88" w14:textId="064261B6" w:rsidR="00770B4E" w:rsidRPr="002E7B55" w:rsidRDefault="00770B4E" w:rsidP="00770B4E">
      <w:r w:rsidRPr="002E7B55">
        <w:t>Māori providers used</w:t>
      </w:r>
      <w:r w:rsidR="003C643C" w:rsidRPr="002E7B55">
        <w:t>,</w:t>
      </w:r>
      <w:r w:rsidRPr="002E7B55">
        <w:t xml:space="preserve"> on average</w:t>
      </w:r>
      <w:r w:rsidR="003C643C" w:rsidRPr="002E7B55">
        <w:t>,</w:t>
      </w:r>
      <w:r w:rsidRPr="002E7B55">
        <w:t xml:space="preserve"> four approaches to find Māori who hadn't had the flu vaccine</w:t>
      </w:r>
      <w:r w:rsidR="0077749E" w:rsidRPr="002E7B55">
        <w:rPr>
          <w:rStyle w:val="EndnoteReference"/>
        </w:rPr>
        <w:endnoteReference w:id="48"/>
      </w:r>
      <w:r w:rsidR="005D28BF" w:rsidRPr="002E7B55">
        <w:t>.</w:t>
      </w:r>
      <w:r w:rsidRPr="002E7B55">
        <w:t xml:space="preserve"> D</w:t>
      </w:r>
      <w:r w:rsidR="00B17C4D" w:rsidRPr="002E7B55">
        <w:t>irect-funded</w:t>
      </w:r>
      <w:r w:rsidRPr="002E7B55">
        <w:t xml:space="preserve"> providers tended to use one more method than </w:t>
      </w:r>
      <w:r w:rsidR="00B17C4D" w:rsidRPr="002E7B55">
        <w:t>DHB-funded</w:t>
      </w:r>
      <w:r w:rsidRPr="002E7B55">
        <w:t xml:space="preserve"> providers, with more using general word of mouth and working with iwi, hapū, marae and Māori organisations</w:t>
      </w:r>
      <w:r w:rsidR="007206AF" w:rsidRPr="002E7B55">
        <w:t>.</w:t>
      </w:r>
      <w:r w:rsidRPr="002E7B55">
        <w:t xml:space="preserve"> </w:t>
      </w:r>
    </w:p>
    <w:p w14:paraId="42915687" w14:textId="71D85987" w:rsidR="00770B4E" w:rsidRPr="002E7B55" w:rsidRDefault="00770B4E" w:rsidP="00770B4E">
      <w:r w:rsidRPr="002E7B55">
        <w:t xml:space="preserve">Many providers use social media to reach whānau and their community. Some commented on the success of using social media in 2021 </w:t>
      </w:r>
      <w:r w:rsidR="003C643C" w:rsidRPr="002E7B55">
        <w:t>and planned its</w:t>
      </w:r>
      <w:r w:rsidRPr="002E7B55">
        <w:t xml:space="preserve"> continue</w:t>
      </w:r>
      <w:r w:rsidR="003C643C" w:rsidRPr="002E7B55">
        <w:t>d</w:t>
      </w:r>
      <w:r w:rsidRPr="002E7B55">
        <w:t xml:space="preserve"> use in the future</w:t>
      </w:r>
      <w:r w:rsidR="003C643C" w:rsidRPr="002E7B55">
        <w:t>,</w:t>
      </w:r>
      <w:r w:rsidRPr="002E7B55">
        <w:t xml:space="preserve"> with sufficient funding. </w:t>
      </w:r>
    </w:p>
    <w:p w14:paraId="5CB155E1" w14:textId="06D35D9F" w:rsidR="00770B4E" w:rsidRPr="002E7B55" w:rsidRDefault="00770B4E" w:rsidP="00770B4E">
      <w:pPr>
        <w:pStyle w:val="Quote"/>
        <w:rPr>
          <w:lang w:val="en-NZ"/>
        </w:rPr>
      </w:pPr>
      <w:r w:rsidRPr="002E7B55">
        <w:rPr>
          <w:lang w:val="en-NZ"/>
        </w:rPr>
        <w:t>“The funding helped with social media campaigns and advertising – this was something new we have been doing and has worked well</w:t>
      </w:r>
      <w:r w:rsidR="001C450F" w:rsidRPr="002E7B55">
        <w:rPr>
          <w:lang w:val="en-NZ"/>
        </w:rPr>
        <w:t>.</w:t>
      </w:r>
      <w:r w:rsidRPr="002E7B55">
        <w:rPr>
          <w:lang w:val="en-NZ"/>
        </w:rPr>
        <w:t>”</w:t>
      </w:r>
      <w:r w:rsidR="00B00E81" w:rsidRPr="002E7B55">
        <w:rPr>
          <w:lang w:val="en-NZ"/>
        </w:rPr>
        <w:t xml:space="preserve"> (Provider)</w:t>
      </w:r>
    </w:p>
    <w:p w14:paraId="071D278A" w14:textId="77777777" w:rsidR="00047E13" w:rsidRDefault="00047E13" w:rsidP="00770B4E">
      <w:bookmarkStart w:id="47" w:name="_Hlk93931034"/>
    </w:p>
    <w:p w14:paraId="1A96F221" w14:textId="6D2031A3" w:rsidR="00770B4E" w:rsidRPr="002E7B55" w:rsidRDefault="00770B4E" w:rsidP="00770B4E">
      <w:r w:rsidRPr="002E7B55">
        <w:t xml:space="preserve">New in 2021, some providers spoke of the importance of </w:t>
      </w:r>
      <w:r w:rsidR="001C450F" w:rsidRPr="002E7B55">
        <w:t>“</w:t>
      </w:r>
      <w:r w:rsidRPr="002E7B55">
        <w:t>opportunistic</w:t>
      </w:r>
      <w:r w:rsidR="001C450F" w:rsidRPr="002E7B55">
        <w:t>”</w:t>
      </w:r>
      <w:r w:rsidRPr="002E7B55">
        <w:t xml:space="preserve"> communications. </w:t>
      </w:r>
      <w:r w:rsidR="003C643C" w:rsidRPr="002E7B55">
        <w:t xml:space="preserve">For example, they </w:t>
      </w:r>
      <w:r w:rsidRPr="002E7B55">
        <w:t xml:space="preserve">used educational activities or booking conversations about COVID-19 vaccinations to </w:t>
      </w:r>
      <w:r w:rsidR="003C643C" w:rsidRPr="002E7B55">
        <w:t xml:space="preserve">generally discuss immunisation, </w:t>
      </w:r>
      <w:r w:rsidRPr="002E7B55">
        <w:t xml:space="preserve">offer or administer a flu vaccination, or screen for the MMR vaccination. </w:t>
      </w:r>
      <w:bookmarkEnd w:id="47"/>
    </w:p>
    <w:p w14:paraId="2BD38DF8" w14:textId="30EB029C" w:rsidR="00770B4E" w:rsidRPr="002E7B55" w:rsidRDefault="005D28BF" w:rsidP="00770B4E">
      <w:pPr>
        <w:pStyle w:val="Quote"/>
        <w:rPr>
          <w:lang w:val="en-NZ"/>
        </w:rPr>
      </w:pPr>
      <w:r w:rsidRPr="002E7B55">
        <w:rPr>
          <w:lang w:val="en-NZ"/>
        </w:rPr>
        <w:lastRenderedPageBreak/>
        <w:t>“</w:t>
      </w:r>
      <w:r w:rsidR="23D00F57" w:rsidRPr="002E7B55">
        <w:rPr>
          <w:lang w:val="en-NZ"/>
        </w:rPr>
        <w:t>While we are doing the booking for the COVID</w:t>
      </w:r>
      <w:r w:rsidR="00762096" w:rsidRPr="002E7B55">
        <w:rPr>
          <w:lang w:val="en-NZ"/>
        </w:rPr>
        <w:t>-19</w:t>
      </w:r>
      <w:r w:rsidR="23D00F57" w:rsidRPr="002E7B55">
        <w:rPr>
          <w:lang w:val="en-NZ"/>
        </w:rPr>
        <w:t xml:space="preserve"> vaccinations we have been utilising this contact to talk about other vaccinations and talking to other whānau members while we have them on the phone. Also during our visits we are able to schedule other members of the whānau at home at the same time to educate.</w:t>
      </w:r>
      <w:r w:rsidRPr="002E7B55">
        <w:rPr>
          <w:lang w:val="en-NZ"/>
        </w:rPr>
        <w:t>”</w:t>
      </w:r>
      <w:r w:rsidR="00B00E81" w:rsidRPr="002E7B55">
        <w:rPr>
          <w:lang w:val="en-NZ"/>
        </w:rPr>
        <w:t xml:space="preserve"> (Provider)</w:t>
      </w:r>
    </w:p>
    <w:p w14:paraId="3DE63446" w14:textId="77777777" w:rsidR="00BB3A0E" w:rsidRPr="002E7B55" w:rsidRDefault="00BB3A0E" w:rsidP="00BB3A0E">
      <w:pPr>
        <w:pStyle w:val="Quotebreak"/>
        <w:rPr>
          <w:lang w:val="en-NZ"/>
        </w:rPr>
      </w:pPr>
    </w:p>
    <w:p w14:paraId="60FC4BDD" w14:textId="39236628" w:rsidR="23D00F57" w:rsidRPr="002E7B55" w:rsidRDefault="23D00F57" w:rsidP="23D00F57">
      <w:pPr>
        <w:pStyle w:val="Quote"/>
        <w:rPr>
          <w:szCs w:val="20"/>
          <w:lang w:val="en-NZ"/>
        </w:rPr>
      </w:pPr>
      <w:r w:rsidRPr="002E7B55">
        <w:rPr>
          <w:lang w:val="en-NZ"/>
        </w:rPr>
        <w:t>“Delivering COVID-19 information sessions throughout our community has provided an opportunity to provide flu vaccines to those present and still waiting for their COVID-19 [vaccinations]</w:t>
      </w:r>
      <w:r w:rsidR="001C450F" w:rsidRPr="002E7B55">
        <w:rPr>
          <w:lang w:val="en-NZ"/>
        </w:rPr>
        <w:t>;</w:t>
      </w:r>
      <w:r w:rsidRPr="002E7B55">
        <w:rPr>
          <w:lang w:val="en-NZ"/>
        </w:rPr>
        <w:t xml:space="preserve"> this has worked well in some cases. Attending other community events like Regional Kapa Haka competition proved successful.” (Provider)</w:t>
      </w:r>
    </w:p>
    <w:p w14:paraId="1F700D50" w14:textId="77777777" w:rsidR="00047E13" w:rsidRDefault="00047E13" w:rsidP="00BB3A0E"/>
    <w:p w14:paraId="48F3B94D" w14:textId="04828D36" w:rsidR="00770B4E" w:rsidRPr="002E7B55" w:rsidRDefault="00770B4E" w:rsidP="00BB3A0E">
      <w:r w:rsidRPr="002E7B55">
        <w:t xml:space="preserve">Providers indicated </w:t>
      </w:r>
      <w:r w:rsidR="003C643C" w:rsidRPr="002E7B55">
        <w:t>several</w:t>
      </w:r>
      <w:r w:rsidRPr="002E7B55">
        <w:t xml:space="preserve"> communication channels were most effective</w:t>
      </w:r>
      <w:r w:rsidR="00E66393" w:rsidRPr="002E7B55">
        <w:t xml:space="preserve">. </w:t>
      </w:r>
      <w:r w:rsidRPr="002E7B55">
        <w:t xml:space="preserve">This variety </w:t>
      </w:r>
      <w:r w:rsidR="003C643C" w:rsidRPr="002E7B55">
        <w:t xml:space="preserve">suggests </w:t>
      </w:r>
      <w:r w:rsidRPr="002E7B55">
        <w:t xml:space="preserve">that a combination of communications channels is required. No one communication channel will work for all. Instead, </w:t>
      </w:r>
      <w:r w:rsidR="001C450F" w:rsidRPr="002E7B55">
        <w:t>using a mix of channels and messaging</w:t>
      </w:r>
      <w:r w:rsidRPr="002E7B55">
        <w:t xml:space="preserve"> is needed to ensure reach and coverage across the Māori community.</w:t>
      </w:r>
    </w:p>
    <w:p w14:paraId="71F5FDE2" w14:textId="59E00F84" w:rsidR="00535F87" w:rsidRPr="002E7B55" w:rsidRDefault="00535F87" w:rsidP="00770B4E">
      <w:pPr>
        <w:pStyle w:val="Chart-full-width"/>
        <w:rPr>
          <w:noProof w:val="0"/>
        </w:rPr>
      </w:pPr>
      <w:r w:rsidRPr="002E7B55">
        <w:drawing>
          <wp:inline distT="0" distB="0" distL="0" distR="0" wp14:anchorId="142CA21B" wp14:editId="1AC69DCB">
            <wp:extent cx="6096635" cy="2847340"/>
            <wp:effectExtent l="0" t="0" r="0" b="0"/>
            <wp:docPr id="13" name="Picture 13" descr="Graph of communications channels used to find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communications channels used to find Māori.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2847340"/>
                    </a:xfrm>
                    <a:prstGeom prst="rect">
                      <a:avLst/>
                    </a:prstGeom>
                    <a:noFill/>
                  </pic:spPr>
                </pic:pic>
              </a:graphicData>
            </a:graphic>
          </wp:inline>
        </w:drawing>
      </w:r>
    </w:p>
    <w:p w14:paraId="1CF6ED17" w14:textId="6B29345E" w:rsidR="003D76E9" w:rsidRPr="002E7B55" w:rsidRDefault="003D76E9" w:rsidP="003D76E9">
      <w:pPr>
        <w:pStyle w:val="Caption"/>
      </w:pPr>
      <w:bookmarkStart w:id="48" w:name="_Toc95741433"/>
      <w:bookmarkStart w:id="49" w:name="_Toc96341698"/>
      <w:r w:rsidRPr="002E7B55">
        <w:t xml:space="preserve">Figure </w:t>
      </w:r>
      <w:r w:rsidRPr="002E7B55">
        <w:fldChar w:fldCharType="begin"/>
      </w:r>
      <w:r w:rsidRPr="002E7B55">
        <w:instrText xml:space="preserve"> SEQ Figure \* ARABIC </w:instrText>
      </w:r>
      <w:r w:rsidRPr="002E7B55">
        <w:fldChar w:fldCharType="separate"/>
      </w:r>
      <w:r w:rsidR="004A3284" w:rsidRPr="002E7B55">
        <w:t>19</w:t>
      </w:r>
      <w:r w:rsidRPr="002E7B55">
        <w:fldChar w:fldCharType="end"/>
      </w:r>
      <w:r w:rsidRPr="002E7B55">
        <w:t>: Communication channels providers indicated they used to find Māori</w:t>
      </w:r>
      <w:r w:rsidR="0077749E" w:rsidRPr="002E7B55">
        <w:rPr>
          <w:rStyle w:val="EndnoteReference"/>
        </w:rPr>
        <w:endnoteReference w:id="49"/>
      </w:r>
      <w:bookmarkEnd w:id="48"/>
      <w:bookmarkEnd w:id="49"/>
    </w:p>
    <w:p w14:paraId="650DD1B3" w14:textId="7E58A3D6" w:rsidR="00770B4E" w:rsidRPr="002E7B55" w:rsidRDefault="00770B4E" w:rsidP="0041391C">
      <w:pPr>
        <w:pStyle w:val="Heading3"/>
      </w:pPr>
      <w:r w:rsidRPr="002E7B55">
        <w:t xml:space="preserve">Providers developed a variety of tailored messages to address </w:t>
      </w:r>
      <w:r w:rsidR="00196AA9" w:rsidRPr="002E7B55">
        <w:t xml:space="preserve">vaccine </w:t>
      </w:r>
      <w:r w:rsidR="002E7B55" w:rsidRPr="002E7B55">
        <w:t>hesitancy</w:t>
      </w:r>
    </w:p>
    <w:p w14:paraId="5FF2B924" w14:textId="5741DF3F" w:rsidR="00770B4E" w:rsidRPr="002E7B55" w:rsidRDefault="00E66393" w:rsidP="00770B4E">
      <w:r w:rsidRPr="002E7B55">
        <w:t>There was</w:t>
      </w:r>
      <w:r w:rsidR="00F642C7" w:rsidRPr="002E7B55">
        <w:t xml:space="preserve"> </w:t>
      </w:r>
      <w:r w:rsidR="00770B4E" w:rsidRPr="002E7B55">
        <w:t>increased focus on awareness-raising</w:t>
      </w:r>
      <w:r w:rsidR="00196AA9" w:rsidRPr="002E7B55">
        <w:t xml:space="preserve"> </w:t>
      </w:r>
      <w:r w:rsidR="00770B4E" w:rsidRPr="002E7B55">
        <w:t xml:space="preserve">to: address vaccine misinformation and hesitancy, and address community confusion about COVID-19 </w:t>
      </w:r>
      <w:r w:rsidR="001D404F" w:rsidRPr="002E7B55">
        <w:t xml:space="preserve">as compared to the </w:t>
      </w:r>
      <w:r w:rsidR="00770B4E" w:rsidRPr="002E7B55">
        <w:t>flu and MMR</w:t>
      </w:r>
      <w:r w:rsidR="001D404F" w:rsidRPr="002E7B55">
        <w:t xml:space="preserve"> vaccination</w:t>
      </w:r>
      <w:r w:rsidR="00770B4E" w:rsidRPr="002E7B55">
        <w:t xml:space="preserve">. </w:t>
      </w:r>
    </w:p>
    <w:p w14:paraId="5AB4C8AD" w14:textId="77777777" w:rsidR="00047E13" w:rsidRDefault="00047E13">
      <w:pPr>
        <w:spacing w:before="0" w:after="160" w:line="259" w:lineRule="auto"/>
        <w:rPr>
          <w:rFonts w:asciiTheme="majorHAnsi" w:eastAsiaTheme="majorEastAsia" w:hAnsiTheme="majorHAnsi" w:cstheme="majorBidi"/>
          <w:i/>
          <w:iCs/>
          <w:color w:val="125459" w:themeColor="accent1" w:themeShade="BF"/>
        </w:rPr>
      </w:pPr>
      <w:r>
        <w:br w:type="page"/>
      </w:r>
    </w:p>
    <w:p w14:paraId="7DB57FAD" w14:textId="0C029903" w:rsidR="00770B4E" w:rsidRPr="002E7B55" w:rsidRDefault="00770B4E" w:rsidP="00770B4E">
      <w:pPr>
        <w:pStyle w:val="Heading4"/>
      </w:pPr>
      <w:r w:rsidRPr="002E7B55">
        <w:lastRenderedPageBreak/>
        <w:t>Addressing vaccine misinformation and hesitancy was a challenge</w:t>
      </w:r>
    </w:p>
    <w:p w14:paraId="36F01BBD" w14:textId="03295A4E" w:rsidR="00770B4E" w:rsidRPr="002E7B55" w:rsidRDefault="00770B4E" w:rsidP="00770B4E">
      <w:pPr>
        <w:pStyle w:val="Quote"/>
        <w:rPr>
          <w:lang w:val="en-NZ"/>
        </w:rPr>
      </w:pPr>
      <w:r w:rsidRPr="002E7B55">
        <w:rPr>
          <w:lang w:val="en-NZ"/>
        </w:rPr>
        <w:t xml:space="preserve">“There is saturation on all forms of mainstream media which is causing hesitancy and for whānau to become disinterested, as they </w:t>
      </w:r>
      <w:r w:rsidR="001D404F" w:rsidRPr="002E7B55">
        <w:rPr>
          <w:lang w:val="en-NZ"/>
        </w:rPr>
        <w:t xml:space="preserve">are </w:t>
      </w:r>
      <w:r w:rsidRPr="002E7B55">
        <w:rPr>
          <w:lang w:val="en-NZ"/>
        </w:rPr>
        <w:t>bombarded and feeling harassed</w:t>
      </w:r>
      <w:r w:rsidR="001D404F" w:rsidRPr="002E7B55">
        <w:rPr>
          <w:lang w:val="en-NZ"/>
        </w:rPr>
        <w:t>.</w:t>
      </w:r>
      <w:r w:rsidRPr="002E7B55">
        <w:rPr>
          <w:lang w:val="en-NZ"/>
        </w:rPr>
        <w:t xml:space="preserve">” </w:t>
      </w:r>
      <w:r w:rsidR="00E95E4E" w:rsidRPr="002E7B55">
        <w:rPr>
          <w:lang w:val="en-NZ"/>
        </w:rPr>
        <w:t>(Provider)</w:t>
      </w:r>
    </w:p>
    <w:p w14:paraId="398A5C45" w14:textId="77777777" w:rsidR="00047E13" w:rsidRDefault="00047E13" w:rsidP="00770B4E"/>
    <w:p w14:paraId="3465004C" w14:textId="28BB6E7C" w:rsidR="00770B4E" w:rsidRPr="002E7B55" w:rsidRDefault="00770B4E" w:rsidP="00770B4E">
      <w:r w:rsidRPr="002E7B55">
        <w:t xml:space="preserve">Many providers spoke of the challenge </w:t>
      </w:r>
      <w:r w:rsidR="003C643C" w:rsidRPr="002E7B55">
        <w:t xml:space="preserve">of </w:t>
      </w:r>
      <w:r w:rsidRPr="002E7B55">
        <w:t xml:space="preserve">addressing vaccination misinformation </w:t>
      </w:r>
      <w:r w:rsidR="001D404F" w:rsidRPr="002E7B55">
        <w:t xml:space="preserve">that is occurring </w:t>
      </w:r>
      <w:r w:rsidRPr="002E7B55">
        <w:t xml:space="preserve">on social media. Although the misinformation </w:t>
      </w:r>
      <w:r w:rsidR="003C643C" w:rsidRPr="002E7B55">
        <w:t>mainly was</w:t>
      </w:r>
      <w:r w:rsidRPr="002E7B55">
        <w:t xml:space="preserve"> related to COVID-19, it influenced general perceptions of immunisation and </w:t>
      </w:r>
      <w:r w:rsidR="003C643C" w:rsidRPr="002E7B55">
        <w:t>overall vaccine hesitancy</w:t>
      </w:r>
      <w:r w:rsidRPr="002E7B55">
        <w:t xml:space="preserve">. </w:t>
      </w:r>
    </w:p>
    <w:p w14:paraId="21C926E6" w14:textId="7BE98107" w:rsidR="00770B4E" w:rsidRPr="002E7B55" w:rsidRDefault="00770B4E" w:rsidP="00770B4E">
      <w:r w:rsidRPr="002E7B55">
        <w:t xml:space="preserve">Many providers spoke of intentionally upskilling and training </w:t>
      </w:r>
      <w:proofErr w:type="spellStart"/>
      <w:r w:rsidRPr="002E7B55">
        <w:t>kaimahi</w:t>
      </w:r>
      <w:proofErr w:type="spellEnd"/>
      <w:r w:rsidRPr="002E7B55">
        <w:t xml:space="preserve"> </w:t>
      </w:r>
      <w:r w:rsidR="00B64DBF" w:rsidRPr="002E7B55">
        <w:t>to</w:t>
      </w:r>
      <w:r w:rsidRPr="002E7B55">
        <w:t xml:space="preserve"> be able to address whānau about the importance of getting vaccinated. </w:t>
      </w:r>
    </w:p>
    <w:p w14:paraId="3CE5FD60" w14:textId="19A7A2CC" w:rsidR="00770B4E" w:rsidRPr="002E7B55" w:rsidRDefault="00770B4E" w:rsidP="00770B4E">
      <w:r w:rsidRPr="002E7B55">
        <w:t>Many providers offered general educational and awareness-raising session</w:t>
      </w:r>
      <w:r w:rsidR="001D404F" w:rsidRPr="002E7B55">
        <w:t>s</w:t>
      </w:r>
      <w:r w:rsidRPr="002E7B55">
        <w:t xml:space="preserve"> in the community, together with GPs and pharmacies. They noted these sessions allowed them to understand the concerns of whānau and provide evidence to address those concerns. They were also able to take the </w:t>
      </w:r>
      <w:r w:rsidR="00FD001C" w:rsidRPr="002E7B55">
        <w:t>opportunity</w:t>
      </w:r>
      <w:r w:rsidRPr="002E7B55">
        <w:t xml:space="preserve"> to offer vaccines or bookings while whānau were present. </w:t>
      </w:r>
    </w:p>
    <w:p w14:paraId="5E363213" w14:textId="7358469F" w:rsidR="00770B4E" w:rsidRDefault="00D25A2D" w:rsidP="00770B4E">
      <w:pPr>
        <w:pStyle w:val="Quote"/>
        <w:rPr>
          <w:lang w:val="en-NZ"/>
        </w:rPr>
      </w:pPr>
      <w:r w:rsidRPr="002E7B55">
        <w:rPr>
          <w:lang w:val="en-NZ"/>
        </w:rPr>
        <w:t>“</w:t>
      </w:r>
      <w:r w:rsidR="00770B4E" w:rsidRPr="002E7B55">
        <w:rPr>
          <w:lang w:val="en-NZ"/>
        </w:rPr>
        <w:t>One thing that has worked well are Q&amp;A sessions where the community can ask any questions. We have had people coming in that have not had vaccinations in over 40 years.</w:t>
      </w:r>
      <w:r w:rsidRPr="002E7B55">
        <w:rPr>
          <w:lang w:val="en-NZ"/>
        </w:rPr>
        <w:t>” (Provider)</w:t>
      </w:r>
    </w:p>
    <w:p w14:paraId="1C9A2C89" w14:textId="77777777" w:rsidR="000E14C1" w:rsidRPr="000E14C1" w:rsidRDefault="000E14C1" w:rsidP="000E14C1">
      <w:pPr>
        <w:pStyle w:val="Quotebreak"/>
      </w:pPr>
    </w:p>
    <w:p w14:paraId="602BF9D0" w14:textId="3A905B0F" w:rsidR="00770B4E" w:rsidRPr="002E7B55" w:rsidRDefault="00770B4E" w:rsidP="00770B4E">
      <w:pPr>
        <w:pStyle w:val="Heading4"/>
      </w:pPr>
      <w:r w:rsidRPr="002E7B55">
        <w:t xml:space="preserve">Addressing community confusion about COVID-19 </w:t>
      </w:r>
      <w:r w:rsidR="001D404F" w:rsidRPr="002E7B55">
        <w:t xml:space="preserve">as compared to </w:t>
      </w:r>
      <w:r w:rsidRPr="002E7B55">
        <w:t xml:space="preserve">flu and MMR </w:t>
      </w:r>
      <w:r w:rsidR="001D404F" w:rsidRPr="002E7B55">
        <w:t xml:space="preserve">vaccination </w:t>
      </w:r>
      <w:r w:rsidRPr="002E7B55">
        <w:t>was a challenge</w:t>
      </w:r>
    </w:p>
    <w:p w14:paraId="121B8485" w14:textId="77777777" w:rsidR="00770B4E" w:rsidRPr="002E7B55" w:rsidRDefault="00770B4E" w:rsidP="00770B4E">
      <w:r w:rsidRPr="002E7B55">
        <w:t xml:space="preserve">Providers felt that the direct and indirect messaging from the Ministry about COVID-19 vaccinations affected the messaging for flu and MMR vaccinations and resulting uptake from the community. </w:t>
      </w:r>
    </w:p>
    <w:p w14:paraId="44B7A1A1" w14:textId="2E80BDFE" w:rsidR="00770B4E" w:rsidRPr="002E7B55" w:rsidRDefault="00770B4E" w:rsidP="00770B4E">
      <w:r w:rsidRPr="002E7B55">
        <w:t>Providers noted a substantial focus on public-facing messaging from the Ministry relating to COVID-19 vaccinations and comparatively little national messaging about flu and MMR</w:t>
      </w:r>
      <w:r w:rsidR="001D404F" w:rsidRPr="002E7B55">
        <w:t xml:space="preserve"> vaccination</w:t>
      </w:r>
      <w:r w:rsidRPr="002E7B55">
        <w:t>. This established and reinforced a sense in the community that COVID-19 was more important than flu and MMR</w:t>
      </w:r>
      <w:r w:rsidR="001D404F" w:rsidRPr="002E7B55">
        <w:t xml:space="preserve"> vaccination</w:t>
      </w:r>
      <w:r w:rsidRPr="002E7B55">
        <w:t>.</w:t>
      </w:r>
    </w:p>
    <w:p w14:paraId="53C089FC" w14:textId="37507B5B" w:rsidR="00770B4E" w:rsidRPr="002E7B55" w:rsidRDefault="00177254" w:rsidP="00770B4E">
      <w:r w:rsidRPr="002E7B55">
        <w:t>T</w:t>
      </w:r>
      <w:r w:rsidR="00770B4E" w:rsidRPr="002E7B55">
        <w:t>he public focus</w:t>
      </w:r>
      <w:r w:rsidRPr="002E7B55">
        <w:t xml:space="preserve"> of the COVID-19 rollout was an</w:t>
      </w:r>
      <w:r w:rsidR="00770B4E" w:rsidRPr="002E7B55">
        <w:t xml:space="preserve"> age-based eligibility</w:t>
      </w:r>
      <w:r w:rsidRPr="002E7B55">
        <w:t>. S</w:t>
      </w:r>
      <w:r w:rsidR="00770B4E" w:rsidRPr="002E7B55">
        <w:t xml:space="preserve">ome providers noted that whānau </w:t>
      </w:r>
      <w:r w:rsidRPr="002E7B55">
        <w:t>chose</w:t>
      </w:r>
      <w:r w:rsidR="00770B4E" w:rsidRPr="002E7B55">
        <w:t xml:space="preserve"> not to receive a flu vaccine during the peak flu season</w:t>
      </w:r>
      <w:r w:rsidRPr="002E7B55">
        <w:t>. They worried it might</w:t>
      </w:r>
      <w:r w:rsidR="00770B4E" w:rsidRPr="002E7B55">
        <w:t xml:space="preserve"> </w:t>
      </w:r>
      <w:r w:rsidRPr="002E7B55">
        <w:t>impact receiving a COVID-19 vaccination when it became available</w:t>
      </w:r>
      <w:r w:rsidR="00770B4E" w:rsidRPr="002E7B55">
        <w:t xml:space="preserve">. </w:t>
      </w:r>
    </w:p>
    <w:p w14:paraId="1C7A62FD" w14:textId="1A6EC099" w:rsidR="00770B4E" w:rsidRPr="002E7B55" w:rsidRDefault="00D25A2D" w:rsidP="00770B4E">
      <w:pPr>
        <w:pStyle w:val="Quote"/>
        <w:rPr>
          <w:lang w:val="en-NZ"/>
        </w:rPr>
      </w:pPr>
      <w:r w:rsidRPr="002E7B55">
        <w:rPr>
          <w:lang w:val="en-NZ"/>
        </w:rPr>
        <w:t>“</w:t>
      </w:r>
      <w:r w:rsidR="00770B4E" w:rsidRPr="002E7B55">
        <w:rPr>
          <w:lang w:val="en-NZ"/>
        </w:rPr>
        <w:t>Whānau are prioritising COVID</w:t>
      </w:r>
      <w:r w:rsidR="00762096" w:rsidRPr="002E7B55">
        <w:rPr>
          <w:lang w:val="en-NZ"/>
        </w:rPr>
        <w:t>-19</w:t>
      </w:r>
      <w:r w:rsidR="00770B4E" w:rsidRPr="002E7B55">
        <w:rPr>
          <w:lang w:val="en-NZ"/>
        </w:rPr>
        <w:t xml:space="preserve"> vaccines and choosing to do flu and MMR after they have completed COVID</w:t>
      </w:r>
      <w:r w:rsidR="00762096" w:rsidRPr="002E7B55">
        <w:rPr>
          <w:lang w:val="en-NZ"/>
        </w:rPr>
        <w:t>-19</w:t>
      </w:r>
      <w:r w:rsidR="00770B4E" w:rsidRPr="002E7B55">
        <w:rPr>
          <w:lang w:val="en-NZ"/>
        </w:rPr>
        <w:t xml:space="preserve"> so we are prioritising that currently, to ensure we get whānau in and engaged</w:t>
      </w:r>
      <w:r w:rsidR="001D404F" w:rsidRPr="002E7B55">
        <w:rPr>
          <w:lang w:val="en-NZ"/>
        </w:rPr>
        <w:t>.</w:t>
      </w:r>
      <w:r w:rsidRPr="002E7B55">
        <w:rPr>
          <w:lang w:val="en-NZ"/>
        </w:rPr>
        <w:t>” (Provider)</w:t>
      </w:r>
    </w:p>
    <w:p w14:paraId="5AF2A448" w14:textId="77777777" w:rsidR="00047E13" w:rsidRDefault="00047E13" w:rsidP="00770B4E"/>
    <w:p w14:paraId="559F32BB" w14:textId="3B558596" w:rsidR="00770B4E" w:rsidRPr="002E7B55" w:rsidRDefault="00177254" w:rsidP="00770B4E">
      <w:r w:rsidRPr="002E7B55">
        <w:t>S</w:t>
      </w:r>
      <w:r w:rsidR="00770B4E" w:rsidRPr="002E7B55">
        <w:t xml:space="preserve">ome DHBs and the Ministry </w:t>
      </w:r>
      <w:r w:rsidRPr="002E7B55">
        <w:t xml:space="preserve">redirected </w:t>
      </w:r>
      <w:r w:rsidR="00770B4E" w:rsidRPr="002E7B55">
        <w:t xml:space="preserve">experienced vaccination personnel to </w:t>
      </w:r>
      <w:r w:rsidRPr="002E7B55">
        <w:t xml:space="preserve">work on </w:t>
      </w:r>
      <w:r w:rsidR="00770B4E" w:rsidRPr="002E7B55">
        <w:t xml:space="preserve">COVID-19 </w:t>
      </w:r>
      <w:r w:rsidRPr="002E7B55">
        <w:t>ahead of</w:t>
      </w:r>
      <w:r w:rsidR="00770B4E" w:rsidRPr="002E7B55">
        <w:t xml:space="preserve"> other vaccinations. </w:t>
      </w:r>
      <w:r w:rsidRPr="002E7B55">
        <w:t xml:space="preserve">As a result, some </w:t>
      </w:r>
      <w:r w:rsidR="00770B4E" w:rsidRPr="002E7B55">
        <w:t xml:space="preserve">providers and DHB staff confirmed </w:t>
      </w:r>
      <w:r w:rsidRPr="002E7B55">
        <w:t xml:space="preserve">being told to </w:t>
      </w:r>
      <w:r w:rsidR="00770B4E" w:rsidRPr="002E7B55">
        <w:t xml:space="preserve">prioritise COVID-19 vaccinations. In addition, the COVID-19 vaccinations received a higher reimbursement fee. These actions reinforced </w:t>
      </w:r>
      <w:r w:rsidRPr="002E7B55">
        <w:t>to</w:t>
      </w:r>
      <w:r w:rsidR="00770B4E" w:rsidRPr="002E7B55">
        <w:t xml:space="preserve"> providers that flu and MMR were less </w:t>
      </w:r>
      <w:r w:rsidRPr="002E7B55">
        <w:t xml:space="preserve">critical </w:t>
      </w:r>
      <w:r w:rsidR="00770B4E" w:rsidRPr="002E7B55">
        <w:t xml:space="preserve">than COVID-19. </w:t>
      </w:r>
    </w:p>
    <w:p w14:paraId="576A0128" w14:textId="269EFD1E" w:rsidR="00770B4E" w:rsidRPr="002E7B55" w:rsidRDefault="005A08D8" w:rsidP="00770B4E">
      <w:r w:rsidRPr="002E7B55">
        <w:t>Some</w:t>
      </w:r>
      <w:r w:rsidR="00770B4E" w:rsidRPr="002E7B55">
        <w:t xml:space="preserve"> providers faced challenges managing multiple vaccinations concurrently. </w:t>
      </w:r>
      <w:r w:rsidR="00177254" w:rsidRPr="002E7B55">
        <w:t xml:space="preserve">For example, regardless </w:t>
      </w:r>
      <w:r w:rsidR="00770B4E" w:rsidRPr="002E7B55">
        <w:t>of whether providers were administering COVID-19 vaccinations a</w:t>
      </w:r>
      <w:r w:rsidR="00177254" w:rsidRPr="002E7B55">
        <w:t>nd flu and MMR</w:t>
      </w:r>
      <w:r w:rsidR="001D404F" w:rsidRPr="002E7B55">
        <w:t xml:space="preserve"> vaccination</w:t>
      </w:r>
      <w:r w:rsidR="00177254" w:rsidRPr="002E7B55">
        <w:t>, the clinical advice for most of 2021 was not to administer COVID-19 and flu vaccinations simultaneously</w:t>
      </w:r>
      <w:r w:rsidR="00770B4E" w:rsidRPr="002E7B55">
        <w:t xml:space="preserve">. </w:t>
      </w:r>
    </w:p>
    <w:p w14:paraId="6065D5E8" w14:textId="6F3B12D9" w:rsidR="00770B4E" w:rsidRPr="002E7B55" w:rsidRDefault="00770B4E" w:rsidP="00770B4E">
      <w:r w:rsidRPr="002E7B55">
        <w:t>As a result, providers faced a community that w</w:t>
      </w:r>
      <w:r w:rsidR="00177254" w:rsidRPr="002E7B55">
        <w:t xml:space="preserve">as less interested in flu and MMR </w:t>
      </w:r>
      <w:r w:rsidR="001D404F" w:rsidRPr="002E7B55">
        <w:t xml:space="preserve">vaccination </w:t>
      </w:r>
      <w:r w:rsidR="00177254" w:rsidRPr="002E7B55">
        <w:t>and</w:t>
      </w:r>
      <w:r w:rsidRPr="002E7B55">
        <w:t xml:space="preserve"> primarily concerned about </w:t>
      </w:r>
      <w:r w:rsidR="00177254" w:rsidRPr="002E7B55">
        <w:t xml:space="preserve">receiving </w:t>
      </w:r>
      <w:r w:rsidRPr="002E7B55">
        <w:t xml:space="preserve">COVID-19 vaccinations. </w:t>
      </w:r>
    </w:p>
    <w:p w14:paraId="1DC6608F" w14:textId="77777777" w:rsidR="00770B4E" w:rsidRPr="002E7B55" w:rsidRDefault="00770B4E" w:rsidP="00770B4E">
      <w:pPr>
        <w:pStyle w:val="Heading2"/>
      </w:pPr>
      <w:r w:rsidRPr="002E7B55">
        <w:lastRenderedPageBreak/>
        <w:t xml:space="preserve">Effective communications with the Ministry empower providers to meet the needs of their community </w:t>
      </w:r>
    </w:p>
    <w:p w14:paraId="5E7301B9" w14:textId="174E9C49" w:rsidR="00770B4E" w:rsidRPr="002E7B55" w:rsidRDefault="00770B4E" w:rsidP="00770B4E">
      <w:r w:rsidRPr="002E7B55">
        <w:t>Providers generally found the messaging support from the Ministry</w:t>
      </w:r>
      <w:r w:rsidR="002B1643" w:rsidRPr="002E7B55">
        <w:t xml:space="preserve"> helpful</w:t>
      </w:r>
      <w:r w:rsidRPr="002E7B55">
        <w:t xml:space="preserve">, particularly </w:t>
      </w:r>
      <w:r w:rsidR="00177254" w:rsidRPr="002E7B55">
        <w:t>about</w:t>
      </w:r>
      <w:r w:rsidRPr="002E7B55">
        <w:t xml:space="preserve"> scheduling and managing multiple vaccinations. However, many providers felt that the Ministry’s COVID-19 messaging </w:t>
      </w:r>
      <w:r w:rsidR="00177254" w:rsidRPr="002E7B55">
        <w:t xml:space="preserve">reinforced </w:t>
      </w:r>
      <w:r w:rsidRPr="002E7B55">
        <w:t xml:space="preserve">a lower </w:t>
      </w:r>
      <w:r w:rsidR="008264FD" w:rsidRPr="002E7B55">
        <w:t>priority</w:t>
      </w:r>
      <w:r w:rsidRPr="002E7B55">
        <w:t xml:space="preserve"> of flu and MMR </w:t>
      </w:r>
      <w:r w:rsidR="001D404F" w:rsidRPr="002E7B55">
        <w:t xml:space="preserve">vaccination </w:t>
      </w:r>
      <w:r w:rsidRPr="002E7B55">
        <w:t>for whānau and the community, which affected the interest in and uptake of flu and MMR vaccinations. Providers need</w:t>
      </w:r>
      <w:r w:rsidR="00177254" w:rsidRPr="002E7B55">
        <w:t>ed</w:t>
      </w:r>
      <w:r w:rsidRPr="002E7B55">
        <w:t xml:space="preserve"> messaging from the M</w:t>
      </w:r>
      <w:r w:rsidR="008264FD" w:rsidRPr="002E7B55">
        <w:t>i</w:t>
      </w:r>
      <w:r w:rsidRPr="002E7B55">
        <w:t xml:space="preserve">nistry to support all immunisations. </w:t>
      </w:r>
    </w:p>
    <w:p w14:paraId="7D1603C0" w14:textId="3578F65A" w:rsidR="00770B4E" w:rsidRPr="002E7B55" w:rsidRDefault="00D25A2D" w:rsidP="00770B4E">
      <w:pPr>
        <w:pStyle w:val="Quote"/>
        <w:rPr>
          <w:lang w:val="en-NZ"/>
        </w:rPr>
      </w:pPr>
      <w:r w:rsidRPr="002E7B55">
        <w:rPr>
          <w:lang w:val="en-NZ"/>
        </w:rPr>
        <w:t>“</w:t>
      </w:r>
      <w:r w:rsidR="00770B4E" w:rsidRPr="002E7B55">
        <w:rPr>
          <w:lang w:val="en-NZ"/>
        </w:rPr>
        <w:t>The Ministry can support us by driving a national message about getting their flu vaccinations as well as COVID-19, including television and radio advertisements.</w:t>
      </w:r>
      <w:r w:rsidRPr="002E7B55">
        <w:rPr>
          <w:lang w:val="en-NZ"/>
        </w:rPr>
        <w:t>” (Provider)</w:t>
      </w:r>
    </w:p>
    <w:p w14:paraId="5DF95324" w14:textId="77777777" w:rsidR="00047E13" w:rsidRDefault="00047E13" w:rsidP="00770B4E"/>
    <w:p w14:paraId="07BFA51B" w14:textId="2995415D" w:rsidR="00497DCE" w:rsidRPr="002E7B55" w:rsidRDefault="00177254" w:rsidP="00770B4E">
      <w:r w:rsidRPr="002E7B55">
        <w:t>More recently, the</w:t>
      </w:r>
      <w:r w:rsidR="00770B4E" w:rsidRPr="002E7B55">
        <w:t xml:space="preserve"> clinical advice changed to support </w:t>
      </w:r>
      <w:r w:rsidRPr="002E7B55">
        <w:t xml:space="preserve">administering </w:t>
      </w:r>
      <w:r w:rsidR="00770B4E" w:rsidRPr="002E7B55">
        <w:t xml:space="preserve">COVID-19 and flu vaccinations </w:t>
      </w:r>
      <w:r w:rsidRPr="002E7B55">
        <w:t>simultaneously</w:t>
      </w:r>
      <w:r w:rsidR="00770B4E" w:rsidRPr="002E7B55">
        <w:t xml:space="preserve"> (</w:t>
      </w:r>
      <w:r w:rsidR="001D404F" w:rsidRPr="002E7B55">
        <w:t>known as “</w:t>
      </w:r>
      <w:r w:rsidR="00770B4E" w:rsidRPr="002E7B55">
        <w:t>concomitant vaccination</w:t>
      </w:r>
      <w:r w:rsidR="001D404F" w:rsidRPr="002E7B55">
        <w:t>”</w:t>
      </w:r>
      <w:r w:rsidR="00770B4E" w:rsidRPr="002E7B55">
        <w:t>)</w:t>
      </w:r>
      <w:r w:rsidRPr="002E7B55">
        <w:t>. At that point,</w:t>
      </w:r>
      <w:r w:rsidR="00770B4E" w:rsidRPr="002E7B55">
        <w:t xml:space="preserve"> providers overwhelmingly</w:t>
      </w:r>
      <w:r w:rsidRPr="002E7B55">
        <w:t xml:space="preserve"> said they</w:t>
      </w:r>
      <w:r w:rsidR="00770B4E" w:rsidRPr="002E7B55">
        <w:t xml:space="preserve"> need</w:t>
      </w:r>
      <w:r w:rsidRPr="002E7B55">
        <w:t>ed</w:t>
      </w:r>
      <w:r w:rsidR="00770B4E" w:rsidRPr="002E7B55">
        <w:t xml:space="preserve"> supporting communications and messaging from the Ministry as a primary enabler. </w:t>
      </w:r>
      <w:r w:rsidR="00497DCE" w:rsidRPr="002E7B55">
        <w:t xml:space="preserve">Providers </w:t>
      </w:r>
      <w:r w:rsidRPr="002E7B55">
        <w:t>wanted</w:t>
      </w:r>
      <w:r w:rsidR="00497DCE" w:rsidRPr="002E7B55">
        <w:t xml:space="preserve"> support to develop resources </w:t>
      </w:r>
      <w:r w:rsidRPr="002E7B55">
        <w:t>to</w:t>
      </w:r>
      <w:r w:rsidR="00497DCE" w:rsidRPr="002E7B55">
        <w:t xml:space="preserve"> share with whānau. Providers want</w:t>
      </w:r>
      <w:r w:rsidRPr="002E7B55">
        <w:t>ed</w:t>
      </w:r>
      <w:r w:rsidR="00497DCE" w:rsidRPr="002E7B55">
        <w:t xml:space="preserve"> </w:t>
      </w:r>
      <w:r w:rsidR="001D404F" w:rsidRPr="002E7B55">
        <w:t xml:space="preserve">help </w:t>
      </w:r>
      <w:r w:rsidR="00497DCE" w:rsidRPr="002E7B55">
        <w:t xml:space="preserve">to explain to whānau in the simplest terms why </w:t>
      </w:r>
      <w:r w:rsidRPr="002E7B55">
        <w:t xml:space="preserve">the </w:t>
      </w:r>
      <w:r w:rsidR="00497DCE" w:rsidRPr="002E7B55">
        <w:t>clinical advice ha</w:t>
      </w:r>
      <w:r w:rsidRPr="002E7B55">
        <w:t>d</w:t>
      </w:r>
      <w:r w:rsidR="00497DCE" w:rsidRPr="002E7B55">
        <w:t xml:space="preserve"> changed. </w:t>
      </w:r>
    </w:p>
    <w:p w14:paraId="5D91AB9D" w14:textId="7C8FB488" w:rsidR="00770B4E" w:rsidRPr="002E7B55" w:rsidRDefault="00D25A2D" w:rsidP="00770B4E">
      <w:pPr>
        <w:pStyle w:val="Quote"/>
        <w:rPr>
          <w:lang w:val="en-NZ"/>
        </w:rPr>
      </w:pPr>
      <w:r w:rsidRPr="002E7B55">
        <w:rPr>
          <w:lang w:val="en-NZ"/>
        </w:rPr>
        <w:t>“</w:t>
      </w:r>
      <w:r w:rsidR="00770B4E" w:rsidRPr="002E7B55">
        <w:rPr>
          <w:lang w:val="en-NZ"/>
        </w:rPr>
        <w:t xml:space="preserve">To be able to administer multiple vaccinations, we need a clear strategy to administer both MMR, </w:t>
      </w:r>
      <w:r w:rsidR="000E3132" w:rsidRPr="002E7B55">
        <w:rPr>
          <w:lang w:val="en-NZ"/>
        </w:rPr>
        <w:t>COVID</w:t>
      </w:r>
      <w:r w:rsidR="00770B4E" w:rsidRPr="002E7B55">
        <w:rPr>
          <w:lang w:val="en-NZ"/>
        </w:rPr>
        <w:t xml:space="preserve">-19 vaccinations to all </w:t>
      </w:r>
      <w:r w:rsidR="0096399B" w:rsidRPr="002E7B55">
        <w:rPr>
          <w:lang w:val="en-NZ"/>
        </w:rPr>
        <w:t>Māori</w:t>
      </w:r>
      <w:r w:rsidR="00770B4E" w:rsidRPr="002E7B55">
        <w:rPr>
          <w:lang w:val="en-NZ"/>
        </w:rPr>
        <w:t xml:space="preserve"> across a range of community settings, supported by appropriate clinical, cultural and financial resources.</w:t>
      </w:r>
      <w:r w:rsidRPr="002E7B55">
        <w:rPr>
          <w:lang w:val="en-NZ"/>
        </w:rPr>
        <w:t>” (Provider)</w:t>
      </w:r>
    </w:p>
    <w:p w14:paraId="1257370D" w14:textId="77777777" w:rsidR="008264FD" w:rsidRPr="002E7B55" w:rsidRDefault="008264FD" w:rsidP="008264FD">
      <w:pPr>
        <w:pStyle w:val="Quotebreak"/>
        <w:rPr>
          <w:lang w:val="en-NZ"/>
        </w:rPr>
      </w:pPr>
    </w:p>
    <w:p w14:paraId="38719109" w14:textId="6742FE66" w:rsidR="00770B4E" w:rsidRPr="002E7B55" w:rsidRDefault="00D25A2D" w:rsidP="00770B4E">
      <w:pPr>
        <w:pStyle w:val="Quote"/>
        <w:rPr>
          <w:lang w:val="en-NZ"/>
        </w:rPr>
      </w:pPr>
      <w:r w:rsidRPr="002E7B55">
        <w:rPr>
          <w:lang w:val="en-NZ"/>
        </w:rPr>
        <w:t>“</w:t>
      </w:r>
      <w:r w:rsidR="00770B4E" w:rsidRPr="002E7B55">
        <w:rPr>
          <w:lang w:val="en-NZ"/>
        </w:rPr>
        <w:t>To be able to administer multiple vaccinations, we need messaging and getting the information out to the community that it is safe to deliver both vaccinations simultaneously.</w:t>
      </w:r>
      <w:r w:rsidR="00EC1527" w:rsidRPr="002E7B55">
        <w:rPr>
          <w:lang w:val="en-NZ"/>
        </w:rPr>
        <w:t xml:space="preserve"> </w:t>
      </w:r>
      <w:r w:rsidR="00770B4E" w:rsidRPr="002E7B55">
        <w:rPr>
          <w:lang w:val="en-NZ"/>
        </w:rPr>
        <w:t>There appears to be a high level of mistrust from whānau about vaccinations</w:t>
      </w:r>
      <w:r w:rsidRPr="002E7B55">
        <w:rPr>
          <w:lang w:val="en-NZ"/>
        </w:rPr>
        <w:t>” (Provider)</w:t>
      </w:r>
    </w:p>
    <w:p w14:paraId="7146B4EC" w14:textId="77777777" w:rsidR="00047E13" w:rsidRDefault="00047E13" w:rsidP="003D6CEB"/>
    <w:p w14:paraId="499E8362" w14:textId="40F77B6C" w:rsidR="003D6CEB" w:rsidRPr="002E7B55" w:rsidRDefault="00770B4E" w:rsidP="003D6CEB">
      <w:r w:rsidRPr="002E7B55">
        <w:t xml:space="preserve">Providers found the training </w:t>
      </w:r>
      <w:r w:rsidR="003D6CEB" w:rsidRPr="002E7B55">
        <w:t xml:space="preserve">and educational resources </w:t>
      </w:r>
      <w:r w:rsidRPr="002E7B55">
        <w:t xml:space="preserve">from </w:t>
      </w:r>
      <w:r w:rsidR="003D6CEB" w:rsidRPr="002E7B55">
        <w:t xml:space="preserve">the Ministry and </w:t>
      </w:r>
      <w:r w:rsidR="00082D4A" w:rsidRPr="002E7B55">
        <w:t>the Immunisation Advisory Centre (</w:t>
      </w:r>
      <w:r w:rsidRPr="002E7B55">
        <w:t>IMAC</w:t>
      </w:r>
      <w:r w:rsidR="00082D4A" w:rsidRPr="002E7B55">
        <w:t>)</w:t>
      </w:r>
      <w:r w:rsidRPr="002E7B55">
        <w:t xml:space="preserve"> </w:t>
      </w:r>
      <w:r w:rsidR="00177254" w:rsidRPr="002E7B55">
        <w:t>helpful</w:t>
      </w:r>
      <w:r w:rsidRPr="002E7B55">
        <w:t xml:space="preserve">, as in 2020. </w:t>
      </w:r>
      <w:r w:rsidR="00177254" w:rsidRPr="002E7B55">
        <w:t xml:space="preserve">However, they </w:t>
      </w:r>
      <w:r w:rsidR="003D6CEB" w:rsidRPr="002E7B55">
        <w:t xml:space="preserve">noted that </w:t>
      </w:r>
      <w:r w:rsidR="00177254" w:rsidRPr="002E7B55">
        <w:t>training and resources</w:t>
      </w:r>
      <w:r w:rsidR="003D6CEB" w:rsidRPr="002E7B55">
        <w:t xml:space="preserve"> </w:t>
      </w:r>
      <w:r w:rsidR="00177254" w:rsidRPr="002E7B55">
        <w:t>need constant updating</w:t>
      </w:r>
      <w:r w:rsidR="003D6CEB" w:rsidRPr="002E7B55">
        <w:t xml:space="preserve"> as advice changes. </w:t>
      </w:r>
    </w:p>
    <w:p w14:paraId="612313B3" w14:textId="1FF8A2CB" w:rsidR="003D6CEB" w:rsidRPr="002E7B55" w:rsidRDefault="003D6CEB" w:rsidP="003D6CEB">
      <w:pPr>
        <w:pStyle w:val="Quote"/>
        <w:rPr>
          <w:lang w:val="en-NZ"/>
        </w:rPr>
      </w:pPr>
      <w:r w:rsidRPr="002E7B55">
        <w:rPr>
          <w:lang w:val="en-NZ"/>
        </w:rPr>
        <w:t>“Online training courses were helpful, clear written instructions</w:t>
      </w:r>
      <w:r w:rsidR="001D404F" w:rsidRPr="002E7B55">
        <w:rPr>
          <w:lang w:val="en-NZ"/>
        </w:rPr>
        <w:t>.</w:t>
      </w:r>
      <w:r w:rsidR="00D25A2D" w:rsidRPr="002E7B55">
        <w:rPr>
          <w:lang w:val="en-NZ"/>
        </w:rPr>
        <w:t>” (Provider)</w:t>
      </w:r>
      <w:r w:rsidRPr="002E7B55">
        <w:rPr>
          <w:lang w:val="en-NZ"/>
        </w:rPr>
        <w:t xml:space="preserve"> </w:t>
      </w:r>
    </w:p>
    <w:p w14:paraId="19E0BB63" w14:textId="77777777" w:rsidR="00047E13" w:rsidRDefault="00047E13" w:rsidP="00770B4E"/>
    <w:p w14:paraId="77D5C86E" w14:textId="4097C802" w:rsidR="00770B4E" w:rsidRPr="002E7B55" w:rsidRDefault="00770B4E" w:rsidP="00770B4E">
      <w:r w:rsidRPr="002E7B55">
        <w:t xml:space="preserve">However, some providers faced challenges accessing training courses at times and </w:t>
      </w:r>
      <w:r w:rsidR="00177254" w:rsidRPr="002E7B55">
        <w:t>suitable locations</w:t>
      </w:r>
      <w:r w:rsidRPr="002E7B55">
        <w:t xml:space="preserve">. In one instance, a provider contacted the Ministry noting that the next available time for a vaccinator training course was August </w:t>
      </w:r>
      <w:r w:rsidR="001D404F" w:rsidRPr="002E7B55">
        <w:rPr>
          <w:rFonts w:ascii="Courier New" w:hAnsi="Courier New" w:cs="Courier New"/>
        </w:rPr>
        <w:t>–</w:t>
      </w:r>
      <w:r w:rsidR="001D404F" w:rsidRPr="002E7B55">
        <w:t xml:space="preserve"> </w:t>
      </w:r>
      <w:r w:rsidRPr="002E7B55">
        <w:t xml:space="preserve">after the traditional flu season </w:t>
      </w:r>
      <w:r w:rsidR="00177254" w:rsidRPr="002E7B55">
        <w:t xml:space="preserve">had </w:t>
      </w:r>
      <w:r w:rsidRPr="002E7B55">
        <w:t xml:space="preserve">finished. </w:t>
      </w:r>
    </w:p>
    <w:p w14:paraId="5F770CB6" w14:textId="4C81BDC1" w:rsidR="00770B4E" w:rsidRPr="002E7B55" w:rsidRDefault="00D25A2D" w:rsidP="00770B4E">
      <w:pPr>
        <w:pStyle w:val="Quote"/>
        <w:rPr>
          <w:lang w:val="en-NZ"/>
        </w:rPr>
      </w:pPr>
      <w:r w:rsidRPr="002E7B55">
        <w:rPr>
          <w:lang w:val="en-NZ"/>
        </w:rPr>
        <w:t>“</w:t>
      </w:r>
      <w:r w:rsidR="00770B4E" w:rsidRPr="002E7B55">
        <w:rPr>
          <w:lang w:val="en-NZ"/>
        </w:rPr>
        <w:t>Offer more training for vaccinators to get them (nurses) vaccinator ready. We have had trouble accessing training for CPR level 4. Without this you cannot vaccinate. Huge barrier. We have the workforce - just not the capacity to all do vaccination</w:t>
      </w:r>
      <w:r w:rsidR="001D404F" w:rsidRPr="002E7B55">
        <w:rPr>
          <w:lang w:val="en-NZ"/>
        </w:rPr>
        <w:t>.</w:t>
      </w:r>
      <w:r w:rsidRPr="002E7B55">
        <w:rPr>
          <w:lang w:val="en-NZ"/>
        </w:rPr>
        <w:t>” (Provider)</w:t>
      </w:r>
    </w:p>
    <w:p w14:paraId="629E84E2" w14:textId="0E0F49A5" w:rsidR="00770B4E" w:rsidRPr="002E7B55" w:rsidRDefault="00770B4E" w:rsidP="00770B4E">
      <w:pPr>
        <w:pStyle w:val="Heading2"/>
      </w:pPr>
      <w:r w:rsidRPr="002E7B55">
        <w:lastRenderedPageBreak/>
        <w:t>Effective communications with partner organisations and other providers enable providers to share and learn</w:t>
      </w:r>
    </w:p>
    <w:p w14:paraId="6089FCB0" w14:textId="5DD42D02" w:rsidR="00770B4E" w:rsidRPr="002E7B55" w:rsidRDefault="00770B4E" w:rsidP="00770B4E">
      <w:r w:rsidRPr="002E7B55">
        <w:t xml:space="preserve">Providers </w:t>
      </w:r>
      <w:r w:rsidR="001D404F" w:rsidRPr="002E7B55">
        <w:t xml:space="preserve">do </w:t>
      </w:r>
      <w:r w:rsidRPr="002E7B55">
        <w:t xml:space="preserve">overwhelmingly want opportunities to share and learn. However, many feel there are not sufficient opportunities to do so. In particular, direct-funded providers felt the lack of opportunities to share and learn stronger than DHB-funded providers. </w:t>
      </w:r>
    </w:p>
    <w:p w14:paraId="0ED995ED" w14:textId="7FB2250E" w:rsidR="004718A7" w:rsidRPr="002E7B55" w:rsidRDefault="004718A7" w:rsidP="004718A7">
      <w:pPr>
        <w:pStyle w:val="Quote"/>
        <w:rPr>
          <w:lang w:val="en-NZ"/>
        </w:rPr>
      </w:pPr>
      <w:r w:rsidRPr="002E7B55">
        <w:rPr>
          <w:lang w:val="en-NZ"/>
        </w:rPr>
        <w:t>“We would like to hear what is working really well across the country, so we can learn from others and replicate for the local setting as appropriate</w:t>
      </w:r>
      <w:r w:rsidR="001D404F" w:rsidRPr="002E7B55">
        <w:rPr>
          <w:lang w:val="en-NZ"/>
        </w:rPr>
        <w:t>.</w:t>
      </w:r>
      <w:r w:rsidRPr="002E7B55">
        <w:rPr>
          <w:lang w:val="en-NZ"/>
        </w:rPr>
        <w:t>” (Provider)</w:t>
      </w:r>
    </w:p>
    <w:p w14:paraId="4C9CE5B6" w14:textId="77777777" w:rsidR="00047E13" w:rsidRDefault="00047E13" w:rsidP="00770B4E"/>
    <w:p w14:paraId="28AFE64C" w14:textId="5D818374" w:rsidR="00770B4E" w:rsidRPr="002E7B55" w:rsidRDefault="00770B4E" w:rsidP="00770B4E">
      <w:r w:rsidRPr="002E7B55">
        <w:t xml:space="preserve">About half of the regions had </w:t>
      </w:r>
      <w:r w:rsidR="001D404F" w:rsidRPr="002E7B55">
        <w:t xml:space="preserve">just </w:t>
      </w:r>
      <w:r w:rsidRPr="002E7B55">
        <w:t xml:space="preserve">one or two providers delivering a MIMVP-funded plan in their region. As a result, these providers </w:t>
      </w:r>
      <w:r w:rsidR="00177254" w:rsidRPr="002E7B55">
        <w:t>had</w:t>
      </w:r>
      <w:r w:rsidRPr="002E7B55">
        <w:t xml:space="preserve"> limited </w:t>
      </w:r>
      <w:r w:rsidR="00177254" w:rsidRPr="002E7B55">
        <w:t xml:space="preserve">opportunities </w:t>
      </w:r>
      <w:r w:rsidRPr="002E7B55">
        <w:t xml:space="preserve">to share and learn. </w:t>
      </w:r>
    </w:p>
    <w:p w14:paraId="7F22BCD5" w14:textId="394973A6" w:rsidR="00770B4E" w:rsidRPr="002E7B55" w:rsidRDefault="00770B4E" w:rsidP="00770B4E">
      <w:r w:rsidRPr="002E7B55">
        <w:t>In 2020, one successful region coordinated a regular sharing and reflection activity into their implementation that include</w:t>
      </w:r>
      <w:r w:rsidR="00EC1527" w:rsidRPr="002E7B55">
        <w:t>d</w:t>
      </w:r>
      <w:r w:rsidRPr="002E7B55">
        <w:t xml:space="preserve"> representation from multiple providers, PHO, </w:t>
      </w:r>
      <w:proofErr w:type="gramStart"/>
      <w:r w:rsidRPr="002E7B55">
        <w:t>pharmacies</w:t>
      </w:r>
      <w:proofErr w:type="gramEnd"/>
      <w:r w:rsidRPr="002E7B55">
        <w:t xml:space="preserve"> and midwives. In 2021, they faced challenges continuing this</w:t>
      </w:r>
      <w:r w:rsidR="001D404F" w:rsidRPr="002E7B55">
        <w:t>,</w:t>
      </w:r>
      <w:r w:rsidRPr="002E7B55">
        <w:t xml:space="preserve"> with key staff from 2020 diverted to the local COVID-19 response. </w:t>
      </w:r>
    </w:p>
    <w:p w14:paraId="72B345AA" w14:textId="1EACD47E" w:rsidR="00770B4E" w:rsidRPr="002E7B55" w:rsidRDefault="00770B4E" w:rsidP="00770B4E">
      <w:r w:rsidRPr="002E7B55">
        <w:t xml:space="preserve">In 2021, one region coordinated sharing of vaccination rates across providers and partners. However, providers in this region felt there was little opportunity to share the context around vaccination rates. They </w:t>
      </w:r>
      <w:r w:rsidR="00177254" w:rsidRPr="002E7B55">
        <w:t xml:space="preserve">thought </w:t>
      </w:r>
      <w:r w:rsidRPr="002E7B55">
        <w:t xml:space="preserve">they were penalised for not meeting targets rather than being supported to share, </w:t>
      </w:r>
      <w:proofErr w:type="gramStart"/>
      <w:r w:rsidRPr="002E7B55">
        <w:t>learn</w:t>
      </w:r>
      <w:proofErr w:type="gramEnd"/>
      <w:r w:rsidRPr="002E7B55">
        <w:t xml:space="preserve"> and adapt. </w:t>
      </w:r>
    </w:p>
    <w:p w14:paraId="495ED076" w14:textId="13C3CC56" w:rsidR="001D404F" w:rsidRPr="002E7B55" w:rsidRDefault="001D404F" w:rsidP="001D404F">
      <w:r w:rsidRPr="002E7B55">
        <w:t xml:space="preserve">New in 2021, the Ministry shared monthly dashboards with </w:t>
      </w:r>
      <w:r w:rsidR="00082D4A" w:rsidRPr="002E7B55">
        <w:t xml:space="preserve">all </w:t>
      </w:r>
      <w:r w:rsidRPr="002E7B55">
        <w:t xml:space="preserve">providers and DHBs of the vaccination rates in each region and emerging themes, lessons and tips received through the monthly monitoring report surveys. </w:t>
      </w:r>
    </w:p>
    <w:p w14:paraId="1177D541" w14:textId="600234F3" w:rsidR="00770B4E" w:rsidRPr="002E7B55" w:rsidRDefault="00770B4E" w:rsidP="00770B4E">
      <w:r w:rsidRPr="002E7B55">
        <w:t>The monthly monitoring report surveys and dashboards are one way to capture and share insights and tips with other providers and partners. A</w:t>
      </w:r>
      <w:r w:rsidR="00177254" w:rsidRPr="002E7B55">
        <w:t>lthough only some providers indicated they found the dashboards useful, there was a</w:t>
      </w:r>
      <w:r w:rsidRPr="002E7B55">
        <w:t xml:space="preserve"> significant increase over time in responses to the final survey question</w:t>
      </w:r>
      <w:r w:rsidR="001D404F" w:rsidRPr="002E7B55">
        <w:t>,</w:t>
      </w:r>
      <w:r w:rsidRPr="002E7B55">
        <w:t xml:space="preserve"> “Is there anything else you’d like to share</w:t>
      </w:r>
      <w:r w:rsidR="001D404F" w:rsidRPr="002E7B55">
        <w:t>?</w:t>
      </w:r>
      <w:r w:rsidRPr="002E7B55">
        <w:t xml:space="preserve">” (which was the primary source for tips and lessons shared in the dashboards). Furthermore, individual respondents were contacted </w:t>
      </w:r>
      <w:r w:rsidR="00177254" w:rsidRPr="002E7B55">
        <w:t>before</w:t>
      </w:r>
      <w:r w:rsidRPr="002E7B55">
        <w:t xml:space="preserve"> </w:t>
      </w:r>
      <w:r w:rsidR="001D404F" w:rsidRPr="002E7B55">
        <w:t xml:space="preserve">their tip was </w:t>
      </w:r>
      <w:r w:rsidRPr="002E7B55">
        <w:t>publish</w:t>
      </w:r>
      <w:r w:rsidR="001D404F" w:rsidRPr="002E7B55">
        <w:t>ed</w:t>
      </w:r>
      <w:r w:rsidRPr="002E7B55">
        <w:t xml:space="preserve"> in the following dashboard and all those contacted agreed. This indicates that a regular capture and dissemination of learnings, such as the survey and dashboards, may be </w:t>
      </w:r>
      <w:r w:rsidR="00177254" w:rsidRPr="002E7B55">
        <w:t>helpful for</w:t>
      </w:r>
      <w:r w:rsidRPr="002E7B55">
        <w:t xml:space="preserve"> a broader learning sharing approach. </w:t>
      </w:r>
    </w:p>
    <w:p w14:paraId="3D3CE964" w14:textId="03718466" w:rsidR="00770B4E" w:rsidRPr="002E7B55" w:rsidRDefault="00275461" w:rsidP="00770B4E">
      <w:pPr>
        <w:pStyle w:val="Accentheading2"/>
        <w:rPr>
          <w:lang w:val="en-NZ"/>
        </w:rPr>
      </w:pPr>
      <w:r w:rsidRPr="002E7B55">
        <w:rPr>
          <w:lang w:val="en-NZ"/>
        </w:rPr>
        <w:t>Missed opportunities for c</w:t>
      </w:r>
      <w:r w:rsidR="00770B4E" w:rsidRPr="002E7B55">
        <w:rPr>
          <w:lang w:val="en-NZ"/>
        </w:rPr>
        <w:t xml:space="preserve">ommunications </w:t>
      </w:r>
      <w:r w:rsidRPr="002E7B55">
        <w:rPr>
          <w:lang w:val="en-NZ"/>
        </w:rPr>
        <w:t>and learning</w:t>
      </w:r>
    </w:p>
    <w:p w14:paraId="6FA00157" w14:textId="2CC7E8E3" w:rsidR="00AE4CB0" w:rsidRPr="002E7B55" w:rsidRDefault="004C0154" w:rsidP="00770B4E">
      <w:r w:rsidRPr="002E7B55">
        <w:t>Providers noted that w</w:t>
      </w:r>
      <w:r w:rsidR="00770B4E" w:rsidRPr="002E7B55">
        <w:t xml:space="preserve">hānau need clear messaging about safety </w:t>
      </w:r>
      <w:r w:rsidR="001D404F" w:rsidRPr="002E7B55">
        <w:t xml:space="preserve">of vaccination </w:t>
      </w:r>
      <w:r w:rsidR="00770B4E" w:rsidRPr="002E7B55">
        <w:t>from people they trust</w:t>
      </w:r>
      <w:r w:rsidRPr="002E7B55">
        <w:t>. They need easy</w:t>
      </w:r>
      <w:r w:rsidR="001D404F" w:rsidRPr="002E7B55">
        <w:t>-</w:t>
      </w:r>
      <w:r w:rsidRPr="002E7B55">
        <w:t>to</w:t>
      </w:r>
      <w:r w:rsidR="001D404F" w:rsidRPr="002E7B55">
        <w:t>-</w:t>
      </w:r>
      <w:r w:rsidRPr="002E7B55">
        <w:t xml:space="preserve">understand resources, to be able to ask questions of those they trust and to hear from trusted local messengers. </w:t>
      </w:r>
      <w:r w:rsidR="00AE4CB0" w:rsidRPr="002E7B55">
        <w:t xml:space="preserve">Providers found the educational resources from the Ministry and IMAC </w:t>
      </w:r>
      <w:r w:rsidR="00177254" w:rsidRPr="002E7B55">
        <w:t>helpful</w:t>
      </w:r>
      <w:r w:rsidR="00AE4CB0" w:rsidRPr="002E7B55">
        <w:t xml:space="preserve">. </w:t>
      </w:r>
      <w:r w:rsidR="00177254" w:rsidRPr="002E7B55">
        <w:t xml:space="preserve">However, they </w:t>
      </w:r>
      <w:r w:rsidR="00AE4CB0" w:rsidRPr="002E7B55">
        <w:t xml:space="preserve">noted that these resources need to be </w:t>
      </w:r>
      <w:r w:rsidR="00177254" w:rsidRPr="002E7B55">
        <w:t>updated</w:t>
      </w:r>
      <w:r w:rsidR="00AE4CB0" w:rsidRPr="002E7B55">
        <w:t xml:space="preserve"> as advice changes. </w:t>
      </w:r>
    </w:p>
    <w:p w14:paraId="037D2C33" w14:textId="77777777" w:rsidR="00F17C68" w:rsidRPr="002E7B55" w:rsidRDefault="00F17C68" w:rsidP="00625710">
      <w:pPr>
        <w:rPr>
          <w:rFonts w:eastAsiaTheme="majorEastAsia"/>
        </w:rPr>
      </w:pPr>
      <w:r w:rsidRPr="002E7B55">
        <w:br w:type="page"/>
      </w:r>
    </w:p>
    <w:p w14:paraId="6B2E0E88" w14:textId="0D891C65" w:rsidR="00D77E73" w:rsidRPr="002E7B55" w:rsidRDefault="70D53BCA" w:rsidP="00D77E73">
      <w:pPr>
        <w:pStyle w:val="Heading1"/>
      </w:pPr>
      <w:bookmarkStart w:id="50" w:name="_Toc96341673"/>
      <w:r w:rsidRPr="002E7B55">
        <w:lastRenderedPageBreak/>
        <w:t>Appendix: Program</w:t>
      </w:r>
      <w:r w:rsidR="001D404F" w:rsidRPr="002E7B55">
        <w:t>me</w:t>
      </w:r>
      <w:r w:rsidRPr="002E7B55">
        <w:t xml:space="preserve"> overview</w:t>
      </w:r>
      <w:bookmarkEnd w:id="50"/>
    </w:p>
    <w:p w14:paraId="6A5EC07B" w14:textId="3C80E2A3" w:rsidR="00570CCC" w:rsidRPr="002E7B55" w:rsidRDefault="00570CCC" w:rsidP="00570CCC">
      <w:r w:rsidRPr="002E7B55">
        <w:t xml:space="preserve">This section outlines the allocation of MIMVP funding nationally, including the spread of providers contracted directly by the Ministry (direct-funded providers) and providers sub-contracted by their local DHB (DHB-funded providers). This section also describes the activities of MIMVP-funded providers and DHBs. </w:t>
      </w:r>
    </w:p>
    <w:p w14:paraId="66116DC9" w14:textId="4BC62A44" w:rsidR="00D77E73" w:rsidRPr="002E7B55" w:rsidRDefault="00D77E73" w:rsidP="00D77E73">
      <w:pPr>
        <w:pStyle w:val="Heading2"/>
      </w:pPr>
      <w:r w:rsidRPr="002E7B55">
        <w:t>Programme funding</w:t>
      </w:r>
    </w:p>
    <w:p w14:paraId="01FC71F6" w14:textId="15431C69" w:rsidR="00B81D29" w:rsidRPr="002E7B55" w:rsidRDefault="00B81D29" w:rsidP="00B81D29">
      <w:r w:rsidRPr="002E7B55">
        <w:t>MIMVP contracts in 2021 included funding for the following:</w:t>
      </w:r>
    </w:p>
    <w:p w14:paraId="4CAC95D3" w14:textId="1E840B45" w:rsidR="00B81D29" w:rsidRPr="002E7B55" w:rsidRDefault="00B81D29" w:rsidP="00B81D29">
      <w:pPr>
        <w:pStyle w:val="ListParagraph"/>
        <w:numPr>
          <w:ilvl w:val="0"/>
          <w:numId w:val="11"/>
        </w:numPr>
        <w:rPr>
          <w:lang w:val="en-NZ"/>
        </w:rPr>
      </w:pPr>
      <w:r w:rsidRPr="002E7B55">
        <w:rPr>
          <w:lang w:val="en-NZ"/>
        </w:rPr>
        <w:t xml:space="preserve">communications, </w:t>
      </w:r>
      <w:proofErr w:type="gramStart"/>
      <w:r w:rsidRPr="002E7B55">
        <w:rPr>
          <w:lang w:val="en-NZ"/>
        </w:rPr>
        <w:t>phone</w:t>
      </w:r>
      <w:proofErr w:type="gramEnd"/>
      <w:r w:rsidR="001D404F" w:rsidRPr="002E7B55">
        <w:rPr>
          <w:lang w:val="en-NZ"/>
        </w:rPr>
        <w:t xml:space="preserve"> or </w:t>
      </w:r>
      <w:r w:rsidRPr="002E7B55">
        <w:rPr>
          <w:lang w:val="en-NZ"/>
        </w:rPr>
        <w:t xml:space="preserve">digital outreach support for </w:t>
      </w:r>
      <w:proofErr w:type="spellStart"/>
      <w:r w:rsidRPr="002E7B55">
        <w:rPr>
          <w:lang w:val="en-NZ"/>
        </w:rPr>
        <w:t>pakeke</w:t>
      </w:r>
      <w:proofErr w:type="spellEnd"/>
      <w:r w:rsidRPr="002E7B55">
        <w:rPr>
          <w:lang w:val="en-NZ"/>
        </w:rPr>
        <w:t xml:space="preserve"> and </w:t>
      </w:r>
      <w:proofErr w:type="spellStart"/>
      <w:r w:rsidRPr="002E7B55">
        <w:rPr>
          <w:lang w:val="en-NZ"/>
        </w:rPr>
        <w:t>kaumātua</w:t>
      </w:r>
      <w:proofErr w:type="spellEnd"/>
      <w:r w:rsidRPr="002E7B55">
        <w:rPr>
          <w:lang w:val="en-NZ"/>
        </w:rPr>
        <w:t xml:space="preserve"> to provide reminders of appointments</w:t>
      </w:r>
    </w:p>
    <w:p w14:paraId="13FCA6FC" w14:textId="77777777" w:rsidR="00B81D29" w:rsidRPr="002E7B55" w:rsidRDefault="00B81D29" w:rsidP="00B81D29">
      <w:pPr>
        <w:pStyle w:val="ListParagraph"/>
        <w:numPr>
          <w:ilvl w:val="0"/>
          <w:numId w:val="11"/>
        </w:numPr>
        <w:rPr>
          <w:lang w:val="en-NZ"/>
        </w:rPr>
      </w:pPr>
      <w:r w:rsidRPr="002E7B55">
        <w:rPr>
          <w:lang w:val="en-NZ"/>
        </w:rPr>
        <w:t>additional costs for workforce to deliver the provider’s specific initiative to increase Māori influenza and measles immunisations under the contract</w:t>
      </w:r>
    </w:p>
    <w:p w14:paraId="5E9EC82B" w14:textId="77777777" w:rsidR="00B81D29" w:rsidRPr="002E7B55" w:rsidRDefault="00B81D29" w:rsidP="00B81D29">
      <w:pPr>
        <w:pStyle w:val="ListParagraph"/>
        <w:numPr>
          <w:ilvl w:val="0"/>
          <w:numId w:val="11"/>
        </w:numPr>
        <w:rPr>
          <w:lang w:val="en-NZ"/>
        </w:rPr>
      </w:pPr>
      <w:r w:rsidRPr="002E7B55">
        <w:rPr>
          <w:lang w:val="en-NZ"/>
        </w:rPr>
        <w:t xml:space="preserve">cost of venue hire, tents, chairs, </w:t>
      </w:r>
      <w:proofErr w:type="gramStart"/>
      <w:r w:rsidRPr="002E7B55">
        <w:rPr>
          <w:lang w:val="en-NZ"/>
        </w:rPr>
        <w:t>tables</w:t>
      </w:r>
      <w:proofErr w:type="gramEnd"/>
      <w:r w:rsidRPr="002E7B55">
        <w:rPr>
          <w:lang w:val="en-NZ"/>
        </w:rPr>
        <w:t xml:space="preserve"> and other equipment as needed to deliver the provider’s specific initiative to increase Māori influenza and measles immunisations</w:t>
      </w:r>
    </w:p>
    <w:p w14:paraId="0C72036C" w14:textId="4AA59913" w:rsidR="00B81D29" w:rsidRPr="002E7B55" w:rsidRDefault="00B81D29" w:rsidP="00B81D29">
      <w:pPr>
        <w:pStyle w:val="ListParagraph"/>
        <w:numPr>
          <w:ilvl w:val="0"/>
          <w:numId w:val="11"/>
        </w:numPr>
        <w:rPr>
          <w:lang w:val="en-NZ"/>
        </w:rPr>
      </w:pPr>
      <w:r w:rsidRPr="002E7B55">
        <w:rPr>
          <w:lang w:val="en-NZ"/>
        </w:rPr>
        <w:t xml:space="preserve">PPE gear and other clinical requirements to provide protection, </w:t>
      </w:r>
      <w:proofErr w:type="gramStart"/>
      <w:r w:rsidRPr="002E7B55">
        <w:rPr>
          <w:lang w:val="en-NZ"/>
        </w:rPr>
        <w:t>sanitation</w:t>
      </w:r>
      <w:proofErr w:type="gramEnd"/>
      <w:r w:rsidRPr="002E7B55">
        <w:rPr>
          <w:lang w:val="en-NZ"/>
        </w:rPr>
        <w:t xml:space="preserve"> and security as part of the operational set up of this initiative (if required for COVID-19 alert levels)</w:t>
      </w:r>
    </w:p>
    <w:p w14:paraId="0CFA0BFF" w14:textId="77777777" w:rsidR="00B81D29" w:rsidRPr="002E7B55" w:rsidRDefault="00B81D29" w:rsidP="00B81D29">
      <w:pPr>
        <w:pStyle w:val="ListParagraph"/>
        <w:numPr>
          <w:ilvl w:val="0"/>
          <w:numId w:val="11"/>
        </w:numPr>
        <w:rPr>
          <w:lang w:val="en-NZ"/>
        </w:rPr>
      </w:pPr>
      <w:r w:rsidRPr="002E7B55">
        <w:rPr>
          <w:lang w:val="en-NZ"/>
        </w:rPr>
        <w:t>transport costs to and from clinics or homes or to enable whānau to attend appointments for this Māori influenza and measles immunisation initiative</w:t>
      </w:r>
    </w:p>
    <w:p w14:paraId="6FAAED3B" w14:textId="388618B0" w:rsidR="00B81D29" w:rsidRPr="002E7B55" w:rsidRDefault="00B81D29" w:rsidP="00B81D29">
      <w:pPr>
        <w:pStyle w:val="ListParagraph"/>
        <w:numPr>
          <w:ilvl w:val="0"/>
          <w:numId w:val="11"/>
        </w:numPr>
        <w:rPr>
          <w:lang w:val="en-NZ"/>
        </w:rPr>
      </w:pPr>
      <w:r w:rsidRPr="002E7B55">
        <w:rPr>
          <w:lang w:val="en-NZ"/>
        </w:rPr>
        <w:t xml:space="preserve">consumables, and other expenses as deemed necessary as part of the provider’s specific initiative to increase Māori immunisations” </w:t>
      </w:r>
      <w:sdt>
        <w:sdtPr>
          <w:rPr>
            <w:lang w:val="en-NZ"/>
          </w:rPr>
          <w:id w:val="968709645"/>
          <w:citation/>
        </w:sdtPr>
        <w:sdtEndPr/>
        <w:sdtContent>
          <w:r w:rsidRPr="002E7B55">
            <w:rPr>
              <w:lang w:val="en-NZ"/>
            </w:rPr>
            <w:fldChar w:fldCharType="begin"/>
          </w:r>
          <w:r w:rsidRPr="002E7B55">
            <w:rPr>
              <w:lang w:val="en-NZ"/>
            </w:rPr>
            <w:instrText xml:space="preserve">CITATION Min212 \p 2 \l 5129 </w:instrText>
          </w:r>
          <w:r w:rsidRPr="002E7B55">
            <w:rPr>
              <w:lang w:val="en-NZ"/>
            </w:rPr>
            <w:fldChar w:fldCharType="separate"/>
          </w:r>
          <w:r w:rsidR="00025361" w:rsidRPr="002E7B55">
            <w:rPr>
              <w:lang w:val="en-NZ"/>
            </w:rPr>
            <w:t>(20 p. 2)</w:t>
          </w:r>
          <w:r w:rsidRPr="002E7B55">
            <w:rPr>
              <w:lang w:val="en-NZ"/>
            </w:rPr>
            <w:fldChar w:fldCharType="end"/>
          </w:r>
        </w:sdtContent>
      </w:sdt>
      <w:r w:rsidR="00B64DBF" w:rsidRPr="002E7B55">
        <w:rPr>
          <w:lang w:val="en-NZ"/>
        </w:rPr>
        <w:t>.</w:t>
      </w:r>
    </w:p>
    <w:p w14:paraId="7D81EE7B" w14:textId="4F4AF5D8" w:rsidR="00D77E73" w:rsidRDefault="00082D4A" w:rsidP="00D77E73">
      <w:r w:rsidRPr="002E7B55">
        <w:t>The Ministry of Health (the Ministry) allocated $7.86m (from a budget of $8.35m) for MIMVP</w:t>
      </w:r>
      <w:r w:rsidR="00D77E73" w:rsidRPr="002E7B55">
        <w:t xml:space="preserve"> </w:t>
      </w:r>
      <w:r w:rsidRPr="002E7B55">
        <w:t>The Ministry contracted with 12 providers directly, (known as “direct-funded providers”) for a combined total of $2.40m, and 10 DHBs for $5.32m.</w:t>
      </w:r>
      <w:r w:rsidR="00D77E73" w:rsidRPr="002E7B55">
        <w:t xml:space="preserve"> One DHB contract covered multiple regions (the Auckland Metro contract held by Counties Manukau covered Auckland, Counties-Manukau and Waitematā regions). Two DHBs collaborated to deliver their MIMVP activities (Canterbury and West Coast). In one region (Bay of Plenty) the Ministry contracted with both the DHB and one provider directly. </w:t>
      </w:r>
    </w:p>
    <w:p w14:paraId="09C62C6C" w14:textId="1CA92F45" w:rsidR="004F662B" w:rsidRDefault="004F662B">
      <w:pPr>
        <w:spacing w:before="0" w:after="160" w:line="259" w:lineRule="auto"/>
      </w:pPr>
      <w:r>
        <w:br w:type="page"/>
      </w:r>
    </w:p>
    <w:tbl>
      <w:tblPr>
        <w:tblStyle w:val="ListTable3-Accent1"/>
        <w:tblW w:w="5000" w:type="pct"/>
        <w:tblLook w:val="06E0" w:firstRow="1" w:lastRow="1" w:firstColumn="1" w:lastColumn="0" w:noHBand="1" w:noVBand="1"/>
      </w:tblPr>
      <w:tblGrid>
        <w:gridCol w:w="3449"/>
        <w:gridCol w:w="2027"/>
        <w:gridCol w:w="1787"/>
        <w:gridCol w:w="2116"/>
      </w:tblGrid>
      <w:tr w:rsidR="00D77E73" w:rsidRPr="004F662B" w14:paraId="0562C877" w14:textId="77777777" w:rsidTr="00B81D29">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839" w:type="pct"/>
            <w:noWrap/>
            <w:hideMark/>
          </w:tcPr>
          <w:p w14:paraId="7CA6D419" w14:textId="77777777" w:rsidR="00D77E73" w:rsidRPr="004F662B" w:rsidRDefault="00D77E73" w:rsidP="004F662B">
            <w:pPr>
              <w:pStyle w:val="TableText"/>
              <w:spacing w:beforeLines="60" w:before="144" w:afterLines="60" w:after="144"/>
              <w:rPr>
                <w:color w:val="FFFFFF" w:themeColor="background1"/>
              </w:rPr>
            </w:pPr>
            <w:r w:rsidRPr="004F662B">
              <w:rPr>
                <w:color w:val="FFFFFF" w:themeColor="background1"/>
              </w:rPr>
              <w:lastRenderedPageBreak/>
              <w:t>DHB region</w:t>
            </w:r>
          </w:p>
        </w:tc>
        <w:tc>
          <w:tcPr>
            <w:tcW w:w="1081" w:type="pct"/>
            <w:noWrap/>
            <w:hideMark/>
          </w:tcPr>
          <w:p w14:paraId="2723C72F" w14:textId="77777777" w:rsidR="00D77E73" w:rsidRPr="004F662B" w:rsidRDefault="00D77E73" w:rsidP="004F662B">
            <w:pPr>
              <w:pStyle w:val="TableText"/>
              <w:spacing w:beforeLines="60" w:before="144" w:afterLines="60" w:after="144"/>
              <w:cnfStyle w:val="100000000000" w:firstRow="1" w:lastRow="0" w:firstColumn="0" w:lastColumn="0" w:oddVBand="0" w:evenVBand="0" w:oddHBand="0" w:evenHBand="0" w:firstRowFirstColumn="0" w:firstRowLastColumn="0" w:lastRowFirstColumn="0" w:lastRowLastColumn="0"/>
              <w:rPr>
                <w:color w:val="FFFFFF" w:themeColor="background1"/>
              </w:rPr>
            </w:pPr>
            <w:r w:rsidRPr="004F662B">
              <w:rPr>
                <w:color w:val="FFFFFF" w:themeColor="background1"/>
              </w:rPr>
              <w:t>Total funding awarded</w:t>
            </w:r>
          </w:p>
        </w:tc>
        <w:tc>
          <w:tcPr>
            <w:tcW w:w="953" w:type="pct"/>
            <w:noWrap/>
            <w:hideMark/>
          </w:tcPr>
          <w:p w14:paraId="229D128B" w14:textId="77777777" w:rsidR="00D77E73" w:rsidRPr="004F662B" w:rsidRDefault="00D77E73" w:rsidP="004F662B">
            <w:pPr>
              <w:pStyle w:val="TableText"/>
              <w:spacing w:beforeLines="60" w:before="144" w:afterLines="60" w:after="144"/>
              <w:cnfStyle w:val="100000000000" w:firstRow="1" w:lastRow="0" w:firstColumn="0" w:lastColumn="0" w:oddVBand="0" w:evenVBand="0" w:oddHBand="0" w:evenHBand="0" w:firstRowFirstColumn="0" w:firstRowLastColumn="0" w:lastRowFirstColumn="0" w:lastRowLastColumn="0"/>
              <w:rPr>
                <w:color w:val="FFFFFF" w:themeColor="background1"/>
              </w:rPr>
            </w:pPr>
            <w:r w:rsidRPr="004F662B">
              <w:rPr>
                <w:color w:val="FFFFFF" w:themeColor="background1"/>
              </w:rPr>
              <w:t>DHB-held contracts</w:t>
            </w:r>
          </w:p>
        </w:tc>
        <w:tc>
          <w:tcPr>
            <w:tcW w:w="1128" w:type="pct"/>
            <w:noWrap/>
            <w:hideMark/>
          </w:tcPr>
          <w:p w14:paraId="7EDD285F" w14:textId="77777777" w:rsidR="00D77E73" w:rsidRPr="004F662B" w:rsidRDefault="00D77E73" w:rsidP="004F662B">
            <w:pPr>
              <w:pStyle w:val="TableText"/>
              <w:spacing w:beforeLines="60" w:before="144" w:afterLines="60" w:after="144"/>
              <w:cnfStyle w:val="100000000000" w:firstRow="1" w:lastRow="0" w:firstColumn="0" w:lastColumn="0" w:oddVBand="0" w:evenVBand="0" w:oddHBand="0" w:evenHBand="0" w:firstRowFirstColumn="0" w:firstRowLastColumn="0" w:lastRowFirstColumn="0" w:lastRowLastColumn="0"/>
              <w:rPr>
                <w:color w:val="FFFFFF" w:themeColor="background1"/>
              </w:rPr>
            </w:pPr>
            <w:r w:rsidRPr="004F662B">
              <w:rPr>
                <w:color w:val="FFFFFF" w:themeColor="background1"/>
              </w:rPr>
              <w:t>Provider-held contracts</w:t>
            </w:r>
          </w:p>
        </w:tc>
      </w:tr>
      <w:tr w:rsidR="00D77E73" w:rsidRPr="004F662B" w14:paraId="383E5F1D"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39B12BC3" w14:textId="77777777" w:rsidR="00D77E73" w:rsidRPr="004F662B" w:rsidRDefault="00D77E73" w:rsidP="004F662B">
            <w:pPr>
              <w:pStyle w:val="TableText"/>
              <w:spacing w:beforeLines="60" w:before="144" w:afterLines="60" w:after="144"/>
            </w:pPr>
            <w:r w:rsidRPr="004F662B">
              <w:t>Auckland/Counties-Manukau/Waitematā</w:t>
            </w:r>
          </w:p>
        </w:tc>
        <w:tc>
          <w:tcPr>
            <w:tcW w:w="1081" w:type="pct"/>
            <w:noWrap/>
            <w:hideMark/>
          </w:tcPr>
          <w:p w14:paraId="5CE8A9F6"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$1,900,000 </w:t>
            </w:r>
          </w:p>
        </w:tc>
        <w:tc>
          <w:tcPr>
            <w:tcW w:w="953" w:type="pct"/>
            <w:noWrap/>
            <w:hideMark/>
          </w:tcPr>
          <w:p w14:paraId="64CD1F34"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$1,900,000 </w:t>
            </w:r>
          </w:p>
        </w:tc>
        <w:tc>
          <w:tcPr>
            <w:tcW w:w="1128" w:type="pct"/>
            <w:noWrap/>
            <w:hideMark/>
          </w:tcPr>
          <w:p w14:paraId="2C32E9C1"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3C6ADDAE"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4BD3B8BF" w14:textId="77777777" w:rsidR="00D77E73" w:rsidRPr="004F662B" w:rsidRDefault="00D77E73" w:rsidP="004F662B">
            <w:pPr>
              <w:pStyle w:val="TableText"/>
              <w:spacing w:beforeLines="60" w:before="144" w:afterLines="60" w:after="144"/>
            </w:pPr>
            <w:r w:rsidRPr="004F662B">
              <w:t>Waikato</w:t>
            </w:r>
          </w:p>
        </w:tc>
        <w:tc>
          <w:tcPr>
            <w:tcW w:w="1081" w:type="pct"/>
            <w:noWrap/>
            <w:hideMark/>
          </w:tcPr>
          <w:p w14:paraId="14634FBB"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$961,134 </w:t>
            </w:r>
          </w:p>
        </w:tc>
        <w:tc>
          <w:tcPr>
            <w:tcW w:w="953" w:type="pct"/>
            <w:noWrap/>
            <w:hideMark/>
          </w:tcPr>
          <w:p w14:paraId="40F67254"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498CDF99"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$961,134 </w:t>
            </w:r>
          </w:p>
        </w:tc>
      </w:tr>
      <w:tr w:rsidR="00D77E73" w:rsidRPr="004F662B" w14:paraId="45818999"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6AC721AB" w14:textId="77777777" w:rsidR="00D77E73" w:rsidRPr="004F662B" w:rsidRDefault="00D77E73" w:rsidP="004F662B">
            <w:pPr>
              <w:pStyle w:val="TableText"/>
              <w:spacing w:beforeLines="60" w:before="144" w:afterLines="60" w:after="144"/>
            </w:pPr>
            <w:r w:rsidRPr="004F662B">
              <w:t>Bay of Plenty</w:t>
            </w:r>
          </w:p>
        </w:tc>
        <w:tc>
          <w:tcPr>
            <w:tcW w:w="1081" w:type="pct"/>
            <w:noWrap/>
            <w:hideMark/>
          </w:tcPr>
          <w:p w14:paraId="74638591"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$811,370 </w:t>
            </w:r>
          </w:p>
        </w:tc>
        <w:tc>
          <w:tcPr>
            <w:tcW w:w="953" w:type="pct"/>
            <w:noWrap/>
            <w:hideMark/>
          </w:tcPr>
          <w:p w14:paraId="290813F9"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$690,000 </w:t>
            </w:r>
          </w:p>
        </w:tc>
        <w:tc>
          <w:tcPr>
            <w:tcW w:w="1128" w:type="pct"/>
            <w:noWrap/>
            <w:hideMark/>
          </w:tcPr>
          <w:p w14:paraId="35F2FA8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$121,370 </w:t>
            </w:r>
          </w:p>
        </w:tc>
      </w:tr>
      <w:tr w:rsidR="00D77E73" w:rsidRPr="004F662B" w14:paraId="527549B6"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15887EC9" w14:textId="77777777" w:rsidR="00D77E73" w:rsidRPr="004F662B" w:rsidRDefault="00D77E73" w:rsidP="004F662B">
            <w:pPr>
              <w:pStyle w:val="TableText"/>
              <w:spacing w:beforeLines="60" w:before="144" w:afterLines="60" w:after="144"/>
            </w:pPr>
            <w:r w:rsidRPr="004F662B">
              <w:t>Northland</w:t>
            </w:r>
          </w:p>
        </w:tc>
        <w:tc>
          <w:tcPr>
            <w:tcW w:w="1081" w:type="pct"/>
            <w:noWrap/>
            <w:hideMark/>
          </w:tcPr>
          <w:p w14:paraId="3074B472"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$770,000 </w:t>
            </w:r>
          </w:p>
        </w:tc>
        <w:tc>
          <w:tcPr>
            <w:tcW w:w="953" w:type="pct"/>
            <w:noWrap/>
            <w:hideMark/>
          </w:tcPr>
          <w:p w14:paraId="083B419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$770,000 </w:t>
            </w:r>
          </w:p>
        </w:tc>
        <w:tc>
          <w:tcPr>
            <w:tcW w:w="1128" w:type="pct"/>
            <w:noWrap/>
            <w:hideMark/>
          </w:tcPr>
          <w:p w14:paraId="644F54CE"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1AD210C7"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7899B403" w14:textId="77777777" w:rsidR="00D77E73" w:rsidRPr="004F662B" w:rsidRDefault="00D77E73" w:rsidP="004F662B">
            <w:pPr>
              <w:pStyle w:val="TableText"/>
              <w:spacing w:beforeLines="60" w:before="144" w:afterLines="60" w:after="144"/>
            </w:pPr>
            <w:r w:rsidRPr="004F662B">
              <w:t>Hawke's Bay</w:t>
            </w:r>
          </w:p>
        </w:tc>
        <w:tc>
          <w:tcPr>
            <w:tcW w:w="1081" w:type="pct"/>
            <w:noWrap/>
            <w:hideMark/>
          </w:tcPr>
          <w:p w14:paraId="3B9BE2AF"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$494,000 </w:t>
            </w:r>
          </w:p>
        </w:tc>
        <w:tc>
          <w:tcPr>
            <w:tcW w:w="953" w:type="pct"/>
            <w:noWrap/>
            <w:hideMark/>
          </w:tcPr>
          <w:p w14:paraId="6654165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$494,000 </w:t>
            </w:r>
          </w:p>
        </w:tc>
        <w:tc>
          <w:tcPr>
            <w:tcW w:w="1128" w:type="pct"/>
            <w:noWrap/>
            <w:hideMark/>
          </w:tcPr>
          <w:p w14:paraId="42E9B50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18FF90CA"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07DA7039" w14:textId="77777777" w:rsidR="00D77E73" w:rsidRPr="004F662B" w:rsidRDefault="00D77E73" w:rsidP="004F662B">
            <w:pPr>
              <w:pStyle w:val="TableText"/>
              <w:spacing w:beforeLines="60" w:before="144" w:afterLines="60" w:after="144"/>
            </w:pPr>
            <w:r w:rsidRPr="004F662B">
              <w:t>Lakes</w:t>
            </w:r>
          </w:p>
        </w:tc>
        <w:tc>
          <w:tcPr>
            <w:tcW w:w="1081" w:type="pct"/>
            <w:noWrap/>
            <w:hideMark/>
          </w:tcPr>
          <w:p w14:paraId="620FEA96"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$451,108 </w:t>
            </w:r>
          </w:p>
        </w:tc>
        <w:tc>
          <w:tcPr>
            <w:tcW w:w="953" w:type="pct"/>
            <w:noWrap/>
            <w:hideMark/>
          </w:tcPr>
          <w:p w14:paraId="17A758F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$451,108 </w:t>
            </w:r>
          </w:p>
        </w:tc>
        <w:tc>
          <w:tcPr>
            <w:tcW w:w="1128" w:type="pct"/>
            <w:noWrap/>
            <w:hideMark/>
          </w:tcPr>
          <w:p w14:paraId="0A0C6807"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78F321AF"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1F624A5C" w14:textId="77777777" w:rsidR="00D77E73" w:rsidRPr="004F662B" w:rsidRDefault="00D77E73" w:rsidP="004F662B">
            <w:pPr>
              <w:pStyle w:val="TableText"/>
              <w:spacing w:beforeLines="60" w:before="144" w:afterLines="60" w:after="144"/>
            </w:pPr>
            <w:r w:rsidRPr="004F662B">
              <w:t>Canterbury/West Coast</w:t>
            </w:r>
          </w:p>
        </w:tc>
        <w:tc>
          <w:tcPr>
            <w:tcW w:w="1081" w:type="pct"/>
            <w:noWrap/>
            <w:hideMark/>
          </w:tcPr>
          <w:p w14:paraId="18CB6F0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$377,735 </w:t>
            </w:r>
          </w:p>
        </w:tc>
        <w:tc>
          <w:tcPr>
            <w:tcW w:w="953" w:type="pct"/>
            <w:noWrap/>
            <w:hideMark/>
          </w:tcPr>
          <w:p w14:paraId="4F6E736C"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$228,747 </w:t>
            </w:r>
          </w:p>
        </w:tc>
        <w:tc>
          <w:tcPr>
            <w:tcW w:w="1128" w:type="pct"/>
            <w:noWrap/>
            <w:hideMark/>
          </w:tcPr>
          <w:p w14:paraId="5B4ECBF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72972202"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226032CF" w14:textId="77777777" w:rsidR="00D77E73" w:rsidRPr="004F662B" w:rsidRDefault="00D77E73" w:rsidP="004F662B">
            <w:pPr>
              <w:pStyle w:val="TableText"/>
              <w:spacing w:beforeLines="60" w:before="144" w:afterLines="60" w:after="144"/>
            </w:pPr>
            <w:proofErr w:type="spellStart"/>
            <w:r w:rsidRPr="004F662B">
              <w:t>MidCentral</w:t>
            </w:r>
            <w:proofErr w:type="spellEnd"/>
          </w:p>
        </w:tc>
        <w:tc>
          <w:tcPr>
            <w:tcW w:w="1081" w:type="pct"/>
            <w:noWrap/>
            <w:hideMark/>
          </w:tcPr>
          <w:p w14:paraId="5F89E8F8"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$360,000 </w:t>
            </w:r>
          </w:p>
        </w:tc>
        <w:tc>
          <w:tcPr>
            <w:tcW w:w="953" w:type="pct"/>
            <w:noWrap/>
            <w:hideMark/>
          </w:tcPr>
          <w:p w14:paraId="48BB4DA8"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549EFE8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$360,000 </w:t>
            </w:r>
          </w:p>
        </w:tc>
      </w:tr>
      <w:tr w:rsidR="00D77E73" w:rsidRPr="004F662B" w14:paraId="1DF10273"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2B00A3EF" w14:textId="77777777" w:rsidR="00D77E73" w:rsidRPr="004F662B" w:rsidRDefault="00D77E73" w:rsidP="004F662B">
            <w:pPr>
              <w:pStyle w:val="TableText"/>
              <w:spacing w:beforeLines="60" w:before="144" w:afterLines="60" w:after="144"/>
            </w:pPr>
            <w:r w:rsidRPr="004F662B">
              <w:t>Capital and Coast</w:t>
            </w:r>
          </w:p>
        </w:tc>
        <w:tc>
          <w:tcPr>
            <w:tcW w:w="1081" w:type="pct"/>
            <w:noWrap/>
            <w:hideMark/>
          </w:tcPr>
          <w:p w14:paraId="529DCF61"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$355,220 </w:t>
            </w:r>
          </w:p>
        </w:tc>
        <w:tc>
          <w:tcPr>
            <w:tcW w:w="953" w:type="pct"/>
            <w:noWrap/>
            <w:hideMark/>
          </w:tcPr>
          <w:p w14:paraId="0B29A7FD"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$355,220 </w:t>
            </w:r>
          </w:p>
        </w:tc>
        <w:tc>
          <w:tcPr>
            <w:tcW w:w="1128" w:type="pct"/>
            <w:noWrap/>
            <w:hideMark/>
          </w:tcPr>
          <w:p w14:paraId="581E5007"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6B4C19AA"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41F7AA74" w14:textId="77777777" w:rsidR="00D77E73" w:rsidRPr="004F662B" w:rsidRDefault="00D77E73" w:rsidP="004F662B">
            <w:pPr>
              <w:pStyle w:val="TableText"/>
              <w:spacing w:beforeLines="60" w:before="144" w:afterLines="60" w:after="144"/>
            </w:pPr>
            <w:r w:rsidRPr="004F662B">
              <w:t>Tairāwhiti</w:t>
            </w:r>
          </w:p>
        </w:tc>
        <w:tc>
          <w:tcPr>
            <w:tcW w:w="1081" w:type="pct"/>
            <w:noWrap/>
            <w:hideMark/>
          </w:tcPr>
          <w:p w14:paraId="5552F237"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$340,000 </w:t>
            </w:r>
          </w:p>
        </w:tc>
        <w:tc>
          <w:tcPr>
            <w:tcW w:w="953" w:type="pct"/>
            <w:noWrap/>
            <w:hideMark/>
          </w:tcPr>
          <w:p w14:paraId="6A230C28"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$340,000 </w:t>
            </w:r>
          </w:p>
        </w:tc>
        <w:tc>
          <w:tcPr>
            <w:tcW w:w="1128" w:type="pct"/>
            <w:noWrap/>
            <w:hideMark/>
          </w:tcPr>
          <w:p w14:paraId="5D96551D"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646AF980"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618190AF" w14:textId="77777777" w:rsidR="00D77E73" w:rsidRPr="004F662B" w:rsidRDefault="00D77E73" w:rsidP="004F662B">
            <w:pPr>
              <w:pStyle w:val="TableText"/>
              <w:spacing w:beforeLines="60" w:before="144" w:afterLines="60" w:after="144"/>
            </w:pPr>
            <w:r w:rsidRPr="004F662B">
              <w:t>Hutt Valley</w:t>
            </w:r>
          </w:p>
        </w:tc>
        <w:tc>
          <w:tcPr>
            <w:tcW w:w="1081" w:type="pct"/>
            <w:noWrap/>
            <w:hideMark/>
          </w:tcPr>
          <w:p w14:paraId="42986237"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$241,624 </w:t>
            </w:r>
          </w:p>
        </w:tc>
        <w:tc>
          <w:tcPr>
            <w:tcW w:w="953" w:type="pct"/>
            <w:noWrap/>
            <w:hideMark/>
          </w:tcPr>
          <w:p w14:paraId="6AFCAD3F"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7A8F3ED9"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$241,624 </w:t>
            </w:r>
          </w:p>
        </w:tc>
      </w:tr>
      <w:tr w:rsidR="00D77E73" w:rsidRPr="004F662B" w14:paraId="12D5779A"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76F28847" w14:textId="77777777" w:rsidR="00D77E73" w:rsidRPr="004F662B" w:rsidRDefault="00D77E73" w:rsidP="004F662B">
            <w:pPr>
              <w:pStyle w:val="TableText"/>
              <w:spacing w:beforeLines="60" w:before="144" w:afterLines="60" w:after="144"/>
            </w:pPr>
            <w:r w:rsidRPr="004F662B">
              <w:t>Taranaki</w:t>
            </w:r>
          </w:p>
        </w:tc>
        <w:tc>
          <w:tcPr>
            <w:tcW w:w="1081" w:type="pct"/>
            <w:noWrap/>
            <w:hideMark/>
          </w:tcPr>
          <w:p w14:paraId="5162F16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$238,467 </w:t>
            </w:r>
          </w:p>
        </w:tc>
        <w:tc>
          <w:tcPr>
            <w:tcW w:w="953" w:type="pct"/>
            <w:noWrap/>
            <w:hideMark/>
          </w:tcPr>
          <w:p w14:paraId="5BD39538"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5F1063E7"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$238,467 </w:t>
            </w:r>
          </w:p>
        </w:tc>
      </w:tr>
      <w:tr w:rsidR="00D77E73" w:rsidRPr="004F662B" w14:paraId="734E8D4E"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225A0AE4" w14:textId="77777777" w:rsidR="00D77E73" w:rsidRPr="004F662B" w:rsidRDefault="00D77E73" w:rsidP="004F662B">
            <w:pPr>
              <w:pStyle w:val="TableText"/>
              <w:spacing w:beforeLines="60" w:before="144" w:afterLines="60" w:after="144"/>
            </w:pPr>
            <w:r w:rsidRPr="004F662B">
              <w:t>Whanganui</w:t>
            </w:r>
          </w:p>
        </w:tc>
        <w:tc>
          <w:tcPr>
            <w:tcW w:w="1081" w:type="pct"/>
            <w:noWrap/>
            <w:hideMark/>
          </w:tcPr>
          <w:p w14:paraId="73608C4A"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$216,071 </w:t>
            </w:r>
          </w:p>
        </w:tc>
        <w:tc>
          <w:tcPr>
            <w:tcW w:w="953" w:type="pct"/>
            <w:noWrap/>
            <w:hideMark/>
          </w:tcPr>
          <w:p w14:paraId="59F2ED50"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57870EC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$216,071 </w:t>
            </w:r>
          </w:p>
        </w:tc>
      </w:tr>
      <w:tr w:rsidR="00D77E73" w:rsidRPr="004F662B" w14:paraId="2AA0B5A5"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278FDF33" w14:textId="77777777" w:rsidR="00D77E73" w:rsidRPr="004F662B" w:rsidRDefault="00D77E73" w:rsidP="004F662B">
            <w:pPr>
              <w:pStyle w:val="TableText"/>
              <w:spacing w:beforeLines="60" w:before="144" w:afterLines="60" w:after="144"/>
            </w:pPr>
            <w:r w:rsidRPr="004F662B">
              <w:t>Southern</w:t>
            </w:r>
          </w:p>
        </w:tc>
        <w:tc>
          <w:tcPr>
            <w:tcW w:w="1081" w:type="pct"/>
            <w:noWrap/>
            <w:hideMark/>
          </w:tcPr>
          <w:p w14:paraId="557276BA"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$115,637 </w:t>
            </w:r>
          </w:p>
        </w:tc>
        <w:tc>
          <w:tcPr>
            <w:tcW w:w="953" w:type="pct"/>
            <w:noWrap/>
            <w:hideMark/>
          </w:tcPr>
          <w:p w14:paraId="23419730"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2651C93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$115,637 </w:t>
            </w:r>
          </w:p>
        </w:tc>
      </w:tr>
      <w:tr w:rsidR="00D77E73" w:rsidRPr="004F662B" w14:paraId="205BF941"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7265480A" w14:textId="77777777" w:rsidR="00D77E73" w:rsidRPr="004F662B" w:rsidRDefault="00D77E73" w:rsidP="004F662B">
            <w:pPr>
              <w:pStyle w:val="TableText"/>
              <w:spacing w:beforeLines="60" w:before="144" w:afterLines="60" w:after="144"/>
            </w:pPr>
            <w:r w:rsidRPr="004F662B">
              <w:t>Nelson/Marlborough</w:t>
            </w:r>
          </w:p>
        </w:tc>
        <w:tc>
          <w:tcPr>
            <w:tcW w:w="1081" w:type="pct"/>
            <w:noWrap/>
            <w:hideMark/>
          </w:tcPr>
          <w:p w14:paraId="3289A451"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$106,270 </w:t>
            </w:r>
          </w:p>
        </w:tc>
        <w:tc>
          <w:tcPr>
            <w:tcW w:w="953" w:type="pct"/>
            <w:noWrap/>
            <w:hideMark/>
          </w:tcPr>
          <w:p w14:paraId="6571747E"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4C8EE109"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$106,270 </w:t>
            </w:r>
          </w:p>
        </w:tc>
      </w:tr>
      <w:tr w:rsidR="00D77E73" w:rsidRPr="004F662B" w14:paraId="2691B184"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0375E412" w14:textId="77777777" w:rsidR="00D77E73" w:rsidRPr="004F662B" w:rsidRDefault="00D77E73" w:rsidP="004F662B">
            <w:pPr>
              <w:pStyle w:val="TableText"/>
              <w:spacing w:beforeLines="60" w:before="144" w:afterLines="60" w:after="144"/>
            </w:pPr>
            <w:r w:rsidRPr="004F662B">
              <w:t>Wairarapa</w:t>
            </w:r>
          </w:p>
        </w:tc>
        <w:tc>
          <w:tcPr>
            <w:tcW w:w="1081" w:type="pct"/>
            <w:noWrap/>
            <w:hideMark/>
          </w:tcPr>
          <w:p w14:paraId="5CBB3585"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$86,000 </w:t>
            </w:r>
          </w:p>
        </w:tc>
        <w:tc>
          <w:tcPr>
            <w:tcW w:w="953" w:type="pct"/>
            <w:noWrap/>
            <w:hideMark/>
          </w:tcPr>
          <w:p w14:paraId="150104E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$86,000 </w:t>
            </w:r>
          </w:p>
        </w:tc>
        <w:tc>
          <w:tcPr>
            <w:tcW w:w="1128" w:type="pct"/>
            <w:noWrap/>
            <w:hideMark/>
          </w:tcPr>
          <w:p w14:paraId="63253C9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r>
      <w:tr w:rsidR="00D77E73" w:rsidRPr="004F662B" w14:paraId="2A5BC512" w14:textId="77777777" w:rsidTr="00B81D29">
        <w:trPr>
          <w:trHeight w:val="285"/>
        </w:trPr>
        <w:tc>
          <w:tcPr>
            <w:cnfStyle w:val="001000000000" w:firstRow="0" w:lastRow="0" w:firstColumn="1" w:lastColumn="0" w:oddVBand="0" w:evenVBand="0" w:oddHBand="0" w:evenHBand="0" w:firstRowFirstColumn="0" w:firstRowLastColumn="0" w:lastRowFirstColumn="0" w:lastRowLastColumn="0"/>
            <w:tcW w:w="1839" w:type="pct"/>
            <w:noWrap/>
            <w:hideMark/>
          </w:tcPr>
          <w:p w14:paraId="3E53CDD3" w14:textId="77777777" w:rsidR="00D77E73" w:rsidRPr="004F662B" w:rsidRDefault="00D77E73" w:rsidP="004F662B">
            <w:pPr>
              <w:pStyle w:val="TableText"/>
              <w:spacing w:beforeLines="60" w:before="144" w:afterLines="60" w:after="144"/>
            </w:pPr>
            <w:r w:rsidRPr="004F662B">
              <w:t>South Canterbury</w:t>
            </w:r>
          </w:p>
        </w:tc>
        <w:tc>
          <w:tcPr>
            <w:tcW w:w="1081" w:type="pct"/>
            <w:noWrap/>
            <w:hideMark/>
          </w:tcPr>
          <w:p w14:paraId="300BEC53"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$40,000 </w:t>
            </w:r>
          </w:p>
        </w:tc>
        <w:tc>
          <w:tcPr>
            <w:tcW w:w="953" w:type="pct"/>
            <w:noWrap/>
            <w:hideMark/>
          </w:tcPr>
          <w:p w14:paraId="5475E95E"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p>
        </w:tc>
        <w:tc>
          <w:tcPr>
            <w:tcW w:w="1128" w:type="pct"/>
            <w:noWrap/>
            <w:hideMark/>
          </w:tcPr>
          <w:p w14:paraId="4A86A459" w14:textId="77777777" w:rsidR="00D77E73" w:rsidRPr="004F662B" w:rsidRDefault="00D77E73" w:rsidP="004F662B">
            <w:pPr>
              <w:pStyle w:val="TableText"/>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4F662B">
              <w:t xml:space="preserve"> $40,000 </w:t>
            </w:r>
          </w:p>
        </w:tc>
      </w:tr>
      <w:tr w:rsidR="00D77E73" w:rsidRPr="004F662B" w14:paraId="5F14049D" w14:textId="77777777" w:rsidTr="00B81D29">
        <w:trPr>
          <w:cnfStyle w:val="010000000000" w:firstRow="0" w:lastRow="1" w:firstColumn="0" w:lastColumn="0" w:oddVBand="0" w:evenVBand="0" w:oddHBand="0" w:evenHBand="0" w:firstRowFirstColumn="0" w:firstRowLastColumn="0" w:lastRowFirstColumn="0" w:lastRowLastColumn="0"/>
          <w:trHeight w:val="285"/>
        </w:trPr>
        <w:tc>
          <w:tcPr>
            <w:cnfStyle w:val="001000000001" w:firstRow="0" w:lastRow="0" w:firstColumn="1" w:lastColumn="0" w:oddVBand="0" w:evenVBand="0" w:oddHBand="0" w:evenHBand="0" w:firstRowFirstColumn="0" w:firstRowLastColumn="0" w:lastRowFirstColumn="1" w:lastRowLastColumn="0"/>
            <w:tcW w:w="1839" w:type="pct"/>
            <w:noWrap/>
            <w:hideMark/>
          </w:tcPr>
          <w:p w14:paraId="1DA41C1B" w14:textId="77777777" w:rsidR="00D77E73" w:rsidRPr="004F662B" w:rsidRDefault="00D77E73" w:rsidP="004F662B">
            <w:pPr>
              <w:pStyle w:val="TableText"/>
              <w:spacing w:beforeLines="60" w:before="144" w:afterLines="60" w:after="144"/>
            </w:pPr>
            <w:r w:rsidRPr="004F662B">
              <w:t>Total</w:t>
            </w:r>
          </w:p>
        </w:tc>
        <w:tc>
          <w:tcPr>
            <w:tcW w:w="1081" w:type="pct"/>
            <w:noWrap/>
            <w:hideMark/>
          </w:tcPr>
          <w:p w14:paraId="3BD7061C" w14:textId="77777777" w:rsidR="00D77E73" w:rsidRPr="004F662B" w:rsidRDefault="00D77E73" w:rsidP="004F662B">
            <w:pPr>
              <w:pStyle w:val="TableText"/>
              <w:spacing w:beforeLines="60" w:before="144" w:afterLines="60" w:after="144"/>
              <w:cnfStyle w:val="010000000000" w:firstRow="0" w:lastRow="1" w:firstColumn="0" w:lastColumn="0" w:oddVBand="0" w:evenVBand="0" w:oddHBand="0" w:evenHBand="0" w:firstRowFirstColumn="0" w:firstRowLastColumn="0" w:lastRowFirstColumn="0" w:lastRowLastColumn="0"/>
            </w:pPr>
            <w:r w:rsidRPr="004F662B">
              <w:t xml:space="preserve">$7,864,636 </w:t>
            </w:r>
          </w:p>
        </w:tc>
        <w:tc>
          <w:tcPr>
            <w:tcW w:w="953" w:type="pct"/>
            <w:noWrap/>
            <w:hideMark/>
          </w:tcPr>
          <w:p w14:paraId="431232E5" w14:textId="77777777" w:rsidR="00D77E73" w:rsidRPr="004F662B" w:rsidRDefault="00D77E73" w:rsidP="004F662B">
            <w:pPr>
              <w:pStyle w:val="TableText"/>
              <w:spacing w:beforeLines="60" w:before="144" w:afterLines="60" w:after="144"/>
              <w:cnfStyle w:val="010000000000" w:firstRow="0" w:lastRow="1" w:firstColumn="0" w:lastColumn="0" w:oddVBand="0" w:evenVBand="0" w:oddHBand="0" w:evenHBand="0" w:firstRowFirstColumn="0" w:firstRowLastColumn="0" w:lastRowFirstColumn="0" w:lastRowLastColumn="0"/>
            </w:pPr>
            <w:r w:rsidRPr="004F662B">
              <w:t xml:space="preserve">$5,315,075 </w:t>
            </w:r>
          </w:p>
        </w:tc>
        <w:tc>
          <w:tcPr>
            <w:tcW w:w="1128" w:type="pct"/>
            <w:noWrap/>
            <w:hideMark/>
          </w:tcPr>
          <w:p w14:paraId="2C37430D" w14:textId="77777777" w:rsidR="00D77E73" w:rsidRPr="004F662B" w:rsidRDefault="00D77E73" w:rsidP="004F662B">
            <w:pPr>
              <w:pStyle w:val="TableText"/>
              <w:spacing w:beforeLines="60" w:before="144" w:afterLines="60" w:after="144"/>
              <w:cnfStyle w:val="010000000000" w:firstRow="0" w:lastRow="1" w:firstColumn="0" w:lastColumn="0" w:oddVBand="0" w:evenVBand="0" w:oddHBand="0" w:evenHBand="0" w:firstRowFirstColumn="0" w:firstRowLastColumn="0" w:lastRowFirstColumn="0" w:lastRowLastColumn="0"/>
            </w:pPr>
            <w:r w:rsidRPr="004F662B">
              <w:t xml:space="preserve">$2,400,573 </w:t>
            </w:r>
          </w:p>
        </w:tc>
      </w:tr>
    </w:tbl>
    <w:p w14:paraId="6FCC2D03" w14:textId="7A6775C4" w:rsidR="00B81D29" w:rsidRPr="002E7B55" w:rsidRDefault="002D7C32" w:rsidP="002D7C32">
      <w:pPr>
        <w:pStyle w:val="Caption"/>
      </w:pPr>
      <w:bookmarkStart w:id="51" w:name="_Toc96341676"/>
      <w:r w:rsidRPr="002E7B55">
        <w:t xml:space="preserve">Table </w:t>
      </w:r>
      <w:r w:rsidRPr="002E7B55">
        <w:fldChar w:fldCharType="begin"/>
      </w:r>
      <w:r w:rsidRPr="002E7B55">
        <w:instrText xml:space="preserve"> SEQ Table \* ARABIC </w:instrText>
      </w:r>
      <w:r w:rsidRPr="002E7B55">
        <w:fldChar w:fldCharType="separate"/>
      </w:r>
      <w:r w:rsidR="004A3284" w:rsidRPr="002E7B55">
        <w:t>1</w:t>
      </w:r>
      <w:r w:rsidRPr="002E7B55">
        <w:fldChar w:fldCharType="end"/>
      </w:r>
      <w:r w:rsidR="00535F87" w:rsidRPr="002E7B55">
        <w:t>: MIMVP funding allocation in each region</w:t>
      </w:r>
      <w:bookmarkEnd w:id="51"/>
    </w:p>
    <w:p w14:paraId="36D8B665" w14:textId="77777777" w:rsidR="004F662B" w:rsidRDefault="004F662B">
      <w:pPr>
        <w:spacing w:before="0" w:after="160" w:line="259" w:lineRule="auto"/>
        <w:rPr>
          <w:rFonts w:asciiTheme="majorHAnsi" w:eastAsiaTheme="majorEastAsia" w:hAnsiTheme="majorHAnsi" w:cstheme="majorBidi"/>
          <w:b/>
          <w:bCs/>
          <w:color w:val="197278" w:themeColor="accent1"/>
        </w:rPr>
      </w:pPr>
      <w:r>
        <w:br w:type="page"/>
      </w:r>
    </w:p>
    <w:p w14:paraId="4BBCF418" w14:textId="59F2133B" w:rsidR="00D77E73" w:rsidRPr="002E7B55" w:rsidRDefault="00D77E73" w:rsidP="0041391C">
      <w:pPr>
        <w:pStyle w:val="Heading3"/>
      </w:pPr>
      <w:r w:rsidRPr="002E7B55">
        <w:lastRenderedPageBreak/>
        <w:t>Provider contracting</w:t>
      </w:r>
    </w:p>
    <w:p w14:paraId="77AD314E" w14:textId="202D25F7" w:rsidR="00025361" w:rsidRPr="002E7B55" w:rsidRDefault="00025361" w:rsidP="00025361">
      <w:r w:rsidRPr="002E7B55">
        <w:t>MIMVP contracts funded activities in all 20 DHB regions in 2021, compared to 19 regions in 2020. This was partially a result of the Ministry’s targeted efforts to contact and invite applications from all DHB regions.</w:t>
      </w:r>
    </w:p>
    <w:p w14:paraId="7777ED05" w14:textId="54FC1DA3" w:rsidR="00082D4A" w:rsidRPr="002E7B55" w:rsidRDefault="23D00F57" w:rsidP="00082D4A">
      <w:r w:rsidRPr="002E7B55">
        <w:t>In total, 51 providers took part in MIMVP. Twelve providers were contracted directly with the Ministry</w:t>
      </w:r>
      <w:r w:rsidR="00082D4A" w:rsidRPr="002E7B55">
        <w:t>.</w:t>
      </w:r>
      <w:r w:rsidRPr="002E7B55">
        <w:t xml:space="preserve"> </w:t>
      </w:r>
      <w:r w:rsidR="00082D4A" w:rsidRPr="002E7B55">
        <w:t xml:space="preserve">The DHBs contracted with 39 providers, of which 36 were independent Māori health providers, and three were internal provider arms of DHBs. </w:t>
      </w:r>
    </w:p>
    <w:p w14:paraId="6298D3DD" w14:textId="6B81AAE4" w:rsidR="00D77E73" w:rsidRPr="002E7B55" w:rsidRDefault="23D00F57" w:rsidP="00D77E73">
      <w:r w:rsidRPr="002E7B55">
        <w:t xml:space="preserve">This is a small reduction in the number of providers, compared with 58 in 2020, when 18 providers were direct-funded by the Ministry and approximately 40 providers were contracted through 8 DHBs. </w:t>
      </w:r>
    </w:p>
    <w:p w14:paraId="1C04B0F6" w14:textId="7ECAA941" w:rsidR="00D77E73" w:rsidRPr="002E7B55" w:rsidRDefault="23D00F57" w:rsidP="00D77E73">
      <w:r w:rsidRPr="002E7B55">
        <w:t xml:space="preserve">Over half of the providers said they delivered the flu vaccinations in 2020 through MIVP, while two in five providers delivered </w:t>
      </w:r>
      <w:r w:rsidR="00177254" w:rsidRPr="002E7B55">
        <w:t>them</w:t>
      </w:r>
      <w:r w:rsidRPr="002E7B55">
        <w:t xml:space="preserve"> in 2020 but not through MIVP.</w:t>
      </w:r>
      <w:r w:rsidR="00AD66E4" w:rsidRPr="002E7B55">
        <w:rPr>
          <w:rStyle w:val="EndnoteReference"/>
        </w:rPr>
        <w:endnoteReference w:id="50"/>
      </w:r>
      <w:r w:rsidRPr="002E7B55">
        <w:t xml:space="preserve"> Only one provider offering MIMVP in 2021 did not provide vaccinations in 2020.</w:t>
      </w:r>
    </w:p>
    <w:p w14:paraId="7B058184" w14:textId="77777777" w:rsidR="00D77E73" w:rsidRPr="002E7B55" w:rsidRDefault="00D77E73" w:rsidP="0041391C">
      <w:pPr>
        <w:pStyle w:val="Heading3"/>
      </w:pPr>
      <w:r w:rsidRPr="002E7B55">
        <w:t>Funding across the motu</w:t>
      </w:r>
    </w:p>
    <w:p w14:paraId="1D468EFB" w14:textId="6E2ACAA0" w:rsidR="00D77E73" w:rsidRPr="002E7B55" w:rsidRDefault="00535F87" w:rsidP="00D77E73">
      <w:pPr>
        <w:pStyle w:val="Chart-full-width"/>
        <w:rPr>
          <w:noProof w:val="0"/>
        </w:rPr>
      </w:pPr>
      <w:r w:rsidRPr="002E7B55">
        <w:drawing>
          <wp:inline distT="0" distB="0" distL="0" distR="0" wp14:anchorId="61A35EC2" wp14:editId="2522E9F8">
            <wp:extent cx="6096635" cy="3426460"/>
            <wp:effectExtent l="0" t="0" r="0" b="0"/>
            <wp:docPr id="16" name="Picture 16" descr="Graph showing distrbution of funding in 2021 vs 2020, by each regions. In 2020, funding was more variably distributed, with a large gap between Auckland/Counties-Manukau/Waitematā and all other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distrbution of funding in 2021 vs 2020, by each regions. In 2020, funding was more variably distributed, with a large gap between Auckland/Counties-Manukau/Waitematā and all other reg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426460"/>
                    </a:xfrm>
                    <a:prstGeom prst="rect">
                      <a:avLst/>
                    </a:prstGeom>
                    <a:noFill/>
                  </pic:spPr>
                </pic:pic>
              </a:graphicData>
            </a:graphic>
          </wp:inline>
        </w:drawing>
      </w:r>
    </w:p>
    <w:p w14:paraId="1AC64E2E" w14:textId="5D3B496E" w:rsidR="002D7C32" w:rsidRPr="002E7B55" w:rsidRDefault="002D7C32" w:rsidP="002D7C32">
      <w:pPr>
        <w:pStyle w:val="Caption"/>
      </w:pPr>
      <w:bookmarkStart w:id="52" w:name="_Toc96341699"/>
      <w:r w:rsidRPr="002E7B55">
        <w:t xml:space="preserve">Figure </w:t>
      </w:r>
      <w:r w:rsidRPr="002E7B55">
        <w:fldChar w:fldCharType="begin"/>
      </w:r>
      <w:r w:rsidRPr="002E7B55">
        <w:instrText xml:space="preserve"> SEQ Figure \* ARABIC </w:instrText>
      </w:r>
      <w:r w:rsidRPr="002E7B55">
        <w:fldChar w:fldCharType="separate"/>
      </w:r>
      <w:r w:rsidR="004A3284" w:rsidRPr="002E7B55">
        <w:t>20</w:t>
      </w:r>
      <w:r w:rsidRPr="002E7B55">
        <w:fldChar w:fldCharType="end"/>
      </w:r>
      <w:r w:rsidR="00A24C82" w:rsidRPr="002E7B55">
        <w:t>: Allocated MIMVP funding per region</w:t>
      </w:r>
      <w:r w:rsidR="00C57D83" w:rsidRPr="002E7B55">
        <w:t xml:space="preserve"> (across all contracts)</w:t>
      </w:r>
      <w:r w:rsidR="00A24C82" w:rsidRPr="002E7B55">
        <w:t xml:space="preserve"> in 2021 vs 2020</w:t>
      </w:r>
      <w:bookmarkEnd w:id="52"/>
    </w:p>
    <w:p w14:paraId="36E7E78F" w14:textId="71D0EB78" w:rsidR="00D77E73" w:rsidRPr="002E7B55" w:rsidRDefault="00D77E73" w:rsidP="00D77E73">
      <w:r w:rsidRPr="002E7B55">
        <w:t xml:space="preserve">In 2020, MIVP funding was awarded in response to application submissions. As a result, the funding was slightly uneven. </w:t>
      </w:r>
      <w:r w:rsidR="00177254" w:rsidRPr="002E7B55">
        <w:t xml:space="preserve">For example, one </w:t>
      </w:r>
      <w:r w:rsidRPr="002E7B55">
        <w:t xml:space="preserve">region (South Canterbury) received no funding as </w:t>
      </w:r>
      <w:r w:rsidR="00265501" w:rsidRPr="002E7B55">
        <w:t>no providers from this region applied</w:t>
      </w:r>
      <w:r w:rsidRPr="002E7B55">
        <w:t xml:space="preserve">. </w:t>
      </w:r>
    </w:p>
    <w:p w14:paraId="79AB3183" w14:textId="1CE52E24" w:rsidR="00D77E73" w:rsidRPr="002E7B55" w:rsidRDefault="00D77E73" w:rsidP="00D77E73">
      <w:r w:rsidRPr="002E7B55">
        <w:t>In 2021, the Ministry proactively sought applications in regions w</w:t>
      </w:r>
      <w:r w:rsidR="00177254" w:rsidRPr="002E7B55">
        <w:t>ith</w:t>
      </w:r>
      <w:r w:rsidRPr="002E7B55">
        <w:t xml:space="preserve"> less involvement in 2020. As a result, funding in 2021 is slightly more evenly distributed and all regions received funding for MIMVP activities.</w:t>
      </w:r>
    </w:p>
    <w:p w14:paraId="78005040" w14:textId="77777777" w:rsidR="00761C0E" w:rsidRPr="002E7B55" w:rsidRDefault="00761C0E" w:rsidP="00761C0E">
      <w:pPr>
        <w:pStyle w:val="Heading2"/>
      </w:pPr>
      <w:r w:rsidRPr="002E7B55">
        <w:t>MIMVP-funded providers delivered a variety of vaccinations</w:t>
      </w:r>
    </w:p>
    <w:p w14:paraId="3F1390D3" w14:textId="64AA6DC6" w:rsidR="00761C0E" w:rsidRPr="002E7B55" w:rsidRDefault="00761C0E" w:rsidP="00761C0E">
      <w:r w:rsidRPr="002E7B55">
        <w:t xml:space="preserve">Most </w:t>
      </w:r>
      <w:r w:rsidR="00B17C4D" w:rsidRPr="002E7B55">
        <w:t>DHB-funded</w:t>
      </w:r>
      <w:r w:rsidRPr="002E7B55">
        <w:t xml:space="preserve"> providers (17/</w:t>
      </w:r>
      <w:r w:rsidR="00EC1527" w:rsidRPr="002E7B55">
        <w:t>x</w:t>
      </w:r>
      <w:r w:rsidRPr="002E7B55">
        <w:t>) and all d</w:t>
      </w:r>
      <w:r w:rsidR="00B17C4D" w:rsidRPr="002E7B55">
        <w:t>irect-funded</w:t>
      </w:r>
      <w:r w:rsidRPr="002E7B55">
        <w:t xml:space="preserve"> providers (11/</w:t>
      </w:r>
      <w:r w:rsidR="00EC1527" w:rsidRPr="002E7B55">
        <w:t>x</w:t>
      </w:r>
      <w:r w:rsidRPr="002E7B55">
        <w:t>) delivered flu vaccinations in 2021.</w:t>
      </w:r>
      <w:r w:rsidR="00CE0BBF" w:rsidRPr="002E7B55">
        <w:rPr>
          <w:rStyle w:val="EndnoteReference"/>
        </w:rPr>
        <w:endnoteReference w:id="51"/>
      </w:r>
      <w:r w:rsidR="00CE0BBF" w:rsidRPr="002E7B55">
        <w:t xml:space="preserve"> </w:t>
      </w:r>
      <w:r w:rsidRPr="002E7B55">
        <w:t>Many providers also delivered MMR vaccinations.</w:t>
      </w:r>
      <w:r w:rsidR="00CE0BBF" w:rsidRPr="002E7B55">
        <w:rPr>
          <w:rStyle w:val="EndnoteReference"/>
        </w:rPr>
        <w:endnoteReference w:id="52"/>
      </w:r>
      <w:r w:rsidR="00CE0BBF" w:rsidRPr="002E7B55">
        <w:t xml:space="preserve"> </w:t>
      </w:r>
    </w:p>
    <w:p w14:paraId="6CA7C5F1" w14:textId="77777777" w:rsidR="00761C0E" w:rsidRPr="002E7B55" w:rsidRDefault="00761C0E" w:rsidP="00761C0E">
      <w:r w:rsidRPr="002E7B55">
        <w:t>A half or fewer delivered childhood immunisations and other vaccinations.</w:t>
      </w:r>
    </w:p>
    <w:p w14:paraId="7B619FD7" w14:textId="226FFF00" w:rsidR="00761C0E" w:rsidRPr="002E7B55" w:rsidRDefault="001200FF" w:rsidP="00761C0E">
      <w:r w:rsidRPr="002E7B55">
        <w:lastRenderedPageBreak/>
        <w:t>Many providers delivered COVD-19 vaccinations and a</w:t>
      </w:r>
      <w:r w:rsidR="00761C0E" w:rsidRPr="002E7B55">
        <w:t xml:space="preserve">bout half of </w:t>
      </w:r>
      <w:r w:rsidRPr="002E7B55">
        <w:t xml:space="preserve">all known </w:t>
      </w:r>
      <w:r w:rsidR="00761C0E" w:rsidRPr="002E7B55">
        <w:t>MIMVP-funded providers also had a COVID-19 specific contract.</w:t>
      </w:r>
      <w:r w:rsidRPr="002E7B55">
        <w:rPr>
          <w:rStyle w:val="EndnoteReference"/>
        </w:rPr>
        <w:endnoteReference w:id="53"/>
      </w:r>
    </w:p>
    <w:p w14:paraId="145FF4F8" w14:textId="77777777" w:rsidR="00761C0E" w:rsidRPr="002E7B55" w:rsidRDefault="00761C0E" w:rsidP="0041391C">
      <w:pPr>
        <w:pStyle w:val="Heading3"/>
      </w:pPr>
      <w:r w:rsidRPr="002E7B55">
        <w:t xml:space="preserve">Delivering flu, MMR and other vaccinations was a challenge to manage for many providers </w:t>
      </w:r>
    </w:p>
    <w:p w14:paraId="40458099" w14:textId="77777777" w:rsidR="00761C0E" w:rsidRPr="002E7B55" w:rsidRDefault="00761C0E" w:rsidP="00761C0E">
      <w:r w:rsidRPr="002E7B55">
        <w:t xml:space="preserve">Many MIMVP-funded providers faced significant challenges to managing multiple vaccinations, including </w:t>
      </w:r>
    </w:p>
    <w:p w14:paraId="45633164" w14:textId="7183D4F4" w:rsidR="00761C0E" w:rsidRPr="002E7B55" w:rsidRDefault="00B64DBF" w:rsidP="008973D7">
      <w:pPr>
        <w:pStyle w:val="ListParagraph"/>
        <w:rPr>
          <w:lang w:val="en-NZ"/>
        </w:rPr>
      </w:pPr>
      <w:r w:rsidRPr="002E7B55">
        <w:rPr>
          <w:lang w:val="en-NZ"/>
        </w:rPr>
        <w:t>m</w:t>
      </w:r>
      <w:r w:rsidR="00761C0E" w:rsidRPr="002E7B55">
        <w:rPr>
          <w:lang w:val="en-NZ"/>
        </w:rPr>
        <w:t>anaging multiple campaigns</w:t>
      </w:r>
    </w:p>
    <w:p w14:paraId="096AB1EF" w14:textId="698D7AEA" w:rsidR="00761C0E" w:rsidRPr="002E7B55" w:rsidRDefault="00B64DBF" w:rsidP="008973D7">
      <w:pPr>
        <w:pStyle w:val="ListParagraph"/>
        <w:rPr>
          <w:lang w:val="en-NZ"/>
        </w:rPr>
      </w:pPr>
      <w:r w:rsidRPr="002E7B55">
        <w:rPr>
          <w:lang w:val="en-NZ"/>
        </w:rPr>
        <w:t>w</w:t>
      </w:r>
      <w:r w:rsidR="00761C0E" w:rsidRPr="002E7B55">
        <w:rPr>
          <w:lang w:val="en-NZ"/>
        </w:rPr>
        <w:t>orkforce capacity</w:t>
      </w:r>
    </w:p>
    <w:p w14:paraId="5D38C0D0" w14:textId="59627081" w:rsidR="00761C0E" w:rsidRPr="002E7B55" w:rsidRDefault="00B64DBF" w:rsidP="008973D7">
      <w:pPr>
        <w:pStyle w:val="ListParagraph"/>
        <w:rPr>
          <w:lang w:val="en-NZ"/>
        </w:rPr>
      </w:pPr>
      <w:r w:rsidRPr="002E7B55">
        <w:rPr>
          <w:lang w:val="en-NZ"/>
        </w:rPr>
        <w:t>p</w:t>
      </w:r>
      <w:r w:rsidR="00761C0E" w:rsidRPr="002E7B55">
        <w:rPr>
          <w:lang w:val="en-NZ"/>
        </w:rPr>
        <w:t xml:space="preserve">atient preferences for vaccines - </w:t>
      </w:r>
      <w:r w:rsidR="000E3132" w:rsidRPr="002E7B55">
        <w:rPr>
          <w:lang w:val="en-NZ"/>
        </w:rPr>
        <w:t xml:space="preserve">COVID-19 </w:t>
      </w:r>
      <w:r w:rsidR="00761C0E" w:rsidRPr="002E7B55">
        <w:rPr>
          <w:lang w:val="en-NZ"/>
        </w:rPr>
        <w:t>over flu</w:t>
      </w:r>
      <w:r w:rsidR="00265501" w:rsidRPr="002E7B55">
        <w:rPr>
          <w:lang w:val="en-NZ"/>
        </w:rPr>
        <w:t xml:space="preserve"> and </w:t>
      </w:r>
      <w:r w:rsidR="00A31825" w:rsidRPr="002E7B55">
        <w:rPr>
          <w:lang w:val="en-NZ"/>
        </w:rPr>
        <w:t>MMR</w:t>
      </w:r>
      <w:r w:rsidR="00265501" w:rsidRPr="002E7B55">
        <w:rPr>
          <w:lang w:val="en-NZ"/>
        </w:rPr>
        <w:t xml:space="preserve"> vaccination</w:t>
      </w:r>
    </w:p>
    <w:p w14:paraId="6549E518" w14:textId="4963E78D" w:rsidR="00761C0E" w:rsidRPr="002E7B55" w:rsidRDefault="00B64DBF" w:rsidP="008973D7">
      <w:pPr>
        <w:pStyle w:val="ListParagraph"/>
        <w:rPr>
          <w:lang w:val="en-NZ"/>
        </w:rPr>
      </w:pPr>
      <w:r w:rsidRPr="002E7B55">
        <w:rPr>
          <w:lang w:val="en-NZ"/>
        </w:rPr>
        <w:t>d</w:t>
      </w:r>
      <w:r w:rsidR="00761C0E" w:rsidRPr="002E7B55">
        <w:rPr>
          <w:lang w:val="en-NZ"/>
        </w:rPr>
        <w:t>ifferent vaccines managed by different providers and different centres</w:t>
      </w:r>
      <w:r w:rsidRPr="002E7B55">
        <w:rPr>
          <w:lang w:val="en-NZ"/>
        </w:rPr>
        <w:t>.</w:t>
      </w:r>
    </w:p>
    <w:p w14:paraId="7C1EC5DF" w14:textId="5B6CB52F" w:rsidR="00761C0E" w:rsidRPr="002E7B55" w:rsidRDefault="00761C0E" w:rsidP="00450B2D">
      <w:r w:rsidRPr="002E7B55">
        <w:t xml:space="preserve">Many providers experienced competing priorities for their limited resources. Nevertheless, </w:t>
      </w:r>
      <w:r w:rsidRPr="002E7B55">
        <w:rPr>
          <w:b/>
          <w:bCs/>
        </w:rPr>
        <w:t>providers overwhelmingly felt capable and prepared to deliver multiple vaccinations to whānau and the community</w:t>
      </w:r>
      <w:r w:rsidRPr="002E7B55">
        <w:t>. As at the end of June</w:t>
      </w:r>
      <w:r w:rsidR="00450B2D" w:rsidRPr="002E7B55">
        <w:t xml:space="preserve">, </w:t>
      </w:r>
      <w:r w:rsidR="0051311B" w:rsidRPr="002E7B55">
        <w:t>almost all providers felt their organisation was able to answer whānau questions and concerns to a moderate or high degree</w:t>
      </w:r>
      <w:r w:rsidR="0051311B" w:rsidRPr="002E7B55">
        <w:rPr>
          <w:rStyle w:val="EndnoteReference"/>
        </w:rPr>
        <w:endnoteReference w:id="54"/>
      </w:r>
      <w:r w:rsidR="00450B2D" w:rsidRPr="002E7B55">
        <w:t xml:space="preserve">, </w:t>
      </w:r>
      <w:r w:rsidRPr="002E7B55">
        <w:t>schedule multiple vaccinations efficiently to a moderate or high degree</w:t>
      </w:r>
      <w:r w:rsidR="0051311B" w:rsidRPr="002E7B55">
        <w:rPr>
          <w:rStyle w:val="EndnoteReference"/>
        </w:rPr>
        <w:endnoteReference w:id="55"/>
      </w:r>
      <w:r w:rsidR="00450B2D" w:rsidRPr="002E7B55">
        <w:t xml:space="preserve">, and </w:t>
      </w:r>
      <w:r w:rsidR="00265501" w:rsidRPr="002E7B55">
        <w:t xml:space="preserve">deliver </w:t>
      </w:r>
      <w:r w:rsidRPr="002E7B55">
        <w:t>multiple vaccinations efficiently to a moderate or high degree</w:t>
      </w:r>
      <w:r w:rsidR="00450B2D" w:rsidRPr="002E7B55">
        <w:t>.</w:t>
      </w:r>
      <w:r w:rsidR="00450B2D" w:rsidRPr="002E7B55">
        <w:rPr>
          <w:rStyle w:val="EndnoteReference"/>
        </w:rPr>
        <w:endnoteReference w:id="56"/>
      </w:r>
    </w:p>
    <w:p w14:paraId="023D4076" w14:textId="0F114EB4" w:rsidR="00761C0E" w:rsidRPr="002E7B55" w:rsidRDefault="00761C0E" w:rsidP="00761C0E">
      <w:r w:rsidRPr="002E7B55">
        <w:t xml:space="preserve">However, many providers struggled with confusion, </w:t>
      </w:r>
      <w:proofErr w:type="gramStart"/>
      <w:r w:rsidRPr="002E7B55">
        <w:t>uncertainty</w:t>
      </w:r>
      <w:proofErr w:type="gramEnd"/>
      <w:r w:rsidRPr="002E7B55">
        <w:t xml:space="preserve"> and hesitation from whānau and the community</w:t>
      </w:r>
      <w:r w:rsidR="00B64DBF" w:rsidRPr="002E7B55">
        <w:t>. For instance:</w:t>
      </w:r>
    </w:p>
    <w:p w14:paraId="02DE95FC" w14:textId="092A0A82" w:rsidR="00761C0E" w:rsidRPr="002E7B55" w:rsidRDefault="00B64DBF" w:rsidP="008973D7">
      <w:pPr>
        <w:pStyle w:val="ListParagraph"/>
        <w:rPr>
          <w:lang w:val="en-NZ"/>
        </w:rPr>
      </w:pPr>
      <w:r w:rsidRPr="002E7B55">
        <w:rPr>
          <w:lang w:val="en-NZ"/>
        </w:rPr>
        <w:t>m</w:t>
      </w:r>
      <w:r w:rsidR="00761C0E" w:rsidRPr="002E7B55">
        <w:rPr>
          <w:lang w:val="en-NZ"/>
        </w:rPr>
        <w:t>ost providers believed whānau were confused about the safety of the COVID</w:t>
      </w:r>
      <w:r w:rsidR="00762096" w:rsidRPr="002E7B55">
        <w:rPr>
          <w:lang w:val="en-NZ"/>
        </w:rPr>
        <w:t>-19</w:t>
      </w:r>
      <w:r w:rsidR="00761C0E" w:rsidRPr="002E7B55">
        <w:rPr>
          <w:lang w:val="en-NZ"/>
        </w:rPr>
        <w:t xml:space="preserve"> vaccine</w:t>
      </w:r>
      <w:r w:rsidR="001200FF" w:rsidRPr="002E7B55">
        <w:rPr>
          <w:rStyle w:val="EndnoteReference"/>
          <w:lang w:val="en-NZ"/>
        </w:rPr>
        <w:endnoteReference w:id="57"/>
      </w:r>
    </w:p>
    <w:p w14:paraId="302C90FC" w14:textId="0E2C7149" w:rsidR="00761C0E" w:rsidRPr="002E7B55" w:rsidRDefault="00B64DBF" w:rsidP="008973D7">
      <w:pPr>
        <w:pStyle w:val="ListParagraph"/>
        <w:rPr>
          <w:lang w:val="en-NZ"/>
        </w:rPr>
      </w:pPr>
      <w:r w:rsidRPr="002E7B55">
        <w:rPr>
          <w:lang w:val="en-NZ"/>
        </w:rPr>
        <w:t>m</w:t>
      </w:r>
      <w:r w:rsidR="00761C0E" w:rsidRPr="002E7B55">
        <w:rPr>
          <w:lang w:val="en-NZ"/>
        </w:rPr>
        <w:t xml:space="preserve">any providers believed whānau were confused about </w:t>
      </w:r>
      <w:bookmarkStart w:id="53" w:name="_Hlk83041539"/>
      <w:r w:rsidR="00761C0E" w:rsidRPr="002E7B55">
        <w:rPr>
          <w:lang w:val="en-NZ"/>
        </w:rPr>
        <w:t xml:space="preserve">whether they need </w:t>
      </w:r>
      <w:r w:rsidR="00025361" w:rsidRPr="002E7B55">
        <w:rPr>
          <w:lang w:val="en-NZ"/>
        </w:rPr>
        <w:t xml:space="preserve">both </w:t>
      </w:r>
      <w:r w:rsidR="00761C0E" w:rsidRPr="002E7B55">
        <w:rPr>
          <w:lang w:val="en-NZ"/>
        </w:rPr>
        <w:t>the COVID</w:t>
      </w:r>
      <w:r w:rsidR="00762096" w:rsidRPr="002E7B55">
        <w:rPr>
          <w:lang w:val="en-NZ"/>
        </w:rPr>
        <w:t>-19</w:t>
      </w:r>
      <w:r w:rsidR="00761C0E" w:rsidRPr="002E7B55">
        <w:rPr>
          <w:lang w:val="en-NZ"/>
        </w:rPr>
        <w:t xml:space="preserve"> and flu vaccinations</w:t>
      </w:r>
      <w:bookmarkEnd w:id="53"/>
      <w:r w:rsidR="00761C0E" w:rsidRPr="002E7B55">
        <w:rPr>
          <w:lang w:val="en-NZ"/>
        </w:rPr>
        <w:t>.</w:t>
      </w:r>
      <w:r w:rsidR="001200FF" w:rsidRPr="002E7B55">
        <w:rPr>
          <w:rStyle w:val="EndnoteReference"/>
          <w:lang w:val="en-NZ"/>
        </w:rPr>
        <w:endnoteReference w:id="58"/>
      </w:r>
    </w:p>
    <w:p w14:paraId="38C2D302" w14:textId="77777777" w:rsidR="00761C0E" w:rsidRPr="002E7B55" w:rsidRDefault="00761C0E" w:rsidP="00761C0E">
      <w:r w:rsidRPr="002E7B55">
        <w:t>Misinformation was a significant challenge in 2021</w:t>
      </w:r>
    </w:p>
    <w:p w14:paraId="2525C028" w14:textId="1C962A07" w:rsidR="00761C0E" w:rsidRPr="002E7B55" w:rsidRDefault="00761C0E" w:rsidP="00761C0E">
      <w:pPr>
        <w:pStyle w:val="Quote"/>
        <w:rPr>
          <w:lang w:val="en-NZ"/>
        </w:rPr>
      </w:pPr>
      <w:r w:rsidRPr="002E7B55">
        <w:rPr>
          <w:lang w:val="en-NZ"/>
        </w:rPr>
        <w:t xml:space="preserve">“There is saturation on all forms of mainstream media which is causing hesitancy and for whānau to become disinterested, as they bombarded and feeling harassed” </w:t>
      </w:r>
      <w:r w:rsidR="00185D18" w:rsidRPr="002E7B55">
        <w:rPr>
          <w:lang w:val="en-NZ"/>
        </w:rPr>
        <w:t>(Provider)</w:t>
      </w:r>
    </w:p>
    <w:p w14:paraId="03945663" w14:textId="77777777" w:rsidR="004F662B" w:rsidRDefault="004F662B" w:rsidP="00761C0E"/>
    <w:p w14:paraId="0239F64C" w14:textId="0302200D" w:rsidR="00761C0E" w:rsidRPr="002E7B55" w:rsidRDefault="00761C0E" w:rsidP="00761C0E">
      <w:r w:rsidRPr="002E7B55">
        <w:t xml:space="preserve">Many providers spoke of the challenge </w:t>
      </w:r>
      <w:r w:rsidR="00177254" w:rsidRPr="002E7B55">
        <w:t xml:space="preserve">of </w:t>
      </w:r>
      <w:r w:rsidRPr="002E7B55">
        <w:t xml:space="preserve">addressing vaccination misinformation on social media. Although the misinformation </w:t>
      </w:r>
      <w:r w:rsidR="00177254" w:rsidRPr="002E7B55">
        <w:t>mainly was</w:t>
      </w:r>
      <w:r w:rsidRPr="002E7B55">
        <w:t xml:space="preserve"> related to COVID-19, it influenced general perceptions of immunisation and </w:t>
      </w:r>
      <w:r w:rsidR="00177254" w:rsidRPr="002E7B55">
        <w:t>overall vaccine hesitancy</w:t>
      </w:r>
      <w:r w:rsidRPr="002E7B55">
        <w:t>.</w:t>
      </w:r>
      <w:r w:rsidR="00265501" w:rsidRPr="002E7B55">
        <w:t xml:space="preserve"> </w:t>
      </w:r>
      <w:r w:rsidRPr="002E7B55">
        <w:t>As a result, awareness-raising and educational messaging to whānau was critical in 2021</w:t>
      </w:r>
      <w:r w:rsidR="00265501" w:rsidRPr="002E7B55">
        <w:t>.</w:t>
      </w:r>
    </w:p>
    <w:p w14:paraId="04AA7324" w14:textId="77777777" w:rsidR="00761C0E" w:rsidRPr="002E7B55" w:rsidRDefault="00761C0E" w:rsidP="00761C0E">
      <w:r w:rsidRPr="002E7B55">
        <w:t xml:space="preserve">Many providers spoke of conducting awareness-raising communications activities as a new activity in 2021, compared to 2020. </w:t>
      </w:r>
    </w:p>
    <w:p w14:paraId="1A0FE208" w14:textId="7714701C" w:rsidR="00761C0E" w:rsidRPr="002E7B55" w:rsidRDefault="00761C0E" w:rsidP="00761C0E">
      <w:pPr>
        <w:pStyle w:val="Quote"/>
        <w:rPr>
          <w:lang w:val="en-NZ"/>
        </w:rPr>
      </w:pPr>
      <w:r w:rsidRPr="002E7B55">
        <w:rPr>
          <w:lang w:val="en-NZ"/>
        </w:rPr>
        <w:t>“We think education to all Māori and Pacifica is needed in a space that meets their needs</w:t>
      </w:r>
      <w:r w:rsidR="00265501" w:rsidRPr="002E7B55">
        <w:rPr>
          <w:lang w:val="en-NZ"/>
        </w:rPr>
        <w:t>.</w:t>
      </w:r>
      <w:r w:rsidRPr="002E7B55">
        <w:rPr>
          <w:lang w:val="en-NZ"/>
        </w:rPr>
        <w:t>” (Provider)</w:t>
      </w:r>
    </w:p>
    <w:p w14:paraId="6591D9C6" w14:textId="77777777" w:rsidR="004E4EA0" w:rsidRPr="002E7B55" w:rsidRDefault="004E4EA0" w:rsidP="004E4EA0">
      <w:pPr>
        <w:pStyle w:val="Quotebreak"/>
        <w:rPr>
          <w:lang w:val="en-NZ"/>
        </w:rPr>
      </w:pPr>
    </w:p>
    <w:p w14:paraId="6E5F0EFB" w14:textId="62FDCB59" w:rsidR="00761C0E" w:rsidRPr="002E7B55" w:rsidRDefault="00761C0E" w:rsidP="00761C0E">
      <w:pPr>
        <w:pStyle w:val="Quote"/>
        <w:rPr>
          <w:lang w:val="en-NZ"/>
        </w:rPr>
      </w:pPr>
      <w:r w:rsidRPr="002E7B55">
        <w:rPr>
          <w:lang w:val="en-NZ"/>
        </w:rPr>
        <w:t>“Taking the time to kōrero with whānau ... was especially helpful for those whānau who were hesitant to get vaccinated</w:t>
      </w:r>
      <w:r w:rsidR="00265501" w:rsidRPr="002E7B55">
        <w:rPr>
          <w:lang w:val="en-NZ"/>
        </w:rPr>
        <w:t>.</w:t>
      </w:r>
      <w:r w:rsidRPr="002E7B55">
        <w:rPr>
          <w:lang w:val="en-NZ"/>
        </w:rPr>
        <w:t xml:space="preserve">” </w:t>
      </w:r>
      <w:r w:rsidR="00185D18" w:rsidRPr="002E7B55">
        <w:rPr>
          <w:lang w:val="en-NZ"/>
        </w:rPr>
        <w:t>(Provider)</w:t>
      </w:r>
    </w:p>
    <w:p w14:paraId="0789C14C" w14:textId="77777777" w:rsidR="004F662B" w:rsidRDefault="004F662B" w:rsidP="00761C0E"/>
    <w:p w14:paraId="4FCEAC14" w14:textId="6CC2C844" w:rsidR="00761C0E" w:rsidRPr="002E7B55" w:rsidRDefault="00761C0E" w:rsidP="00761C0E">
      <w:r w:rsidRPr="002E7B55">
        <w:t xml:space="preserve">Many providers spoke of intentionally upskilling and training </w:t>
      </w:r>
      <w:proofErr w:type="spellStart"/>
      <w:r w:rsidRPr="002E7B55">
        <w:t>kaimahi</w:t>
      </w:r>
      <w:proofErr w:type="spellEnd"/>
      <w:r w:rsidRPr="002E7B55">
        <w:t xml:space="preserve"> to be able to address whānau about the importance of getting vaccinated.</w:t>
      </w:r>
    </w:p>
    <w:p w14:paraId="1A201C94" w14:textId="77777777" w:rsidR="004F662B" w:rsidRDefault="004F662B">
      <w:pPr>
        <w:spacing w:before="0" w:after="160" w:line="259" w:lineRule="auto"/>
        <w:rPr>
          <w:rFonts w:asciiTheme="majorHAnsi" w:eastAsiaTheme="majorEastAsia" w:hAnsiTheme="majorHAnsi" w:cstheme="majorBidi"/>
          <w:color w:val="125459" w:themeColor="accent1" w:themeShade="BF"/>
          <w:sz w:val="26"/>
          <w:szCs w:val="33"/>
        </w:rPr>
      </w:pPr>
      <w:r>
        <w:br w:type="page"/>
      </w:r>
    </w:p>
    <w:p w14:paraId="71DA7D9A" w14:textId="24D85420" w:rsidR="00D77E73" w:rsidRPr="002E7B55" w:rsidRDefault="009C7A2E" w:rsidP="009C7A2E">
      <w:pPr>
        <w:pStyle w:val="Heading2"/>
      </w:pPr>
      <w:r w:rsidRPr="002E7B55">
        <w:lastRenderedPageBreak/>
        <w:t xml:space="preserve">Additional data, </w:t>
      </w:r>
      <w:proofErr w:type="gramStart"/>
      <w:r w:rsidRPr="002E7B55">
        <w:t>tables</w:t>
      </w:r>
      <w:proofErr w:type="gramEnd"/>
      <w:r w:rsidRPr="002E7B55">
        <w:t xml:space="preserve"> and graphs</w:t>
      </w:r>
    </w:p>
    <w:p w14:paraId="736C3DB4" w14:textId="0CC1EDC6" w:rsidR="009C7A2E" w:rsidRPr="002E7B55" w:rsidRDefault="009C7A2E" w:rsidP="0041391C">
      <w:pPr>
        <w:pStyle w:val="Heading3"/>
      </w:pPr>
      <w:r w:rsidRPr="002E7B55">
        <w:t>Māori 65+ who received flu vaccinations 2015 to 202</w:t>
      </w:r>
      <w:r w:rsidR="00C5715B" w:rsidRPr="002E7B55">
        <w:t>1</w:t>
      </w:r>
    </w:p>
    <w:p w14:paraId="2824582A" w14:textId="432BD11D" w:rsidR="0041072E" w:rsidRPr="002E7B55" w:rsidRDefault="000E3132">
      <w:r w:rsidRPr="002E7B55">
        <w:fldChar w:fldCharType="begin"/>
      </w:r>
      <w:r w:rsidRPr="002E7B55">
        <w:instrText xml:space="preserve"> REF _Ref95159844 \h </w:instrText>
      </w:r>
      <w:r w:rsidRPr="002E7B55">
        <w:fldChar w:fldCharType="separate"/>
      </w:r>
      <w:r w:rsidR="0041072E" w:rsidRPr="002E7B55">
        <w:t>Table 2</w:t>
      </w:r>
      <w:r w:rsidRPr="002E7B55">
        <w:fldChar w:fldCharType="end"/>
      </w:r>
      <w:r w:rsidRPr="002E7B55">
        <w:t xml:space="preserve"> </w:t>
      </w:r>
      <w:r w:rsidR="009C7A2E" w:rsidRPr="002E7B55">
        <w:t>presents the percentage of Māori over 65 years that received a flu vaccination in each region, as at Week 3</w:t>
      </w:r>
      <w:r w:rsidR="00C5715B" w:rsidRPr="002E7B55">
        <w:t>9</w:t>
      </w:r>
      <w:r w:rsidR="009C7A2E" w:rsidRPr="002E7B55">
        <w:t xml:space="preserve"> from 2015 to 202</w:t>
      </w:r>
      <w:r w:rsidR="00C5715B" w:rsidRPr="002E7B55">
        <w:t>1</w:t>
      </w:r>
      <w:r w:rsidR="009C7A2E" w:rsidRPr="002E7B55">
        <w:t>, sorted by 202</w:t>
      </w:r>
      <w:r w:rsidR="00C5715B" w:rsidRPr="002E7B55">
        <w:t>1</w:t>
      </w:r>
      <w:r w:rsidR="009C7A2E" w:rsidRPr="002E7B55">
        <w:t xml:space="preserve"> rates. The </w:t>
      </w:r>
      <w:r w:rsidR="009C7A2E" w:rsidRPr="002E7B55">
        <w:rPr>
          <w:shd w:val="clear" w:color="auto" w:fill="DFF4ED" w:themeFill="accent2" w:themeFillTint="33"/>
        </w:rPr>
        <w:t>five highest performing</w:t>
      </w:r>
      <w:r w:rsidR="009C7A2E" w:rsidRPr="002E7B55">
        <w:t xml:space="preserve"> and </w:t>
      </w:r>
      <w:r w:rsidR="009C7A2E" w:rsidRPr="002E7B55">
        <w:rPr>
          <w:shd w:val="clear" w:color="auto" w:fill="FBD4E4" w:themeFill="accent4" w:themeFillTint="33"/>
        </w:rPr>
        <w:t>five lowest performing</w:t>
      </w:r>
      <w:r w:rsidR="009C7A2E" w:rsidRPr="002E7B55">
        <w:t xml:space="preserve"> regions are highlighted. </w:t>
      </w:r>
    </w:p>
    <w:tbl>
      <w:tblPr>
        <w:tblStyle w:val="ListTable3-Accent1"/>
        <w:tblW w:w="0" w:type="auto"/>
        <w:tblLook w:val="06A0" w:firstRow="1" w:lastRow="0" w:firstColumn="1" w:lastColumn="0" w:noHBand="1" w:noVBand="1"/>
      </w:tblPr>
      <w:tblGrid>
        <w:gridCol w:w="2505"/>
        <w:gridCol w:w="982"/>
        <w:gridCol w:w="982"/>
        <w:gridCol w:w="982"/>
        <w:gridCol w:w="982"/>
        <w:gridCol w:w="982"/>
        <w:gridCol w:w="982"/>
        <w:gridCol w:w="982"/>
      </w:tblGrid>
      <w:tr w:rsidR="00BB3A0E" w:rsidRPr="002E7B55" w14:paraId="0956186D" w14:textId="77777777" w:rsidTr="0041072E">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2505" w:type="dxa"/>
            <w:hideMark/>
          </w:tcPr>
          <w:p w14:paraId="02C51B4D" w14:textId="2911BA49" w:rsidR="00C5715B" w:rsidRPr="002E7B55" w:rsidRDefault="00C5715B" w:rsidP="004F662B">
            <w:pPr>
              <w:pStyle w:val="TableText"/>
              <w:spacing w:beforeLines="40" w:before="96" w:afterLines="40" w:after="96" w:line="24" w:lineRule="atLeast"/>
              <w:rPr>
                <w:color w:val="FFFFFF" w:themeColor="background1"/>
              </w:rPr>
            </w:pPr>
            <w:r w:rsidRPr="002E7B55">
              <w:rPr>
                <w:color w:val="FFFFFF" w:themeColor="background1"/>
              </w:rPr>
              <w:t>DHB</w:t>
            </w:r>
          </w:p>
        </w:tc>
        <w:tc>
          <w:tcPr>
            <w:tcW w:w="982" w:type="dxa"/>
            <w:hideMark/>
          </w:tcPr>
          <w:p w14:paraId="5EB50840"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2015</w:t>
            </w:r>
          </w:p>
        </w:tc>
        <w:tc>
          <w:tcPr>
            <w:tcW w:w="982" w:type="dxa"/>
            <w:hideMark/>
          </w:tcPr>
          <w:p w14:paraId="620A70B1"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2016</w:t>
            </w:r>
          </w:p>
        </w:tc>
        <w:tc>
          <w:tcPr>
            <w:tcW w:w="982" w:type="dxa"/>
            <w:hideMark/>
          </w:tcPr>
          <w:p w14:paraId="4592274B"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2017</w:t>
            </w:r>
          </w:p>
        </w:tc>
        <w:tc>
          <w:tcPr>
            <w:tcW w:w="982" w:type="dxa"/>
            <w:hideMark/>
          </w:tcPr>
          <w:p w14:paraId="12FA3ECB"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2018</w:t>
            </w:r>
          </w:p>
        </w:tc>
        <w:tc>
          <w:tcPr>
            <w:tcW w:w="982" w:type="dxa"/>
            <w:hideMark/>
          </w:tcPr>
          <w:p w14:paraId="25479D5B"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2019</w:t>
            </w:r>
          </w:p>
        </w:tc>
        <w:tc>
          <w:tcPr>
            <w:tcW w:w="982" w:type="dxa"/>
            <w:hideMark/>
          </w:tcPr>
          <w:p w14:paraId="476C7AF5"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2020</w:t>
            </w:r>
          </w:p>
        </w:tc>
        <w:tc>
          <w:tcPr>
            <w:tcW w:w="982" w:type="dxa"/>
            <w:hideMark/>
          </w:tcPr>
          <w:p w14:paraId="27B5ED1C" w14:textId="77777777" w:rsidR="00C5715B" w:rsidRPr="002E7B55" w:rsidRDefault="00C5715B" w:rsidP="004F662B">
            <w:pPr>
              <w:pStyle w:val="TableText"/>
              <w:spacing w:beforeLines="40" w:before="96" w:afterLines="40" w:after="96" w:line="24"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2021</w:t>
            </w:r>
          </w:p>
        </w:tc>
      </w:tr>
      <w:tr w:rsidR="00C5715B" w:rsidRPr="002E7B55" w14:paraId="65E95F7E"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46F3CB7D"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Whanganui</w:t>
            </w:r>
          </w:p>
        </w:tc>
        <w:tc>
          <w:tcPr>
            <w:tcW w:w="982" w:type="dxa"/>
            <w:shd w:val="clear" w:color="auto" w:fill="DFF4ED" w:themeFill="accent2" w:themeFillTint="33"/>
            <w:noWrap/>
            <w:hideMark/>
          </w:tcPr>
          <w:p w14:paraId="11D2559A" w14:textId="5494D88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48.3%</w:t>
            </w:r>
          </w:p>
        </w:tc>
        <w:tc>
          <w:tcPr>
            <w:tcW w:w="982" w:type="dxa"/>
            <w:shd w:val="clear" w:color="auto" w:fill="DFF4ED" w:themeFill="accent2" w:themeFillTint="33"/>
            <w:noWrap/>
            <w:hideMark/>
          </w:tcPr>
          <w:p w14:paraId="4D2AAA98" w14:textId="6D447CE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52.3%</w:t>
            </w:r>
          </w:p>
        </w:tc>
        <w:tc>
          <w:tcPr>
            <w:tcW w:w="982" w:type="dxa"/>
            <w:shd w:val="clear" w:color="auto" w:fill="DFF4ED" w:themeFill="accent2" w:themeFillTint="33"/>
            <w:noWrap/>
            <w:hideMark/>
          </w:tcPr>
          <w:p w14:paraId="78DF6527" w14:textId="77778D8A"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53.5%</w:t>
            </w:r>
          </w:p>
        </w:tc>
        <w:tc>
          <w:tcPr>
            <w:tcW w:w="982" w:type="dxa"/>
            <w:shd w:val="clear" w:color="auto" w:fill="DFF4ED" w:themeFill="accent2" w:themeFillTint="33"/>
            <w:noWrap/>
            <w:hideMark/>
          </w:tcPr>
          <w:p w14:paraId="2D388480" w14:textId="407DE43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56.2%</w:t>
            </w:r>
          </w:p>
        </w:tc>
        <w:tc>
          <w:tcPr>
            <w:tcW w:w="982" w:type="dxa"/>
            <w:shd w:val="clear" w:color="auto" w:fill="DFF4ED" w:themeFill="accent2" w:themeFillTint="33"/>
            <w:noWrap/>
            <w:hideMark/>
          </w:tcPr>
          <w:p w14:paraId="6C3FFBBD" w14:textId="38A7E56C"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55.6%</w:t>
            </w:r>
          </w:p>
        </w:tc>
        <w:tc>
          <w:tcPr>
            <w:tcW w:w="982" w:type="dxa"/>
            <w:shd w:val="clear" w:color="auto" w:fill="DFF4ED" w:themeFill="accent2" w:themeFillTint="33"/>
            <w:noWrap/>
            <w:hideMark/>
          </w:tcPr>
          <w:p w14:paraId="6DA9684F" w14:textId="1C192DD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85.3%</w:t>
            </w:r>
          </w:p>
        </w:tc>
        <w:tc>
          <w:tcPr>
            <w:tcW w:w="982" w:type="dxa"/>
            <w:shd w:val="clear" w:color="auto" w:fill="DFF4ED" w:themeFill="accent2" w:themeFillTint="33"/>
            <w:noWrap/>
            <w:hideMark/>
          </w:tcPr>
          <w:p w14:paraId="17139936" w14:textId="0D0131A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64.5%</w:t>
            </w:r>
          </w:p>
        </w:tc>
      </w:tr>
      <w:tr w:rsidR="00C5715B" w:rsidRPr="002E7B55" w14:paraId="6E4A1C97"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45014B6D"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Wairarapa</w:t>
            </w:r>
          </w:p>
        </w:tc>
        <w:tc>
          <w:tcPr>
            <w:tcW w:w="982" w:type="dxa"/>
            <w:shd w:val="clear" w:color="auto" w:fill="DFF4ED" w:themeFill="accent2" w:themeFillTint="33"/>
            <w:noWrap/>
            <w:hideMark/>
          </w:tcPr>
          <w:p w14:paraId="5DB76897" w14:textId="01DAC09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49.6%</w:t>
            </w:r>
          </w:p>
        </w:tc>
        <w:tc>
          <w:tcPr>
            <w:tcW w:w="982" w:type="dxa"/>
            <w:shd w:val="clear" w:color="auto" w:fill="DFF4ED" w:themeFill="accent2" w:themeFillTint="33"/>
            <w:noWrap/>
            <w:hideMark/>
          </w:tcPr>
          <w:p w14:paraId="60345A72" w14:textId="401C24EC"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44.1%</w:t>
            </w:r>
          </w:p>
        </w:tc>
        <w:tc>
          <w:tcPr>
            <w:tcW w:w="982" w:type="dxa"/>
            <w:shd w:val="clear" w:color="auto" w:fill="DFF4ED" w:themeFill="accent2" w:themeFillTint="33"/>
            <w:noWrap/>
            <w:hideMark/>
          </w:tcPr>
          <w:p w14:paraId="537EAF57" w14:textId="12C13C1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47.6%</w:t>
            </w:r>
          </w:p>
        </w:tc>
        <w:tc>
          <w:tcPr>
            <w:tcW w:w="982" w:type="dxa"/>
            <w:shd w:val="clear" w:color="auto" w:fill="DFF4ED" w:themeFill="accent2" w:themeFillTint="33"/>
            <w:noWrap/>
            <w:hideMark/>
          </w:tcPr>
          <w:p w14:paraId="3E1973F9" w14:textId="1A2A29DA"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51.6%</w:t>
            </w:r>
          </w:p>
        </w:tc>
        <w:tc>
          <w:tcPr>
            <w:tcW w:w="982" w:type="dxa"/>
            <w:shd w:val="clear" w:color="auto" w:fill="DFF4ED" w:themeFill="accent2" w:themeFillTint="33"/>
            <w:noWrap/>
            <w:hideMark/>
          </w:tcPr>
          <w:p w14:paraId="7182E95A" w14:textId="5E94433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54.2%</w:t>
            </w:r>
          </w:p>
        </w:tc>
        <w:tc>
          <w:tcPr>
            <w:tcW w:w="982" w:type="dxa"/>
            <w:noWrap/>
            <w:hideMark/>
          </w:tcPr>
          <w:p w14:paraId="463F0FFD" w14:textId="78E3AFE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59.7%</w:t>
            </w:r>
          </w:p>
        </w:tc>
        <w:tc>
          <w:tcPr>
            <w:tcW w:w="982" w:type="dxa"/>
            <w:shd w:val="clear" w:color="auto" w:fill="DFF4ED" w:themeFill="accent2" w:themeFillTint="33"/>
            <w:noWrap/>
            <w:hideMark/>
          </w:tcPr>
          <w:p w14:paraId="7C554522" w14:textId="51E12F93"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59.1%</w:t>
            </w:r>
          </w:p>
        </w:tc>
      </w:tr>
      <w:tr w:rsidR="00C5715B" w:rsidRPr="002E7B55" w14:paraId="7A489677"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2C37B4C8"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Hutt Valley</w:t>
            </w:r>
          </w:p>
        </w:tc>
        <w:tc>
          <w:tcPr>
            <w:tcW w:w="982" w:type="dxa"/>
            <w:noWrap/>
            <w:hideMark/>
          </w:tcPr>
          <w:p w14:paraId="701F3418" w14:textId="46EB0CD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33.4%</w:t>
            </w:r>
          </w:p>
        </w:tc>
        <w:tc>
          <w:tcPr>
            <w:tcW w:w="982" w:type="dxa"/>
            <w:shd w:val="clear" w:color="auto" w:fill="FBD4E4" w:themeFill="accent4" w:themeFillTint="33"/>
            <w:noWrap/>
            <w:hideMark/>
          </w:tcPr>
          <w:p w14:paraId="781E7BF2" w14:textId="3519C3B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36.9%</w:t>
            </w:r>
          </w:p>
        </w:tc>
        <w:tc>
          <w:tcPr>
            <w:tcW w:w="982" w:type="dxa"/>
            <w:noWrap/>
            <w:hideMark/>
          </w:tcPr>
          <w:p w14:paraId="4485DD3D" w14:textId="3875335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38.4%</w:t>
            </w:r>
          </w:p>
        </w:tc>
        <w:tc>
          <w:tcPr>
            <w:tcW w:w="982" w:type="dxa"/>
            <w:noWrap/>
            <w:hideMark/>
          </w:tcPr>
          <w:p w14:paraId="5E853D68" w14:textId="033E985A"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42.3%</w:t>
            </w:r>
          </w:p>
        </w:tc>
        <w:tc>
          <w:tcPr>
            <w:tcW w:w="982" w:type="dxa"/>
            <w:noWrap/>
            <w:hideMark/>
          </w:tcPr>
          <w:p w14:paraId="3891AD3A" w14:textId="136753B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46.6%</w:t>
            </w:r>
          </w:p>
        </w:tc>
        <w:tc>
          <w:tcPr>
            <w:tcW w:w="982" w:type="dxa"/>
            <w:shd w:val="clear" w:color="auto" w:fill="DFF4ED" w:themeFill="accent2" w:themeFillTint="33"/>
            <w:noWrap/>
            <w:hideMark/>
          </w:tcPr>
          <w:p w14:paraId="47AF59DE" w14:textId="7E0374F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64.3%</w:t>
            </w:r>
          </w:p>
        </w:tc>
        <w:tc>
          <w:tcPr>
            <w:tcW w:w="982" w:type="dxa"/>
            <w:shd w:val="clear" w:color="auto" w:fill="DFF4ED" w:themeFill="accent2" w:themeFillTint="33"/>
            <w:noWrap/>
            <w:hideMark/>
          </w:tcPr>
          <w:p w14:paraId="2D1784A6" w14:textId="65AAFE4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58.2%</w:t>
            </w:r>
          </w:p>
        </w:tc>
      </w:tr>
      <w:tr w:rsidR="00C5715B" w:rsidRPr="002E7B55" w14:paraId="3227485C"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4DC13BFB"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West Coast</w:t>
            </w:r>
          </w:p>
        </w:tc>
        <w:tc>
          <w:tcPr>
            <w:tcW w:w="982" w:type="dxa"/>
            <w:shd w:val="clear" w:color="auto" w:fill="FBD4E4" w:themeFill="accent4" w:themeFillTint="33"/>
            <w:noWrap/>
            <w:hideMark/>
          </w:tcPr>
          <w:p w14:paraId="0926E3A1" w14:textId="6BE9957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17.9%</w:t>
            </w:r>
          </w:p>
        </w:tc>
        <w:tc>
          <w:tcPr>
            <w:tcW w:w="982" w:type="dxa"/>
            <w:shd w:val="clear" w:color="auto" w:fill="DFF4ED" w:themeFill="accent2" w:themeFillTint="33"/>
            <w:noWrap/>
            <w:hideMark/>
          </w:tcPr>
          <w:p w14:paraId="33F749FE" w14:textId="7B183F2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48.8%</w:t>
            </w:r>
          </w:p>
        </w:tc>
        <w:tc>
          <w:tcPr>
            <w:tcW w:w="982" w:type="dxa"/>
            <w:shd w:val="clear" w:color="auto" w:fill="DFF4ED" w:themeFill="accent2" w:themeFillTint="33"/>
            <w:noWrap/>
            <w:hideMark/>
          </w:tcPr>
          <w:p w14:paraId="30DE5916" w14:textId="6C3CF49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48.5%</w:t>
            </w:r>
          </w:p>
        </w:tc>
        <w:tc>
          <w:tcPr>
            <w:tcW w:w="982" w:type="dxa"/>
            <w:shd w:val="clear" w:color="auto" w:fill="DFF4ED" w:themeFill="accent2" w:themeFillTint="33"/>
            <w:noWrap/>
            <w:hideMark/>
          </w:tcPr>
          <w:p w14:paraId="5D0C633A" w14:textId="797F60AC"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50.7%</w:t>
            </w:r>
          </w:p>
        </w:tc>
        <w:tc>
          <w:tcPr>
            <w:tcW w:w="982" w:type="dxa"/>
            <w:shd w:val="clear" w:color="auto" w:fill="DFF4ED" w:themeFill="accent2" w:themeFillTint="33"/>
            <w:noWrap/>
            <w:hideMark/>
          </w:tcPr>
          <w:p w14:paraId="3F4797CA" w14:textId="26ACAC6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53.7%</w:t>
            </w:r>
          </w:p>
        </w:tc>
        <w:tc>
          <w:tcPr>
            <w:tcW w:w="982" w:type="dxa"/>
            <w:noWrap/>
            <w:hideMark/>
          </w:tcPr>
          <w:p w14:paraId="3896F38E" w14:textId="495DF5D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56.9%</w:t>
            </w:r>
          </w:p>
        </w:tc>
        <w:tc>
          <w:tcPr>
            <w:tcW w:w="982" w:type="dxa"/>
            <w:shd w:val="clear" w:color="auto" w:fill="DFF4ED" w:themeFill="accent2" w:themeFillTint="33"/>
            <w:noWrap/>
            <w:hideMark/>
          </w:tcPr>
          <w:p w14:paraId="120A59E4" w14:textId="34ADACA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57.9%</w:t>
            </w:r>
          </w:p>
        </w:tc>
      </w:tr>
      <w:tr w:rsidR="00ED7059" w:rsidRPr="002E7B55" w14:paraId="1F24A57D"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280FC4AB"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Canterbury</w:t>
            </w:r>
          </w:p>
        </w:tc>
        <w:tc>
          <w:tcPr>
            <w:tcW w:w="982" w:type="dxa"/>
            <w:shd w:val="clear" w:color="auto" w:fill="FBD4E4" w:themeFill="accent4" w:themeFillTint="33"/>
            <w:noWrap/>
            <w:hideMark/>
          </w:tcPr>
          <w:p w14:paraId="7FF8A664" w14:textId="05C4365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21.3%</w:t>
            </w:r>
          </w:p>
        </w:tc>
        <w:tc>
          <w:tcPr>
            <w:tcW w:w="982" w:type="dxa"/>
            <w:shd w:val="clear" w:color="auto" w:fill="FBD4E4" w:themeFill="accent4" w:themeFillTint="33"/>
            <w:noWrap/>
            <w:hideMark/>
          </w:tcPr>
          <w:p w14:paraId="0114351B" w14:textId="536574A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25.0%</w:t>
            </w:r>
          </w:p>
        </w:tc>
        <w:tc>
          <w:tcPr>
            <w:tcW w:w="982" w:type="dxa"/>
            <w:shd w:val="clear" w:color="auto" w:fill="FBD4E4" w:themeFill="accent4" w:themeFillTint="33"/>
            <w:noWrap/>
            <w:hideMark/>
          </w:tcPr>
          <w:p w14:paraId="7F45FA23" w14:textId="76383A33"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25.5%</w:t>
            </w:r>
          </w:p>
        </w:tc>
        <w:tc>
          <w:tcPr>
            <w:tcW w:w="982" w:type="dxa"/>
            <w:shd w:val="clear" w:color="auto" w:fill="FBD4E4" w:themeFill="accent4" w:themeFillTint="33"/>
            <w:noWrap/>
            <w:hideMark/>
          </w:tcPr>
          <w:p w14:paraId="3A9A0CCC" w14:textId="661D9E1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26.6%</w:t>
            </w:r>
          </w:p>
        </w:tc>
        <w:tc>
          <w:tcPr>
            <w:tcW w:w="982" w:type="dxa"/>
            <w:shd w:val="clear" w:color="auto" w:fill="FBD4E4" w:themeFill="accent4" w:themeFillTint="33"/>
            <w:noWrap/>
            <w:hideMark/>
          </w:tcPr>
          <w:p w14:paraId="42E9CBB2" w14:textId="1946404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28.8%</w:t>
            </w:r>
          </w:p>
        </w:tc>
        <w:tc>
          <w:tcPr>
            <w:tcW w:w="982" w:type="dxa"/>
            <w:noWrap/>
            <w:hideMark/>
          </w:tcPr>
          <w:p w14:paraId="1E38407C" w14:textId="371DBE6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54.1%</w:t>
            </w:r>
          </w:p>
        </w:tc>
        <w:tc>
          <w:tcPr>
            <w:tcW w:w="982" w:type="dxa"/>
            <w:shd w:val="clear" w:color="auto" w:fill="DFF4ED" w:themeFill="accent2" w:themeFillTint="33"/>
            <w:noWrap/>
            <w:hideMark/>
          </w:tcPr>
          <w:p w14:paraId="6F0EA033" w14:textId="0B1EA65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57.7%</w:t>
            </w:r>
          </w:p>
        </w:tc>
      </w:tr>
      <w:tr w:rsidR="00C5715B" w:rsidRPr="002E7B55" w14:paraId="22DC2556"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5BED61AF"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Capital and Coast</w:t>
            </w:r>
          </w:p>
        </w:tc>
        <w:tc>
          <w:tcPr>
            <w:tcW w:w="982" w:type="dxa"/>
            <w:noWrap/>
            <w:hideMark/>
          </w:tcPr>
          <w:p w14:paraId="3CC95609" w14:textId="31DF925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38.5%</w:t>
            </w:r>
          </w:p>
        </w:tc>
        <w:tc>
          <w:tcPr>
            <w:tcW w:w="982" w:type="dxa"/>
            <w:noWrap/>
            <w:hideMark/>
          </w:tcPr>
          <w:p w14:paraId="12F65A7C" w14:textId="68FF26A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39.6%</w:t>
            </w:r>
          </w:p>
        </w:tc>
        <w:tc>
          <w:tcPr>
            <w:tcW w:w="982" w:type="dxa"/>
            <w:noWrap/>
            <w:hideMark/>
          </w:tcPr>
          <w:p w14:paraId="0FF9F7E7" w14:textId="1F7A638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40.7%</w:t>
            </w:r>
          </w:p>
        </w:tc>
        <w:tc>
          <w:tcPr>
            <w:tcW w:w="982" w:type="dxa"/>
            <w:noWrap/>
            <w:hideMark/>
          </w:tcPr>
          <w:p w14:paraId="03A81CE2" w14:textId="3548245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42.1%</w:t>
            </w:r>
          </w:p>
        </w:tc>
        <w:tc>
          <w:tcPr>
            <w:tcW w:w="982" w:type="dxa"/>
            <w:noWrap/>
            <w:hideMark/>
          </w:tcPr>
          <w:p w14:paraId="6368B3E9" w14:textId="2BA77E6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45.1%</w:t>
            </w:r>
          </w:p>
        </w:tc>
        <w:tc>
          <w:tcPr>
            <w:tcW w:w="982" w:type="dxa"/>
            <w:noWrap/>
            <w:hideMark/>
          </w:tcPr>
          <w:p w14:paraId="42CAD91F" w14:textId="53A8992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60.6%</w:t>
            </w:r>
          </w:p>
        </w:tc>
        <w:tc>
          <w:tcPr>
            <w:tcW w:w="982" w:type="dxa"/>
            <w:noWrap/>
            <w:hideMark/>
          </w:tcPr>
          <w:p w14:paraId="7AF84E2E" w14:textId="0608F47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54.1%</w:t>
            </w:r>
          </w:p>
        </w:tc>
      </w:tr>
      <w:tr w:rsidR="00C5715B" w:rsidRPr="002E7B55" w14:paraId="3DE7224C"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729119FF"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Bay of Plenty</w:t>
            </w:r>
          </w:p>
        </w:tc>
        <w:tc>
          <w:tcPr>
            <w:tcW w:w="982" w:type="dxa"/>
            <w:noWrap/>
            <w:hideMark/>
          </w:tcPr>
          <w:p w14:paraId="439F4FF6" w14:textId="20975E03"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39.4%</w:t>
            </w:r>
          </w:p>
        </w:tc>
        <w:tc>
          <w:tcPr>
            <w:tcW w:w="982" w:type="dxa"/>
            <w:noWrap/>
            <w:hideMark/>
          </w:tcPr>
          <w:p w14:paraId="51CB61D0" w14:textId="69FE585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41.7%</w:t>
            </w:r>
          </w:p>
        </w:tc>
        <w:tc>
          <w:tcPr>
            <w:tcW w:w="982" w:type="dxa"/>
            <w:noWrap/>
            <w:hideMark/>
          </w:tcPr>
          <w:p w14:paraId="0274536A" w14:textId="5D8F740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43.6%</w:t>
            </w:r>
          </w:p>
        </w:tc>
        <w:tc>
          <w:tcPr>
            <w:tcW w:w="982" w:type="dxa"/>
            <w:noWrap/>
            <w:hideMark/>
          </w:tcPr>
          <w:p w14:paraId="43B0BDBC" w14:textId="6363A88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44.2%</w:t>
            </w:r>
          </w:p>
        </w:tc>
        <w:tc>
          <w:tcPr>
            <w:tcW w:w="982" w:type="dxa"/>
            <w:shd w:val="clear" w:color="auto" w:fill="DFF4ED" w:themeFill="accent2" w:themeFillTint="33"/>
            <w:noWrap/>
            <w:hideMark/>
          </w:tcPr>
          <w:p w14:paraId="6E6B9FED" w14:textId="0146324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48.3%</w:t>
            </w:r>
          </w:p>
        </w:tc>
        <w:tc>
          <w:tcPr>
            <w:tcW w:w="982" w:type="dxa"/>
            <w:shd w:val="clear" w:color="auto" w:fill="DFF4ED" w:themeFill="accent2" w:themeFillTint="33"/>
            <w:noWrap/>
            <w:hideMark/>
          </w:tcPr>
          <w:p w14:paraId="31E334A5" w14:textId="00485B8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67.8%</w:t>
            </w:r>
          </w:p>
        </w:tc>
        <w:tc>
          <w:tcPr>
            <w:tcW w:w="982" w:type="dxa"/>
            <w:noWrap/>
            <w:hideMark/>
          </w:tcPr>
          <w:p w14:paraId="746766FE" w14:textId="72ED364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53.0%</w:t>
            </w:r>
          </w:p>
        </w:tc>
      </w:tr>
      <w:tr w:rsidR="00C5715B" w:rsidRPr="002E7B55" w14:paraId="4F9E7E5D"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671B998B"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Southern</w:t>
            </w:r>
          </w:p>
        </w:tc>
        <w:tc>
          <w:tcPr>
            <w:tcW w:w="982" w:type="dxa"/>
            <w:noWrap/>
            <w:hideMark/>
          </w:tcPr>
          <w:p w14:paraId="28DE64D4" w14:textId="1147CD3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31.7%</w:t>
            </w:r>
          </w:p>
        </w:tc>
        <w:tc>
          <w:tcPr>
            <w:tcW w:w="982" w:type="dxa"/>
            <w:noWrap/>
            <w:hideMark/>
          </w:tcPr>
          <w:p w14:paraId="76CEF21A" w14:textId="0A975D5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37.5%</w:t>
            </w:r>
          </w:p>
        </w:tc>
        <w:tc>
          <w:tcPr>
            <w:tcW w:w="982" w:type="dxa"/>
            <w:noWrap/>
            <w:hideMark/>
          </w:tcPr>
          <w:p w14:paraId="7C2ACE85" w14:textId="6BE3ACB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40.5%</w:t>
            </w:r>
          </w:p>
        </w:tc>
        <w:tc>
          <w:tcPr>
            <w:tcW w:w="982" w:type="dxa"/>
            <w:noWrap/>
            <w:hideMark/>
          </w:tcPr>
          <w:p w14:paraId="1141C6EB" w14:textId="1865BC7A"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45.3%</w:t>
            </w:r>
          </w:p>
        </w:tc>
        <w:tc>
          <w:tcPr>
            <w:tcW w:w="982" w:type="dxa"/>
            <w:noWrap/>
            <w:hideMark/>
          </w:tcPr>
          <w:p w14:paraId="2378EFED" w14:textId="11FC5FA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46.3%</w:t>
            </w:r>
          </w:p>
        </w:tc>
        <w:tc>
          <w:tcPr>
            <w:tcW w:w="982" w:type="dxa"/>
            <w:noWrap/>
            <w:hideMark/>
          </w:tcPr>
          <w:p w14:paraId="719926AB" w14:textId="19ED45A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56.2%</w:t>
            </w:r>
          </w:p>
        </w:tc>
        <w:tc>
          <w:tcPr>
            <w:tcW w:w="982" w:type="dxa"/>
            <w:noWrap/>
            <w:hideMark/>
          </w:tcPr>
          <w:p w14:paraId="1B6D6A94" w14:textId="3E96114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52.6%</w:t>
            </w:r>
          </w:p>
        </w:tc>
      </w:tr>
      <w:tr w:rsidR="00C5715B" w:rsidRPr="002E7B55" w14:paraId="42550604"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0E62A462"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South Canterbury</w:t>
            </w:r>
          </w:p>
        </w:tc>
        <w:tc>
          <w:tcPr>
            <w:tcW w:w="982" w:type="dxa"/>
            <w:noWrap/>
            <w:hideMark/>
          </w:tcPr>
          <w:p w14:paraId="7948FAF8" w14:textId="1E21A31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36.7%</w:t>
            </w:r>
          </w:p>
        </w:tc>
        <w:tc>
          <w:tcPr>
            <w:tcW w:w="982" w:type="dxa"/>
            <w:noWrap/>
            <w:hideMark/>
          </w:tcPr>
          <w:p w14:paraId="7FD10535" w14:textId="0B79879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42.1%</w:t>
            </w:r>
          </w:p>
        </w:tc>
        <w:tc>
          <w:tcPr>
            <w:tcW w:w="982" w:type="dxa"/>
            <w:shd w:val="clear" w:color="auto" w:fill="DFF4ED" w:themeFill="accent2" w:themeFillTint="33"/>
            <w:noWrap/>
            <w:hideMark/>
          </w:tcPr>
          <w:p w14:paraId="10C1D20B" w14:textId="5053591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45.5%</w:t>
            </w:r>
          </w:p>
        </w:tc>
        <w:tc>
          <w:tcPr>
            <w:tcW w:w="982" w:type="dxa"/>
            <w:noWrap/>
            <w:hideMark/>
          </w:tcPr>
          <w:p w14:paraId="76A3B959" w14:textId="288E7C4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43.5%</w:t>
            </w:r>
          </w:p>
        </w:tc>
        <w:tc>
          <w:tcPr>
            <w:tcW w:w="982" w:type="dxa"/>
            <w:shd w:val="clear" w:color="auto" w:fill="DFF4ED" w:themeFill="accent2" w:themeFillTint="33"/>
            <w:noWrap/>
            <w:hideMark/>
          </w:tcPr>
          <w:p w14:paraId="020A84DF" w14:textId="7D42D2A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46.9%</w:t>
            </w:r>
          </w:p>
        </w:tc>
        <w:tc>
          <w:tcPr>
            <w:tcW w:w="982" w:type="dxa"/>
            <w:shd w:val="clear" w:color="auto" w:fill="FBD4E4" w:themeFill="accent4" w:themeFillTint="33"/>
            <w:noWrap/>
            <w:hideMark/>
          </w:tcPr>
          <w:p w14:paraId="68980419" w14:textId="07997F6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44.4%</w:t>
            </w:r>
          </w:p>
        </w:tc>
        <w:tc>
          <w:tcPr>
            <w:tcW w:w="982" w:type="dxa"/>
            <w:noWrap/>
            <w:hideMark/>
          </w:tcPr>
          <w:p w14:paraId="2AE22FEB" w14:textId="26BA828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52.3%</w:t>
            </w:r>
          </w:p>
        </w:tc>
      </w:tr>
      <w:tr w:rsidR="00C5715B" w:rsidRPr="002E7B55" w14:paraId="69002F73"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52D49168"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Hawkes Bay</w:t>
            </w:r>
          </w:p>
        </w:tc>
        <w:tc>
          <w:tcPr>
            <w:tcW w:w="982" w:type="dxa"/>
            <w:shd w:val="clear" w:color="auto" w:fill="DFF4ED" w:themeFill="accent2" w:themeFillTint="33"/>
            <w:noWrap/>
            <w:hideMark/>
          </w:tcPr>
          <w:p w14:paraId="3FDB2756" w14:textId="5C2ED15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41.5%</w:t>
            </w:r>
          </w:p>
        </w:tc>
        <w:tc>
          <w:tcPr>
            <w:tcW w:w="982" w:type="dxa"/>
            <w:shd w:val="clear" w:color="auto" w:fill="DFF4ED" w:themeFill="accent2" w:themeFillTint="33"/>
            <w:noWrap/>
            <w:hideMark/>
          </w:tcPr>
          <w:p w14:paraId="5580DEF0" w14:textId="0B21849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46.8%</w:t>
            </w:r>
          </w:p>
        </w:tc>
        <w:tc>
          <w:tcPr>
            <w:tcW w:w="982" w:type="dxa"/>
            <w:shd w:val="clear" w:color="auto" w:fill="DFF4ED" w:themeFill="accent2" w:themeFillTint="33"/>
            <w:noWrap/>
            <w:hideMark/>
          </w:tcPr>
          <w:p w14:paraId="4BF58F14" w14:textId="1FE979F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43.7%</w:t>
            </w:r>
          </w:p>
        </w:tc>
        <w:tc>
          <w:tcPr>
            <w:tcW w:w="982" w:type="dxa"/>
            <w:noWrap/>
            <w:hideMark/>
          </w:tcPr>
          <w:p w14:paraId="267ECFB4" w14:textId="5AF8C70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43.6%</w:t>
            </w:r>
          </w:p>
        </w:tc>
        <w:tc>
          <w:tcPr>
            <w:tcW w:w="982" w:type="dxa"/>
            <w:noWrap/>
            <w:hideMark/>
          </w:tcPr>
          <w:p w14:paraId="69F2F345" w14:textId="14F850A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45.3%</w:t>
            </w:r>
          </w:p>
        </w:tc>
        <w:tc>
          <w:tcPr>
            <w:tcW w:w="982" w:type="dxa"/>
            <w:shd w:val="clear" w:color="auto" w:fill="DFF4ED" w:themeFill="accent2" w:themeFillTint="33"/>
            <w:noWrap/>
            <w:hideMark/>
          </w:tcPr>
          <w:p w14:paraId="286B97D4" w14:textId="1539F85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77.1%</w:t>
            </w:r>
          </w:p>
        </w:tc>
        <w:tc>
          <w:tcPr>
            <w:tcW w:w="982" w:type="dxa"/>
            <w:noWrap/>
            <w:hideMark/>
          </w:tcPr>
          <w:p w14:paraId="42AC59DC" w14:textId="6BF9293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50.9%</w:t>
            </w:r>
          </w:p>
        </w:tc>
      </w:tr>
      <w:tr w:rsidR="00ED7059" w:rsidRPr="002E7B55" w14:paraId="78075171"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47294983"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Lakes</w:t>
            </w:r>
          </w:p>
        </w:tc>
        <w:tc>
          <w:tcPr>
            <w:tcW w:w="982" w:type="dxa"/>
            <w:shd w:val="clear" w:color="auto" w:fill="FBD4E4" w:themeFill="accent4" w:themeFillTint="33"/>
            <w:noWrap/>
            <w:hideMark/>
          </w:tcPr>
          <w:p w14:paraId="15F5EE4D" w14:textId="50AF671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19.7%</w:t>
            </w:r>
          </w:p>
        </w:tc>
        <w:tc>
          <w:tcPr>
            <w:tcW w:w="982" w:type="dxa"/>
            <w:shd w:val="clear" w:color="auto" w:fill="FBD4E4" w:themeFill="accent4" w:themeFillTint="33"/>
            <w:noWrap/>
            <w:hideMark/>
          </w:tcPr>
          <w:p w14:paraId="16C3ACEF" w14:textId="7411DEA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23.0%</w:t>
            </w:r>
          </w:p>
        </w:tc>
        <w:tc>
          <w:tcPr>
            <w:tcW w:w="982" w:type="dxa"/>
            <w:shd w:val="clear" w:color="auto" w:fill="FBD4E4" w:themeFill="accent4" w:themeFillTint="33"/>
            <w:noWrap/>
            <w:hideMark/>
          </w:tcPr>
          <w:p w14:paraId="6BCDFFB3" w14:textId="6C97809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25.7%</w:t>
            </w:r>
          </w:p>
        </w:tc>
        <w:tc>
          <w:tcPr>
            <w:tcW w:w="982" w:type="dxa"/>
            <w:shd w:val="clear" w:color="auto" w:fill="FBD4E4" w:themeFill="accent4" w:themeFillTint="33"/>
            <w:noWrap/>
            <w:hideMark/>
          </w:tcPr>
          <w:p w14:paraId="58D75CAE" w14:textId="0B2CE51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26.4%</w:t>
            </w:r>
          </w:p>
        </w:tc>
        <w:tc>
          <w:tcPr>
            <w:tcW w:w="982" w:type="dxa"/>
            <w:noWrap/>
            <w:hideMark/>
          </w:tcPr>
          <w:p w14:paraId="590B535B" w14:textId="545E75A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42.2%</w:t>
            </w:r>
          </w:p>
        </w:tc>
        <w:tc>
          <w:tcPr>
            <w:tcW w:w="982" w:type="dxa"/>
            <w:shd w:val="clear" w:color="auto" w:fill="DFF4ED" w:themeFill="accent2" w:themeFillTint="33"/>
            <w:noWrap/>
            <w:hideMark/>
          </w:tcPr>
          <w:p w14:paraId="2289A33A" w14:textId="46D48BF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68.9%</w:t>
            </w:r>
          </w:p>
        </w:tc>
        <w:tc>
          <w:tcPr>
            <w:tcW w:w="982" w:type="dxa"/>
            <w:noWrap/>
            <w:hideMark/>
          </w:tcPr>
          <w:p w14:paraId="1547A165" w14:textId="630B609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50.7%</w:t>
            </w:r>
          </w:p>
        </w:tc>
      </w:tr>
      <w:tr w:rsidR="00ED7059" w:rsidRPr="002E7B55" w14:paraId="4C494C8C"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4BCC4D44"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Northland</w:t>
            </w:r>
          </w:p>
        </w:tc>
        <w:tc>
          <w:tcPr>
            <w:tcW w:w="982" w:type="dxa"/>
            <w:shd w:val="clear" w:color="auto" w:fill="DFF4ED" w:themeFill="accent2" w:themeFillTint="33"/>
            <w:noWrap/>
            <w:hideMark/>
          </w:tcPr>
          <w:p w14:paraId="77BD1539" w14:textId="46849DF3"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40.1%</w:t>
            </w:r>
          </w:p>
        </w:tc>
        <w:tc>
          <w:tcPr>
            <w:tcW w:w="982" w:type="dxa"/>
            <w:noWrap/>
            <w:hideMark/>
          </w:tcPr>
          <w:p w14:paraId="2BE41EA6" w14:textId="68AC561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40.5%</w:t>
            </w:r>
          </w:p>
        </w:tc>
        <w:tc>
          <w:tcPr>
            <w:tcW w:w="982" w:type="dxa"/>
            <w:noWrap/>
            <w:hideMark/>
          </w:tcPr>
          <w:p w14:paraId="6978925B" w14:textId="0A6FE25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41.0%</w:t>
            </w:r>
          </w:p>
        </w:tc>
        <w:tc>
          <w:tcPr>
            <w:tcW w:w="982" w:type="dxa"/>
            <w:shd w:val="clear" w:color="auto" w:fill="FBD4E4" w:themeFill="accent4" w:themeFillTint="33"/>
            <w:noWrap/>
            <w:hideMark/>
          </w:tcPr>
          <w:p w14:paraId="519394E9" w14:textId="0149C58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37.6%</w:t>
            </w:r>
          </w:p>
        </w:tc>
        <w:tc>
          <w:tcPr>
            <w:tcW w:w="982" w:type="dxa"/>
            <w:shd w:val="clear" w:color="auto" w:fill="FBD4E4" w:themeFill="accent4" w:themeFillTint="33"/>
            <w:noWrap/>
            <w:hideMark/>
          </w:tcPr>
          <w:p w14:paraId="25C47F0B" w14:textId="062B4A7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36.1%</w:t>
            </w:r>
          </w:p>
        </w:tc>
        <w:tc>
          <w:tcPr>
            <w:tcW w:w="982" w:type="dxa"/>
            <w:noWrap/>
            <w:hideMark/>
          </w:tcPr>
          <w:p w14:paraId="7E4A9F03" w14:textId="45D4BE8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59.7%</w:t>
            </w:r>
          </w:p>
        </w:tc>
        <w:tc>
          <w:tcPr>
            <w:tcW w:w="982" w:type="dxa"/>
            <w:noWrap/>
            <w:hideMark/>
          </w:tcPr>
          <w:p w14:paraId="0FC32403" w14:textId="0D9F0E3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50.3%</w:t>
            </w:r>
          </w:p>
        </w:tc>
      </w:tr>
      <w:tr w:rsidR="00ED7059" w:rsidRPr="002E7B55" w14:paraId="40B0B793"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330A7F4F"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Taranaki</w:t>
            </w:r>
          </w:p>
        </w:tc>
        <w:tc>
          <w:tcPr>
            <w:tcW w:w="982" w:type="dxa"/>
            <w:shd w:val="clear" w:color="auto" w:fill="FBD4E4" w:themeFill="accent4" w:themeFillTint="33"/>
            <w:noWrap/>
            <w:hideMark/>
          </w:tcPr>
          <w:p w14:paraId="34C2DB7B" w14:textId="29F0DFD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31.6%</w:t>
            </w:r>
          </w:p>
        </w:tc>
        <w:tc>
          <w:tcPr>
            <w:tcW w:w="982" w:type="dxa"/>
            <w:noWrap/>
            <w:hideMark/>
          </w:tcPr>
          <w:p w14:paraId="326AD919" w14:textId="18C7499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38.2%</w:t>
            </w:r>
          </w:p>
        </w:tc>
        <w:tc>
          <w:tcPr>
            <w:tcW w:w="982" w:type="dxa"/>
            <w:noWrap/>
            <w:hideMark/>
          </w:tcPr>
          <w:p w14:paraId="48175EA3" w14:textId="305EF89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37.8%</w:t>
            </w:r>
          </w:p>
        </w:tc>
        <w:tc>
          <w:tcPr>
            <w:tcW w:w="982" w:type="dxa"/>
            <w:noWrap/>
            <w:hideMark/>
          </w:tcPr>
          <w:p w14:paraId="439662CA" w14:textId="46730D9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42.6%</w:t>
            </w:r>
          </w:p>
        </w:tc>
        <w:tc>
          <w:tcPr>
            <w:tcW w:w="982" w:type="dxa"/>
            <w:noWrap/>
            <w:hideMark/>
          </w:tcPr>
          <w:p w14:paraId="7B58B579" w14:textId="46DE6E0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41.3%</w:t>
            </w:r>
          </w:p>
        </w:tc>
        <w:tc>
          <w:tcPr>
            <w:tcW w:w="982" w:type="dxa"/>
            <w:shd w:val="clear" w:color="auto" w:fill="FBD4E4" w:themeFill="accent4" w:themeFillTint="33"/>
            <w:noWrap/>
            <w:hideMark/>
          </w:tcPr>
          <w:p w14:paraId="1536D7D9" w14:textId="5E2F86D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51.4%</w:t>
            </w:r>
          </w:p>
        </w:tc>
        <w:tc>
          <w:tcPr>
            <w:tcW w:w="982" w:type="dxa"/>
            <w:noWrap/>
            <w:hideMark/>
          </w:tcPr>
          <w:p w14:paraId="74036117" w14:textId="6053C0F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49.0%</w:t>
            </w:r>
          </w:p>
        </w:tc>
      </w:tr>
      <w:tr w:rsidR="00C5715B" w:rsidRPr="002E7B55" w14:paraId="1E4AE4C4"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567F64EF"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Waikato</w:t>
            </w:r>
          </w:p>
        </w:tc>
        <w:tc>
          <w:tcPr>
            <w:tcW w:w="982" w:type="dxa"/>
            <w:noWrap/>
            <w:hideMark/>
          </w:tcPr>
          <w:p w14:paraId="704FF931" w14:textId="081E90B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37.4%</w:t>
            </w:r>
          </w:p>
        </w:tc>
        <w:tc>
          <w:tcPr>
            <w:tcW w:w="982" w:type="dxa"/>
            <w:noWrap/>
            <w:hideMark/>
          </w:tcPr>
          <w:p w14:paraId="4717BADF" w14:textId="17A151F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42.9%</w:t>
            </w:r>
          </w:p>
        </w:tc>
        <w:tc>
          <w:tcPr>
            <w:tcW w:w="982" w:type="dxa"/>
            <w:noWrap/>
            <w:hideMark/>
          </w:tcPr>
          <w:p w14:paraId="7468D067" w14:textId="22D1E95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41.0%</w:t>
            </w:r>
          </w:p>
        </w:tc>
        <w:tc>
          <w:tcPr>
            <w:tcW w:w="982" w:type="dxa"/>
            <w:noWrap/>
            <w:hideMark/>
          </w:tcPr>
          <w:p w14:paraId="741005FC" w14:textId="69F07C93"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45.0%</w:t>
            </w:r>
          </w:p>
        </w:tc>
        <w:tc>
          <w:tcPr>
            <w:tcW w:w="982" w:type="dxa"/>
            <w:noWrap/>
            <w:hideMark/>
          </w:tcPr>
          <w:p w14:paraId="25C29D71" w14:textId="49E7FD6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45.4%</w:t>
            </w:r>
          </w:p>
        </w:tc>
        <w:tc>
          <w:tcPr>
            <w:tcW w:w="982" w:type="dxa"/>
            <w:noWrap/>
            <w:hideMark/>
          </w:tcPr>
          <w:p w14:paraId="361ECC7F" w14:textId="63F2194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60.7%</w:t>
            </w:r>
          </w:p>
        </w:tc>
        <w:tc>
          <w:tcPr>
            <w:tcW w:w="982" w:type="dxa"/>
            <w:noWrap/>
            <w:hideMark/>
          </w:tcPr>
          <w:p w14:paraId="5697F2CF" w14:textId="59BFF0E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47.5%</w:t>
            </w:r>
          </w:p>
        </w:tc>
      </w:tr>
      <w:tr w:rsidR="00C5715B" w:rsidRPr="002E7B55" w14:paraId="589BF676"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3A36E674" w14:textId="77777777" w:rsidR="00C5715B" w:rsidRPr="002E7B55" w:rsidRDefault="00C5715B" w:rsidP="004F662B">
            <w:pPr>
              <w:pStyle w:val="TableText"/>
              <w:spacing w:beforeLines="40" w:before="96" w:afterLines="40" w:after="96" w:line="24" w:lineRule="atLeast"/>
              <w:rPr>
                <w:b w:val="0"/>
                <w:bCs w:val="0"/>
              </w:rPr>
            </w:pPr>
            <w:r w:rsidRPr="002E7B55">
              <w:rPr>
                <w:b w:val="0"/>
                <w:bCs w:val="0"/>
              </w:rPr>
              <w:t>Nelson Marlborough</w:t>
            </w:r>
          </w:p>
        </w:tc>
        <w:tc>
          <w:tcPr>
            <w:tcW w:w="982" w:type="dxa"/>
            <w:noWrap/>
            <w:hideMark/>
          </w:tcPr>
          <w:p w14:paraId="6733D345" w14:textId="338AF99C"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38.7%</w:t>
            </w:r>
          </w:p>
        </w:tc>
        <w:tc>
          <w:tcPr>
            <w:tcW w:w="982" w:type="dxa"/>
            <w:noWrap/>
            <w:hideMark/>
          </w:tcPr>
          <w:p w14:paraId="4A3CE3D2" w14:textId="7596A80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42.9%</w:t>
            </w:r>
          </w:p>
        </w:tc>
        <w:tc>
          <w:tcPr>
            <w:tcW w:w="982" w:type="dxa"/>
            <w:noWrap/>
            <w:hideMark/>
          </w:tcPr>
          <w:p w14:paraId="1CFCBC65" w14:textId="2FB8933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43.2%</w:t>
            </w:r>
          </w:p>
        </w:tc>
        <w:tc>
          <w:tcPr>
            <w:tcW w:w="982" w:type="dxa"/>
            <w:shd w:val="clear" w:color="auto" w:fill="DFF4ED" w:themeFill="accent2" w:themeFillTint="33"/>
            <w:noWrap/>
            <w:hideMark/>
          </w:tcPr>
          <w:p w14:paraId="26D41EA6" w14:textId="56F3B4D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45.4%</w:t>
            </w:r>
          </w:p>
        </w:tc>
        <w:tc>
          <w:tcPr>
            <w:tcW w:w="982" w:type="dxa"/>
            <w:noWrap/>
            <w:hideMark/>
          </w:tcPr>
          <w:p w14:paraId="32A8835F" w14:textId="5E6C6C9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44.9%</w:t>
            </w:r>
          </w:p>
        </w:tc>
        <w:tc>
          <w:tcPr>
            <w:tcW w:w="982" w:type="dxa"/>
            <w:noWrap/>
            <w:hideMark/>
          </w:tcPr>
          <w:p w14:paraId="05C4AEC7" w14:textId="00900088"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63.8%</w:t>
            </w:r>
          </w:p>
        </w:tc>
        <w:tc>
          <w:tcPr>
            <w:tcW w:w="982" w:type="dxa"/>
            <w:noWrap/>
            <w:hideMark/>
          </w:tcPr>
          <w:p w14:paraId="6571C4E8" w14:textId="2F71230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47.1%</w:t>
            </w:r>
          </w:p>
        </w:tc>
      </w:tr>
      <w:tr w:rsidR="00C5715B" w:rsidRPr="002E7B55" w14:paraId="656B9483"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724AE235" w14:textId="77777777" w:rsidR="00C5715B" w:rsidRPr="002E7B55" w:rsidRDefault="00C5715B" w:rsidP="004F662B">
            <w:pPr>
              <w:pStyle w:val="TableText"/>
              <w:spacing w:beforeLines="40" w:before="96" w:afterLines="40" w:after="96" w:line="24" w:lineRule="atLeast"/>
              <w:rPr>
                <w:b w:val="0"/>
                <w:bCs w:val="0"/>
              </w:rPr>
            </w:pPr>
            <w:proofErr w:type="spellStart"/>
            <w:r w:rsidRPr="002E7B55">
              <w:rPr>
                <w:b w:val="0"/>
                <w:bCs w:val="0"/>
              </w:rPr>
              <w:t>MidCentral</w:t>
            </w:r>
            <w:proofErr w:type="spellEnd"/>
          </w:p>
        </w:tc>
        <w:tc>
          <w:tcPr>
            <w:tcW w:w="982" w:type="dxa"/>
            <w:shd w:val="clear" w:color="auto" w:fill="DFF4ED" w:themeFill="accent2" w:themeFillTint="33"/>
            <w:noWrap/>
            <w:hideMark/>
          </w:tcPr>
          <w:p w14:paraId="3DD50730" w14:textId="225A3B5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41.4%</w:t>
            </w:r>
          </w:p>
        </w:tc>
        <w:tc>
          <w:tcPr>
            <w:tcW w:w="982" w:type="dxa"/>
            <w:shd w:val="clear" w:color="auto" w:fill="DFF4ED" w:themeFill="accent2" w:themeFillTint="33"/>
            <w:noWrap/>
            <w:hideMark/>
          </w:tcPr>
          <w:p w14:paraId="308180B3" w14:textId="7AA3052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43.5%</w:t>
            </w:r>
          </w:p>
        </w:tc>
        <w:tc>
          <w:tcPr>
            <w:tcW w:w="982" w:type="dxa"/>
            <w:noWrap/>
            <w:hideMark/>
          </w:tcPr>
          <w:p w14:paraId="733318B5" w14:textId="5B09A67C"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40.7%</w:t>
            </w:r>
          </w:p>
        </w:tc>
        <w:tc>
          <w:tcPr>
            <w:tcW w:w="982" w:type="dxa"/>
            <w:shd w:val="clear" w:color="auto" w:fill="FBD4E4" w:themeFill="accent4" w:themeFillTint="33"/>
            <w:noWrap/>
            <w:hideMark/>
          </w:tcPr>
          <w:p w14:paraId="0A47D51D" w14:textId="1C44C84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38.8%</w:t>
            </w:r>
          </w:p>
        </w:tc>
        <w:tc>
          <w:tcPr>
            <w:tcW w:w="982" w:type="dxa"/>
            <w:noWrap/>
            <w:hideMark/>
          </w:tcPr>
          <w:p w14:paraId="00C768AB" w14:textId="15C40E7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40.3%</w:t>
            </w:r>
          </w:p>
        </w:tc>
        <w:tc>
          <w:tcPr>
            <w:tcW w:w="982" w:type="dxa"/>
            <w:noWrap/>
            <w:hideMark/>
          </w:tcPr>
          <w:p w14:paraId="7D072542" w14:textId="1D6C517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56.3%</w:t>
            </w:r>
          </w:p>
        </w:tc>
        <w:tc>
          <w:tcPr>
            <w:tcW w:w="982" w:type="dxa"/>
            <w:shd w:val="clear" w:color="auto" w:fill="FBD4E4" w:themeFill="accent4" w:themeFillTint="33"/>
            <w:noWrap/>
            <w:hideMark/>
          </w:tcPr>
          <w:p w14:paraId="162D5D93" w14:textId="21D1B91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46.8%</w:t>
            </w:r>
          </w:p>
        </w:tc>
      </w:tr>
      <w:tr w:rsidR="00ED7059" w:rsidRPr="002E7B55" w14:paraId="5A9A21EA"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6B2D43B3" w14:textId="77777777" w:rsidR="00C5715B" w:rsidRPr="002E7B55" w:rsidRDefault="00C5715B" w:rsidP="004F662B">
            <w:pPr>
              <w:pStyle w:val="TableText"/>
              <w:spacing w:beforeLines="40" w:before="96" w:afterLines="40" w:after="96" w:line="24" w:lineRule="atLeast"/>
            </w:pPr>
            <w:r w:rsidRPr="002E7B55">
              <w:t>Counties Manukau</w:t>
            </w:r>
          </w:p>
        </w:tc>
        <w:tc>
          <w:tcPr>
            <w:tcW w:w="982" w:type="dxa"/>
            <w:noWrap/>
            <w:hideMark/>
          </w:tcPr>
          <w:p w14:paraId="428B0943" w14:textId="05B740F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37.1%</w:t>
            </w:r>
          </w:p>
        </w:tc>
        <w:tc>
          <w:tcPr>
            <w:tcW w:w="982" w:type="dxa"/>
            <w:noWrap/>
            <w:hideMark/>
          </w:tcPr>
          <w:p w14:paraId="6AEF2415" w14:textId="624301E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43.2%</w:t>
            </w:r>
          </w:p>
        </w:tc>
        <w:tc>
          <w:tcPr>
            <w:tcW w:w="982" w:type="dxa"/>
            <w:shd w:val="clear" w:color="auto" w:fill="FBD4E4" w:themeFill="accent4" w:themeFillTint="33"/>
            <w:noWrap/>
            <w:hideMark/>
          </w:tcPr>
          <w:p w14:paraId="7348242D" w14:textId="3FAC655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36.7%</w:t>
            </w:r>
          </w:p>
        </w:tc>
        <w:tc>
          <w:tcPr>
            <w:tcW w:w="982" w:type="dxa"/>
            <w:shd w:val="clear" w:color="auto" w:fill="DFF4ED" w:themeFill="accent2" w:themeFillTint="33"/>
            <w:noWrap/>
            <w:hideMark/>
          </w:tcPr>
          <w:p w14:paraId="31A0B794" w14:textId="53B8887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45.4%</w:t>
            </w:r>
          </w:p>
        </w:tc>
        <w:tc>
          <w:tcPr>
            <w:tcW w:w="982" w:type="dxa"/>
            <w:noWrap/>
            <w:hideMark/>
          </w:tcPr>
          <w:p w14:paraId="7DAF6B86" w14:textId="6957BFC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44.2%</w:t>
            </w:r>
          </w:p>
        </w:tc>
        <w:tc>
          <w:tcPr>
            <w:tcW w:w="982" w:type="dxa"/>
            <w:shd w:val="clear" w:color="auto" w:fill="FBD4E4" w:themeFill="accent4" w:themeFillTint="33"/>
            <w:noWrap/>
            <w:hideMark/>
          </w:tcPr>
          <w:p w14:paraId="4DBCEDD0" w14:textId="666515E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52.7%</w:t>
            </w:r>
          </w:p>
        </w:tc>
        <w:tc>
          <w:tcPr>
            <w:tcW w:w="982" w:type="dxa"/>
            <w:shd w:val="clear" w:color="auto" w:fill="FBD4E4" w:themeFill="accent4" w:themeFillTint="33"/>
            <w:noWrap/>
            <w:hideMark/>
          </w:tcPr>
          <w:p w14:paraId="63FC2166" w14:textId="4F05116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46.5%</w:t>
            </w:r>
          </w:p>
        </w:tc>
      </w:tr>
      <w:tr w:rsidR="00ED7059" w:rsidRPr="002E7B55" w14:paraId="7E157053"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6614025F" w14:textId="6FDE9E44" w:rsidR="00C5715B" w:rsidRPr="002E7B55" w:rsidRDefault="00C5715B" w:rsidP="004F662B">
            <w:pPr>
              <w:pStyle w:val="TableText"/>
              <w:spacing w:beforeLines="40" w:before="96" w:afterLines="40" w:after="96" w:line="24" w:lineRule="atLeast"/>
              <w:rPr>
                <w:b w:val="0"/>
                <w:bCs w:val="0"/>
              </w:rPr>
            </w:pPr>
            <w:r w:rsidRPr="002E7B55">
              <w:rPr>
                <w:b w:val="0"/>
                <w:bCs w:val="0"/>
              </w:rPr>
              <w:t>Tairāwhiti</w:t>
            </w:r>
          </w:p>
        </w:tc>
        <w:tc>
          <w:tcPr>
            <w:tcW w:w="982" w:type="dxa"/>
            <w:noWrap/>
            <w:hideMark/>
          </w:tcPr>
          <w:p w14:paraId="28ABD3B9" w14:textId="1078C2BB"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33.2%</w:t>
            </w:r>
          </w:p>
        </w:tc>
        <w:tc>
          <w:tcPr>
            <w:tcW w:w="982" w:type="dxa"/>
            <w:noWrap/>
            <w:hideMark/>
          </w:tcPr>
          <w:p w14:paraId="62E6388C" w14:textId="03D3498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39.4%</w:t>
            </w:r>
          </w:p>
        </w:tc>
        <w:tc>
          <w:tcPr>
            <w:tcW w:w="982" w:type="dxa"/>
            <w:noWrap/>
            <w:hideMark/>
          </w:tcPr>
          <w:p w14:paraId="3514329E" w14:textId="5BB80EAA"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39.8%</w:t>
            </w:r>
          </w:p>
        </w:tc>
        <w:tc>
          <w:tcPr>
            <w:tcW w:w="982" w:type="dxa"/>
            <w:noWrap/>
            <w:hideMark/>
          </w:tcPr>
          <w:p w14:paraId="62E6B67B" w14:textId="3F17751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40.1%</w:t>
            </w:r>
          </w:p>
        </w:tc>
        <w:tc>
          <w:tcPr>
            <w:tcW w:w="982" w:type="dxa"/>
            <w:shd w:val="clear" w:color="auto" w:fill="FBD4E4" w:themeFill="accent4" w:themeFillTint="33"/>
            <w:noWrap/>
            <w:hideMark/>
          </w:tcPr>
          <w:p w14:paraId="47F379C7" w14:textId="01F2B07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39.1%</w:t>
            </w:r>
          </w:p>
        </w:tc>
        <w:tc>
          <w:tcPr>
            <w:tcW w:w="982" w:type="dxa"/>
            <w:noWrap/>
            <w:hideMark/>
          </w:tcPr>
          <w:p w14:paraId="6293B31D" w14:textId="5668B446"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58.9%</w:t>
            </w:r>
          </w:p>
        </w:tc>
        <w:tc>
          <w:tcPr>
            <w:tcW w:w="982" w:type="dxa"/>
            <w:shd w:val="clear" w:color="auto" w:fill="FBD4E4" w:themeFill="accent4" w:themeFillTint="33"/>
            <w:noWrap/>
            <w:hideMark/>
          </w:tcPr>
          <w:p w14:paraId="574B47FC" w14:textId="09D8C29E"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pPr>
            <w:r w:rsidRPr="002E7B55">
              <w:t>45.6%</w:t>
            </w:r>
          </w:p>
        </w:tc>
      </w:tr>
      <w:tr w:rsidR="00ED7059" w:rsidRPr="002E7B55" w14:paraId="1F167F3A"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178321EE" w14:textId="77777777" w:rsidR="00C5715B" w:rsidRPr="002E7B55" w:rsidRDefault="00C5715B" w:rsidP="004F662B">
            <w:pPr>
              <w:pStyle w:val="TableText"/>
              <w:spacing w:beforeLines="40" w:before="96" w:afterLines="40" w:after="96" w:line="24" w:lineRule="atLeast"/>
            </w:pPr>
            <w:r w:rsidRPr="002E7B55">
              <w:t>Auckland</w:t>
            </w:r>
          </w:p>
        </w:tc>
        <w:tc>
          <w:tcPr>
            <w:tcW w:w="982" w:type="dxa"/>
            <w:noWrap/>
            <w:hideMark/>
          </w:tcPr>
          <w:p w14:paraId="1CB97204" w14:textId="5BAEE21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32.1%</w:t>
            </w:r>
          </w:p>
        </w:tc>
        <w:tc>
          <w:tcPr>
            <w:tcW w:w="982" w:type="dxa"/>
            <w:shd w:val="clear" w:color="auto" w:fill="FBD4E4" w:themeFill="accent4" w:themeFillTint="33"/>
            <w:noWrap/>
            <w:hideMark/>
          </w:tcPr>
          <w:p w14:paraId="1157D308" w14:textId="5F2388A1"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35.7%</w:t>
            </w:r>
          </w:p>
        </w:tc>
        <w:tc>
          <w:tcPr>
            <w:tcW w:w="982" w:type="dxa"/>
            <w:shd w:val="clear" w:color="auto" w:fill="FBD4E4" w:themeFill="accent4" w:themeFillTint="33"/>
            <w:noWrap/>
            <w:hideMark/>
          </w:tcPr>
          <w:p w14:paraId="714789A2" w14:textId="713D7C4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33.4%</w:t>
            </w:r>
          </w:p>
        </w:tc>
        <w:tc>
          <w:tcPr>
            <w:tcW w:w="982" w:type="dxa"/>
            <w:noWrap/>
            <w:hideMark/>
          </w:tcPr>
          <w:p w14:paraId="607800BD" w14:textId="5ED4957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39.1%</w:t>
            </w:r>
          </w:p>
        </w:tc>
        <w:tc>
          <w:tcPr>
            <w:tcW w:w="982" w:type="dxa"/>
            <w:shd w:val="clear" w:color="auto" w:fill="FBD4E4" w:themeFill="accent4" w:themeFillTint="33"/>
            <w:noWrap/>
            <w:hideMark/>
          </w:tcPr>
          <w:p w14:paraId="76C13A48" w14:textId="1C75E300"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39.0%</w:t>
            </w:r>
          </w:p>
        </w:tc>
        <w:tc>
          <w:tcPr>
            <w:tcW w:w="982" w:type="dxa"/>
            <w:shd w:val="clear" w:color="auto" w:fill="FBD4E4" w:themeFill="accent4" w:themeFillTint="33"/>
            <w:noWrap/>
            <w:hideMark/>
          </w:tcPr>
          <w:p w14:paraId="6DE5E460" w14:textId="71922D6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39.7%</w:t>
            </w:r>
          </w:p>
        </w:tc>
        <w:tc>
          <w:tcPr>
            <w:tcW w:w="982" w:type="dxa"/>
            <w:shd w:val="clear" w:color="auto" w:fill="FBD4E4" w:themeFill="accent4" w:themeFillTint="33"/>
            <w:noWrap/>
            <w:hideMark/>
          </w:tcPr>
          <w:p w14:paraId="27771968" w14:textId="0FE476F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42.6%</w:t>
            </w:r>
          </w:p>
        </w:tc>
      </w:tr>
      <w:tr w:rsidR="00ED7059" w:rsidRPr="002E7B55" w14:paraId="3CBD5C3B" w14:textId="77777777" w:rsidTr="0041072E">
        <w:trPr>
          <w:trHeight w:val="285"/>
        </w:trPr>
        <w:tc>
          <w:tcPr>
            <w:cnfStyle w:val="001000000000" w:firstRow="0" w:lastRow="0" w:firstColumn="1" w:lastColumn="0" w:oddVBand="0" w:evenVBand="0" w:oddHBand="0" w:evenHBand="0" w:firstRowFirstColumn="0" w:firstRowLastColumn="0" w:lastRowFirstColumn="0" w:lastRowLastColumn="0"/>
            <w:tcW w:w="2505" w:type="dxa"/>
            <w:noWrap/>
            <w:hideMark/>
          </w:tcPr>
          <w:p w14:paraId="3D1BA2BF" w14:textId="74DEA307" w:rsidR="00C5715B" w:rsidRPr="002E7B55" w:rsidRDefault="00C5715B" w:rsidP="004F662B">
            <w:pPr>
              <w:pStyle w:val="TableText"/>
              <w:spacing w:beforeLines="40" w:before="96" w:afterLines="40" w:after="96" w:line="24" w:lineRule="atLeast"/>
            </w:pPr>
            <w:r w:rsidRPr="002E7B55">
              <w:t>Waitematā</w:t>
            </w:r>
          </w:p>
        </w:tc>
        <w:tc>
          <w:tcPr>
            <w:tcW w:w="982" w:type="dxa"/>
            <w:shd w:val="clear" w:color="auto" w:fill="FBD4E4" w:themeFill="accent4" w:themeFillTint="33"/>
            <w:noWrap/>
            <w:hideMark/>
          </w:tcPr>
          <w:p w14:paraId="683F4895" w14:textId="4AB41A79"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29.8%</w:t>
            </w:r>
          </w:p>
        </w:tc>
        <w:tc>
          <w:tcPr>
            <w:tcW w:w="982" w:type="dxa"/>
            <w:shd w:val="clear" w:color="auto" w:fill="FBD4E4" w:themeFill="accent4" w:themeFillTint="33"/>
            <w:noWrap/>
            <w:hideMark/>
          </w:tcPr>
          <w:p w14:paraId="5ED07C1B" w14:textId="7A6877C2"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34.5%</w:t>
            </w:r>
          </w:p>
        </w:tc>
        <w:tc>
          <w:tcPr>
            <w:tcW w:w="982" w:type="dxa"/>
            <w:shd w:val="clear" w:color="auto" w:fill="FBD4E4" w:themeFill="accent4" w:themeFillTint="33"/>
            <w:noWrap/>
            <w:hideMark/>
          </w:tcPr>
          <w:p w14:paraId="7F35FAEF" w14:textId="14C74B95"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30.9%</w:t>
            </w:r>
          </w:p>
        </w:tc>
        <w:tc>
          <w:tcPr>
            <w:tcW w:w="982" w:type="dxa"/>
            <w:shd w:val="clear" w:color="auto" w:fill="FBD4E4" w:themeFill="accent4" w:themeFillTint="33"/>
            <w:noWrap/>
            <w:hideMark/>
          </w:tcPr>
          <w:p w14:paraId="54E8AEF0" w14:textId="3CAB6194"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38.1%</w:t>
            </w:r>
          </w:p>
        </w:tc>
        <w:tc>
          <w:tcPr>
            <w:tcW w:w="982" w:type="dxa"/>
            <w:shd w:val="clear" w:color="auto" w:fill="FBD4E4" w:themeFill="accent4" w:themeFillTint="33"/>
            <w:noWrap/>
            <w:hideMark/>
          </w:tcPr>
          <w:p w14:paraId="7D8C20CC" w14:textId="15CB4B6D"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38.2%</w:t>
            </w:r>
          </w:p>
        </w:tc>
        <w:tc>
          <w:tcPr>
            <w:tcW w:w="982" w:type="dxa"/>
            <w:shd w:val="clear" w:color="auto" w:fill="FBD4E4" w:themeFill="accent4" w:themeFillTint="33"/>
            <w:noWrap/>
            <w:hideMark/>
          </w:tcPr>
          <w:p w14:paraId="03D33CBB" w14:textId="33195437"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48.3%</w:t>
            </w:r>
          </w:p>
        </w:tc>
        <w:tc>
          <w:tcPr>
            <w:tcW w:w="982" w:type="dxa"/>
            <w:shd w:val="clear" w:color="auto" w:fill="FBD4E4" w:themeFill="accent4" w:themeFillTint="33"/>
            <w:noWrap/>
            <w:hideMark/>
          </w:tcPr>
          <w:p w14:paraId="59CD86E8" w14:textId="6DC07D9F" w:rsidR="00C5715B" w:rsidRPr="002E7B55" w:rsidRDefault="00C5715B" w:rsidP="004F662B">
            <w:pPr>
              <w:pStyle w:val="TableText"/>
              <w:spacing w:beforeLines="40" w:before="96" w:afterLines="40" w:after="96" w:line="24" w:lineRule="atLeast"/>
              <w:cnfStyle w:val="000000000000" w:firstRow="0" w:lastRow="0" w:firstColumn="0" w:lastColumn="0" w:oddVBand="0" w:evenVBand="0" w:oddHBand="0" w:evenHBand="0" w:firstRowFirstColumn="0" w:firstRowLastColumn="0" w:lastRowFirstColumn="0" w:lastRowLastColumn="0"/>
              <w:rPr>
                <w:b/>
                <w:bCs/>
              </w:rPr>
            </w:pPr>
            <w:r w:rsidRPr="002E7B55">
              <w:rPr>
                <w:b/>
                <w:bCs/>
              </w:rPr>
              <w:t>42.5%</w:t>
            </w:r>
          </w:p>
        </w:tc>
      </w:tr>
    </w:tbl>
    <w:p w14:paraId="09C43EED" w14:textId="2754B1AF" w:rsidR="009C7A2E" w:rsidRPr="002E7B55" w:rsidRDefault="006D5A01" w:rsidP="006D5A01">
      <w:pPr>
        <w:pStyle w:val="Caption"/>
      </w:pPr>
      <w:bookmarkStart w:id="54" w:name="_Ref95159844"/>
      <w:bookmarkStart w:id="55" w:name="_Ref95159849"/>
      <w:bookmarkStart w:id="56" w:name="_Toc96341677"/>
      <w:r w:rsidRPr="002E7B55">
        <w:t xml:space="preserve">Table </w:t>
      </w:r>
      <w:r w:rsidRPr="002E7B55">
        <w:fldChar w:fldCharType="begin"/>
      </w:r>
      <w:r w:rsidRPr="002E7B55">
        <w:instrText xml:space="preserve"> SEQ Table \* ARABIC </w:instrText>
      </w:r>
      <w:r w:rsidRPr="002E7B55">
        <w:fldChar w:fldCharType="separate"/>
      </w:r>
      <w:r w:rsidR="004A3284" w:rsidRPr="002E7B55">
        <w:t>2</w:t>
      </w:r>
      <w:r w:rsidRPr="002E7B55">
        <w:fldChar w:fldCharType="end"/>
      </w:r>
      <w:bookmarkEnd w:id="54"/>
      <w:r w:rsidRPr="002E7B55">
        <w:t>. Flu vaccination rates of Māori 65+ 2015-2021, by DHB region</w:t>
      </w:r>
      <w:r w:rsidR="00F07BF9" w:rsidRPr="002E7B55">
        <w:rPr>
          <w:rStyle w:val="EndnoteReference"/>
        </w:rPr>
        <w:endnoteReference w:id="59"/>
      </w:r>
      <w:bookmarkEnd w:id="55"/>
      <w:bookmarkEnd w:id="56"/>
    </w:p>
    <w:p w14:paraId="00921813" w14:textId="0C03DEA0" w:rsidR="000E3132" w:rsidRPr="002E7B55" w:rsidRDefault="000E3132" w:rsidP="0041391C">
      <w:pPr>
        <w:pStyle w:val="Heading3"/>
      </w:pPr>
      <w:r w:rsidRPr="002E7B55">
        <w:t>COVID-19 and influenza vaccination rollout and eligible groups</w:t>
      </w:r>
    </w:p>
    <w:p w14:paraId="0B258883" w14:textId="00BA3242" w:rsidR="000E3132" w:rsidRPr="002E7B55" w:rsidRDefault="000E3132" w:rsidP="000E3132">
      <w:r w:rsidRPr="002E7B55">
        <w:t>In 2021, there were four flu vaccines approved for different age groups, compared to two in 2020. There was one vaccine for adults 65 years and older, another for people aged 5–64 years, one for children aged 3</w:t>
      </w:r>
      <w:r w:rsidR="00265501" w:rsidRPr="002E7B55">
        <w:t>–</w:t>
      </w:r>
      <w:r w:rsidRPr="002E7B55">
        <w:t>4 years, and one for</w:t>
      </w:r>
      <w:r w:rsidR="00177254" w:rsidRPr="002E7B55">
        <w:t xml:space="preserve"> babies and toddlers aged</w:t>
      </w:r>
      <w:r w:rsidRPr="002E7B55">
        <w:t xml:space="preserve"> 6</w:t>
      </w:r>
      <w:r w:rsidR="00265501" w:rsidRPr="002E7B55">
        <w:t>–</w:t>
      </w:r>
      <w:r w:rsidRPr="002E7B55">
        <w:t>35 months.</w:t>
      </w:r>
      <w:r w:rsidR="0041072E" w:rsidRPr="002E7B55">
        <w:t xml:space="preserve"> </w:t>
      </w:r>
      <w:r w:rsidRPr="002E7B55">
        <w:t xml:space="preserve">In 2021, the phased rollout of the flu vaccines and the COVID-19 vaccine used age as a key criterion for eligibility. The flu immunisation campaign for people </w:t>
      </w:r>
      <w:r w:rsidRPr="002E7B55">
        <w:lastRenderedPageBreak/>
        <w:t xml:space="preserve">over 65 years began earlier than other age groups. For both the flu and COVID-19 vaccines, the phased approach was a response to vaccine supply and targeting of priority groups. </w:t>
      </w:r>
    </w:p>
    <w:tbl>
      <w:tblPr>
        <w:tblStyle w:val="TableGrid"/>
        <w:tblW w:w="0" w:type="auto"/>
        <w:tblBorders>
          <w:top w:val="single" w:sz="4" w:space="0" w:color="197278"/>
          <w:left w:val="single" w:sz="4" w:space="0" w:color="197278"/>
          <w:bottom w:val="single" w:sz="4" w:space="0" w:color="197278"/>
          <w:right w:val="single" w:sz="4" w:space="0" w:color="197278"/>
          <w:insideH w:val="single" w:sz="4" w:space="0" w:color="197278"/>
          <w:insideV w:val="single" w:sz="4" w:space="0" w:color="197278"/>
        </w:tblBorders>
        <w:tblLook w:val="04A0" w:firstRow="1" w:lastRow="0" w:firstColumn="1" w:lastColumn="0" w:noHBand="0" w:noVBand="1"/>
      </w:tblPr>
      <w:tblGrid>
        <w:gridCol w:w="7083"/>
        <w:gridCol w:w="1927"/>
      </w:tblGrid>
      <w:tr w:rsidR="000E3132" w:rsidRPr="002E7B55" w14:paraId="3CC70547" w14:textId="77777777" w:rsidTr="0081467C">
        <w:trPr>
          <w:trHeight w:val="414"/>
        </w:trPr>
        <w:tc>
          <w:tcPr>
            <w:tcW w:w="7083" w:type="dxa"/>
            <w:shd w:val="clear" w:color="auto" w:fill="197278"/>
          </w:tcPr>
          <w:p w14:paraId="39F2B161" w14:textId="77777777" w:rsidR="000E3132" w:rsidRPr="002E7B55" w:rsidRDefault="000E3132" w:rsidP="004F662B">
            <w:pPr>
              <w:pStyle w:val="TableText"/>
              <w:spacing w:before="60" w:after="60"/>
              <w:rPr>
                <w:b/>
                <w:bCs/>
                <w:color w:val="FFFFFF" w:themeColor="background1"/>
              </w:rPr>
            </w:pPr>
            <w:r w:rsidRPr="002E7B55">
              <w:rPr>
                <w:b/>
                <w:bCs/>
                <w:color w:val="FFFFFF" w:themeColor="background1"/>
              </w:rPr>
              <w:t>Activity</w:t>
            </w:r>
          </w:p>
        </w:tc>
        <w:tc>
          <w:tcPr>
            <w:tcW w:w="1927" w:type="dxa"/>
            <w:shd w:val="clear" w:color="auto" w:fill="197278"/>
          </w:tcPr>
          <w:p w14:paraId="2E8B9B06" w14:textId="77777777" w:rsidR="000E3132" w:rsidRPr="002E7B55" w:rsidRDefault="000E3132" w:rsidP="004F662B">
            <w:pPr>
              <w:pStyle w:val="TableText"/>
              <w:spacing w:before="60" w:after="60"/>
              <w:rPr>
                <w:b/>
                <w:bCs/>
                <w:color w:val="FFFFFF" w:themeColor="background1"/>
              </w:rPr>
            </w:pPr>
            <w:r w:rsidRPr="002E7B55">
              <w:rPr>
                <w:b/>
                <w:bCs/>
                <w:color w:val="FFFFFF" w:themeColor="background1"/>
              </w:rPr>
              <w:t>Timing</w:t>
            </w:r>
          </w:p>
        </w:tc>
      </w:tr>
      <w:tr w:rsidR="000E3132" w:rsidRPr="002E7B55" w14:paraId="7A2AB456" w14:textId="77777777" w:rsidTr="0081467C">
        <w:tc>
          <w:tcPr>
            <w:tcW w:w="7083" w:type="dxa"/>
          </w:tcPr>
          <w:p w14:paraId="3A22554D" w14:textId="77777777" w:rsidR="000E3132" w:rsidRPr="002E7B55" w:rsidRDefault="000E3132" w:rsidP="004F662B">
            <w:pPr>
              <w:pStyle w:val="TableText"/>
              <w:spacing w:before="60" w:after="60"/>
            </w:pPr>
            <w:r w:rsidRPr="002E7B55">
              <w:t>COVID-19 Group 1: MIQ and Border workers</w:t>
            </w:r>
          </w:p>
        </w:tc>
        <w:tc>
          <w:tcPr>
            <w:tcW w:w="1927" w:type="dxa"/>
          </w:tcPr>
          <w:p w14:paraId="522F4303" w14:textId="77777777" w:rsidR="000E3132" w:rsidRPr="002E7B55" w:rsidRDefault="000E3132" w:rsidP="004F662B">
            <w:pPr>
              <w:pStyle w:val="TableText"/>
              <w:spacing w:before="60" w:after="60"/>
            </w:pPr>
            <w:r w:rsidRPr="002E7B55">
              <w:t>Mid-February 2021</w:t>
            </w:r>
          </w:p>
        </w:tc>
      </w:tr>
      <w:tr w:rsidR="000E3132" w:rsidRPr="002E7B55" w14:paraId="2089DB87" w14:textId="77777777" w:rsidTr="0081467C">
        <w:tc>
          <w:tcPr>
            <w:tcW w:w="7083" w:type="dxa"/>
          </w:tcPr>
          <w:p w14:paraId="535536CF" w14:textId="77777777" w:rsidR="000E3132" w:rsidRPr="002E7B55" w:rsidRDefault="000E3132" w:rsidP="004F662B">
            <w:pPr>
              <w:pStyle w:val="TableText"/>
              <w:spacing w:before="60" w:after="60"/>
            </w:pPr>
            <w:r w:rsidRPr="002E7B55">
              <w:t>COVID-19 Group 2: High risk frontline workers</w:t>
            </w:r>
          </w:p>
        </w:tc>
        <w:tc>
          <w:tcPr>
            <w:tcW w:w="1927" w:type="dxa"/>
          </w:tcPr>
          <w:p w14:paraId="07248EE0" w14:textId="77777777" w:rsidR="000E3132" w:rsidRPr="002E7B55" w:rsidRDefault="000E3132" w:rsidP="004F662B">
            <w:pPr>
              <w:pStyle w:val="TableText"/>
              <w:spacing w:before="60" w:after="60"/>
            </w:pPr>
            <w:r w:rsidRPr="002E7B55">
              <w:t>March 2021</w:t>
            </w:r>
          </w:p>
        </w:tc>
      </w:tr>
      <w:tr w:rsidR="000E3132" w:rsidRPr="002E7B55" w14:paraId="6335A3AE" w14:textId="77777777" w:rsidTr="0081467C">
        <w:tc>
          <w:tcPr>
            <w:tcW w:w="7083" w:type="dxa"/>
          </w:tcPr>
          <w:p w14:paraId="63B78DB4" w14:textId="77777777" w:rsidR="000E3132" w:rsidRPr="002E7B55" w:rsidRDefault="000E3132" w:rsidP="004F662B">
            <w:pPr>
              <w:pStyle w:val="TableText"/>
              <w:spacing w:before="60" w:after="60"/>
            </w:pPr>
            <w:r w:rsidRPr="002E7B55">
              <w:t>COVID-19 Group 3: Those over 65 or at risk of getting very sick</w:t>
            </w:r>
          </w:p>
        </w:tc>
        <w:tc>
          <w:tcPr>
            <w:tcW w:w="1927" w:type="dxa"/>
          </w:tcPr>
          <w:p w14:paraId="13C40D0F" w14:textId="77777777" w:rsidR="000E3132" w:rsidRPr="002E7B55" w:rsidRDefault="000E3132" w:rsidP="004F662B">
            <w:pPr>
              <w:pStyle w:val="TableText"/>
              <w:spacing w:before="60" w:after="60"/>
            </w:pPr>
            <w:r w:rsidRPr="002E7B55">
              <w:t>March 2021</w:t>
            </w:r>
          </w:p>
        </w:tc>
      </w:tr>
      <w:tr w:rsidR="000E3132" w:rsidRPr="002E7B55" w14:paraId="0C736BB6" w14:textId="77777777" w:rsidTr="0081467C">
        <w:tc>
          <w:tcPr>
            <w:tcW w:w="7083" w:type="dxa"/>
          </w:tcPr>
          <w:p w14:paraId="1BD542FF" w14:textId="77777777" w:rsidR="000E3132" w:rsidRPr="002E7B55" w:rsidRDefault="000E3132" w:rsidP="004F662B">
            <w:pPr>
              <w:pStyle w:val="TableText"/>
              <w:spacing w:before="60" w:after="60"/>
            </w:pPr>
            <w:r w:rsidRPr="002E7B55">
              <w:t>Influenza Immunisation Programme starts for people 65 years and over</w:t>
            </w:r>
          </w:p>
          <w:p w14:paraId="5F7802FB" w14:textId="77777777" w:rsidR="000E3132" w:rsidRPr="002E7B55" w:rsidRDefault="000E3132" w:rsidP="004F662B">
            <w:pPr>
              <w:pStyle w:val="TableText"/>
              <w:spacing w:before="60" w:after="60"/>
            </w:pPr>
            <w:proofErr w:type="spellStart"/>
            <w:r w:rsidRPr="002E7B55">
              <w:t>Fluad</w:t>
            </w:r>
            <w:proofErr w:type="spellEnd"/>
            <w:r w:rsidRPr="002E7B55">
              <w:t xml:space="preserve"> Quad Vaccine for this age group only.</w:t>
            </w:r>
          </w:p>
          <w:p w14:paraId="1A1748ED" w14:textId="77777777" w:rsidR="000E3132" w:rsidRPr="002E7B55" w:rsidRDefault="000E3132" w:rsidP="004F662B">
            <w:pPr>
              <w:pStyle w:val="TableText"/>
              <w:spacing w:before="60" w:after="60"/>
            </w:pPr>
            <w:r w:rsidRPr="002E7B55">
              <w:t>Vaccine available to the end of December 2021</w:t>
            </w:r>
          </w:p>
        </w:tc>
        <w:tc>
          <w:tcPr>
            <w:tcW w:w="1927" w:type="dxa"/>
          </w:tcPr>
          <w:p w14:paraId="0A557B9A" w14:textId="77777777" w:rsidR="000E3132" w:rsidRPr="002E7B55" w:rsidRDefault="000E3132" w:rsidP="004F662B">
            <w:pPr>
              <w:pStyle w:val="TableText"/>
              <w:spacing w:before="60" w:after="60"/>
            </w:pPr>
            <w:r w:rsidRPr="002E7B55">
              <w:t>14 April, 2021</w:t>
            </w:r>
          </w:p>
        </w:tc>
      </w:tr>
      <w:tr w:rsidR="000E3132" w:rsidRPr="002E7B55" w14:paraId="1532A044" w14:textId="77777777" w:rsidTr="0081467C">
        <w:tc>
          <w:tcPr>
            <w:tcW w:w="7083" w:type="dxa"/>
          </w:tcPr>
          <w:p w14:paraId="42F7D166" w14:textId="77777777" w:rsidR="000E3132" w:rsidRPr="002E7B55" w:rsidRDefault="000E3132" w:rsidP="004F662B">
            <w:pPr>
              <w:pStyle w:val="TableText"/>
              <w:spacing w:before="60" w:after="60"/>
            </w:pPr>
            <w:r w:rsidRPr="002E7B55">
              <w:t xml:space="preserve">Influenza Immunisation Programme starts for people under 65. </w:t>
            </w:r>
          </w:p>
          <w:p w14:paraId="38291D4F" w14:textId="77777777" w:rsidR="000E3132" w:rsidRPr="002E7B55" w:rsidRDefault="000E3132" w:rsidP="004F662B">
            <w:pPr>
              <w:pStyle w:val="TableText"/>
              <w:spacing w:before="60" w:after="60"/>
            </w:pPr>
            <w:r w:rsidRPr="002E7B55">
              <w:t>Afluria Quad for people aged 5 to 64</w:t>
            </w:r>
          </w:p>
          <w:p w14:paraId="1C561EB7" w14:textId="77777777" w:rsidR="000E3132" w:rsidRPr="002E7B55" w:rsidRDefault="000E3132" w:rsidP="004F662B">
            <w:pPr>
              <w:pStyle w:val="TableText"/>
              <w:spacing w:before="60" w:after="60"/>
            </w:pPr>
            <w:proofErr w:type="spellStart"/>
            <w:r w:rsidRPr="002E7B55">
              <w:t>Influvac</w:t>
            </w:r>
            <w:proofErr w:type="spellEnd"/>
            <w:r w:rsidRPr="002E7B55">
              <w:t xml:space="preserve"> Tetra for children aged to 3 to 4 years</w:t>
            </w:r>
          </w:p>
          <w:p w14:paraId="2EE5231B" w14:textId="77777777" w:rsidR="000E3132" w:rsidRPr="002E7B55" w:rsidRDefault="000E3132" w:rsidP="004F662B">
            <w:pPr>
              <w:pStyle w:val="TableText"/>
              <w:spacing w:before="60" w:after="60"/>
            </w:pPr>
            <w:r w:rsidRPr="002E7B55">
              <w:t>Afluria Quad Junior for children aged 6 to 35 months</w:t>
            </w:r>
          </w:p>
          <w:p w14:paraId="2780875F" w14:textId="77777777" w:rsidR="000E3132" w:rsidRPr="002E7B55" w:rsidRDefault="000E3132" w:rsidP="004F662B">
            <w:pPr>
              <w:pStyle w:val="TableText"/>
              <w:spacing w:before="60" w:after="60"/>
            </w:pPr>
            <w:r w:rsidRPr="002E7B55">
              <w:t>Children from 6 months to 35 months need two doses of the flu vaccine given at least 4 weeks apart</w:t>
            </w:r>
          </w:p>
        </w:tc>
        <w:tc>
          <w:tcPr>
            <w:tcW w:w="1927" w:type="dxa"/>
          </w:tcPr>
          <w:p w14:paraId="08D602B5" w14:textId="77777777" w:rsidR="000E3132" w:rsidRPr="002E7B55" w:rsidRDefault="000E3132" w:rsidP="004F662B">
            <w:pPr>
              <w:pStyle w:val="TableText"/>
              <w:spacing w:before="60" w:after="60"/>
            </w:pPr>
            <w:r w:rsidRPr="002E7B55">
              <w:t>17 May, 2021</w:t>
            </w:r>
          </w:p>
        </w:tc>
      </w:tr>
      <w:tr w:rsidR="000E3132" w:rsidRPr="002E7B55" w14:paraId="6B706ADC" w14:textId="77777777" w:rsidTr="0081467C">
        <w:tc>
          <w:tcPr>
            <w:tcW w:w="7083" w:type="dxa"/>
          </w:tcPr>
          <w:p w14:paraId="523B0142" w14:textId="77777777" w:rsidR="000E3132" w:rsidRPr="002E7B55" w:rsidRDefault="000E3132" w:rsidP="004F662B">
            <w:pPr>
              <w:pStyle w:val="TableText"/>
              <w:spacing w:before="60" w:after="60"/>
            </w:pPr>
            <w:r w:rsidRPr="002E7B55">
              <w:t>COVID-19 Group 3: Main population rollout started</w:t>
            </w:r>
          </w:p>
          <w:p w14:paraId="3CAC0F6D" w14:textId="77777777" w:rsidR="000E3132" w:rsidRPr="002E7B55" w:rsidRDefault="000E3132" w:rsidP="004F662B">
            <w:pPr>
              <w:pStyle w:val="TableText"/>
              <w:spacing w:before="60" w:after="60"/>
            </w:pPr>
            <w:r w:rsidRPr="002E7B55">
              <w:t>New age groups were allowed to book each fortnight</w:t>
            </w:r>
          </w:p>
          <w:p w14:paraId="2FD8A942" w14:textId="77777777" w:rsidR="000E3132" w:rsidRPr="002E7B55" w:rsidRDefault="000E3132" w:rsidP="004F662B">
            <w:pPr>
              <w:pStyle w:val="TableText"/>
              <w:spacing w:before="60" w:after="60"/>
            </w:pPr>
            <w:r w:rsidRPr="002E7B55">
              <w:t>As of 25 August, those aged 30+ can book and can take their children aged 12 – 15 with them</w:t>
            </w:r>
          </w:p>
        </w:tc>
        <w:tc>
          <w:tcPr>
            <w:tcW w:w="1927" w:type="dxa"/>
          </w:tcPr>
          <w:p w14:paraId="25E20898" w14:textId="77777777" w:rsidR="000E3132" w:rsidRPr="002E7B55" w:rsidRDefault="000E3132" w:rsidP="004F662B">
            <w:pPr>
              <w:pStyle w:val="TableText"/>
              <w:spacing w:before="60" w:after="60"/>
            </w:pPr>
            <w:r w:rsidRPr="002E7B55">
              <w:t>Started late July 2021</w:t>
            </w:r>
          </w:p>
        </w:tc>
      </w:tr>
    </w:tbl>
    <w:p w14:paraId="52C06A3D" w14:textId="740A45E1" w:rsidR="000E3132" w:rsidRPr="002E7B55" w:rsidRDefault="000E3132" w:rsidP="000E3132">
      <w:pPr>
        <w:pStyle w:val="Caption"/>
      </w:pPr>
      <w:bookmarkStart w:id="57" w:name="_Ref95160275"/>
      <w:bookmarkStart w:id="58" w:name="_Ref95160267"/>
      <w:bookmarkStart w:id="59" w:name="_Toc96341678"/>
      <w:r w:rsidRPr="002E7B55">
        <w:t xml:space="preserve">Table </w:t>
      </w:r>
      <w:r w:rsidRPr="002E7B55">
        <w:fldChar w:fldCharType="begin"/>
      </w:r>
      <w:r w:rsidRPr="002E7B55">
        <w:instrText xml:space="preserve"> SEQ Table \* ARABIC </w:instrText>
      </w:r>
      <w:r w:rsidRPr="002E7B55">
        <w:fldChar w:fldCharType="separate"/>
      </w:r>
      <w:r w:rsidR="004A3284" w:rsidRPr="002E7B55">
        <w:t>3</w:t>
      </w:r>
      <w:r w:rsidRPr="002E7B55">
        <w:fldChar w:fldCharType="end"/>
      </w:r>
      <w:bookmarkEnd w:id="57"/>
      <w:r w:rsidRPr="002E7B55">
        <w:t>: The phasing of COVID-19 and flu vaccinations in 2021</w:t>
      </w:r>
      <w:r w:rsidR="00F07BF9" w:rsidRPr="002E7B55">
        <w:rPr>
          <w:rStyle w:val="EndnoteReference"/>
        </w:rPr>
        <w:endnoteReference w:id="60"/>
      </w:r>
      <w:bookmarkEnd w:id="58"/>
      <w:bookmarkEnd w:id="59"/>
    </w:p>
    <w:p w14:paraId="23516C12" w14:textId="77777777" w:rsidR="004F662B" w:rsidRDefault="004F662B">
      <w:pPr>
        <w:spacing w:before="0" w:after="160" w:line="259" w:lineRule="auto"/>
        <w:rPr>
          <w:rFonts w:asciiTheme="majorHAnsi" w:eastAsiaTheme="majorEastAsia" w:hAnsiTheme="majorHAnsi" w:cstheme="majorBidi"/>
          <w:b/>
          <w:color w:val="125459" w:themeColor="accent1" w:themeShade="BF"/>
          <w:sz w:val="32"/>
          <w:szCs w:val="40"/>
        </w:rPr>
      </w:pPr>
      <w:bookmarkStart w:id="60" w:name="_Ref95717960"/>
      <w:bookmarkStart w:id="61" w:name="_Toc96341674"/>
      <w:r>
        <w:br w:type="page"/>
      </w:r>
    </w:p>
    <w:p w14:paraId="1F626530" w14:textId="7556F066" w:rsidR="004F1712" w:rsidRPr="002E7B55" w:rsidRDefault="70D53BCA" w:rsidP="004F1712">
      <w:pPr>
        <w:pStyle w:val="Heading1"/>
      </w:pPr>
      <w:r w:rsidRPr="002E7B55">
        <w:lastRenderedPageBreak/>
        <w:t>Appendix: Methodology</w:t>
      </w:r>
      <w:bookmarkEnd w:id="60"/>
      <w:bookmarkEnd w:id="61"/>
    </w:p>
    <w:p w14:paraId="107C05B4" w14:textId="77777777" w:rsidR="00210967" w:rsidRPr="002E7B55" w:rsidRDefault="23D00F57" w:rsidP="005042D8">
      <w:r w:rsidRPr="002E7B55">
        <w:t xml:space="preserve">This final report builds on findings and insights described in the interim report. </w:t>
      </w:r>
    </w:p>
    <w:p w14:paraId="297FFBCA" w14:textId="5EB5D8D4" w:rsidR="0053642D" w:rsidRPr="002E7B55" w:rsidRDefault="23D00F57" w:rsidP="005042D8">
      <w:r w:rsidRPr="002E7B55">
        <w:t>It draws on data and findings from:</w:t>
      </w:r>
    </w:p>
    <w:p w14:paraId="2DEB4BC0" w14:textId="1ACF53F5" w:rsidR="0053642D" w:rsidRPr="002E7B55" w:rsidRDefault="00B64DBF" w:rsidP="001F1051">
      <w:pPr>
        <w:pStyle w:val="Bullet"/>
      </w:pPr>
      <w:r w:rsidRPr="002E7B55">
        <w:t>m</w:t>
      </w:r>
      <w:r w:rsidR="23D00F57" w:rsidRPr="002E7B55">
        <w:t>onthly monitoring report surveys, completed by DHBs with MIMVP contracts and providers (both direct-funded by the Ministry and sub-contracted through their DHB) (5)</w:t>
      </w:r>
    </w:p>
    <w:p w14:paraId="36C5D6A6" w14:textId="1ED49934" w:rsidR="0053642D" w:rsidRPr="002E7B55" w:rsidRDefault="00B64DBF" w:rsidP="001F1051">
      <w:pPr>
        <w:pStyle w:val="Bullet"/>
      </w:pPr>
      <w:r w:rsidRPr="002E7B55">
        <w:t>i</w:t>
      </w:r>
      <w:r w:rsidR="23D00F57" w:rsidRPr="002E7B55">
        <w:t>nterviews with representatives from the Ministry (7), DHBs (3) and providers (11)</w:t>
      </w:r>
    </w:p>
    <w:p w14:paraId="19D31E02" w14:textId="5D061709" w:rsidR="004758CA" w:rsidRPr="002E7B55" w:rsidRDefault="00B64DBF" w:rsidP="001F1051">
      <w:pPr>
        <w:pStyle w:val="Bullet"/>
      </w:pPr>
      <w:r w:rsidRPr="002E7B55">
        <w:t>s</w:t>
      </w:r>
      <w:r w:rsidR="23D00F57" w:rsidRPr="002E7B55">
        <w:t>ense-making meetings with representatives from the Ministry (4)</w:t>
      </w:r>
    </w:p>
    <w:p w14:paraId="4AC602F3" w14:textId="4DAEA87C" w:rsidR="00394CCB" w:rsidRPr="002E7B55" w:rsidRDefault="00B64DBF" w:rsidP="001F1051">
      <w:pPr>
        <w:pStyle w:val="Bullet"/>
      </w:pPr>
      <w:r w:rsidRPr="002E7B55">
        <w:t>a</w:t>
      </w:r>
      <w:r w:rsidR="23D00F57" w:rsidRPr="002E7B55">
        <w:t>nalysis of provider and DHB applications and contracts</w:t>
      </w:r>
    </w:p>
    <w:p w14:paraId="7C2340DC" w14:textId="40826C52" w:rsidR="00FD54E7" w:rsidRPr="002E7B55" w:rsidRDefault="00B64DBF" w:rsidP="001F1051">
      <w:pPr>
        <w:pStyle w:val="Bullet"/>
      </w:pPr>
      <w:r w:rsidRPr="002E7B55">
        <w:t>c</w:t>
      </w:r>
      <w:r w:rsidR="23D00F57" w:rsidRPr="002E7B55">
        <w:t>orrespondence and background papers with representatives from the Ministry and DHBs</w:t>
      </w:r>
    </w:p>
    <w:p w14:paraId="5EC8663C" w14:textId="77777777" w:rsidR="0053642D" w:rsidRPr="002E7B55" w:rsidRDefault="23D00F57" w:rsidP="001F1051">
      <w:pPr>
        <w:pStyle w:val="Bullet"/>
      </w:pPr>
      <w:r w:rsidRPr="002E7B55">
        <w:t>National Immunisation Register data of flu vaccination rates, provided by the Ministry</w:t>
      </w:r>
    </w:p>
    <w:p w14:paraId="4906F406" w14:textId="6682665F" w:rsidR="0053642D" w:rsidRPr="002E7B55" w:rsidRDefault="00B64DBF" w:rsidP="001F1051">
      <w:pPr>
        <w:pStyle w:val="Bullet"/>
      </w:pPr>
      <w:r w:rsidRPr="002E7B55">
        <w:t>t</w:t>
      </w:r>
      <w:r w:rsidR="23D00F57" w:rsidRPr="002E7B55">
        <w:t>he published evaluation report of MIVP 2020</w:t>
      </w:r>
    </w:p>
    <w:p w14:paraId="2ACC570F" w14:textId="339E2986" w:rsidR="0053642D" w:rsidRPr="002E7B55" w:rsidRDefault="00B64DBF" w:rsidP="001F1051">
      <w:pPr>
        <w:pStyle w:val="Bullet"/>
      </w:pPr>
      <w:r w:rsidRPr="002E7B55">
        <w:t>t</w:t>
      </w:r>
      <w:r w:rsidR="23D00F57" w:rsidRPr="002E7B55">
        <w:t>he internal MIVP 2020 Auckland Deep Dive report</w:t>
      </w:r>
    </w:p>
    <w:p w14:paraId="50F96727" w14:textId="55ABB971" w:rsidR="004758CA" w:rsidRPr="002E7B55" w:rsidRDefault="00B64DBF" w:rsidP="001F1051">
      <w:pPr>
        <w:pStyle w:val="Bullet"/>
      </w:pPr>
      <w:r w:rsidRPr="002E7B55">
        <w:t>r</w:t>
      </w:r>
      <w:r w:rsidR="23D00F57" w:rsidRPr="002E7B55">
        <w:t>elevant literature</w:t>
      </w:r>
      <w:r w:rsidR="00177254" w:rsidRPr="002E7B55">
        <w:t>,</w:t>
      </w:r>
      <w:r w:rsidR="23D00F57" w:rsidRPr="002E7B55">
        <w:t xml:space="preserve"> including journal articles and research and evaluation reports.</w:t>
      </w:r>
    </w:p>
    <w:p w14:paraId="35FA94FB" w14:textId="355A8A7C" w:rsidR="004758CA" w:rsidRPr="002E7B55" w:rsidRDefault="23D00F57" w:rsidP="005042D8">
      <w:r w:rsidRPr="002E7B55">
        <w:t>The evaluation was designed as a collaborative</w:t>
      </w:r>
      <w:r w:rsidR="00177254" w:rsidRPr="002E7B55">
        <w:t>,</w:t>
      </w:r>
      <w:r w:rsidRPr="002E7B55">
        <w:t xml:space="preserve"> tailored approach to meet the commissioner and broader stakeholder needs for rapid insight. The evaluators aimed to work with the Ministry of Health in the fast-moving COVID-19 environment. The project, therefore, highlight</w:t>
      </w:r>
      <w:r w:rsidR="00177254" w:rsidRPr="002E7B55">
        <w:t>ed</w:t>
      </w:r>
      <w:r w:rsidRPr="002E7B55">
        <w:t xml:space="preserve"> responsive changes that occurred in the community while maintaining </w:t>
      </w:r>
      <w:r w:rsidR="00177254" w:rsidRPr="002E7B55">
        <w:t xml:space="preserve">the </w:t>
      </w:r>
      <w:r w:rsidRPr="002E7B55">
        <w:t xml:space="preserve">rigour and integrity of the data and insights. </w:t>
      </w:r>
    </w:p>
    <w:p w14:paraId="0F9DD8B3" w14:textId="09F55672" w:rsidR="004758CA" w:rsidRPr="002E7B55" w:rsidRDefault="23D00F57" w:rsidP="005042D8">
      <w:r w:rsidRPr="002E7B55">
        <w:t xml:space="preserve">The evaluation used rapid insight cycles (RICs), a mixed-method and iterative evaluation approach developed for MIVP 2020. The term rapid is contextual, with timeframes mutually agreed. Typically, a cycle is a minimum of four weeks </w:t>
      </w:r>
      <w:r w:rsidR="00177254" w:rsidRPr="002E7B55">
        <w:t xml:space="preserve">of </w:t>
      </w:r>
      <w:r w:rsidRPr="002E7B55">
        <w:t>data collection (and up to 6 weeks) with reporting the following week</w:t>
      </w:r>
      <w:r w:rsidR="00177254" w:rsidRPr="002E7B55">
        <w:t>,</w:t>
      </w:r>
      <w:r w:rsidRPr="002E7B55">
        <w:t xml:space="preserve"> </w:t>
      </w:r>
      <w:r w:rsidR="00265501" w:rsidRPr="002E7B55">
        <w:t>that is</w:t>
      </w:r>
      <w:r w:rsidRPr="002E7B55">
        <w:t xml:space="preserve">, within 5 to 7 working days. Emerging insights </w:t>
      </w:r>
      <w:r w:rsidR="00177254" w:rsidRPr="002E7B55">
        <w:t>we</w:t>
      </w:r>
      <w:r w:rsidRPr="002E7B55">
        <w:t xml:space="preserve">re shared </w:t>
      </w:r>
      <w:r w:rsidR="00177254" w:rsidRPr="002E7B55">
        <w:t>in</w:t>
      </w:r>
      <w:r w:rsidRPr="002E7B55">
        <w:t xml:space="preserve"> </w:t>
      </w:r>
      <w:r w:rsidR="00177254" w:rsidRPr="002E7B55">
        <w:t xml:space="preserve">a </w:t>
      </w:r>
      <w:r w:rsidRPr="002E7B55">
        <w:t>one-hour collaborative sense-making and pattern-spotting session with key stakeholders. This process helps the stakeholders and evaluators make sense of, at times, contradictory findings during the evaluation</w:t>
      </w:r>
      <w:r w:rsidR="00177254" w:rsidRPr="002E7B55">
        <w:t xml:space="preserve"> and</w:t>
      </w:r>
      <w:r w:rsidRPr="002E7B55">
        <w:t xml:space="preserve"> conundrums. The insights and collective sense-making at the end of each cycle inform the questions, analysis, methods and focus of subsequent cycles, in agreement with key stakeholders and in response to their emergent information needs. However, each cycle contributes to </w:t>
      </w:r>
      <w:r w:rsidR="00177254" w:rsidRPr="002E7B55">
        <w:t xml:space="preserve">more profound </w:t>
      </w:r>
      <w:r w:rsidRPr="002E7B55">
        <w:t>and broader answers to the key evaluation questions.</w:t>
      </w:r>
    </w:p>
    <w:p w14:paraId="6A9DC8F3" w14:textId="168B31C5" w:rsidR="004758CA" w:rsidRPr="002E7B55" w:rsidRDefault="23D00F57" w:rsidP="005042D8">
      <w:r w:rsidRPr="002E7B55">
        <w:t>The MIMVP evaluation used four RICs with approximately 4</w:t>
      </w:r>
      <w:r w:rsidR="00265501" w:rsidRPr="002E7B55">
        <w:rPr>
          <w:rFonts w:ascii="Courier New" w:hAnsi="Courier New" w:cs="Courier New"/>
        </w:rPr>
        <w:t>–</w:t>
      </w:r>
      <w:r w:rsidRPr="002E7B55">
        <w:t xml:space="preserve">5 weeks duration. Each RIC aligned with a monthly monitoring report survey, enabling collaborative sense-making of the survey and NIR data with key Ministry stakeholders at the end of each cycle. </w:t>
      </w:r>
    </w:p>
    <w:p w14:paraId="4B3642F5" w14:textId="7F805CD2" w:rsidR="004758CA" w:rsidRPr="002E7B55" w:rsidRDefault="23D00F57" w:rsidP="005042D8">
      <w:r w:rsidRPr="002E7B55">
        <w:t xml:space="preserve">The evaluation team supported the Ministry in the design of monitoring reporting requirements </w:t>
      </w:r>
      <w:r w:rsidR="00177254" w:rsidRPr="002E7B55">
        <w:t>for the</w:t>
      </w:r>
      <w:r w:rsidRPr="002E7B55">
        <w:t xml:space="preserve"> MIMVP contract for DHBs and providers in anticipation of a RIC approach to the MIMVP evaluation</w:t>
      </w:r>
      <w:r w:rsidR="00177254" w:rsidRPr="002E7B55">
        <w:t>. This design</w:t>
      </w:r>
      <w:r w:rsidRPr="002E7B55">
        <w:t xml:space="preserve"> recogni</w:t>
      </w:r>
      <w:r w:rsidR="00177254" w:rsidRPr="002E7B55">
        <w:t>sed</w:t>
      </w:r>
      <w:r w:rsidRPr="002E7B55">
        <w:t xml:space="preserve"> the benefits to the Ministry that the RIC approach </w:t>
      </w:r>
      <w:r w:rsidR="00177254" w:rsidRPr="002E7B55">
        <w:t>used in</w:t>
      </w:r>
      <w:r w:rsidRPr="002E7B55">
        <w:t xml:space="preserve"> MIVP in 2020. Th</w:t>
      </w:r>
      <w:r w:rsidR="00177254" w:rsidRPr="002E7B55">
        <w:t>at design</w:t>
      </w:r>
      <w:r w:rsidRPr="002E7B55">
        <w:t xml:space="preserve"> included </w:t>
      </w:r>
      <w:r w:rsidR="00177254" w:rsidRPr="002E7B55">
        <w:t>short 7-minute surveys to capture monitoring data and share</w:t>
      </w:r>
      <w:r w:rsidRPr="002E7B55">
        <w:t xml:space="preserve"> insights </w:t>
      </w:r>
      <w:r w:rsidR="00177254" w:rsidRPr="002E7B55">
        <w:t>with</w:t>
      </w:r>
      <w:r w:rsidRPr="002E7B55">
        <w:t xml:space="preserve"> providers and DHBs </w:t>
      </w:r>
      <w:r w:rsidR="00177254" w:rsidRPr="002E7B55">
        <w:t>using</w:t>
      </w:r>
      <w:r w:rsidRPr="002E7B55">
        <w:t xml:space="preserve"> monthly dashboards. The monthly insights dashboards prepared by the Ministry, in collaboration with the evaluation team, included flu vaccination data at national, regional and provider levels, and key quotes and insights from each monthly monitoring report survey. The evaluation team disseminated the monthly insights dashboards to DHB and provider contacts. </w:t>
      </w:r>
    </w:p>
    <w:p w14:paraId="292A1B3A" w14:textId="77777777" w:rsidR="004F662B" w:rsidRDefault="004F662B">
      <w:pPr>
        <w:spacing w:before="0" w:after="160" w:line="259" w:lineRule="auto"/>
        <w:rPr>
          <w:rFonts w:asciiTheme="majorHAnsi" w:eastAsiaTheme="majorEastAsia" w:hAnsiTheme="majorHAnsi" w:cstheme="majorBidi"/>
          <w:b/>
          <w:bCs/>
          <w:color w:val="197278" w:themeColor="accent1"/>
        </w:rPr>
      </w:pPr>
      <w:r>
        <w:br w:type="page"/>
      </w:r>
    </w:p>
    <w:p w14:paraId="7C22782B" w14:textId="2E7DBF8C" w:rsidR="004758CA" w:rsidRPr="002E7B55" w:rsidRDefault="23D00F57" w:rsidP="0041391C">
      <w:pPr>
        <w:pStyle w:val="Heading3"/>
      </w:pPr>
      <w:r w:rsidRPr="002E7B55">
        <w:lastRenderedPageBreak/>
        <w:t>Monitoring report surveys</w:t>
      </w:r>
    </w:p>
    <w:p w14:paraId="7D6BFF54" w14:textId="7A75F20D" w:rsidR="23D00F57" w:rsidRPr="002E7B55" w:rsidRDefault="23D00F57" w:rsidP="005042D8">
      <w:r w:rsidRPr="002E7B55">
        <w:t xml:space="preserve">Monthly monitoring reports were captured via a short survey. </w:t>
      </w:r>
      <w:r w:rsidR="00177254" w:rsidRPr="002E7B55">
        <w:t>Each cycle's emerging insights and data needs</w:t>
      </w:r>
      <w:r w:rsidRPr="002E7B55">
        <w:t xml:space="preserve"> informed the selection of some questions in subsequent monitoring report surveys. In each monthly monitoring report survey, respondents were asked for one thing that was working well, if they had a tip to share, and any other comments. In collaboration with the Ministry, other questions in the monitoring reports changed each month. In addition, providers were asked for the Clinic Names their organisation enters into NIR, to enable the Ministry to identify flu vaccinations delivered as part of MIMVP from overall flu vaccinations. This data was used in the monthly insights dashboards prepared by the Ministry and the evaluation team. </w:t>
      </w:r>
    </w:p>
    <w:p w14:paraId="30A00204" w14:textId="325D472C" w:rsidR="0053642D" w:rsidRPr="002E7B55" w:rsidRDefault="0053642D" w:rsidP="00A65CB8"/>
    <w:tbl>
      <w:tblPr>
        <w:tblStyle w:val="ListTable3-Accent1"/>
        <w:tblW w:w="0" w:type="auto"/>
        <w:tblLook w:val="04A0" w:firstRow="1" w:lastRow="0" w:firstColumn="1" w:lastColumn="0" w:noHBand="0" w:noVBand="1"/>
      </w:tblPr>
      <w:tblGrid>
        <w:gridCol w:w="1413"/>
        <w:gridCol w:w="3118"/>
        <w:gridCol w:w="2481"/>
        <w:gridCol w:w="2367"/>
      </w:tblGrid>
      <w:tr w:rsidR="008077A4" w:rsidRPr="002E7B55" w14:paraId="65ADE9D3" w14:textId="77777777" w:rsidTr="23D00F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45397B6D" w14:textId="73D81126" w:rsidR="008077A4" w:rsidRPr="002E7B55" w:rsidRDefault="23D00F57" w:rsidP="004F662B">
            <w:pPr>
              <w:pStyle w:val="TableText"/>
              <w:spacing w:before="60" w:after="60"/>
              <w:rPr>
                <w:color w:val="FFFFFF" w:themeColor="background1"/>
                <w:vertAlign w:val="subscript"/>
              </w:rPr>
            </w:pPr>
            <w:r w:rsidRPr="002E7B55">
              <w:rPr>
                <w:color w:val="FFFFFF" w:themeColor="background1"/>
              </w:rPr>
              <w:t>Monitoring Report Survey</w:t>
            </w:r>
          </w:p>
        </w:tc>
        <w:tc>
          <w:tcPr>
            <w:tcW w:w="3118" w:type="dxa"/>
          </w:tcPr>
          <w:p w14:paraId="057A111F" w14:textId="13212AE1" w:rsidR="008077A4" w:rsidRPr="002E7B55" w:rsidRDefault="23D00F57" w:rsidP="004F662B">
            <w:pPr>
              <w:pStyle w:val="Table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2E7B55">
              <w:rPr>
                <w:color w:val="FFFFFF" w:themeColor="background1"/>
              </w:rPr>
              <w:t>Month in focus (release date)</w:t>
            </w:r>
          </w:p>
        </w:tc>
        <w:tc>
          <w:tcPr>
            <w:tcW w:w="2481" w:type="dxa"/>
          </w:tcPr>
          <w:p w14:paraId="36EF988C" w14:textId="5C1ABFBB" w:rsidR="008077A4" w:rsidRPr="002E7B55" w:rsidRDefault="23D00F57" w:rsidP="004F662B">
            <w:pPr>
              <w:pStyle w:val="TableText"/>
              <w:spacing w:before="60" w:after="6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E7B55">
              <w:rPr>
                <w:color w:val="FFFFFF" w:themeColor="background1"/>
              </w:rPr>
              <w:t xml:space="preserve">Total responses from Providers </w:t>
            </w:r>
          </w:p>
        </w:tc>
        <w:tc>
          <w:tcPr>
            <w:tcW w:w="2367" w:type="dxa"/>
          </w:tcPr>
          <w:p w14:paraId="20BBF4E0" w14:textId="6C799FDB" w:rsidR="008077A4" w:rsidRPr="002E7B55" w:rsidRDefault="23D00F57" w:rsidP="004F662B">
            <w:pPr>
              <w:pStyle w:val="TableText"/>
              <w:spacing w:before="60" w:after="6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E7B55">
              <w:rPr>
                <w:color w:val="FFFFFF" w:themeColor="background1"/>
              </w:rPr>
              <w:t>Total responses from DHBs</w:t>
            </w:r>
          </w:p>
        </w:tc>
      </w:tr>
      <w:tr w:rsidR="008077A4" w:rsidRPr="002E7B55" w14:paraId="6A6A0E78" w14:textId="77777777" w:rsidTr="23D00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A099031" w14:textId="5E9E8B19" w:rsidR="008077A4" w:rsidRPr="002E7B55" w:rsidRDefault="23D00F57" w:rsidP="004F662B">
            <w:pPr>
              <w:pStyle w:val="TableText"/>
              <w:spacing w:before="60" w:after="60"/>
            </w:pPr>
            <w:r w:rsidRPr="002E7B55">
              <w:t xml:space="preserve">1 </w:t>
            </w:r>
          </w:p>
        </w:tc>
        <w:tc>
          <w:tcPr>
            <w:tcW w:w="3118" w:type="dxa"/>
          </w:tcPr>
          <w:p w14:paraId="5BF0232F" w14:textId="4940E7CD"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April (sent 3 May)</w:t>
            </w:r>
          </w:p>
        </w:tc>
        <w:tc>
          <w:tcPr>
            <w:tcW w:w="2481" w:type="dxa"/>
          </w:tcPr>
          <w:p w14:paraId="2682B29E" w14:textId="5D87FC3D"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 xml:space="preserve">12/39 </w:t>
            </w:r>
          </w:p>
        </w:tc>
        <w:tc>
          <w:tcPr>
            <w:tcW w:w="2367" w:type="dxa"/>
          </w:tcPr>
          <w:p w14:paraId="7F0B2A7E" w14:textId="3FFE818F"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 xml:space="preserve">10/19 </w:t>
            </w:r>
          </w:p>
        </w:tc>
      </w:tr>
      <w:tr w:rsidR="008077A4" w:rsidRPr="002E7B55" w14:paraId="3363E7E7" w14:textId="77777777" w:rsidTr="23D00F57">
        <w:tc>
          <w:tcPr>
            <w:cnfStyle w:val="001000000000" w:firstRow="0" w:lastRow="0" w:firstColumn="1" w:lastColumn="0" w:oddVBand="0" w:evenVBand="0" w:oddHBand="0" w:evenHBand="0" w:firstRowFirstColumn="0" w:firstRowLastColumn="0" w:lastRowFirstColumn="0" w:lastRowLastColumn="0"/>
            <w:tcW w:w="1413" w:type="dxa"/>
          </w:tcPr>
          <w:p w14:paraId="24CC3D23" w14:textId="39DB14A9" w:rsidR="008077A4" w:rsidRPr="002E7B55" w:rsidRDefault="23D00F57" w:rsidP="004F662B">
            <w:pPr>
              <w:pStyle w:val="TableText"/>
              <w:spacing w:before="60" w:after="60"/>
            </w:pPr>
            <w:r w:rsidRPr="002E7B55">
              <w:t>2</w:t>
            </w:r>
          </w:p>
        </w:tc>
        <w:tc>
          <w:tcPr>
            <w:tcW w:w="3118" w:type="dxa"/>
          </w:tcPr>
          <w:p w14:paraId="01BA049D" w14:textId="3BED9725" w:rsidR="008077A4" w:rsidRPr="002E7B55" w:rsidRDefault="23D00F57" w:rsidP="004F662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7B55">
              <w:t>May (sent 2 June)</w:t>
            </w:r>
          </w:p>
        </w:tc>
        <w:tc>
          <w:tcPr>
            <w:tcW w:w="2481" w:type="dxa"/>
          </w:tcPr>
          <w:p w14:paraId="584FA78B" w14:textId="44E4A233" w:rsidR="008077A4" w:rsidRPr="002E7B55" w:rsidRDefault="23D00F57" w:rsidP="004F662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7B55">
              <w:t>32/41</w:t>
            </w:r>
          </w:p>
        </w:tc>
        <w:tc>
          <w:tcPr>
            <w:tcW w:w="2367" w:type="dxa"/>
          </w:tcPr>
          <w:p w14:paraId="02DB554C" w14:textId="21BD1F19" w:rsidR="008077A4" w:rsidRPr="002E7B55" w:rsidRDefault="23D00F57" w:rsidP="004F662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7B55">
              <w:t xml:space="preserve">7/17 </w:t>
            </w:r>
          </w:p>
        </w:tc>
      </w:tr>
      <w:tr w:rsidR="008077A4" w:rsidRPr="002E7B55" w14:paraId="123DF778" w14:textId="77777777" w:rsidTr="23D00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BD2CDFF" w14:textId="24B45EF4" w:rsidR="008077A4" w:rsidRPr="002E7B55" w:rsidRDefault="23D00F57" w:rsidP="004F662B">
            <w:pPr>
              <w:pStyle w:val="TableText"/>
              <w:spacing w:before="60" w:after="60"/>
            </w:pPr>
            <w:r w:rsidRPr="002E7B55">
              <w:t>3</w:t>
            </w:r>
          </w:p>
        </w:tc>
        <w:tc>
          <w:tcPr>
            <w:tcW w:w="3118" w:type="dxa"/>
          </w:tcPr>
          <w:p w14:paraId="1AC4519A" w14:textId="4A522142"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June (sent 3 July)</w:t>
            </w:r>
          </w:p>
        </w:tc>
        <w:tc>
          <w:tcPr>
            <w:tcW w:w="2481" w:type="dxa"/>
          </w:tcPr>
          <w:p w14:paraId="787B52C4" w14:textId="122F69E7"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28/48</w:t>
            </w:r>
          </w:p>
        </w:tc>
        <w:tc>
          <w:tcPr>
            <w:tcW w:w="2367" w:type="dxa"/>
          </w:tcPr>
          <w:p w14:paraId="2E231088" w14:textId="6F5EB4E1"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8/15</w:t>
            </w:r>
          </w:p>
        </w:tc>
      </w:tr>
      <w:tr w:rsidR="008077A4" w:rsidRPr="002E7B55" w14:paraId="15069C97" w14:textId="77777777" w:rsidTr="23D00F57">
        <w:tc>
          <w:tcPr>
            <w:cnfStyle w:val="001000000000" w:firstRow="0" w:lastRow="0" w:firstColumn="1" w:lastColumn="0" w:oddVBand="0" w:evenVBand="0" w:oddHBand="0" w:evenHBand="0" w:firstRowFirstColumn="0" w:firstRowLastColumn="0" w:lastRowFirstColumn="0" w:lastRowLastColumn="0"/>
            <w:tcW w:w="1413" w:type="dxa"/>
          </w:tcPr>
          <w:p w14:paraId="2F8E6BFC" w14:textId="36AB7C06" w:rsidR="008077A4" w:rsidRPr="002E7B55" w:rsidRDefault="23D00F57" w:rsidP="004F662B">
            <w:pPr>
              <w:pStyle w:val="TableText"/>
              <w:spacing w:before="60" w:after="60"/>
            </w:pPr>
            <w:r w:rsidRPr="002E7B55">
              <w:t>4</w:t>
            </w:r>
          </w:p>
        </w:tc>
        <w:tc>
          <w:tcPr>
            <w:tcW w:w="3118" w:type="dxa"/>
          </w:tcPr>
          <w:p w14:paraId="6E4B63B3" w14:textId="5A5C8E2C" w:rsidR="008077A4" w:rsidRPr="002E7B55" w:rsidRDefault="23D00F57" w:rsidP="004F662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7B55">
              <w:t>July (sent 1 August)</w:t>
            </w:r>
          </w:p>
        </w:tc>
        <w:tc>
          <w:tcPr>
            <w:tcW w:w="2481" w:type="dxa"/>
          </w:tcPr>
          <w:p w14:paraId="5D3CB134" w14:textId="77777777" w:rsidR="008077A4" w:rsidRPr="002E7B55" w:rsidRDefault="23D00F57" w:rsidP="004F662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7B55">
              <w:t xml:space="preserve">19/26 </w:t>
            </w:r>
          </w:p>
        </w:tc>
        <w:tc>
          <w:tcPr>
            <w:tcW w:w="2367" w:type="dxa"/>
          </w:tcPr>
          <w:p w14:paraId="7C66F65F" w14:textId="77777777" w:rsidR="008077A4" w:rsidRPr="002E7B55" w:rsidRDefault="23D00F57" w:rsidP="004F662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7B55">
              <w:t xml:space="preserve">3/7 </w:t>
            </w:r>
          </w:p>
        </w:tc>
      </w:tr>
      <w:tr w:rsidR="008077A4" w:rsidRPr="002E7B55" w14:paraId="730D4766" w14:textId="77777777" w:rsidTr="23D00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C0328A9" w14:textId="6BC1D3A9" w:rsidR="008077A4" w:rsidRPr="002E7B55" w:rsidRDefault="23D00F57" w:rsidP="004F662B">
            <w:pPr>
              <w:pStyle w:val="TableText"/>
              <w:spacing w:before="60" w:after="60"/>
            </w:pPr>
            <w:r w:rsidRPr="002E7B55">
              <w:t>5</w:t>
            </w:r>
          </w:p>
        </w:tc>
        <w:tc>
          <w:tcPr>
            <w:tcW w:w="3118" w:type="dxa"/>
          </w:tcPr>
          <w:p w14:paraId="39B20CEB" w14:textId="05D15DAB"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 xml:space="preserve">Final (sent 28 September) </w:t>
            </w:r>
          </w:p>
        </w:tc>
        <w:tc>
          <w:tcPr>
            <w:tcW w:w="2481" w:type="dxa"/>
          </w:tcPr>
          <w:p w14:paraId="7EA678D2" w14:textId="77777777"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 xml:space="preserve">32/51 </w:t>
            </w:r>
          </w:p>
        </w:tc>
        <w:tc>
          <w:tcPr>
            <w:tcW w:w="2367" w:type="dxa"/>
          </w:tcPr>
          <w:p w14:paraId="53760E3E" w14:textId="77777777" w:rsidR="008077A4" w:rsidRPr="002E7B55" w:rsidRDefault="23D00F57" w:rsidP="004F662B">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E7B55">
              <w:t>8/10</w:t>
            </w:r>
          </w:p>
        </w:tc>
      </w:tr>
    </w:tbl>
    <w:p w14:paraId="50A45D87" w14:textId="495F9C2C" w:rsidR="00A65CB8" w:rsidRPr="002E7B55" w:rsidRDefault="00A65CB8" w:rsidP="00A65CB8">
      <w:pPr>
        <w:pStyle w:val="Caption"/>
      </w:pPr>
      <w:bookmarkStart w:id="62" w:name="_Toc86956794"/>
      <w:bookmarkStart w:id="63" w:name="_Ref83405592"/>
      <w:bookmarkStart w:id="64" w:name="_Toc96341679"/>
      <w:r w:rsidRPr="002E7B55">
        <w:t xml:space="preserve">Table </w:t>
      </w:r>
      <w:r w:rsidRPr="002E7B55">
        <w:fldChar w:fldCharType="begin"/>
      </w:r>
      <w:r w:rsidRPr="002E7B55">
        <w:instrText xml:space="preserve"> SEQ Table \* ARABIC </w:instrText>
      </w:r>
      <w:r w:rsidRPr="002E7B55">
        <w:fldChar w:fldCharType="separate"/>
      </w:r>
      <w:r w:rsidR="004A3284" w:rsidRPr="002E7B55">
        <w:t>4</w:t>
      </w:r>
      <w:r w:rsidRPr="002E7B55">
        <w:fldChar w:fldCharType="end"/>
      </w:r>
      <w:r w:rsidRPr="002E7B55">
        <w:t>: MIMVP 2021 Monitoring report survey responses</w:t>
      </w:r>
      <w:bookmarkEnd w:id="62"/>
      <w:bookmarkEnd w:id="63"/>
      <w:bookmarkEnd w:id="64"/>
    </w:p>
    <w:p w14:paraId="70FFFF5B" w14:textId="5ECCAFF7" w:rsidR="0031250F" w:rsidRPr="002E7B55" w:rsidRDefault="23D00F57" w:rsidP="23D00F57">
      <w:r w:rsidRPr="002E7B55">
        <w:t xml:space="preserve">Each </w:t>
      </w:r>
      <w:r w:rsidR="00177254" w:rsidRPr="002E7B55">
        <w:t>monitoring report survey</w:t>
      </w:r>
      <w:r w:rsidRPr="002E7B55">
        <w:t xml:space="preserve"> </w:t>
      </w:r>
      <w:r w:rsidR="00177254" w:rsidRPr="002E7B55">
        <w:t xml:space="preserve">was </w:t>
      </w:r>
      <w:r w:rsidRPr="002E7B55">
        <w:t xml:space="preserve">analysed as part of the RIC process. There was a cut-off point </w:t>
      </w:r>
      <w:r w:rsidR="00177254" w:rsidRPr="002E7B55">
        <w:t>for</w:t>
      </w:r>
      <w:r w:rsidRPr="002E7B55">
        <w:t xml:space="preserve"> responses for analysis purposes for the RICs</w:t>
      </w:r>
      <w:r w:rsidR="00177254" w:rsidRPr="002E7B55">
        <w:t>. H</w:t>
      </w:r>
      <w:r w:rsidRPr="002E7B55">
        <w:t xml:space="preserve">owever, respondents </w:t>
      </w:r>
      <w:r w:rsidR="00177254" w:rsidRPr="002E7B55">
        <w:t>could</w:t>
      </w:r>
      <w:r w:rsidRPr="002E7B55">
        <w:t xml:space="preserve"> submit response</w:t>
      </w:r>
      <w:r w:rsidR="00177254" w:rsidRPr="002E7B55">
        <w:t>s</w:t>
      </w:r>
      <w:r w:rsidRPr="002E7B55">
        <w:t xml:space="preserve"> after the cut-off date. All responses were </w:t>
      </w:r>
      <w:r w:rsidR="00177254" w:rsidRPr="002E7B55">
        <w:t xml:space="preserve">later </w:t>
      </w:r>
      <w:r w:rsidRPr="002E7B55">
        <w:t xml:space="preserve">analysed for the interim report and this final report. </w:t>
      </w:r>
    </w:p>
    <w:p w14:paraId="4E516230" w14:textId="348CEA82" w:rsidR="004F1712" w:rsidRPr="002E7B55" w:rsidRDefault="23D00F57" w:rsidP="005042D8">
      <w:r w:rsidRPr="002E7B55">
        <w:t xml:space="preserve">The evaluation team managed the distribution of monthly monitoring report survey invitations, using contact details provided by the Ministry for each contracted organisation. The Ministry relied on DHBs to confirm their sub-contracted providers and nominated contacts. Some DHBs were slow to organise their sub-contracted providers and slow to confirm the contact details to the Ministry and the evaluators. As a result, the number of providers that received the invitation to complete the monthly monitoring report surveys was smaller at the beginning of the </w:t>
      </w:r>
      <w:proofErr w:type="gramStart"/>
      <w:r w:rsidRPr="002E7B55">
        <w:t>programme, and</w:t>
      </w:r>
      <w:proofErr w:type="gramEnd"/>
      <w:r w:rsidRPr="002E7B55">
        <w:t xml:space="preserve"> increased each month. </w:t>
      </w:r>
      <w:r w:rsidR="00177254" w:rsidRPr="002E7B55">
        <w:t>In June, there was a conscious effort to reach out to contacts who had not completed surveys, which</w:t>
      </w:r>
      <w:r w:rsidRPr="002E7B55">
        <w:t xml:space="preserve"> </w:t>
      </w:r>
      <w:r w:rsidR="00177254" w:rsidRPr="002E7B55">
        <w:t>increased</w:t>
      </w:r>
      <w:r w:rsidRPr="002E7B55">
        <w:t xml:space="preserve"> </w:t>
      </w:r>
      <w:r w:rsidR="00177254" w:rsidRPr="002E7B55">
        <w:t>the May monitoring report survey responses</w:t>
      </w:r>
      <w:r w:rsidRPr="002E7B55">
        <w:t xml:space="preserve">. </w:t>
      </w:r>
    </w:p>
    <w:p w14:paraId="4DFD3994" w14:textId="53A357B1" w:rsidR="004F1712" w:rsidRPr="002E7B55" w:rsidRDefault="23D00F57" w:rsidP="005042D8">
      <w:r w:rsidRPr="002E7B55">
        <w:t xml:space="preserve">In the lead up to monitoring report </w:t>
      </w:r>
      <w:r w:rsidR="00265501" w:rsidRPr="002E7B55">
        <w:t>S</w:t>
      </w:r>
      <w:r w:rsidRPr="002E7B55">
        <w:t xml:space="preserve">urvey 4, the evaluators and the Ministry noted a lower completion rate of </w:t>
      </w:r>
      <w:r w:rsidR="00265501" w:rsidRPr="002E7B55">
        <w:t>S</w:t>
      </w:r>
      <w:r w:rsidRPr="002E7B55">
        <w:t>urvey 3 than desired</w:t>
      </w:r>
      <w:r w:rsidR="00177254" w:rsidRPr="002E7B55">
        <w:t>. T</w:t>
      </w:r>
      <w:r w:rsidRPr="002E7B55">
        <w:t xml:space="preserve">he original finish date of MIMVP </w:t>
      </w:r>
      <w:r w:rsidR="00177254" w:rsidRPr="002E7B55">
        <w:t xml:space="preserve">of </w:t>
      </w:r>
      <w:r w:rsidRPr="002E7B55">
        <w:t>September</w:t>
      </w:r>
      <w:r w:rsidR="00177254" w:rsidRPr="002E7B55">
        <w:t xml:space="preserve"> was nearing</w:t>
      </w:r>
      <w:r w:rsidRPr="002E7B55">
        <w:t>. Survey 4 was intentionally designed to be</w:t>
      </w:r>
      <w:r w:rsidR="00177254" w:rsidRPr="002E7B55">
        <w:t xml:space="preserve"> data-</w:t>
      </w:r>
      <w:r w:rsidRPr="002E7B55">
        <w:t xml:space="preserve"> li</w:t>
      </w:r>
      <w:r w:rsidR="00177254" w:rsidRPr="002E7B55">
        <w:t>te</w:t>
      </w:r>
      <w:r w:rsidRPr="002E7B55">
        <w:t xml:space="preserve"> and </w:t>
      </w:r>
      <w:r w:rsidR="00177254" w:rsidRPr="002E7B55">
        <w:t xml:space="preserve">to </w:t>
      </w:r>
      <w:r w:rsidRPr="002E7B55">
        <w:t xml:space="preserve">ascertain whether organisations were interested in a contract extension. As a result, </w:t>
      </w:r>
      <w:r w:rsidR="00265501" w:rsidRPr="002E7B55">
        <w:t>S</w:t>
      </w:r>
      <w:r w:rsidRPr="002E7B55">
        <w:t xml:space="preserve">urvey 4 was only sent to contacts that had responded to </w:t>
      </w:r>
      <w:r w:rsidR="00265501" w:rsidRPr="002E7B55">
        <w:t>S</w:t>
      </w:r>
      <w:r w:rsidRPr="002E7B55">
        <w:t xml:space="preserve">urvey 3. Provider and DHB contacts who had not responded to </w:t>
      </w:r>
      <w:r w:rsidR="00265501" w:rsidRPr="002E7B55">
        <w:t xml:space="preserve">Survey </w:t>
      </w:r>
      <w:r w:rsidRPr="002E7B55">
        <w:t xml:space="preserve">3 were sent a repeat invitation to complete </w:t>
      </w:r>
      <w:r w:rsidR="00265501" w:rsidRPr="002E7B55">
        <w:t>S</w:t>
      </w:r>
      <w:r w:rsidRPr="002E7B55">
        <w:t>urvey 3, increasing the overall response rate for</w:t>
      </w:r>
      <w:r w:rsidR="00265501" w:rsidRPr="002E7B55">
        <w:t xml:space="preserve"> S</w:t>
      </w:r>
      <w:r w:rsidRPr="002E7B55">
        <w:t xml:space="preserve">urvey 3, with an additional question about their interest in a contract extension. </w:t>
      </w:r>
    </w:p>
    <w:p w14:paraId="432D78C2" w14:textId="48952097" w:rsidR="004F1712" w:rsidRPr="002E7B55" w:rsidRDefault="23D00F57" w:rsidP="005042D8">
      <w:r w:rsidRPr="002E7B55">
        <w:t>At the outset of the evaluation, monitoring report survey invitations were sent to contacts from all DHBs, including DHBs where providers were direct-funded and the DHB did not hold a contract. The intention was that this might further enable a more accurate view of the national vaccination landscape. However, these DHBs had no obligation to respond</w:t>
      </w:r>
      <w:r w:rsidR="00177254" w:rsidRPr="002E7B55">
        <w:t>,</w:t>
      </w:r>
      <w:r w:rsidRPr="002E7B55">
        <w:t xml:space="preserve"> and none did. Survey 5 was</w:t>
      </w:r>
      <w:r w:rsidR="00177254" w:rsidRPr="002E7B55">
        <w:t>,</w:t>
      </w:r>
      <w:r w:rsidRPr="002E7B55">
        <w:t xml:space="preserve"> therefore</w:t>
      </w:r>
      <w:r w:rsidR="00177254" w:rsidRPr="002E7B55">
        <w:t>,</w:t>
      </w:r>
      <w:r w:rsidRPr="002E7B55">
        <w:t xml:space="preserve"> only sent DHBs that held MIMVP contracts with the Ministry.</w:t>
      </w:r>
    </w:p>
    <w:p w14:paraId="09A154DF" w14:textId="64FBABF4" w:rsidR="004F1712" w:rsidRPr="002E7B55" w:rsidRDefault="23D00F57" w:rsidP="23D00F57">
      <w:pPr>
        <w:pStyle w:val="Heading2"/>
      </w:pPr>
      <w:r w:rsidRPr="002E7B55">
        <w:lastRenderedPageBreak/>
        <w:t>Limitations</w:t>
      </w:r>
    </w:p>
    <w:p w14:paraId="26008EBA" w14:textId="5FC1D033" w:rsidR="00280EF3" w:rsidRPr="002E7B55" w:rsidRDefault="00280EF3" w:rsidP="00280EF3">
      <w:r w:rsidRPr="002E7B55">
        <w:t xml:space="preserve">All evaluations, evaluation approaches and methods have limitations. </w:t>
      </w:r>
    </w:p>
    <w:p w14:paraId="2C569520" w14:textId="77777777" w:rsidR="00280EF3" w:rsidRPr="002E7B55" w:rsidRDefault="00280EF3" w:rsidP="00280EF3">
      <w:r w:rsidRPr="002E7B55">
        <w:t>A significant limitation of this evaluation is the lack of agreed criteria, including the lack of national targets for vaccination rates or the equity gap between Māori and non-Māori non-Pacific vaccination rates.</w:t>
      </w:r>
    </w:p>
    <w:p w14:paraId="769542CE" w14:textId="06945D2D" w:rsidR="00280EF3" w:rsidRPr="002E7B55" w:rsidRDefault="00280EF3" w:rsidP="00280EF3">
      <w:r w:rsidRPr="002E7B55">
        <w:t xml:space="preserve">The evaluation was guided by a suite of evaluative questions that provided indicative areas of interest, rather than acting as Key Evaluation Questions to be answered. </w:t>
      </w:r>
      <w:r w:rsidR="00F86F9F" w:rsidRPr="002E7B55">
        <w:t>However, t</w:t>
      </w:r>
      <w:r w:rsidRPr="002E7B55">
        <w:t xml:space="preserve">his enabled the evaluators to be responsive to the </w:t>
      </w:r>
      <w:r w:rsidR="00177254" w:rsidRPr="002E7B55">
        <w:t>Ministry's emerging learnings and data needs</w:t>
      </w:r>
      <w:r w:rsidR="00F86F9F" w:rsidRPr="002E7B55">
        <w:t>.</w:t>
      </w:r>
    </w:p>
    <w:p w14:paraId="638EA767" w14:textId="75A584A8" w:rsidR="003279BB" w:rsidRPr="002E7B55" w:rsidRDefault="00F86F9F" w:rsidP="00280EF3">
      <w:r w:rsidRPr="002E7B55">
        <w:t xml:space="preserve">The evaluation collected and analysed qualitative, </w:t>
      </w:r>
      <w:proofErr w:type="gramStart"/>
      <w:r w:rsidRPr="002E7B55">
        <w:t>quantitative</w:t>
      </w:r>
      <w:proofErr w:type="gramEnd"/>
      <w:r w:rsidRPr="002E7B55">
        <w:t xml:space="preserve"> and administrative data. </w:t>
      </w:r>
      <w:r w:rsidR="00177254" w:rsidRPr="002E7B55">
        <w:t xml:space="preserve">However, as </w:t>
      </w:r>
      <w:r w:rsidR="003279BB" w:rsidRPr="002E7B55">
        <w:t xml:space="preserve">in 2020, the evaluation did not collect feedback from whānau or communities about their experience of MIMVP. </w:t>
      </w:r>
    </w:p>
    <w:p w14:paraId="17151247" w14:textId="69DF1073" w:rsidR="00872A38" w:rsidRPr="002E7B55" w:rsidRDefault="003279BB" w:rsidP="00280EF3">
      <w:r w:rsidRPr="002E7B55">
        <w:t xml:space="preserve">The evaluation sought data from representatives of all 20 DHB regions participating in MIMVP. </w:t>
      </w:r>
    </w:p>
    <w:p w14:paraId="345924EA" w14:textId="2D86E984" w:rsidR="00F86F9F" w:rsidRPr="002E7B55" w:rsidRDefault="00F86F9F" w:rsidP="00280EF3">
      <w:r w:rsidRPr="002E7B55">
        <w:t xml:space="preserve">In one region, Wairarapa, neither the DHB </w:t>
      </w:r>
      <w:r w:rsidR="003279BB" w:rsidRPr="002E7B55">
        <w:t>n</w:t>
      </w:r>
      <w:r w:rsidRPr="002E7B55">
        <w:t xml:space="preserve">or its sub-contracted </w:t>
      </w:r>
      <w:r w:rsidR="003279BB" w:rsidRPr="002E7B55">
        <w:t xml:space="preserve">provider </w:t>
      </w:r>
      <w:r w:rsidRPr="002E7B55">
        <w:t xml:space="preserve">responded to any monitoring report surveys. </w:t>
      </w:r>
      <w:r w:rsidR="003279BB" w:rsidRPr="002E7B55">
        <w:t xml:space="preserve">As a result, the perspectives of this region are not reflected in the findings. </w:t>
      </w:r>
    </w:p>
    <w:p w14:paraId="13E668F5" w14:textId="7EECED10" w:rsidR="00872A38" w:rsidRPr="002E7B55" w:rsidRDefault="00872A38" w:rsidP="00280EF3">
      <w:r w:rsidRPr="002E7B55">
        <w:t xml:space="preserve">The </w:t>
      </w:r>
      <w:r w:rsidR="00177254" w:rsidRPr="002E7B55">
        <w:t>Ministry's monitoring report surveys were a contractual requirement</w:t>
      </w:r>
      <w:r w:rsidRPr="002E7B55">
        <w:t xml:space="preserve"> with its contracted providers and DHBs. However, the evaluation team did not have access to the contracts between DHBs and their sub-contracted providers</w:t>
      </w:r>
      <w:r w:rsidR="00177254" w:rsidRPr="002E7B55">
        <w:t>. In addition, t</w:t>
      </w:r>
      <w:r w:rsidRPr="002E7B55">
        <w:t xml:space="preserve">he lower response rates from DHB-funded providers indicates that </w:t>
      </w:r>
      <w:r w:rsidR="00177254" w:rsidRPr="002E7B55">
        <w:t xml:space="preserve">the DHBs </w:t>
      </w:r>
      <w:r w:rsidRPr="002E7B55">
        <w:t xml:space="preserve">may not have explicitly passed </w:t>
      </w:r>
      <w:r w:rsidR="00177254" w:rsidRPr="002E7B55">
        <w:t>on the Ministry’s reporting requirements. A</w:t>
      </w:r>
      <w:r w:rsidRPr="002E7B55">
        <w:t xml:space="preserve">s a result, findings </w:t>
      </w:r>
      <w:r w:rsidR="00177254" w:rsidRPr="002E7B55">
        <w:t xml:space="preserve">are </w:t>
      </w:r>
      <w:r w:rsidRPr="002E7B55">
        <w:t xml:space="preserve">not as representative of DHB-funded providers </w:t>
      </w:r>
      <w:r w:rsidR="00177254" w:rsidRPr="002E7B55">
        <w:t xml:space="preserve">as </w:t>
      </w:r>
      <w:r w:rsidRPr="002E7B55">
        <w:t xml:space="preserve">compared </w:t>
      </w:r>
      <w:r w:rsidR="00177254" w:rsidRPr="002E7B55">
        <w:t>with</w:t>
      </w:r>
      <w:r w:rsidRPr="002E7B55">
        <w:t xml:space="preserve"> direct-funded providers. </w:t>
      </w:r>
    </w:p>
    <w:p w14:paraId="69F775A7" w14:textId="6459B7FA" w:rsidR="003279BB" w:rsidRPr="002E7B55" w:rsidRDefault="009F635B" w:rsidP="00280EF3">
      <w:r w:rsidRPr="002E7B55">
        <w:t xml:space="preserve">The evaluation used </w:t>
      </w:r>
      <w:r w:rsidR="00177254" w:rsidRPr="002E7B55">
        <w:t>the National Immunisations Register data</w:t>
      </w:r>
      <w:r w:rsidRPr="002E7B55">
        <w:t xml:space="preserve"> to track changes in Māori flu vaccination rates. To address a limitation identified in the evaluation of MIVP 2020, in collaboration with the Ministry, the evaluation team sought a mechanism to report on the number of vaccinations administered at a provider level. Vaccinating providers </w:t>
      </w:r>
      <w:r w:rsidR="00177254" w:rsidRPr="002E7B55">
        <w:t>gave</w:t>
      </w:r>
      <w:r w:rsidRPr="002E7B55">
        <w:t xml:space="preserve"> the </w:t>
      </w:r>
      <w:r w:rsidR="00244F8A" w:rsidRPr="002E7B55">
        <w:t>c</w:t>
      </w:r>
      <w:r w:rsidRPr="002E7B55">
        <w:t xml:space="preserve">linic names or </w:t>
      </w:r>
      <w:r w:rsidR="00244F8A" w:rsidRPr="002E7B55">
        <w:t>c</w:t>
      </w:r>
      <w:r w:rsidRPr="002E7B55">
        <w:t xml:space="preserve">linic IDs used when entering their vaccination data into the NIR. The Ministry then filtered out vaccination data using these names and </w:t>
      </w:r>
      <w:proofErr w:type="gramStart"/>
      <w:r w:rsidRPr="002E7B55">
        <w:t>IDs, and</w:t>
      </w:r>
      <w:proofErr w:type="gramEnd"/>
      <w:r w:rsidRPr="002E7B55">
        <w:t xml:space="preserve"> presented this in the monthly insights dashboards. However, not all providers responded to the monitoring report surveys, and some listed </w:t>
      </w:r>
      <w:r w:rsidR="00244F8A" w:rsidRPr="002E7B55">
        <w:t>c</w:t>
      </w:r>
      <w:r w:rsidRPr="002E7B55">
        <w:t xml:space="preserve">linic names or IDs that did not match vaccination data in the NIR. </w:t>
      </w:r>
    </w:p>
    <w:p w14:paraId="241866CB" w14:textId="60F3E416" w:rsidR="00636495" w:rsidRPr="002E7B55" w:rsidRDefault="00636495" w:rsidP="00263674">
      <w:r w:rsidRPr="002E7B55">
        <w:t>Further, the evaluation</w:t>
      </w:r>
      <w:r w:rsidR="00872A38" w:rsidRPr="002E7B55">
        <w:t xml:space="preserve"> used</w:t>
      </w:r>
      <w:r w:rsidRPr="002E7B55">
        <w:t xml:space="preserve"> NIR data for 65+ as </w:t>
      </w:r>
      <w:r w:rsidR="00177254" w:rsidRPr="002E7B55">
        <w:t xml:space="preserve">the NIR does not capture </w:t>
      </w:r>
      <w:r w:rsidRPr="002E7B55">
        <w:t>other vulnerable groups. However,</w:t>
      </w:r>
      <w:r w:rsidR="00872A38" w:rsidRPr="002E7B55">
        <w:t xml:space="preserve"> as in 2020,</w:t>
      </w:r>
      <w:r w:rsidRPr="002E7B55">
        <w:t xml:space="preserve"> </w:t>
      </w:r>
      <w:r w:rsidR="00872A38" w:rsidRPr="002E7B55">
        <w:t xml:space="preserve">many </w:t>
      </w:r>
      <w:r w:rsidRPr="002E7B55">
        <w:t>providers indicate</w:t>
      </w:r>
      <w:r w:rsidR="00872A38" w:rsidRPr="002E7B55">
        <w:t>d</w:t>
      </w:r>
      <w:r w:rsidRPr="002E7B55">
        <w:t xml:space="preserve"> they worked with other eligible cohorts</w:t>
      </w:r>
      <w:r w:rsidR="00872A38" w:rsidRPr="002E7B55">
        <w:t xml:space="preserve"> and Māori of other age groups. </w:t>
      </w:r>
    </w:p>
    <w:p w14:paraId="72038F62" w14:textId="03CE44FD" w:rsidR="00CB6D77" w:rsidRPr="002E7B55" w:rsidRDefault="00CB6D77" w:rsidP="00355CCD"/>
    <w:p w14:paraId="1B394EFE" w14:textId="009818C8" w:rsidR="00651AE1" w:rsidRPr="002E7B55" w:rsidRDefault="00651AE1" w:rsidP="00355CCD"/>
    <w:p w14:paraId="13850431" w14:textId="77777777" w:rsidR="00EE22E0" w:rsidRPr="002E7B55" w:rsidRDefault="00EE22E0">
      <w:pPr>
        <w:spacing w:before="0" w:after="160" w:line="259" w:lineRule="auto"/>
        <w:rPr>
          <w:rFonts w:asciiTheme="majorHAnsi" w:eastAsiaTheme="majorEastAsia" w:hAnsiTheme="majorHAnsi" w:cstheme="majorBidi"/>
          <w:b/>
          <w:color w:val="125459" w:themeColor="accent1" w:themeShade="BF"/>
          <w:sz w:val="32"/>
          <w:szCs w:val="40"/>
        </w:rPr>
      </w:pPr>
      <w:r w:rsidRPr="002E7B55">
        <w:br w:type="page"/>
      </w:r>
    </w:p>
    <w:bookmarkStart w:id="65" w:name="_Toc96341675" w:displacedByCustomXml="next"/>
    <w:sdt>
      <w:sdtPr>
        <w:rPr>
          <w:rFonts w:asciiTheme="minorHAnsi" w:eastAsia="Times New Roman" w:hAnsiTheme="minorHAnsi" w:cs="Times New Roman"/>
          <w:b w:val="0"/>
          <w:color w:val="auto"/>
          <w:sz w:val="20"/>
          <w:szCs w:val="24"/>
        </w:rPr>
        <w:id w:val="-541588129"/>
        <w:docPartObj>
          <w:docPartGallery w:val="Bibliographies"/>
          <w:docPartUnique/>
        </w:docPartObj>
      </w:sdtPr>
      <w:sdtEndPr/>
      <w:sdtContent>
        <w:p w14:paraId="65A170E2" w14:textId="77777777" w:rsidR="009108E5" w:rsidRPr="002E7B55" w:rsidRDefault="009108E5">
          <w:pPr>
            <w:pStyle w:val="Heading1"/>
          </w:pPr>
          <w:r w:rsidRPr="002E7B55">
            <w:t>References</w:t>
          </w:r>
          <w:bookmarkEnd w:id="65"/>
        </w:p>
        <w:sdt>
          <w:sdtPr>
            <w:id w:val="-573587230"/>
            <w:bibliography/>
          </w:sdtPr>
          <w:sdtEndPr/>
          <w:sdtContent>
            <w:p w14:paraId="44E0347D" w14:textId="77777777" w:rsidR="00025361" w:rsidRPr="002E7B55" w:rsidRDefault="009108E5" w:rsidP="0052255F">
              <w:pPr>
                <w:pStyle w:val="Bibliography"/>
                <w:spacing w:line="240" w:lineRule="auto"/>
                <w:rPr>
                  <w:sz w:val="24"/>
                </w:rPr>
              </w:pPr>
              <w:r w:rsidRPr="002E7B55">
                <w:fldChar w:fldCharType="begin"/>
              </w:r>
              <w:r w:rsidRPr="0052255F">
                <w:instrText xml:space="preserve"> BIBLIOGRAPHY </w:instrText>
              </w:r>
              <w:r w:rsidRPr="002E7B55">
                <w:fldChar w:fldCharType="separate"/>
              </w:r>
              <w:r w:rsidR="00025361" w:rsidRPr="002E7B55">
                <w:t xml:space="preserve">1. </w:t>
              </w:r>
              <w:r w:rsidR="00025361" w:rsidRPr="002E7B55">
                <w:rPr>
                  <w:b/>
                  <w:bCs/>
                </w:rPr>
                <w:t>Ministry of Health.</w:t>
              </w:r>
              <w:r w:rsidR="00025361" w:rsidRPr="002E7B55">
                <w:t xml:space="preserve"> </w:t>
              </w:r>
              <w:r w:rsidR="00025361" w:rsidRPr="002E7B55">
                <w:rPr>
                  <w:i/>
                  <w:iCs/>
                </w:rPr>
                <w:t xml:space="preserve">Whakamaua: Māori Health Action Plan 2020-2025. </w:t>
              </w:r>
              <w:r w:rsidR="00025361" w:rsidRPr="002E7B55">
                <w:t>Wellington : Ministry of Health, 2020.</w:t>
              </w:r>
            </w:p>
            <w:p w14:paraId="684A67F0" w14:textId="77777777" w:rsidR="00025361" w:rsidRPr="002E7B55" w:rsidRDefault="00025361" w:rsidP="0052255F">
              <w:pPr>
                <w:pStyle w:val="Bibliography"/>
                <w:spacing w:line="240" w:lineRule="auto"/>
              </w:pPr>
              <w:r w:rsidRPr="002E7B55">
                <w:t xml:space="preserve">2. </w:t>
              </w:r>
              <w:r w:rsidRPr="002E7B55">
                <w:rPr>
                  <w:i/>
                  <w:iCs/>
                </w:rPr>
                <w:t xml:space="preserve">Making commissioning work: The relational gap between intent and implementation in the transition to ‘commissioning’ community services in New South Wales. </w:t>
              </w:r>
              <w:r w:rsidRPr="002E7B55">
                <w:rPr>
                  <w:b/>
                  <w:bCs/>
                </w:rPr>
                <w:t>Riboldi, M, et al.</w:t>
              </w:r>
              <w:r w:rsidRPr="002E7B55">
                <w:t xml:space="preserve"> 2021, Australian Journal of Public Administration, Vol. 2021, pp. 1-12.</w:t>
              </w:r>
            </w:p>
            <w:p w14:paraId="09825BCD" w14:textId="77777777" w:rsidR="00025361" w:rsidRPr="002E7B55" w:rsidRDefault="00025361" w:rsidP="0052255F">
              <w:pPr>
                <w:pStyle w:val="Bibliography"/>
                <w:spacing w:line="240" w:lineRule="auto"/>
              </w:pPr>
              <w:r w:rsidRPr="002E7B55">
                <w:t xml:space="preserve">3. </w:t>
              </w:r>
              <w:r w:rsidRPr="002E7B55">
                <w:rPr>
                  <w:i/>
                  <w:iCs/>
                </w:rPr>
                <w:t xml:space="preserve">Contracting public health and social services: insights from complexity theory for Aotearoa New Zealand. </w:t>
              </w:r>
              <w:r w:rsidRPr="002E7B55">
                <w:rPr>
                  <w:b/>
                  <w:bCs/>
                </w:rPr>
                <w:t>Oakden, J, Walton, M and Foote, J.</w:t>
              </w:r>
              <w:r w:rsidRPr="002E7B55">
                <w:t xml:space="preserve"> 1, 2021, Kōtuitui: New Zealand Journal of Social Sciences Online, Vol. 16, pp. 180-195.</w:t>
              </w:r>
            </w:p>
            <w:p w14:paraId="69087361" w14:textId="77777777" w:rsidR="00025361" w:rsidRPr="002E7B55" w:rsidRDefault="00025361" w:rsidP="0052255F">
              <w:pPr>
                <w:pStyle w:val="Bibliography"/>
                <w:spacing w:line="240" w:lineRule="auto"/>
              </w:pPr>
              <w:r w:rsidRPr="002E7B55">
                <w:t xml:space="preserve">4. </w:t>
              </w:r>
              <w:r w:rsidRPr="002E7B55">
                <w:rPr>
                  <w:b/>
                  <w:bCs/>
                </w:rPr>
                <w:t>Bloomfield, A,.</w:t>
              </w:r>
              <w:r w:rsidRPr="002E7B55">
                <w:t xml:space="preserve"> </w:t>
              </w:r>
              <w:r w:rsidRPr="002E7B55">
                <w:rPr>
                  <w:i/>
                  <w:iCs/>
                </w:rPr>
                <w:t xml:space="preserve">Achieving equity. </w:t>
              </w:r>
              <w:r w:rsidRPr="002E7B55">
                <w:t>2019.</w:t>
              </w:r>
            </w:p>
            <w:p w14:paraId="043F3B04" w14:textId="77777777" w:rsidR="00025361" w:rsidRPr="002E7B55" w:rsidRDefault="00025361" w:rsidP="0052255F">
              <w:pPr>
                <w:pStyle w:val="Bibliography"/>
                <w:spacing w:line="240" w:lineRule="auto"/>
              </w:pPr>
              <w:r w:rsidRPr="002E7B55">
                <w:t xml:space="preserve">5. </w:t>
              </w:r>
              <w:r w:rsidRPr="002E7B55">
                <w:rPr>
                  <w:b/>
                  <w:bCs/>
                </w:rPr>
                <w:t>Durie, M.</w:t>
              </w:r>
              <w:r w:rsidRPr="002E7B55">
                <w:t xml:space="preserve"> </w:t>
              </w:r>
              <w:r w:rsidRPr="002E7B55">
                <w:rPr>
                  <w:i/>
                  <w:iCs/>
                </w:rPr>
                <w:t xml:space="preserve">Whaiora: Māori Health Development. </w:t>
              </w:r>
              <w:r w:rsidRPr="002E7B55">
                <w:t>2nd Revised ed. s.l. : Oxford University Press, 1999.</w:t>
              </w:r>
            </w:p>
            <w:p w14:paraId="08C7B5B7" w14:textId="77777777" w:rsidR="00025361" w:rsidRPr="002E7B55" w:rsidRDefault="00025361" w:rsidP="0052255F">
              <w:pPr>
                <w:pStyle w:val="Bibliography"/>
                <w:spacing w:line="240" w:lineRule="auto"/>
              </w:pPr>
              <w:r w:rsidRPr="002E7B55">
                <w:t xml:space="preserve">6. </w:t>
              </w:r>
              <w:r w:rsidRPr="002E7B55">
                <w:rPr>
                  <w:b/>
                  <w:bCs/>
                </w:rPr>
                <w:t>Smith, G. H.</w:t>
              </w:r>
              <w:r w:rsidRPr="002E7B55">
                <w:t xml:space="preserve"> The development of Kaupapa Māori: Theory and praxis. Auckland, New Zealand : University of Auckland, 1997.</w:t>
              </w:r>
            </w:p>
            <w:p w14:paraId="7092D5DD" w14:textId="77777777" w:rsidR="00025361" w:rsidRPr="002E7B55" w:rsidRDefault="00025361" w:rsidP="0052255F">
              <w:pPr>
                <w:pStyle w:val="Bibliography"/>
                <w:spacing w:line="240" w:lineRule="auto"/>
              </w:pPr>
              <w:r w:rsidRPr="002E7B55">
                <w:t xml:space="preserve">7. </w:t>
              </w:r>
              <w:r w:rsidRPr="002E7B55">
                <w:rPr>
                  <w:i/>
                  <w:iCs/>
                </w:rPr>
                <w:t>COVID</w:t>
              </w:r>
              <w:r w:rsidRPr="002E7B55">
                <w:rPr>
                  <w:rFonts w:ascii="Cambria Math" w:hAnsi="Cambria Math" w:cs="Cambria Math"/>
                  <w:i/>
                  <w:iCs/>
                </w:rPr>
                <w:t>‐</w:t>
              </w:r>
              <w:r w:rsidRPr="002E7B55">
                <w:rPr>
                  <w:i/>
                  <w:iCs/>
                </w:rPr>
                <w:t xml:space="preserve">19 and Indigenous knowledge and leadership: (Re)centring public health curricula to address inequities. </w:t>
              </w:r>
              <w:r w:rsidRPr="002E7B55">
                <w:rPr>
                  <w:b/>
                  <w:bCs/>
                </w:rPr>
                <w:t>Severinsen, C, et al.</w:t>
              </w:r>
              <w:r w:rsidRPr="002E7B55">
                <w:t xml:space="preserve"> 1, 2021, Australian and New Zealand Journal of Public Health, Vol. 45, pp. 6-8.</w:t>
              </w:r>
            </w:p>
            <w:p w14:paraId="4C237BD1" w14:textId="77777777" w:rsidR="00025361" w:rsidRPr="002E7B55" w:rsidRDefault="00025361" w:rsidP="0052255F">
              <w:pPr>
                <w:pStyle w:val="Bibliography"/>
                <w:spacing w:line="240" w:lineRule="auto"/>
              </w:pPr>
              <w:r w:rsidRPr="002E7B55">
                <w:t xml:space="preserve">8. </w:t>
              </w:r>
              <w:r w:rsidRPr="002E7B55">
                <w:rPr>
                  <w:b/>
                  <w:bCs/>
                </w:rPr>
                <w:t>Wehipeihana, N, et al.</w:t>
              </w:r>
              <w:r w:rsidRPr="002E7B55">
                <w:t xml:space="preserve"> </w:t>
              </w:r>
              <w:r w:rsidRPr="002E7B55">
                <w:rPr>
                  <w:i/>
                  <w:iCs/>
                </w:rPr>
                <w:t xml:space="preserve">More Than Just a Jab: Evaluation of the Māori Influenza Vaccination Programme as part of the COVID-19 Māori Health Response. </w:t>
              </w:r>
              <w:r w:rsidRPr="002E7B55">
                <w:t>Wellington : Ministry of Health, 2021.</w:t>
              </w:r>
            </w:p>
            <w:p w14:paraId="0851D693" w14:textId="77777777" w:rsidR="00025361" w:rsidRPr="002E7B55" w:rsidRDefault="00025361" w:rsidP="0052255F">
              <w:pPr>
                <w:pStyle w:val="Bibliography"/>
                <w:spacing w:line="240" w:lineRule="auto"/>
              </w:pPr>
              <w:r w:rsidRPr="002E7B55">
                <w:t xml:space="preserve">9. </w:t>
              </w:r>
              <w:r w:rsidRPr="002E7B55">
                <w:rPr>
                  <w:i/>
                  <w:iCs/>
                </w:rPr>
                <w:t xml:space="preserve">Increasing cultural competence in indigenous-led evaluation: A necessary step toward indigenous-led evaluation. </w:t>
              </w:r>
              <w:r w:rsidRPr="002E7B55">
                <w:rPr>
                  <w:b/>
                  <w:bCs/>
                </w:rPr>
                <w:t>Wehipeihana, N.</w:t>
              </w:r>
              <w:r w:rsidRPr="002E7B55">
                <w:t xml:space="preserve"> 2, 2019, Canadian Journal of Program Evaluation, Vol. 34, pp. 369-384.</w:t>
              </w:r>
            </w:p>
            <w:p w14:paraId="46A16A1E" w14:textId="77777777" w:rsidR="00025361" w:rsidRPr="002E7B55" w:rsidRDefault="00025361" w:rsidP="0052255F">
              <w:pPr>
                <w:pStyle w:val="Bibliography"/>
                <w:spacing w:line="240" w:lineRule="auto"/>
              </w:pPr>
              <w:r w:rsidRPr="002E7B55">
                <w:t xml:space="preserve">10. </w:t>
              </w:r>
              <w:r w:rsidRPr="002E7B55">
                <w:rPr>
                  <w:i/>
                  <w:iCs/>
                </w:rPr>
                <w:t xml:space="preserve">Strengthening public health contracting: findings of a follow-up nationwide survey from Aotearoa. </w:t>
              </w:r>
              <w:r w:rsidRPr="002E7B55">
                <w:rPr>
                  <w:b/>
                  <w:bCs/>
                </w:rPr>
                <w:t>Came, H, et al.</w:t>
              </w:r>
              <w:r w:rsidRPr="002E7B55">
                <w:t xml:space="preserve"> 2022, Kōtuitui: New Zealand Journal of Social Sciences Online, pp. 1–17.</w:t>
              </w:r>
            </w:p>
            <w:p w14:paraId="3970DAE3" w14:textId="77777777" w:rsidR="00025361" w:rsidRPr="002E7B55" w:rsidRDefault="00025361" w:rsidP="0052255F">
              <w:pPr>
                <w:pStyle w:val="Bibliography"/>
                <w:spacing w:line="240" w:lineRule="auto"/>
              </w:pPr>
              <w:r w:rsidRPr="002E7B55">
                <w:t xml:space="preserve">11. </w:t>
              </w:r>
              <w:r w:rsidRPr="002E7B55">
                <w:rPr>
                  <w:b/>
                  <w:bCs/>
                </w:rPr>
                <w:t>Ardern, J.</w:t>
              </w:r>
              <w:r w:rsidRPr="002E7B55">
                <w:t xml:space="preserve"> Prime Minister’s Waitangi Day Speech. 2022.</w:t>
              </w:r>
            </w:p>
            <w:p w14:paraId="398A1613" w14:textId="77777777" w:rsidR="00025361" w:rsidRPr="002E7B55" w:rsidRDefault="00025361" w:rsidP="0052255F">
              <w:pPr>
                <w:pStyle w:val="Bibliography"/>
                <w:spacing w:line="240" w:lineRule="auto"/>
              </w:pPr>
              <w:r w:rsidRPr="002E7B55">
                <w:t xml:space="preserve">12. </w:t>
              </w:r>
              <w:r w:rsidRPr="002E7B55">
                <w:rPr>
                  <w:i/>
                  <w:iCs/>
                </w:rPr>
                <w:t xml:space="preserve">Colonial histories, racism and health – The experience of Māori and Indigenous peoples. </w:t>
              </w:r>
              <w:r w:rsidRPr="002E7B55">
                <w:rPr>
                  <w:b/>
                  <w:bCs/>
                </w:rPr>
                <w:t>Reid, P, Cormack, D and Paine, S.J.</w:t>
              </w:r>
              <w:r w:rsidRPr="002E7B55">
                <w:t xml:space="preserve"> Public Health, Vol. 172, pp. 119-124.</w:t>
              </w:r>
            </w:p>
            <w:p w14:paraId="017DA80E" w14:textId="77777777" w:rsidR="00025361" w:rsidRPr="002E7B55" w:rsidRDefault="00025361" w:rsidP="0052255F">
              <w:pPr>
                <w:pStyle w:val="Bibliography"/>
                <w:spacing w:line="240" w:lineRule="auto"/>
              </w:pPr>
              <w:r w:rsidRPr="002E7B55">
                <w:t xml:space="preserve">13. </w:t>
              </w:r>
              <w:r w:rsidRPr="002E7B55">
                <w:rPr>
                  <w:b/>
                  <w:bCs/>
                </w:rPr>
                <w:t>Health Quality and Safety Commission NZ.</w:t>
              </w:r>
              <w:r w:rsidRPr="002E7B55">
                <w:t xml:space="preserve"> </w:t>
              </w:r>
              <w:r w:rsidRPr="002E7B55">
                <w:rPr>
                  <w:i/>
                  <w:iCs/>
                </w:rPr>
                <w:t xml:space="preserve">He tirohanga ki te ōritenga hauora o te Māori | A view on Māori health equity. </w:t>
              </w:r>
              <w:r w:rsidRPr="002E7B55">
                <w:t>Wellington : Health Quality and Safety Commission, 2019.</w:t>
              </w:r>
            </w:p>
            <w:p w14:paraId="4CA4C9B2" w14:textId="77777777" w:rsidR="00025361" w:rsidRPr="002E7B55" w:rsidRDefault="00025361" w:rsidP="0052255F">
              <w:pPr>
                <w:pStyle w:val="Bibliography"/>
                <w:spacing w:line="240" w:lineRule="auto"/>
              </w:pPr>
              <w:r w:rsidRPr="002E7B55">
                <w:t xml:space="preserve">14. </w:t>
              </w:r>
              <w:r w:rsidRPr="002E7B55">
                <w:rPr>
                  <w:i/>
                  <w:iCs/>
                </w:rPr>
                <w:t xml:space="preserve">Modelled seasonal influenza mortality shows marked differences in risk by age, sex, ethnicity and socioeconomic position in New Zealand. </w:t>
              </w:r>
              <w:r w:rsidRPr="002E7B55">
                <w:rPr>
                  <w:b/>
                  <w:bCs/>
                </w:rPr>
                <w:t>Khieu, Trang Q.T., et al.</w:t>
              </w:r>
              <w:r w:rsidRPr="002E7B55">
                <w:t xml:space="preserve"> 3, 2017, Journal of Infection, Vol. 75.</w:t>
              </w:r>
            </w:p>
            <w:p w14:paraId="68DA9CBC" w14:textId="77777777" w:rsidR="00025361" w:rsidRPr="002E7B55" w:rsidRDefault="00025361" w:rsidP="0052255F">
              <w:pPr>
                <w:pStyle w:val="Bibliography"/>
                <w:spacing w:line="240" w:lineRule="auto"/>
              </w:pPr>
              <w:r w:rsidRPr="002E7B55">
                <w:t xml:space="preserve">15. </w:t>
              </w:r>
              <w:r w:rsidRPr="002E7B55">
                <w:rPr>
                  <w:i/>
                  <w:iCs/>
                </w:rPr>
                <w:t xml:space="preserve">New Zealand’s immunisation policy fails again and entrenches ethnic disparities. </w:t>
              </w:r>
              <w:r w:rsidRPr="002E7B55">
                <w:rPr>
                  <w:b/>
                  <w:bCs/>
                </w:rPr>
                <w:t>Sinclair, O and Grant, C.</w:t>
              </w:r>
              <w:r w:rsidRPr="002E7B55">
                <w:t xml:space="preserve"> 1542, 2021, New Zealand Medical Journal, Vol. 134.</w:t>
              </w:r>
            </w:p>
            <w:p w14:paraId="25BBD342" w14:textId="5991CA7F" w:rsidR="00025361" w:rsidRPr="002E7B55" w:rsidRDefault="00025361" w:rsidP="0052255F">
              <w:pPr>
                <w:pStyle w:val="Bibliography"/>
                <w:spacing w:line="240" w:lineRule="auto"/>
              </w:pPr>
              <w:r w:rsidRPr="002E7B55">
                <w:t xml:space="preserve">16. </w:t>
              </w:r>
              <w:r w:rsidRPr="002E7B55">
                <w:rPr>
                  <w:b/>
                  <w:bCs/>
                </w:rPr>
                <w:t>World Health Organization.</w:t>
              </w:r>
              <w:r w:rsidRPr="002E7B55">
                <w:t xml:space="preserve"> </w:t>
              </w:r>
              <w:r w:rsidRPr="002E7B55">
                <w:rPr>
                  <w:i/>
                  <w:iCs/>
                </w:rPr>
                <w:t xml:space="preserve">Working together: an integration resource guide for </w:t>
              </w:r>
              <w:r w:rsidR="002E7B55">
                <w:rPr>
                  <w:i/>
                  <w:iCs/>
                </w:rPr>
                <w:t>immunisation</w:t>
              </w:r>
              <w:r w:rsidRPr="002E7B55">
                <w:rPr>
                  <w:i/>
                  <w:iCs/>
                </w:rPr>
                <w:t xml:space="preserve"> services throughout the life course. </w:t>
              </w:r>
              <w:r w:rsidRPr="002E7B55">
                <w:t>Geneva : World Health Organization, 2018.</w:t>
              </w:r>
            </w:p>
            <w:p w14:paraId="31A4413A" w14:textId="77777777" w:rsidR="00025361" w:rsidRPr="002E7B55" w:rsidRDefault="00025361" w:rsidP="0052255F">
              <w:pPr>
                <w:pStyle w:val="Bibliography"/>
                <w:spacing w:line="240" w:lineRule="auto"/>
              </w:pPr>
              <w:r w:rsidRPr="002E7B55">
                <w:t xml:space="preserve">17. —. </w:t>
              </w:r>
              <w:r w:rsidRPr="002E7B55">
                <w:rPr>
                  <w:i/>
                  <w:iCs/>
                </w:rPr>
                <w:t xml:space="preserve">Global Vaccine Action Plan (GVAP) 2011–2020. </w:t>
              </w:r>
              <w:r w:rsidRPr="002E7B55">
                <w:t>Geneva : World Health Organization, 2013.</w:t>
              </w:r>
            </w:p>
            <w:p w14:paraId="05671508" w14:textId="77777777" w:rsidR="00025361" w:rsidRPr="002E7B55" w:rsidRDefault="00025361" w:rsidP="0052255F">
              <w:pPr>
                <w:pStyle w:val="Bibliography"/>
                <w:spacing w:line="240" w:lineRule="auto"/>
              </w:pPr>
              <w:r w:rsidRPr="002E7B55">
                <w:t xml:space="preserve">18. </w:t>
              </w:r>
              <w:r w:rsidRPr="002E7B55">
                <w:rPr>
                  <w:b/>
                  <w:bCs/>
                </w:rPr>
                <w:t>O'Hagan, Lucy.</w:t>
              </w:r>
              <w:r w:rsidRPr="002E7B55">
                <w:t xml:space="preserve"> Confronting times on the equity front line. </w:t>
              </w:r>
              <w:r w:rsidRPr="002E7B55">
                <w:rPr>
                  <w:i/>
                  <w:iCs/>
                </w:rPr>
                <w:t xml:space="preserve">NZ Doctor | Rata Aotearoa. </w:t>
              </w:r>
              <w:r w:rsidRPr="002E7B55">
                <w:t>[Online] 4 2 2022. https://www.nzdoctor.co.nz/article/opinion/confronting-times-equity-front-line.</w:t>
              </w:r>
            </w:p>
            <w:p w14:paraId="5E9E87E8" w14:textId="77777777" w:rsidR="00025361" w:rsidRPr="002E7B55" w:rsidRDefault="00025361" w:rsidP="0052255F">
              <w:pPr>
                <w:pStyle w:val="Bibliography"/>
                <w:spacing w:line="240" w:lineRule="auto"/>
              </w:pPr>
              <w:r w:rsidRPr="002E7B55">
                <w:t xml:space="preserve">19. </w:t>
              </w:r>
              <w:r w:rsidRPr="002E7B55">
                <w:rPr>
                  <w:b/>
                  <w:bCs/>
                </w:rPr>
                <w:t>Durie, Mason.</w:t>
              </w:r>
              <w:r w:rsidRPr="002E7B55">
                <w:t xml:space="preserve"> </w:t>
              </w:r>
              <w:r w:rsidRPr="002E7B55">
                <w:rPr>
                  <w:i/>
                  <w:iCs/>
                </w:rPr>
                <w:t xml:space="preserve">Te Whare Tapa Whā | Hauora Māori, Māori Health Model. </w:t>
              </w:r>
            </w:p>
            <w:p w14:paraId="02D0AB5F" w14:textId="77777777" w:rsidR="00025361" w:rsidRPr="002E7B55" w:rsidRDefault="00025361" w:rsidP="0052255F">
              <w:pPr>
                <w:pStyle w:val="Bibliography"/>
                <w:spacing w:line="240" w:lineRule="auto"/>
              </w:pPr>
              <w:r w:rsidRPr="002E7B55">
                <w:t xml:space="preserve">20. </w:t>
              </w:r>
              <w:r w:rsidRPr="002E7B55">
                <w:rPr>
                  <w:b/>
                  <w:bCs/>
                </w:rPr>
                <w:t>Ministry of Health.</w:t>
              </w:r>
              <w:r w:rsidRPr="002E7B55">
                <w:t xml:space="preserve"> </w:t>
              </w:r>
              <w:r w:rsidRPr="002E7B55">
                <w:rPr>
                  <w:i/>
                  <w:iCs/>
                </w:rPr>
                <w:t xml:space="preserve">Service specification: Māori Influenza and Measles Vaccination Programme 2021 (MIMVP 2021). </w:t>
              </w:r>
              <w:r w:rsidRPr="002E7B55">
                <w:t>Wellington : Ministry of Health, 2021.</w:t>
              </w:r>
            </w:p>
            <w:p w14:paraId="1A4B180E" w14:textId="77777777" w:rsidR="00025361" w:rsidRPr="002E7B55" w:rsidRDefault="00025361" w:rsidP="0052255F">
              <w:pPr>
                <w:pStyle w:val="Bibliography"/>
                <w:spacing w:line="240" w:lineRule="auto"/>
              </w:pPr>
              <w:r w:rsidRPr="002E7B55">
                <w:t xml:space="preserve">21. </w:t>
              </w:r>
              <w:r w:rsidRPr="002E7B55">
                <w:rPr>
                  <w:b/>
                  <w:bCs/>
                </w:rPr>
                <w:t>Wehipeihana, N, et al.</w:t>
              </w:r>
              <w:r w:rsidRPr="002E7B55">
                <w:t xml:space="preserve"> </w:t>
              </w:r>
              <w:r w:rsidRPr="002E7B55">
                <w:rPr>
                  <w:i/>
                  <w:iCs/>
                </w:rPr>
                <w:t xml:space="preserve">Protecting our Whakapapa: Māori Influenza and Measles Vaccination Programme 2021 - Interim Monitoring Report. </w:t>
              </w:r>
              <w:r w:rsidRPr="002E7B55">
                <w:t>Wellington : Ministry of Health, 2022.</w:t>
              </w:r>
            </w:p>
            <w:p w14:paraId="4DE6A1EF" w14:textId="77777777" w:rsidR="00025361" w:rsidRPr="002E7B55" w:rsidRDefault="00025361" w:rsidP="0052255F">
              <w:pPr>
                <w:pStyle w:val="Bibliography"/>
                <w:spacing w:line="240" w:lineRule="auto"/>
              </w:pPr>
              <w:r w:rsidRPr="002E7B55">
                <w:t xml:space="preserve">22. </w:t>
              </w:r>
              <w:r w:rsidRPr="002E7B55">
                <w:rPr>
                  <w:b/>
                  <w:bCs/>
                </w:rPr>
                <w:t>Waitangi Tribunal.</w:t>
              </w:r>
              <w:r w:rsidRPr="002E7B55">
                <w:t xml:space="preserve"> </w:t>
              </w:r>
              <w:r w:rsidRPr="002E7B55">
                <w:rPr>
                  <w:i/>
                  <w:iCs/>
                </w:rPr>
                <w:t xml:space="preserve">Haumaru: The COVID-19 Priority Report in pre-publication format. </w:t>
              </w:r>
              <w:r w:rsidRPr="002E7B55">
                <w:t>2021.</w:t>
              </w:r>
            </w:p>
            <w:p w14:paraId="290F9992" w14:textId="77777777" w:rsidR="00025361" w:rsidRPr="002E7B55" w:rsidRDefault="009108E5" w:rsidP="0052255F">
              <w:pPr>
                <w:pStyle w:val="Bibliography"/>
                <w:spacing w:line="240" w:lineRule="auto"/>
              </w:pPr>
              <w:r w:rsidRPr="002E7B55">
                <w:rPr>
                  <w:b/>
                  <w:bCs/>
                </w:rPr>
                <w:fldChar w:fldCharType="end"/>
              </w:r>
            </w:p>
          </w:sdtContent>
        </w:sdt>
      </w:sdtContent>
    </w:sdt>
    <w:p w14:paraId="0EA58495" w14:textId="14925723" w:rsidR="000351FE" w:rsidRPr="002E7B55" w:rsidRDefault="00025361" w:rsidP="00025361">
      <w:pPr>
        <w:pStyle w:val="Heading2"/>
      </w:pPr>
      <w:r w:rsidRPr="002E7B55">
        <w:lastRenderedPageBreak/>
        <w:t>Endnotes</w:t>
      </w:r>
    </w:p>
    <w:sectPr w:rsidR="000351FE" w:rsidRPr="002E7B55" w:rsidSect="00E00310">
      <w:pgSz w:w="11906" w:h="16838"/>
      <w:pgMar w:top="1702" w:right="1077"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30EB0" w14:textId="77777777" w:rsidR="00455E15" w:rsidRDefault="00455E15" w:rsidP="009B52A0">
      <w:r>
        <w:separator/>
      </w:r>
    </w:p>
  </w:endnote>
  <w:endnote w:type="continuationSeparator" w:id="0">
    <w:p w14:paraId="47281283" w14:textId="77777777" w:rsidR="00455E15" w:rsidRDefault="00455E15" w:rsidP="009B52A0">
      <w:r>
        <w:continuationSeparator/>
      </w:r>
    </w:p>
  </w:endnote>
  <w:endnote w:type="continuationNotice" w:id="1">
    <w:p w14:paraId="292B874D" w14:textId="77777777" w:rsidR="00455E15" w:rsidRDefault="00455E15">
      <w:pPr>
        <w:spacing w:before="0" w:after="0" w:line="240" w:lineRule="auto"/>
      </w:pPr>
    </w:p>
  </w:endnote>
  <w:endnote w:id="2">
    <w:p w14:paraId="64D9F8D2" w14:textId="73660C06" w:rsidR="00803CB8" w:rsidRPr="0052255F" w:rsidRDefault="00803CB8">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Source: </w:t>
      </w:r>
      <w:r w:rsidR="002E5007" w:rsidRPr="0052255F">
        <w:rPr>
          <w:rStyle w:val="EndnoteReference"/>
          <w:rFonts w:ascii="Arial Nova Light" w:hAnsi="Arial Nova Light"/>
          <w:vertAlign w:val="baseline"/>
        </w:rPr>
        <w:t xml:space="preserve">Ministry of Health </w:t>
      </w:r>
      <w:hyperlink r:id="rId1" w:anchor="total-vaccinations" w:history="1">
        <w:r w:rsidR="002E5007" w:rsidRPr="0052255F">
          <w:rPr>
            <w:rStyle w:val="EndnoteReference"/>
            <w:rFonts w:ascii="Arial Nova Light" w:hAnsi="Arial Nova Light"/>
            <w:vertAlign w:val="baseline"/>
          </w:rPr>
          <w:t>https://www.health.govt.nz/covid-19-novel-coronavirus/covid-19-data-and-statistics/covid-19-vaccine-data#total-vaccinations</w:t>
        </w:r>
      </w:hyperlink>
      <w:r w:rsidRPr="0052255F">
        <w:rPr>
          <w:rStyle w:val="EndnoteReference"/>
          <w:rFonts w:ascii="Arial Nova Light" w:hAnsi="Arial Nova Light"/>
          <w:vertAlign w:val="baseline"/>
        </w:rPr>
        <w:t xml:space="preserve"> accessed </w:t>
      </w:r>
      <w:r w:rsidR="002E5007" w:rsidRPr="0052255F">
        <w:rPr>
          <w:rStyle w:val="EndnoteReference"/>
          <w:rFonts w:ascii="Arial Nova Light" w:hAnsi="Arial Nova Light"/>
          <w:vertAlign w:val="baseline"/>
        </w:rPr>
        <w:t>21 February 2022, data as at 11:59pm 19 February 2022</w:t>
      </w:r>
    </w:p>
  </w:endnote>
  <w:endnote w:id="3">
    <w:p w14:paraId="0D7EA954" w14:textId="29AA0A45" w:rsidR="002E5007" w:rsidRPr="0052255F" w:rsidRDefault="002E500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As at February 2022, “fully vaccinated” refers to two approved doses of a COVID019 vaccine. </w:t>
      </w:r>
    </w:p>
  </w:endnote>
  <w:endnote w:id="4">
    <w:p w14:paraId="7AFB3234" w14:textId="77777777" w:rsidR="0055562F" w:rsidRPr="0052255F" w:rsidRDefault="0055562F" w:rsidP="0055562F">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Waitangi Tribunal. (2021). Haumaru: The COVID-19 Priority Report in pre-publication format. https://waitangitribunal.govt.nz/assets/Documents/Publications/Covid-Priority-W.pdf</w:t>
      </w:r>
    </w:p>
  </w:endnote>
  <w:endnote w:id="5">
    <w:p w14:paraId="01EB4BE8" w14:textId="212400B5" w:rsidR="00EF6CA7" w:rsidRPr="0052255F" w:rsidRDefault="00EF6CA7" w:rsidP="00EF6CA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Herd immunity is an approach to controlling infectious diseases “to protect individuals against disease and also prevent the onward spread of disease within the population as a whole”. “When a high percentage of the population is vaccinated, it is difficult for infectious diseases to spread because there are not many people who can be infected” Source: Ministry of Health, Vaccine Effectiveness </w:t>
      </w:r>
      <w:hyperlink r:id="rId2" w:history="1">
        <w:r w:rsidRPr="0052255F">
          <w:rPr>
            <w:rStyle w:val="EndnoteReference"/>
            <w:rFonts w:ascii="Arial Nova Light" w:hAnsi="Arial Nova Light"/>
            <w:vertAlign w:val="baseline"/>
          </w:rPr>
          <w:t>https://www.health.govt.nz/our-work/preventative-health-wellness/immunisation/vaccine-effectiveness</w:t>
        </w:r>
      </w:hyperlink>
      <w:r w:rsidRPr="0052255F">
        <w:rPr>
          <w:rStyle w:val="EndnoteReference"/>
          <w:rFonts w:ascii="Arial Nova Light" w:hAnsi="Arial Nova Light"/>
          <w:vertAlign w:val="baseline"/>
        </w:rPr>
        <w:t xml:space="preserve"> accessed 21 February 2022</w:t>
      </w:r>
    </w:p>
  </w:endnote>
  <w:endnote w:id="6">
    <w:p w14:paraId="5BB889A9" w14:textId="06868290"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Although MIMVP provided funding for flu and MMR vaccinations, many DHBs and providers delayed their MMR-specific activities due to a focus on COVID-19 and flu. Some providers indicated in monitoring reports that they had delivered MMR vaccinations, however, MMR vaccination data was not available for this evaluation.</w:t>
      </w:r>
    </w:p>
  </w:endnote>
  <w:endnote w:id="7">
    <w:p w14:paraId="605CF8C3" w14:textId="69BC75EC" w:rsidR="005E3717" w:rsidRPr="0052255F" w:rsidRDefault="005E3717">
      <w:pPr>
        <w:pStyle w:val="EndnoteText"/>
        <w:rPr>
          <w:lang w:val="mi-NZ"/>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Source: NIR data 2021-2015,</w:t>
      </w:r>
      <w:r w:rsidRPr="0052255F">
        <w:rPr>
          <w:rStyle w:val="EndnoteReference"/>
          <w:vertAlign w:val="baseline"/>
        </w:rPr>
        <w:t xml:space="preserve"> supplied by Ministry of H</w:t>
      </w:r>
      <w:r w:rsidRPr="0052255F">
        <w:rPr>
          <w:rStyle w:val="EndnoteReference"/>
          <w:rFonts w:ascii="Arial Nova Light" w:hAnsi="Arial Nova Light"/>
          <w:vertAlign w:val="baseline"/>
        </w:rPr>
        <w:t>ealth</w:t>
      </w:r>
    </w:p>
  </w:endnote>
  <w:endnote w:id="8">
    <w:p w14:paraId="6D16E819" w14:textId="0E2DC114"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Note: some immunisation reports sent from the Ministry in 2021 had 2018 and 2019 gaps labelled incorrectly.</w:t>
      </w:r>
    </w:p>
  </w:endnote>
  <w:endnote w:id="9">
    <w:p w14:paraId="0F48EB4A" w14:textId="4A6DD328" w:rsidR="00A3371B" w:rsidRPr="0052255F" w:rsidRDefault="00A3371B" w:rsidP="00832610">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Source: NIR data 2021. Four regions with highest estimated Māori 65+ population</w:t>
      </w:r>
      <w:r w:rsidR="00832610" w:rsidRPr="0052255F">
        <w:rPr>
          <w:rStyle w:val="EndnoteReference"/>
          <w:rFonts w:ascii="Arial Nova Light" w:hAnsi="Arial Nova Light"/>
          <w:vertAlign w:val="baseline"/>
        </w:rPr>
        <w:t>: Waikato,7180; Northland, 6530; Bay of Plenty, 5700; Counties Manukau, 5380</w:t>
      </w:r>
      <w:r w:rsidR="00832610" w:rsidRPr="0052255F">
        <w:rPr>
          <w:rStyle w:val="EndnoteReference"/>
          <w:vertAlign w:val="baseline"/>
        </w:rPr>
        <w:t>, from Statistics NZ data supplied by Ministry of H</w:t>
      </w:r>
      <w:r w:rsidR="00832610" w:rsidRPr="0052255F">
        <w:rPr>
          <w:rStyle w:val="EndnoteReference"/>
          <w:rFonts w:ascii="Arial Nova Light" w:hAnsi="Arial Nova Light"/>
          <w:vertAlign w:val="baseline"/>
        </w:rPr>
        <w:t>ealth</w:t>
      </w:r>
    </w:p>
  </w:endnote>
  <w:endnote w:id="10">
    <w:p w14:paraId="0B53EA6C" w14:textId="10D95FB4"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Source: Population data, from Statistics NZ, supplied by Ministry of Health</w:t>
      </w:r>
    </w:p>
  </w:endnote>
  <w:endnote w:id="11">
    <w:p w14:paraId="076687F7" w14:textId="131644E9"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Source: analysis of NIR data 2015 to 2021.</w:t>
      </w:r>
    </w:p>
  </w:endnote>
  <w:endnote w:id="12">
    <w:p w14:paraId="21652CDA" w14:textId="2451C4EC"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24/</w:t>
      </w:r>
      <w:r w:rsidR="00783C2B" w:rsidRPr="0052255F">
        <w:rPr>
          <w:rStyle w:val="EndnoteReference"/>
          <w:rFonts w:ascii="Arial Nova Light" w:hAnsi="Arial Nova Light"/>
          <w:vertAlign w:val="baseline"/>
        </w:rPr>
        <w:t>3</w:t>
      </w:r>
      <w:r w:rsidRPr="0052255F">
        <w:rPr>
          <w:rStyle w:val="EndnoteReference"/>
          <w:rFonts w:ascii="Arial Nova Light" w:hAnsi="Arial Nova Light"/>
          <w:vertAlign w:val="baseline"/>
        </w:rPr>
        <w:t>2 provider respondents in final monthly monitoring report survey, released September 2021. Total survey responses: 32</w:t>
      </w:r>
      <w:r w:rsidR="00783C2B" w:rsidRPr="0052255F">
        <w:rPr>
          <w:rStyle w:val="EndnoteReference"/>
          <w:vertAlign w:val="baseline"/>
        </w:rPr>
        <w:t>/52 contracted</w:t>
      </w:r>
      <w:r w:rsidRPr="0052255F">
        <w:rPr>
          <w:rStyle w:val="EndnoteReference"/>
          <w:rFonts w:ascii="Arial Nova Light" w:hAnsi="Arial Nova Light"/>
          <w:vertAlign w:val="baseline"/>
        </w:rPr>
        <w:t xml:space="preserve"> providers, 8</w:t>
      </w:r>
      <w:r w:rsidR="00783C2B" w:rsidRPr="0052255F">
        <w:rPr>
          <w:rStyle w:val="EndnoteReference"/>
          <w:rFonts w:ascii="Arial Nova Light" w:hAnsi="Arial Nova Light"/>
          <w:vertAlign w:val="baseline"/>
        </w:rPr>
        <w:t>/</w:t>
      </w:r>
      <w:r w:rsidR="00783C2B" w:rsidRPr="0052255F">
        <w:rPr>
          <w:rStyle w:val="EndnoteReference"/>
          <w:vertAlign w:val="baseline"/>
        </w:rPr>
        <w:t>10 contracted</w:t>
      </w:r>
      <w:r w:rsidRPr="0052255F">
        <w:rPr>
          <w:rStyle w:val="EndnoteReference"/>
          <w:rFonts w:ascii="Arial Nova Light" w:hAnsi="Arial Nova Light"/>
          <w:vertAlign w:val="baseline"/>
        </w:rPr>
        <w:t xml:space="preserve"> DHBs. 4 respondents chose not to answer this question.</w:t>
      </w:r>
      <w:r w:rsidR="00783C2B" w:rsidRPr="0052255F">
        <w:rPr>
          <w:rStyle w:val="EndnoteReference"/>
          <w:rFonts w:ascii="Arial Nova Light" w:hAnsi="Arial Nova Light"/>
          <w:vertAlign w:val="baseline"/>
        </w:rPr>
        <w:t xml:space="preserve"> </w:t>
      </w:r>
      <w:r w:rsidR="00783C2B" w:rsidRPr="0052255F">
        <w:rPr>
          <w:rStyle w:val="EndnoteReference"/>
          <w:vertAlign w:val="baseline"/>
        </w:rPr>
        <w:t xml:space="preserve">From Ministry documentation, at least 26 of 52 contracted providers, although information was not available for providers from some regions where DHBs were late finalising contracts with providers. </w:t>
      </w:r>
    </w:p>
  </w:endnote>
  <w:endnote w:id="13">
    <w:p w14:paraId="3F55FC33" w14:textId="77777777" w:rsidR="004E4EA0" w:rsidRPr="0052255F" w:rsidRDefault="004E4EA0" w:rsidP="004E4EA0">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21/32 provider respondents</w:t>
      </w:r>
      <w:r w:rsidRPr="0052255F">
        <w:rPr>
          <w:rStyle w:val="EndnoteReference"/>
          <w:vertAlign w:val="baseline"/>
        </w:rPr>
        <w:t xml:space="preserve"> indicated that the work they did in 2020 helped them prepare for 2021 to a moderate or high degree</w:t>
      </w:r>
      <w:r w:rsidRPr="0052255F">
        <w:rPr>
          <w:rStyle w:val="EndnoteReference"/>
          <w:rFonts w:ascii="Arial Nova Light" w:hAnsi="Arial Nova Light"/>
          <w:vertAlign w:val="baseline"/>
        </w:rPr>
        <w:t xml:space="preserve"> in final monthly monitoring report survey, released September 2021. Total survey responses: 32 providers, 8 DHBs. 4 respondents chose not to answer this question.</w:t>
      </w:r>
    </w:p>
  </w:endnote>
  <w:endnote w:id="14">
    <w:p w14:paraId="3035D3FF" w14:textId="35B7B4D1" w:rsidR="0000213B" w:rsidRPr="0052255F" w:rsidRDefault="0000213B">
      <w:pPr>
        <w:pStyle w:val="EndnoteText"/>
        <w:rPr>
          <w:rStyle w:val="EndnoteReference"/>
          <w:rFonts w:ascii="Arial Nova Light" w:hAnsi="Arial Nova Light"/>
          <w:vertAlign w:val="baseline"/>
        </w:rPr>
      </w:pPr>
      <w:r w:rsidRPr="0052255F">
        <w:rPr>
          <w:rStyle w:val="EndnoteReference"/>
          <w:vertAlign w:val="baseline"/>
        </w:rPr>
        <w:endnoteRef/>
      </w:r>
      <w:r w:rsidRPr="0052255F">
        <w:t xml:space="preserve"> </w:t>
      </w:r>
      <w:r w:rsidR="008A2A3E" w:rsidRPr="0052255F">
        <w:rPr>
          <w:rStyle w:val="EndnoteReference"/>
          <w:rFonts w:ascii="Arial Nova Light" w:hAnsi="Arial Nova Light"/>
          <w:vertAlign w:val="baseline"/>
        </w:rPr>
        <w:t>22/32,</w:t>
      </w:r>
      <w:r w:rsidR="008A2A3E" w:rsidRPr="0052255F">
        <w:rPr>
          <w:rStyle w:val="EndnoteReference"/>
          <w:vertAlign w:val="baseline"/>
        </w:rPr>
        <w:t xml:space="preserve"> 22/32 </w:t>
      </w:r>
      <w:r w:rsidR="008A2A3E" w:rsidRPr="0052255F">
        <w:rPr>
          <w:rStyle w:val="EndnoteReference"/>
          <w:rFonts w:ascii="Arial Nova Light" w:hAnsi="Arial Nova Light"/>
          <w:vertAlign w:val="baseline"/>
        </w:rPr>
        <w:t>provider respondents indicated that had d</w:t>
      </w:r>
      <w:r w:rsidR="008A2A3E" w:rsidRPr="0052255F">
        <w:rPr>
          <w:rStyle w:val="EndnoteReference"/>
          <w:vertAlign w:val="baseline"/>
        </w:rPr>
        <w:t>elivered</w:t>
      </w:r>
      <w:r w:rsidR="008A2A3E" w:rsidRPr="0052255F">
        <w:rPr>
          <w:rStyle w:val="EndnoteReference"/>
          <w:rFonts w:ascii="Arial Nova Light" w:hAnsi="Arial Nova Light"/>
          <w:vertAlign w:val="baseline"/>
        </w:rPr>
        <w:t xml:space="preserve"> educational activities in the community and awareness raising activities in the community (respectively) in final monthly monitoring report survey, released September 2021. Total survey responses: 32 providers, 8 DHBs. 0 respondents chose not to answer this question.</w:t>
      </w:r>
    </w:p>
  </w:endnote>
  <w:endnote w:id="15">
    <w:p w14:paraId="2FB5232F" w14:textId="59BBCB93" w:rsidR="008A2A3E" w:rsidRPr="0052255F" w:rsidRDefault="008A2A3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19/32, 16/32. 16/32 provider respondents indicated that had d</w:t>
      </w:r>
      <w:r w:rsidRPr="0052255F">
        <w:rPr>
          <w:rStyle w:val="EndnoteReference"/>
          <w:vertAlign w:val="baseline"/>
        </w:rPr>
        <w:t xml:space="preserve">elivered a mobile clinic (travelling to deliver vaccinations in the community), mobile services (transporting kaumatua and whānau to a clinic) and home visits </w:t>
      </w:r>
      <w:r w:rsidRPr="0052255F">
        <w:rPr>
          <w:rStyle w:val="EndnoteReference"/>
          <w:rFonts w:ascii="Arial Nova Light" w:hAnsi="Arial Nova Light"/>
          <w:vertAlign w:val="baseline"/>
        </w:rPr>
        <w:t xml:space="preserve"> (respectively) in final monthly monitoring report survey, released September 2021. Total survey responses: 32 providers, 8 DHBs. 0 respondents chose not to answer this question.</w:t>
      </w:r>
    </w:p>
  </w:endnote>
  <w:endnote w:id="16">
    <w:p w14:paraId="3FF8BBD7" w14:textId="23B2D198" w:rsidR="008A2A3E" w:rsidRPr="0052255F" w:rsidRDefault="008A2A3E">
      <w:pPr>
        <w:pStyle w:val="EndnoteText"/>
        <w:rPr>
          <w:lang w:val="mi-NZ"/>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9/11 direct-funded provider respondents indicated that had</w:t>
      </w:r>
      <w:r w:rsidRPr="0052255F">
        <w:rPr>
          <w:rStyle w:val="EndnoteReference"/>
          <w:vertAlign w:val="baseline"/>
        </w:rPr>
        <w:t xml:space="preserve"> delivered a pop-up clinic (temporary clinic in a Māori site, such as a marae), compared to 5/21 DHB-funded providers</w:t>
      </w:r>
      <w:r w:rsidRPr="0052255F">
        <w:rPr>
          <w:rStyle w:val="EndnoteReference"/>
          <w:rFonts w:ascii="Arial Nova Light" w:hAnsi="Arial Nova Light"/>
          <w:vertAlign w:val="baseline"/>
        </w:rPr>
        <w:t xml:space="preserve"> in final monthly monitoring report survey, released September 2021. Total survey responses: 32 providers, 8 DHBs. 0 respondents chose not to answer this question.</w:t>
      </w:r>
    </w:p>
  </w:endnote>
  <w:endnote w:id="17">
    <w:p w14:paraId="76BA89D1" w14:textId="39F0A0CE" w:rsidR="00362977" w:rsidRPr="0052255F" w:rsidRDefault="0036297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Provider respondents </w:t>
      </w:r>
      <w:r w:rsidR="00832610" w:rsidRPr="0052255F">
        <w:rPr>
          <w:rStyle w:val="EndnoteReference"/>
          <w:rFonts w:ascii="Arial Nova Light" w:hAnsi="Arial Nova Light"/>
          <w:vertAlign w:val="baseline"/>
        </w:rPr>
        <w:t xml:space="preserve">indicated that they had delivered any of the following activities as part of their MIMVP-funded plan in 2021 </w:t>
      </w:r>
      <w:r w:rsidRPr="0052255F">
        <w:rPr>
          <w:rStyle w:val="EndnoteReference"/>
          <w:rFonts w:ascii="Arial Nova Light" w:hAnsi="Arial Nova Light"/>
          <w:vertAlign w:val="baseline"/>
        </w:rPr>
        <w:t>in final monthly monitoring report survey, released September 2021. Total survey responses: 32 providers, 8 DHBs. 0 respondents chose not to answer this question.</w:t>
      </w:r>
    </w:p>
  </w:endnote>
  <w:endnote w:id="18">
    <w:p w14:paraId="44F6CF6D" w14:textId="6A2E7EC0" w:rsidR="005964C7" w:rsidRPr="0052255F" w:rsidRDefault="005964C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w:t>
      </w:r>
      <w:r w:rsidR="00832610" w:rsidRPr="0052255F">
        <w:rPr>
          <w:rStyle w:val="EndnoteReference"/>
          <w:rFonts w:ascii="Arial Nova Light" w:hAnsi="Arial Nova Light"/>
          <w:vertAlign w:val="baseline"/>
        </w:rPr>
        <w:t xml:space="preserve">Provider respondents indicated that </w:t>
      </w:r>
      <w:r w:rsidR="00832610" w:rsidRPr="0052255F">
        <w:rPr>
          <w:rStyle w:val="EndnoteReference"/>
          <w:vertAlign w:val="baseline"/>
        </w:rPr>
        <w:t xml:space="preserve">that they had worked with any of the following organisations to implement </w:t>
      </w:r>
      <w:r w:rsidR="00832610" w:rsidRPr="0052255F">
        <w:rPr>
          <w:rStyle w:val="EndnoteReference"/>
          <w:rFonts w:ascii="Arial Nova Light" w:hAnsi="Arial Nova Light"/>
          <w:vertAlign w:val="baseline"/>
        </w:rPr>
        <w:t>their MIMVP-funded plan in 2021 in final monthly monitoring report survey, released September 2021. Total survey responses: 32 providers, 8 DHBs. 0 respondents chose not to answer this question.</w:t>
      </w:r>
    </w:p>
  </w:endnote>
  <w:endnote w:id="19">
    <w:p w14:paraId="1F89C122" w14:textId="66FA1368"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The Auckland Metro contract held by Counties Manukau covered three DHBs, Auckland, Counties-Manukau and Waitematā regions). Two DHBs collaborated to deliver their MIMVP activities (Canterbury and West Coast). DHBs went on to contract 39 providers.</w:t>
      </w:r>
    </w:p>
  </w:endnote>
  <w:endnote w:id="20">
    <w:p w14:paraId="29301888" w14:textId="11562DDF"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21/28 respondents </w:t>
      </w:r>
      <w:r w:rsidR="00CB3806" w:rsidRPr="0052255F">
        <w:rPr>
          <w:rStyle w:val="EndnoteReference"/>
          <w:rFonts w:ascii="Arial Nova Light" w:hAnsi="Arial Nova Light"/>
          <w:vertAlign w:val="baseline"/>
        </w:rPr>
        <w:t>i</w:t>
      </w:r>
      <w:r w:rsidR="00CB3806" w:rsidRPr="0052255F">
        <w:rPr>
          <w:rStyle w:val="EndnoteReference"/>
          <w:vertAlign w:val="baseline"/>
        </w:rPr>
        <w:t xml:space="preserve">ndicated that one of the top three biggest impacts on their ability to carry out MIMVP-funded vaccination plans was that the Ministry started the application and contracting process too late </w:t>
      </w:r>
      <w:r w:rsidRPr="0052255F">
        <w:rPr>
          <w:rStyle w:val="EndnoteReference"/>
          <w:rFonts w:ascii="Arial Nova Light" w:hAnsi="Arial Nova Light"/>
          <w:vertAlign w:val="baseline"/>
        </w:rPr>
        <w:t>in monthly monitoring report survey 3, released 3 July. Total survey responses: 28 providers, 8 DHBs. 4 respondents chose not to answer this question</w:t>
      </w:r>
    </w:p>
  </w:endnote>
  <w:endnote w:id="21">
    <w:p w14:paraId="5F18A9A2" w14:textId="3A067988"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Note that the information about DHB contracting, relationships and responsiveness is limited and primarily taken from provider monitoring reports. Only two DHBs responded to all five monitoring report surveys, four responded to one or two, and one DHB did not respond to any.</w:t>
      </w:r>
    </w:p>
  </w:endnote>
  <w:endnote w:id="22">
    <w:p w14:paraId="62D022A8" w14:textId="4BA598DB" w:rsidR="00431517" w:rsidRPr="0052255F" w:rsidRDefault="00431517">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9/11 direct-funded provider respondents </w:t>
      </w:r>
      <w:r w:rsidR="00CB3806" w:rsidRPr="0052255F">
        <w:rPr>
          <w:rStyle w:val="EndnoteReference"/>
          <w:rFonts w:ascii="Arial Nova Light" w:hAnsi="Arial Nova Light"/>
          <w:vertAlign w:val="baseline"/>
        </w:rPr>
        <w:t>i</w:t>
      </w:r>
      <w:r w:rsidR="00CB3806" w:rsidRPr="0052255F">
        <w:rPr>
          <w:rStyle w:val="EndnoteReference"/>
          <w:vertAlign w:val="baseline"/>
        </w:rPr>
        <w:t xml:space="preserve">ndicated that they had received their first MIMVP funding payment in June or earlier </w:t>
      </w:r>
      <w:r w:rsidRPr="0052255F">
        <w:rPr>
          <w:rStyle w:val="EndnoteReference"/>
          <w:rFonts w:ascii="Arial Nova Light" w:hAnsi="Arial Nova Light"/>
          <w:vertAlign w:val="baseline"/>
        </w:rPr>
        <w:t xml:space="preserve">in </w:t>
      </w:r>
      <w:r w:rsidR="00CB3806" w:rsidRPr="0052255F">
        <w:rPr>
          <w:rStyle w:val="EndnoteReference"/>
          <w:rFonts w:ascii="Arial Nova Light" w:hAnsi="Arial Nova Light"/>
          <w:vertAlign w:val="baseline"/>
        </w:rPr>
        <w:t>final monthly monitoring report survey, released September</w:t>
      </w:r>
      <w:r w:rsidR="00CB3806" w:rsidRPr="0052255F">
        <w:rPr>
          <w:rStyle w:val="EndnoteReference"/>
          <w:vertAlign w:val="baseline"/>
        </w:rPr>
        <w:t xml:space="preserve"> 2021</w:t>
      </w:r>
      <w:r w:rsidRPr="0052255F">
        <w:rPr>
          <w:rStyle w:val="EndnoteReference"/>
          <w:rFonts w:ascii="Arial Nova Light" w:hAnsi="Arial Nova Light"/>
          <w:vertAlign w:val="baseline"/>
        </w:rPr>
        <w:t xml:space="preserve">. </w:t>
      </w:r>
      <w:r w:rsidR="00CB3806" w:rsidRPr="0052255F">
        <w:rPr>
          <w:rStyle w:val="EndnoteReference"/>
          <w:rFonts w:ascii="Arial Nova Light" w:hAnsi="Arial Nova Light"/>
          <w:vertAlign w:val="baseline"/>
        </w:rPr>
        <w:t xml:space="preserve">Total survey responses: 32 providers, 8 DHBs. </w:t>
      </w:r>
      <w:r w:rsidR="00CB3806" w:rsidRPr="0052255F">
        <w:rPr>
          <w:rStyle w:val="EndnoteReference"/>
          <w:vertAlign w:val="baseline"/>
        </w:rPr>
        <w:t>2</w:t>
      </w:r>
      <w:r w:rsidR="00CB3806" w:rsidRPr="0052255F">
        <w:rPr>
          <w:rStyle w:val="EndnoteReference"/>
          <w:rFonts w:ascii="Arial Nova Light" w:hAnsi="Arial Nova Light"/>
          <w:vertAlign w:val="baseline"/>
        </w:rPr>
        <w:t xml:space="preserve"> respondents chose not to answer this question.</w:t>
      </w:r>
    </w:p>
  </w:endnote>
  <w:endnote w:id="23">
    <w:p w14:paraId="144F4D96" w14:textId="7FB441CA"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7/21 DHB-funded provider respondents </w:t>
      </w:r>
      <w:r w:rsidR="00CB3806" w:rsidRPr="0052255F">
        <w:rPr>
          <w:rStyle w:val="EndnoteReference"/>
          <w:rFonts w:ascii="Arial Nova Light" w:hAnsi="Arial Nova Light"/>
          <w:vertAlign w:val="baseline"/>
        </w:rPr>
        <w:t>i</w:t>
      </w:r>
      <w:r w:rsidR="00CB3806" w:rsidRPr="0052255F">
        <w:rPr>
          <w:rStyle w:val="EndnoteReference"/>
          <w:vertAlign w:val="baseline"/>
        </w:rPr>
        <w:t xml:space="preserve">ndicated that they had received their first MIMVP funding payment in June or earlier </w:t>
      </w:r>
      <w:r w:rsidR="00CB3806" w:rsidRPr="0052255F">
        <w:rPr>
          <w:rStyle w:val="EndnoteReference"/>
          <w:rFonts w:ascii="Arial Nova Light" w:hAnsi="Arial Nova Light"/>
          <w:vertAlign w:val="baseline"/>
        </w:rPr>
        <w:t>in final monthly monitoring report survey, released September</w:t>
      </w:r>
      <w:r w:rsidR="00CB3806" w:rsidRPr="0052255F">
        <w:rPr>
          <w:rStyle w:val="EndnoteReference"/>
          <w:vertAlign w:val="baseline"/>
        </w:rPr>
        <w:t xml:space="preserve"> 2021</w:t>
      </w:r>
      <w:r w:rsidR="00CB3806" w:rsidRPr="0052255F">
        <w:rPr>
          <w:rStyle w:val="EndnoteReference"/>
          <w:rFonts w:ascii="Arial Nova Light" w:hAnsi="Arial Nova Light"/>
          <w:vertAlign w:val="baseline"/>
        </w:rPr>
        <w:t xml:space="preserve">. Total survey responses: 32 providers, 8 DHBs. </w:t>
      </w:r>
      <w:r w:rsidR="00CB3806" w:rsidRPr="0052255F">
        <w:rPr>
          <w:rStyle w:val="EndnoteReference"/>
          <w:vertAlign w:val="baseline"/>
        </w:rPr>
        <w:t>2</w:t>
      </w:r>
      <w:r w:rsidR="00CB3806" w:rsidRPr="0052255F">
        <w:rPr>
          <w:rStyle w:val="EndnoteReference"/>
          <w:rFonts w:ascii="Arial Nova Light" w:hAnsi="Arial Nova Light"/>
          <w:vertAlign w:val="baseline"/>
        </w:rPr>
        <w:t xml:space="preserve"> respondents chose not to answer this question.</w:t>
      </w:r>
    </w:p>
  </w:endnote>
  <w:endnote w:id="24">
    <w:p w14:paraId="11B8649F" w14:textId="791F61C9"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10/11 direct-funded provider and 12/21 DHB-funded provider respondents in </w:t>
      </w:r>
      <w:r w:rsidR="00CB3806" w:rsidRPr="0052255F">
        <w:rPr>
          <w:rStyle w:val="EndnoteReference"/>
          <w:rFonts w:ascii="Arial Nova Light" w:hAnsi="Arial Nova Light"/>
          <w:vertAlign w:val="baseline"/>
        </w:rPr>
        <w:t>indicated that they started administering flu vaccinations funded by MIMVP in June or earlier in final monthly monitoring report survey, released September 2021. Total survey responses: 32 providers, 8 DHBs. 2 respondents chose not to answer this question.</w:t>
      </w:r>
    </w:p>
  </w:endnote>
  <w:endnote w:id="25">
    <w:p w14:paraId="79479E8F" w14:textId="114E23D1"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9/11 direct-funded provider and </w:t>
      </w:r>
      <w:r w:rsidR="00672465" w:rsidRPr="0052255F">
        <w:rPr>
          <w:rStyle w:val="EndnoteReference"/>
          <w:vertAlign w:val="baseline"/>
        </w:rPr>
        <w:t>11</w:t>
      </w:r>
      <w:r w:rsidRPr="0052255F">
        <w:rPr>
          <w:rStyle w:val="EndnoteReference"/>
          <w:rFonts w:ascii="Arial Nova Light" w:hAnsi="Arial Nova Light"/>
          <w:vertAlign w:val="baseline"/>
        </w:rPr>
        <w:t xml:space="preserve">/21 DHB-funded provider respondents </w:t>
      </w:r>
      <w:r w:rsidR="00672465" w:rsidRPr="0052255F">
        <w:rPr>
          <w:rStyle w:val="EndnoteReference"/>
          <w:rFonts w:ascii="Arial Nova Light" w:hAnsi="Arial Nova Light"/>
          <w:vertAlign w:val="baseline"/>
        </w:rPr>
        <w:t xml:space="preserve">indicated that they started administering MMR vaccinations funded by MIMVP in May or earlier in final monthly monitoring report survey, released September 2021. Total survey responses: 32 providers, 8 DHBs. </w:t>
      </w:r>
      <w:r w:rsidR="00672465" w:rsidRPr="0052255F">
        <w:rPr>
          <w:rStyle w:val="EndnoteReference"/>
          <w:vertAlign w:val="baseline"/>
        </w:rPr>
        <w:t>4</w:t>
      </w:r>
      <w:r w:rsidR="00672465" w:rsidRPr="0052255F">
        <w:rPr>
          <w:rStyle w:val="EndnoteReference"/>
          <w:rFonts w:ascii="Arial Nova Light" w:hAnsi="Arial Nova Light"/>
          <w:vertAlign w:val="baseline"/>
        </w:rPr>
        <w:t xml:space="preserve"> respondents chose not to answer this question.</w:t>
      </w:r>
    </w:p>
  </w:endnote>
  <w:endnote w:id="26">
    <w:p w14:paraId="5FD96A66" w14:textId="691867DA"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w:t>
      </w:r>
      <w:r w:rsidR="00672465" w:rsidRPr="0052255F">
        <w:rPr>
          <w:rStyle w:val="EndnoteReference"/>
          <w:vertAlign w:val="baseline"/>
        </w:rPr>
        <w:t>11</w:t>
      </w:r>
      <w:r w:rsidRPr="0052255F">
        <w:rPr>
          <w:rStyle w:val="EndnoteReference"/>
          <w:rFonts w:ascii="Arial Nova Light" w:hAnsi="Arial Nova Light"/>
          <w:vertAlign w:val="baseline"/>
        </w:rPr>
        <w:t>/11 direct-funded provider respondents</w:t>
      </w:r>
      <w:r w:rsidR="00672465" w:rsidRPr="0052255F">
        <w:rPr>
          <w:rStyle w:val="EndnoteReference"/>
          <w:rFonts w:ascii="Arial Nova Light" w:hAnsi="Arial Nova Light"/>
          <w:vertAlign w:val="baseline"/>
        </w:rPr>
        <w:t xml:space="preserve"> indicated that they started administering flu vaccinations funded by MIMVP in M</w:t>
      </w:r>
      <w:r w:rsidR="00672465" w:rsidRPr="0052255F">
        <w:rPr>
          <w:rStyle w:val="EndnoteReference"/>
          <w:vertAlign w:val="baseline"/>
        </w:rPr>
        <w:t>ay</w:t>
      </w:r>
      <w:r w:rsidR="00672465" w:rsidRPr="0052255F">
        <w:rPr>
          <w:rStyle w:val="EndnoteReference"/>
          <w:rFonts w:ascii="Arial Nova Light" w:hAnsi="Arial Nova Light"/>
          <w:vertAlign w:val="baseline"/>
        </w:rPr>
        <w:t xml:space="preserve"> or earlier in final monthly monitoring report survey, released September 2021. Total survey responses: 32 providers, 8 DHBs. 2 respondents chose not to answer this question.</w:t>
      </w:r>
    </w:p>
  </w:endnote>
  <w:endnote w:id="27">
    <w:p w14:paraId="33E86427" w14:textId="3D7B8AB2"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5/11 direct-funded provider respondents </w:t>
      </w:r>
      <w:r w:rsidR="00711A19" w:rsidRPr="0052255F">
        <w:rPr>
          <w:rStyle w:val="EndnoteReference"/>
          <w:rFonts w:ascii="Arial Nova Light" w:hAnsi="Arial Nova Light"/>
          <w:vertAlign w:val="baseline"/>
        </w:rPr>
        <w:t xml:space="preserve">indicated that they started </w:t>
      </w:r>
      <w:r w:rsidR="00711A19" w:rsidRPr="0052255F">
        <w:rPr>
          <w:rStyle w:val="EndnoteReference"/>
          <w:vertAlign w:val="baseline"/>
        </w:rPr>
        <w:t>MIMVP-funded activities after the contract was confirmed but before they received funding</w:t>
      </w:r>
      <w:r w:rsidR="00711A19" w:rsidRPr="0052255F">
        <w:rPr>
          <w:rStyle w:val="EndnoteReference"/>
          <w:rFonts w:ascii="Arial Nova Light" w:hAnsi="Arial Nova Light"/>
          <w:vertAlign w:val="baseline"/>
        </w:rPr>
        <w:t xml:space="preserve"> in final monthly monitoring report survey, released September 2021. Total survey responses: 32 providers, 8 DHBs. </w:t>
      </w:r>
      <w:r w:rsidR="00711A19" w:rsidRPr="0052255F">
        <w:rPr>
          <w:rStyle w:val="EndnoteReference"/>
          <w:vertAlign w:val="baseline"/>
        </w:rPr>
        <w:t>2</w:t>
      </w:r>
      <w:r w:rsidR="00711A19" w:rsidRPr="0052255F">
        <w:rPr>
          <w:rStyle w:val="EndnoteReference"/>
          <w:rFonts w:ascii="Arial Nova Light" w:hAnsi="Arial Nova Light"/>
          <w:vertAlign w:val="baseline"/>
        </w:rPr>
        <w:t xml:space="preserve"> respondents chose not to answer this question.</w:t>
      </w:r>
    </w:p>
  </w:endnote>
  <w:endnote w:id="28">
    <w:p w14:paraId="272F4496" w14:textId="60369C98" w:rsidR="001F1EAA" w:rsidRPr="0052255F" w:rsidRDefault="001F1EAA">
      <w:pPr>
        <w:pStyle w:val="EndnoteText"/>
        <w:rPr>
          <w:lang w:val="mi-NZ"/>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11 direct-funded provider and 21 DHB-funded provider respondents in final monthly monitoring report survey, released September 2021. Total survey responses: 32 providers, 8 DHBs. 4 respondents chose not to answer this question.</w:t>
      </w:r>
    </w:p>
  </w:endnote>
  <w:endnote w:id="29">
    <w:p w14:paraId="6DF19ABC" w14:textId="77777777" w:rsidR="00886DCA" w:rsidRPr="0052255F" w:rsidRDefault="00886DCA" w:rsidP="00886DCA">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11 direct-funded provider and 21 DHB-funded provider respondents in final monthly monitoring report survey, released September 2021. Total survey responses: 32 providers, 8 DHBs. 4 respondents chose not to answer this question.</w:t>
      </w:r>
    </w:p>
  </w:endnote>
  <w:endnote w:id="30">
    <w:p w14:paraId="722DF401" w14:textId="77777777" w:rsidR="00886DCA" w:rsidRPr="0052255F" w:rsidRDefault="00886DCA" w:rsidP="00886DCA">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11 direct-funded provider and 21 DHB-funded provider respondents in final monthly monitoring report survey, released September 2021. Total survey responses: 32 providers, 8 DHBs. 4 respondents chose not to answer this question.</w:t>
      </w:r>
    </w:p>
  </w:endnote>
  <w:endnote w:id="31">
    <w:p w14:paraId="5C03B30C" w14:textId="2B3205C2"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16/32 provider respondents </w:t>
      </w:r>
      <w:r w:rsidR="00D240DE" w:rsidRPr="0052255F">
        <w:rPr>
          <w:rStyle w:val="EndnoteReference"/>
          <w:rFonts w:ascii="Arial Nova Light" w:hAnsi="Arial Nova Light"/>
          <w:vertAlign w:val="baseline"/>
        </w:rPr>
        <w:t>indicated that i</w:t>
      </w:r>
      <w:r w:rsidR="00D240DE" w:rsidRPr="0052255F">
        <w:rPr>
          <w:rStyle w:val="EndnoteReference"/>
          <w:vertAlign w:val="baseline"/>
        </w:rPr>
        <w:t>f they were to deliver MIMVP activities in 2022 they would prefer to contract and be funded directly with the Ministry</w:t>
      </w:r>
      <w:r w:rsidR="00D240DE" w:rsidRPr="0052255F">
        <w:rPr>
          <w:rStyle w:val="EndnoteReference"/>
          <w:rFonts w:ascii="Arial Nova Light" w:hAnsi="Arial Nova Light"/>
          <w:vertAlign w:val="baseline"/>
        </w:rPr>
        <w:t xml:space="preserve"> in final monthly monitoring report survey, released September 2021. Total survey responses: 32 providers, 8 DHBs. </w:t>
      </w:r>
      <w:r w:rsidR="00D240DE" w:rsidRPr="0052255F">
        <w:rPr>
          <w:rStyle w:val="EndnoteReference"/>
          <w:vertAlign w:val="baseline"/>
        </w:rPr>
        <w:t>4</w:t>
      </w:r>
      <w:r w:rsidR="00D240DE" w:rsidRPr="0052255F">
        <w:rPr>
          <w:rStyle w:val="EndnoteReference"/>
          <w:rFonts w:ascii="Arial Nova Light" w:hAnsi="Arial Nova Light"/>
          <w:vertAlign w:val="baseline"/>
        </w:rPr>
        <w:t xml:space="preserve"> respondents chose not to answer this question.</w:t>
      </w:r>
    </w:p>
  </w:endnote>
  <w:endnote w:id="32">
    <w:p w14:paraId="1796E140" w14:textId="75F73431"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7/11 direct-funded provider respondents </w:t>
      </w:r>
      <w:r w:rsidR="00D240DE" w:rsidRPr="0052255F">
        <w:rPr>
          <w:rStyle w:val="EndnoteReference"/>
          <w:rFonts w:ascii="Arial Nova Light" w:hAnsi="Arial Nova Light"/>
          <w:vertAlign w:val="baseline"/>
        </w:rPr>
        <w:t>indicated that i</w:t>
      </w:r>
      <w:r w:rsidR="00D240DE" w:rsidRPr="0052255F">
        <w:rPr>
          <w:rStyle w:val="EndnoteReference"/>
          <w:vertAlign w:val="baseline"/>
        </w:rPr>
        <w:t>f they were to deliver MIMVP activities in 2022 they would prefer to contract and be funded directly with the Ministry</w:t>
      </w:r>
      <w:r w:rsidR="00D240DE" w:rsidRPr="0052255F">
        <w:rPr>
          <w:rStyle w:val="EndnoteReference"/>
          <w:rFonts w:ascii="Arial Nova Light" w:hAnsi="Arial Nova Light"/>
          <w:vertAlign w:val="baseline"/>
        </w:rPr>
        <w:t xml:space="preserve"> in final monthly monitoring report survey, released September 2021. Total survey responses: 32 providers, 8 DHBs. </w:t>
      </w:r>
      <w:r w:rsidR="00D240DE" w:rsidRPr="0052255F">
        <w:rPr>
          <w:rStyle w:val="EndnoteReference"/>
          <w:vertAlign w:val="baseline"/>
        </w:rPr>
        <w:t>2</w:t>
      </w:r>
      <w:r w:rsidR="00D240DE" w:rsidRPr="0052255F">
        <w:rPr>
          <w:rStyle w:val="EndnoteReference"/>
          <w:rFonts w:ascii="Arial Nova Light" w:hAnsi="Arial Nova Light"/>
          <w:vertAlign w:val="baseline"/>
        </w:rPr>
        <w:t xml:space="preserve"> respondents chose not to answer this question.</w:t>
      </w:r>
    </w:p>
  </w:endnote>
  <w:endnote w:id="33">
    <w:p w14:paraId="464FA405" w14:textId="19FCD995"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9/21, 5/</w:t>
      </w:r>
      <w:r w:rsidR="00F67D00" w:rsidRPr="0052255F">
        <w:rPr>
          <w:rStyle w:val="EndnoteReference"/>
          <w:vertAlign w:val="baseline"/>
        </w:rPr>
        <w:t>21</w:t>
      </w:r>
      <w:r w:rsidRPr="0052255F">
        <w:rPr>
          <w:rStyle w:val="EndnoteReference"/>
          <w:rFonts w:ascii="Arial Nova Light" w:hAnsi="Arial Nova Light"/>
          <w:vertAlign w:val="baseline"/>
        </w:rPr>
        <w:t>. 4/</w:t>
      </w:r>
      <w:r w:rsidR="00F67D00" w:rsidRPr="0052255F">
        <w:rPr>
          <w:rStyle w:val="EndnoteReference"/>
          <w:vertAlign w:val="baseline"/>
        </w:rPr>
        <w:t>21</w:t>
      </w:r>
      <w:r w:rsidRPr="0052255F">
        <w:rPr>
          <w:rStyle w:val="EndnoteReference"/>
          <w:rFonts w:ascii="Arial Nova Light" w:hAnsi="Arial Nova Light"/>
          <w:vertAlign w:val="baseline"/>
        </w:rPr>
        <w:t xml:space="preserve"> DHB-funded provider respondents </w:t>
      </w:r>
      <w:r w:rsidR="00D240DE" w:rsidRPr="0052255F">
        <w:rPr>
          <w:rStyle w:val="EndnoteReference"/>
          <w:rFonts w:ascii="Arial Nova Light" w:hAnsi="Arial Nova Light"/>
          <w:vertAlign w:val="baseline"/>
        </w:rPr>
        <w:t>indicated that if they were to deliver MIMVP activities in 2022 they would prefer to contract and be funded directly with the Ministry</w:t>
      </w:r>
      <w:r w:rsidR="00F67D00" w:rsidRPr="0052255F">
        <w:rPr>
          <w:rStyle w:val="EndnoteReference"/>
          <w:rFonts w:ascii="Arial Nova Light" w:hAnsi="Arial Nova Light"/>
          <w:vertAlign w:val="baseline"/>
        </w:rPr>
        <w:t>, through their DHB or that they didn’t know (respectively)</w:t>
      </w:r>
      <w:r w:rsidR="00D240DE" w:rsidRPr="0052255F">
        <w:rPr>
          <w:rStyle w:val="EndnoteReference"/>
          <w:rFonts w:ascii="Arial Nova Light" w:hAnsi="Arial Nova Light"/>
          <w:vertAlign w:val="baseline"/>
        </w:rPr>
        <w:t xml:space="preserve"> in final monthly monitoring report survey, released September 2021. Total survey responses: 32 providers, 8 DHBs. 2 respondents chose not to answer this question.</w:t>
      </w:r>
    </w:p>
  </w:endnote>
  <w:endnote w:id="34">
    <w:p w14:paraId="7DAEF964" w14:textId="77777777" w:rsidR="00D75451" w:rsidRPr="0052255F" w:rsidRDefault="00D75451" w:rsidP="00D75451">
      <w:pPr>
        <w:pStyle w:val="EndnoteText"/>
        <w:rPr>
          <w:lang w:val="mi-NZ"/>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11 direct-funded provider and 21 DHB-funded provider respondents in final monthly monitoring report survey, released September 2021. Total survey responses: 32 providers, 8 DHBs. 4 respondents chose not to answer this question.</w:t>
      </w:r>
    </w:p>
  </w:endnote>
  <w:endnote w:id="35">
    <w:p w14:paraId="04582D63" w14:textId="629E09F0" w:rsidR="00362977" w:rsidRPr="0052255F" w:rsidRDefault="00362977">
      <w:pPr>
        <w:pStyle w:val="EndnoteText"/>
        <w:rPr>
          <w:lang w:val="mi-NZ"/>
        </w:rPr>
      </w:pPr>
      <w:r w:rsidRPr="0052255F">
        <w:rPr>
          <w:rStyle w:val="EndnoteReference"/>
          <w:vertAlign w:val="baseline"/>
        </w:rPr>
        <w:endnoteRef/>
      </w:r>
      <w:r w:rsidRPr="0052255F">
        <w:t xml:space="preserve"> </w:t>
      </w:r>
      <w:r w:rsidR="002B1BB9" w:rsidRPr="0052255F">
        <w:rPr>
          <w:rStyle w:val="EndnoteReference"/>
          <w:rFonts w:ascii="Arial Nova Light" w:hAnsi="Arial Nova Light"/>
          <w:vertAlign w:val="baseline"/>
        </w:rPr>
        <w:t>14/32 provider respondents indicated that having sufficient vaccinator staff significantly affected their ability to implement their MIMVP-funded plan in 2021</w:t>
      </w:r>
      <w:r w:rsidR="002B1BB9" w:rsidRPr="0052255F">
        <w:rPr>
          <w:rFonts w:ascii="Arial Nova Light" w:hAnsi="Arial Nova Light"/>
        </w:rPr>
        <w:t xml:space="preserve"> </w:t>
      </w:r>
      <w:r w:rsidRPr="0052255F">
        <w:rPr>
          <w:rStyle w:val="EndnoteReference"/>
          <w:rFonts w:ascii="Arial Nova Light" w:hAnsi="Arial Nova Light"/>
          <w:vertAlign w:val="baseline"/>
        </w:rPr>
        <w:t xml:space="preserve">in final monthly monitoring report survey, released September 2021. Total survey responses: 32 providers, 8 DHBs. </w:t>
      </w:r>
      <w:r w:rsidR="002B1BB9" w:rsidRPr="0052255F">
        <w:rPr>
          <w:rStyle w:val="EndnoteReference"/>
          <w:rFonts w:ascii="Arial Nova Light" w:hAnsi="Arial Nova Light"/>
          <w:vertAlign w:val="baseline"/>
        </w:rPr>
        <w:t>8</w:t>
      </w:r>
      <w:r w:rsidRPr="0052255F">
        <w:rPr>
          <w:rStyle w:val="EndnoteReference"/>
          <w:rFonts w:ascii="Arial Nova Light" w:hAnsi="Arial Nova Light"/>
          <w:vertAlign w:val="baseline"/>
        </w:rPr>
        <w:t xml:space="preserve"> respondents chose not to answer this question.</w:t>
      </w:r>
    </w:p>
  </w:endnote>
  <w:endnote w:id="36">
    <w:p w14:paraId="202BD767" w14:textId="2500F47D" w:rsidR="001213D7" w:rsidRPr="0052255F" w:rsidRDefault="001213D7">
      <w:pPr>
        <w:pStyle w:val="EndnoteText"/>
        <w:rPr>
          <w:lang w:val="mi-NZ"/>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5</w:t>
      </w:r>
      <w:r w:rsidRPr="0052255F">
        <w:rPr>
          <w:rStyle w:val="EndnoteReference"/>
          <w:vertAlign w:val="baseline"/>
        </w:rPr>
        <w:t>/21 DHB-funded and 0/11 direct-funded</w:t>
      </w:r>
      <w:r w:rsidRPr="0052255F">
        <w:rPr>
          <w:rStyle w:val="EndnoteReference"/>
          <w:rFonts w:ascii="Arial Nova Light" w:hAnsi="Arial Nova Light"/>
          <w:vertAlign w:val="baseline"/>
        </w:rPr>
        <w:t xml:space="preserve"> provider respondents indicated that they had lost vaccinator staff, 3/21 DHB-funded and 1/11 direct-funded provider respondents indicated that they had lost administrative or operation support staff in final monthly monitoring report survey, released September 2021. Total survey responses: 32 providers, 8 DHBs. </w:t>
      </w:r>
      <w:r w:rsidRPr="0052255F">
        <w:rPr>
          <w:rStyle w:val="EndnoteReference"/>
          <w:vertAlign w:val="baseline"/>
        </w:rPr>
        <w:t>6</w:t>
      </w:r>
      <w:r w:rsidRPr="0052255F">
        <w:rPr>
          <w:rStyle w:val="EndnoteReference"/>
          <w:rFonts w:ascii="Arial Nova Light" w:hAnsi="Arial Nova Light"/>
          <w:vertAlign w:val="baseline"/>
        </w:rPr>
        <w:t xml:space="preserve"> respondents chose not to answer this question.</w:t>
      </w:r>
    </w:p>
  </w:endnote>
  <w:endnote w:id="37">
    <w:p w14:paraId="296E3576" w14:textId="091004F5" w:rsidR="001213D7" w:rsidRPr="0052255F" w:rsidRDefault="001213D7">
      <w:pPr>
        <w:pStyle w:val="EndnoteText"/>
        <w:rPr>
          <w:lang w:val="mi-NZ"/>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1</w:t>
      </w:r>
      <w:r w:rsidRPr="0052255F">
        <w:rPr>
          <w:rStyle w:val="EndnoteReference"/>
          <w:vertAlign w:val="baseline"/>
        </w:rPr>
        <w:t xml:space="preserve">8/32, 17/32, 14/32, 12/32 </w:t>
      </w:r>
      <w:r w:rsidRPr="0052255F">
        <w:rPr>
          <w:rStyle w:val="EndnoteReference"/>
          <w:rFonts w:ascii="Arial Nova Light" w:hAnsi="Arial Nova Light"/>
          <w:vertAlign w:val="baseline"/>
        </w:rPr>
        <w:t>provider respondents indicated that they</w:t>
      </w:r>
      <w:r w:rsidRPr="0052255F">
        <w:rPr>
          <w:rStyle w:val="EndnoteReference"/>
          <w:vertAlign w:val="baseline"/>
        </w:rPr>
        <w:t xml:space="preserve"> had hired new vaccinator staff, attended or delivered flu vaccinator training, hired new administrative or operation support staff, attended or facilitated flu vaccination planning sessions (respectively)</w:t>
      </w:r>
      <w:r w:rsidRPr="0052255F">
        <w:rPr>
          <w:rStyle w:val="EndnoteReference"/>
          <w:rFonts w:ascii="Arial Nova Light" w:hAnsi="Arial Nova Light"/>
          <w:vertAlign w:val="baseline"/>
        </w:rPr>
        <w:t xml:space="preserve"> in final monthly monitoring report survey, released September 2021. Total survey responses: 32 providers, 8 DHBs. 6 respondents chose not to answer this question.</w:t>
      </w:r>
    </w:p>
  </w:endnote>
  <w:endnote w:id="38">
    <w:p w14:paraId="39876C43" w14:textId="124E7B8F" w:rsidR="000E558B" w:rsidRPr="0052255F" w:rsidRDefault="000E558B">
      <w:pPr>
        <w:pStyle w:val="EndnoteText"/>
        <w:rPr>
          <w:rStyle w:val="EndnoteReference"/>
          <w:rFonts w:ascii="Arial Nova Light" w:hAnsi="Arial Nova Light"/>
          <w:vertAlign w:val="baseline"/>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1</w:t>
      </w:r>
      <w:r w:rsidRPr="0052255F">
        <w:rPr>
          <w:rStyle w:val="EndnoteReference"/>
          <w:vertAlign w:val="baseline"/>
        </w:rPr>
        <w:t>3/3</w:t>
      </w:r>
      <w:r w:rsidRPr="0052255F">
        <w:rPr>
          <w:rStyle w:val="EndnoteReference"/>
          <w:rFonts w:ascii="Arial Nova Light" w:hAnsi="Arial Nova Light"/>
          <w:vertAlign w:val="baseline"/>
        </w:rPr>
        <w:t>2 p</w:t>
      </w:r>
      <w:r w:rsidRPr="0052255F">
        <w:rPr>
          <w:rStyle w:val="EndnoteReference"/>
          <w:vertAlign w:val="baseline"/>
        </w:rPr>
        <w:t xml:space="preserve">rovider </w:t>
      </w:r>
      <w:r w:rsidRPr="0052255F">
        <w:rPr>
          <w:rStyle w:val="EndnoteReference"/>
          <w:rFonts w:ascii="Arial Nova Light" w:hAnsi="Arial Nova Light"/>
          <w:vertAlign w:val="baseline"/>
        </w:rPr>
        <w:t>respondents indicated that finding available spots in other relevant (non-vaccination specific) training for staff significantly affected their ability to implement their MIMVP-funded plan in 2021 in final monthly monitoring report survey, released September 2021. Total survey responses: 32 providers, 8 DHBs. 9 respondents chose not to answer this question.</w:t>
      </w:r>
    </w:p>
  </w:endnote>
  <w:endnote w:id="39">
    <w:p w14:paraId="3F66FBE5" w14:textId="14E2CF68" w:rsidR="000E558B" w:rsidRPr="0052255F" w:rsidRDefault="000E558B">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6/21 DHB-funded provider respondents indicated that finding time to send staff to other relevant training for staff significantly affected their ability to implement their MIMVP-funded plan in 2021 in final monthly monitoring report survey, released September 2021. Total survey responses: 32 providers, 8 DHBs. 9 respondents chose not to answer this question.</w:t>
      </w:r>
    </w:p>
  </w:endnote>
  <w:endnote w:id="40">
    <w:p w14:paraId="20ADCB0B" w14:textId="2C67FEA7" w:rsidR="000E558B" w:rsidRPr="0052255F" w:rsidRDefault="000E558B">
      <w:pPr>
        <w:pStyle w:val="EndnoteText"/>
        <w:rPr>
          <w:lang w:val="mi-NZ"/>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4/11 direct-funded provider respondents indicated that finding time to send staff to vaccination-specific training significantly affected their ability to implement their MIMVP-funded plan in 2021 in final monthly monitoring report survey, released September 2021. Total survey responses: 32 providers, 8 DHBs. 9 respondents chose not to answer this question.</w:t>
      </w:r>
    </w:p>
  </w:endnote>
  <w:endnote w:id="41">
    <w:p w14:paraId="7AF97297" w14:textId="0E98CF8C" w:rsidR="000E558B" w:rsidRPr="0052255F" w:rsidRDefault="000E558B">
      <w:pPr>
        <w:pStyle w:val="EndnoteText"/>
        <w:rPr>
          <w:lang w:val="mi-NZ"/>
        </w:rPr>
      </w:pPr>
      <w:r w:rsidRPr="0052255F">
        <w:rPr>
          <w:rStyle w:val="EndnoteReference"/>
          <w:vertAlign w:val="baseline"/>
        </w:rPr>
        <w:endnoteRef/>
      </w:r>
      <w:r w:rsidRPr="0052255F">
        <w:t xml:space="preserve"> </w:t>
      </w:r>
      <w:r w:rsidR="00D23177" w:rsidRPr="0052255F">
        <w:rPr>
          <w:rStyle w:val="EndnoteReference"/>
          <w:rFonts w:ascii="Arial Nova Light" w:hAnsi="Arial Nova Light"/>
          <w:vertAlign w:val="baseline"/>
        </w:rPr>
        <w:t>11</w:t>
      </w:r>
      <w:r w:rsidRPr="0052255F">
        <w:rPr>
          <w:rStyle w:val="EndnoteReference"/>
          <w:rFonts w:ascii="Arial Nova Light" w:hAnsi="Arial Nova Light"/>
          <w:vertAlign w:val="baseline"/>
        </w:rPr>
        <w:t>/32</w:t>
      </w:r>
      <w:r w:rsidR="00D23177" w:rsidRPr="0052255F">
        <w:rPr>
          <w:rStyle w:val="EndnoteReference"/>
          <w:rFonts w:ascii="Arial Nova Light" w:hAnsi="Arial Nova Light"/>
          <w:vertAlign w:val="baseline"/>
        </w:rPr>
        <w:t>,</w:t>
      </w:r>
      <w:r w:rsidR="00D23177" w:rsidRPr="0052255F">
        <w:rPr>
          <w:rStyle w:val="EndnoteReference"/>
          <w:vertAlign w:val="baseline"/>
        </w:rPr>
        <w:t xml:space="preserve"> 10/32, 8/32</w:t>
      </w:r>
      <w:r w:rsidRPr="0052255F">
        <w:rPr>
          <w:rStyle w:val="EndnoteReference"/>
          <w:rFonts w:ascii="Arial Nova Light" w:hAnsi="Arial Nova Light"/>
          <w:vertAlign w:val="baseline"/>
        </w:rPr>
        <w:t xml:space="preserve"> provider respondents indicated that </w:t>
      </w:r>
      <w:r w:rsidR="00D23177" w:rsidRPr="0052255F">
        <w:rPr>
          <w:rStyle w:val="EndnoteReference"/>
          <w:rFonts w:ascii="Arial Nova Light" w:hAnsi="Arial Nova Light"/>
          <w:vertAlign w:val="baseline"/>
        </w:rPr>
        <w:t>f</w:t>
      </w:r>
      <w:r w:rsidR="00D23177" w:rsidRPr="0052255F">
        <w:rPr>
          <w:rStyle w:val="EndnoteReference"/>
          <w:vertAlign w:val="baseline"/>
        </w:rPr>
        <w:t>inding or recruiting new staff to administer vaccines, keeping or retaining staff who administer vaccines, and finding or recruiting new administrative or operation staff (respectively)</w:t>
      </w:r>
      <w:r w:rsidRPr="0052255F">
        <w:rPr>
          <w:rStyle w:val="EndnoteReference"/>
          <w:rFonts w:ascii="Arial Nova Light" w:hAnsi="Arial Nova Light"/>
          <w:vertAlign w:val="baseline"/>
        </w:rPr>
        <w:t xml:space="preserve"> significantly affected their ability to implement their MIMVP-funded plan in 2021 in final monthly monitoring report survey, released September 2021. Total survey responses: 32 providers, 8 DHBs. </w:t>
      </w:r>
      <w:r w:rsidRPr="0052255F">
        <w:rPr>
          <w:rStyle w:val="EndnoteReference"/>
          <w:vertAlign w:val="baseline"/>
        </w:rPr>
        <w:t>8</w:t>
      </w:r>
      <w:r w:rsidRPr="0052255F">
        <w:rPr>
          <w:rStyle w:val="EndnoteReference"/>
          <w:rFonts w:ascii="Arial Nova Light" w:hAnsi="Arial Nova Light"/>
          <w:vertAlign w:val="baseline"/>
        </w:rPr>
        <w:t xml:space="preserve"> respondents chose not to answer this question.</w:t>
      </w:r>
    </w:p>
  </w:endnote>
  <w:endnote w:id="42">
    <w:p w14:paraId="135505CE" w14:textId="77777777" w:rsidR="00E508C5" w:rsidRPr="0052255F" w:rsidRDefault="00E508C5" w:rsidP="00E508C5">
      <w:pPr>
        <w:pStyle w:val="EndnoteText"/>
        <w:rPr>
          <w:rFonts w:ascii="Arial Nova Light" w:hAnsi="Arial Nova Light"/>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24/32, 23/32, 23/32, 23/32</w:t>
      </w:r>
      <w:r w:rsidRPr="0052255F">
        <w:rPr>
          <w:rStyle w:val="EndnoteReference"/>
          <w:vertAlign w:val="baseline"/>
        </w:rPr>
        <w:t xml:space="preserve"> provider</w:t>
      </w:r>
      <w:r w:rsidRPr="0052255F">
        <w:rPr>
          <w:rStyle w:val="EndnoteReference"/>
          <w:rFonts w:ascii="Arial Nova Light" w:hAnsi="Arial Nova Light"/>
          <w:vertAlign w:val="baseline"/>
        </w:rPr>
        <w:t xml:space="preserve"> respondents indicated that they believe that the following Whakamaua objectives are evident in the MIMVP: speed up and spread the delivery of kaupapa Māori and whānau-centred services, shift cultural and social norms, strengthen system accountability settings, reduce health inequities and health loss for Māori (respectively) in final monthly monitoring report survey, released September 2021. Total survey responses: 32 providers, 8 DHBs. 4 respondents chose not to answer this question.</w:t>
      </w:r>
    </w:p>
  </w:endnote>
  <w:endnote w:id="43">
    <w:p w14:paraId="57AABB52" w14:textId="420182E2"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An average of </w:t>
      </w:r>
      <w:r w:rsidR="00F67D00" w:rsidRPr="0052255F">
        <w:rPr>
          <w:rStyle w:val="EndnoteReference"/>
          <w:rFonts w:ascii="Arial Nova Light" w:hAnsi="Arial Nova Light"/>
          <w:vertAlign w:val="baseline"/>
        </w:rPr>
        <w:t>5</w:t>
      </w:r>
      <w:r w:rsidR="00F67D00" w:rsidRPr="0052255F">
        <w:rPr>
          <w:rStyle w:val="EndnoteReference"/>
          <w:vertAlign w:val="baseline"/>
        </w:rPr>
        <w:t>.8</w:t>
      </w:r>
      <w:r w:rsidRPr="0052255F">
        <w:rPr>
          <w:rStyle w:val="EndnoteReference"/>
          <w:rFonts w:ascii="Arial Nova Light" w:hAnsi="Arial Nova Light"/>
          <w:vertAlign w:val="baseline"/>
        </w:rPr>
        <w:t xml:space="preserve"> channels per provider, based on provider respondents in final monthly monitoring report survey, released September 2021. Total survey responses: 32 providers, 8 DHBs. 2 respondents chose not to answer this question.</w:t>
      </w:r>
    </w:p>
  </w:endnote>
  <w:endnote w:id="44">
    <w:p w14:paraId="2079D463" w14:textId="582D6C13"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25/32, 25/32, 22/32 respondents </w:t>
      </w:r>
      <w:r w:rsidR="00F67D00" w:rsidRPr="0052255F">
        <w:rPr>
          <w:rStyle w:val="EndnoteReference"/>
          <w:vertAlign w:val="baseline"/>
        </w:rPr>
        <w:t xml:space="preserve">indicated that they used </w:t>
      </w:r>
      <w:r w:rsidR="00F67D00" w:rsidRPr="0052255F">
        <w:rPr>
          <w:rStyle w:val="EndnoteReference"/>
          <w:rFonts w:ascii="Arial Nova Light" w:hAnsi="Arial Nova Light"/>
          <w:vertAlign w:val="baseline"/>
        </w:rPr>
        <w:t xml:space="preserve">direct communication (phone), social media posts from their organisation, and just having a presence in the community (respectively) </w:t>
      </w:r>
      <w:r w:rsidRPr="0052255F">
        <w:rPr>
          <w:rStyle w:val="EndnoteReference"/>
          <w:rFonts w:ascii="Arial Nova Light" w:hAnsi="Arial Nova Light"/>
          <w:vertAlign w:val="baseline"/>
        </w:rPr>
        <w:t xml:space="preserve">in final monthly monitoring report survey, released September 2021. Total survey responses: 32 providers, 8 DHBs. </w:t>
      </w:r>
      <w:r w:rsidR="00F67D00" w:rsidRPr="0052255F">
        <w:rPr>
          <w:rStyle w:val="EndnoteReference"/>
          <w:rFonts w:ascii="Arial Nova Light" w:hAnsi="Arial Nova Light"/>
          <w:vertAlign w:val="baseline"/>
        </w:rPr>
        <w:t>3</w:t>
      </w:r>
      <w:r w:rsidRPr="0052255F">
        <w:rPr>
          <w:rStyle w:val="EndnoteReference"/>
          <w:rFonts w:ascii="Arial Nova Light" w:hAnsi="Arial Nova Light"/>
          <w:vertAlign w:val="baseline"/>
        </w:rPr>
        <w:t xml:space="preserve"> respondents chose not to answer this question</w:t>
      </w:r>
      <w:r w:rsidR="00E12CA7" w:rsidRPr="0052255F">
        <w:rPr>
          <w:rStyle w:val="EndnoteReference"/>
          <w:vertAlign w:val="baseline"/>
        </w:rPr>
        <w:t>.</w:t>
      </w:r>
    </w:p>
  </w:endnote>
  <w:endnote w:id="45">
    <w:p w14:paraId="20CADC4F" w14:textId="62E3E35D"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19/32, 18/32, 17/32 respondents </w:t>
      </w:r>
      <w:r w:rsidR="00E12CA7" w:rsidRPr="0052255F">
        <w:rPr>
          <w:rStyle w:val="EndnoteReference"/>
          <w:rFonts w:ascii="Arial Nova Light" w:hAnsi="Arial Nova Light"/>
          <w:vertAlign w:val="baseline"/>
        </w:rPr>
        <w:t>indicated that they used messages through trusted Māori contacts (e.g. iwi, marae), messages through other networks (e.g. school, workplaces, sport groups) and direct communication (home visits) (respectively) in final monthly monitoring report survey, released September 2021. Total survey responses: 32 providers, 8 DHBs. 3 respondents chose not to answer this question</w:t>
      </w:r>
      <w:r w:rsidR="00E12CA7" w:rsidRPr="0052255F">
        <w:rPr>
          <w:rStyle w:val="EndnoteReference"/>
          <w:vertAlign w:val="baseline"/>
        </w:rPr>
        <w:t>.</w:t>
      </w:r>
    </w:p>
  </w:endnote>
  <w:endnote w:id="46">
    <w:p w14:paraId="0B85FD79" w14:textId="7336EE4E"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13/32, 13/32, 12/32, 10/32 respondents </w:t>
      </w:r>
      <w:r w:rsidR="00E12CA7" w:rsidRPr="0052255F">
        <w:rPr>
          <w:rStyle w:val="EndnoteReference"/>
          <w:rFonts w:ascii="Arial Nova Light" w:hAnsi="Arial Nova Light"/>
          <w:vertAlign w:val="baseline"/>
        </w:rPr>
        <w:t>indicated that they used ads on social media, messages through newsletters, direct communication (email) and ads on other media (</w:t>
      </w:r>
      <w:r w:rsidR="00E12CA7" w:rsidRPr="0052255F">
        <w:rPr>
          <w:rStyle w:val="EndnoteReference"/>
          <w:vertAlign w:val="baseline"/>
        </w:rPr>
        <w:t xml:space="preserve">e.g. radio, television, newspaper, community newsletters) </w:t>
      </w:r>
      <w:r w:rsidR="00E12CA7" w:rsidRPr="0052255F">
        <w:rPr>
          <w:rStyle w:val="EndnoteReference"/>
          <w:rFonts w:ascii="Arial Nova Light" w:hAnsi="Arial Nova Light"/>
          <w:vertAlign w:val="baseline"/>
        </w:rPr>
        <w:t>(respectively) in final monthly monitoring report survey, released September 2021. Total survey responses: 32 providers, 8 DHBs. 3 respondents chose not to answer this question</w:t>
      </w:r>
      <w:r w:rsidR="00E12CA7" w:rsidRPr="0052255F">
        <w:rPr>
          <w:rStyle w:val="EndnoteReference"/>
          <w:vertAlign w:val="baseline"/>
        </w:rPr>
        <w:t>.</w:t>
      </w:r>
      <w:r w:rsidR="00E12CA7" w:rsidRPr="0052255F">
        <w:rPr>
          <w:rFonts w:ascii="Arial Nova Light" w:hAnsi="Arial Nova Light"/>
        </w:rPr>
        <w:t xml:space="preserve"> </w:t>
      </w:r>
    </w:p>
  </w:endnote>
  <w:endnote w:id="47">
    <w:p w14:paraId="1EB993C4" w14:textId="724127B4"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Provider respondents in final monthly monitoring report survey, released September 2021. Total survey responses: 32 providers, 8 DHBs. </w:t>
      </w:r>
      <w:r w:rsidR="005A4EE9" w:rsidRPr="0052255F">
        <w:rPr>
          <w:rStyle w:val="EndnoteReference"/>
          <w:rFonts w:ascii="Arial Nova Light" w:hAnsi="Arial Nova Light"/>
          <w:vertAlign w:val="baseline"/>
        </w:rPr>
        <w:t>3</w:t>
      </w:r>
      <w:r w:rsidRPr="0052255F">
        <w:rPr>
          <w:rStyle w:val="EndnoteReference"/>
          <w:rFonts w:ascii="Arial Nova Light" w:hAnsi="Arial Nova Light"/>
          <w:vertAlign w:val="baseline"/>
        </w:rPr>
        <w:t xml:space="preserve"> respondents chose not to answer this question.</w:t>
      </w:r>
    </w:p>
  </w:endnote>
  <w:endnote w:id="48">
    <w:p w14:paraId="5DF079A7" w14:textId="549253A3"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An average of </w:t>
      </w:r>
      <w:r w:rsidR="005A4EE9" w:rsidRPr="0052255F">
        <w:rPr>
          <w:rStyle w:val="EndnoteReference"/>
          <w:rFonts w:ascii="Arial Nova Light" w:hAnsi="Arial Nova Light"/>
          <w:vertAlign w:val="baseline"/>
        </w:rPr>
        <w:t>3</w:t>
      </w:r>
      <w:r w:rsidR="005A4EE9" w:rsidRPr="0052255F">
        <w:rPr>
          <w:rStyle w:val="EndnoteReference"/>
          <w:vertAlign w:val="baseline"/>
        </w:rPr>
        <w:t>.8</w:t>
      </w:r>
      <w:r w:rsidRPr="0052255F">
        <w:rPr>
          <w:rStyle w:val="EndnoteReference"/>
          <w:rFonts w:ascii="Arial Nova Light" w:hAnsi="Arial Nova Light"/>
          <w:vertAlign w:val="baseline"/>
        </w:rPr>
        <w:t xml:space="preserve"> channels per provider, based on provider respondents in final monthly monitoring report survey, released September 2021. Total survey responses: 32 providers, 8 DHBs. </w:t>
      </w:r>
      <w:r w:rsidR="005A4EE9" w:rsidRPr="0052255F">
        <w:rPr>
          <w:rStyle w:val="EndnoteReference"/>
          <w:rFonts w:ascii="Arial Nova Light" w:hAnsi="Arial Nova Light"/>
          <w:vertAlign w:val="baseline"/>
        </w:rPr>
        <w:t>3</w:t>
      </w:r>
      <w:r w:rsidRPr="0052255F">
        <w:rPr>
          <w:rStyle w:val="EndnoteReference"/>
          <w:rFonts w:ascii="Arial Nova Light" w:hAnsi="Arial Nova Light"/>
          <w:vertAlign w:val="baseline"/>
        </w:rPr>
        <w:t xml:space="preserve"> respondents chose not to answer this question.</w:t>
      </w:r>
    </w:p>
  </w:endnote>
  <w:endnote w:id="49">
    <w:p w14:paraId="0B2A7220" w14:textId="6360A9F1" w:rsidR="0077749E" w:rsidRPr="0052255F" w:rsidRDefault="0077749E">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Provider respondents in final monthly monitoring report survey, released September 2021. Total survey responses: 32 providers, 8 DHBs. </w:t>
      </w:r>
      <w:r w:rsidR="005A4EE9" w:rsidRPr="0052255F">
        <w:rPr>
          <w:rStyle w:val="EndnoteReference"/>
          <w:rFonts w:ascii="Arial Nova Light" w:hAnsi="Arial Nova Light"/>
          <w:vertAlign w:val="baseline"/>
        </w:rPr>
        <w:t>3</w:t>
      </w:r>
      <w:r w:rsidRPr="0052255F">
        <w:rPr>
          <w:rStyle w:val="EndnoteReference"/>
          <w:rFonts w:ascii="Arial Nova Light" w:hAnsi="Arial Nova Light"/>
          <w:vertAlign w:val="baseline"/>
        </w:rPr>
        <w:t xml:space="preserve"> respondents chose not to answer this question.</w:t>
      </w:r>
    </w:p>
  </w:endnote>
  <w:endnote w:id="50">
    <w:p w14:paraId="3FCC2F54" w14:textId="4A193759" w:rsidR="00AD66E4" w:rsidRPr="0052255F" w:rsidRDefault="00AD66E4">
      <w:pPr>
        <w:pStyle w:val="EndnoteText"/>
        <w:rPr>
          <w:lang w:val="mi-NZ"/>
        </w:rPr>
      </w:pPr>
      <w:r w:rsidRPr="0052255F">
        <w:rPr>
          <w:rStyle w:val="EndnoteReference"/>
          <w:vertAlign w:val="baseline"/>
        </w:rPr>
        <w:endnoteRef/>
      </w:r>
      <w:r w:rsidRPr="0052255F">
        <w:t xml:space="preserve"> </w:t>
      </w:r>
      <w:r w:rsidRPr="0052255F">
        <w:rPr>
          <w:rStyle w:val="EndnoteReference"/>
          <w:rFonts w:ascii="Arial Nova Light" w:hAnsi="Arial Nova Light"/>
          <w:vertAlign w:val="baseline"/>
        </w:rPr>
        <w:t xml:space="preserve"> 1</w:t>
      </w:r>
      <w:r w:rsidRPr="0052255F">
        <w:rPr>
          <w:rStyle w:val="EndnoteReference"/>
          <w:vertAlign w:val="baseline"/>
        </w:rPr>
        <w:t>8</w:t>
      </w:r>
      <w:r w:rsidRPr="0052255F">
        <w:rPr>
          <w:rStyle w:val="EndnoteReference"/>
          <w:rFonts w:ascii="Arial Nova Light" w:hAnsi="Arial Nova Light"/>
          <w:vertAlign w:val="baseline"/>
        </w:rPr>
        <w:t>/32, 1</w:t>
      </w:r>
      <w:r w:rsidRPr="0052255F">
        <w:rPr>
          <w:rStyle w:val="EndnoteReference"/>
          <w:vertAlign w:val="baseline"/>
        </w:rPr>
        <w:t>3</w:t>
      </w:r>
      <w:r w:rsidRPr="0052255F">
        <w:rPr>
          <w:rStyle w:val="EndnoteReference"/>
          <w:rFonts w:ascii="Arial Nova Light" w:hAnsi="Arial Nova Light"/>
          <w:vertAlign w:val="baseline"/>
        </w:rPr>
        <w:t>/32 respondents indicated that they delivered the flu vaccinations in 2020 through MIVP, or delivered them in 2020 but not through MIVP (respectively) in final monthly monitoring report survey, released September 2021. Total survey responses: 32 providers, 8 DHBs. 4 respondents chose not to answer this question.</w:t>
      </w:r>
    </w:p>
  </w:endnote>
  <w:endnote w:id="51">
    <w:p w14:paraId="3FEA2BD6" w14:textId="1996C640" w:rsidR="00CE0BBF" w:rsidRPr="0052255F" w:rsidRDefault="00CE0BBF">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17/21 DHB-funded and 11/11 direct-funded provider respondents indicated that they delivered flu vaccinations in 2021 in final monthly monitoring report survey, released September 2021. Total survey responses: 32 providers, 8 DHBs. 0 respondents chose not to answer this question.</w:t>
      </w:r>
    </w:p>
  </w:endnote>
  <w:endnote w:id="52">
    <w:p w14:paraId="64F2108A" w14:textId="5E60D00C" w:rsidR="00CE0BBF" w:rsidRPr="0052255F" w:rsidRDefault="00CE0BBF">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21/32 provider respondents indicated that they delivered MMR vaccinations in 2021 in final monthly monitoring report survey, released September 2021. Total survey responses: 32 providers, 8 DHBs. 0 respondents chose not to answer this question.</w:t>
      </w:r>
    </w:p>
  </w:endnote>
  <w:endnote w:id="53">
    <w:p w14:paraId="7A9A5211" w14:textId="4D17F146" w:rsidR="001200FF" w:rsidRPr="0052255F" w:rsidRDefault="001200FF">
      <w:pPr>
        <w:pStyle w:val="EndnoteText"/>
        <w:rPr>
          <w:lang w:val="mi-NZ"/>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24/32 provider respondents indicated that they delivered COVID-19 vaccinations in 2021 in final monthly monitoring report survey, released September 2021. Total survey responses: 32 providers, 8 DHBs. 0 respondents chose not to answer this question. 23/52 contracted providers were known to the Ministry to have a COVID-19 contract.  </w:t>
      </w:r>
    </w:p>
  </w:endnote>
  <w:endnote w:id="54">
    <w:p w14:paraId="3749E596" w14:textId="0F9CA62E" w:rsidR="0051311B" w:rsidRPr="0052255F" w:rsidRDefault="0051311B">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24/32 respondents indicated that they felt their organisation was able to answer whānau questions and concerns to a moderate or high degree in the second monthly monitoring report survey, released June 2021. Total survey responses: 32 providers, 8 DHBs. </w:t>
      </w:r>
      <w:r w:rsidR="00450B2D" w:rsidRPr="0052255F">
        <w:rPr>
          <w:rStyle w:val="EndnoteReference"/>
          <w:rFonts w:ascii="Arial Nova Light" w:hAnsi="Arial Nova Light"/>
          <w:vertAlign w:val="baseline"/>
        </w:rPr>
        <w:t>5</w:t>
      </w:r>
      <w:r w:rsidRPr="0052255F">
        <w:rPr>
          <w:rStyle w:val="EndnoteReference"/>
          <w:rFonts w:ascii="Arial Nova Light" w:hAnsi="Arial Nova Light"/>
          <w:vertAlign w:val="baseline"/>
        </w:rPr>
        <w:t xml:space="preserve"> respondents chose not to answer this question. </w:t>
      </w:r>
    </w:p>
  </w:endnote>
  <w:endnote w:id="55">
    <w:p w14:paraId="3CEE9986" w14:textId="1DC1606E" w:rsidR="0051311B" w:rsidRPr="0052255F" w:rsidRDefault="0051311B">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23/32 respondents indicated that they felt their organisation was able to schedule multiple vaccinations efficiently to a moderate or high degree in </w:t>
      </w:r>
      <w:r w:rsidRPr="0052255F">
        <w:rPr>
          <w:rStyle w:val="EndnoteReference"/>
          <w:vertAlign w:val="baseline"/>
        </w:rPr>
        <w:t xml:space="preserve">the </w:t>
      </w:r>
      <w:r w:rsidRPr="0052255F">
        <w:rPr>
          <w:rStyle w:val="EndnoteReference"/>
          <w:rFonts w:ascii="Arial Nova Light" w:hAnsi="Arial Nova Light"/>
          <w:vertAlign w:val="baseline"/>
        </w:rPr>
        <w:t xml:space="preserve">second monthly monitoring report survey, released June 2021. Total survey responses: 32 providers, 8 DHBs. </w:t>
      </w:r>
      <w:r w:rsidR="00450B2D" w:rsidRPr="0052255F">
        <w:rPr>
          <w:rStyle w:val="EndnoteReference"/>
          <w:rFonts w:ascii="Arial Nova Light" w:hAnsi="Arial Nova Light"/>
          <w:vertAlign w:val="baseline"/>
        </w:rPr>
        <w:t>5</w:t>
      </w:r>
      <w:r w:rsidRPr="0052255F">
        <w:rPr>
          <w:rStyle w:val="EndnoteReference"/>
          <w:rFonts w:ascii="Arial Nova Light" w:hAnsi="Arial Nova Light"/>
          <w:vertAlign w:val="baseline"/>
        </w:rPr>
        <w:t xml:space="preserve"> respondents chose not to answer this question.</w:t>
      </w:r>
    </w:p>
  </w:endnote>
  <w:endnote w:id="56">
    <w:p w14:paraId="0B26A4B3" w14:textId="607424B7" w:rsidR="00450B2D" w:rsidRPr="0052255F" w:rsidRDefault="00450B2D">
      <w:pPr>
        <w:pStyle w:val="EndnoteText"/>
        <w:rPr>
          <w:lang w:val="mi-NZ"/>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23/32 respondents indicated that they felt their organisation was to deliver multiple vaccinations efficiently to a moderate or high degree in </w:t>
      </w:r>
      <w:r w:rsidRPr="0052255F">
        <w:rPr>
          <w:rStyle w:val="EndnoteReference"/>
          <w:vertAlign w:val="baseline"/>
        </w:rPr>
        <w:t xml:space="preserve">the </w:t>
      </w:r>
      <w:r w:rsidRPr="0052255F">
        <w:rPr>
          <w:rStyle w:val="EndnoteReference"/>
          <w:rFonts w:ascii="Arial Nova Light" w:hAnsi="Arial Nova Light"/>
          <w:vertAlign w:val="baseline"/>
        </w:rPr>
        <w:t>second monthly monitoring report survey, released June 2021. Total survey responses: 32 providers, 8 DHBs. 5 respondents chose not to answer this question.</w:t>
      </w:r>
    </w:p>
  </w:endnote>
  <w:endnote w:id="57">
    <w:p w14:paraId="78686B42" w14:textId="3583E2F0" w:rsidR="001200FF" w:rsidRPr="0052255F" w:rsidRDefault="001200FF">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25/32 respondents indicated that they b</w:t>
      </w:r>
      <w:r w:rsidRPr="0052255F">
        <w:rPr>
          <w:rStyle w:val="EndnoteReference"/>
          <w:vertAlign w:val="baseline"/>
        </w:rPr>
        <w:t xml:space="preserve">elieved that whānau were confused about the safety of the COVID-19 vaccine </w:t>
      </w:r>
      <w:r w:rsidRPr="0052255F">
        <w:rPr>
          <w:rStyle w:val="EndnoteReference"/>
          <w:rFonts w:ascii="Arial Nova Light" w:hAnsi="Arial Nova Light"/>
          <w:vertAlign w:val="baseline"/>
        </w:rPr>
        <w:t>in the second monthly monitoring report survey, released June 2021. Total survey responses: 32 providers, 8 DHBs. 5 respondents chose not to answer this question.</w:t>
      </w:r>
    </w:p>
  </w:endnote>
  <w:endnote w:id="58">
    <w:p w14:paraId="37ACC5F4" w14:textId="15E17734" w:rsidR="001200FF" w:rsidRPr="0052255F" w:rsidRDefault="001200FF">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25/32 respondents indicated that they b</w:t>
      </w:r>
      <w:r w:rsidRPr="0052255F">
        <w:rPr>
          <w:rStyle w:val="EndnoteReference"/>
          <w:vertAlign w:val="baseline"/>
        </w:rPr>
        <w:t xml:space="preserve">elieved that whānau were confused about </w:t>
      </w:r>
      <w:r w:rsidRPr="0052255F">
        <w:rPr>
          <w:rStyle w:val="EndnoteReference"/>
          <w:rFonts w:ascii="Arial Nova Light" w:hAnsi="Arial Nova Light"/>
          <w:vertAlign w:val="baseline"/>
        </w:rPr>
        <w:t>whether they need</w:t>
      </w:r>
      <w:r w:rsidR="00025361" w:rsidRPr="0052255F">
        <w:rPr>
          <w:rStyle w:val="EndnoteReference"/>
          <w:vertAlign w:val="baseline"/>
        </w:rPr>
        <w:t xml:space="preserve"> both</w:t>
      </w:r>
      <w:r w:rsidRPr="0052255F">
        <w:rPr>
          <w:rStyle w:val="EndnoteReference"/>
          <w:rFonts w:ascii="Arial Nova Light" w:hAnsi="Arial Nova Light"/>
          <w:vertAlign w:val="baseline"/>
        </w:rPr>
        <w:t xml:space="preserve"> the COVID and flu vaccinations in the second monthly monitoring report survey, released June 2021. Total survey responses: 32 providers, 8 DHBs. 5 respondents chose not to answer this question.</w:t>
      </w:r>
    </w:p>
  </w:endnote>
  <w:endnote w:id="59">
    <w:p w14:paraId="0F570FA0" w14:textId="47DF9379" w:rsidR="00F07BF9" w:rsidRPr="0052255F" w:rsidRDefault="00F07BF9">
      <w:pPr>
        <w:pStyle w:val="EndnoteText"/>
        <w:rPr>
          <w:rStyle w:val="EndnoteReference"/>
          <w:rFonts w:ascii="Arial Nova Light" w:hAnsi="Arial Nova Light"/>
          <w:vertAlign w:val="baseline"/>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Source: NIR data 2015 to 2021. 2021 data as at Week 39 (week ending 1 October 2021). Showing top five regions each year (in green) and poorest performing regions each year (in orange), and DHB regions that make up Auckland Metro (in bold).</w:t>
      </w:r>
    </w:p>
  </w:endnote>
  <w:endnote w:id="60">
    <w:p w14:paraId="13353AFC" w14:textId="4EA3AA1E" w:rsidR="00F07BF9" w:rsidRPr="00D335F8" w:rsidRDefault="00F07BF9">
      <w:pPr>
        <w:pStyle w:val="EndnoteText"/>
        <w:rPr>
          <w:lang w:val="mi-NZ"/>
        </w:rPr>
      </w:pPr>
      <w:r w:rsidRPr="0052255F">
        <w:rPr>
          <w:rStyle w:val="EndnoteReference"/>
          <w:rFonts w:ascii="Arial Nova Light" w:hAnsi="Arial Nova Light"/>
          <w:vertAlign w:val="baseline"/>
        </w:rPr>
        <w:endnoteRef/>
      </w:r>
      <w:r w:rsidRPr="0052255F">
        <w:rPr>
          <w:rStyle w:val="EndnoteReference"/>
          <w:rFonts w:ascii="Arial Nova Light" w:hAnsi="Arial Nova Light"/>
          <w:vertAlign w:val="baseline"/>
        </w:rPr>
        <w:t xml:space="preserve"> Source: The Immunisation Advisory Centre, https://www.influenza.org.nz/2021-influenza-vaccines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4300574"/>
      <w:docPartObj>
        <w:docPartGallery w:val="Page Numbers (Bottom of Page)"/>
        <w:docPartUnique/>
      </w:docPartObj>
    </w:sdtPr>
    <w:sdtEndPr/>
    <w:sdtContent>
      <w:sdt>
        <w:sdtPr>
          <w:id w:val="-154305370"/>
          <w:docPartObj>
            <w:docPartGallery w:val="Page Numbers (Top of Page)"/>
            <w:docPartUnique/>
          </w:docPartObj>
        </w:sdtPr>
        <w:sdtEndPr/>
        <w:sdtContent>
          <w:p w14:paraId="45A526DE" w14:textId="39D7633F" w:rsidR="0081467C" w:rsidRDefault="009A14B7" w:rsidP="009A14B7">
            <w:pPr>
              <w:pStyle w:val="Footer"/>
            </w:pPr>
            <w:r w:rsidRPr="009A14B7">
              <w:rPr>
                <w:color w:val="197278" w:themeColor="accent1"/>
              </w:rPr>
              <w:t xml:space="preserve">Page </w:t>
            </w:r>
            <w:r w:rsidRPr="009A14B7">
              <w:rPr>
                <w:b/>
                <w:bCs/>
                <w:color w:val="197278" w:themeColor="accent1"/>
                <w:sz w:val="24"/>
                <w:szCs w:val="24"/>
              </w:rPr>
              <w:fldChar w:fldCharType="begin"/>
            </w:r>
            <w:r w:rsidRPr="009A14B7">
              <w:rPr>
                <w:b/>
                <w:bCs/>
                <w:color w:val="197278" w:themeColor="accent1"/>
              </w:rPr>
              <w:instrText xml:space="preserve"> PAGE </w:instrText>
            </w:r>
            <w:r w:rsidRPr="009A14B7">
              <w:rPr>
                <w:b/>
                <w:bCs/>
                <w:color w:val="197278" w:themeColor="accent1"/>
                <w:sz w:val="24"/>
                <w:szCs w:val="24"/>
              </w:rPr>
              <w:fldChar w:fldCharType="separate"/>
            </w:r>
            <w:r w:rsidRPr="009A14B7">
              <w:rPr>
                <w:b/>
                <w:bCs/>
                <w:color w:val="197278" w:themeColor="accent1"/>
                <w:sz w:val="24"/>
              </w:rPr>
              <w:t>4</w:t>
            </w:r>
            <w:r w:rsidRPr="009A14B7">
              <w:rPr>
                <w:b/>
                <w:bCs/>
                <w:color w:val="197278" w:themeColor="accent1"/>
                <w:sz w:val="24"/>
                <w:szCs w:val="24"/>
              </w:rPr>
              <w:fldChar w:fldCharType="end"/>
            </w:r>
            <w:r w:rsidRPr="009A14B7">
              <w:rPr>
                <w:color w:val="197278" w:themeColor="accent1"/>
              </w:rPr>
              <w:t xml:space="preserve"> of </w:t>
            </w:r>
            <w:r w:rsidRPr="009A14B7">
              <w:rPr>
                <w:b/>
                <w:bCs/>
                <w:color w:val="197278" w:themeColor="accent1"/>
                <w:sz w:val="24"/>
                <w:szCs w:val="24"/>
              </w:rPr>
              <w:fldChar w:fldCharType="begin"/>
            </w:r>
            <w:r w:rsidRPr="009A14B7">
              <w:rPr>
                <w:b/>
                <w:bCs/>
                <w:color w:val="197278" w:themeColor="accent1"/>
              </w:rPr>
              <w:instrText xml:space="preserve"> NUMPAGES  </w:instrText>
            </w:r>
            <w:r w:rsidRPr="009A14B7">
              <w:rPr>
                <w:b/>
                <w:bCs/>
                <w:color w:val="197278" w:themeColor="accent1"/>
                <w:sz w:val="24"/>
                <w:szCs w:val="24"/>
              </w:rPr>
              <w:fldChar w:fldCharType="separate"/>
            </w:r>
            <w:r w:rsidRPr="009A14B7">
              <w:rPr>
                <w:b/>
                <w:bCs/>
                <w:color w:val="197278" w:themeColor="accent1"/>
                <w:sz w:val="24"/>
              </w:rPr>
              <w:t>59</w:t>
            </w:r>
            <w:r w:rsidRPr="009A14B7">
              <w:rPr>
                <w:b/>
                <w:bCs/>
                <w:color w:val="197278" w:themeColor="accent1"/>
                <w:sz w:val="24"/>
                <w:szCs w:val="24"/>
              </w:rPr>
              <w:fldChar w:fldCharType="end"/>
            </w:r>
            <w:r>
              <w:t xml:space="preserve">  | In Pursuit of Māori Health Equity</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4648967"/>
      <w:docPartObj>
        <w:docPartGallery w:val="Page Numbers (Bottom of Page)"/>
        <w:docPartUnique/>
      </w:docPartObj>
    </w:sdtPr>
    <w:sdtEndPr/>
    <w:sdtContent>
      <w:sdt>
        <w:sdtPr>
          <w:id w:val="1728636285"/>
          <w:docPartObj>
            <w:docPartGallery w:val="Page Numbers (Top of Page)"/>
            <w:docPartUnique/>
          </w:docPartObj>
        </w:sdtPr>
        <w:sdtEndPr/>
        <w:sdtContent>
          <w:p w14:paraId="47CB5791" w14:textId="3C0F3713" w:rsidR="0081467C" w:rsidRDefault="009A14B7" w:rsidP="009A14B7">
            <w:pPr>
              <w:pStyle w:val="Footer"/>
              <w:jc w:val="right"/>
            </w:pPr>
            <w:r>
              <w:t xml:space="preserve">Evaluation of the Māori Influenza and Measles Vaccination Programme | </w:t>
            </w:r>
            <w:r w:rsidR="0081467C" w:rsidRPr="009A14B7">
              <w:rPr>
                <w:color w:val="197278" w:themeColor="accent1"/>
              </w:rPr>
              <w:t xml:space="preserve">Page </w:t>
            </w:r>
            <w:r w:rsidR="0081467C" w:rsidRPr="009A14B7">
              <w:rPr>
                <w:b/>
                <w:bCs/>
                <w:color w:val="197278" w:themeColor="accent1"/>
                <w:sz w:val="24"/>
                <w:szCs w:val="24"/>
              </w:rPr>
              <w:fldChar w:fldCharType="begin"/>
            </w:r>
            <w:r w:rsidR="0081467C" w:rsidRPr="009A14B7">
              <w:rPr>
                <w:b/>
                <w:bCs/>
                <w:color w:val="197278" w:themeColor="accent1"/>
              </w:rPr>
              <w:instrText xml:space="preserve"> PAGE </w:instrText>
            </w:r>
            <w:r w:rsidR="0081467C" w:rsidRPr="009A14B7">
              <w:rPr>
                <w:b/>
                <w:bCs/>
                <w:color w:val="197278" w:themeColor="accent1"/>
                <w:sz w:val="24"/>
                <w:szCs w:val="24"/>
              </w:rPr>
              <w:fldChar w:fldCharType="separate"/>
            </w:r>
            <w:r w:rsidR="0081467C" w:rsidRPr="009A14B7">
              <w:rPr>
                <w:b/>
                <w:bCs/>
                <w:noProof/>
                <w:color w:val="197278" w:themeColor="accent1"/>
              </w:rPr>
              <w:t>2</w:t>
            </w:r>
            <w:r w:rsidR="0081467C" w:rsidRPr="009A14B7">
              <w:rPr>
                <w:b/>
                <w:bCs/>
                <w:color w:val="197278" w:themeColor="accent1"/>
                <w:sz w:val="24"/>
                <w:szCs w:val="24"/>
              </w:rPr>
              <w:fldChar w:fldCharType="end"/>
            </w:r>
            <w:r w:rsidR="0081467C" w:rsidRPr="009A14B7">
              <w:rPr>
                <w:color w:val="197278" w:themeColor="accent1"/>
              </w:rPr>
              <w:t xml:space="preserve"> of </w:t>
            </w:r>
            <w:r w:rsidR="0081467C" w:rsidRPr="009A14B7">
              <w:rPr>
                <w:b/>
                <w:bCs/>
                <w:color w:val="197278" w:themeColor="accent1"/>
                <w:sz w:val="24"/>
                <w:szCs w:val="24"/>
              </w:rPr>
              <w:fldChar w:fldCharType="begin"/>
            </w:r>
            <w:r w:rsidR="0081467C" w:rsidRPr="009A14B7">
              <w:rPr>
                <w:b/>
                <w:bCs/>
                <w:color w:val="197278" w:themeColor="accent1"/>
              </w:rPr>
              <w:instrText xml:space="preserve"> NUMPAGES  </w:instrText>
            </w:r>
            <w:r w:rsidR="0081467C" w:rsidRPr="009A14B7">
              <w:rPr>
                <w:b/>
                <w:bCs/>
                <w:color w:val="197278" w:themeColor="accent1"/>
                <w:sz w:val="24"/>
                <w:szCs w:val="24"/>
              </w:rPr>
              <w:fldChar w:fldCharType="separate"/>
            </w:r>
            <w:r w:rsidR="0081467C" w:rsidRPr="009A14B7">
              <w:rPr>
                <w:b/>
                <w:bCs/>
                <w:noProof/>
                <w:color w:val="197278" w:themeColor="accent1"/>
              </w:rPr>
              <w:t>2</w:t>
            </w:r>
            <w:r w:rsidR="0081467C" w:rsidRPr="009A14B7">
              <w:rPr>
                <w:b/>
                <w:bCs/>
                <w:color w:val="197278" w:themeColor="accent1"/>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BC6BA" w14:textId="77777777" w:rsidR="00455E15" w:rsidRDefault="00455E15" w:rsidP="009B52A0">
      <w:r>
        <w:separator/>
      </w:r>
    </w:p>
  </w:footnote>
  <w:footnote w:type="continuationSeparator" w:id="0">
    <w:p w14:paraId="6A9C7D19" w14:textId="77777777" w:rsidR="00455E15" w:rsidRDefault="00455E15" w:rsidP="009B52A0">
      <w:r>
        <w:continuationSeparator/>
      </w:r>
    </w:p>
  </w:footnote>
  <w:footnote w:type="continuationNotice" w:id="1">
    <w:p w14:paraId="6AFF1D97" w14:textId="77777777" w:rsidR="00455E15" w:rsidRDefault="00455E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70B9" w14:textId="7599F2E5" w:rsidR="00F1370C" w:rsidRDefault="00F1370C">
    <w:pPr>
      <w:pStyle w:val="Header"/>
    </w:pPr>
    <w:r>
      <w:rPr>
        <w:noProof/>
      </w:rPr>
      <w:drawing>
        <wp:anchor distT="0" distB="0" distL="114300" distR="114300" simplePos="0" relativeHeight="251661312" behindDoc="1" locked="0" layoutInCell="1" allowOverlap="1" wp14:anchorId="4B7350BB" wp14:editId="72B6E29D">
          <wp:simplePos x="0" y="0"/>
          <wp:positionH relativeFrom="page">
            <wp:posOffset>26035</wp:posOffset>
          </wp:positionH>
          <wp:positionV relativeFrom="page">
            <wp:posOffset>19372</wp:posOffset>
          </wp:positionV>
          <wp:extent cx="7505210" cy="10617219"/>
          <wp:effectExtent l="0" t="0" r="635"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210" cy="106172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2AE4" w14:textId="0B970812" w:rsidR="00F1370C" w:rsidRDefault="00F1370C">
    <w:pPr>
      <w:pStyle w:val="Header"/>
    </w:pPr>
    <w:r>
      <w:rPr>
        <w:noProof/>
      </w:rPr>
      <w:drawing>
        <wp:anchor distT="0" distB="0" distL="114300" distR="114300" simplePos="0" relativeHeight="251663360" behindDoc="1" locked="0" layoutInCell="1" allowOverlap="1" wp14:anchorId="550FBFC0" wp14:editId="6D208729">
          <wp:simplePos x="0" y="0"/>
          <wp:positionH relativeFrom="page">
            <wp:posOffset>12700</wp:posOffset>
          </wp:positionH>
          <wp:positionV relativeFrom="page">
            <wp:posOffset>11752</wp:posOffset>
          </wp:positionV>
          <wp:extent cx="7515125" cy="10631198"/>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515125" cy="106311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403A4" w14:textId="69CF346A" w:rsidR="0081467C" w:rsidRDefault="00F1370C">
    <w:pPr>
      <w:pStyle w:val="Header"/>
    </w:pPr>
    <w:r>
      <w:rPr>
        <w:noProof/>
      </w:rPr>
      <w:drawing>
        <wp:anchor distT="0" distB="0" distL="114300" distR="114300" simplePos="0" relativeHeight="251659264" behindDoc="1" locked="0" layoutInCell="1" allowOverlap="1" wp14:anchorId="0F366D86" wp14:editId="13EE1FEA">
          <wp:simplePos x="0" y="0"/>
          <wp:positionH relativeFrom="page">
            <wp:align>right</wp:align>
          </wp:positionH>
          <wp:positionV relativeFrom="page">
            <wp:align>top</wp:align>
          </wp:positionV>
          <wp:extent cx="7558530" cy="10686197"/>
          <wp:effectExtent l="0" t="0" r="4445" b="127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530" cy="106861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cIRmHunub2ZzYu" id="pGTB6XyW"/>
  </int:Manifest>
  <int:Observations>
    <int:Content id="pGTB6Xy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pt;height:12.75pt" o:bullet="t">
        <v:imagedata r:id="rId1" o:title="Red Swirl"/>
      </v:shape>
    </w:pict>
  </w:numPicBullet>
  <w:abstractNum w:abstractNumId="0" w15:restartNumberingAfterBreak="0">
    <w:nsid w:val="0AA2221B"/>
    <w:multiLevelType w:val="hybridMultilevel"/>
    <w:tmpl w:val="85464B9A"/>
    <w:lvl w:ilvl="0" w:tplc="CDD4E24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91F4E"/>
    <w:multiLevelType w:val="hybridMultilevel"/>
    <w:tmpl w:val="78C6CB96"/>
    <w:lvl w:ilvl="0" w:tplc="C2A0E9E2">
      <w:start w:val="1"/>
      <w:numFmt w:val="bullet"/>
      <w:lvlText w:val=""/>
      <w:lvlJc w:val="left"/>
      <w:pPr>
        <w:ind w:left="720" w:hanging="360"/>
      </w:pPr>
      <w:rPr>
        <w:rFonts w:ascii="Symbol" w:hAnsi="Symbol" w:hint="default"/>
      </w:rPr>
    </w:lvl>
    <w:lvl w:ilvl="1" w:tplc="39E6A0A2">
      <w:start w:val="1"/>
      <w:numFmt w:val="bullet"/>
      <w:lvlText w:val="o"/>
      <w:lvlJc w:val="left"/>
      <w:pPr>
        <w:ind w:left="1440" w:hanging="360"/>
      </w:pPr>
      <w:rPr>
        <w:rFonts w:ascii="Courier New" w:hAnsi="Courier New" w:hint="default"/>
      </w:rPr>
    </w:lvl>
    <w:lvl w:ilvl="2" w:tplc="EB746C50">
      <w:start w:val="1"/>
      <w:numFmt w:val="bullet"/>
      <w:lvlText w:val=""/>
      <w:lvlJc w:val="left"/>
      <w:pPr>
        <w:ind w:left="2160" w:hanging="360"/>
      </w:pPr>
      <w:rPr>
        <w:rFonts w:ascii="Wingdings" w:hAnsi="Wingdings" w:hint="default"/>
      </w:rPr>
    </w:lvl>
    <w:lvl w:ilvl="3" w:tplc="ACCA3F5E">
      <w:start w:val="1"/>
      <w:numFmt w:val="bullet"/>
      <w:lvlText w:val=""/>
      <w:lvlJc w:val="left"/>
      <w:pPr>
        <w:ind w:left="2880" w:hanging="360"/>
      </w:pPr>
      <w:rPr>
        <w:rFonts w:ascii="Symbol" w:hAnsi="Symbol" w:hint="default"/>
      </w:rPr>
    </w:lvl>
    <w:lvl w:ilvl="4" w:tplc="5CE05FDC">
      <w:start w:val="1"/>
      <w:numFmt w:val="bullet"/>
      <w:lvlText w:val="o"/>
      <w:lvlJc w:val="left"/>
      <w:pPr>
        <w:ind w:left="3600" w:hanging="360"/>
      </w:pPr>
      <w:rPr>
        <w:rFonts w:ascii="Courier New" w:hAnsi="Courier New" w:hint="default"/>
      </w:rPr>
    </w:lvl>
    <w:lvl w:ilvl="5" w:tplc="EE8631EE">
      <w:start w:val="1"/>
      <w:numFmt w:val="bullet"/>
      <w:lvlText w:val=""/>
      <w:lvlJc w:val="left"/>
      <w:pPr>
        <w:ind w:left="4320" w:hanging="360"/>
      </w:pPr>
      <w:rPr>
        <w:rFonts w:ascii="Wingdings" w:hAnsi="Wingdings" w:hint="default"/>
      </w:rPr>
    </w:lvl>
    <w:lvl w:ilvl="6" w:tplc="E994593A">
      <w:start w:val="1"/>
      <w:numFmt w:val="bullet"/>
      <w:lvlText w:val=""/>
      <w:lvlJc w:val="left"/>
      <w:pPr>
        <w:ind w:left="5040" w:hanging="360"/>
      </w:pPr>
      <w:rPr>
        <w:rFonts w:ascii="Symbol" w:hAnsi="Symbol" w:hint="default"/>
      </w:rPr>
    </w:lvl>
    <w:lvl w:ilvl="7" w:tplc="98EC1D78">
      <w:start w:val="1"/>
      <w:numFmt w:val="bullet"/>
      <w:lvlText w:val="o"/>
      <w:lvlJc w:val="left"/>
      <w:pPr>
        <w:ind w:left="5760" w:hanging="360"/>
      </w:pPr>
      <w:rPr>
        <w:rFonts w:ascii="Courier New" w:hAnsi="Courier New" w:hint="default"/>
      </w:rPr>
    </w:lvl>
    <w:lvl w:ilvl="8" w:tplc="F50083E8">
      <w:start w:val="1"/>
      <w:numFmt w:val="bullet"/>
      <w:lvlText w:val=""/>
      <w:lvlJc w:val="left"/>
      <w:pPr>
        <w:ind w:left="6480" w:hanging="360"/>
      </w:pPr>
      <w:rPr>
        <w:rFonts w:ascii="Wingdings" w:hAnsi="Wingdings" w:hint="default"/>
      </w:rPr>
    </w:lvl>
  </w:abstractNum>
  <w:abstractNum w:abstractNumId="2" w15:restartNumberingAfterBreak="0">
    <w:nsid w:val="0C3746A9"/>
    <w:multiLevelType w:val="hybridMultilevel"/>
    <w:tmpl w:val="28B05BEA"/>
    <w:lvl w:ilvl="0" w:tplc="1444F608">
      <w:start w:val="3"/>
      <w:numFmt w:val="bullet"/>
      <w:lvlText w:val="-"/>
      <w:lvlJc w:val="left"/>
      <w:pPr>
        <w:ind w:left="720" w:hanging="360"/>
      </w:pPr>
      <w:rPr>
        <w:rFonts w:ascii="Arial Nova Light" w:eastAsia="Times New Roman" w:hAnsi="Arial Nova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55557"/>
    <w:multiLevelType w:val="hybridMultilevel"/>
    <w:tmpl w:val="404E4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C2CEF"/>
    <w:multiLevelType w:val="hybridMultilevel"/>
    <w:tmpl w:val="25D23A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3D5251"/>
    <w:multiLevelType w:val="hybridMultilevel"/>
    <w:tmpl w:val="7194D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C4582"/>
    <w:multiLevelType w:val="hybridMultilevel"/>
    <w:tmpl w:val="90BCE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02660"/>
    <w:multiLevelType w:val="hybridMultilevel"/>
    <w:tmpl w:val="E2F0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1B36EC"/>
    <w:multiLevelType w:val="hybridMultilevel"/>
    <w:tmpl w:val="94948A68"/>
    <w:lvl w:ilvl="0" w:tplc="FC64539A">
      <w:start w:val="3"/>
      <w:numFmt w:val="bullet"/>
      <w:lvlText w:val="-"/>
      <w:lvlJc w:val="left"/>
      <w:pPr>
        <w:ind w:left="720" w:hanging="360"/>
      </w:pPr>
      <w:rPr>
        <w:rFonts w:ascii="Arial Nova Light" w:eastAsia="Times New Roman" w:hAnsi="Arial Nova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BB066B"/>
    <w:multiLevelType w:val="hybridMultilevel"/>
    <w:tmpl w:val="D4765E6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 w15:restartNumberingAfterBreak="0">
    <w:nsid w:val="26135269"/>
    <w:multiLevelType w:val="hybridMultilevel"/>
    <w:tmpl w:val="A8E8647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A263546"/>
    <w:multiLevelType w:val="hybridMultilevel"/>
    <w:tmpl w:val="DD049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FC726F"/>
    <w:multiLevelType w:val="hybridMultilevel"/>
    <w:tmpl w:val="BA284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3384F"/>
    <w:multiLevelType w:val="hybridMultilevel"/>
    <w:tmpl w:val="BF023310"/>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1B55D8"/>
    <w:multiLevelType w:val="hybridMultilevel"/>
    <w:tmpl w:val="C230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459DC"/>
    <w:multiLevelType w:val="hybridMultilevel"/>
    <w:tmpl w:val="20B8B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9437BC"/>
    <w:multiLevelType w:val="hybridMultilevel"/>
    <w:tmpl w:val="112E6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8C3081"/>
    <w:multiLevelType w:val="hybridMultilevel"/>
    <w:tmpl w:val="0F86F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83F0E38"/>
    <w:multiLevelType w:val="hybridMultilevel"/>
    <w:tmpl w:val="C2A4A870"/>
    <w:lvl w:ilvl="0" w:tplc="7FBCD09C">
      <w:start w:val="1"/>
      <w:numFmt w:val="bullet"/>
      <w:pStyle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9" w15:restartNumberingAfterBreak="0">
    <w:nsid w:val="3E562AFC"/>
    <w:multiLevelType w:val="hybridMultilevel"/>
    <w:tmpl w:val="960E3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655C44"/>
    <w:multiLevelType w:val="hybridMultilevel"/>
    <w:tmpl w:val="AC9E9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B6597C"/>
    <w:multiLevelType w:val="hybridMultilevel"/>
    <w:tmpl w:val="886C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475525"/>
    <w:multiLevelType w:val="hybridMultilevel"/>
    <w:tmpl w:val="D7DE15A0"/>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EA0AE2"/>
    <w:multiLevelType w:val="hybridMultilevel"/>
    <w:tmpl w:val="C2E2CF02"/>
    <w:lvl w:ilvl="0" w:tplc="005C1368">
      <w:start w:val="7"/>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0B055C"/>
    <w:multiLevelType w:val="hybridMultilevel"/>
    <w:tmpl w:val="E76EF70A"/>
    <w:lvl w:ilvl="0" w:tplc="CF14BB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ED0C99"/>
    <w:multiLevelType w:val="hybridMultilevel"/>
    <w:tmpl w:val="F48A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52576F"/>
    <w:multiLevelType w:val="hybridMultilevel"/>
    <w:tmpl w:val="2FF4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549BD"/>
    <w:multiLevelType w:val="hybridMultilevel"/>
    <w:tmpl w:val="1644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85020"/>
    <w:multiLevelType w:val="hybridMultilevel"/>
    <w:tmpl w:val="67326D72"/>
    <w:lvl w:ilvl="0" w:tplc="2FCAA262">
      <w:start w:val="1"/>
      <w:numFmt w:val="bullet"/>
      <w:lvlText w:val="-"/>
      <w:lvlJc w:val="left"/>
      <w:pPr>
        <w:ind w:left="720" w:hanging="360"/>
      </w:pPr>
      <w:rPr>
        <w:rFonts w:ascii="Calibri" w:hAnsi="Calibri" w:hint="default"/>
      </w:rPr>
    </w:lvl>
    <w:lvl w:ilvl="1" w:tplc="F56CD336">
      <w:start w:val="1"/>
      <w:numFmt w:val="bullet"/>
      <w:lvlText w:val="o"/>
      <w:lvlJc w:val="left"/>
      <w:pPr>
        <w:ind w:left="1440" w:hanging="360"/>
      </w:pPr>
      <w:rPr>
        <w:rFonts w:ascii="Courier New" w:hAnsi="Courier New" w:hint="default"/>
      </w:rPr>
    </w:lvl>
    <w:lvl w:ilvl="2" w:tplc="657A544A">
      <w:start w:val="1"/>
      <w:numFmt w:val="bullet"/>
      <w:lvlText w:val=""/>
      <w:lvlJc w:val="left"/>
      <w:pPr>
        <w:ind w:left="2160" w:hanging="360"/>
      </w:pPr>
      <w:rPr>
        <w:rFonts w:ascii="Wingdings" w:hAnsi="Wingdings" w:hint="default"/>
      </w:rPr>
    </w:lvl>
    <w:lvl w:ilvl="3" w:tplc="F6CEDF7E">
      <w:start w:val="1"/>
      <w:numFmt w:val="bullet"/>
      <w:lvlText w:val=""/>
      <w:lvlJc w:val="left"/>
      <w:pPr>
        <w:ind w:left="2880" w:hanging="360"/>
      </w:pPr>
      <w:rPr>
        <w:rFonts w:ascii="Symbol" w:hAnsi="Symbol" w:hint="default"/>
      </w:rPr>
    </w:lvl>
    <w:lvl w:ilvl="4" w:tplc="848C6A72">
      <w:start w:val="1"/>
      <w:numFmt w:val="bullet"/>
      <w:lvlText w:val="o"/>
      <w:lvlJc w:val="left"/>
      <w:pPr>
        <w:ind w:left="3600" w:hanging="360"/>
      </w:pPr>
      <w:rPr>
        <w:rFonts w:ascii="Courier New" w:hAnsi="Courier New" w:hint="default"/>
      </w:rPr>
    </w:lvl>
    <w:lvl w:ilvl="5" w:tplc="0616CA02">
      <w:start w:val="1"/>
      <w:numFmt w:val="bullet"/>
      <w:lvlText w:val=""/>
      <w:lvlJc w:val="left"/>
      <w:pPr>
        <w:ind w:left="4320" w:hanging="360"/>
      </w:pPr>
      <w:rPr>
        <w:rFonts w:ascii="Wingdings" w:hAnsi="Wingdings" w:hint="default"/>
      </w:rPr>
    </w:lvl>
    <w:lvl w:ilvl="6" w:tplc="68FC2292">
      <w:start w:val="1"/>
      <w:numFmt w:val="bullet"/>
      <w:lvlText w:val=""/>
      <w:lvlJc w:val="left"/>
      <w:pPr>
        <w:ind w:left="5040" w:hanging="360"/>
      </w:pPr>
      <w:rPr>
        <w:rFonts w:ascii="Symbol" w:hAnsi="Symbol" w:hint="default"/>
      </w:rPr>
    </w:lvl>
    <w:lvl w:ilvl="7" w:tplc="BAD4F726">
      <w:start w:val="1"/>
      <w:numFmt w:val="bullet"/>
      <w:lvlText w:val="o"/>
      <w:lvlJc w:val="left"/>
      <w:pPr>
        <w:ind w:left="5760" w:hanging="360"/>
      </w:pPr>
      <w:rPr>
        <w:rFonts w:ascii="Courier New" w:hAnsi="Courier New" w:hint="default"/>
      </w:rPr>
    </w:lvl>
    <w:lvl w:ilvl="8" w:tplc="33E09C96">
      <w:start w:val="1"/>
      <w:numFmt w:val="bullet"/>
      <w:lvlText w:val=""/>
      <w:lvlJc w:val="left"/>
      <w:pPr>
        <w:ind w:left="6480" w:hanging="360"/>
      </w:pPr>
      <w:rPr>
        <w:rFonts w:ascii="Wingdings" w:hAnsi="Wingdings" w:hint="default"/>
      </w:rPr>
    </w:lvl>
  </w:abstractNum>
  <w:abstractNum w:abstractNumId="29" w15:restartNumberingAfterBreak="0">
    <w:nsid w:val="5AAF4175"/>
    <w:multiLevelType w:val="hybridMultilevel"/>
    <w:tmpl w:val="ADAC4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D194231"/>
    <w:multiLevelType w:val="hybridMultilevel"/>
    <w:tmpl w:val="2F5066A2"/>
    <w:lvl w:ilvl="0" w:tplc="BECAD4BA">
      <w:start w:val="1"/>
      <w:numFmt w:val="bullet"/>
      <w:lvlText w:val=""/>
      <w:lvlJc w:val="left"/>
      <w:pPr>
        <w:ind w:left="720" w:hanging="360"/>
      </w:pPr>
      <w:rPr>
        <w:rFonts w:ascii="Symbol" w:hAnsi="Symbol" w:hint="default"/>
      </w:rPr>
    </w:lvl>
    <w:lvl w:ilvl="1" w:tplc="A0CAD294">
      <w:start w:val="1"/>
      <w:numFmt w:val="bullet"/>
      <w:lvlText w:val="o"/>
      <w:lvlJc w:val="left"/>
      <w:pPr>
        <w:ind w:left="1440" w:hanging="360"/>
      </w:pPr>
      <w:rPr>
        <w:rFonts w:ascii="Courier New" w:hAnsi="Courier New" w:hint="default"/>
      </w:rPr>
    </w:lvl>
    <w:lvl w:ilvl="2" w:tplc="FD38F544">
      <w:start w:val="1"/>
      <w:numFmt w:val="bullet"/>
      <w:lvlText w:val=""/>
      <w:lvlJc w:val="left"/>
      <w:pPr>
        <w:ind w:left="2160" w:hanging="360"/>
      </w:pPr>
      <w:rPr>
        <w:rFonts w:ascii="Wingdings" w:hAnsi="Wingdings" w:hint="default"/>
      </w:rPr>
    </w:lvl>
    <w:lvl w:ilvl="3" w:tplc="E3EC5174">
      <w:start w:val="1"/>
      <w:numFmt w:val="bullet"/>
      <w:lvlText w:val=""/>
      <w:lvlJc w:val="left"/>
      <w:pPr>
        <w:ind w:left="2880" w:hanging="360"/>
      </w:pPr>
      <w:rPr>
        <w:rFonts w:ascii="Symbol" w:hAnsi="Symbol" w:hint="default"/>
      </w:rPr>
    </w:lvl>
    <w:lvl w:ilvl="4" w:tplc="5C76946E">
      <w:start w:val="1"/>
      <w:numFmt w:val="bullet"/>
      <w:lvlText w:val="o"/>
      <w:lvlJc w:val="left"/>
      <w:pPr>
        <w:ind w:left="3600" w:hanging="360"/>
      </w:pPr>
      <w:rPr>
        <w:rFonts w:ascii="Courier New" w:hAnsi="Courier New" w:hint="default"/>
      </w:rPr>
    </w:lvl>
    <w:lvl w:ilvl="5" w:tplc="C92E8B18">
      <w:start w:val="1"/>
      <w:numFmt w:val="bullet"/>
      <w:lvlText w:val=""/>
      <w:lvlJc w:val="left"/>
      <w:pPr>
        <w:ind w:left="4320" w:hanging="360"/>
      </w:pPr>
      <w:rPr>
        <w:rFonts w:ascii="Wingdings" w:hAnsi="Wingdings" w:hint="default"/>
      </w:rPr>
    </w:lvl>
    <w:lvl w:ilvl="6" w:tplc="A114EBAE">
      <w:start w:val="1"/>
      <w:numFmt w:val="bullet"/>
      <w:lvlText w:val=""/>
      <w:lvlJc w:val="left"/>
      <w:pPr>
        <w:ind w:left="5040" w:hanging="360"/>
      </w:pPr>
      <w:rPr>
        <w:rFonts w:ascii="Symbol" w:hAnsi="Symbol" w:hint="default"/>
      </w:rPr>
    </w:lvl>
    <w:lvl w:ilvl="7" w:tplc="396AF97C">
      <w:start w:val="1"/>
      <w:numFmt w:val="bullet"/>
      <w:lvlText w:val="o"/>
      <w:lvlJc w:val="left"/>
      <w:pPr>
        <w:ind w:left="5760" w:hanging="360"/>
      </w:pPr>
      <w:rPr>
        <w:rFonts w:ascii="Courier New" w:hAnsi="Courier New" w:hint="default"/>
      </w:rPr>
    </w:lvl>
    <w:lvl w:ilvl="8" w:tplc="D6E4A7A4">
      <w:start w:val="1"/>
      <w:numFmt w:val="bullet"/>
      <w:lvlText w:val=""/>
      <w:lvlJc w:val="left"/>
      <w:pPr>
        <w:ind w:left="6480" w:hanging="360"/>
      </w:pPr>
      <w:rPr>
        <w:rFonts w:ascii="Wingdings" w:hAnsi="Wingdings" w:hint="default"/>
      </w:rPr>
    </w:lvl>
  </w:abstractNum>
  <w:abstractNum w:abstractNumId="31" w15:restartNumberingAfterBreak="0">
    <w:nsid w:val="5FA8006F"/>
    <w:multiLevelType w:val="hybridMultilevel"/>
    <w:tmpl w:val="AD6EDDD0"/>
    <w:lvl w:ilvl="0" w:tplc="FEA45E66">
      <w:start w:val="1"/>
      <w:numFmt w:val="bullet"/>
      <w:lvlText w:val="-"/>
      <w:lvlJc w:val="left"/>
      <w:pPr>
        <w:ind w:left="720" w:hanging="360"/>
      </w:pPr>
      <w:rPr>
        <w:rFonts w:ascii="Calibri" w:hAnsi="Calibri" w:hint="default"/>
      </w:rPr>
    </w:lvl>
    <w:lvl w:ilvl="1" w:tplc="D49C0776">
      <w:start w:val="1"/>
      <w:numFmt w:val="bullet"/>
      <w:lvlText w:val="o"/>
      <w:lvlJc w:val="left"/>
      <w:pPr>
        <w:ind w:left="1440" w:hanging="360"/>
      </w:pPr>
      <w:rPr>
        <w:rFonts w:ascii="Courier New" w:hAnsi="Courier New" w:hint="default"/>
      </w:rPr>
    </w:lvl>
    <w:lvl w:ilvl="2" w:tplc="BA8E5D68">
      <w:start w:val="1"/>
      <w:numFmt w:val="bullet"/>
      <w:lvlText w:val=""/>
      <w:lvlJc w:val="left"/>
      <w:pPr>
        <w:ind w:left="2160" w:hanging="360"/>
      </w:pPr>
      <w:rPr>
        <w:rFonts w:ascii="Wingdings" w:hAnsi="Wingdings" w:hint="default"/>
      </w:rPr>
    </w:lvl>
    <w:lvl w:ilvl="3" w:tplc="E4729252">
      <w:start w:val="1"/>
      <w:numFmt w:val="bullet"/>
      <w:lvlText w:val=""/>
      <w:lvlJc w:val="left"/>
      <w:pPr>
        <w:ind w:left="2880" w:hanging="360"/>
      </w:pPr>
      <w:rPr>
        <w:rFonts w:ascii="Symbol" w:hAnsi="Symbol" w:hint="default"/>
      </w:rPr>
    </w:lvl>
    <w:lvl w:ilvl="4" w:tplc="FC7EFCCC">
      <w:start w:val="1"/>
      <w:numFmt w:val="bullet"/>
      <w:lvlText w:val="o"/>
      <w:lvlJc w:val="left"/>
      <w:pPr>
        <w:ind w:left="3600" w:hanging="360"/>
      </w:pPr>
      <w:rPr>
        <w:rFonts w:ascii="Courier New" w:hAnsi="Courier New" w:hint="default"/>
      </w:rPr>
    </w:lvl>
    <w:lvl w:ilvl="5" w:tplc="C64CCC3C">
      <w:start w:val="1"/>
      <w:numFmt w:val="bullet"/>
      <w:lvlText w:val=""/>
      <w:lvlJc w:val="left"/>
      <w:pPr>
        <w:ind w:left="4320" w:hanging="360"/>
      </w:pPr>
      <w:rPr>
        <w:rFonts w:ascii="Wingdings" w:hAnsi="Wingdings" w:hint="default"/>
      </w:rPr>
    </w:lvl>
    <w:lvl w:ilvl="6" w:tplc="B8620ED4">
      <w:start w:val="1"/>
      <w:numFmt w:val="bullet"/>
      <w:lvlText w:val=""/>
      <w:lvlJc w:val="left"/>
      <w:pPr>
        <w:ind w:left="5040" w:hanging="360"/>
      </w:pPr>
      <w:rPr>
        <w:rFonts w:ascii="Symbol" w:hAnsi="Symbol" w:hint="default"/>
      </w:rPr>
    </w:lvl>
    <w:lvl w:ilvl="7" w:tplc="33C2EA48">
      <w:start w:val="1"/>
      <w:numFmt w:val="bullet"/>
      <w:lvlText w:val="o"/>
      <w:lvlJc w:val="left"/>
      <w:pPr>
        <w:ind w:left="5760" w:hanging="360"/>
      </w:pPr>
      <w:rPr>
        <w:rFonts w:ascii="Courier New" w:hAnsi="Courier New" w:hint="default"/>
      </w:rPr>
    </w:lvl>
    <w:lvl w:ilvl="8" w:tplc="8E2CB1D2">
      <w:start w:val="1"/>
      <w:numFmt w:val="bullet"/>
      <w:lvlText w:val=""/>
      <w:lvlJc w:val="left"/>
      <w:pPr>
        <w:ind w:left="6480" w:hanging="360"/>
      </w:pPr>
      <w:rPr>
        <w:rFonts w:ascii="Wingdings" w:hAnsi="Wingdings" w:hint="default"/>
      </w:rPr>
    </w:lvl>
  </w:abstractNum>
  <w:abstractNum w:abstractNumId="32" w15:restartNumberingAfterBreak="0">
    <w:nsid w:val="6B2128CB"/>
    <w:multiLevelType w:val="hybridMultilevel"/>
    <w:tmpl w:val="69464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065931"/>
    <w:multiLevelType w:val="hybridMultilevel"/>
    <w:tmpl w:val="C5864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1784D13"/>
    <w:multiLevelType w:val="hybridMultilevel"/>
    <w:tmpl w:val="9E8AA2AA"/>
    <w:lvl w:ilvl="0" w:tplc="88AEE4B6">
      <w:start w:val="7"/>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8D6C1E"/>
    <w:multiLevelType w:val="hybridMultilevel"/>
    <w:tmpl w:val="2304D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1B47B1"/>
    <w:multiLevelType w:val="hybridMultilevel"/>
    <w:tmpl w:val="C9AA2082"/>
    <w:lvl w:ilvl="0" w:tplc="3FBEC136">
      <w:start w:val="1"/>
      <w:numFmt w:val="bullet"/>
      <w:pStyle w:val="Actionslist"/>
      <w:lvlText w:val=""/>
      <w:lvlJc w:val="left"/>
      <w:pPr>
        <w:ind w:left="720" w:hanging="360"/>
      </w:pPr>
      <w:rPr>
        <w:rFonts w:ascii="Symbol" w:hAnsi="Symbol" w:hint="default"/>
        <w:color w:val="C20F59" w:themeColor="accent4"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66054D"/>
    <w:multiLevelType w:val="hybridMultilevel"/>
    <w:tmpl w:val="24C2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1380A"/>
    <w:multiLevelType w:val="hybridMultilevel"/>
    <w:tmpl w:val="160AE0C8"/>
    <w:lvl w:ilvl="0" w:tplc="E902A1DC">
      <w:start w:val="1"/>
      <w:numFmt w:val="bullet"/>
      <w:lvlText w:val=""/>
      <w:lvlJc w:val="left"/>
      <w:pPr>
        <w:ind w:left="720" w:hanging="360"/>
      </w:pPr>
      <w:rPr>
        <w:rFonts w:ascii="Symbol" w:hAnsi="Symbol" w:hint="default"/>
        <w:color w:val="EE5442"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A4924A8"/>
    <w:multiLevelType w:val="hybridMultilevel"/>
    <w:tmpl w:val="9954A3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AD2243"/>
    <w:multiLevelType w:val="hybridMultilevel"/>
    <w:tmpl w:val="1E3E8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28"/>
  </w:num>
  <w:num w:numId="4">
    <w:abstractNumId w:val="31"/>
  </w:num>
  <w:num w:numId="5">
    <w:abstractNumId w:val="0"/>
  </w:num>
  <w:num w:numId="6">
    <w:abstractNumId w:val="22"/>
  </w:num>
  <w:num w:numId="7">
    <w:abstractNumId w:val="9"/>
  </w:num>
  <w:num w:numId="8">
    <w:abstractNumId w:val="33"/>
  </w:num>
  <w:num w:numId="9">
    <w:abstractNumId w:val="16"/>
  </w:num>
  <w:num w:numId="10">
    <w:abstractNumId w:val="18"/>
  </w:num>
  <w:num w:numId="11">
    <w:abstractNumId w:val="15"/>
  </w:num>
  <w:num w:numId="12">
    <w:abstractNumId w:val="13"/>
  </w:num>
  <w:num w:numId="13">
    <w:abstractNumId w:val="5"/>
  </w:num>
  <w:num w:numId="14">
    <w:abstractNumId w:val="11"/>
  </w:num>
  <w:num w:numId="15">
    <w:abstractNumId w:val="17"/>
  </w:num>
  <w:num w:numId="16">
    <w:abstractNumId w:val="29"/>
  </w:num>
  <w:num w:numId="17">
    <w:abstractNumId w:val="4"/>
  </w:num>
  <w:num w:numId="18">
    <w:abstractNumId w:val="40"/>
  </w:num>
  <w:num w:numId="19">
    <w:abstractNumId w:val="23"/>
  </w:num>
  <w:num w:numId="20">
    <w:abstractNumId w:val="34"/>
  </w:num>
  <w:num w:numId="21">
    <w:abstractNumId w:val="35"/>
  </w:num>
  <w:num w:numId="22">
    <w:abstractNumId w:val="20"/>
  </w:num>
  <w:num w:numId="23">
    <w:abstractNumId w:val="3"/>
  </w:num>
  <w:num w:numId="24">
    <w:abstractNumId w:val="24"/>
  </w:num>
  <w:num w:numId="25">
    <w:abstractNumId w:val="32"/>
  </w:num>
  <w:num w:numId="26">
    <w:abstractNumId w:val="27"/>
  </w:num>
  <w:num w:numId="27">
    <w:abstractNumId w:val="14"/>
  </w:num>
  <w:num w:numId="28">
    <w:abstractNumId w:val="2"/>
  </w:num>
  <w:num w:numId="29">
    <w:abstractNumId w:val="19"/>
  </w:num>
  <w:num w:numId="30">
    <w:abstractNumId w:val="21"/>
  </w:num>
  <w:num w:numId="31">
    <w:abstractNumId w:val="8"/>
  </w:num>
  <w:num w:numId="32">
    <w:abstractNumId w:val="39"/>
  </w:num>
  <w:num w:numId="33">
    <w:abstractNumId w:val="38"/>
  </w:num>
  <w:num w:numId="34">
    <w:abstractNumId w:val="6"/>
  </w:num>
  <w:num w:numId="35">
    <w:abstractNumId w:val="26"/>
  </w:num>
  <w:num w:numId="36">
    <w:abstractNumId w:val="36"/>
  </w:num>
  <w:num w:numId="37">
    <w:abstractNumId w:val="10"/>
  </w:num>
  <w:num w:numId="38">
    <w:abstractNumId w:val="12"/>
  </w:num>
  <w:num w:numId="39">
    <w:abstractNumId w:val="0"/>
  </w:num>
  <w:num w:numId="40">
    <w:abstractNumId w:val="0"/>
  </w:num>
  <w:num w:numId="41">
    <w:abstractNumId w:val="25"/>
  </w:num>
  <w:num w:numId="42">
    <w:abstractNumId w:val="7"/>
  </w:num>
  <w:num w:numId="43">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wtjQ1M7cwMTc3tDBW0lEKTi0uzszPAykwqgUA39PzfywAAAA="/>
  </w:docVars>
  <w:rsids>
    <w:rsidRoot w:val="00AB6CD7"/>
    <w:rsid w:val="00002016"/>
    <w:rsid w:val="0000213B"/>
    <w:rsid w:val="00002643"/>
    <w:rsid w:val="0000329E"/>
    <w:rsid w:val="00005240"/>
    <w:rsid w:val="00006450"/>
    <w:rsid w:val="000068B9"/>
    <w:rsid w:val="00006E7F"/>
    <w:rsid w:val="000110A3"/>
    <w:rsid w:val="00011493"/>
    <w:rsid w:val="0001183E"/>
    <w:rsid w:val="000130BA"/>
    <w:rsid w:val="0001383D"/>
    <w:rsid w:val="00017251"/>
    <w:rsid w:val="00017CA6"/>
    <w:rsid w:val="000231DF"/>
    <w:rsid w:val="00023630"/>
    <w:rsid w:val="000246F7"/>
    <w:rsid w:val="00025361"/>
    <w:rsid w:val="00025CC1"/>
    <w:rsid w:val="00025F94"/>
    <w:rsid w:val="0002714F"/>
    <w:rsid w:val="000271C4"/>
    <w:rsid w:val="00030568"/>
    <w:rsid w:val="00031ABD"/>
    <w:rsid w:val="000322D2"/>
    <w:rsid w:val="000351FE"/>
    <w:rsid w:val="00037DDB"/>
    <w:rsid w:val="00042B54"/>
    <w:rsid w:val="00043AB4"/>
    <w:rsid w:val="00045442"/>
    <w:rsid w:val="00047706"/>
    <w:rsid w:val="00047AE7"/>
    <w:rsid w:val="00047E13"/>
    <w:rsid w:val="000517B4"/>
    <w:rsid w:val="00051A88"/>
    <w:rsid w:val="00054411"/>
    <w:rsid w:val="000557D8"/>
    <w:rsid w:val="00055DAF"/>
    <w:rsid w:val="000568DA"/>
    <w:rsid w:val="00062CEC"/>
    <w:rsid w:val="00066613"/>
    <w:rsid w:val="000728ED"/>
    <w:rsid w:val="000747CF"/>
    <w:rsid w:val="00077739"/>
    <w:rsid w:val="0008238D"/>
    <w:rsid w:val="00082D4A"/>
    <w:rsid w:val="00084669"/>
    <w:rsid w:val="00084697"/>
    <w:rsid w:val="0009058A"/>
    <w:rsid w:val="0009310E"/>
    <w:rsid w:val="00097A18"/>
    <w:rsid w:val="000A3641"/>
    <w:rsid w:val="000A47C3"/>
    <w:rsid w:val="000A4B37"/>
    <w:rsid w:val="000B1543"/>
    <w:rsid w:val="000B7407"/>
    <w:rsid w:val="000C383F"/>
    <w:rsid w:val="000D33BE"/>
    <w:rsid w:val="000E14C1"/>
    <w:rsid w:val="000E3132"/>
    <w:rsid w:val="000E3584"/>
    <w:rsid w:val="000E36D8"/>
    <w:rsid w:val="000E3A5B"/>
    <w:rsid w:val="000E558B"/>
    <w:rsid w:val="000E609A"/>
    <w:rsid w:val="000F0171"/>
    <w:rsid w:val="000F4B44"/>
    <w:rsid w:val="000F5518"/>
    <w:rsid w:val="000F7FA7"/>
    <w:rsid w:val="0010078D"/>
    <w:rsid w:val="001033C2"/>
    <w:rsid w:val="00104031"/>
    <w:rsid w:val="001043F6"/>
    <w:rsid w:val="00105B7D"/>
    <w:rsid w:val="00107004"/>
    <w:rsid w:val="0011183C"/>
    <w:rsid w:val="00113CB0"/>
    <w:rsid w:val="00117503"/>
    <w:rsid w:val="001200FF"/>
    <w:rsid w:val="001207B7"/>
    <w:rsid w:val="001213D7"/>
    <w:rsid w:val="001233D0"/>
    <w:rsid w:val="00125F45"/>
    <w:rsid w:val="0012713C"/>
    <w:rsid w:val="0012760A"/>
    <w:rsid w:val="00130E2D"/>
    <w:rsid w:val="00132F91"/>
    <w:rsid w:val="00134D68"/>
    <w:rsid w:val="0013594F"/>
    <w:rsid w:val="0013639D"/>
    <w:rsid w:val="001435C5"/>
    <w:rsid w:val="001449E2"/>
    <w:rsid w:val="001453D8"/>
    <w:rsid w:val="001467BD"/>
    <w:rsid w:val="00150E1C"/>
    <w:rsid w:val="00151C86"/>
    <w:rsid w:val="00153879"/>
    <w:rsid w:val="00154639"/>
    <w:rsid w:val="001558C2"/>
    <w:rsid w:val="00156B81"/>
    <w:rsid w:val="00161526"/>
    <w:rsid w:val="00162EDA"/>
    <w:rsid w:val="0016509C"/>
    <w:rsid w:val="001737EE"/>
    <w:rsid w:val="001743D3"/>
    <w:rsid w:val="00177254"/>
    <w:rsid w:val="00184372"/>
    <w:rsid w:val="00184FCB"/>
    <w:rsid w:val="00185D18"/>
    <w:rsid w:val="0018683A"/>
    <w:rsid w:val="0019197C"/>
    <w:rsid w:val="001921D1"/>
    <w:rsid w:val="00192F44"/>
    <w:rsid w:val="0019358F"/>
    <w:rsid w:val="00194474"/>
    <w:rsid w:val="00196AA9"/>
    <w:rsid w:val="001A2D07"/>
    <w:rsid w:val="001A2DC5"/>
    <w:rsid w:val="001A38C8"/>
    <w:rsid w:val="001A3BC7"/>
    <w:rsid w:val="001A4300"/>
    <w:rsid w:val="001A46F5"/>
    <w:rsid w:val="001A4CB4"/>
    <w:rsid w:val="001A5B9D"/>
    <w:rsid w:val="001A6267"/>
    <w:rsid w:val="001A6298"/>
    <w:rsid w:val="001A6E76"/>
    <w:rsid w:val="001A7933"/>
    <w:rsid w:val="001B20C5"/>
    <w:rsid w:val="001B30B3"/>
    <w:rsid w:val="001B3B5B"/>
    <w:rsid w:val="001C0573"/>
    <w:rsid w:val="001C0B89"/>
    <w:rsid w:val="001C2089"/>
    <w:rsid w:val="001C25E8"/>
    <w:rsid w:val="001C450F"/>
    <w:rsid w:val="001C5A15"/>
    <w:rsid w:val="001D130C"/>
    <w:rsid w:val="001D267F"/>
    <w:rsid w:val="001D404F"/>
    <w:rsid w:val="001D6197"/>
    <w:rsid w:val="001D7885"/>
    <w:rsid w:val="001E0C71"/>
    <w:rsid w:val="001E2368"/>
    <w:rsid w:val="001E27AF"/>
    <w:rsid w:val="001E4E1A"/>
    <w:rsid w:val="001F1051"/>
    <w:rsid w:val="001F1EAA"/>
    <w:rsid w:val="001F4FA8"/>
    <w:rsid w:val="001F547F"/>
    <w:rsid w:val="00200B03"/>
    <w:rsid w:val="00204DCD"/>
    <w:rsid w:val="00205F6B"/>
    <w:rsid w:val="00206A7D"/>
    <w:rsid w:val="00210967"/>
    <w:rsid w:val="00211695"/>
    <w:rsid w:val="0021375C"/>
    <w:rsid w:val="00213FE1"/>
    <w:rsid w:val="00216589"/>
    <w:rsid w:val="00216B7B"/>
    <w:rsid w:val="002262F8"/>
    <w:rsid w:val="00226BAF"/>
    <w:rsid w:val="0022737A"/>
    <w:rsid w:val="00231A7E"/>
    <w:rsid w:val="00232585"/>
    <w:rsid w:val="00233E3F"/>
    <w:rsid w:val="0023508B"/>
    <w:rsid w:val="00235ED6"/>
    <w:rsid w:val="00236594"/>
    <w:rsid w:val="00244477"/>
    <w:rsid w:val="00244F8A"/>
    <w:rsid w:val="00245713"/>
    <w:rsid w:val="0024773A"/>
    <w:rsid w:val="00255840"/>
    <w:rsid w:val="00255AFA"/>
    <w:rsid w:val="00256D8C"/>
    <w:rsid w:val="002570AA"/>
    <w:rsid w:val="0025757E"/>
    <w:rsid w:val="00262D42"/>
    <w:rsid w:val="00263674"/>
    <w:rsid w:val="00263C6B"/>
    <w:rsid w:val="00264C51"/>
    <w:rsid w:val="00265501"/>
    <w:rsid w:val="00265D6F"/>
    <w:rsid w:val="00266F1A"/>
    <w:rsid w:val="00267787"/>
    <w:rsid w:val="00267854"/>
    <w:rsid w:val="0027052E"/>
    <w:rsid w:val="00275461"/>
    <w:rsid w:val="0027665A"/>
    <w:rsid w:val="00276E6C"/>
    <w:rsid w:val="002803C8"/>
    <w:rsid w:val="00280EF3"/>
    <w:rsid w:val="00284DA9"/>
    <w:rsid w:val="00286423"/>
    <w:rsid w:val="00290323"/>
    <w:rsid w:val="0029236D"/>
    <w:rsid w:val="002928D4"/>
    <w:rsid w:val="00292A6D"/>
    <w:rsid w:val="002945DD"/>
    <w:rsid w:val="00295674"/>
    <w:rsid w:val="002962C8"/>
    <w:rsid w:val="0029661C"/>
    <w:rsid w:val="00297A74"/>
    <w:rsid w:val="002A28AF"/>
    <w:rsid w:val="002B1643"/>
    <w:rsid w:val="002B1BB9"/>
    <w:rsid w:val="002B4F56"/>
    <w:rsid w:val="002C2994"/>
    <w:rsid w:val="002C4486"/>
    <w:rsid w:val="002C5C61"/>
    <w:rsid w:val="002C7208"/>
    <w:rsid w:val="002C7CC3"/>
    <w:rsid w:val="002D1FCA"/>
    <w:rsid w:val="002D3A0D"/>
    <w:rsid w:val="002D3FAC"/>
    <w:rsid w:val="002D6113"/>
    <w:rsid w:val="002D613B"/>
    <w:rsid w:val="002D6F54"/>
    <w:rsid w:val="002D72D8"/>
    <w:rsid w:val="002D7C32"/>
    <w:rsid w:val="002E05E5"/>
    <w:rsid w:val="002E3298"/>
    <w:rsid w:val="002E5007"/>
    <w:rsid w:val="002E5F3B"/>
    <w:rsid w:val="002E7827"/>
    <w:rsid w:val="002E7B55"/>
    <w:rsid w:val="002F02B8"/>
    <w:rsid w:val="002F1593"/>
    <w:rsid w:val="002F2BBB"/>
    <w:rsid w:val="002F74D9"/>
    <w:rsid w:val="00305C78"/>
    <w:rsid w:val="0031250F"/>
    <w:rsid w:val="0031278A"/>
    <w:rsid w:val="003240E3"/>
    <w:rsid w:val="003279BB"/>
    <w:rsid w:val="00330AAD"/>
    <w:rsid w:val="00332DC6"/>
    <w:rsid w:val="00333FC5"/>
    <w:rsid w:val="0034008D"/>
    <w:rsid w:val="0034035B"/>
    <w:rsid w:val="003407D0"/>
    <w:rsid w:val="00341129"/>
    <w:rsid w:val="0034234D"/>
    <w:rsid w:val="00346804"/>
    <w:rsid w:val="00353415"/>
    <w:rsid w:val="00353FC0"/>
    <w:rsid w:val="00355CCD"/>
    <w:rsid w:val="0035645B"/>
    <w:rsid w:val="00362977"/>
    <w:rsid w:val="00362B2A"/>
    <w:rsid w:val="00364293"/>
    <w:rsid w:val="00365AEC"/>
    <w:rsid w:val="00366BAB"/>
    <w:rsid w:val="003741B6"/>
    <w:rsid w:val="00377F0A"/>
    <w:rsid w:val="003832A7"/>
    <w:rsid w:val="00383D80"/>
    <w:rsid w:val="00383DB0"/>
    <w:rsid w:val="00385CF8"/>
    <w:rsid w:val="00394CCB"/>
    <w:rsid w:val="00397007"/>
    <w:rsid w:val="003975FB"/>
    <w:rsid w:val="003A1407"/>
    <w:rsid w:val="003A296D"/>
    <w:rsid w:val="003A349A"/>
    <w:rsid w:val="003A4CEA"/>
    <w:rsid w:val="003A5DD7"/>
    <w:rsid w:val="003A6F76"/>
    <w:rsid w:val="003A7A65"/>
    <w:rsid w:val="003B5A74"/>
    <w:rsid w:val="003C07AE"/>
    <w:rsid w:val="003C166D"/>
    <w:rsid w:val="003C643C"/>
    <w:rsid w:val="003C658C"/>
    <w:rsid w:val="003D5151"/>
    <w:rsid w:val="003D6128"/>
    <w:rsid w:val="003D6CEB"/>
    <w:rsid w:val="003D76E9"/>
    <w:rsid w:val="003E0AC9"/>
    <w:rsid w:val="003E4042"/>
    <w:rsid w:val="003E5029"/>
    <w:rsid w:val="003E5111"/>
    <w:rsid w:val="003E5291"/>
    <w:rsid w:val="003F18A5"/>
    <w:rsid w:val="003F2C12"/>
    <w:rsid w:val="003F3267"/>
    <w:rsid w:val="0040040A"/>
    <w:rsid w:val="00400DEF"/>
    <w:rsid w:val="00401362"/>
    <w:rsid w:val="00401939"/>
    <w:rsid w:val="00402F4E"/>
    <w:rsid w:val="00404E3C"/>
    <w:rsid w:val="00405A53"/>
    <w:rsid w:val="0041072E"/>
    <w:rsid w:val="00413670"/>
    <w:rsid w:val="0041391C"/>
    <w:rsid w:val="00414382"/>
    <w:rsid w:val="004150F0"/>
    <w:rsid w:val="004167B4"/>
    <w:rsid w:val="004224ED"/>
    <w:rsid w:val="00426DEB"/>
    <w:rsid w:val="00431393"/>
    <w:rsid w:val="00431517"/>
    <w:rsid w:val="00431AD7"/>
    <w:rsid w:val="004339D0"/>
    <w:rsid w:val="00433DD1"/>
    <w:rsid w:val="00436DE1"/>
    <w:rsid w:val="004411FB"/>
    <w:rsid w:val="0044366D"/>
    <w:rsid w:val="00443D7C"/>
    <w:rsid w:val="00444C43"/>
    <w:rsid w:val="00447D4A"/>
    <w:rsid w:val="00450B2D"/>
    <w:rsid w:val="004541F0"/>
    <w:rsid w:val="00455E15"/>
    <w:rsid w:val="004573E3"/>
    <w:rsid w:val="00461C4C"/>
    <w:rsid w:val="004641E8"/>
    <w:rsid w:val="004646A1"/>
    <w:rsid w:val="00464D51"/>
    <w:rsid w:val="00465201"/>
    <w:rsid w:val="004660FE"/>
    <w:rsid w:val="0046659C"/>
    <w:rsid w:val="0047043E"/>
    <w:rsid w:val="004718A7"/>
    <w:rsid w:val="00472E6D"/>
    <w:rsid w:val="004753C1"/>
    <w:rsid w:val="004758CA"/>
    <w:rsid w:val="004770A0"/>
    <w:rsid w:val="004800E0"/>
    <w:rsid w:val="0048152C"/>
    <w:rsid w:val="0048219E"/>
    <w:rsid w:val="00482B6D"/>
    <w:rsid w:val="00483921"/>
    <w:rsid w:val="00485E60"/>
    <w:rsid w:val="0049239B"/>
    <w:rsid w:val="00493344"/>
    <w:rsid w:val="00493A57"/>
    <w:rsid w:val="00495973"/>
    <w:rsid w:val="004963B2"/>
    <w:rsid w:val="00497DCE"/>
    <w:rsid w:val="004A3284"/>
    <w:rsid w:val="004A368D"/>
    <w:rsid w:val="004A6123"/>
    <w:rsid w:val="004A67F9"/>
    <w:rsid w:val="004B2BA2"/>
    <w:rsid w:val="004B57CE"/>
    <w:rsid w:val="004B6B31"/>
    <w:rsid w:val="004C0154"/>
    <w:rsid w:val="004C2E1E"/>
    <w:rsid w:val="004C320C"/>
    <w:rsid w:val="004C37DC"/>
    <w:rsid w:val="004C3B80"/>
    <w:rsid w:val="004C56E2"/>
    <w:rsid w:val="004D4D39"/>
    <w:rsid w:val="004D500B"/>
    <w:rsid w:val="004D69FC"/>
    <w:rsid w:val="004D7B33"/>
    <w:rsid w:val="004E1B2C"/>
    <w:rsid w:val="004E2406"/>
    <w:rsid w:val="004E4EA0"/>
    <w:rsid w:val="004F0A63"/>
    <w:rsid w:val="004F1712"/>
    <w:rsid w:val="004F463D"/>
    <w:rsid w:val="004F662B"/>
    <w:rsid w:val="004F702A"/>
    <w:rsid w:val="005042D8"/>
    <w:rsid w:val="0051311B"/>
    <w:rsid w:val="0051524B"/>
    <w:rsid w:val="00515272"/>
    <w:rsid w:val="00517C7C"/>
    <w:rsid w:val="0052255F"/>
    <w:rsid w:val="00524E3D"/>
    <w:rsid w:val="00525F85"/>
    <w:rsid w:val="0052606E"/>
    <w:rsid w:val="005317A9"/>
    <w:rsid w:val="00533AFF"/>
    <w:rsid w:val="00534038"/>
    <w:rsid w:val="00534A10"/>
    <w:rsid w:val="00535F87"/>
    <w:rsid w:val="0053642D"/>
    <w:rsid w:val="00537F80"/>
    <w:rsid w:val="0054061F"/>
    <w:rsid w:val="00541D98"/>
    <w:rsid w:val="00542865"/>
    <w:rsid w:val="00546230"/>
    <w:rsid w:val="00546FF3"/>
    <w:rsid w:val="0054757C"/>
    <w:rsid w:val="00550C1E"/>
    <w:rsid w:val="00554E0B"/>
    <w:rsid w:val="0055562F"/>
    <w:rsid w:val="00560CF6"/>
    <w:rsid w:val="005617E3"/>
    <w:rsid w:val="00562F72"/>
    <w:rsid w:val="00570CCC"/>
    <w:rsid w:val="005735E1"/>
    <w:rsid w:val="00575DC7"/>
    <w:rsid w:val="00582BAD"/>
    <w:rsid w:val="0058311F"/>
    <w:rsid w:val="005907A7"/>
    <w:rsid w:val="00591C78"/>
    <w:rsid w:val="005964C7"/>
    <w:rsid w:val="005970C3"/>
    <w:rsid w:val="005A08D8"/>
    <w:rsid w:val="005A0DD6"/>
    <w:rsid w:val="005A319C"/>
    <w:rsid w:val="005A3753"/>
    <w:rsid w:val="005A4EE9"/>
    <w:rsid w:val="005B336E"/>
    <w:rsid w:val="005B6AB5"/>
    <w:rsid w:val="005C0F70"/>
    <w:rsid w:val="005C13A6"/>
    <w:rsid w:val="005C3399"/>
    <w:rsid w:val="005C4F96"/>
    <w:rsid w:val="005C5851"/>
    <w:rsid w:val="005C5EA4"/>
    <w:rsid w:val="005C6C70"/>
    <w:rsid w:val="005C7210"/>
    <w:rsid w:val="005C7583"/>
    <w:rsid w:val="005C784F"/>
    <w:rsid w:val="005D2394"/>
    <w:rsid w:val="005D28BF"/>
    <w:rsid w:val="005D2D3A"/>
    <w:rsid w:val="005D583F"/>
    <w:rsid w:val="005D6283"/>
    <w:rsid w:val="005E0FC0"/>
    <w:rsid w:val="005E19CB"/>
    <w:rsid w:val="005E1E0C"/>
    <w:rsid w:val="005E3717"/>
    <w:rsid w:val="005E6B3D"/>
    <w:rsid w:val="005F616E"/>
    <w:rsid w:val="005F7229"/>
    <w:rsid w:val="006012FB"/>
    <w:rsid w:val="0060146D"/>
    <w:rsid w:val="006037A7"/>
    <w:rsid w:val="00603C8C"/>
    <w:rsid w:val="006062D7"/>
    <w:rsid w:val="00610CD5"/>
    <w:rsid w:val="0061290B"/>
    <w:rsid w:val="006133F7"/>
    <w:rsid w:val="0061518E"/>
    <w:rsid w:val="00617B0B"/>
    <w:rsid w:val="0062020F"/>
    <w:rsid w:val="00623EBC"/>
    <w:rsid w:val="00625710"/>
    <w:rsid w:val="0062762D"/>
    <w:rsid w:val="00627DD6"/>
    <w:rsid w:val="006307F1"/>
    <w:rsid w:val="006315DE"/>
    <w:rsid w:val="00632A79"/>
    <w:rsid w:val="00632CC6"/>
    <w:rsid w:val="00635B8E"/>
    <w:rsid w:val="00636495"/>
    <w:rsid w:val="00637CC5"/>
    <w:rsid w:val="00642076"/>
    <w:rsid w:val="00642F5C"/>
    <w:rsid w:val="00646CB6"/>
    <w:rsid w:val="00651208"/>
    <w:rsid w:val="00651AE1"/>
    <w:rsid w:val="006522BF"/>
    <w:rsid w:val="0065259F"/>
    <w:rsid w:val="006527E5"/>
    <w:rsid w:val="00655472"/>
    <w:rsid w:val="006603EA"/>
    <w:rsid w:val="0066235C"/>
    <w:rsid w:val="0066306C"/>
    <w:rsid w:val="00663C60"/>
    <w:rsid w:val="00670C40"/>
    <w:rsid w:val="00672465"/>
    <w:rsid w:val="00676B85"/>
    <w:rsid w:val="00681ABA"/>
    <w:rsid w:val="00681F8D"/>
    <w:rsid w:val="006850B1"/>
    <w:rsid w:val="00685962"/>
    <w:rsid w:val="00691428"/>
    <w:rsid w:val="00695245"/>
    <w:rsid w:val="006A0E3A"/>
    <w:rsid w:val="006A1996"/>
    <w:rsid w:val="006A7D3D"/>
    <w:rsid w:val="006B0AE6"/>
    <w:rsid w:val="006B2BC5"/>
    <w:rsid w:val="006B3835"/>
    <w:rsid w:val="006B4FF8"/>
    <w:rsid w:val="006B64C5"/>
    <w:rsid w:val="006C0A93"/>
    <w:rsid w:val="006C19DA"/>
    <w:rsid w:val="006C3446"/>
    <w:rsid w:val="006C54B3"/>
    <w:rsid w:val="006D5A01"/>
    <w:rsid w:val="006D6939"/>
    <w:rsid w:val="006D69F8"/>
    <w:rsid w:val="006E0FEA"/>
    <w:rsid w:val="006E1556"/>
    <w:rsid w:val="006E2048"/>
    <w:rsid w:val="006E6509"/>
    <w:rsid w:val="006F1BC2"/>
    <w:rsid w:val="006F6C96"/>
    <w:rsid w:val="006F708D"/>
    <w:rsid w:val="00703DA3"/>
    <w:rsid w:val="00707016"/>
    <w:rsid w:val="0071105F"/>
    <w:rsid w:val="00711A19"/>
    <w:rsid w:val="007122BF"/>
    <w:rsid w:val="007145C7"/>
    <w:rsid w:val="007165BD"/>
    <w:rsid w:val="0071766F"/>
    <w:rsid w:val="007206AF"/>
    <w:rsid w:val="0072277A"/>
    <w:rsid w:val="00722D63"/>
    <w:rsid w:val="00723511"/>
    <w:rsid w:val="007242A6"/>
    <w:rsid w:val="00726F49"/>
    <w:rsid w:val="00732916"/>
    <w:rsid w:val="00740284"/>
    <w:rsid w:val="00744D67"/>
    <w:rsid w:val="00747751"/>
    <w:rsid w:val="007532B3"/>
    <w:rsid w:val="00753D33"/>
    <w:rsid w:val="0075462C"/>
    <w:rsid w:val="007551C5"/>
    <w:rsid w:val="00755C01"/>
    <w:rsid w:val="00756578"/>
    <w:rsid w:val="007574F8"/>
    <w:rsid w:val="00761C0E"/>
    <w:rsid w:val="00761E30"/>
    <w:rsid w:val="00762096"/>
    <w:rsid w:val="00766B6A"/>
    <w:rsid w:val="00770B4E"/>
    <w:rsid w:val="007746B2"/>
    <w:rsid w:val="00776C0B"/>
    <w:rsid w:val="0077749E"/>
    <w:rsid w:val="00780877"/>
    <w:rsid w:val="00783C2B"/>
    <w:rsid w:val="007920C1"/>
    <w:rsid w:val="00792633"/>
    <w:rsid w:val="007952B4"/>
    <w:rsid w:val="007A138F"/>
    <w:rsid w:val="007A66FD"/>
    <w:rsid w:val="007D2E74"/>
    <w:rsid w:val="007D54E0"/>
    <w:rsid w:val="007D71B9"/>
    <w:rsid w:val="007D721E"/>
    <w:rsid w:val="007E2D07"/>
    <w:rsid w:val="007E501B"/>
    <w:rsid w:val="007E5031"/>
    <w:rsid w:val="007E68A7"/>
    <w:rsid w:val="007F43A5"/>
    <w:rsid w:val="007F6C6A"/>
    <w:rsid w:val="007F71D7"/>
    <w:rsid w:val="00803CB8"/>
    <w:rsid w:val="00804DE3"/>
    <w:rsid w:val="008061E8"/>
    <w:rsid w:val="00806A4C"/>
    <w:rsid w:val="008077A4"/>
    <w:rsid w:val="00807D76"/>
    <w:rsid w:val="00807FEF"/>
    <w:rsid w:val="00812A98"/>
    <w:rsid w:val="0081467C"/>
    <w:rsid w:val="00817ED0"/>
    <w:rsid w:val="008205D0"/>
    <w:rsid w:val="00822CE3"/>
    <w:rsid w:val="0082558C"/>
    <w:rsid w:val="008264FD"/>
    <w:rsid w:val="008300E8"/>
    <w:rsid w:val="00830DD0"/>
    <w:rsid w:val="00831F31"/>
    <w:rsid w:val="00832610"/>
    <w:rsid w:val="00833547"/>
    <w:rsid w:val="00842270"/>
    <w:rsid w:val="008440B5"/>
    <w:rsid w:val="0084470A"/>
    <w:rsid w:val="008459C8"/>
    <w:rsid w:val="00846EC0"/>
    <w:rsid w:val="008547CD"/>
    <w:rsid w:val="00855A9D"/>
    <w:rsid w:val="0085769B"/>
    <w:rsid w:val="00860032"/>
    <w:rsid w:val="0086051C"/>
    <w:rsid w:val="0086215D"/>
    <w:rsid w:val="00862B56"/>
    <w:rsid w:val="00864BC8"/>
    <w:rsid w:val="0086681D"/>
    <w:rsid w:val="00867296"/>
    <w:rsid w:val="00867893"/>
    <w:rsid w:val="008704A3"/>
    <w:rsid w:val="0087132E"/>
    <w:rsid w:val="00872A38"/>
    <w:rsid w:val="008754EA"/>
    <w:rsid w:val="00877615"/>
    <w:rsid w:val="00882496"/>
    <w:rsid w:val="008869F5"/>
    <w:rsid w:val="00886DCA"/>
    <w:rsid w:val="00886F2C"/>
    <w:rsid w:val="00887A5F"/>
    <w:rsid w:val="00887CCD"/>
    <w:rsid w:val="00890A91"/>
    <w:rsid w:val="00895A4A"/>
    <w:rsid w:val="008973D7"/>
    <w:rsid w:val="008A2A3E"/>
    <w:rsid w:val="008A457C"/>
    <w:rsid w:val="008B075F"/>
    <w:rsid w:val="008B27AA"/>
    <w:rsid w:val="008B5CF0"/>
    <w:rsid w:val="008B7DB8"/>
    <w:rsid w:val="008C1284"/>
    <w:rsid w:val="008C69A5"/>
    <w:rsid w:val="008C6F20"/>
    <w:rsid w:val="008C706E"/>
    <w:rsid w:val="008D1DFB"/>
    <w:rsid w:val="008D458D"/>
    <w:rsid w:val="008D469A"/>
    <w:rsid w:val="008E3B65"/>
    <w:rsid w:val="008E45AA"/>
    <w:rsid w:val="008E62CC"/>
    <w:rsid w:val="008E6368"/>
    <w:rsid w:val="008F0763"/>
    <w:rsid w:val="008F3EDD"/>
    <w:rsid w:val="008F4CF9"/>
    <w:rsid w:val="00901127"/>
    <w:rsid w:val="00901DC6"/>
    <w:rsid w:val="00901E26"/>
    <w:rsid w:val="00901F05"/>
    <w:rsid w:val="009023F9"/>
    <w:rsid w:val="009044E1"/>
    <w:rsid w:val="00904F16"/>
    <w:rsid w:val="00905417"/>
    <w:rsid w:val="009108E5"/>
    <w:rsid w:val="009144CD"/>
    <w:rsid w:val="00915F19"/>
    <w:rsid w:val="00917E2B"/>
    <w:rsid w:val="00924BB5"/>
    <w:rsid w:val="00925842"/>
    <w:rsid w:val="00930491"/>
    <w:rsid w:val="00932ECD"/>
    <w:rsid w:val="009408D3"/>
    <w:rsid w:val="00941EC3"/>
    <w:rsid w:val="00943E31"/>
    <w:rsid w:val="00947B4F"/>
    <w:rsid w:val="00951BEE"/>
    <w:rsid w:val="0095214F"/>
    <w:rsid w:val="00953521"/>
    <w:rsid w:val="009616D2"/>
    <w:rsid w:val="009620C2"/>
    <w:rsid w:val="00962724"/>
    <w:rsid w:val="00962D2F"/>
    <w:rsid w:val="00962F55"/>
    <w:rsid w:val="0096399B"/>
    <w:rsid w:val="00977D45"/>
    <w:rsid w:val="00987442"/>
    <w:rsid w:val="00990395"/>
    <w:rsid w:val="0099386A"/>
    <w:rsid w:val="009A020F"/>
    <w:rsid w:val="009A14B7"/>
    <w:rsid w:val="009A6842"/>
    <w:rsid w:val="009B006B"/>
    <w:rsid w:val="009B14EE"/>
    <w:rsid w:val="009B4E66"/>
    <w:rsid w:val="009B52A0"/>
    <w:rsid w:val="009B7A2E"/>
    <w:rsid w:val="009B7A77"/>
    <w:rsid w:val="009C67C1"/>
    <w:rsid w:val="009C6F24"/>
    <w:rsid w:val="009C7A2E"/>
    <w:rsid w:val="009C7B4C"/>
    <w:rsid w:val="009C7B4D"/>
    <w:rsid w:val="009D2139"/>
    <w:rsid w:val="009D3B2B"/>
    <w:rsid w:val="009D73B8"/>
    <w:rsid w:val="009E0372"/>
    <w:rsid w:val="009E29E4"/>
    <w:rsid w:val="009E7703"/>
    <w:rsid w:val="009F0C70"/>
    <w:rsid w:val="009F11A5"/>
    <w:rsid w:val="009F28E1"/>
    <w:rsid w:val="009F3230"/>
    <w:rsid w:val="009F48B3"/>
    <w:rsid w:val="009F635B"/>
    <w:rsid w:val="00A02F0C"/>
    <w:rsid w:val="00A034F4"/>
    <w:rsid w:val="00A05FE5"/>
    <w:rsid w:val="00A06BB7"/>
    <w:rsid w:val="00A0778B"/>
    <w:rsid w:val="00A10274"/>
    <w:rsid w:val="00A11386"/>
    <w:rsid w:val="00A117DA"/>
    <w:rsid w:val="00A138AE"/>
    <w:rsid w:val="00A16BE2"/>
    <w:rsid w:val="00A2246F"/>
    <w:rsid w:val="00A24C82"/>
    <w:rsid w:val="00A26A36"/>
    <w:rsid w:val="00A31825"/>
    <w:rsid w:val="00A33018"/>
    <w:rsid w:val="00A3371B"/>
    <w:rsid w:val="00A3567A"/>
    <w:rsid w:val="00A35A3C"/>
    <w:rsid w:val="00A379FC"/>
    <w:rsid w:val="00A41790"/>
    <w:rsid w:val="00A41CC2"/>
    <w:rsid w:val="00A42482"/>
    <w:rsid w:val="00A45D2E"/>
    <w:rsid w:val="00A4708C"/>
    <w:rsid w:val="00A47CE9"/>
    <w:rsid w:val="00A507DC"/>
    <w:rsid w:val="00A50966"/>
    <w:rsid w:val="00A50E16"/>
    <w:rsid w:val="00A516AF"/>
    <w:rsid w:val="00A52D43"/>
    <w:rsid w:val="00A53F12"/>
    <w:rsid w:val="00A544E6"/>
    <w:rsid w:val="00A55144"/>
    <w:rsid w:val="00A62F6C"/>
    <w:rsid w:val="00A6420C"/>
    <w:rsid w:val="00A65245"/>
    <w:rsid w:val="00A65CB8"/>
    <w:rsid w:val="00A6607C"/>
    <w:rsid w:val="00A717DF"/>
    <w:rsid w:val="00A740C8"/>
    <w:rsid w:val="00A74F63"/>
    <w:rsid w:val="00A7761C"/>
    <w:rsid w:val="00A777DE"/>
    <w:rsid w:val="00A80B27"/>
    <w:rsid w:val="00A82A39"/>
    <w:rsid w:val="00A840B1"/>
    <w:rsid w:val="00A86412"/>
    <w:rsid w:val="00A93980"/>
    <w:rsid w:val="00A9461A"/>
    <w:rsid w:val="00A97E69"/>
    <w:rsid w:val="00AA2D2C"/>
    <w:rsid w:val="00AA2E29"/>
    <w:rsid w:val="00AA300D"/>
    <w:rsid w:val="00AA3D76"/>
    <w:rsid w:val="00AA452D"/>
    <w:rsid w:val="00AA5079"/>
    <w:rsid w:val="00AA5885"/>
    <w:rsid w:val="00AA6D44"/>
    <w:rsid w:val="00AB0411"/>
    <w:rsid w:val="00AB1D9C"/>
    <w:rsid w:val="00AB1FF7"/>
    <w:rsid w:val="00AB4EEE"/>
    <w:rsid w:val="00AB5EF7"/>
    <w:rsid w:val="00AB6916"/>
    <w:rsid w:val="00AB6CD7"/>
    <w:rsid w:val="00AB74D1"/>
    <w:rsid w:val="00AC27C2"/>
    <w:rsid w:val="00AD0624"/>
    <w:rsid w:val="00AD0E6D"/>
    <w:rsid w:val="00AD2E92"/>
    <w:rsid w:val="00AD59B1"/>
    <w:rsid w:val="00AD5C81"/>
    <w:rsid w:val="00AD66E4"/>
    <w:rsid w:val="00AE33FB"/>
    <w:rsid w:val="00AE39D7"/>
    <w:rsid w:val="00AE4CB0"/>
    <w:rsid w:val="00AF00BB"/>
    <w:rsid w:val="00AF1524"/>
    <w:rsid w:val="00AF457D"/>
    <w:rsid w:val="00AF4B3D"/>
    <w:rsid w:val="00AF5EBE"/>
    <w:rsid w:val="00AF6638"/>
    <w:rsid w:val="00B00E81"/>
    <w:rsid w:val="00B01AF7"/>
    <w:rsid w:val="00B040EF"/>
    <w:rsid w:val="00B05B4A"/>
    <w:rsid w:val="00B1110F"/>
    <w:rsid w:val="00B117CD"/>
    <w:rsid w:val="00B12A89"/>
    <w:rsid w:val="00B14CA4"/>
    <w:rsid w:val="00B15335"/>
    <w:rsid w:val="00B17C4D"/>
    <w:rsid w:val="00B203A6"/>
    <w:rsid w:val="00B20A9F"/>
    <w:rsid w:val="00B218F1"/>
    <w:rsid w:val="00B21A91"/>
    <w:rsid w:val="00B232B5"/>
    <w:rsid w:val="00B24AD1"/>
    <w:rsid w:val="00B254F0"/>
    <w:rsid w:val="00B26236"/>
    <w:rsid w:val="00B267C1"/>
    <w:rsid w:val="00B27A60"/>
    <w:rsid w:val="00B3052D"/>
    <w:rsid w:val="00B307AE"/>
    <w:rsid w:val="00B310CC"/>
    <w:rsid w:val="00B336F5"/>
    <w:rsid w:val="00B33ADC"/>
    <w:rsid w:val="00B33CC6"/>
    <w:rsid w:val="00B33D64"/>
    <w:rsid w:val="00B34292"/>
    <w:rsid w:val="00B401A2"/>
    <w:rsid w:val="00B405BE"/>
    <w:rsid w:val="00B459AC"/>
    <w:rsid w:val="00B520D0"/>
    <w:rsid w:val="00B537A1"/>
    <w:rsid w:val="00B5593E"/>
    <w:rsid w:val="00B60721"/>
    <w:rsid w:val="00B6116E"/>
    <w:rsid w:val="00B61816"/>
    <w:rsid w:val="00B61A02"/>
    <w:rsid w:val="00B64DBF"/>
    <w:rsid w:val="00B6546C"/>
    <w:rsid w:val="00B6579A"/>
    <w:rsid w:val="00B6697F"/>
    <w:rsid w:val="00B6749A"/>
    <w:rsid w:val="00B75873"/>
    <w:rsid w:val="00B75C2D"/>
    <w:rsid w:val="00B76B52"/>
    <w:rsid w:val="00B77CCF"/>
    <w:rsid w:val="00B81D29"/>
    <w:rsid w:val="00B859FB"/>
    <w:rsid w:val="00B93F32"/>
    <w:rsid w:val="00B97C52"/>
    <w:rsid w:val="00BA4420"/>
    <w:rsid w:val="00BA4878"/>
    <w:rsid w:val="00BA695B"/>
    <w:rsid w:val="00BA78A1"/>
    <w:rsid w:val="00BA7DE0"/>
    <w:rsid w:val="00BB17A4"/>
    <w:rsid w:val="00BB1A1E"/>
    <w:rsid w:val="00BB3A0E"/>
    <w:rsid w:val="00BB5353"/>
    <w:rsid w:val="00BC1040"/>
    <w:rsid w:val="00BC28A0"/>
    <w:rsid w:val="00BC51D7"/>
    <w:rsid w:val="00BD0D00"/>
    <w:rsid w:val="00BD362D"/>
    <w:rsid w:val="00BF05EF"/>
    <w:rsid w:val="00BF4116"/>
    <w:rsid w:val="00C050A1"/>
    <w:rsid w:val="00C1361D"/>
    <w:rsid w:val="00C14654"/>
    <w:rsid w:val="00C1569B"/>
    <w:rsid w:val="00C15A52"/>
    <w:rsid w:val="00C1635E"/>
    <w:rsid w:val="00C21DC5"/>
    <w:rsid w:val="00C22D7E"/>
    <w:rsid w:val="00C26342"/>
    <w:rsid w:val="00C27E21"/>
    <w:rsid w:val="00C309AA"/>
    <w:rsid w:val="00C3143D"/>
    <w:rsid w:val="00C34D28"/>
    <w:rsid w:val="00C35381"/>
    <w:rsid w:val="00C41736"/>
    <w:rsid w:val="00C42605"/>
    <w:rsid w:val="00C43711"/>
    <w:rsid w:val="00C47CE0"/>
    <w:rsid w:val="00C50B76"/>
    <w:rsid w:val="00C50FE4"/>
    <w:rsid w:val="00C5624A"/>
    <w:rsid w:val="00C5715B"/>
    <w:rsid w:val="00C57D83"/>
    <w:rsid w:val="00C60E40"/>
    <w:rsid w:val="00C62850"/>
    <w:rsid w:val="00C7224A"/>
    <w:rsid w:val="00C813FE"/>
    <w:rsid w:val="00C81D29"/>
    <w:rsid w:val="00C902C9"/>
    <w:rsid w:val="00C954D5"/>
    <w:rsid w:val="00C957F4"/>
    <w:rsid w:val="00C9593F"/>
    <w:rsid w:val="00CA15D7"/>
    <w:rsid w:val="00CA18DA"/>
    <w:rsid w:val="00CA3228"/>
    <w:rsid w:val="00CA33B3"/>
    <w:rsid w:val="00CA619A"/>
    <w:rsid w:val="00CB16BD"/>
    <w:rsid w:val="00CB1D14"/>
    <w:rsid w:val="00CB3806"/>
    <w:rsid w:val="00CB53A7"/>
    <w:rsid w:val="00CB6D77"/>
    <w:rsid w:val="00CC14B7"/>
    <w:rsid w:val="00CC2670"/>
    <w:rsid w:val="00CC38CA"/>
    <w:rsid w:val="00CC6186"/>
    <w:rsid w:val="00CD11FB"/>
    <w:rsid w:val="00CD2BB6"/>
    <w:rsid w:val="00CD42DE"/>
    <w:rsid w:val="00CD44B5"/>
    <w:rsid w:val="00CD4B56"/>
    <w:rsid w:val="00CD7ABB"/>
    <w:rsid w:val="00CE0BBF"/>
    <w:rsid w:val="00CE0F63"/>
    <w:rsid w:val="00CE1B76"/>
    <w:rsid w:val="00CE51C2"/>
    <w:rsid w:val="00CF43C4"/>
    <w:rsid w:val="00CF5050"/>
    <w:rsid w:val="00CF6557"/>
    <w:rsid w:val="00D00A0B"/>
    <w:rsid w:val="00D02684"/>
    <w:rsid w:val="00D03849"/>
    <w:rsid w:val="00D04B81"/>
    <w:rsid w:val="00D04DA7"/>
    <w:rsid w:val="00D066E5"/>
    <w:rsid w:val="00D11CE1"/>
    <w:rsid w:val="00D12F22"/>
    <w:rsid w:val="00D13191"/>
    <w:rsid w:val="00D13945"/>
    <w:rsid w:val="00D15763"/>
    <w:rsid w:val="00D15C94"/>
    <w:rsid w:val="00D15E52"/>
    <w:rsid w:val="00D2212C"/>
    <w:rsid w:val="00D23177"/>
    <w:rsid w:val="00D240DE"/>
    <w:rsid w:val="00D25A2D"/>
    <w:rsid w:val="00D3067D"/>
    <w:rsid w:val="00D3085C"/>
    <w:rsid w:val="00D322A9"/>
    <w:rsid w:val="00D335F8"/>
    <w:rsid w:val="00D37179"/>
    <w:rsid w:val="00D37DCB"/>
    <w:rsid w:val="00D40195"/>
    <w:rsid w:val="00D43339"/>
    <w:rsid w:val="00D440F2"/>
    <w:rsid w:val="00D44C51"/>
    <w:rsid w:val="00D45ECF"/>
    <w:rsid w:val="00D45F58"/>
    <w:rsid w:val="00D525C3"/>
    <w:rsid w:val="00D52FC0"/>
    <w:rsid w:val="00D548F2"/>
    <w:rsid w:val="00D550A5"/>
    <w:rsid w:val="00D5515B"/>
    <w:rsid w:val="00D563F5"/>
    <w:rsid w:val="00D57E42"/>
    <w:rsid w:val="00D62BFF"/>
    <w:rsid w:val="00D65C1E"/>
    <w:rsid w:val="00D669DA"/>
    <w:rsid w:val="00D75451"/>
    <w:rsid w:val="00D767EA"/>
    <w:rsid w:val="00D77E73"/>
    <w:rsid w:val="00D82094"/>
    <w:rsid w:val="00D838B0"/>
    <w:rsid w:val="00D84369"/>
    <w:rsid w:val="00D8517C"/>
    <w:rsid w:val="00D9041A"/>
    <w:rsid w:val="00D9533B"/>
    <w:rsid w:val="00D97DEA"/>
    <w:rsid w:val="00DA1D1B"/>
    <w:rsid w:val="00DA26B6"/>
    <w:rsid w:val="00DA6873"/>
    <w:rsid w:val="00DB09B2"/>
    <w:rsid w:val="00DB18C3"/>
    <w:rsid w:val="00DB3477"/>
    <w:rsid w:val="00DB7350"/>
    <w:rsid w:val="00DB7D20"/>
    <w:rsid w:val="00DC27E7"/>
    <w:rsid w:val="00DC2850"/>
    <w:rsid w:val="00DC469B"/>
    <w:rsid w:val="00DC4EEE"/>
    <w:rsid w:val="00DC679E"/>
    <w:rsid w:val="00DC691E"/>
    <w:rsid w:val="00DD6057"/>
    <w:rsid w:val="00DE29A4"/>
    <w:rsid w:val="00DE72CE"/>
    <w:rsid w:val="00DE780F"/>
    <w:rsid w:val="00DF097E"/>
    <w:rsid w:val="00DF1793"/>
    <w:rsid w:val="00DF5F08"/>
    <w:rsid w:val="00DF60FC"/>
    <w:rsid w:val="00DF7066"/>
    <w:rsid w:val="00E00310"/>
    <w:rsid w:val="00E017E4"/>
    <w:rsid w:val="00E02A7C"/>
    <w:rsid w:val="00E037E8"/>
    <w:rsid w:val="00E073E2"/>
    <w:rsid w:val="00E10F67"/>
    <w:rsid w:val="00E11204"/>
    <w:rsid w:val="00E12267"/>
    <w:rsid w:val="00E12CA7"/>
    <w:rsid w:val="00E158D7"/>
    <w:rsid w:val="00E16F4C"/>
    <w:rsid w:val="00E1732B"/>
    <w:rsid w:val="00E208E8"/>
    <w:rsid w:val="00E23C8C"/>
    <w:rsid w:val="00E251E2"/>
    <w:rsid w:val="00E33B08"/>
    <w:rsid w:val="00E42970"/>
    <w:rsid w:val="00E472F0"/>
    <w:rsid w:val="00E508C5"/>
    <w:rsid w:val="00E51025"/>
    <w:rsid w:val="00E51716"/>
    <w:rsid w:val="00E53036"/>
    <w:rsid w:val="00E562BE"/>
    <w:rsid w:val="00E60119"/>
    <w:rsid w:val="00E639E5"/>
    <w:rsid w:val="00E6619B"/>
    <w:rsid w:val="00E66393"/>
    <w:rsid w:val="00E669E1"/>
    <w:rsid w:val="00E67611"/>
    <w:rsid w:val="00E67BE1"/>
    <w:rsid w:val="00E719D9"/>
    <w:rsid w:val="00E72542"/>
    <w:rsid w:val="00E727FE"/>
    <w:rsid w:val="00E74212"/>
    <w:rsid w:val="00E758C3"/>
    <w:rsid w:val="00E759F3"/>
    <w:rsid w:val="00E766BA"/>
    <w:rsid w:val="00E90465"/>
    <w:rsid w:val="00E93A82"/>
    <w:rsid w:val="00E93C54"/>
    <w:rsid w:val="00E94474"/>
    <w:rsid w:val="00E9582A"/>
    <w:rsid w:val="00E95E4E"/>
    <w:rsid w:val="00E95F78"/>
    <w:rsid w:val="00E96168"/>
    <w:rsid w:val="00E97E68"/>
    <w:rsid w:val="00EA157F"/>
    <w:rsid w:val="00EA2CD2"/>
    <w:rsid w:val="00EA4286"/>
    <w:rsid w:val="00EA4785"/>
    <w:rsid w:val="00EA6814"/>
    <w:rsid w:val="00EA6D46"/>
    <w:rsid w:val="00EB190E"/>
    <w:rsid w:val="00EB1A92"/>
    <w:rsid w:val="00EB2C5C"/>
    <w:rsid w:val="00EB58F0"/>
    <w:rsid w:val="00EC059A"/>
    <w:rsid w:val="00EC0BF4"/>
    <w:rsid w:val="00EC1527"/>
    <w:rsid w:val="00EC2D0A"/>
    <w:rsid w:val="00EC4FA5"/>
    <w:rsid w:val="00ED1475"/>
    <w:rsid w:val="00ED6997"/>
    <w:rsid w:val="00ED7059"/>
    <w:rsid w:val="00ED7791"/>
    <w:rsid w:val="00EE22E0"/>
    <w:rsid w:val="00EE253B"/>
    <w:rsid w:val="00EE3174"/>
    <w:rsid w:val="00EE3D1B"/>
    <w:rsid w:val="00EE4B01"/>
    <w:rsid w:val="00EE5FD8"/>
    <w:rsid w:val="00EF0490"/>
    <w:rsid w:val="00EF1D74"/>
    <w:rsid w:val="00EF40CF"/>
    <w:rsid w:val="00EF64B6"/>
    <w:rsid w:val="00EF6CA7"/>
    <w:rsid w:val="00F04956"/>
    <w:rsid w:val="00F05C22"/>
    <w:rsid w:val="00F0689C"/>
    <w:rsid w:val="00F07BF9"/>
    <w:rsid w:val="00F12246"/>
    <w:rsid w:val="00F1370C"/>
    <w:rsid w:val="00F17C68"/>
    <w:rsid w:val="00F22AB5"/>
    <w:rsid w:val="00F25B9D"/>
    <w:rsid w:val="00F26C75"/>
    <w:rsid w:val="00F31487"/>
    <w:rsid w:val="00F32E05"/>
    <w:rsid w:val="00F3625E"/>
    <w:rsid w:val="00F3639F"/>
    <w:rsid w:val="00F40AA5"/>
    <w:rsid w:val="00F40D47"/>
    <w:rsid w:val="00F42238"/>
    <w:rsid w:val="00F42566"/>
    <w:rsid w:val="00F43250"/>
    <w:rsid w:val="00F46731"/>
    <w:rsid w:val="00F527E3"/>
    <w:rsid w:val="00F52818"/>
    <w:rsid w:val="00F52ECA"/>
    <w:rsid w:val="00F53175"/>
    <w:rsid w:val="00F5535E"/>
    <w:rsid w:val="00F63A2A"/>
    <w:rsid w:val="00F642C7"/>
    <w:rsid w:val="00F65258"/>
    <w:rsid w:val="00F67D00"/>
    <w:rsid w:val="00F702A3"/>
    <w:rsid w:val="00F7196E"/>
    <w:rsid w:val="00F74EEB"/>
    <w:rsid w:val="00F768BF"/>
    <w:rsid w:val="00F76B93"/>
    <w:rsid w:val="00F77F53"/>
    <w:rsid w:val="00F816C9"/>
    <w:rsid w:val="00F86033"/>
    <w:rsid w:val="00F86F9F"/>
    <w:rsid w:val="00F87E23"/>
    <w:rsid w:val="00F92463"/>
    <w:rsid w:val="00F94165"/>
    <w:rsid w:val="00F963BD"/>
    <w:rsid w:val="00F97569"/>
    <w:rsid w:val="00FA6D1F"/>
    <w:rsid w:val="00FB0DA2"/>
    <w:rsid w:val="00FB27E0"/>
    <w:rsid w:val="00FB4608"/>
    <w:rsid w:val="00FB6AB9"/>
    <w:rsid w:val="00FC43BD"/>
    <w:rsid w:val="00FC5360"/>
    <w:rsid w:val="00FC6A03"/>
    <w:rsid w:val="00FD001C"/>
    <w:rsid w:val="00FD068E"/>
    <w:rsid w:val="00FD54E7"/>
    <w:rsid w:val="00FD589C"/>
    <w:rsid w:val="00FD6369"/>
    <w:rsid w:val="00FD707A"/>
    <w:rsid w:val="00FE1A3A"/>
    <w:rsid w:val="00FE3756"/>
    <w:rsid w:val="00FE662C"/>
    <w:rsid w:val="00FE6DF1"/>
    <w:rsid w:val="00FE6FFF"/>
    <w:rsid w:val="00FE7405"/>
    <w:rsid w:val="00FF2D9A"/>
    <w:rsid w:val="00FF4E0D"/>
    <w:rsid w:val="23D00F57"/>
    <w:rsid w:val="6E687390"/>
    <w:rsid w:val="70D53B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E18C6"/>
  <w15:chartTrackingRefBased/>
  <w15:docId w15:val="{B54405D2-9503-4417-975B-76C23BE83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4B7"/>
    <w:pPr>
      <w:spacing w:before="120" w:after="120" w:line="288" w:lineRule="auto"/>
    </w:pPr>
    <w:rPr>
      <w:rFonts w:eastAsia="Times New Roman" w:cs="Times New Roman"/>
      <w:sz w:val="20"/>
      <w:szCs w:val="24"/>
      <w:lang w:val="en-NZ" w:eastAsia="en-GB" w:bidi="ar-SA"/>
    </w:rPr>
  </w:style>
  <w:style w:type="paragraph" w:styleId="Heading1">
    <w:name w:val="heading 1"/>
    <w:basedOn w:val="Normal"/>
    <w:next w:val="Normal"/>
    <w:link w:val="Heading1Char"/>
    <w:uiPriority w:val="9"/>
    <w:qFormat/>
    <w:rsid w:val="002B4F56"/>
    <w:pPr>
      <w:keepNext/>
      <w:keepLines/>
      <w:pBdr>
        <w:bottom w:val="single" w:sz="8" w:space="1" w:color="283D3B" w:themeColor="text2"/>
      </w:pBdr>
      <w:spacing w:before="240"/>
      <w:outlineLvl w:val="0"/>
    </w:pPr>
    <w:rPr>
      <w:rFonts w:asciiTheme="majorHAnsi" w:eastAsiaTheme="majorEastAsia" w:hAnsiTheme="majorHAnsi" w:cstheme="majorBidi"/>
      <w:b/>
      <w:color w:val="125459" w:themeColor="accent1" w:themeShade="BF"/>
      <w:sz w:val="32"/>
      <w:szCs w:val="40"/>
    </w:rPr>
  </w:style>
  <w:style w:type="paragraph" w:styleId="Heading2">
    <w:name w:val="heading 2"/>
    <w:basedOn w:val="Normal"/>
    <w:next w:val="Normal"/>
    <w:link w:val="Heading2Char"/>
    <w:uiPriority w:val="9"/>
    <w:unhideWhenUsed/>
    <w:qFormat/>
    <w:rsid w:val="00831F31"/>
    <w:pPr>
      <w:keepNext/>
      <w:keepLines/>
      <w:spacing w:before="240"/>
      <w:outlineLvl w:val="1"/>
    </w:pPr>
    <w:rPr>
      <w:rFonts w:asciiTheme="majorHAnsi" w:eastAsiaTheme="majorEastAsia" w:hAnsiTheme="majorHAnsi" w:cstheme="majorBidi"/>
      <w:color w:val="125459" w:themeColor="accent1" w:themeShade="BF"/>
      <w:sz w:val="26"/>
      <w:szCs w:val="33"/>
    </w:rPr>
  </w:style>
  <w:style w:type="paragraph" w:styleId="Heading3">
    <w:name w:val="heading 3"/>
    <w:basedOn w:val="Normal"/>
    <w:next w:val="Normal"/>
    <w:link w:val="Heading3Char"/>
    <w:autoRedefine/>
    <w:uiPriority w:val="9"/>
    <w:unhideWhenUsed/>
    <w:qFormat/>
    <w:rsid w:val="0041391C"/>
    <w:pPr>
      <w:keepNext/>
      <w:keepLines/>
      <w:spacing w:before="60"/>
      <w:outlineLvl w:val="2"/>
    </w:pPr>
    <w:rPr>
      <w:rFonts w:asciiTheme="majorHAnsi" w:eastAsiaTheme="majorEastAsia" w:hAnsiTheme="majorHAnsi" w:cstheme="majorBidi"/>
      <w:b/>
      <w:bCs/>
      <w:color w:val="197278" w:themeColor="accent1"/>
    </w:rPr>
  </w:style>
  <w:style w:type="paragraph" w:styleId="Heading4">
    <w:name w:val="heading 4"/>
    <w:basedOn w:val="Normal"/>
    <w:next w:val="Normal"/>
    <w:link w:val="Heading4Char"/>
    <w:uiPriority w:val="9"/>
    <w:unhideWhenUsed/>
    <w:qFormat/>
    <w:rsid w:val="00E74212"/>
    <w:pPr>
      <w:keepNext/>
      <w:keepLines/>
      <w:spacing w:before="40"/>
      <w:outlineLvl w:val="3"/>
    </w:pPr>
    <w:rPr>
      <w:rFonts w:asciiTheme="majorHAnsi" w:eastAsiaTheme="majorEastAsia" w:hAnsiTheme="majorHAnsi" w:cstheme="majorBidi"/>
      <w:i/>
      <w:iCs/>
      <w:color w:val="12545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6CD7"/>
    <w:pPr>
      <w:contextualSpacing/>
    </w:pPr>
    <w:rPr>
      <w:rFonts w:asciiTheme="majorHAnsi" w:eastAsiaTheme="majorEastAsia" w:hAnsiTheme="majorHAnsi" w:cstheme="majorBidi"/>
      <w:spacing w:val="-10"/>
      <w:kern w:val="28"/>
      <w:sz w:val="48"/>
      <w:szCs w:val="52"/>
      <w:lang w:val="mi-NZ"/>
    </w:rPr>
  </w:style>
  <w:style w:type="character" w:customStyle="1" w:styleId="TitleChar">
    <w:name w:val="Title Char"/>
    <w:basedOn w:val="DefaultParagraphFont"/>
    <w:link w:val="Title"/>
    <w:uiPriority w:val="10"/>
    <w:rsid w:val="00AB6CD7"/>
    <w:rPr>
      <w:rFonts w:asciiTheme="majorHAnsi" w:eastAsiaTheme="majorEastAsia" w:hAnsiTheme="majorHAnsi" w:cstheme="majorBidi"/>
      <w:spacing w:val="-10"/>
      <w:kern w:val="28"/>
      <w:sz w:val="48"/>
      <w:szCs w:val="52"/>
      <w:lang w:val="mi-NZ"/>
    </w:rPr>
  </w:style>
  <w:style w:type="paragraph" w:styleId="Subtitle">
    <w:name w:val="Subtitle"/>
    <w:basedOn w:val="Normal"/>
    <w:next w:val="Normal"/>
    <w:link w:val="SubtitleChar"/>
    <w:uiPriority w:val="11"/>
    <w:qFormat/>
    <w:rsid w:val="00AB6CD7"/>
    <w:pPr>
      <w:numPr>
        <w:ilvl w:val="1"/>
      </w:numPr>
    </w:pPr>
    <w:rPr>
      <w:rFonts w:eastAsiaTheme="minorEastAsia"/>
      <w:smallCaps/>
      <w:color w:val="5A5A5A" w:themeColor="text1" w:themeTint="A5"/>
      <w:spacing w:val="15"/>
    </w:rPr>
  </w:style>
  <w:style w:type="character" w:customStyle="1" w:styleId="SubtitleChar">
    <w:name w:val="Subtitle Char"/>
    <w:basedOn w:val="DefaultParagraphFont"/>
    <w:link w:val="Subtitle"/>
    <w:uiPriority w:val="11"/>
    <w:rsid w:val="00AB6CD7"/>
    <w:rPr>
      <w:rFonts w:eastAsiaTheme="minorEastAsia"/>
      <w:smallCaps/>
      <w:color w:val="5A5A5A" w:themeColor="text1" w:themeTint="A5"/>
      <w:spacing w:val="15"/>
      <w:lang w:val="en-NZ"/>
    </w:rPr>
  </w:style>
  <w:style w:type="character" w:customStyle="1" w:styleId="Heading1Char">
    <w:name w:val="Heading 1 Char"/>
    <w:basedOn w:val="DefaultParagraphFont"/>
    <w:link w:val="Heading1"/>
    <w:uiPriority w:val="9"/>
    <w:rsid w:val="002B4F56"/>
    <w:rPr>
      <w:rFonts w:asciiTheme="majorHAnsi" w:eastAsiaTheme="majorEastAsia" w:hAnsiTheme="majorHAnsi" w:cstheme="majorBidi"/>
      <w:b/>
      <w:color w:val="125459" w:themeColor="accent1" w:themeShade="BF"/>
      <w:sz w:val="32"/>
      <w:szCs w:val="40"/>
    </w:rPr>
  </w:style>
  <w:style w:type="character" w:customStyle="1" w:styleId="Heading2Char">
    <w:name w:val="Heading 2 Char"/>
    <w:basedOn w:val="DefaultParagraphFont"/>
    <w:link w:val="Heading2"/>
    <w:uiPriority w:val="9"/>
    <w:rsid w:val="00831F31"/>
    <w:rPr>
      <w:rFonts w:asciiTheme="majorHAnsi" w:eastAsiaTheme="majorEastAsia" w:hAnsiTheme="majorHAnsi" w:cstheme="majorBidi"/>
      <w:color w:val="125459" w:themeColor="accent1" w:themeShade="BF"/>
      <w:sz w:val="26"/>
      <w:szCs w:val="33"/>
      <w:lang w:val="en-NZ" w:eastAsia="en-GB" w:bidi="ar-SA"/>
    </w:rPr>
  </w:style>
  <w:style w:type="character" w:customStyle="1" w:styleId="Heading3Char">
    <w:name w:val="Heading 3 Char"/>
    <w:basedOn w:val="DefaultParagraphFont"/>
    <w:link w:val="Heading3"/>
    <w:uiPriority w:val="9"/>
    <w:rsid w:val="0041391C"/>
    <w:rPr>
      <w:rFonts w:asciiTheme="majorHAnsi" w:eastAsiaTheme="majorEastAsia" w:hAnsiTheme="majorHAnsi" w:cstheme="majorBidi"/>
      <w:b/>
      <w:bCs/>
      <w:color w:val="197278" w:themeColor="accent1"/>
      <w:sz w:val="20"/>
      <w:szCs w:val="24"/>
      <w:lang w:val="en-NZ" w:eastAsia="en-GB" w:bidi="ar-SA"/>
    </w:rPr>
  </w:style>
  <w:style w:type="paragraph" w:styleId="Quote">
    <w:name w:val="Quote"/>
    <w:basedOn w:val="Normal"/>
    <w:next w:val="Normal"/>
    <w:link w:val="QuoteChar"/>
    <w:uiPriority w:val="29"/>
    <w:qFormat/>
    <w:rsid w:val="00DC691E"/>
    <w:pPr>
      <w:pBdr>
        <w:left w:val="single" w:sz="48" w:space="4" w:color="197278" w:themeColor="accent1"/>
      </w:pBdr>
      <w:spacing w:after="0"/>
      <w:ind w:left="862" w:right="862"/>
    </w:pPr>
    <w:rPr>
      <w:color w:val="125459" w:themeColor="accent1" w:themeShade="BF"/>
      <w:lang w:val="mi-NZ"/>
    </w:rPr>
  </w:style>
  <w:style w:type="character" w:customStyle="1" w:styleId="QuoteChar">
    <w:name w:val="Quote Char"/>
    <w:basedOn w:val="DefaultParagraphFont"/>
    <w:link w:val="Quote"/>
    <w:uiPriority w:val="29"/>
    <w:rsid w:val="00DC691E"/>
    <w:rPr>
      <w:rFonts w:eastAsia="Times New Roman" w:cs="Times New Roman"/>
      <w:color w:val="125459" w:themeColor="accent1" w:themeShade="BF"/>
      <w:sz w:val="20"/>
      <w:szCs w:val="24"/>
      <w:lang w:val="mi-NZ" w:eastAsia="en-GB" w:bidi="ar-SA"/>
    </w:rPr>
  </w:style>
  <w:style w:type="paragraph" w:styleId="ListParagraph">
    <w:name w:val="List Paragraph"/>
    <w:basedOn w:val="Normal"/>
    <w:uiPriority w:val="34"/>
    <w:qFormat/>
    <w:rsid w:val="009B52A0"/>
    <w:pPr>
      <w:numPr>
        <w:numId w:val="5"/>
      </w:numPr>
      <w:contextualSpacing/>
    </w:pPr>
    <w:rPr>
      <w:lang w:val="mi-NZ"/>
    </w:rPr>
  </w:style>
  <w:style w:type="paragraph" w:styleId="FootnoteText">
    <w:name w:val="footnote text"/>
    <w:basedOn w:val="Normal"/>
    <w:link w:val="FootnoteTextChar"/>
    <w:uiPriority w:val="99"/>
    <w:unhideWhenUsed/>
    <w:rsid w:val="009B52A0"/>
    <w:rPr>
      <w:color w:val="404040" w:themeColor="text1" w:themeTint="BF"/>
      <w:sz w:val="16"/>
    </w:rPr>
  </w:style>
  <w:style w:type="character" w:customStyle="1" w:styleId="FootnoteTextChar">
    <w:name w:val="Footnote Text Char"/>
    <w:basedOn w:val="DefaultParagraphFont"/>
    <w:link w:val="FootnoteText"/>
    <w:uiPriority w:val="99"/>
    <w:rsid w:val="009B52A0"/>
    <w:rPr>
      <w:color w:val="404040" w:themeColor="text1" w:themeTint="BF"/>
      <w:sz w:val="16"/>
    </w:rPr>
  </w:style>
  <w:style w:type="character" w:styleId="FootnoteReference">
    <w:name w:val="footnote reference"/>
    <w:basedOn w:val="DefaultParagraphFont"/>
    <w:unhideWhenUsed/>
    <w:rsid w:val="009B52A0"/>
    <w:rPr>
      <w:vertAlign w:val="superscript"/>
    </w:rPr>
  </w:style>
  <w:style w:type="paragraph" w:customStyle="1" w:styleId="Accentheading3">
    <w:name w:val="Accent heading 3"/>
    <w:basedOn w:val="Heading3"/>
    <w:link w:val="Accentheading3Char"/>
    <w:qFormat/>
    <w:rsid w:val="00AA2E29"/>
    <w:rPr>
      <w:color w:val="EE2A7B" w:themeColor="accent4"/>
    </w:rPr>
  </w:style>
  <w:style w:type="paragraph" w:customStyle="1" w:styleId="Accentheading2">
    <w:name w:val="Accent heading 2"/>
    <w:basedOn w:val="Heading2"/>
    <w:link w:val="Accentheading2Char"/>
    <w:qFormat/>
    <w:rsid w:val="00AA2E29"/>
    <w:rPr>
      <w:color w:val="C20F59" w:themeColor="accent4" w:themeShade="BF"/>
      <w:lang w:val="mi-NZ"/>
    </w:rPr>
  </w:style>
  <w:style w:type="character" w:customStyle="1" w:styleId="Accentheading2Char">
    <w:name w:val="Accent heading 2 Char"/>
    <w:basedOn w:val="Heading2Char"/>
    <w:link w:val="Accentheading2"/>
    <w:rsid w:val="00AA2E29"/>
    <w:rPr>
      <w:rFonts w:asciiTheme="majorHAnsi" w:eastAsiaTheme="majorEastAsia" w:hAnsiTheme="majorHAnsi" w:cstheme="majorBidi"/>
      <w:color w:val="C20F59" w:themeColor="accent4" w:themeShade="BF"/>
      <w:sz w:val="26"/>
      <w:szCs w:val="33"/>
      <w:lang w:val="mi-NZ" w:eastAsia="en-GB" w:bidi="ar-SA"/>
    </w:rPr>
  </w:style>
  <w:style w:type="character" w:customStyle="1" w:styleId="Accentheading3Char">
    <w:name w:val="Accent heading 3 Char"/>
    <w:basedOn w:val="Heading3Char"/>
    <w:link w:val="Accentheading3"/>
    <w:rsid w:val="00AA2E29"/>
    <w:rPr>
      <w:rFonts w:asciiTheme="majorHAnsi" w:eastAsiaTheme="majorEastAsia" w:hAnsiTheme="majorHAnsi" w:cstheme="majorBidi"/>
      <w:b/>
      <w:bCs/>
      <w:color w:val="EE2A7B" w:themeColor="accent4"/>
      <w:sz w:val="20"/>
      <w:szCs w:val="24"/>
      <w:lang w:val="en-NZ" w:eastAsia="en-GB" w:bidi="ar-SA"/>
    </w:rPr>
  </w:style>
  <w:style w:type="paragraph" w:styleId="Caption">
    <w:name w:val="caption"/>
    <w:basedOn w:val="Normal"/>
    <w:next w:val="Normal"/>
    <w:link w:val="CaptionChar"/>
    <w:unhideWhenUsed/>
    <w:qFormat/>
    <w:rsid w:val="00EB2C5C"/>
    <w:pPr>
      <w:spacing w:after="200"/>
      <w:outlineLvl w:val="4"/>
    </w:pPr>
    <w:rPr>
      <w:i/>
      <w:iCs/>
      <w:color w:val="283D3B" w:themeColor="text2"/>
      <w:sz w:val="18"/>
    </w:rPr>
  </w:style>
  <w:style w:type="character" w:styleId="CommentReference">
    <w:name w:val="annotation reference"/>
    <w:basedOn w:val="DefaultParagraphFont"/>
    <w:uiPriority w:val="99"/>
    <w:semiHidden/>
    <w:unhideWhenUsed/>
    <w:rsid w:val="00987442"/>
    <w:rPr>
      <w:sz w:val="16"/>
      <w:szCs w:val="16"/>
    </w:rPr>
  </w:style>
  <w:style w:type="paragraph" w:styleId="CommentText">
    <w:name w:val="annotation text"/>
    <w:basedOn w:val="Normal"/>
    <w:link w:val="CommentTextChar"/>
    <w:uiPriority w:val="99"/>
    <w:unhideWhenUsed/>
    <w:rsid w:val="00987442"/>
    <w:rPr>
      <w:szCs w:val="25"/>
    </w:rPr>
  </w:style>
  <w:style w:type="character" w:customStyle="1" w:styleId="CommentTextChar">
    <w:name w:val="Comment Text Char"/>
    <w:basedOn w:val="DefaultParagraphFont"/>
    <w:link w:val="CommentText"/>
    <w:uiPriority w:val="99"/>
    <w:rsid w:val="00987442"/>
    <w:rPr>
      <w:sz w:val="20"/>
      <w:szCs w:val="25"/>
    </w:rPr>
  </w:style>
  <w:style w:type="paragraph" w:styleId="CommentSubject">
    <w:name w:val="annotation subject"/>
    <w:basedOn w:val="CommentText"/>
    <w:next w:val="CommentText"/>
    <w:link w:val="CommentSubjectChar"/>
    <w:uiPriority w:val="99"/>
    <w:semiHidden/>
    <w:unhideWhenUsed/>
    <w:rsid w:val="00987442"/>
    <w:rPr>
      <w:b/>
      <w:bCs/>
    </w:rPr>
  </w:style>
  <w:style w:type="character" w:customStyle="1" w:styleId="CommentSubjectChar">
    <w:name w:val="Comment Subject Char"/>
    <w:basedOn w:val="CommentTextChar"/>
    <w:link w:val="CommentSubject"/>
    <w:uiPriority w:val="99"/>
    <w:semiHidden/>
    <w:rsid w:val="00987442"/>
    <w:rPr>
      <w:b/>
      <w:bCs/>
      <w:sz w:val="20"/>
      <w:szCs w:val="25"/>
    </w:rPr>
  </w:style>
  <w:style w:type="paragraph" w:styleId="BodyText">
    <w:name w:val="Body Text"/>
    <w:basedOn w:val="Normal"/>
    <w:link w:val="BodyTextChar"/>
    <w:autoRedefine/>
    <w:qFormat/>
    <w:rsid w:val="00263674"/>
    <w:pPr>
      <w:spacing w:before="60"/>
    </w:pPr>
    <w:rPr>
      <w:color w:val="000000" w:themeColor="text1"/>
      <w:sz w:val="16"/>
      <w:szCs w:val="16"/>
      <w:lang w:val="mi-NZ"/>
    </w:rPr>
  </w:style>
  <w:style w:type="character" w:customStyle="1" w:styleId="BodyTextChar">
    <w:name w:val="Body Text Char"/>
    <w:basedOn w:val="DefaultParagraphFont"/>
    <w:link w:val="BodyText"/>
    <w:rsid w:val="00263674"/>
    <w:rPr>
      <w:rFonts w:eastAsia="Times New Roman" w:cs="Times New Roman"/>
      <w:color w:val="000000" w:themeColor="text1"/>
      <w:sz w:val="16"/>
      <w:szCs w:val="16"/>
      <w:lang w:val="mi-NZ" w:eastAsia="en-GB" w:bidi="ar-SA"/>
    </w:rPr>
  </w:style>
  <w:style w:type="table" w:styleId="ListTable3-Accent1">
    <w:name w:val="List Table 3 Accent 1"/>
    <w:basedOn w:val="TableNormal"/>
    <w:uiPriority w:val="48"/>
    <w:rsid w:val="00833547"/>
    <w:pPr>
      <w:spacing w:after="0" w:line="240" w:lineRule="auto"/>
    </w:pPr>
    <w:tblPr>
      <w:tblStyleRowBandSize w:val="1"/>
      <w:tblStyleColBandSize w:val="1"/>
      <w:tblBorders>
        <w:top w:val="single" w:sz="4" w:space="0" w:color="197278" w:themeColor="accent1"/>
        <w:left w:val="single" w:sz="4" w:space="0" w:color="197278" w:themeColor="accent1"/>
        <w:bottom w:val="single" w:sz="4" w:space="0" w:color="197278" w:themeColor="accent1"/>
        <w:right w:val="single" w:sz="4" w:space="0" w:color="197278" w:themeColor="accent1"/>
      </w:tblBorders>
    </w:tblPr>
    <w:tblStylePr w:type="firstRow">
      <w:rPr>
        <w:b/>
        <w:bCs/>
        <w:color w:val="FFFFFF" w:themeColor="background1"/>
      </w:rPr>
      <w:tblPr/>
      <w:tcPr>
        <w:shd w:val="clear" w:color="auto" w:fill="197278" w:themeFill="accent1"/>
      </w:tcPr>
    </w:tblStylePr>
    <w:tblStylePr w:type="lastRow">
      <w:rPr>
        <w:b/>
        <w:bCs/>
      </w:rPr>
      <w:tblPr/>
      <w:tcPr>
        <w:tcBorders>
          <w:top w:val="double" w:sz="4" w:space="0" w:color="1972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278" w:themeColor="accent1"/>
          <w:right w:val="single" w:sz="4" w:space="0" w:color="197278" w:themeColor="accent1"/>
        </w:tcBorders>
      </w:tcPr>
    </w:tblStylePr>
    <w:tblStylePr w:type="band1Horz">
      <w:tblPr/>
      <w:tcPr>
        <w:tcBorders>
          <w:top w:val="single" w:sz="4" w:space="0" w:color="197278" w:themeColor="accent1"/>
          <w:bottom w:val="single" w:sz="4" w:space="0" w:color="1972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278" w:themeColor="accent1"/>
          <w:left w:val="nil"/>
        </w:tcBorders>
      </w:tcPr>
    </w:tblStylePr>
    <w:tblStylePr w:type="swCell">
      <w:tblPr/>
      <w:tcPr>
        <w:tcBorders>
          <w:top w:val="double" w:sz="4" w:space="0" w:color="197278" w:themeColor="accent1"/>
          <w:right w:val="nil"/>
        </w:tcBorders>
      </w:tcPr>
    </w:tblStylePr>
  </w:style>
  <w:style w:type="paragraph" w:customStyle="1" w:styleId="Chart-full-width">
    <w:name w:val="Chart - full-width"/>
    <w:basedOn w:val="Normal"/>
    <w:link w:val="Chart-full-widthChar"/>
    <w:qFormat/>
    <w:rsid w:val="00AD0624"/>
    <w:pPr>
      <w:ind w:left="-709" w:right="-709"/>
      <w:jc w:val="center"/>
    </w:pPr>
    <w:rPr>
      <w:noProof/>
    </w:rPr>
  </w:style>
  <w:style w:type="character" w:customStyle="1" w:styleId="Chart-full-widthChar">
    <w:name w:val="Chart - full-width Char"/>
    <w:basedOn w:val="DefaultParagraphFont"/>
    <w:link w:val="Chart-full-width"/>
    <w:rsid w:val="00AD0624"/>
    <w:rPr>
      <w:rFonts w:eastAsia="Times New Roman" w:cs="Times New Roman"/>
      <w:noProof/>
      <w:sz w:val="20"/>
      <w:szCs w:val="24"/>
      <w:lang w:val="en-NZ" w:eastAsia="en-GB" w:bidi="ar-SA"/>
    </w:rPr>
  </w:style>
  <w:style w:type="paragraph" w:customStyle="1" w:styleId="Bullet">
    <w:name w:val="Bullet"/>
    <w:basedOn w:val="ListParagraph"/>
    <w:link w:val="BulletChar"/>
    <w:autoRedefine/>
    <w:uiPriority w:val="1"/>
    <w:qFormat/>
    <w:rsid w:val="001F1051"/>
    <w:pPr>
      <w:numPr>
        <w:numId w:val="10"/>
      </w:numPr>
      <w:spacing w:before="0" w:after="60" w:line="240" w:lineRule="auto"/>
      <w:ind w:left="737" w:hanging="357"/>
      <w:contextualSpacing w:val="0"/>
    </w:pPr>
    <w:rPr>
      <w:rFonts w:ascii="Arial Nova Light" w:hAnsi="Arial Nova Light"/>
      <w:lang w:val="en-NZ"/>
    </w:rPr>
  </w:style>
  <w:style w:type="character" w:customStyle="1" w:styleId="BulletChar">
    <w:name w:val="Bullet Char"/>
    <w:aliases w:val="List Paragraph Char"/>
    <w:basedOn w:val="DefaultParagraphFont"/>
    <w:link w:val="Bullet"/>
    <w:uiPriority w:val="1"/>
    <w:rsid w:val="001F1051"/>
    <w:rPr>
      <w:rFonts w:ascii="Arial Nova Light" w:eastAsia="Times New Roman" w:hAnsi="Arial Nova Light" w:cs="Times New Roman"/>
      <w:sz w:val="20"/>
      <w:szCs w:val="24"/>
      <w:lang w:val="en-NZ" w:eastAsia="en-GB" w:bidi="ar-SA"/>
    </w:rPr>
  </w:style>
  <w:style w:type="character" w:customStyle="1" w:styleId="Heading4Char">
    <w:name w:val="Heading 4 Char"/>
    <w:basedOn w:val="DefaultParagraphFont"/>
    <w:link w:val="Heading4"/>
    <w:uiPriority w:val="9"/>
    <w:rsid w:val="00E74212"/>
    <w:rPr>
      <w:rFonts w:asciiTheme="majorHAnsi" w:eastAsiaTheme="majorEastAsia" w:hAnsiTheme="majorHAnsi" w:cstheme="majorBidi"/>
      <w:i/>
      <w:iCs/>
      <w:color w:val="125459" w:themeColor="accent1" w:themeShade="BF"/>
      <w:sz w:val="20"/>
    </w:rPr>
  </w:style>
  <w:style w:type="character" w:styleId="Strong">
    <w:name w:val="Strong"/>
    <w:basedOn w:val="DefaultParagraphFont"/>
    <w:uiPriority w:val="22"/>
    <w:qFormat/>
    <w:rsid w:val="00E74212"/>
    <w:rPr>
      <w:b/>
      <w:bCs/>
    </w:rPr>
  </w:style>
  <w:style w:type="table" w:styleId="TableGrid">
    <w:name w:val="Table Grid"/>
    <w:basedOn w:val="TableNormal"/>
    <w:uiPriority w:val="39"/>
    <w:rsid w:val="00E74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4212"/>
    <w:pPr>
      <w:spacing w:after="0" w:line="240" w:lineRule="auto"/>
    </w:pPr>
    <w:rPr>
      <w:szCs w:val="28"/>
    </w:rPr>
  </w:style>
  <w:style w:type="paragraph" w:styleId="Revision">
    <w:name w:val="Revision"/>
    <w:hidden/>
    <w:uiPriority w:val="99"/>
    <w:semiHidden/>
    <w:rsid w:val="00E74212"/>
    <w:pPr>
      <w:spacing w:after="0" w:line="240" w:lineRule="auto"/>
    </w:pPr>
    <w:rPr>
      <w:szCs w:val="28"/>
    </w:rPr>
  </w:style>
  <w:style w:type="paragraph" w:styleId="Header">
    <w:name w:val="header"/>
    <w:basedOn w:val="Normal"/>
    <w:link w:val="HeaderChar"/>
    <w:uiPriority w:val="99"/>
    <w:unhideWhenUsed/>
    <w:rsid w:val="00E74212"/>
    <w:pPr>
      <w:tabs>
        <w:tab w:val="center" w:pos="4680"/>
        <w:tab w:val="right" w:pos="9360"/>
      </w:tabs>
    </w:pPr>
    <w:rPr>
      <w:szCs w:val="28"/>
    </w:rPr>
  </w:style>
  <w:style w:type="character" w:customStyle="1" w:styleId="HeaderChar">
    <w:name w:val="Header Char"/>
    <w:basedOn w:val="DefaultParagraphFont"/>
    <w:link w:val="Header"/>
    <w:uiPriority w:val="99"/>
    <w:rsid w:val="00E74212"/>
    <w:rPr>
      <w:sz w:val="20"/>
      <w:szCs w:val="28"/>
    </w:rPr>
  </w:style>
  <w:style w:type="paragraph" w:styleId="Footer">
    <w:name w:val="footer"/>
    <w:basedOn w:val="Normal"/>
    <w:link w:val="FooterChar"/>
    <w:uiPriority w:val="99"/>
    <w:unhideWhenUsed/>
    <w:rsid w:val="00E74212"/>
    <w:pPr>
      <w:tabs>
        <w:tab w:val="center" w:pos="4680"/>
        <w:tab w:val="right" w:pos="9360"/>
      </w:tabs>
    </w:pPr>
    <w:rPr>
      <w:szCs w:val="28"/>
    </w:rPr>
  </w:style>
  <w:style w:type="character" w:customStyle="1" w:styleId="FooterChar">
    <w:name w:val="Footer Char"/>
    <w:basedOn w:val="DefaultParagraphFont"/>
    <w:link w:val="Footer"/>
    <w:uiPriority w:val="99"/>
    <w:rsid w:val="00E74212"/>
    <w:rPr>
      <w:sz w:val="20"/>
      <w:szCs w:val="28"/>
    </w:rPr>
  </w:style>
  <w:style w:type="paragraph" w:customStyle="1" w:styleId="Charttitle">
    <w:name w:val="Chart title"/>
    <w:basedOn w:val="Normal"/>
    <w:link w:val="CharttitleChar"/>
    <w:qFormat/>
    <w:rsid w:val="00E74212"/>
    <w:pPr>
      <w:ind w:left="720"/>
    </w:pPr>
    <w:rPr>
      <w:rFonts w:ascii="Arial Nova Cond" w:hAnsi="Arial Nova Cond"/>
      <w:color w:val="595959" w:themeColor="text1" w:themeTint="A6"/>
      <w:lang w:val="mi-NZ"/>
    </w:rPr>
  </w:style>
  <w:style w:type="character" w:customStyle="1" w:styleId="CharttitleChar">
    <w:name w:val="Chart title Char"/>
    <w:basedOn w:val="DefaultParagraphFont"/>
    <w:link w:val="Charttitle"/>
    <w:rsid w:val="00E74212"/>
    <w:rPr>
      <w:rFonts w:ascii="Arial Nova Cond" w:hAnsi="Arial Nova Cond"/>
      <w:color w:val="595959" w:themeColor="text1" w:themeTint="A6"/>
      <w:sz w:val="20"/>
      <w:lang w:val="mi-NZ"/>
    </w:rPr>
  </w:style>
  <w:style w:type="paragraph" w:styleId="Bibliography">
    <w:name w:val="Bibliography"/>
    <w:basedOn w:val="Normal"/>
    <w:next w:val="Normal"/>
    <w:uiPriority w:val="37"/>
    <w:unhideWhenUsed/>
    <w:rsid w:val="00E74212"/>
  </w:style>
  <w:style w:type="character" w:styleId="Hyperlink">
    <w:name w:val="Hyperlink"/>
    <w:basedOn w:val="DefaultParagraphFont"/>
    <w:uiPriority w:val="99"/>
    <w:unhideWhenUsed/>
    <w:rsid w:val="00BC28A0"/>
    <w:rPr>
      <w:color w:val="0563C1" w:themeColor="hyperlink"/>
      <w:u w:val="single"/>
    </w:rPr>
  </w:style>
  <w:style w:type="paragraph" w:customStyle="1" w:styleId="StyleTableTextBold">
    <w:name w:val="Style TableText + Bold"/>
    <w:basedOn w:val="TableText"/>
    <w:rsid w:val="00BA7DE0"/>
    <w:rPr>
      <w:b/>
      <w:bCs/>
    </w:rPr>
  </w:style>
  <w:style w:type="character" w:styleId="UnresolvedMention">
    <w:name w:val="Unresolved Mention"/>
    <w:basedOn w:val="DefaultParagraphFont"/>
    <w:uiPriority w:val="99"/>
    <w:semiHidden/>
    <w:unhideWhenUsed/>
    <w:rsid w:val="00B21A91"/>
    <w:rPr>
      <w:color w:val="605E5C"/>
      <w:shd w:val="clear" w:color="auto" w:fill="E1DFDD"/>
    </w:rPr>
  </w:style>
  <w:style w:type="paragraph" w:styleId="NormalWeb">
    <w:name w:val="Normal (Web)"/>
    <w:basedOn w:val="Normal"/>
    <w:uiPriority w:val="99"/>
    <w:semiHidden/>
    <w:unhideWhenUsed/>
    <w:rsid w:val="00B21A91"/>
    <w:pPr>
      <w:spacing w:before="100" w:beforeAutospacing="1" w:after="100" w:afterAutospacing="1"/>
    </w:pPr>
  </w:style>
  <w:style w:type="paragraph" w:customStyle="1" w:styleId="TableText">
    <w:name w:val="TableText"/>
    <w:basedOn w:val="Normal"/>
    <w:link w:val="TableTextChar"/>
    <w:qFormat/>
    <w:rsid w:val="00002643"/>
    <w:pPr>
      <w:spacing w:before="0" w:after="0"/>
    </w:pPr>
    <w:rPr>
      <w:rFonts w:ascii="Arial Nova Cond" w:hAnsi="Arial Nova Cond"/>
      <w:color w:val="3B3838" w:themeColor="background2" w:themeShade="40"/>
      <w:szCs w:val="20"/>
    </w:rPr>
  </w:style>
  <w:style w:type="character" w:customStyle="1" w:styleId="TableTextChar">
    <w:name w:val="TableText Char"/>
    <w:link w:val="TableText"/>
    <w:rsid w:val="00002643"/>
    <w:rPr>
      <w:rFonts w:ascii="Arial Nova Cond" w:eastAsia="Times New Roman" w:hAnsi="Arial Nova Cond" w:cs="Times New Roman"/>
      <w:color w:val="3B3838" w:themeColor="background2" w:themeShade="40"/>
      <w:sz w:val="20"/>
      <w:szCs w:val="20"/>
      <w:lang w:val="en-NZ" w:eastAsia="en-GB" w:bidi="ar-SA"/>
    </w:rPr>
  </w:style>
  <w:style w:type="paragraph" w:customStyle="1" w:styleId="Quotebreak">
    <w:name w:val="Quote break"/>
    <w:basedOn w:val="Normal"/>
    <w:link w:val="QuotebreakChar"/>
    <w:qFormat/>
    <w:rsid w:val="001A3BC7"/>
    <w:rPr>
      <w:rFonts w:ascii="Arial Nova Cond" w:hAnsi="Arial Nova Cond"/>
      <w:sz w:val="2"/>
      <w:szCs w:val="4"/>
      <w:lang w:val="mi-NZ"/>
    </w:rPr>
  </w:style>
  <w:style w:type="paragraph" w:styleId="TOC1">
    <w:name w:val="toc 1"/>
    <w:basedOn w:val="Normal"/>
    <w:next w:val="Normal"/>
    <w:autoRedefine/>
    <w:uiPriority w:val="39"/>
    <w:unhideWhenUsed/>
    <w:rsid w:val="006527E5"/>
    <w:pPr>
      <w:spacing w:after="100"/>
    </w:pPr>
  </w:style>
  <w:style w:type="character" w:customStyle="1" w:styleId="QuotebreakChar">
    <w:name w:val="Quote break Char"/>
    <w:basedOn w:val="DefaultParagraphFont"/>
    <w:link w:val="Quotebreak"/>
    <w:rsid w:val="001A3BC7"/>
    <w:rPr>
      <w:rFonts w:ascii="Arial Nova Cond" w:eastAsia="Times New Roman" w:hAnsi="Arial Nova Cond" w:cs="Times New Roman"/>
      <w:sz w:val="2"/>
      <w:szCs w:val="4"/>
      <w:lang w:val="mi-NZ" w:eastAsia="en-GB" w:bidi="ar-SA"/>
    </w:rPr>
  </w:style>
  <w:style w:type="paragraph" w:styleId="TOC2">
    <w:name w:val="toc 2"/>
    <w:basedOn w:val="Normal"/>
    <w:next w:val="Normal"/>
    <w:autoRedefine/>
    <w:uiPriority w:val="39"/>
    <w:unhideWhenUsed/>
    <w:rsid w:val="006527E5"/>
    <w:pPr>
      <w:spacing w:after="100"/>
      <w:ind w:left="200"/>
    </w:pPr>
  </w:style>
  <w:style w:type="character" w:styleId="PageNumber">
    <w:name w:val="page number"/>
    <w:basedOn w:val="DefaultParagraphFont"/>
    <w:uiPriority w:val="99"/>
    <w:semiHidden/>
    <w:unhideWhenUsed/>
    <w:rsid w:val="006527E5"/>
  </w:style>
  <w:style w:type="paragraph" w:customStyle="1" w:styleId="QuoteSmallBlue">
    <w:name w:val="QuoteSmallBlue"/>
    <w:basedOn w:val="Normal"/>
    <w:autoRedefine/>
    <w:rsid w:val="001A7933"/>
    <w:pPr>
      <w:pBdr>
        <w:left w:val="single" w:sz="48" w:space="4" w:color="197278" w:themeColor="accent1"/>
      </w:pBdr>
      <w:spacing w:after="180" w:line="240" w:lineRule="auto"/>
      <w:ind w:left="720" w:right="720"/>
    </w:pPr>
    <w:rPr>
      <w:rFonts w:ascii="Arial Nova Light" w:hAnsi="Arial Nova Light"/>
      <w:color w:val="283D3B"/>
    </w:rPr>
  </w:style>
  <w:style w:type="character" w:styleId="EndnoteReference">
    <w:name w:val="endnote reference"/>
    <w:basedOn w:val="DefaultParagraphFont"/>
    <w:uiPriority w:val="99"/>
    <w:unhideWhenUsed/>
    <w:rPr>
      <w:vertAlign w:val="superscript"/>
    </w:rPr>
  </w:style>
  <w:style w:type="character" w:customStyle="1" w:styleId="EndnoteTextChar">
    <w:name w:val="Endnote Text Char"/>
    <w:basedOn w:val="DefaultParagraphFont"/>
    <w:link w:val="EndnoteText"/>
    <w:uiPriority w:val="99"/>
    <w:rPr>
      <w:sz w:val="20"/>
      <w:szCs w:val="20"/>
    </w:rPr>
  </w:style>
  <w:style w:type="paragraph" w:styleId="EndnoteText">
    <w:name w:val="endnote text"/>
    <w:basedOn w:val="Normal"/>
    <w:link w:val="EndnoteTextChar"/>
    <w:uiPriority w:val="99"/>
    <w:unhideWhenUsed/>
    <w:pPr>
      <w:spacing w:after="0" w:line="240" w:lineRule="auto"/>
    </w:pPr>
    <w:rPr>
      <w:szCs w:val="20"/>
    </w:rPr>
  </w:style>
  <w:style w:type="paragraph" w:customStyle="1" w:styleId="Actionsheading">
    <w:name w:val="Actions heading"/>
    <w:basedOn w:val="Accentheading2"/>
    <w:qFormat/>
    <w:rsid w:val="00AA2E29"/>
    <w:pPr>
      <w:spacing w:before="120"/>
      <w:outlineLvl w:val="9"/>
    </w:pPr>
  </w:style>
  <w:style w:type="paragraph" w:customStyle="1" w:styleId="Actionslist">
    <w:name w:val="Actions list"/>
    <w:basedOn w:val="ListParagraph"/>
    <w:qFormat/>
    <w:rsid w:val="00AA2E29"/>
    <w:pPr>
      <w:numPr>
        <w:numId w:val="36"/>
      </w:numPr>
      <w:spacing w:before="0"/>
    </w:pPr>
    <w:rPr>
      <w:lang w:val="en-NZ"/>
    </w:rPr>
  </w:style>
  <w:style w:type="paragraph" w:customStyle="1" w:styleId="ReportInfoHeading">
    <w:name w:val="Report Info Heading"/>
    <w:basedOn w:val="Normal"/>
    <w:qFormat/>
    <w:rsid w:val="00625710"/>
    <w:pPr>
      <w:spacing w:before="0" w:after="160" w:line="259" w:lineRule="auto"/>
    </w:pPr>
    <w:rPr>
      <w:rFonts w:asciiTheme="majorHAnsi" w:hAnsiTheme="majorHAnsi"/>
      <w:color w:val="197278" w:themeColor="accent1"/>
      <w:sz w:val="24"/>
      <w:szCs w:val="32"/>
    </w:rPr>
  </w:style>
  <w:style w:type="paragraph" w:customStyle="1" w:styleId="Contentsheading">
    <w:name w:val="Contents heading"/>
    <w:basedOn w:val="Normal"/>
    <w:qFormat/>
    <w:rsid w:val="00AF00BB"/>
    <w:pPr>
      <w:spacing w:before="180" w:line="259" w:lineRule="auto"/>
    </w:pPr>
    <w:rPr>
      <w:rFonts w:asciiTheme="majorHAnsi" w:hAnsiTheme="majorHAnsi"/>
      <w:b/>
      <w:bCs/>
      <w:color w:val="197278" w:themeColor="accent1"/>
      <w:sz w:val="28"/>
      <w:szCs w:val="36"/>
    </w:rPr>
  </w:style>
  <w:style w:type="paragraph" w:customStyle="1" w:styleId="zTableBody">
    <w:name w:val="zTable Body"/>
    <w:basedOn w:val="Normal"/>
    <w:autoRedefine/>
    <w:rsid w:val="000E3132"/>
    <w:pPr>
      <w:keepNext/>
      <w:spacing w:before="60" w:after="60" w:line="240" w:lineRule="auto"/>
    </w:pPr>
    <w:rPr>
      <w:rFonts w:ascii="Arial Nova Light" w:hAnsi="Arial Nova Light"/>
      <w:sz w:val="18"/>
    </w:rPr>
  </w:style>
  <w:style w:type="character" w:customStyle="1" w:styleId="CaptionChar">
    <w:name w:val="Caption Char"/>
    <w:basedOn w:val="DefaultParagraphFont"/>
    <w:link w:val="Caption"/>
    <w:rsid w:val="00EB2C5C"/>
    <w:rPr>
      <w:rFonts w:eastAsia="Times New Roman" w:cs="Times New Roman"/>
      <w:i/>
      <w:iCs/>
      <w:color w:val="283D3B" w:themeColor="text2"/>
      <w:sz w:val="18"/>
      <w:szCs w:val="24"/>
      <w:lang w:val="en-NZ" w:eastAsia="en-GB" w:bidi="ar-SA"/>
    </w:rPr>
  </w:style>
  <w:style w:type="paragraph" w:customStyle="1" w:styleId="Heading3-nonumbering">
    <w:name w:val="Heading 3 - no numbering"/>
    <w:basedOn w:val="Heading3"/>
    <w:qFormat/>
    <w:rsid w:val="00444C43"/>
    <w:pPr>
      <w:keepLines w:val="0"/>
      <w:spacing w:before="360" w:after="180" w:line="240" w:lineRule="auto"/>
    </w:pPr>
    <w:rPr>
      <w:rFonts w:ascii="Segoe UI" w:eastAsia="Times New Roman" w:hAnsi="Segoe UI" w:cs="Times New Roman"/>
      <w:b w:val="0"/>
      <w:bCs w:val="0"/>
      <w:color w:val="0A6AB4"/>
      <w:spacing w:val="-5"/>
      <w:sz w:val="36"/>
      <w:szCs w:val="20"/>
    </w:rPr>
  </w:style>
  <w:style w:type="paragraph" w:customStyle="1" w:styleId="Heading2A">
    <w:name w:val="Heading 2A"/>
    <w:basedOn w:val="Heading2"/>
    <w:link w:val="Heading2AChar"/>
    <w:autoRedefine/>
    <w:qFormat/>
    <w:rsid w:val="00CD4B56"/>
    <w:pPr>
      <w:spacing w:after="0" w:line="240" w:lineRule="auto"/>
    </w:pPr>
    <w:rPr>
      <w:rFonts w:ascii="Arial Nova Light" w:hAnsi="Arial Nova Light" w:cs="Times New Roman (Headings CS)"/>
      <w:b/>
      <w:color w:val="EE5442"/>
      <w:szCs w:val="26"/>
    </w:rPr>
  </w:style>
  <w:style w:type="character" w:customStyle="1" w:styleId="Heading2AChar">
    <w:name w:val="Heading 2A Char"/>
    <w:basedOn w:val="Heading2Char"/>
    <w:link w:val="Heading2A"/>
    <w:rsid w:val="00CD4B56"/>
    <w:rPr>
      <w:rFonts w:ascii="Arial Nova Light" w:eastAsiaTheme="majorEastAsia" w:hAnsi="Arial Nova Light" w:cs="Times New Roman (Headings CS)"/>
      <w:b/>
      <w:color w:val="EE5442"/>
      <w:sz w:val="26"/>
      <w:szCs w:val="26"/>
      <w:lang w:val="en-NZ" w:eastAsia="en-GB" w:bidi="ar-SA"/>
    </w:rPr>
  </w:style>
  <w:style w:type="paragraph" w:styleId="TableofFigures">
    <w:name w:val="table of figures"/>
    <w:basedOn w:val="Normal"/>
    <w:next w:val="Normal"/>
    <w:uiPriority w:val="99"/>
    <w:unhideWhenUsed/>
    <w:rsid w:val="00AF00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832">
      <w:bodyDiv w:val="1"/>
      <w:marLeft w:val="0"/>
      <w:marRight w:val="0"/>
      <w:marTop w:val="0"/>
      <w:marBottom w:val="0"/>
      <w:divBdr>
        <w:top w:val="none" w:sz="0" w:space="0" w:color="auto"/>
        <w:left w:val="none" w:sz="0" w:space="0" w:color="auto"/>
        <w:bottom w:val="none" w:sz="0" w:space="0" w:color="auto"/>
        <w:right w:val="none" w:sz="0" w:space="0" w:color="auto"/>
      </w:divBdr>
    </w:div>
    <w:div w:id="3944114">
      <w:bodyDiv w:val="1"/>
      <w:marLeft w:val="0"/>
      <w:marRight w:val="0"/>
      <w:marTop w:val="0"/>
      <w:marBottom w:val="0"/>
      <w:divBdr>
        <w:top w:val="none" w:sz="0" w:space="0" w:color="auto"/>
        <w:left w:val="none" w:sz="0" w:space="0" w:color="auto"/>
        <w:bottom w:val="none" w:sz="0" w:space="0" w:color="auto"/>
        <w:right w:val="none" w:sz="0" w:space="0" w:color="auto"/>
      </w:divBdr>
    </w:div>
    <w:div w:id="7605352">
      <w:bodyDiv w:val="1"/>
      <w:marLeft w:val="0"/>
      <w:marRight w:val="0"/>
      <w:marTop w:val="0"/>
      <w:marBottom w:val="0"/>
      <w:divBdr>
        <w:top w:val="none" w:sz="0" w:space="0" w:color="auto"/>
        <w:left w:val="none" w:sz="0" w:space="0" w:color="auto"/>
        <w:bottom w:val="none" w:sz="0" w:space="0" w:color="auto"/>
        <w:right w:val="none" w:sz="0" w:space="0" w:color="auto"/>
      </w:divBdr>
    </w:div>
    <w:div w:id="13532075">
      <w:bodyDiv w:val="1"/>
      <w:marLeft w:val="0"/>
      <w:marRight w:val="0"/>
      <w:marTop w:val="0"/>
      <w:marBottom w:val="0"/>
      <w:divBdr>
        <w:top w:val="none" w:sz="0" w:space="0" w:color="auto"/>
        <w:left w:val="none" w:sz="0" w:space="0" w:color="auto"/>
        <w:bottom w:val="none" w:sz="0" w:space="0" w:color="auto"/>
        <w:right w:val="none" w:sz="0" w:space="0" w:color="auto"/>
      </w:divBdr>
    </w:div>
    <w:div w:id="15499096">
      <w:bodyDiv w:val="1"/>
      <w:marLeft w:val="0"/>
      <w:marRight w:val="0"/>
      <w:marTop w:val="0"/>
      <w:marBottom w:val="0"/>
      <w:divBdr>
        <w:top w:val="none" w:sz="0" w:space="0" w:color="auto"/>
        <w:left w:val="none" w:sz="0" w:space="0" w:color="auto"/>
        <w:bottom w:val="none" w:sz="0" w:space="0" w:color="auto"/>
        <w:right w:val="none" w:sz="0" w:space="0" w:color="auto"/>
      </w:divBdr>
    </w:div>
    <w:div w:id="19012615">
      <w:bodyDiv w:val="1"/>
      <w:marLeft w:val="0"/>
      <w:marRight w:val="0"/>
      <w:marTop w:val="0"/>
      <w:marBottom w:val="0"/>
      <w:divBdr>
        <w:top w:val="none" w:sz="0" w:space="0" w:color="auto"/>
        <w:left w:val="none" w:sz="0" w:space="0" w:color="auto"/>
        <w:bottom w:val="none" w:sz="0" w:space="0" w:color="auto"/>
        <w:right w:val="none" w:sz="0" w:space="0" w:color="auto"/>
      </w:divBdr>
    </w:div>
    <w:div w:id="19203545">
      <w:bodyDiv w:val="1"/>
      <w:marLeft w:val="0"/>
      <w:marRight w:val="0"/>
      <w:marTop w:val="0"/>
      <w:marBottom w:val="0"/>
      <w:divBdr>
        <w:top w:val="none" w:sz="0" w:space="0" w:color="auto"/>
        <w:left w:val="none" w:sz="0" w:space="0" w:color="auto"/>
        <w:bottom w:val="none" w:sz="0" w:space="0" w:color="auto"/>
        <w:right w:val="none" w:sz="0" w:space="0" w:color="auto"/>
      </w:divBdr>
    </w:div>
    <w:div w:id="40792911">
      <w:bodyDiv w:val="1"/>
      <w:marLeft w:val="0"/>
      <w:marRight w:val="0"/>
      <w:marTop w:val="0"/>
      <w:marBottom w:val="0"/>
      <w:divBdr>
        <w:top w:val="none" w:sz="0" w:space="0" w:color="auto"/>
        <w:left w:val="none" w:sz="0" w:space="0" w:color="auto"/>
        <w:bottom w:val="none" w:sz="0" w:space="0" w:color="auto"/>
        <w:right w:val="none" w:sz="0" w:space="0" w:color="auto"/>
      </w:divBdr>
    </w:div>
    <w:div w:id="60757220">
      <w:bodyDiv w:val="1"/>
      <w:marLeft w:val="0"/>
      <w:marRight w:val="0"/>
      <w:marTop w:val="0"/>
      <w:marBottom w:val="0"/>
      <w:divBdr>
        <w:top w:val="none" w:sz="0" w:space="0" w:color="auto"/>
        <w:left w:val="none" w:sz="0" w:space="0" w:color="auto"/>
        <w:bottom w:val="none" w:sz="0" w:space="0" w:color="auto"/>
        <w:right w:val="none" w:sz="0" w:space="0" w:color="auto"/>
      </w:divBdr>
    </w:div>
    <w:div w:id="68039945">
      <w:bodyDiv w:val="1"/>
      <w:marLeft w:val="0"/>
      <w:marRight w:val="0"/>
      <w:marTop w:val="0"/>
      <w:marBottom w:val="0"/>
      <w:divBdr>
        <w:top w:val="none" w:sz="0" w:space="0" w:color="auto"/>
        <w:left w:val="none" w:sz="0" w:space="0" w:color="auto"/>
        <w:bottom w:val="none" w:sz="0" w:space="0" w:color="auto"/>
        <w:right w:val="none" w:sz="0" w:space="0" w:color="auto"/>
      </w:divBdr>
    </w:div>
    <w:div w:id="80298441">
      <w:bodyDiv w:val="1"/>
      <w:marLeft w:val="0"/>
      <w:marRight w:val="0"/>
      <w:marTop w:val="0"/>
      <w:marBottom w:val="0"/>
      <w:divBdr>
        <w:top w:val="none" w:sz="0" w:space="0" w:color="auto"/>
        <w:left w:val="none" w:sz="0" w:space="0" w:color="auto"/>
        <w:bottom w:val="none" w:sz="0" w:space="0" w:color="auto"/>
        <w:right w:val="none" w:sz="0" w:space="0" w:color="auto"/>
      </w:divBdr>
    </w:div>
    <w:div w:id="87040889">
      <w:bodyDiv w:val="1"/>
      <w:marLeft w:val="0"/>
      <w:marRight w:val="0"/>
      <w:marTop w:val="0"/>
      <w:marBottom w:val="0"/>
      <w:divBdr>
        <w:top w:val="none" w:sz="0" w:space="0" w:color="auto"/>
        <w:left w:val="none" w:sz="0" w:space="0" w:color="auto"/>
        <w:bottom w:val="none" w:sz="0" w:space="0" w:color="auto"/>
        <w:right w:val="none" w:sz="0" w:space="0" w:color="auto"/>
      </w:divBdr>
    </w:div>
    <w:div w:id="93480181">
      <w:bodyDiv w:val="1"/>
      <w:marLeft w:val="0"/>
      <w:marRight w:val="0"/>
      <w:marTop w:val="0"/>
      <w:marBottom w:val="0"/>
      <w:divBdr>
        <w:top w:val="none" w:sz="0" w:space="0" w:color="auto"/>
        <w:left w:val="none" w:sz="0" w:space="0" w:color="auto"/>
        <w:bottom w:val="none" w:sz="0" w:space="0" w:color="auto"/>
        <w:right w:val="none" w:sz="0" w:space="0" w:color="auto"/>
      </w:divBdr>
    </w:div>
    <w:div w:id="115032336">
      <w:bodyDiv w:val="1"/>
      <w:marLeft w:val="0"/>
      <w:marRight w:val="0"/>
      <w:marTop w:val="0"/>
      <w:marBottom w:val="0"/>
      <w:divBdr>
        <w:top w:val="none" w:sz="0" w:space="0" w:color="auto"/>
        <w:left w:val="none" w:sz="0" w:space="0" w:color="auto"/>
        <w:bottom w:val="none" w:sz="0" w:space="0" w:color="auto"/>
        <w:right w:val="none" w:sz="0" w:space="0" w:color="auto"/>
      </w:divBdr>
    </w:div>
    <w:div w:id="119886004">
      <w:bodyDiv w:val="1"/>
      <w:marLeft w:val="0"/>
      <w:marRight w:val="0"/>
      <w:marTop w:val="0"/>
      <w:marBottom w:val="0"/>
      <w:divBdr>
        <w:top w:val="none" w:sz="0" w:space="0" w:color="auto"/>
        <w:left w:val="none" w:sz="0" w:space="0" w:color="auto"/>
        <w:bottom w:val="none" w:sz="0" w:space="0" w:color="auto"/>
        <w:right w:val="none" w:sz="0" w:space="0" w:color="auto"/>
      </w:divBdr>
    </w:div>
    <w:div w:id="121731869">
      <w:bodyDiv w:val="1"/>
      <w:marLeft w:val="0"/>
      <w:marRight w:val="0"/>
      <w:marTop w:val="0"/>
      <w:marBottom w:val="0"/>
      <w:divBdr>
        <w:top w:val="none" w:sz="0" w:space="0" w:color="auto"/>
        <w:left w:val="none" w:sz="0" w:space="0" w:color="auto"/>
        <w:bottom w:val="none" w:sz="0" w:space="0" w:color="auto"/>
        <w:right w:val="none" w:sz="0" w:space="0" w:color="auto"/>
      </w:divBdr>
    </w:div>
    <w:div w:id="139470354">
      <w:bodyDiv w:val="1"/>
      <w:marLeft w:val="0"/>
      <w:marRight w:val="0"/>
      <w:marTop w:val="0"/>
      <w:marBottom w:val="0"/>
      <w:divBdr>
        <w:top w:val="none" w:sz="0" w:space="0" w:color="auto"/>
        <w:left w:val="none" w:sz="0" w:space="0" w:color="auto"/>
        <w:bottom w:val="none" w:sz="0" w:space="0" w:color="auto"/>
        <w:right w:val="none" w:sz="0" w:space="0" w:color="auto"/>
      </w:divBdr>
    </w:div>
    <w:div w:id="141385988">
      <w:bodyDiv w:val="1"/>
      <w:marLeft w:val="0"/>
      <w:marRight w:val="0"/>
      <w:marTop w:val="0"/>
      <w:marBottom w:val="0"/>
      <w:divBdr>
        <w:top w:val="none" w:sz="0" w:space="0" w:color="auto"/>
        <w:left w:val="none" w:sz="0" w:space="0" w:color="auto"/>
        <w:bottom w:val="none" w:sz="0" w:space="0" w:color="auto"/>
        <w:right w:val="none" w:sz="0" w:space="0" w:color="auto"/>
      </w:divBdr>
    </w:div>
    <w:div w:id="144780569">
      <w:bodyDiv w:val="1"/>
      <w:marLeft w:val="0"/>
      <w:marRight w:val="0"/>
      <w:marTop w:val="0"/>
      <w:marBottom w:val="0"/>
      <w:divBdr>
        <w:top w:val="none" w:sz="0" w:space="0" w:color="auto"/>
        <w:left w:val="none" w:sz="0" w:space="0" w:color="auto"/>
        <w:bottom w:val="none" w:sz="0" w:space="0" w:color="auto"/>
        <w:right w:val="none" w:sz="0" w:space="0" w:color="auto"/>
      </w:divBdr>
    </w:div>
    <w:div w:id="147016084">
      <w:bodyDiv w:val="1"/>
      <w:marLeft w:val="0"/>
      <w:marRight w:val="0"/>
      <w:marTop w:val="0"/>
      <w:marBottom w:val="0"/>
      <w:divBdr>
        <w:top w:val="none" w:sz="0" w:space="0" w:color="auto"/>
        <w:left w:val="none" w:sz="0" w:space="0" w:color="auto"/>
        <w:bottom w:val="none" w:sz="0" w:space="0" w:color="auto"/>
        <w:right w:val="none" w:sz="0" w:space="0" w:color="auto"/>
      </w:divBdr>
    </w:div>
    <w:div w:id="156265331">
      <w:bodyDiv w:val="1"/>
      <w:marLeft w:val="0"/>
      <w:marRight w:val="0"/>
      <w:marTop w:val="0"/>
      <w:marBottom w:val="0"/>
      <w:divBdr>
        <w:top w:val="none" w:sz="0" w:space="0" w:color="auto"/>
        <w:left w:val="none" w:sz="0" w:space="0" w:color="auto"/>
        <w:bottom w:val="none" w:sz="0" w:space="0" w:color="auto"/>
        <w:right w:val="none" w:sz="0" w:space="0" w:color="auto"/>
      </w:divBdr>
    </w:div>
    <w:div w:id="165025696">
      <w:bodyDiv w:val="1"/>
      <w:marLeft w:val="0"/>
      <w:marRight w:val="0"/>
      <w:marTop w:val="0"/>
      <w:marBottom w:val="0"/>
      <w:divBdr>
        <w:top w:val="none" w:sz="0" w:space="0" w:color="auto"/>
        <w:left w:val="none" w:sz="0" w:space="0" w:color="auto"/>
        <w:bottom w:val="none" w:sz="0" w:space="0" w:color="auto"/>
        <w:right w:val="none" w:sz="0" w:space="0" w:color="auto"/>
      </w:divBdr>
    </w:div>
    <w:div w:id="181283812">
      <w:bodyDiv w:val="1"/>
      <w:marLeft w:val="0"/>
      <w:marRight w:val="0"/>
      <w:marTop w:val="0"/>
      <w:marBottom w:val="0"/>
      <w:divBdr>
        <w:top w:val="none" w:sz="0" w:space="0" w:color="auto"/>
        <w:left w:val="none" w:sz="0" w:space="0" w:color="auto"/>
        <w:bottom w:val="none" w:sz="0" w:space="0" w:color="auto"/>
        <w:right w:val="none" w:sz="0" w:space="0" w:color="auto"/>
      </w:divBdr>
    </w:div>
    <w:div w:id="183253094">
      <w:bodyDiv w:val="1"/>
      <w:marLeft w:val="0"/>
      <w:marRight w:val="0"/>
      <w:marTop w:val="0"/>
      <w:marBottom w:val="0"/>
      <w:divBdr>
        <w:top w:val="none" w:sz="0" w:space="0" w:color="auto"/>
        <w:left w:val="none" w:sz="0" w:space="0" w:color="auto"/>
        <w:bottom w:val="none" w:sz="0" w:space="0" w:color="auto"/>
        <w:right w:val="none" w:sz="0" w:space="0" w:color="auto"/>
      </w:divBdr>
    </w:div>
    <w:div w:id="201865169">
      <w:bodyDiv w:val="1"/>
      <w:marLeft w:val="0"/>
      <w:marRight w:val="0"/>
      <w:marTop w:val="0"/>
      <w:marBottom w:val="0"/>
      <w:divBdr>
        <w:top w:val="none" w:sz="0" w:space="0" w:color="auto"/>
        <w:left w:val="none" w:sz="0" w:space="0" w:color="auto"/>
        <w:bottom w:val="none" w:sz="0" w:space="0" w:color="auto"/>
        <w:right w:val="none" w:sz="0" w:space="0" w:color="auto"/>
      </w:divBdr>
    </w:div>
    <w:div w:id="203913085">
      <w:bodyDiv w:val="1"/>
      <w:marLeft w:val="0"/>
      <w:marRight w:val="0"/>
      <w:marTop w:val="0"/>
      <w:marBottom w:val="0"/>
      <w:divBdr>
        <w:top w:val="none" w:sz="0" w:space="0" w:color="auto"/>
        <w:left w:val="none" w:sz="0" w:space="0" w:color="auto"/>
        <w:bottom w:val="none" w:sz="0" w:space="0" w:color="auto"/>
        <w:right w:val="none" w:sz="0" w:space="0" w:color="auto"/>
      </w:divBdr>
    </w:div>
    <w:div w:id="210654761">
      <w:bodyDiv w:val="1"/>
      <w:marLeft w:val="0"/>
      <w:marRight w:val="0"/>
      <w:marTop w:val="0"/>
      <w:marBottom w:val="0"/>
      <w:divBdr>
        <w:top w:val="none" w:sz="0" w:space="0" w:color="auto"/>
        <w:left w:val="none" w:sz="0" w:space="0" w:color="auto"/>
        <w:bottom w:val="none" w:sz="0" w:space="0" w:color="auto"/>
        <w:right w:val="none" w:sz="0" w:space="0" w:color="auto"/>
      </w:divBdr>
      <w:divsChild>
        <w:div w:id="1655793478">
          <w:marLeft w:val="0"/>
          <w:marRight w:val="0"/>
          <w:marTop w:val="0"/>
          <w:marBottom w:val="0"/>
          <w:divBdr>
            <w:top w:val="none" w:sz="0" w:space="0" w:color="auto"/>
            <w:left w:val="none" w:sz="0" w:space="0" w:color="auto"/>
            <w:bottom w:val="none" w:sz="0" w:space="0" w:color="auto"/>
            <w:right w:val="none" w:sz="0" w:space="0" w:color="auto"/>
          </w:divBdr>
          <w:divsChild>
            <w:div w:id="882867868">
              <w:marLeft w:val="0"/>
              <w:marRight w:val="0"/>
              <w:marTop w:val="0"/>
              <w:marBottom w:val="0"/>
              <w:divBdr>
                <w:top w:val="none" w:sz="0" w:space="0" w:color="auto"/>
                <w:left w:val="none" w:sz="0" w:space="0" w:color="auto"/>
                <w:bottom w:val="none" w:sz="0" w:space="0" w:color="auto"/>
                <w:right w:val="none" w:sz="0" w:space="0" w:color="auto"/>
              </w:divBdr>
              <w:divsChild>
                <w:div w:id="13034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28984">
      <w:bodyDiv w:val="1"/>
      <w:marLeft w:val="0"/>
      <w:marRight w:val="0"/>
      <w:marTop w:val="0"/>
      <w:marBottom w:val="0"/>
      <w:divBdr>
        <w:top w:val="none" w:sz="0" w:space="0" w:color="auto"/>
        <w:left w:val="none" w:sz="0" w:space="0" w:color="auto"/>
        <w:bottom w:val="none" w:sz="0" w:space="0" w:color="auto"/>
        <w:right w:val="none" w:sz="0" w:space="0" w:color="auto"/>
      </w:divBdr>
    </w:div>
    <w:div w:id="229077827">
      <w:bodyDiv w:val="1"/>
      <w:marLeft w:val="0"/>
      <w:marRight w:val="0"/>
      <w:marTop w:val="0"/>
      <w:marBottom w:val="0"/>
      <w:divBdr>
        <w:top w:val="none" w:sz="0" w:space="0" w:color="auto"/>
        <w:left w:val="none" w:sz="0" w:space="0" w:color="auto"/>
        <w:bottom w:val="none" w:sz="0" w:space="0" w:color="auto"/>
        <w:right w:val="none" w:sz="0" w:space="0" w:color="auto"/>
      </w:divBdr>
    </w:div>
    <w:div w:id="243952093">
      <w:bodyDiv w:val="1"/>
      <w:marLeft w:val="0"/>
      <w:marRight w:val="0"/>
      <w:marTop w:val="0"/>
      <w:marBottom w:val="0"/>
      <w:divBdr>
        <w:top w:val="none" w:sz="0" w:space="0" w:color="auto"/>
        <w:left w:val="none" w:sz="0" w:space="0" w:color="auto"/>
        <w:bottom w:val="none" w:sz="0" w:space="0" w:color="auto"/>
        <w:right w:val="none" w:sz="0" w:space="0" w:color="auto"/>
      </w:divBdr>
    </w:div>
    <w:div w:id="249969085">
      <w:bodyDiv w:val="1"/>
      <w:marLeft w:val="0"/>
      <w:marRight w:val="0"/>
      <w:marTop w:val="0"/>
      <w:marBottom w:val="0"/>
      <w:divBdr>
        <w:top w:val="none" w:sz="0" w:space="0" w:color="auto"/>
        <w:left w:val="none" w:sz="0" w:space="0" w:color="auto"/>
        <w:bottom w:val="none" w:sz="0" w:space="0" w:color="auto"/>
        <w:right w:val="none" w:sz="0" w:space="0" w:color="auto"/>
      </w:divBdr>
    </w:div>
    <w:div w:id="261030071">
      <w:bodyDiv w:val="1"/>
      <w:marLeft w:val="0"/>
      <w:marRight w:val="0"/>
      <w:marTop w:val="0"/>
      <w:marBottom w:val="0"/>
      <w:divBdr>
        <w:top w:val="none" w:sz="0" w:space="0" w:color="auto"/>
        <w:left w:val="none" w:sz="0" w:space="0" w:color="auto"/>
        <w:bottom w:val="none" w:sz="0" w:space="0" w:color="auto"/>
        <w:right w:val="none" w:sz="0" w:space="0" w:color="auto"/>
      </w:divBdr>
    </w:div>
    <w:div w:id="265625840">
      <w:bodyDiv w:val="1"/>
      <w:marLeft w:val="0"/>
      <w:marRight w:val="0"/>
      <w:marTop w:val="0"/>
      <w:marBottom w:val="0"/>
      <w:divBdr>
        <w:top w:val="none" w:sz="0" w:space="0" w:color="auto"/>
        <w:left w:val="none" w:sz="0" w:space="0" w:color="auto"/>
        <w:bottom w:val="none" w:sz="0" w:space="0" w:color="auto"/>
        <w:right w:val="none" w:sz="0" w:space="0" w:color="auto"/>
      </w:divBdr>
    </w:div>
    <w:div w:id="267928602">
      <w:bodyDiv w:val="1"/>
      <w:marLeft w:val="0"/>
      <w:marRight w:val="0"/>
      <w:marTop w:val="0"/>
      <w:marBottom w:val="0"/>
      <w:divBdr>
        <w:top w:val="none" w:sz="0" w:space="0" w:color="auto"/>
        <w:left w:val="none" w:sz="0" w:space="0" w:color="auto"/>
        <w:bottom w:val="none" w:sz="0" w:space="0" w:color="auto"/>
        <w:right w:val="none" w:sz="0" w:space="0" w:color="auto"/>
      </w:divBdr>
    </w:div>
    <w:div w:id="282880305">
      <w:bodyDiv w:val="1"/>
      <w:marLeft w:val="0"/>
      <w:marRight w:val="0"/>
      <w:marTop w:val="0"/>
      <w:marBottom w:val="0"/>
      <w:divBdr>
        <w:top w:val="none" w:sz="0" w:space="0" w:color="auto"/>
        <w:left w:val="none" w:sz="0" w:space="0" w:color="auto"/>
        <w:bottom w:val="none" w:sz="0" w:space="0" w:color="auto"/>
        <w:right w:val="none" w:sz="0" w:space="0" w:color="auto"/>
      </w:divBdr>
    </w:div>
    <w:div w:id="287856063">
      <w:bodyDiv w:val="1"/>
      <w:marLeft w:val="0"/>
      <w:marRight w:val="0"/>
      <w:marTop w:val="0"/>
      <w:marBottom w:val="0"/>
      <w:divBdr>
        <w:top w:val="none" w:sz="0" w:space="0" w:color="auto"/>
        <w:left w:val="none" w:sz="0" w:space="0" w:color="auto"/>
        <w:bottom w:val="none" w:sz="0" w:space="0" w:color="auto"/>
        <w:right w:val="none" w:sz="0" w:space="0" w:color="auto"/>
      </w:divBdr>
    </w:div>
    <w:div w:id="302319094">
      <w:bodyDiv w:val="1"/>
      <w:marLeft w:val="0"/>
      <w:marRight w:val="0"/>
      <w:marTop w:val="0"/>
      <w:marBottom w:val="0"/>
      <w:divBdr>
        <w:top w:val="none" w:sz="0" w:space="0" w:color="auto"/>
        <w:left w:val="none" w:sz="0" w:space="0" w:color="auto"/>
        <w:bottom w:val="none" w:sz="0" w:space="0" w:color="auto"/>
        <w:right w:val="none" w:sz="0" w:space="0" w:color="auto"/>
      </w:divBdr>
    </w:div>
    <w:div w:id="315764916">
      <w:bodyDiv w:val="1"/>
      <w:marLeft w:val="0"/>
      <w:marRight w:val="0"/>
      <w:marTop w:val="0"/>
      <w:marBottom w:val="0"/>
      <w:divBdr>
        <w:top w:val="none" w:sz="0" w:space="0" w:color="auto"/>
        <w:left w:val="none" w:sz="0" w:space="0" w:color="auto"/>
        <w:bottom w:val="none" w:sz="0" w:space="0" w:color="auto"/>
        <w:right w:val="none" w:sz="0" w:space="0" w:color="auto"/>
      </w:divBdr>
    </w:div>
    <w:div w:id="334961594">
      <w:bodyDiv w:val="1"/>
      <w:marLeft w:val="0"/>
      <w:marRight w:val="0"/>
      <w:marTop w:val="0"/>
      <w:marBottom w:val="0"/>
      <w:divBdr>
        <w:top w:val="none" w:sz="0" w:space="0" w:color="auto"/>
        <w:left w:val="none" w:sz="0" w:space="0" w:color="auto"/>
        <w:bottom w:val="none" w:sz="0" w:space="0" w:color="auto"/>
        <w:right w:val="none" w:sz="0" w:space="0" w:color="auto"/>
      </w:divBdr>
    </w:div>
    <w:div w:id="334967287">
      <w:bodyDiv w:val="1"/>
      <w:marLeft w:val="0"/>
      <w:marRight w:val="0"/>
      <w:marTop w:val="0"/>
      <w:marBottom w:val="0"/>
      <w:divBdr>
        <w:top w:val="none" w:sz="0" w:space="0" w:color="auto"/>
        <w:left w:val="none" w:sz="0" w:space="0" w:color="auto"/>
        <w:bottom w:val="none" w:sz="0" w:space="0" w:color="auto"/>
        <w:right w:val="none" w:sz="0" w:space="0" w:color="auto"/>
      </w:divBdr>
    </w:div>
    <w:div w:id="344209035">
      <w:bodyDiv w:val="1"/>
      <w:marLeft w:val="0"/>
      <w:marRight w:val="0"/>
      <w:marTop w:val="0"/>
      <w:marBottom w:val="0"/>
      <w:divBdr>
        <w:top w:val="none" w:sz="0" w:space="0" w:color="auto"/>
        <w:left w:val="none" w:sz="0" w:space="0" w:color="auto"/>
        <w:bottom w:val="none" w:sz="0" w:space="0" w:color="auto"/>
        <w:right w:val="none" w:sz="0" w:space="0" w:color="auto"/>
      </w:divBdr>
    </w:div>
    <w:div w:id="357589720">
      <w:bodyDiv w:val="1"/>
      <w:marLeft w:val="0"/>
      <w:marRight w:val="0"/>
      <w:marTop w:val="0"/>
      <w:marBottom w:val="0"/>
      <w:divBdr>
        <w:top w:val="none" w:sz="0" w:space="0" w:color="auto"/>
        <w:left w:val="none" w:sz="0" w:space="0" w:color="auto"/>
        <w:bottom w:val="none" w:sz="0" w:space="0" w:color="auto"/>
        <w:right w:val="none" w:sz="0" w:space="0" w:color="auto"/>
      </w:divBdr>
    </w:div>
    <w:div w:id="379937860">
      <w:bodyDiv w:val="1"/>
      <w:marLeft w:val="0"/>
      <w:marRight w:val="0"/>
      <w:marTop w:val="0"/>
      <w:marBottom w:val="0"/>
      <w:divBdr>
        <w:top w:val="none" w:sz="0" w:space="0" w:color="auto"/>
        <w:left w:val="none" w:sz="0" w:space="0" w:color="auto"/>
        <w:bottom w:val="none" w:sz="0" w:space="0" w:color="auto"/>
        <w:right w:val="none" w:sz="0" w:space="0" w:color="auto"/>
      </w:divBdr>
    </w:div>
    <w:div w:id="391857012">
      <w:bodyDiv w:val="1"/>
      <w:marLeft w:val="0"/>
      <w:marRight w:val="0"/>
      <w:marTop w:val="0"/>
      <w:marBottom w:val="0"/>
      <w:divBdr>
        <w:top w:val="none" w:sz="0" w:space="0" w:color="auto"/>
        <w:left w:val="none" w:sz="0" w:space="0" w:color="auto"/>
        <w:bottom w:val="none" w:sz="0" w:space="0" w:color="auto"/>
        <w:right w:val="none" w:sz="0" w:space="0" w:color="auto"/>
      </w:divBdr>
    </w:div>
    <w:div w:id="410737277">
      <w:bodyDiv w:val="1"/>
      <w:marLeft w:val="0"/>
      <w:marRight w:val="0"/>
      <w:marTop w:val="0"/>
      <w:marBottom w:val="0"/>
      <w:divBdr>
        <w:top w:val="none" w:sz="0" w:space="0" w:color="auto"/>
        <w:left w:val="none" w:sz="0" w:space="0" w:color="auto"/>
        <w:bottom w:val="none" w:sz="0" w:space="0" w:color="auto"/>
        <w:right w:val="none" w:sz="0" w:space="0" w:color="auto"/>
      </w:divBdr>
    </w:div>
    <w:div w:id="413550067">
      <w:bodyDiv w:val="1"/>
      <w:marLeft w:val="0"/>
      <w:marRight w:val="0"/>
      <w:marTop w:val="0"/>
      <w:marBottom w:val="0"/>
      <w:divBdr>
        <w:top w:val="none" w:sz="0" w:space="0" w:color="auto"/>
        <w:left w:val="none" w:sz="0" w:space="0" w:color="auto"/>
        <w:bottom w:val="none" w:sz="0" w:space="0" w:color="auto"/>
        <w:right w:val="none" w:sz="0" w:space="0" w:color="auto"/>
      </w:divBdr>
    </w:div>
    <w:div w:id="417092854">
      <w:bodyDiv w:val="1"/>
      <w:marLeft w:val="0"/>
      <w:marRight w:val="0"/>
      <w:marTop w:val="0"/>
      <w:marBottom w:val="0"/>
      <w:divBdr>
        <w:top w:val="none" w:sz="0" w:space="0" w:color="auto"/>
        <w:left w:val="none" w:sz="0" w:space="0" w:color="auto"/>
        <w:bottom w:val="none" w:sz="0" w:space="0" w:color="auto"/>
        <w:right w:val="none" w:sz="0" w:space="0" w:color="auto"/>
      </w:divBdr>
    </w:div>
    <w:div w:id="421878422">
      <w:bodyDiv w:val="1"/>
      <w:marLeft w:val="0"/>
      <w:marRight w:val="0"/>
      <w:marTop w:val="0"/>
      <w:marBottom w:val="0"/>
      <w:divBdr>
        <w:top w:val="none" w:sz="0" w:space="0" w:color="auto"/>
        <w:left w:val="none" w:sz="0" w:space="0" w:color="auto"/>
        <w:bottom w:val="none" w:sz="0" w:space="0" w:color="auto"/>
        <w:right w:val="none" w:sz="0" w:space="0" w:color="auto"/>
      </w:divBdr>
    </w:div>
    <w:div w:id="424037283">
      <w:bodyDiv w:val="1"/>
      <w:marLeft w:val="0"/>
      <w:marRight w:val="0"/>
      <w:marTop w:val="0"/>
      <w:marBottom w:val="0"/>
      <w:divBdr>
        <w:top w:val="none" w:sz="0" w:space="0" w:color="auto"/>
        <w:left w:val="none" w:sz="0" w:space="0" w:color="auto"/>
        <w:bottom w:val="none" w:sz="0" w:space="0" w:color="auto"/>
        <w:right w:val="none" w:sz="0" w:space="0" w:color="auto"/>
      </w:divBdr>
    </w:div>
    <w:div w:id="434374019">
      <w:bodyDiv w:val="1"/>
      <w:marLeft w:val="0"/>
      <w:marRight w:val="0"/>
      <w:marTop w:val="0"/>
      <w:marBottom w:val="0"/>
      <w:divBdr>
        <w:top w:val="none" w:sz="0" w:space="0" w:color="auto"/>
        <w:left w:val="none" w:sz="0" w:space="0" w:color="auto"/>
        <w:bottom w:val="none" w:sz="0" w:space="0" w:color="auto"/>
        <w:right w:val="none" w:sz="0" w:space="0" w:color="auto"/>
      </w:divBdr>
    </w:div>
    <w:div w:id="456339262">
      <w:bodyDiv w:val="1"/>
      <w:marLeft w:val="0"/>
      <w:marRight w:val="0"/>
      <w:marTop w:val="0"/>
      <w:marBottom w:val="0"/>
      <w:divBdr>
        <w:top w:val="none" w:sz="0" w:space="0" w:color="auto"/>
        <w:left w:val="none" w:sz="0" w:space="0" w:color="auto"/>
        <w:bottom w:val="none" w:sz="0" w:space="0" w:color="auto"/>
        <w:right w:val="none" w:sz="0" w:space="0" w:color="auto"/>
      </w:divBdr>
    </w:div>
    <w:div w:id="457458780">
      <w:bodyDiv w:val="1"/>
      <w:marLeft w:val="0"/>
      <w:marRight w:val="0"/>
      <w:marTop w:val="0"/>
      <w:marBottom w:val="0"/>
      <w:divBdr>
        <w:top w:val="none" w:sz="0" w:space="0" w:color="auto"/>
        <w:left w:val="none" w:sz="0" w:space="0" w:color="auto"/>
        <w:bottom w:val="none" w:sz="0" w:space="0" w:color="auto"/>
        <w:right w:val="none" w:sz="0" w:space="0" w:color="auto"/>
      </w:divBdr>
    </w:div>
    <w:div w:id="468212033">
      <w:bodyDiv w:val="1"/>
      <w:marLeft w:val="0"/>
      <w:marRight w:val="0"/>
      <w:marTop w:val="0"/>
      <w:marBottom w:val="0"/>
      <w:divBdr>
        <w:top w:val="none" w:sz="0" w:space="0" w:color="auto"/>
        <w:left w:val="none" w:sz="0" w:space="0" w:color="auto"/>
        <w:bottom w:val="none" w:sz="0" w:space="0" w:color="auto"/>
        <w:right w:val="none" w:sz="0" w:space="0" w:color="auto"/>
      </w:divBdr>
    </w:div>
    <w:div w:id="482552050">
      <w:bodyDiv w:val="1"/>
      <w:marLeft w:val="0"/>
      <w:marRight w:val="0"/>
      <w:marTop w:val="0"/>
      <w:marBottom w:val="0"/>
      <w:divBdr>
        <w:top w:val="none" w:sz="0" w:space="0" w:color="auto"/>
        <w:left w:val="none" w:sz="0" w:space="0" w:color="auto"/>
        <w:bottom w:val="none" w:sz="0" w:space="0" w:color="auto"/>
        <w:right w:val="none" w:sz="0" w:space="0" w:color="auto"/>
      </w:divBdr>
    </w:div>
    <w:div w:id="484708745">
      <w:bodyDiv w:val="1"/>
      <w:marLeft w:val="0"/>
      <w:marRight w:val="0"/>
      <w:marTop w:val="0"/>
      <w:marBottom w:val="0"/>
      <w:divBdr>
        <w:top w:val="none" w:sz="0" w:space="0" w:color="auto"/>
        <w:left w:val="none" w:sz="0" w:space="0" w:color="auto"/>
        <w:bottom w:val="none" w:sz="0" w:space="0" w:color="auto"/>
        <w:right w:val="none" w:sz="0" w:space="0" w:color="auto"/>
      </w:divBdr>
    </w:div>
    <w:div w:id="488903545">
      <w:bodyDiv w:val="1"/>
      <w:marLeft w:val="0"/>
      <w:marRight w:val="0"/>
      <w:marTop w:val="0"/>
      <w:marBottom w:val="0"/>
      <w:divBdr>
        <w:top w:val="none" w:sz="0" w:space="0" w:color="auto"/>
        <w:left w:val="none" w:sz="0" w:space="0" w:color="auto"/>
        <w:bottom w:val="none" w:sz="0" w:space="0" w:color="auto"/>
        <w:right w:val="none" w:sz="0" w:space="0" w:color="auto"/>
      </w:divBdr>
    </w:div>
    <w:div w:id="501088798">
      <w:bodyDiv w:val="1"/>
      <w:marLeft w:val="0"/>
      <w:marRight w:val="0"/>
      <w:marTop w:val="0"/>
      <w:marBottom w:val="0"/>
      <w:divBdr>
        <w:top w:val="none" w:sz="0" w:space="0" w:color="auto"/>
        <w:left w:val="none" w:sz="0" w:space="0" w:color="auto"/>
        <w:bottom w:val="none" w:sz="0" w:space="0" w:color="auto"/>
        <w:right w:val="none" w:sz="0" w:space="0" w:color="auto"/>
      </w:divBdr>
    </w:div>
    <w:div w:id="533230986">
      <w:bodyDiv w:val="1"/>
      <w:marLeft w:val="0"/>
      <w:marRight w:val="0"/>
      <w:marTop w:val="0"/>
      <w:marBottom w:val="0"/>
      <w:divBdr>
        <w:top w:val="none" w:sz="0" w:space="0" w:color="auto"/>
        <w:left w:val="none" w:sz="0" w:space="0" w:color="auto"/>
        <w:bottom w:val="none" w:sz="0" w:space="0" w:color="auto"/>
        <w:right w:val="none" w:sz="0" w:space="0" w:color="auto"/>
      </w:divBdr>
    </w:div>
    <w:div w:id="551771587">
      <w:bodyDiv w:val="1"/>
      <w:marLeft w:val="0"/>
      <w:marRight w:val="0"/>
      <w:marTop w:val="0"/>
      <w:marBottom w:val="0"/>
      <w:divBdr>
        <w:top w:val="none" w:sz="0" w:space="0" w:color="auto"/>
        <w:left w:val="none" w:sz="0" w:space="0" w:color="auto"/>
        <w:bottom w:val="none" w:sz="0" w:space="0" w:color="auto"/>
        <w:right w:val="none" w:sz="0" w:space="0" w:color="auto"/>
      </w:divBdr>
    </w:div>
    <w:div w:id="575634396">
      <w:bodyDiv w:val="1"/>
      <w:marLeft w:val="0"/>
      <w:marRight w:val="0"/>
      <w:marTop w:val="0"/>
      <w:marBottom w:val="0"/>
      <w:divBdr>
        <w:top w:val="none" w:sz="0" w:space="0" w:color="auto"/>
        <w:left w:val="none" w:sz="0" w:space="0" w:color="auto"/>
        <w:bottom w:val="none" w:sz="0" w:space="0" w:color="auto"/>
        <w:right w:val="none" w:sz="0" w:space="0" w:color="auto"/>
      </w:divBdr>
    </w:div>
    <w:div w:id="612788027">
      <w:bodyDiv w:val="1"/>
      <w:marLeft w:val="0"/>
      <w:marRight w:val="0"/>
      <w:marTop w:val="0"/>
      <w:marBottom w:val="0"/>
      <w:divBdr>
        <w:top w:val="none" w:sz="0" w:space="0" w:color="auto"/>
        <w:left w:val="none" w:sz="0" w:space="0" w:color="auto"/>
        <w:bottom w:val="none" w:sz="0" w:space="0" w:color="auto"/>
        <w:right w:val="none" w:sz="0" w:space="0" w:color="auto"/>
      </w:divBdr>
    </w:div>
    <w:div w:id="628776892">
      <w:bodyDiv w:val="1"/>
      <w:marLeft w:val="0"/>
      <w:marRight w:val="0"/>
      <w:marTop w:val="0"/>
      <w:marBottom w:val="0"/>
      <w:divBdr>
        <w:top w:val="none" w:sz="0" w:space="0" w:color="auto"/>
        <w:left w:val="none" w:sz="0" w:space="0" w:color="auto"/>
        <w:bottom w:val="none" w:sz="0" w:space="0" w:color="auto"/>
        <w:right w:val="none" w:sz="0" w:space="0" w:color="auto"/>
      </w:divBdr>
    </w:div>
    <w:div w:id="665131569">
      <w:bodyDiv w:val="1"/>
      <w:marLeft w:val="0"/>
      <w:marRight w:val="0"/>
      <w:marTop w:val="0"/>
      <w:marBottom w:val="0"/>
      <w:divBdr>
        <w:top w:val="none" w:sz="0" w:space="0" w:color="auto"/>
        <w:left w:val="none" w:sz="0" w:space="0" w:color="auto"/>
        <w:bottom w:val="none" w:sz="0" w:space="0" w:color="auto"/>
        <w:right w:val="none" w:sz="0" w:space="0" w:color="auto"/>
      </w:divBdr>
    </w:div>
    <w:div w:id="669917491">
      <w:bodyDiv w:val="1"/>
      <w:marLeft w:val="0"/>
      <w:marRight w:val="0"/>
      <w:marTop w:val="0"/>
      <w:marBottom w:val="0"/>
      <w:divBdr>
        <w:top w:val="none" w:sz="0" w:space="0" w:color="auto"/>
        <w:left w:val="none" w:sz="0" w:space="0" w:color="auto"/>
        <w:bottom w:val="none" w:sz="0" w:space="0" w:color="auto"/>
        <w:right w:val="none" w:sz="0" w:space="0" w:color="auto"/>
      </w:divBdr>
    </w:div>
    <w:div w:id="671566219">
      <w:bodyDiv w:val="1"/>
      <w:marLeft w:val="0"/>
      <w:marRight w:val="0"/>
      <w:marTop w:val="0"/>
      <w:marBottom w:val="0"/>
      <w:divBdr>
        <w:top w:val="none" w:sz="0" w:space="0" w:color="auto"/>
        <w:left w:val="none" w:sz="0" w:space="0" w:color="auto"/>
        <w:bottom w:val="none" w:sz="0" w:space="0" w:color="auto"/>
        <w:right w:val="none" w:sz="0" w:space="0" w:color="auto"/>
      </w:divBdr>
    </w:div>
    <w:div w:id="674262943">
      <w:bodyDiv w:val="1"/>
      <w:marLeft w:val="0"/>
      <w:marRight w:val="0"/>
      <w:marTop w:val="0"/>
      <w:marBottom w:val="0"/>
      <w:divBdr>
        <w:top w:val="none" w:sz="0" w:space="0" w:color="auto"/>
        <w:left w:val="none" w:sz="0" w:space="0" w:color="auto"/>
        <w:bottom w:val="none" w:sz="0" w:space="0" w:color="auto"/>
        <w:right w:val="none" w:sz="0" w:space="0" w:color="auto"/>
      </w:divBdr>
    </w:div>
    <w:div w:id="689992717">
      <w:bodyDiv w:val="1"/>
      <w:marLeft w:val="0"/>
      <w:marRight w:val="0"/>
      <w:marTop w:val="0"/>
      <w:marBottom w:val="0"/>
      <w:divBdr>
        <w:top w:val="none" w:sz="0" w:space="0" w:color="auto"/>
        <w:left w:val="none" w:sz="0" w:space="0" w:color="auto"/>
        <w:bottom w:val="none" w:sz="0" w:space="0" w:color="auto"/>
        <w:right w:val="none" w:sz="0" w:space="0" w:color="auto"/>
      </w:divBdr>
    </w:div>
    <w:div w:id="708919431">
      <w:bodyDiv w:val="1"/>
      <w:marLeft w:val="0"/>
      <w:marRight w:val="0"/>
      <w:marTop w:val="0"/>
      <w:marBottom w:val="0"/>
      <w:divBdr>
        <w:top w:val="none" w:sz="0" w:space="0" w:color="auto"/>
        <w:left w:val="none" w:sz="0" w:space="0" w:color="auto"/>
        <w:bottom w:val="none" w:sz="0" w:space="0" w:color="auto"/>
        <w:right w:val="none" w:sz="0" w:space="0" w:color="auto"/>
      </w:divBdr>
    </w:div>
    <w:div w:id="714239931">
      <w:bodyDiv w:val="1"/>
      <w:marLeft w:val="0"/>
      <w:marRight w:val="0"/>
      <w:marTop w:val="0"/>
      <w:marBottom w:val="0"/>
      <w:divBdr>
        <w:top w:val="none" w:sz="0" w:space="0" w:color="auto"/>
        <w:left w:val="none" w:sz="0" w:space="0" w:color="auto"/>
        <w:bottom w:val="none" w:sz="0" w:space="0" w:color="auto"/>
        <w:right w:val="none" w:sz="0" w:space="0" w:color="auto"/>
      </w:divBdr>
    </w:div>
    <w:div w:id="721952742">
      <w:bodyDiv w:val="1"/>
      <w:marLeft w:val="0"/>
      <w:marRight w:val="0"/>
      <w:marTop w:val="0"/>
      <w:marBottom w:val="0"/>
      <w:divBdr>
        <w:top w:val="none" w:sz="0" w:space="0" w:color="auto"/>
        <w:left w:val="none" w:sz="0" w:space="0" w:color="auto"/>
        <w:bottom w:val="none" w:sz="0" w:space="0" w:color="auto"/>
        <w:right w:val="none" w:sz="0" w:space="0" w:color="auto"/>
      </w:divBdr>
    </w:div>
    <w:div w:id="725186451">
      <w:bodyDiv w:val="1"/>
      <w:marLeft w:val="0"/>
      <w:marRight w:val="0"/>
      <w:marTop w:val="0"/>
      <w:marBottom w:val="0"/>
      <w:divBdr>
        <w:top w:val="none" w:sz="0" w:space="0" w:color="auto"/>
        <w:left w:val="none" w:sz="0" w:space="0" w:color="auto"/>
        <w:bottom w:val="none" w:sz="0" w:space="0" w:color="auto"/>
        <w:right w:val="none" w:sz="0" w:space="0" w:color="auto"/>
      </w:divBdr>
    </w:div>
    <w:div w:id="730007868">
      <w:bodyDiv w:val="1"/>
      <w:marLeft w:val="0"/>
      <w:marRight w:val="0"/>
      <w:marTop w:val="0"/>
      <w:marBottom w:val="0"/>
      <w:divBdr>
        <w:top w:val="none" w:sz="0" w:space="0" w:color="auto"/>
        <w:left w:val="none" w:sz="0" w:space="0" w:color="auto"/>
        <w:bottom w:val="none" w:sz="0" w:space="0" w:color="auto"/>
        <w:right w:val="none" w:sz="0" w:space="0" w:color="auto"/>
      </w:divBdr>
    </w:div>
    <w:div w:id="746615865">
      <w:bodyDiv w:val="1"/>
      <w:marLeft w:val="0"/>
      <w:marRight w:val="0"/>
      <w:marTop w:val="0"/>
      <w:marBottom w:val="0"/>
      <w:divBdr>
        <w:top w:val="none" w:sz="0" w:space="0" w:color="auto"/>
        <w:left w:val="none" w:sz="0" w:space="0" w:color="auto"/>
        <w:bottom w:val="none" w:sz="0" w:space="0" w:color="auto"/>
        <w:right w:val="none" w:sz="0" w:space="0" w:color="auto"/>
      </w:divBdr>
    </w:div>
    <w:div w:id="774251318">
      <w:bodyDiv w:val="1"/>
      <w:marLeft w:val="0"/>
      <w:marRight w:val="0"/>
      <w:marTop w:val="0"/>
      <w:marBottom w:val="0"/>
      <w:divBdr>
        <w:top w:val="none" w:sz="0" w:space="0" w:color="auto"/>
        <w:left w:val="none" w:sz="0" w:space="0" w:color="auto"/>
        <w:bottom w:val="none" w:sz="0" w:space="0" w:color="auto"/>
        <w:right w:val="none" w:sz="0" w:space="0" w:color="auto"/>
      </w:divBdr>
    </w:div>
    <w:div w:id="786201494">
      <w:bodyDiv w:val="1"/>
      <w:marLeft w:val="0"/>
      <w:marRight w:val="0"/>
      <w:marTop w:val="0"/>
      <w:marBottom w:val="0"/>
      <w:divBdr>
        <w:top w:val="none" w:sz="0" w:space="0" w:color="auto"/>
        <w:left w:val="none" w:sz="0" w:space="0" w:color="auto"/>
        <w:bottom w:val="none" w:sz="0" w:space="0" w:color="auto"/>
        <w:right w:val="none" w:sz="0" w:space="0" w:color="auto"/>
      </w:divBdr>
    </w:div>
    <w:div w:id="788083605">
      <w:bodyDiv w:val="1"/>
      <w:marLeft w:val="0"/>
      <w:marRight w:val="0"/>
      <w:marTop w:val="0"/>
      <w:marBottom w:val="0"/>
      <w:divBdr>
        <w:top w:val="none" w:sz="0" w:space="0" w:color="auto"/>
        <w:left w:val="none" w:sz="0" w:space="0" w:color="auto"/>
        <w:bottom w:val="none" w:sz="0" w:space="0" w:color="auto"/>
        <w:right w:val="none" w:sz="0" w:space="0" w:color="auto"/>
      </w:divBdr>
    </w:div>
    <w:div w:id="788281628">
      <w:bodyDiv w:val="1"/>
      <w:marLeft w:val="0"/>
      <w:marRight w:val="0"/>
      <w:marTop w:val="0"/>
      <w:marBottom w:val="0"/>
      <w:divBdr>
        <w:top w:val="none" w:sz="0" w:space="0" w:color="auto"/>
        <w:left w:val="none" w:sz="0" w:space="0" w:color="auto"/>
        <w:bottom w:val="none" w:sz="0" w:space="0" w:color="auto"/>
        <w:right w:val="none" w:sz="0" w:space="0" w:color="auto"/>
      </w:divBdr>
    </w:div>
    <w:div w:id="802236928">
      <w:bodyDiv w:val="1"/>
      <w:marLeft w:val="0"/>
      <w:marRight w:val="0"/>
      <w:marTop w:val="0"/>
      <w:marBottom w:val="0"/>
      <w:divBdr>
        <w:top w:val="none" w:sz="0" w:space="0" w:color="auto"/>
        <w:left w:val="none" w:sz="0" w:space="0" w:color="auto"/>
        <w:bottom w:val="none" w:sz="0" w:space="0" w:color="auto"/>
        <w:right w:val="none" w:sz="0" w:space="0" w:color="auto"/>
      </w:divBdr>
    </w:div>
    <w:div w:id="808669513">
      <w:bodyDiv w:val="1"/>
      <w:marLeft w:val="0"/>
      <w:marRight w:val="0"/>
      <w:marTop w:val="0"/>
      <w:marBottom w:val="0"/>
      <w:divBdr>
        <w:top w:val="none" w:sz="0" w:space="0" w:color="auto"/>
        <w:left w:val="none" w:sz="0" w:space="0" w:color="auto"/>
        <w:bottom w:val="none" w:sz="0" w:space="0" w:color="auto"/>
        <w:right w:val="none" w:sz="0" w:space="0" w:color="auto"/>
      </w:divBdr>
    </w:div>
    <w:div w:id="829708614">
      <w:bodyDiv w:val="1"/>
      <w:marLeft w:val="0"/>
      <w:marRight w:val="0"/>
      <w:marTop w:val="0"/>
      <w:marBottom w:val="0"/>
      <w:divBdr>
        <w:top w:val="none" w:sz="0" w:space="0" w:color="auto"/>
        <w:left w:val="none" w:sz="0" w:space="0" w:color="auto"/>
        <w:bottom w:val="none" w:sz="0" w:space="0" w:color="auto"/>
        <w:right w:val="none" w:sz="0" w:space="0" w:color="auto"/>
      </w:divBdr>
    </w:div>
    <w:div w:id="833302513">
      <w:bodyDiv w:val="1"/>
      <w:marLeft w:val="0"/>
      <w:marRight w:val="0"/>
      <w:marTop w:val="0"/>
      <w:marBottom w:val="0"/>
      <w:divBdr>
        <w:top w:val="none" w:sz="0" w:space="0" w:color="auto"/>
        <w:left w:val="none" w:sz="0" w:space="0" w:color="auto"/>
        <w:bottom w:val="none" w:sz="0" w:space="0" w:color="auto"/>
        <w:right w:val="none" w:sz="0" w:space="0" w:color="auto"/>
      </w:divBdr>
    </w:div>
    <w:div w:id="840854337">
      <w:bodyDiv w:val="1"/>
      <w:marLeft w:val="0"/>
      <w:marRight w:val="0"/>
      <w:marTop w:val="0"/>
      <w:marBottom w:val="0"/>
      <w:divBdr>
        <w:top w:val="none" w:sz="0" w:space="0" w:color="auto"/>
        <w:left w:val="none" w:sz="0" w:space="0" w:color="auto"/>
        <w:bottom w:val="none" w:sz="0" w:space="0" w:color="auto"/>
        <w:right w:val="none" w:sz="0" w:space="0" w:color="auto"/>
      </w:divBdr>
    </w:div>
    <w:div w:id="844789023">
      <w:bodyDiv w:val="1"/>
      <w:marLeft w:val="0"/>
      <w:marRight w:val="0"/>
      <w:marTop w:val="0"/>
      <w:marBottom w:val="0"/>
      <w:divBdr>
        <w:top w:val="none" w:sz="0" w:space="0" w:color="auto"/>
        <w:left w:val="none" w:sz="0" w:space="0" w:color="auto"/>
        <w:bottom w:val="none" w:sz="0" w:space="0" w:color="auto"/>
        <w:right w:val="none" w:sz="0" w:space="0" w:color="auto"/>
      </w:divBdr>
    </w:div>
    <w:div w:id="846094278">
      <w:bodyDiv w:val="1"/>
      <w:marLeft w:val="0"/>
      <w:marRight w:val="0"/>
      <w:marTop w:val="0"/>
      <w:marBottom w:val="0"/>
      <w:divBdr>
        <w:top w:val="none" w:sz="0" w:space="0" w:color="auto"/>
        <w:left w:val="none" w:sz="0" w:space="0" w:color="auto"/>
        <w:bottom w:val="none" w:sz="0" w:space="0" w:color="auto"/>
        <w:right w:val="none" w:sz="0" w:space="0" w:color="auto"/>
      </w:divBdr>
    </w:div>
    <w:div w:id="861089474">
      <w:bodyDiv w:val="1"/>
      <w:marLeft w:val="0"/>
      <w:marRight w:val="0"/>
      <w:marTop w:val="0"/>
      <w:marBottom w:val="0"/>
      <w:divBdr>
        <w:top w:val="none" w:sz="0" w:space="0" w:color="auto"/>
        <w:left w:val="none" w:sz="0" w:space="0" w:color="auto"/>
        <w:bottom w:val="none" w:sz="0" w:space="0" w:color="auto"/>
        <w:right w:val="none" w:sz="0" w:space="0" w:color="auto"/>
      </w:divBdr>
    </w:div>
    <w:div w:id="903491721">
      <w:bodyDiv w:val="1"/>
      <w:marLeft w:val="0"/>
      <w:marRight w:val="0"/>
      <w:marTop w:val="0"/>
      <w:marBottom w:val="0"/>
      <w:divBdr>
        <w:top w:val="none" w:sz="0" w:space="0" w:color="auto"/>
        <w:left w:val="none" w:sz="0" w:space="0" w:color="auto"/>
        <w:bottom w:val="none" w:sz="0" w:space="0" w:color="auto"/>
        <w:right w:val="none" w:sz="0" w:space="0" w:color="auto"/>
      </w:divBdr>
    </w:div>
    <w:div w:id="903757081">
      <w:bodyDiv w:val="1"/>
      <w:marLeft w:val="0"/>
      <w:marRight w:val="0"/>
      <w:marTop w:val="0"/>
      <w:marBottom w:val="0"/>
      <w:divBdr>
        <w:top w:val="none" w:sz="0" w:space="0" w:color="auto"/>
        <w:left w:val="none" w:sz="0" w:space="0" w:color="auto"/>
        <w:bottom w:val="none" w:sz="0" w:space="0" w:color="auto"/>
        <w:right w:val="none" w:sz="0" w:space="0" w:color="auto"/>
      </w:divBdr>
    </w:div>
    <w:div w:id="923303539">
      <w:bodyDiv w:val="1"/>
      <w:marLeft w:val="0"/>
      <w:marRight w:val="0"/>
      <w:marTop w:val="0"/>
      <w:marBottom w:val="0"/>
      <w:divBdr>
        <w:top w:val="none" w:sz="0" w:space="0" w:color="auto"/>
        <w:left w:val="none" w:sz="0" w:space="0" w:color="auto"/>
        <w:bottom w:val="none" w:sz="0" w:space="0" w:color="auto"/>
        <w:right w:val="none" w:sz="0" w:space="0" w:color="auto"/>
      </w:divBdr>
    </w:div>
    <w:div w:id="926882045">
      <w:bodyDiv w:val="1"/>
      <w:marLeft w:val="0"/>
      <w:marRight w:val="0"/>
      <w:marTop w:val="0"/>
      <w:marBottom w:val="0"/>
      <w:divBdr>
        <w:top w:val="none" w:sz="0" w:space="0" w:color="auto"/>
        <w:left w:val="none" w:sz="0" w:space="0" w:color="auto"/>
        <w:bottom w:val="none" w:sz="0" w:space="0" w:color="auto"/>
        <w:right w:val="none" w:sz="0" w:space="0" w:color="auto"/>
      </w:divBdr>
    </w:div>
    <w:div w:id="927468319">
      <w:bodyDiv w:val="1"/>
      <w:marLeft w:val="0"/>
      <w:marRight w:val="0"/>
      <w:marTop w:val="0"/>
      <w:marBottom w:val="0"/>
      <w:divBdr>
        <w:top w:val="none" w:sz="0" w:space="0" w:color="auto"/>
        <w:left w:val="none" w:sz="0" w:space="0" w:color="auto"/>
        <w:bottom w:val="none" w:sz="0" w:space="0" w:color="auto"/>
        <w:right w:val="none" w:sz="0" w:space="0" w:color="auto"/>
      </w:divBdr>
    </w:div>
    <w:div w:id="941959850">
      <w:bodyDiv w:val="1"/>
      <w:marLeft w:val="0"/>
      <w:marRight w:val="0"/>
      <w:marTop w:val="0"/>
      <w:marBottom w:val="0"/>
      <w:divBdr>
        <w:top w:val="none" w:sz="0" w:space="0" w:color="auto"/>
        <w:left w:val="none" w:sz="0" w:space="0" w:color="auto"/>
        <w:bottom w:val="none" w:sz="0" w:space="0" w:color="auto"/>
        <w:right w:val="none" w:sz="0" w:space="0" w:color="auto"/>
      </w:divBdr>
    </w:div>
    <w:div w:id="942344340">
      <w:bodyDiv w:val="1"/>
      <w:marLeft w:val="0"/>
      <w:marRight w:val="0"/>
      <w:marTop w:val="0"/>
      <w:marBottom w:val="0"/>
      <w:divBdr>
        <w:top w:val="none" w:sz="0" w:space="0" w:color="auto"/>
        <w:left w:val="none" w:sz="0" w:space="0" w:color="auto"/>
        <w:bottom w:val="none" w:sz="0" w:space="0" w:color="auto"/>
        <w:right w:val="none" w:sz="0" w:space="0" w:color="auto"/>
      </w:divBdr>
    </w:div>
    <w:div w:id="942880550">
      <w:bodyDiv w:val="1"/>
      <w:marLeft w:val="0"/>
      <w:marRight w:val="0"/>
      <w:marTop w:val="0"/>
      <w:marBottom w:val="0"/>
      <w:divBdr>
        <w:top w:val="none" w:sz="0" w:space="0" w:color="auto"/>
        <w:left w:val="none" w:sz="0" w:space="0" w:color="auto"/>
        <w:bottom w:val="none" w:sz="0" w:space="0" w:color="auto"/>
        <w:right w:val="none" w:sz="0" w:space="0" w:color="auto"/>
      </w:divBdr>
    </w:div>
    <w:div w:id="960309651">
      <w:bodyDiv w:val="1"/>
      <w:marLeft w:val="0"/>
      <w:marRight w:val="0"/>
      <w:marTop w:val="0"/>
      <w:marBottom w:val="0"/>
      <w:divBdr>
        <w:top w:val="none" w:sz="0" w:space="0" w:color="auto"/>
        <w:left w:val="none" w:sz="0" w:space="0" w:color="auto"/>
        <w:bottom w:val="none" w:sz="0" w:space="0" w:color="auto"/>
        <w:right w:val="none" w:sz="0" w:space="0" w:color="auto"/>
      </w:divBdr>
    </w:div>
    <w:div w:id="965163426">
      <w:bodyDiv w:val="1"/>
      <w:marLeft w:val="0"/>
      <w:marRight w:val="0"/>
      <w:marTop w:val="0"/>
      <w:marBottom w:val="0"/>
      <w:divBdr>
        <w:top w:val="none" w:sz="0" w:space="0" w:color="auto"/>
        <w:left w:val="none" w:sz="0" w:space="0" w:color="auto"/>
        <w:bottom w:val="none" w:sz="0" w:space="0" w:color="auto"/>
        <w:right w:val="none" w:sz="0" w:space="0" w:color="auto"/>
      </w:divBdr>
    </w:div>
    <w:div w:id="968241138">
      <w:bodyDiv w:val="1"/>
      <w:marLeft w:val="0"/>
      <w:marRight w:val="0"/>
      <w:marTop w:val="0"/>
      <w:marBottom w:val="0"/>
      <w:divBdr>
        <w:top w:val="none" w:sz="0" w:space="0" w:color="auto"/>
        <w:left w:val="none" w:sz="0" w:space="0" w:color="auto"/>
        <w:bottom w:val="none" w:sz="0" w:space="0" w:color="auto"/>
        <w:right w:val="none" w:sz="0" w:space="0" w:color="auto"/>
      </w:divBdr>
    </w:div>
    <w:div w:id="975376206">
      <w:bodyDiv w:val="1"/>
      <w:marLeft w:val="0"/>
      <w:marRight w:val="0"/>
      <w:marTop w:val="0"/>
      <w:marBottom w:val="0"/>
      <w:divBdr>
        <w:top w:val="none" w:sz="0" w:space="0" w:color="auto"/>
        <w:left w:val="none" w:sz="0" w:space="0" w:color="auto"/>
        <w:bottom w:val="none" w:sz="0" w:space="0" w:color="auto"/>
        <w:right w:val="none" w:sz="0" w:space="0" w:color="auto"/>
      </w:divBdr>
    </w:div>
    <w:div w:id="993073127">
      <w:bodyDiv w:val="1"/>
      <w:marLeft w:val="0"/>
      <w:marRight w:val="0"/>
      <w:marTop w:val="0"/>
      <w:marBottom w:val="0"/>
      <w:divBdr>
        <w:top w:val="none" w:sz="0" w:space="0" w:color="auto"/>
        <w:left w:val="none" w:sz="0" w:space="0" w:color="auto"/>
        <w:bottom w:val="none" w:sz="0" w:space="0" w:color="auto"/>
        <w:right w:val="none" w:sz="0" w:space="0" w:color="auto"/>
      </w:divBdr>
    </w:div>
    <w:div w:id="993410471">
      <w:bodyDiv w:val="1"/>
      <w:marLeft w:val="0"/>
      <w:marRight w:val="0"/>
      <w:marTop w:val="0"/>
      <w:marBottom w:val="0"/>
      <w:divBdr>
        <w:top w:val="none" w:sz="0" w:space="0" w:color="auto"/>
        <w:left w:val="none" w:sz="0" w:space="0" w:color="auto"/>
        <w:bottom w:val="none" w:sz="0" w:space="0" w:color="auto"/>
        <w:right w:val="none" w:sz="0" w:space="0" w:color="auto"/>
      </w:divBdr>
    </w:div>
    <w:div w:id="1015956871">
      <w:bodyDiv w:val="1"/>
      <w:marLeft w:val="0"/>
      <w:marRight w:val="0"/>
      <w:marTop w:val="0"/>
      <w:marBottom w:val="0"/>
      <w:divBdr>
        <w:top w:val="none" w:sz="0" w:space="0" w:color="auto"/>
        <w:left w:val="none" w:sz="0" w:space="0" w:color="auto"/>
        <w:bottom w:val="none" w:sz="0" w:space="0" w:color="auto"/>
        <w:right w:val="none" w:sz="0" w:space="0" w:color="auto"/>
      </w:divBdr>
    </w:div>
    <w:div w:id="1027146623">
      <w:bodyDiv w:val="1"/>
      <w:marLeft w:val="0"/>
      <w:marRight w:val="0"/>
      <w:marTop w:val="0"/>
      <w:marBottom w:val="0"/>
      <w:divBdr>
        <w:top w:val="none" w:sz="0" w:space="0" w:color="auto"/>
        <w:left w:val="none" w:sz="0" w:space="0" w:color="auto"/>
        <w:bottom w:val="none" w:sz="0" w:space="0" w:color="auto"/>
        <w:right w:val="none" w:sz="0" w:space="0" w:color="auto"/>
      </w:divBdr>
    </w:div>
    <w:div w:id="1052656354">
      <w:bodyDiv w:val="1"/>
      <w:marLeft w:val="0"/>
      <w:marRight w:val="0"/>
      <w:marTop w:val="0"/>
      <w:marBottom w:val="0"/>
      <w:divBdr>
        <w:top w:val="none" w:sz="0" w:space="0" w:color="auto"/>
        <w:left w:val="none" w:sz="0" w:space="0" w:color="auto"/>
        <w:bottom w:val="none" w:sz="0" w:space="0" w:color="auto"/>
        <w:right w:val="none" w:sz="0" w:space="0" w:color="auto"/>
      </w:divBdr>
    </w:div>
    <w:div w:id="1059866812">
      <w:bodyDiv w:val="1"/>
      <w:marLeft w:val="0"/>
      <w:marRight w:val="0"/>
      <w:marTop w:val="0"/>
      <w:marBottom w:val="0"/>
      <w:divBdr>
        <w:top w:val="none" w:sz="0" w:space="0" w:color="auto"/>
        <w:left w:val="none" w:sz="0" w:space="0" w:color="auto"/>
        <w:bottom w:val="none" w:sz="0" w:space="0" w:color="auto"/>
        <w:right w:val="none" w:sz="0" w:space="0" w:color="auto"/>
      </w:divBdr>
    </w:div>
    <w:div w:id="1066951655">
      <w:bodyDiv w:val="1"/>
      <w:marLeft w:val="0"/>
      <w:marRight w:val="0"/>
      <w:marTop w:val="0"/>
      <w:marBottom w:val="0"/>
      <w:divBdr>
        <w:top w:val="none" w:sz="0" w:space="0" w:color="auto"/>
        <w:left w:val="none" w:sz="0" w:space="0" w:color="auto"/>
        <w:bottom w:val="none" w:sz="0" w:space="0" w:color="auto"/>
        <w:right w:val="none" w:sz="0" w:space="0" w:color="auto"/>
      </w:divBdr>
    </w:div>
    <w:div w:id="1101416801">
      <w:bodyDiv w:val="1"/>
      <w:marLeft w:val="0"/>
      <w:marRight w:val="0"/>
      <w:marTop w:val="0"/>
      <w:marBottom w:val="0"/>
      <w:divBdr>
        <w:top w:val="none" w:sz="0" w:space="0" w:color="auto"/>
        <w:left w:val="none" w:sz="0" w:space="0" w:color="auto"/>
        <w:bottom w:val="none" w:sz="0" w:space="0" w:color="auto"/>
        <w:right w:val="none" w:sz="0" w:space="0" w:color="auto"/>
      </w:divBdr>
    </w:div>
    <w:div w:id="1118524772">
      <w:bodyDiv w:val="1"/>
      <w:marLeft w:val="0"/>
      <w:marRight w:val="0"/>
      <w:marTop w:val="0"/>
      <w:marBottom w:val="0"/>
      <w:divBdr>
        <w:top w:val="none" w:sz="0" w:space="0" w:color="auto"/>
        <w:left w:val="none" w:sz="0" w:space="0" w:color="auto"/>
        <w:bottom w:val="none" w:sz="0" w:space="0" w:color="auto"/>
        <w:right w:val="none" w:sz="0" w:space="0" w:color="auto"/>
      </w:divBdr>
    </w:div>
    <w:div w:id="1135098691">
      <w:bodyDiv w:val="1"/>
      <w:marLeft w:val="0"/>
      <w:marRight w:val="0"/>
      <w:marTop w:val="0"/>
      <w:marBottom w:val="0"/>
      <w:divBdr>
        <w:top w:val="none" w:sz="0" w:space="0" w:color="auto"/>
        <w:left w:val="none" w:sz="0" w:space="0" w:color="auto"/>
        <w:bottom w:val="none" w:sz="0" w:space="0" w:color="auto"/>
        <w:right w:val="none" w:sz="0" w:space="0" w:color="auto"/>
      </w:divBdr>
    </w:div>
    <w:div w:id="1137449383">
      <w:bodyDiv w:val="1"/>
      <w:marLeft w:val="0"/>
      <w:marRight w:val="0"/>
      <w:marTop w:val="0"/>
      <w:marBottom w:val="0"/>
      <w:divBdr>
        <w:top w:val="none" w:sz="0" w:space="0" w:color="auto"/>
        <w:left w:val="none" w:sz="0" w:space="0" w:color="auto"/>
        <w:bottom w:val="none" w:sz="0" w:space="0" w:color="auto"/>
        <w:right w:val="none" w:sz="0" w:space="0" w:color="auto"/>
      </w:divBdr>
    </w:div>
    <w:div w:id="1138454321">
      <w:bodyDiv w:val="1"/>
      <w:marLeft w:val="0"/>
      <w:marRight w:val="0"/>
      <w:marTop w:val="0"/>
      <w:marBottom w:val="0"/>
      <w:divBdr>
        <w:top w:val="none" w:sz="0" w:space="0" w:color="auto"/>
        <w:left w:val="none" w:sz="0" w:space="0" w:color="auto"/>
        <w:bottom w:val="none" w:sz="0" w:space="0" w:color="auto"/>
        <w:right w:val="none" w:sz="0" w:space="0" w:color="auto"/>
      </w:divBdr>
    </w:div>
    <w:div w:id="1163395229">
      <w:bodyDiv w:val="1"/>
      <w:marLeft w:val="0"/>
      <w:marRight w:val="0"/>
      <w:marTop w:val="0"/>
      <w:marBottom w:val="0"/>
      <w:divBdr>
        <w:top w:val="none" w:sz="0" w:space="0" w:color="auto"/>
        <w:left w:val="none" w:sz="0" w:space="0" w:color="auto"/>
        <w:bottom w:val="none" w:sz="0" w:space="0" w:color="auto"/>
        <w:right w:val="none" w:sz="0" w:space="0" w:color="auto"/>
      </w:divBdr>
    </w:div>
    <w:div w:id="1167281898">
      <w:bodyDiv w:val="1"/>
      <w:marLeft w:val="0"/>
      <w:marRight w:val="0"/>
      <w:marTop w:val="0"/>
      <w:marBottom w:val="0"/>
      <w:divBdr>
        <w:top w:val="none" w:sz="0" w:space="0" w:color="auto"/>
        <w:left w:val="none" w:sz="0" w:space="0" w:color="auto"/>
        <w:bottom w:val="none" w:sz="0" w:space="0" w:color="auto"/>
        <w:right w:val="none" w:sz="0" w:space="0" w:color="auto"/>
      </w:divBdr>
    </w:div>
    <w:div w:id="1172527500">
      <w:bodyDiv w:val="1"/>
      <w:marLeft w:val="0"/>
      <w:marRight w:val="0"/>
      <w:marTop w:val="0"/>
      <w:marBottom w:val="0"/>
      <w:divBdr>
        <w:top w:val="none" w:sz="0" w:space="0" w:color="auto"/>
        <w:left w:val="none" w:sz="0" w:space="0" w:color="auto"/>
        <w:bottom w:val="none" w:sz="0" w:space="0" w:color="auto"/>
        <w:right w:val="none" w:sz="0" w:space="0" w:color="auto"/>
      </w:divBdr>
    </w:div>
    <w:div w:id="1178537988">
      <w:bodyDiv w:val="1"/>
      <w:marLeft w:val="0"/>
      <w:marRight w:val="0"/>
      <w:marTop w:val="0"/>
      <w:marBottom w:val="0"/>
      <w:divBdr>
        <w:top w:val="none" w:sz="0" w:space="0" w:color="auto"/>
        <w:left w:val="none" w:sz="0" w:space="0" w:color="auto"/>
        <w:bottom w:val="none" w:sz="0" w:space="0" w:color="auto"/>
        <w:right w:val="none" w:sz="0" w:space="0" w:color="auto"/>
      </w:divBdr>
    </w:div>
    <w:div w:id="1183596015">
      <w:bodyDiv w:val="1"/>
      <w:marLeft w:val="0"/>
      <w:marRight w:val="0"/>
      <w:marTop w:val="0"/>
      <w:marBottom w:val="0"/>
      <w:divBdr>
        <w:top w:val="none" w:sz="0" w:space="0" w:color="auto"/>
        <w:left w:val="none" w:sz="0" w:space="0" w:color="auto"/>
        <w:bottom w:val="none" w:sz="0" w:space="0" w:color="auto"/>
        <w:right w:val="none" w:sz="0" w:space="0" w:color="auto"/>
      </w:divBdr>
    </w:div>
    <w:div w:id="1187451279">
      <w:bodyDiv w:val="1"/>
      <w:marLeft w:val="0"/>
      <w:marRight w:val="0"/>
      <w:marTop w:val="0"/>
      <w:marBottom w:val="0"/>
      <w:divBdr>
        <w:top w:val="none" w:sz="0" w:space="0" w:color="auto"/>
        <w:left w:val="none" w:sz="0" w:space="0" w:color="auto"/>
        <w:bottom w:val="none" w:sz="0" w:space="0" w:color="auto"/>
        <w:right w:val="none" w:sz="0" w:space="0" w:color="auto"/>
      </w:divBdr>
    </w:div>
    <w:div w:id="1190997454">
      <w:bodyDiv w:val="1"/>
      <w:marLeft w:val="0"/>
      <w:marRight w:val="0"/>
      <w:marTop w:val="0"/>
      <w:marBottom w:val="0"/>
      <w:divBdr>
        <w:top w:val="none" w:sz="0" w:space="0" w:color="auto"/>
        <w:left w:val="none" w:sz="0" w:space="0" w:color="auto"/>
        <w:bottom w:val="none" w:sz="0" w:space="0" w:color="auto"/>
        <w:right w:val="none" w:sz="0" w:space="0" w:color="auto"/>
      </w:divBdr>
    </w:div>
    <w:div w:id="1191341030">
      <w:bodyDiv w:val="1"/>
      <w:marLeft w:val="0"/>
      <w:marRight w:val="0"/>
      <w:marTop w:val="0"/>
      <w:marBottom w:val="0"/>
      <w:divBdr>
        <w:top w:val="none" w:sz="0" w:space="0" w:color="auto"/>
        <w:left w:val="none" w:sz="0" w:space="0" w:color="auto"/>
        <w:bottom w:val="none" w:sz="0" w:space="0" w:color="auto"/>
        <w:right w:val="none" w:sz="0" w:space="0" w:color="auto"/>
      </w:divBdr>
    </w:div>
    <w:div w:id="1200777261">
      <w:bodyDiv w:val="1"/>
      <w:marLeft w:val="0"/>
      <w:marRight w:val="0"/>
      <w:marTop w:val="0"/>
      <w:marBottom w:val="0"/>
      <w:divBdr>
        <w:top w:val="none" w:sz="0" w:space="0" w:color="auto"/>
        <w:left w:val="none" w:sz="0" w:space="0" w:color="auto"/>
        <w:bottom w:val="none" w:sz="0" w:space="0" w:color="auto"/>
        <w:right w:val="none" w:sz="0" w:space="0" w:color="auto"/>
      </w:divBdr>
    </w:div>
    <w:div w:id="1212645332">
      <w:bodyDiv w:val="1"/>
      <w:marLeft w:val="0"/>
      <w:marRight w:val="0"/>
      <w:marTop w:val="0"/>
      <w:marBottom w:val="0"/>
      <w:divBdr>
        <w:top w:val="none" w:sz="0" w:space="0" w:color="auto"/>
        <w:left w:val="none" w:sz="0" w:space="0" w:color="auto"/>
        <w:bottom w:val="none" w:sz="0" w:space="0" w:color="auto"/>
        <w:right w:val="none" w:sz="0" w:space="0" w:color="auto"/>
      </w:divBdr>
    </w:div>
    <w:div w:id="1216743017">
      <w:bodyDiv w:val="1"/>
      <w:marLeft w:val="0"/>
      <w:marRight w:val="0"/>
      <w:marTop w:val="0"/>
      <w:marBottom w:val="0"/>
      <w:divBdr>
        <w:top w:val="none" w:sz="0" w:space="0" w:color="auto"/>
        <w:left w:val="none" w:sz="0" w:space="0" w:color="auto"/>
        <w:bottom w:val="none" w:sz="0" w:space="0" w:color="auto"/>
        <w:right w:val="none" w:sz="0" w:space="0" w:color="auto"/>
      </w:divBdr>
    </w:div>
    <w:div w:id="1221676992">
      <w:bodyDiv w:val="1"/>
      <w:marLeft w:val="0"/>
      <w:marRight w:val="0"/>
      <w:marTop w:val="0"/>
      <w:marBottom w:val="0"/>
      <w:divBdr>
        <w:top w:val="none" w:sz="0" w:space="0" w:color="auto"/>
        <w:left w:val="none" w:sz="0" w:space="0" w:color="auto"/>
        <w:bottom w:val="none" w:sz="0" w:space="0" w:color="auto"/>
        <w:right w:val="none" w:sz="0" w:space="0" w:color="auto"/>
      </w:divBdr>
    </w:div>
    <w:div w:id="1231816043">
      <w:bodyDiv w:val="1"/>
      <w:marLeft w:val="0"/>
      <w:marRight w:val="0"/>
      <w:marTop w:val="0"/>
      <w:marBottom w:val="0"/>
      <w:divBdr>
        <w:top w:val="none" w:sz="0" w:space="0" w:color="auto"/>
        <w:left w:val="none" w:sz="0" w:space="0" w:color="auto"/>
        <w:bottom w:val="none" w:sz="0" w:space="0" w:color="auto"/>
        <w:right w:val="none" w:sz="0" w:space="0" w:color="auto"/>
      </w:divBdr>
    </w:div>
    <w:div w:id="1249729014">
      <w:bodyDiv w:val="1"/>
      <w:marLeft w:val="0"/>
      <w:marRight w:val="0"/>
      <w:marTop w:val="0"/>
      <w:marBottom w:val="0"/>
      <w:divBdr>
        <w:top w:val="none" w:sz="0" w:space="0" w:color="auto"/>
        <w:left w:val="none" w:sz="0" w:space="0" w:color="auto"/>
        <w:bottom w:val="none" w:sz="0" w:space="0" w:color="auto"/>
        <w:right w:val="none" w:sz="0" w:space="0" w:color="auto"/>
      </w:divBdr>
    </w:div>
    <w:div w:id="1265067480">
      <w:bodyDiv w:val="1"/>
      <w:marLeft w:val="0"/>
      <w:marRight w:val="0"/>
      <w:marTop w:val="0"/>
      <w:marBottom w:val="0"/>
      <w:divBdr>
        <w:top w:val="none" w:sz="0" w:space="0" w:color="auto"/>
        <w:left w:val="none" w:sz="0" w:space="0" w:color="auto"/>
        <w:bottom w:val="none" w:sz="0" w:space="0" w:color="auto"/>
        <w:right w:val="none" w:sz="0" w:space="0" w:color="auto"/>
      </w:divBdr>
    </w:div>
    <w:div w:id="1267805755">
      <w:bodyDiv w:val="1"/>
      <w:marLeft w:val="0"/>
      <w:marRight w:val="0"/>
      <w:marTop w:val="0"/>
      <w:marBottom w:val="0"/>
      <w:divBdr>
        <w:top w:val="none" w:sz="0" w:space="0" w:color="auto"/>
        <w:left w:val="none" w:sz="0" w:space="0" w:color="auto"/>
        <w:bottom w:val="none" w:sz="0" w:space="0" w:color="auto"/>
        <w:right w:val="none" w:sz="0" w:space="0" w:color="auto"/>
      </w:divBdr>
    </w:div>
    <w:div w:id="1267928714">
      <w:bodyDiv w:val="1"/>
      <w:marLeft w:val="0"/>
      <w:marRight w:val="0"/>
      <w:marTop w:val="0"/>
      <w:marBottom w:val="0"/>
      <w:divBdr>
        <w:top w:val="none" w:sz="0" w:space="0" w:color="auto"/>
        <w:left w:val="none" w:sz="0" w:space="0" w:color="auto"/>
        <w:bottom w:val="none" w:sz="0" w:space="0" w:color="auto"/>
        <w:right w:val="none" w:sz="0" w:space="0" w:color="auto"/>
      </w:divBdr>
    </w:div>
    <w:div w:id="1273123705">
      <w:bodyDiv w:val="1"/>
      <w:marLeft w:val="0"/>
      <w:marRight w:val="0"/>
      <w:marTop w:val="0"/>
      <w:marBottom w:val="0"/>
      <w:divBdr>
        <w:top w:val="none" w:sz="0" w:space="0" w:color="auto"/>
        <w:left w:val="none" w:sz="0" w:space="0" w:color="auto"/>
        <w:bottom w:val="none" w:sz="0" w:space="0" w:color="auto"/>
        <w:right w:val="none" w:sz="0" w:space="0" w:color="auto"/>
      </w:divBdr>
    </w:div>
    <w:div w:id="1328552870">
      <w:bodyDiv w:val="1"/>
      <w:marLeft w:val="0"/>
      <w:marRight w:val="0"/>
      <w:marTop w:val="0"/>
      <w:marBottom w:val="0"/>
      <w:divBdr>
        <w:top w:val="none" w:sz="0" w:space="0" w:color="auto"/>
        <w:left w:val="none" w:sz="0" w:space="0" w:color="auto"/>
        <w:bottom w:val="none" w:sz="0" w:space="0" w:color="auto"/>
        <w:right w:val="none" w:sz="0" w:space="0" w:color="auto"/>
      </w:divBdr>
    </w:div>
    <w:div w:id="1334336594">
      <w:bodyDiv w:val="1"/>
      <w:marLeft w:val="0"/>
      <w:marRight w:val="0"/>
      <w:marTop w:val="0"/>
      <w:marBottom w:val="0"/>
      <w:divBdr>
        <w:top w:val="none" w:sz="0" w:space="0" w:color="auto"/>
        <w:left w:val="none" w:sz="0" w:space="0" w:color="auto"/>
        <w:bottom w:val="none" w:sz="0" w:space="0" w:color="auto"/>
        <w:right w:val="none" w:sz="0" w:space="0" w:color="auto"/>
      </w:divBdr>
    </w:div>
    <w:div w:id="1339966542">
      <w:bodyDiv w:val="1"/>
      <w:marLeft w:val="0"/>
      <w:marRight w:val="0"/>
      <w:marTop w:val="0"/>
      <w:marBottom w:val="0"/>
      <w:divBdr>
        <w:top w:val="none" w:sz="0" w:space="0" w:color="auto"/>
        <w:left w:val="none" w:sz="0" w:space="0" w:color="auto"/>
        <w:bottom w:val="none" w:sz="0" w:space="0" w:color="auto"/>
        <w:right w:val="none" w:sz="0" w:space="0" w:color="auto"/>
      </w:divBdr>
    </w:div>
    <w:div w:id="1354303718">
      <w:bodyDiv w:val="1"/>
      <w:marLeft w:val="0"/>
      <w:marRight w:val="0"/>
      <w:marTop w:val="0"/>
      <w:marBottom w:val="0"/>
      <w:divBdr>
        <w:top w:val="none" w:sz="0" w:space="0" w:color="auto"/>
        <w:left w:val="none" w:sz="0" w:space="0" w:color="auto"/>
        <w:bottom w:val="none" w:sz="0" w:space="0" w:color="auto"/>
        <w:right w:val="none" w:sz="0" w:space="0" w:color="auto"/>
      </w:divBdr>
    </w:div>
    <w:div w:id="1395544357">
      <w:bodyDiv w:val="1"/>
      <w:marLeft w:val="0"/>
      <w:marRight w:val="0"/>
      <w:marTop w:val="0"/>
      <w:marBottom w:val="0"/>
      <w:divBdr>
        <w:top w:val="none" w:sz="0" w:space="0" w:color="auto"/>
        <w:left w:val="none" w:sz="0" w:space="0" w:color="auto"/>
        <w:bottom w:val="none" w:sz="0" w:space="0" w:color="auto"/>
        <w:right w:val="none" w:sz="0" w:space="0" w:color="auto"/>
      </w:divBdr>
    </w:div>
    <w:div w:id="1397391094">
      <w:bodyDiv w:val="1"/>
      <w:marLeft w:val="0"/>
      <w:marRight w:val="0"/>
      <w:marTop w:val="0"/>
      <w:marBottom w:val="0"/>
      <w:divBdr>
        <w:top w:val="none" w:sz="0" w:space="0" w:color="auto"/>
        <w:left w:val="none" w:sz="0" w:space="0" w:color="auto"/>
        <w:bottom w:val="none" w:sz="0" w:space="0" w:color="auto"/>
        <w:right w:val="none" w:sz="0" w:space="0" w:color="auto"/>
      </w:divBdr>
    </w:div>
    <w:div w:id="1407729142">
      <w:bodyDiv w:val="1"/>
      <w:marLeft w:val="0"/>
      <w:marRight w:val="0"/>
      <w:marTop w:val="0"/>
      <w:marBottom w:val="0"/>
      <w:divBdr>
        <w:top w:val="none" w:sz="0" w:space="0" w:color="auto"/>
        <w:left w:val="none" w:sz="0" w:space="0" w:color="auto"/>
        <w:bottom w:val="none" w:sz="0" w:space="0" w:color="auto"/>
        <w:right w:val="none" w:sz="0" w:space="0" w:color="auto"/>
      </w:divBdr>
    </w:div>
    <w:div w:id="1439063004">
      <w:bodyDiv w:val="1"/>
      <w:marLeft w:val="0"/>
      <w:marRight w:val="0"/>
      <w:marTop w:val="0"/>
      <w:marBottom w:val="0"/>
      <w:divBdr>
        <w:top w:val="none" w:sz="0" w:space="0" w:color="auto"/>
        <w:left w:val="none" w:sz="0" w:space="0" w:color="auto"/>
        <w:bottom w:val="none" w:sz="0" w:space="0" w:color="auto"/>
        <w:right w:val="none" w:sz="0" w:space="0" w:color="auto"/>
      </w:divBdr>
    </w:div>
    <w:div w:id="1445884434">
      <w:bodyDiv w:val="1"/>
      <w:marLeft w:val="0"/>
      <w:marRight w:val="0"/>
      <w:marTop w:val="0"/>
      <w:marBottom w:val="0"/>
      <w:divBdr>
        <w:top w:val="none" w:sz="0" w:space="0" w:color="auto"/>
        <w:left w:val="none" w:sz="0" w:space="0" w:color="auto"/>
        <w:bottom w:val="none" w:sz="0" w:space="0" w:color="auto"/>
        <w:right w:val="none" w:sz="0" w:space="0" w:color="auto"/>
      </w:divBdr>
    </w:div>
    <w:div w:id="1450588924">
      <w:bodyDiv w:val="1"/>
      <w:marLeft w:val="0"/>
      <w:marRight w:val="0"/>
      <w:marTop w:val="0"/>
      <w:marBottom w:val="0"/>
      <w:divBdr>
        <w:top w:val="none" w:sz="0" w:space="0" w:color="auto"/>
        <w:left w:val="none" w:sz="0" w:space="0" w:color="auto"/>
        <w:bottom w:val="none" w:sz="0" w:space="0" w:color="auto"/>
        <w:right w:val="none" w:sz="0" w:space="0" w:color="auto"/>
      </w:divBdr>
    </w:div>
    <w:div w:id="1455707515">
      <w:bodyDiv w:val="1"/>
      <w:marLeft w:val="0"/>
      <w:marRight w:val="0"/>
      <w:marTop w:val="0"/>
      <w:marBottom w:val="0"/>
      <w:divBdr>
        <w:top w:val="none" w:sz="0" w:space="0" w:color="auto"/>
        <w:left w:val="none" w:sz="0" w:space="0" w:color="auto"/>
        <w:bottom w:val="none" w:sz="0" w:space="0" w:color="auto"/>
        <w:right w:val="none" w:sz="0" w:space="0" w:color="auto"/>
      </w:divBdr>
    </w:div>
    <w:div w:id="1456949187">
      <w:bodyDiv w:val="1"/>
      <w:marLeft w:val="0"/>
      <w:marRight w:val="0"/>
      <w:marTop w:val="0"/>
      <w:marBottom w:val="0"/>
      <w:divBdr>
        <w:top w:val="none" w:sz="0" w:space="0" w:color="auto"/>
        <w:left w:val="none" w:sz="0" w:space="0" w:color="auto"/>
        <w:bottom w:val="none" w:sz="0" w:space="0" w:color="auto"/>
        <w:right w:val="none" w:sz="0" w:space="0" w:color="auto"/>
      </w:divBdr>
    </w:div>
    <w:div w:id="1461606714">
      <w:bodyDiv w:val="1"/>
      <w:marLeft w:val="0"/>
      <w:marRight w:val="0"/>
      <w:marTop w:val="0"/>
      <w:marBottom w:val="0"/>
      <w:divBdr>
        <w:top w:val="none" w:sz="0" w:space="0" w:color="auto"/>
        <w:left w:val="none" w:sz="0" w:space="0" w:color="auto"/>
        <w:bottom w:val="none" w:sz="0" w:space="0" w:color="auto"/>
        <w:right w:val="none" w:sz="0" w:space="0" w:color="auto"/>
      </w:divBdr>
    </w:div>
    <w:div w:id="1466897858">
      <w:bodyDiv w:val="1"/>
      <w:marLeft w:val="0"/>
      <w:marRight w:val="0"/>
      <w:marTop w:val="0"/>
      <w:marBottom w:val="0"/>
      <w:divBdr>
        <w:top w:val="none" w:sz="0" w:space="0" w:color="auto"/>
        <w:left w:val="none" w:sz="0" w:space="0" w:color="auto"/>
        <w:bottom w:val="none" w:sz="0" w:space="0" w:color="auto"/>
        <w:right w:val="none" w:sz="0" w:space="0" w:color="auto"/>
      </w:divBdr>
    </w:div>
    <w:div w:id="1474519908">
      <w:bodyDiv w:val="1"/>
      <w:marLeft w:val="0"/>
      <w:marRight w:val="0"/>
      <w:marTop w:val="0"/>
      <w:marBottom w:val="0"/>
      <w:divBdr>
        <w:top w:val="none" w:sz="0" w:space="0" w:color="auto"/>
        <w:left w:val="none" w:sz="0" w:space="0" w:color="auto"/>
        <w:bottom w:val="none" w:sz="0" w:space="0" w:color="auto"/>
        <w:right w:val="none" w:sz="0" w:space="0" w:color="auto"/>
      </w:divBdr>
    </w:div>
    <w:div w:id="1497301350">
      <w:bodyDiv w:val="1"/>
      <w:marLeft w:val="0"/>
      <w:marRight w:val="0"/>
      <w:marTop w:val="0"/>
      <w:marBottom w:val="0"/>
      <w:divBdr>
        <w:top w:val="none" w:sz="0" w:space="0" w:color="auto"/>
        <w:left w:val="none" w:sz="0" w:space="0" w:color="auto"/>
        <w:bottom w:val="none" w:sz="0" w:space="0" w:color="auto"/>
        <w:right w:val="none" w:sz="0" w:space="0" w:color="auto"/>
      </w:divBdr>
    </w:div>
    <w:div w:id="1502232416">
      <w:bodyDiv w:val="1"/>
      <w:marLeft w:val="0"/>
      <w:marRight w:val="0"/>
      <w:marTop w:val="0"/>
      <w:marBottom w:val="0"/>
      <w:divBdr>
        <w:top w:val="none" w:sz="0" w:space="0" w:color="auto"/>
        <w:left w:val="none" w:sz="0" w:space="0" w:color="auto"/>
        <w:bottom w:val="none" w:sz="0" w:space="0" w:color="auto"/>
        <w:right w:val="none" w:sz="0" w:space="0" w:color="auto"/>
      </w:divBdr>
    </w:div>
    <w:div w:id="1507553631">
      <w:bodyDiv w:val="1"/>
      <w:marLeft w:val="0"/>
      <w:marRight w:val="0"/>
      <w:marTop w:val="0"/>
      <w:marBottom w:val="0"/>
      <w:divBdr>
        <w:top w:val="none" w:sz="0" w:space="0" w:color="auto"/>
        <w:left w:val="none" w:sz="0" w:space="0" w:color="auto"/>
        <w:bottom w:val="none" w:sz="0" w:space="0" w:color="auto"/>
        <w:right w:val="none" w:sz="0" w:space="0" w:color="auto"/>
      </w:divBdr>
    </w:div>
    <w:div w:id="1515416017">
      <w:bodyDiv w:val="1"/>
      <w:marLeft w:val="0"/>
      <w:marRight w:val="0"/>
      <w:marTop w:val="0"/>
      <w:marBottom w:val="0"/>
      <w:divBdr>
        <w:top w:val="none" w:sz="0" w:space="0" w:color="auto"/>
        <w:left w:val="none" w:sz="0" w:space="0" w:color="auto"/>
        <w:bottom w:val="none" w:sz="0" w:space="0" w:color="auto"/>
        <w:right w:val="none" w:sz="0" w:space="0" w:color="auto"/>
      </w:divBdr>
    </w:div>
    <w:div w:id="1515537149">
      <w:bodyDiv w:val="1"/>
      <w:marLeft w:val="0"/>
      <w:marRight w:val="0"/>
      <w:marTop w:val="0"/>
      <w:marBottom w:val="0"/>
      <w:divBdr>
        <w:top w:val="none" w:sz="0" w:space="0" w:color="auto"/>
        <w:left w:val="none" w:sz="0" w:space="0" w:color="auto"/>
        <w:bottom w:val="none" w:sz="0" w:space="0" w:color="auto"/>
        <w:right w:val="none" w:sz="0" w:space="0" w:color="auto"/>
      </w:divBdr>
    </w:div>
    <w:div w:id="1515728771">
      <w:bodyDiv w:val="1"/>
      <w:marLeft w:val="0"/>
      <w:marRight w:val="0"/>
      <w:marTop w:val="0"/>
      <w:marBottom w:val="0"/>
      <w:divBdr>
        <w:top w:val="none" w:sz="0" w:space="0" w:color="auto"/>
        <w:left w:val="none" w:sz="0" w:space="0" w:color="auto"/>
        <w:bottom w:val="none" w:sz="0" w:space="0" w:color="auto"/>
        <w:right w:val="none" w:sz="0" w:space="0" w:color="auto"/>
      </w:divBdr>
    </w:div>
    <w:div w:id="1522741011">
      <w:bodyDiv w:val="1"/>
      <w:marLeft w:val="0"/>
      <w:marRight w:val="0"/>
      <w:marTop w:val="0"/>
      <w:marBottom w:val="0"/>
      <w:divBdr>
        <w:top w:val="none" w:sz="0" w:space="0" w:color="auto"/>
        <w:left w:val="none" w:sz="0" w:space="0" w:color="auto"/>
        <w:bottom w:val="none" w:sz="0" w:space="0" w:color="auto"/>
        <w:right w:val="none" w:sz="0" w:space="0" w:color="auto"/>
      </w:divBdr>
    </w:div>
    <w:div w:id="1523015550">
      <w:bodyDiv w:val="1"/>
      <w:marLeft w:val="0"/>
      <w:marRight w:val="0"/>
      <w:marTop w:val="0"/>
      <w:marBottom w:val="0"/>
      <w:divBdr>
        <w:top w:val="none" w:sz="0" w:space="0" w:color="auto"/>
        <w:left w:val="none" w:sz="0" w:space="0" w:color="auto"/>
        <w:bottom w:val="none" w:sz="0" w:space="0" w:color="auto"/>
        <w:right w:val="none" w:sz="0" w:space="0" w:color="auto"/>
      </w:divBdr>
    </w:div>
    <w:div w:id="1526989055">
      <w:bodyDiv w:val="1"/>
      <w:marLeft w:val="0"/>
      <w:marRight w:val="0"/>
      <w:marTop w:val="0"/>
      <w:marBottom w:val="0"/>
      <w:divBdr>
        <w:top w:val="none" w:sz="0" w:space="0" w:color="auto"/>
        <w:left w:val="none" w:sz="0" w:space="0" w:color="auto"/>
        <w:bottom w:val="none" w:sz="0" w:space="0" w:color="auto"/>
        <w:right w:val="none" w:sz="0" w:space="0" w:color="auto"/>
      </w:divBdr>
    </w:div>
    <w:div w:id="1562015442">
      <w:bodyDiv w:val="1"/>
      <w:marLeft w:val="0"/>
      <w:marRight w:val="0"/>
      <w:marTop w:val="0"/>
      <w:marBottom w:val="0"/>
      <w:divBdr>
        <w:top w:val="none" w:sz="0" w:space="0" w:color="auto"/>
        <w:left w:val="none" w:sz="0" w:space="0" w:color="auto"/>
        <w:bottom w:val="none" w:sz="0" w:space="0" w:color="auto"/>
        <w:right w:val="none" w:sz="0" w:space="0" w:color="auto"/>
      </w:divBdr>
    </w:div>
    <w:div w:id="1573000261">
      <w:bodyDiv w:val="1"/>
      <w:marLeft w:val="0"/>
      <w:marRight w:val="0"/>
      <w:marTop w:val="0"/>
      <w:marBottom w:val="0"/>
      <w:divBdr>
        <w:top w:val="none" w:sz="0" w:space="0" w:color="auto"/>
        <w:left w:val="none" w:sz="0" w:space="0" w:color="auto"/>
        <w:bottom w:val="none" w:sz="0" w:space="0" w:color="auto"/>
        <w:right w:val="none" w:sz="0" w:space="0" w:color="auto"/>
      </w:divBdr>
    </w:div>
    <w:div w:id="1598714958">
      <w:bodyDiv w:val="1"/>
      <w:marLeft w:val="0"/>
      <w:marRight w:val="0"/>
      <w:marTop w:val="0"/>
      <w:marBottom w:val="0"/>
      <w:divBdr>
        <w:top w:val="none" w:sz="0" w:space="0" w:color="auto"/>
        <w:left w:val="none" w:sz="0" w:space="0" w:color="auto"/>
        <w:bottom w:val="none" w:sz="0" w:space="0" w:color="auto"/>
        <w:right w:val="none" w:sz="0" w:space="0" w:color="auto"/>
      </w:divBdr>
    </w:div>
    <w:div w:id="1614748944">
      <w:bodyDiv w:val="1"/>
      <w:marLeft w:val="0"/>
      <w:marRight w:val="0"/>
      <w:marTop w:val="0"/>
      <w:marBottom w:val="0"/>
      <w:divBdr>
        <w:top w:val="none" w:sz="0" w:space="0" w:color="auto"/>
        <w:left w:val="none" w:sz="0" w:space="0" w:color="auto"/>
        <w:bottom w:val="none" w:sz="0" w:space="0" w:color="auto"/>
        <w:right w:val="none" w:sz="0" w:space="0" w:color="auto"/>
      </w:divBdr>
    </w:div>
    <w:div w:id="1622954945">
      <w:bodyDiv w:val="1"/>
      <w:marLeft w:val="0"/>
      <w:marRight w:val="0"/>
      <w:marTop w:val="0"/>
      <w:marBottom w:val="0"/>
      <w:divBdr>
        <w:top w:val="none" w:sz="0" w:space="0" w:color="auto"/>
        <w:left w:val="none" w:sz="0" w:space="0" w:color="auto"/>
        <w:bottom w:val="none" w:sz="0" w:space="0" w:color="auto"/>
        <w:right w:val="none" w:sz="0" w:space="0" w:color="auto"/>
      </w:divBdr>
    </w:div>
    <w:div w:id="1625698616">
      <w:bodyDiv w:val="1"/>
      <w:marLeft w:val="0"/>
      <w:marRight w:val="0"/>
      <w:marTop w:val="0"/>
      <w:marBottom w:val="0"/>
      <w:divBdr>
        <w:top w:val="none" w:sz="0" w:space="0" w:color="auto"/>
        <w:left w:val="none" w:sz="0" w:space="0" w:color="auto"/>
        <w:bottom w:val="none" w:sz="0" w:space="0" w:color="auto"/>
        <w:right w:val="none" w:sz="0" w:space="0" w:color="auto"/>
      </w:divBdr>
    </w:div>
    <w:div w:id="1635207858">
      <w:bodyDiv w:val="1"/>
      <w:marLeft w:val="0"/>
      <w:marRight w:val="0"/>
      <w:marTop w:val="0"/>
      <w:marBottom w:val="0"/>
      <w:divBdr>
        <w:top w:val="none" w:sz="0" w:space="0" w:color="auto"/>
        <w:left w:val="none" w:sz="0" w:space="0" w:color="auto"/>
        <w:bottom w:val="none" w:sz="0" w:space="0" w:color="auto"/>
        <w:right w:val="none" w:sz="0" w:space="0" w:color="auto"/>
      </w:divBdr>
    </w:div>
    <w:div w:id="1636788867">
      <w:bodyDiv w:val="1"/>
      <w:marLeft w:val="0"/>
      <w:marRight w:val="0"/>
      <w:marTop w:val="0"/>
      <w:marBottom w:val="0"/>
      <w:divBdr>
        <w:top w:val="none" w:sz="0" w:space="0" w:color="auto"/>
        <w:left w:val="none" w:sz="0" w:space="0" w:color="auto"/>
        <w:bottom w:val="none" w:sz="0" w:space="0" w:color="auto"/>
        <w:right w:val="none" w:sz="0" w:space="0" w:color="auto"/>
      </w:divBdr>
    </w:div>
    <w:div w:id="1648893993">
      <w:bodyDiv w:val="1"/>
      <w:marLeft w:val="0"/>
      <w:marRight w:val="0"/>
      <w:marTop w:val="0"/>
      <w:marBottom w:val="0"/>
      <w:divBdr>
        <w:top w:val="none" w:sz="0" w:space="0" w:color="auto"/>
        <w:left w:val="none" w:sz="0" w:space="0" w:color="auto"/>
        <w:bottom w:val="none" w:sz="0" w:space="0" w:color="auto"/>
        <w:right w:val="none" w:sz="0" w:space="0" w:color="auto"/>
      </w:divBdr>
    </w:div>
    <w:div w:id="1670329918">
      <w:bodyDiv w:val="1"/>
      <w:marLeft w:val="0"/>
      <w:marRight w:val="0"/>
      <w:marTop w:val="0"/>
      <w:marBottom w:val="0"/>
      <w:divBdr>
        <w:top w:val="none" w:sz="0" w:space="0" w:color="auto"/>
        <w:left w:val="none" w:sz="0" w:space="0" w:color="auto"/>
        <w:bottom w:val="none" w:sz="0" w:space="0" w:color="auto"/>
        <w:right w:val="none" w:sz="0" w:space="0" w:color="auto"/>
      </w:divBdr>
    </w:div>
    <w:div w:id="1673876464">
      <w:bodyDiv w:val="1"/>
      <w:marLeft w:val="0"/>
      <w:marRight w:val="0"/>
      <w:marTop w:val="0"/>
      <w:marBottom w:val="0"/>
      <w:divBdr>
        <w:top w:val="none" w:sz="0" w:space="0" w:color="auto"/>
        <w:left w:val="none" w:sz="0" w:space="0" w:color="auto"/>
        <w:bottom w:val="none" w:sz="0" w:space="0" w:color="auto"/>
        <w:right w:val="none" w:sz="0" w:space="0" w:color="auto"/>
      </w:divBdr>
    </w:div>
    <w:div w:id="1689210652">
      <w:bodyDiv w:val="1"/>
      <w:marLeft w:val="0"/>
      <w:marRight w:val="0"/>
      <w:marTop w:val="0"/>
      <w:marBottom w:val="0"/>
      <w:divBdr>
        <w:top w:val="none" w:sz="0" w:space="0" w:color="auto"/>
        <w:left w:val="none" w:sz="0" w:space="0" w:color="auto"/>
        <w:bottom w:val="none" w:sz="0" w:space="0" w:color="auto"/>
        <w:right w:val="none" w:sz="0" w:space="0" w:color="auto"/>
      </w:divBdr>
    </w:div>
    <w:div w:id="1692294495">
      <w:bodyDiv w:val="1"/>
      <w:marLeft w:val="0"/>
      <w:marRight w:val="0"/>
      <w:marTop w:val="0"/>
      <w:marBottom w:val="0"/>
      <w:divBdr>
        <w:top w:val="none" w:sz="0" w:space="0" w:color="auto"/>
        <w:left w:val="none" w:sz="0" w:space="0" w:color="auto"/>
        <w:bottom w:val="none" w:sz="0" w:space="0" w:color="auto"/>
        <w:right w:val="none" w:sz="0" w:space="0" w:color="auto"/>
      </w:divBdr>
    </w:div>
    <w:div w:id="1699427449">
      <w:bodyDiv w:val="1"/>
      <w:marLeft w:val="0"/>
      <w:marRight w:val="0"/>
      <w:marTop w:val="0"/>
      <w:marBottom w:val="0"/>
      <w:divBdr>
        <w:top w:val="none" w:sz="0" w:space="0" w:color="auto"/>
        <w:left w:val="none" w:sz="0" w:space="0" w:color="auto"/>
        <w:bottom w:val="none" w:sz="0" w:space="0" w:color="auto"/>
        <w:right w:val="none" w:sz="0" w:space="0" w:color="auto"/>
      </w:divBdr>
    </w:div>
    <w:div w:id="1729496053">
      <w:bodyDiv w:val="1"/>
      <w:marLeft w:val="0"/>
      <w:marRight w:val="0"/>
      <w:marTop w:val="0"/>
      <w:marBottom w:val="0"/>
      <w:divBdr>
        <w:top w:val="none" w:sz="0" w:space="0" w:color="auto"/>
        <w:left w:val="none" w:sz="0" w:space="0" w:color="auto"/>
        <w:bottom w:val="none" w:sz="0" w:space="0" w:color="auto"/>
        <w:right w:val="none" w:sz="0" w:space="0" w:color="auto"/>
      </w:divBdr>
    </w:div>
    <w:div w:id="1735349546">
      <w:bodyDiv w:val="1"/>
      <w:marLeft w:val="0"/>
      <w:marRight w:val="0"/>
      <w:marTop w:val="0"/>
      <w:marBottom w:val="0"/>
      <w:divBdr>
        <w:top w:val="none" w:sz="0" w:space="0" w:color="auto"/>
        <w:left w:val="none" w:sz="0" w:space="0" w:color="auto"/>
        <w:bottom w:val="none" w:sz="0" w:space="0" w:color="auto"/>
        <w:right w:val="none" w:sz="0" w:space="0" w:color="auto"/>
      </w:divBdr>
    </w:div>
    <w:div w:id="1739673665">
      <w:bodyDiv w:val="1"/>
      <w:marLeft w:val="0"/>
      <w:marRight w:val="0"/>
      <w:marTop w:val="0"/>
      <w:marBottom w:val="0"/>
      <w:divBdr>
        <w:top w:val="none" w:sz="0" w:space="0" w:color="auto"/>
        <w:left w:val="none" w:sz="0" w:space="0" w:color="auto"/>
        <w:bottom w:val="none" w:sz="0" w:space="0" w:color="auto"/>
        <w:right w:val="none" w:sz="0" w:space="0" w:color="auto"/>
      </w:divBdr>
    </w:div>
    <w:div w:id="1751728224">
      <w:bodyDiv w:val="1"/>
      <w:marLeft w:val="0"/>
      <w:marRight w:val="0"/>
      <w:marTop w:val="0"/>
      <w:marBottom w:val="0"/>
      <w:divBdr>
        <w:top w:val="none" w:sz="0" w:space="0" w:color="auto"/>
        <w:left w:val="none" w:sz="0" w:space="0" w:color="auto"/>
        <w:bottom w:val="none" w:sz="0" w:space="0" w:color="auto"/>
        <w:right w:val="none" w:sz="0" w:space="0" w:color="auto"/>
      </w:divBdr>
    </w:div>
    <w:div w:id="1773278899">
      <w:bodyDiv w:val="1"/>
      <w:marLeft w:val="0"/>
      <w:marRight w:val="0"/>
      <w:marTop w:val="0"/>
      <w:marBottom w:val="0"/>
      <w:divBdr>
        <w:top w:val="none" w:sz="0" w:space="0" w:color="auto"/>
        <w:left w:val="none" w:sz="0" w:space="0" w:color="auto"/>
        <w:bottom w:val="none" w:sz="0" w:space="0" w:color="auto"/>
        <w:right w:val="none" w:sz="0" w:space="0" w:color="auto"/>
      </w:divBdr>
    </w:div>
    <w:div w:id="1778134857">
      <w:bodyDiv w:val="1"/>
      <w:marLeft w:val="0"/>
      <w:marRight w:val="0"/>
      <w:marTop w:val="0"/>
      <w:marBottom w:val="0"/>
      <w:divBdr>
        <w:top w:val="none" w:sz="0" w:space="0" w:color="auto"/>
        <w:left w:val="none" w:sz="0" w:space="0" w:color="auto"/>
        <w:bottom w:val="none" w:sz="0" w:space="0" w:color="auto"/>
        <w:right w:val="none" w:sz="0" w:space="0" w:color="auto"/>
      </w:divBdr>
    </w:div>
    <w:div w:id="1779330595">
      <w:bodyDiv w:val="1"/>
      <w:marLeft w:val="0"/>
      <w:marRight w:val="0"/>
      <w:marTop w:val="0"/>
      <w:marBottom w:val="0"/>
      <w:divBdr>
        <w:top w:val="none" w:sz="0" w:space="0" w:color="auto"/>
        <w:left w:val="none" w:sz="0" w:space="0" w:color="auto"/>
        <w:bottom w:val="none" w:sz="0" w:space="0" w:color="auto"/>
        <w:right w:val="none" w:sz="0" w:space="0" w:color="auto"/>
      </w:divBdr>
    </w:div>
    <w:div w:id="1780416835">
      <w:bodyDiv w:val="1"/>
      <w:marLeft w:val="0"/>
      <w:marRight w:val="0"/>
      <w:marTop w:val="0"/>
      <w:marBottom w:val="0"/>
      <w:divBdr>
        <w:top w:val="none" w:sz="0" w:space="0" w:color="auto"/>
        <w:left w:val="none" w:sz="0" w:space="0" w:color="auto"/>
        <w:bottom w:val="none" w:sz="0" w:space="0" w:color="auto"/>
        <w:right w:val="none" w:sz="0" w:space="0" w:color="auto"/>
      </w:divBdr>
    </w:div>
    <w:div w:id="1784038727">
      <w:bodyDiv w:val="1"/>
      <w:marLeft w:val="0"/>
      <w:marRight w:val="0"/>
      <w:marTop w:val="0"/>
      <w:marBottom w:val="0"/>
      <w:divBdr>
        <w:top w:val="none" w:sz="0" w:space="0" w:color="auto"/>
        <w:left w:val="none" w:sz="0" w:space="0" w:color="auto"/>
        <w:bottom w:val="none" w:sz="0" w:space="0" w:color="auto"/>
        <w:right w:val="none" w:sz="0" w:space="0" w:color="auto"/>
      </w:divBdr>
    </w:div>
    <w:div w:id="1796413761">
      <w:bodyDiv w:val="1"/>
      <w:marLeft w:val="0"/>
      <w:marRight w:val="0"/>
      <w:marTop w:val="0"/>
      <w:marBottom w:val="0"/>
      <w:divBdr>
        <w:top w:val="none" w:sz="0" w:space="0" w:color="auto"/>
        <w:left w:val="none" w:sz="0" w:space="0" w:color="auto"/>
        <w:bottom w:val="none" w:sz="0" w:space="0" w:color="auto"/>
        <w:right w:val="none" w:sz="0" w:space="0" w:color="auto"/>
      </w:divBdr>
    </w:div>
    <w:div w:id="1805536025">
      <w:bodyDiv w:val="1"/>
      <w:marLeft w:val="0"/>
      <w:marRight w:val="0"/>
      <w:marTop w:val="0"/>
      <w:marBottom w:val="0"/>
      <w:divBdr>
        <w:top w:val="none" w:sz="0" w:space="0" w:color="auto"/>
        <w:left w:val="none" w:sz="0" w:space="0" w:color="auto"/>
        <w:bottom w:val="none" w:sz="0" w:space="0" w:color="auto"/>
        <w:right w:val="none" w:sz="0" w:space="0" w:color="auto"/>
      </w:divBdr>
    </w:div>
    <w:div w:id="1814565096">
      <w:bodyDiv w:val="1"/>
      <w:marLeft w:val="0"/>
      <w:marRight w:val="0"/>
      <w:marTop w:val="0"/>
      <w:marBottom w:val="0"/>
      <w:divBdr>
        <w:top w:val="none" w:sz="0" w:space="0" w:color="auto"/>
        <w:left w:val="none" w:sz="0" w:space="0" w:color="auto"/>
        <w:bottom w:val="none" w:sz="0" w:space="0" w:color="auto"/>
        <w:right w:val="none" w:sz="0" w:space="0" w:color="auto"/>
      </w:divBdr>
    </w:div>
    <w:div w:id="1816481551">
      <w:bodyDiv w:val="1"/>
      <w:marLeft w:val="0"/>
      <w:marRight w:val="0"/>
      <w:marTop w:val="0"/>
      <w:marBottom w:val="0"/>
      <w:divBdr>
        <w:top w:val="none" w:sz="0" w:space="0" w:color="auto"/>
        <w:left w:val="none" w:sz="0" w:space="0" w:color="auto"/>
        <w:bottom w:val="none" w:sz="0" w:space="0" w:color="auto"/>
        <w:right w:val="none" w:sz="0" w:space="0" w:color="auto"/>
      </w:divBdr>
    </w:div>
    <w:div w:id="1816793611">
      <w:bodyDiv w:val="1"/>
      <w:marLeft w:val="0"/>
      <w:marRight w:val="0"/>
      <w:marTop w:val="0"/>
      <w:marBottom w:val="0"/>
      <w:divBdr>
        <w:top w:val="none" w:sz="0" w:space="0" w:color="auto"/>
        <w:left w:val="none" w:sz="0" w:space="0" w:color="auto"/>
        <w:bottom w:val="none" w:sz="0" w:space="0" w:color="auto"/>
        <w:right w:val="none" w:sz="0" w:space="0" w:color="auto"/>
      </w:divBdr>
    </w:div>
    <w:div w:id="1817263795">
      <w:bodyDiv w:val="1"/>
      <w:marLeft w:val="0"/>
      <w:marRight w:val="0"/>
      <w:marTop w:val="0"/>
      <w:marBottom w:val="0"/>
      <w:divBdr>
        <w:top w:val="none" w:sz="0" w:space="0" w:color="auto"/>
        <w:left w:val="none" w:sz="0" w:space="0" w:color="auto"/>
        <w:bottom w:val="none" w:sz="0" w:space="0" w:color="auto"/>
        <w:right w:val="none" w:sz="0" w:space="0" w:color="auto"/>
      </w:divBdr>
    </w:div>
    <w:div w:id="1818917586">
      <w:bodyDiv w:val="1"/>
      <w:marLeft w:val="0"/>
      <w:marRight w:val="0"/>
      <w:marTop w:val="0"/>
      <w:marBottom w:val="0"/>
      <w:divBdr>
        <w:top w:val="none" w:sz="0" w:space="0" w:color="auto"/>
        <w:left w:val="none" w:sz="0" w:space="0" w:color="auto"/>
        <w:bottom w:val="none" w:sz="0" w:space="0" w:color="auto"/>
        <w:right w:val="none" w:sz="0" w:space="0" w:color="auto"/>
      </w:divBdr>
    </w:div>
    <w:div w:id="1838569272">
      <w:bodyDiv w:val="1"/>
      <w:marLeft w:val="0"/>
      <w:marRight w:val="0"/>
      <w:marTop w:val="0"/>
      <w:marBottom w:val="0"/>
      <w:divBdr>
        <w:top w:val="none" w:sz="0" w:space="0" w:color="auto"/>
        <w:left w:val="none" w:sz="0" w:space="0" w:color="auto"/>
        <w:bottom w:val="none" w:sz="0" w:space="0" w:color="auto"/>
        <w:right w:val="none" w:sz="0" w:space="0" w:color="auto"/>
      </w:divBdr>
    </w:div>
    <w:div w:id="1856111131">
      <w:bodyDiv w:val="1"/>
      <w:marLeft w:val="0"/>
      <w:marRight w:val="0"/>
      <w:marTop w:val="0"/>
      <w:marBottom w:val="0"/>
      <w:divBdr>
        <w:top w:val="none" w:sz="0" w:space="0" w:color="auto"/>
        <w:left w:val="none" w:sz="0" w:space="0" w:color="auto"/>
        <w:bottom w:val="none" w:sz="0" w:space="0" w:color="auto"/>
        <w:right w:val="none" w:sz="0" w:space="0" w:color="auto"/>
      </w:divBdr>
    </w:div>
    <w:div w:id="1857229300">
      <w:bodyDiv w:val="1"/>
      <w:marLeft w:val="0"/>
      <w:marRight w:val="0"/>
      <w:marTop w:val="0"/>
      <w:marBottom w:val="0"/>
      <w:divBdr>
        <w:top w:val="none" w:sz="0" w:space="0" w:color="auto"/>
        <w:left w:val="none" w:sz="0" w:space="0" w:color="auto"/>
        <w:bottom w:val="none" w:sz="0" w:space="0" w:color="auto"/>
        <w:right w:val="none" w:sz="0" w:space="0" w:color="auto"/>
      </w:divBdr>
    </w:div>
    <w:div w:id="1867789484">
      <w:bodyDiv w:val="1"/>
      <w:marLeft w:val="0"/>
      <w:marRight w:val="0"/>
      <w:marTop w:val="0"/>
      <w:marBottom w:val="0"/>
      <w:divBdr>
        <w:top w:val="none" w:sz="0" w:space="0" w:color="auto"/>
        <w:left w:val="none" w:sz="0" w:space="0" w:color="auto"/>
        <w:bottom w:val="none" w:sz="0" w:space="0" w:color="auto"/>
        <w:right w:val="none" w:sz="0" w:space="0" w:color="auto"/>
      </w:divBdr>
    </w:div>
    <w:div w:id="1870532560">
      <w:bodyDiv w:val="1"/>
      <w:marLeft w:val="0"/>
      <w:marRight w:val="0"/>
      <w:marTop w:val="0"/>
      <w:marBottom w:val="0"/>
      <w:divBdr>
        <w:top w:val="none" w:sz="0" w:space="0" w:color="auto"/>
        <w:left w:val="none" w:sz="0" w:space="0" w:color="auto"/>
        <w:bottom w:val="none" w:sz="0" w:space="0" w:color="auto"/>
        <w:right w:val="none" w:sz="0" w:space="0" w:color="auto"/>
      </w:divBdr>
    </w:div>
    <w:div w:id="1872574954">
      <w:bodyDiv w:val="1"/>
      <w:marLeft w:val="0"/>
      <w:marRight w:val="0"/>
      <w:marTop w:val="0"/>
      <w:marBottom w:val="0"/>
      <w:divBdr>
        <w:top w:val="none" w:sz="0" w:space="0" w:color="auto"/>
        <w:left w:val="none" w:sz="0" w:space="0" w:color="auto"/>
        <w:bottom w:val="none" w:sz="0" w:space="0" w:color="auto"/>
        <w:right w:val="none" w:sz="0" w:space="0" w:color="auto"/>
      </w:divBdr>
    </w:div>
    <w:div w:id="1895697676">
      <w:bodyDiv w:val="1"/>
      <w:marLeft w:val="0"/>
      <w:marRight w:val="0"/>
      <w:marTop w:val="0"/>
      <w:marBottom w:val="0"/>
      <w:divBdr>
        <w:top w:val="none" w:sz="0" w:space="0" w:color="auto"/>
        <w:left w:val="none" w:sz="0" w:space="0" w:color="auto"/>
        <w:bottom w:val="none" w:sz="0" w:space="0" w:color="auto"/>
        <w:right w:val="none" w:sz="0" w:space="0" w:color="auto"/>
      </w:divBdr>
    </w:div>
    <w:div w:id="1911844545">
      <w:bodyDiv w:val="1"/>
      <w:marLeft w:val="0"/>
      <w:marRight w:val="0"/>
      <w:marTop w:val="0"/>
      <w:marBottom w:val="0"/>
      <w:divBdr>
        <w:top w:val="none" w:sz="0" w:space="0" w:color="auto"/>
        <w:left w:val="none" w:sz="0" w:space="0" w:color="auto"/>
        <w:bottom w:val="none" w:sz="0" w:space="0" w:color="auto"/>
        <w:right w:val="none" w:sz="0" w:space="0" w:color="auto"/>
      </w:divBdr>
    </w:div>
    <w:div w:id="1919752479">
      <w:bodyDiv w:val="1"/>
      <w:marLeft w:val="0"/>
      <w:marRight w:val="0"/>
      <w:marTop w:val="0"/>
      <w:marBottom w:val="0"/>
      <w:divBdr>
        <w:top w:val="none" w:sz="0" w:space="0" w:color="auto"/>
        <w:left w:val="none" w:sz="0" w:space="0" w:color="auto"/>
        <w:bottom w:val="none" w:sz="0" w:space="0" w:color="auto"/>
        <w:right w:val="none" w:sz="0" w:space="0" w:color="auto"/>
      </w:divBdr>
    </w:div>
    <w:div w:id="1928810552">
      <w:bodyDiv w:val="1"/>
      <w:marLeft w:val="0"/>
      <w:marRight w:val="0"/>
      <w:marTop w:val="0"/>
      <w:marBottom w:val="0"/>
      <w:divBdr>
        <w:top w:val="none" w:sz="0" w:space="0" w:color="auto"/>
        <w:left w:val="none" w:sz="0" w:space="0" w:color="auto"/>
        <w:bottom w:val="none" w:sz="0" w:space="0" w:color="auto"/>
        <w:right w:val="none" w:sz="0" w:space="0" w:color="auto"/>
      </w:divBdr>
    </w:div>
    <w:div w:id="1940210166">
      <w:bodyDiv w:val="1"/>
      <w:marLeft w:val="0"/>
      <w:marRight w:val="0"/>
      <w:marTop w:val="0"/>
      <w:marBottom w:val="0"/>
      <w:divBdr>
        <w:top w:val="none" w:sz="0" w:space="0" w:color="auto"/>
        <w:left w:val="none" w:sz="0" w:space="0" w:color="auto"/>
        <w:bottom w:val="none" w:sz="0" w:space="0" w:color="auto"/>
        <w:right w:val="none" w:sz="0" w:space="0" w:color="auto"/>
      </w:divBdr>
    </w:div>
    <w:div w:id="1953659651">
      <w:bodyDiv w:val="1"/>
      <w:marLeft w:val="0"/>
      <w:marRight w:val="0"/>
      <w:marTop w:val="0"/>
      <w:marBottom w:val="0"/>
      <w:divBdr>
        <w:top w:val="none" w:sz="0" w:space="0" w:color="auto"/>
        <w:left w:val="none" w:sz="0" w:space="0" w:color="auto"/>
        <w:bottom w:val="none" w:sz="0" w:space="0" w:color="auto"/>
        <w:right w:val="none" w:sz="0" w:space="0" w:color="auto"/>
      </w:divBdr>
    </w:div>
    <w:div w:id="1964651580">
      <w:bodyDiv w:val="1"/>
      <w:marLeft w:val="0"/>
      <w:marRight w:val="0"/>
      <w:marTop w:val="0"/>
      <w:marBottom w:val="0"/>
      <w:divBdr>
        <w:top w:val="none" w:sz="0" w:space="0" w:color="auto"/>
        <w:left w:val="none" w:sz="0" w:space="0" w:color="auto"/>
        <w:bottom w:val="none" w:sz="0" w:space="0" w:color="auto"/>
        <w:right w:val="none" w:sz="0" w:space="0" w:color="auto"/>
      </w:divBdr>
    </w:div>
    <w:div w:id="1982537606">
      <w:bodyDiv w:val="1"/>
      <w:marLeft w:val="0"/>
      <w:marRight w:val="0"/>
      <w:marTop w:val="0"/>
      <w:marBottom w:val="0"/>
      <w:divBdr>
        <w:top w:val="none" w:sz="0" w:space="0" w:color="auto"/>
        <w:left w:val="none" w:sz="0" w:space="0" w:color="auto"/>
        <w:bottom w:val="none" w:sz="0" w:space="0" w:color="auto"/>
        <w:right w:val="none" w:sz="0" w:space="0" w:color="auto"/>
      </w:divBdr>
    </w:div>
    <w:div w:id="1983732726">
      <w:bodyDiv w:val="1"/>
      <w:marLeft w:val="0"/>
      <w:marRight w:val="0"/>
      <w:marTop w:val="0"/>
      <w:marBottom w:val="0"/>
      <w:divBdr>
        <w:top w:val="none" w:sz="0" w:space="0" w:color="auto"/>
        <w:left w:val="none" w:sz="0" w:space="0" w:color="auto"/>
        <w:bottom w:val="none" w:sz="0" w:space="0" w:color="auto"/>
        <w:right w:val="none" w:sz="0" w:space="0" w:color="auto"/>
      </w:divBdr>
    </w:div>
    <w:div w:id="1985424332">
      <w:bodyDiv w:val="1"/>
      <w:marLeft w:val="0"/>
      <w:marRight w:val="0"/>
      <w:marTop w:val="0"/>
      <w:marBottom w:val="0"/>
      <w:divBdr>
        <w:top w:val="none" w:sz="0" w:space="0" w:color="auto"/>
        <w:left w:val="none" w:sz="0" w:space="0" w:color="auto"/>
        <w:bottom w:val="none" w:sz="0" w:space="0" w:color="auto"/>
        <w:right w:val="none" w:sz="0" w:space="0" w:color="auto"/>
      </w:divBdr>
    </w:div>
    <w:div w:id="1986426221">
      <w:bodyDiv w:val="1"/>
      <w:marLeft w:val="0"/>
      <w:marRight w:val="0"/>
      <w:marTop w:val="0"/>
      <w:marBottom w:val="0"/>
      <w:divBdr>
        <w:top w:val="none" w:sz="0" w:space="0" w:color="auto"/>
        <w:left w:val="none" w:sz="0" w:space="0" w:color="auto"/>
        <w:bottom w:val="none" w:sz="0" w:space="0" w:color="auto"/>
        <w:right w:val="none" w:sz="0" w:space="0" w:color="auto"/>
      </w:divBdr>
    </w:div>
    <w:div w:id="2001082488">
      <w:bodyDiv w:val="1"/>
      <w:marLeft w:val="0"/>
      <w:marRight w:val="0"/>
      <w:marTop w:val="0"/>
      <w:marBottom w:val="0"/>
      <w:divBdr>
        <w:top w:val="none" w:sz="0" w:space="0" w:color="auto"/>
        <w:left w:val="none" w:sz="0" w:space="0" w:color="auto"/>
        <w:bottom w:val="none" w:sz="0" w:space="0" w:color="auto"/>
        <w:right w:val="none" w:sz="0" w:space="0" w:color="auto"/>
      </w:divBdr>
    </w:div>
    <w:div w:id="2001889537">
      <w:bodyDiv w:val="1"/>
      <w:marLeft w:val="0"/>
      <w:marRight w:val="0"/>
      <w:marTop w:val="0"/>
      <w:marBottom w:val="0"/>
      <w:divBdr>
        <w:top w:val="none" w:sz="0" w:space="0" w:color="auto"/>
        <w:left w:val="none" w:sz="0" w:space="0" w:color="auto"/>
        <w:bottom w:val="none" w:sz="0" w:space="0" w:color="auto"/>
        <w:right w:val="none" w:sz="0" w:space="0" w:color="auto"/>
      </w:divBdr>
    </w:div>
    <w:div w:id="2004045423">
      <w:bodyDiv w:val="1"/>
      <w:marLeft w:val="0"/>
      <w:marRight w:val="0"/>
      <w:marTop w:val="0"/>
      <w:marBottom w:val="0"/>
      <w:divBdr>
        <w:top w:val="none" w:sz="0" w:space="0" w:color="auto"/>
        <w:left w:val="none" w:sz="0" w:space="0" w:color="auto"/>
        <w:bottom w:val="none" w:sz="0" w:space="0" w:color="auto"/>
        <w:right w:val="none" w:sz="0" w:space="0" w:color="auto"/>
      </w:divBdr>
    </w:div>
    <w:div w:id="2011175194">
      <w:bodyDiv w:val="1"/>
      <w:marLeft w:val="0"/>
      <w:marRight w:val="0"/>
      <w:marTop w:val="0"/>
      <w:marBottom w:val="0"/>
      <w:divBdr>
        <w:top w:val="none" w:sz="0" w:space="0" w:color="auto"/>
        <w:left w:val="none" w:sz="0" w:space="0" w:color="auto"/>
        <w:bottom w:val="none" w:sz="0" w:space="0" w:color="auto"/>
        <w:right w:val="none" w:sz="0" w:space="0" w:color="auto"/>
      </w:divBdr>
    </w:div>
    <w:div w:id="2016498968">
      <w:bodyDiv w:val="1"/>
      <w:marLeft w:val="0"/>
      <w:marRight w:val="0"/>
      <w:marTop w:val="0"/>
      <w:marBottom w:val="0"/>
      <w:divBdr>
        <w:top w:val="none" w:sz="0" w:space="0" w:color="auto"/>
        <w:left w:val="none" w:sz="0" w:space="0" w:color="auto"/>
        <w:bottom w:val="none" w:sz="0" w:space="0" w:color="auto"/>
        <w:right w:val="none" w:sz="0" w:space="0" w:color="auto"/>
      </w:divBdr>
    </w:div>
    <w:div w:id="2033534894">
      <w:bodyDiv w:val="1"/>
      <w:marLeft w:val="0"/>
      <w:marRight w:val="0"/>
      <w:marTop w:val="0"/>
      <w:marBottom w:val="0"/>
      <w:divBdr>
        <w:top w:val="none" w:sz="0" w:space="0" w:color="auto"/>
        <w:left w:val="none" w:sz="0" w:space="0" w:color="auto"/>
        <w:bottom w:val="none" w:sz="0" w:space="0" w:color="auto"/>
        <w:right w:val="none" w:sz="0" w:space="0" w:color="auto"/>
      </w:divBdr>
    </w:div>
    <w:div w:id="2034451429">
      <w:bodyDiv w:val="1"/>
      <w:marLeft w:val="0"/>
      <w:marRight w:val="0"/>
      <w:marTop w:val="0"/>
      <w:marBottom w:val="0"/>
      <w:divBdr>
        <w:top w:val="none" w:sz="0" w:space="0" w:color="auto"/>
        <w:left w:val="none" w:sz="0" w:space="0" w:color="auto"/>
        <w:bottom w:val="none" w:sz="0" w:space="0" w:color="auto"/>
        <w:right w:val="none" w:sz="0" w:space="0" w:color="auto"/>
      </w:divBdr>
    </w:div>
    <w:div w:id="2034526802">
      <w:bodyDiv w:val="1"/>
      <w:marLeft w:val="0"/>
      <w:marRight w:val="0"/>
      <w:marTop w:val="0"/>
      <w:marBottom w:val="0"/>
      <w:divBdr>
        <w:top w:val="none" w:sz="0" w:space="0" w:color="auto"/>
        <w:left w:val="none" w:sz="0" w:space="0" w:color="auto"/>
        <w:bottom w:val="none" w:sz="0" w:space="0" w:color="auto"/>
        <w:right w:val="none" w:sz="0" w:space="0" w:color="auto"/>
      </w:divBdr>
    </w:div>
    <w:div w:id="2052991048">
      <w:bodyDiv w:val="1"/>
      <w:marLeft w:val="0"/>
      <w:marRight w:val="0"/>
      <w:marTop w:val="0"/>
      <w:marBottom w:val="0"/>
      <w:divBdr>
        <w:top w:val="none" w:sz="0" w:space="0" w:color="auto"/>
        <w:left w:val="none" w:sz="0" w:space="0" w:color="auto"/>
        <w:bottom w:val="none" w:sz="0" w:space="0" w:color="auto"/>
        <w:right w:val="none" w:sz="0" w:space="0" w:color="auto"/>
      </w:divBdr>
    </w:div>
    <w:div w:id="2057579238">
      <w:bodyDiv w:val="1"/>
      <w:marLeft w:val="0"/>
      <w:marRight w:val="0"/>
      <w:marTop w:val="0"/>
      <w:marBottom w:val="0"/>
      <w:divBdr>
        <w:top w:val="none" w:sz="0" w:space="0" w:color="auto"/>
        <w:left w:val="none" w:sz="0" w:space="0" w:color="auto"/>
        <w:bottom w:val="none" w:sz="0" w:space="0" w:color="auto"/>
        <w:right w:val="none" w:sz="0" w:space="0" w:color="auto"/>
      </w:divBdr>
    </w:div>
    <w:div w:id="2081826760">
      <w:bodyDiv w:val="1"/>
      <w:marLeft w:val="0"/>
      <w:marRight w:val="0"/>
      <w:marTop w:val="0"/>
      <w:marBottom w:val="0"/>
      <w:divBdr>
        <w:top w:val="none" w:sz="0" w:space="0" w:color="auto"/>
        <w:left w:val="none" w:sz="0" w:space="0" w:color="auto"/>
        <w:bottom w:val="none" w:sz="0" w:space="0" w:color="auto"/>
        <w:right w:val="none" w:sz="0" w:space="0" w:color="auto"/>
      </w:divBdr>
    </w:div>
    <w:div w:id="2082554113">
      <w:bodyDiv w:val="1"/>
      <w:marLeft w:val="0"/>
      <w:marRight w:val="0"/>
      <w:marTop w:val="0"/>
      <w:marBottom w:val="0"/>
      <w:divBdr>
        <w:top w:val="none" w:sz="0" w:space="0" w:color="auto"/>
        <w:left w:val="none" w:sz="0" w:space="0" w:color="auto"/>
        <w:bottom w:val="none" w:sz="0" w:space="0" w:color="auto"/>
        <w:right w:val="none" w:sz="0" w:space="0" w:color="auto"/>
      </w:divBdr>
    </w:div>
    <w:div w:id="2107529163">
      <w:bodyDiv w:val="1"/>
      <w:marLeft w:val="0"/>
      <w:marRight w:val="0"/>
      <w:marTop w:val="0"/>
      <w:marBottom w:val="0"/>
      <w:divBdr>
        <w:top w:val="none" w:sz="0" w:space="0" w:color="auto"/>
        <w:left w:val="none" w:sz="0" w:space="0" w:color="auto"/>
        <w:bottom w:val="none" w:sz="0" w:space="0" w:color="auto"/>
        <w:right w:val="none" w:sz="0" w:space="0" w:color="auto"/>
      </w:divBdr>
    </w:div>
    <w:div w:id="2110537958">
      <w:bodyDiv w:val="1"/>
      <w:marLeft w:val="0"/>
      <w:marRight w:val="0"/>
      <w:marTop w:val="0"/>
      <w:marBottom w:val="0"/>
      <w:divBdr>
        <w:top w:val="none" w:sz="0" w:space="0" w:color="auto"/>
        <w:left w:val="none" w:sz="0" w:space="0" w:color="auto"/>
        <w:bottom w:val="none" w:sz="0" w:space="0" w:color="auto"/>
        <w:right w:val="none" w:sz="0" w:space="0" w:color="auto"/>
      </w:divBdr>
    </w:div>
    <w:div w:id="2111267451">
      <w:bodyDiv w:val="1"/>
      <w:marLeft w:val="0"/>
      <w:marRight w:val="0"/>
      <w:marTop w:val="0"/>
      <w:marBottom w:val="0"/>
      <w:divBdr>
        <w:top w:val="none" w:sz="0" w:space="0" w:color="auto"/>
        <w:left w:val="none" w:sz="0" w:space="0" w:color="auto"/>
        <w:bottom w:val="none" w:sz="0" w:space="0" w:color="auto"/>
        <w:right w:val="none" w:sz="0" w:space="0" w:color="auto"/>
      </w:divBdr>
    </w:div>
    <w:div w:id="2113743975">
      <w:bodyDiv w:val="1"/>
      <w:marLeft w:val="0"/>
      <w:marRight w:val="0"/>
      <w:marTop w:val="0"/>
      <w:marBottom w:val="0"/>
      <w:divBdr>
        <w:top w:val="none" w:sz="0" w:space="0" w:color="auto"/>
        <w:left w:val="none" w:sz="0" w:space="0" w:color="auto"/>
        <w:bottom w:val="none" w:sz="0" w:space="0" w:color="auto"/>
        <w:right w:val="none" w:sz="0" w:space="0" w:color="auto"/>
      </w:divBdr>
    </w:div>
    <w:div w:id="2137138815">
      <w:bodyDiv w:val="1"/>
      <w:marLeft w:val="0"/>
      <w:marRight w:val="0"/>
      <w:marTop w:val="0"/>
      <w:marBottom w:val="0"/>
      <w:divBdr>
        <w:top w:val="none" w:sz="0" w:space="0" w:color="auto"/>
        <w:left w:val="none" w:sz="0" w:space="0" w:color="auto"/>
        <w:bottom w:val="none" w:sz="0" w:space="0" w:color="auto"/>
        <w:right w:val="none" w:sz="0" w:space="0" w:color="auto"/>
      </w:divBdr>
    </w:div>
    <w:div w:id="214180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7803040e3294417d" Type="http://schemas.microsoft.com/office/2019/09/relationships/intelligence" Target="intelligenc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endnotes.xml.rels><?xml version="1.0" encoding="UTF-8" standalone="yes"?>
<Relationships xmlns="http://schemas.openxmlformats.org/package/2006/relationships"><Relationship Id="rId2" Type="http://schemas.openxmlformats.org/officeDocument/2006/relationships/hyperlink" Target="https://www.health.govt.nz/our-work/preventative-health-wellness/immunisation/vaccine-effectiveness" TargetMode="External"/><Relationship Id="rId1" Type="http://schemas.openxmlformats.org/officeDocument/2006/relationships/hyperlink" Target="https://www.health.govt.nz/covid-19-novel-coronavirus/covid-19-data-and-statistics/covid-19-vaccine-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C-MIMVP">
      <a:dk1>
        <a:sysClr val="windowText" lastClr="000000"/>
      </a:dk1>
      <a:lt1>
        <a:sysClr val="window" lastClr="FFFFFF"/>
      </a:lt1>
      <a:dk2>
        <a:srgbClr val="283D3B"/>
      </a:dk2>
      <a:lt2>
        <a:srgbClr val="E7E6E6"/>
      </a:lt2>
      <a:accent1>
        <a:srgbClr val="197278"/>
      </a:accent1>
      <a:accent2>
        <a:srgbClr val="61C9A8"/>
      </a:accent2>
      <a:accent3>
        <a:srgbClr val="EE5442"/>
      </a:accent3>
      <a:accent4>
        <a:srgbClr val="EE2A7B"/>
      </a:accent4>
      <a:accent5>
        <a:srgbClr val="17B4DD"/>
      </a:accent5>
      <a:accent6>
        <a:srgbClr val="1EA17B"/>
      </a:accent6>
      <a:hlink>
        <a:srgbClr val="0563C1"/>
      </a:hlink>
      <a:folHlink>
        <a:srgbClr val="954F72"/>
      </a:folHlink>
    </a:clrScheme>
    <a:fontScheme name="Custom 3">
      <a:majorFont>
        <a:latin typeface="Montserrat"/>
        <a:ea typeface=""/>
        <a:cs typeface=""/>
      </a:majorFont>
      <a:minorFont>
        <a:latin typeface="Arial Nov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A3EA56-211B-074B-9568-0D16B90A7CFB}">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Oak211</b:Tag>
    <b:SourceType>JournalArticle</b:SourceType>
    <b:Guid>{87874FE9-2B24-4218-8D0C-A1AB45366579}</b:Guid>
    <b:Title>Contracting public health and social services: insights from complexity theory for Aotearoa New Zealand</b:Title>
    <b:Year>2021</b:Year>
    <b:Author>
      <b:Author>
        <b:NameList>
          <b:Person>
            <b:Last>Oakden</b:Last>
            <b:First>J</b:First>
          </b:Person>
          <b:Person>
            <b:Last>Walton</b:Last>
            <b:First>M</b:First>
          </b:Person>
          <b:Person>
            <b:Last>Foote</b:Last>
            <b:First>J</b:First>
          </b:Person>
        </b:NameList>
      </b:Author>
    </b:Author>
    <b:JournalName>Kōtuitui: New Zealand Journal of Social Sciences Online</b:JournalName>
    <b:Pages>180-195</b:Pages>
    <b:Volume>16</b:Volume>
    <b:Issue>1</b:Issue>
    <b:RefOrder>3</b:RefOrder>
  </b:Source>
  <b:Source>
    <b:Tag>Cam22</b:Tag>
    <b:SourceType>JournalArticle</b:SourceType>
    <b:Guid>{C5DE9AF5-C367-4237-BBD3-D3A350B7E52C}</b:Guid>
    <b:Author>
      <b:Author>
        <b:NameList>
          <b:Person>
            <b:Last>Came</b:Last>
            <b:First>H</b:First>
          </b:Person>
          <b:Person>
            <b:Last>Baker</b:Last>
            <b:First>M</b:First>
          </b:Person>
          <b:Person>
            <b:Last>McKenna</b:Last>
            <b:First>B</b:First>
          </b:Person>
          <b:Person>
            <b:Last>McCreanor</b:Last>
            <b:First>T</b:First>
          </b:Person>
        </b:NameList>
      </b:Author>
    </b:Author>
    <b:Title>Strengthening public health contracting: findings of a follow-up nationwide survey from Aotearoa</b:Title>
    <b:JournalName>Kōtuitui: New Zealand Journal of Social Sciences Online</b:JournalName>
    <b:Year>2022</b:Year>
    <b:Pages>1–17</b:Pages>
    <b:DOI>10.1080/1177083X.2021.2020134</b:DOI>
    <b:RefOrder>10</b:RefOrder>
  </b:Source>
  <b:Source>
    <b:Tag>Weh191</b:Tag>
    <b:SourceType>JournalArticle</b:SourceType>
    <b:Guid>{8AC7EF29-8406-4095-83D8-90A077D24FA1}</b:Guid>
    <b:Title>Increasing cultural competence in indigenous-led evaluation: A necessary step toward indigenous-led evaluation</b:Title>
    <b:Year>2019</b:Year>
    <b:Author>
      <b:Author>
        <b:NameList>
          <b:Person>
            <b:Last>Wehipeihana</b:Last>
            <b:First>N</b:First>
          </b:Person>
        </b:NameList>
      </b:Author>
    </b:Author>
    <b:JournalName>Canadian Journal of Program Evaluation</b:JournalName>
    <b:Pages>369-384</b:Pages>
    <b:Volume>34</b:Volume>
    <b:Issue>2</b:Issue>
    <b:RefOrder>9</b:RefOrder>
  </b:Source>
  <b:Source>
    <b:Tag>Min20</b:Tag>
    <b:SourceType>Report</b:SourceType>
    <b:Guid>{D3EEF84F-7618-4BEC-A8FB-532B49C2AC95}</b:Guid>
    <b:Author>
      <b:Author>
        <b:Corporate>Ministry of Health</b:Corporate>
      </b:Author>
    </b:Author>
    <b:Title>Whakamaua: Māori Health Action Plan 2020-2025</b:Title>
    <b:Year>2020</b:Year>
    <b:City>Wellington</b:City>
    <b:Publisher>Ministry of Health</b:Publisher>
    <b:RefOrder>1</b:RefOrder>
  </b:Source>
  <b:Source>
    <b:Tag>Rib21</b:Tag>
    <b:SourceType>JournalArticle</b:SourceType>
    <b:Guid>{57AE686C-ECBD-4931-8C6F-A1AE25460155}</b:Guid>
    <b:Author>
      <b:Author>
        <b:NameList>
          <b:Person>
            <b:Last>Riboldi</b:Last>
            <b:First>M</b:First>
          </b:Person>
          <b:Person>
            <b:Last>Fennis</b:Last>
            <b:First>L</b:First>
          </b:Person>
          <b:Person>
            <b:Last>Fishwick</b:Last>
            <b:First>E</b:First>
          </b:Person>
          <b:Person>
            <b:Last>Goodwin</b:Last>
            <b:First>S</b:First>
          </b:Person>
          <b:Person>
            <b:Last>Stears</b:Last>
            <b:First>M</b:First>
          </b:Person>
        </b:NameList>
      </b:Author>
    </b:Author>
    <b:Title>Making commissioning work: The relational gap between intent and implementation in the transition to ‘commissioning’ community services in New South Wales</b:Title>
    <b:Year>2021</b:Year>
    <b:Volume>2021</b:Volume>
    <b:JournalName>Australian Journal of Public Administration</b:JournalName>
    <b:Pages>1-12</b:Pages>
    <b:RefOrder>2</b:RefOrder>
  </b:Source>
  <b:Source>
    <b:Tag>Blo19</b:Tag>
    <b:SourceType>Report</b:SourceType>
    <b:Guid>{05DD3CC8-559E-4E45-BA1F-77C304072A08}</b:Guid>
    <b:Author>
      <b:Author>
        <b:NameList>
          <b:Person>
            <b:Last>Bloomfield</b:Last>
            <b:First>A,</b:First>
          </b:Person>
        </b:NameList>
      </b:Author>
    </b:Author>
    <b:Title>Achieving equity</b:Title>
    <b:Year>2019</b:Year>
    <b:URL>https://www.health.govt.nz/about-ministry/what-we-do/work-programme-2019-20/achieving-equity</b:URL>
    <b:RefOrder>4</b:RefOrder>
  </b:Source>
  <b:Source>
    <b:Tag>Dur99</b:Tag>
    <b:SourceType>Book</b:SourceType>
    <b:Guid>{DFE487C8-AF75-411A-97D6-EBC645FE2AED}</b:Guid>
    <b:Title>Whaiora: Māori Health Development</b:Title>
    <b:Year>1999</b:Year>
    <b:Publisher>Oxford University Press</b:Publisher>
    <b:Author>
      <b:Author>
        <b:NameList>
          <b:Person>
            <b:Last>Durie</b:Last>
            <b:First>M</b:First>
          </b:Person>
        </b:NameList>
      </b:Author>
    </b:Author>
    <b:CountryRegion>USA</b:CountryRegion>
    <b:Edition>2nd Revised ed</b:Edition>
    <b:RefOrder>5</b:RefOrder>
  </b:Source>
  <b:Source>
    <b:Tag>Smi97</b:Tag>
    <b:SourceType>Misc</b:SourceType>
    <b:Guid>{1615D235-7BF0-4581-9791-36881E59AD74}</b:Guid>
    <b:Author>
      <b:Author>
        <b:NameList>
          <b:Person>
            <b:Last>Smith</b:Last>
            <b:First>G.</b:First>
            <b:Middle>H.</b:Middle>
          </b:Person>
        </b:NameList>
      </b:Author>
    </b:Author>
    <b:Title>The development of Kaupapa Māori: Theory and praxis</b:Title>
    <b:Year>1997</b:Year>
    <b:City>Auckland</b:City>
    <b:Publisher>University of Auckland</b:Publisher>
    <b:CountryRegion>New Zealand</b:CountryRegion>
    <b:RefOrder>6</b:RefOrder>
  </b:Source>
  <b:Source>
    <b:Tag>Min212</b:Tag>
    <b:SourceType>Report</b:SourceType>
    <b:Guid>{319A16CD-7688-49C5-9452-33A783352925}</b:Guid>
    <b:Author>
      <b:Author>
        <b:Corporate>Ministry of Health</b:Corporate>
      </b:Author>
    </b:Author>
    <b:Title>Service specification: Māori Influenza and Measles Vaccination Programme 2021 (MIMVP 2021)</b:Title>
    <b:Year>2021</b:Year>
    <b:Publisher>Ministry of Health</b:Publisher>
    <b:City>Wellington</b:City>
    <b:RefOrder>20</b:RefOrder>
  </b:Source>
  <b:Source>
    <b:Tag>Weh21</b:Tag>
    <b:SourceType>Report</b:SourceType>
    <b:Guid>{B5B25916-9172-4FB5-8020-9E51856E8575}</b:Guid>
    <b:Title>More Than Just a Jab: Evaluation of the Māori Influenza Vaccination Programme as part of the COVID-19 Māori Health Response</b:Title>
    <b:Year>2021</b:Year>
    <b:City>Wellington</b:City>
    <b:Publisher>Ministry of Health</b:Publisher>
    <b:Author>
      <b:Author>
        <b:NameList>
          <b:Person>
            <b:Last>Wehipeihana</b:Last>
            <b:First>N</b:First>
          </b:Person>
          <b:Person>
            <b:Last>Sebire</b:Last>
            <b:First>K</b:First>
          </b:Person>
          <b:Person>
            <b:Last>Spee</b:Last>
            <b:First>K</b:First>
          </b:Person>
          <b:Person>
            <b:Last>Oakden</b:Last>
            <b:First>J</b:First>
          </b:Person>
        </b:NameList>
      </b:Author>
    </b:Author>
    <b:RefOrder>8</b:RefOrder>
  </b:Source>
  <b:Source>
    <b:Tag>Weh22</b:Tag>
    <b:SourceType>Report</b:SourceType>
    <b:Guid>{44FC250D-FE1F-4502-840D-D19B0DA446C3}</b:Guid>
    <b:Author>
      <b:Author>
        <b:NameList>
          <b:Person>
            <b:Last>Wehipeihana</b:Last>
            <b:First>N</b:First>
          </b:Person>
          <b:Person>
            <b:Last>Sebire</b:Last>
            <b:First>K</b:First>
          </b:Person>
          <b:Person>
            <b:Last>Spee</b:Last>
            <b:First>K</b:First>
          </b:Person>
          <b:Person>
            <b:Last>Oakden</b:Last>
            <b:First>J</b:First>
          </b:Person>
        </b:NameList>
      </b:Author>
    </b:Author>
    <b:Title>Protecting our Whakapapa: Māori Influenza and Measles Vaccination Programme 2021 - Interim Monitoring Report</b:Title>
    <b:Year>2022</b:Year>
    <b:Publisher>Ministry of Health</b:Publisher>
    <b:City>Wellington</b:City>
    <b:RefOrder>21</b:RefOrder>
  </b:Source>
  <b:Source>
    <b:Tag>Sev21</b:Tag>
    <b:SourceType>JournalArticle</b:SourceType>
    <b:Guid>{5246939C-B30E-48F4-B4B8-3B252ADD7E8B}</b:Guid>
    <b:Author>
      <b:Author>
        <b:NameList>
          <b:Person>
            <b:Last>Severinsen</b:Last>
            <b:First>C</b:First>
          </b:Person>
          <b:Person>
            <b:Last>Ware</b:Last>
            <b:First>F</b:First>
          </b:Person>
          <b:Person>
            <b:Last>Came</b:Last>
            <b:First>H</b:First>
          </b:Person>
          <b:Person>
            <b:Last>Murray</b:Last>
            <b:First>L</b:First>
          </b:Person>
        </b:NameList>
      </b:Author>
    </b:Author>
    <b:Title>COVID‐19 and Indigenous knowledge and leadership: (Re)centring public health curricula to address inequities</b:Title>
    <b:Year>2021</b:Year>
    <b:Volume>45</b:Volume>
    <b:Issue>1</b:Issue>
    <b:JournalName>Australian and New Zealand Journal of Public Health</b:JournalName>
    <b:Pages>6-8</b:Pages>
    <b:DOI>https://doi.org/10.1111/1753-6405.13065</b:DOI>
    <b:RefOrder>7</b:RefOrder>
  </b:Source>
  <b:Source>
    <b:Tag>Rei</b:Tag>
    <b:SourceType>JournalArticle</b:SourceType>
    <b:Guid>{4D6AA335-A64F-427D-A7BF-D67309885FAB}</b:Guid>
    <b:Author>
      <b:Author>
        <b:NameList>
          <b:Person>
            <b:Last>Reid</b:Last>
            <b:First>P</b:First>
          </b:Person>
          <b:Person>
            <b:Last>Cormack</b:Last>
            <b:First>D</b:First>
          </b:Person>
          <b:Person>
            <b:Last>Paine</b:Last>
            <b:First>S.J.</b:First>
          </b:Person>
        </b:NameList>
      </b:Author>
    </b:Author>
    <b:Title>Colonial histories, racism and health – The experience of Māori and Indigenous peoples</b:Title>
    <b:Volume>172</b:Volume>
    <b:JournalName>Public Health</b:JournalName>
    <b:Pages>119-124</b:Pages>
    <b:DOI>https://doi.org/10.1016/j.puhe.2019.03.027</b:DOI>
    <b:RefOrder>12</b:RefOrder>
  </b:Source>
  <b:Source>
    <b:Tag>Wai21</b:Tag>
    <b:SourceType>Report</b:SourceType>
    <b:Guid>{7F7F7318-3032-4C2B-B27A-BA0E475171FD}</b:Guid>
    <b:Author>
      <b:Author>
        <b:Corporate>Waitangi Tribunal</b:Corporate>
      </b:Author>
    </b:Author>
    <b:Title>Haumaru: The COVID-19 Priority Report in pre-publication format</b:Title>
    <b:Year>2021</b:Year>
    <b:URL>https://waitangitribunal.govt.nz/assets/Documents/Publications/Covid-Priority-W.pdf</b:URL>
    <b:RefOrder>22</b:RefOrder>
  </b:Source>
  <b:Source>
    <b:Tag>Hea19</b:Tag>
    <b:SourceType>Report</b:SourceType>
    <b:Guid>{B6965676-BE5C-4318-93C5-3651B4944777}</b:Guid>
    <b:Author>
      <b:Author>
        <b:Corporate>Health Quality and Safety Commission NZ</b:Corporate>
      </b:Author>
    </b:Author>
    <b:Title>He tirohanga ki te ōritenga hauora o te Māori | A view on Māori health equity</b:Title>
    <b:Year>2019</b:Year>
    <b:Publisher>Health Quality and Safety Commission</b:Publisher>
    <b:City>Wellington</b:City>
    <b:RefOrder>13</b:RefOrder>
  </b:Source>
  <b:Source>
    <b:Tag>Sin21</b:Tag>
    <b:SourceType>JournalArticle</b:SourceType>
    <b:Guid>{82F6B1CC-FC5C-4D96-8D34-4456925CB10C}</b:Guid>
    <b:Author>
      <b:Author>
        <b:NameList>
          <b:Person>
            <b:Last>Sinclair</b:Last>
            <b:First>O</b:First>
          </b:Person>
          <b:Person>
            <b:Last>Grant</b:Last>
            <b:First>C</b:First>
          </b:Person>
        </b:NameList>
      </b:Author>
    </b:Author>
    <b:Title>New Zealand’s immunisation policy fails again and entrenches ethnic disparities</b:Title>
    <b:Year>2021</b:Year>
    <b:Volume>134</b:Volume>
    <b:Issue>1542</b:Issue>
    <b:JournalName>New Zealand Medical Journal</b:JournalName>
    <b:URL>www.nzma.org.nz/journal</b:URL>
    <b:RefOrder>15</b:RefOrder>
  </b:Source>
  <b:Source>
    <b:Tag>Wor18</b:Tag>
    <b:SourceType>Report</b:SourceType>
    <b:Guid>{EE99C44F-ADE8-4EA5-97D9-C31BD1647B44}</b:Guid>
    <b:Author>
      <b:Author>
        <b:Corporate>World Health Organization</b:Corporate>
      </b:Author>
    </b:Author>
    <b:Title>Working together: an integration resource guide for immunization services throughout the life course</b:Title>
    <b:City>Geneva</b:City>
    <b:Year>2018</b:Year>
    <b:Publisher>World Health Organization</b:Publisher>
    <b:RefOrder>16</b:RefOrder>
  </b:Source>
  <b:Source>
    <b:Tag>Wor13</b:Tag>
    <b:SourceType>Report</b:SourceType>
    <b:Guid>{FB28A86A-23C0-4A6E-A0E2-D261BCEC4058}</b:Guid>
    <b:Author>
      <b:Author>
        <b:Corporate>World Health Organization</b:Corporate>
      </b:Author>
    </b:Author>
    <b:Title>Global Vaccine Action Plan (GVAP) 2011–2020</b:Title>
    <b:Year>2013</b:Year>
    <b:Publisher>World Health Organization</b:Publisher>
    <b:City>Geneva</b:City>
    <b:URL>http://www.who.int/immunization/global_vaccine_action_plan/en/</b:URL>
    <b:RefOrder>17</b:RefOrder>
  </b:Source>
  <b:Source>
    <b:Tag>Con22</b:Tag>
    <b:SourceType>InternetSite</b:SourceType>
    <b:Guid>{31A1771A-F28D-44F3-AF2B-B2ABB3396196}</b:Guid>
    <b:Title>Confronting times on the equity front line</b:Title>
    <b:Year>2022</b:Year>
    <b:URL>https://www.nzdoctor.co.nz/article/opinion/confronting-times-equity-front-line</b:URL>
    <b:InternetSiteTitle>NZ Doctor | Rata Aotearoa</b:InternetSiteTitle>
    <b:Month>2</b:Month>
    <b:Day>4</b:Day>
    <b:Author>
      <b:Author>
        <b:NameList>
          <b:Person>
            <b:Last>O'Hagan</b:Last>
            <b:First>Lucy</b:First>
          </b:Person>
        </b:NameList>
      </b:Author>
    </b:Author>
    <b:RefOrder>18</b:RefOrder>
  </b:Source>
  <b:Source>
    <b:Tag>Khi17</b:Tag>
    <b:SourceType>JournalArticle</b:SourceType>
    <b:Guid>{E1F9D19F-257F-4FA1-805B-F56BD6F33F0B}</b:Guid>
    <b:Author>
      <b:Author>
        <b:NameList>
          <b:Person>
            <b:Last>Khieu</b:Last>
            <b:First>Trang</b:First>
            <b:Middle>Q.T.</b:Middle>
          </b:Person>
          <b:Person>
            <b:Last>Pierse</b:Last>
            <b:First>Nevil</b:First>
          </b:Person>
          <b:Person>
            <b:Last>Telfar-Barnard</b:Last>
            <b:First>Lucy</b:First>
            <b:Middle>Frances</b:Middle>
          </b:Person>
          <b:Person>
            <b:Last>Zhang</b:Last>
            <b:First>Jane</b:First>
          </b:Person>
          <b:Person>
            <b:Last>Huang</b:Last>
            <b:First>Q.</b:First>
            <b:Middle>Sue</b:Middle>
          </b:Person>
          <b:Person>
            <b:Last>Baker</b:Last>
            <b:First>Michael</b:First>
            <b:Middle>G.</b:Middle>
          </b:Person>
        </b:NameList>
      </b:Author>
    </b:Author>
    <b:Title>Modelled seasonal influenza mortality shows marked differences in risk by age, sex, ethnicity and socioeconomic position in New Zealand</b:Title>
    <b:Year>2017</b:Year>
    <b:Volume>75</b:Volume>
    <b:Issue>3</b:Issue>
    <b:JournalName>Journal of Infection</b:JournalName>
    <b:DOI>10.1016/j.jinf.2017.05.017.</b:DOI>
    <b:RefOrder>14</b:RefOrder>
  </b:Source>
  <b:Source>
    <b:Tag>Ard22</b:Tag>
    <b:SourceType>Misc</b:SourceType>
    <b:Guid>{37853CDA-552C-4CA9-9F18-5B30B37D2CC3}</b:Guid>
    <b:Title>Prime Minister’s Waitangi Day Speech</b:Title>
    <b:Year>2022</b:Year>
    <b:Author>
      <b:Interviewee>
        <b:NameList>
          <b:Person>
            <b:Last>Ardern</b:Last>
            <b:First>J</b:First>
          </b:Person>
        </b:NameList>
      </b:Interviewee>
      <b:Author>
        <b:NameList>
          <b:Person>
            <b:Last>Ardern</b:Last>
            <b:First>J</b:First>
          </b:Person>
        </b:NameList>
      </b:Author>
    </b:Author>
    <b:URL>https://www.beehive.govt.nz/speech/prime-ministers-waitangi-day-speech</b:URL>
    <b:RefOrder>11</b:RefOrder>
  </b:Source>
  <b:Source>
    <b:Tag>Dur22</b:Tag>
    <b:SourceType>Report</b:SourceType>
    <b:Guid>{B1129045-EC1A-419D-896B-09D913AB89BF}</b:Guid>
    <b:Title>Te Whare Tapa Whā | Hauora Māori, Māori Health Model</b:Title>
    <b:Author>
      <b:Author>
        <b:NameList>
          <b:Person>
            <b:Last>Durie</b:Last>
            <b:First>Mason</b:First>
          </b:Person>
        </b:NameList>
      </b:Author>
    </b:Author>
    <b:YearAccessed>2022</b:YearAccessed>
    <b:MonthAccessed>February </b:MonthAccessed>
    <b:DayAccessed>21 </b:DayAccessed>
    <b:URL>https://www.health.govt.nz/our-work/populations/maori-health/maori-health-models/maori-health-models-te-whare-tapa-wha</b:URL>
    <b:RefOrder>19</b:RefOrder>
  </b:Source>
</b:Sources>
</file>

<file path=customXml/itemProps1.xml><?xml version="1.0" encoding="utf-8"?>
<ds:datastoreItem xmlns:ds="http://schemas.openxmlformats.org/officeDocument/2006/customXml" ds:itemID="{3BB8EF47-9311-449D-B1CF-E644A923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66</Pages>
  <Words>20620</Words>
  <Characters>117538</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Pursuit of Māori Health Equity. Evaluation of the Māori Influenza and Measles Vaccination Programme</dc:title>
  <dc:subject/>
  <dc:creator>Research Evaluation Consultancy</dc:creator>
  <cp:keywords/>
  <dc:description/>
  <cp:lastModifiedBy>Ministry of Health</cp:lastModifiedBy>
  <cp:revision>13</cp:revision>
  <dcterms:created xsi:type="dcterms:W3CDTF">2022-05-03T04:40:00Z</dcterms:created>
  <dcterms:modified xsi:type="dcterms:W3CDTF">2022-05-03T05:22:00Z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a364eee7-754e-3cad-adfe-68ad7031b051</vt:lpwstr>
  </property>
</Properties>
</file>