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241A1" w14:textId="067E78D4" w:rsidR="000A0FBD" w:rsidRDefault="000A0FBD" w:rsidP="00DD1B3A">
      <w:pPr>
        <w:pStyle w:val="Subhead"/>
        <w:ind w:right="3402"/>
        <w:rPr>
          <w:rFonts w:ascii="Segoe UI Black" w:hAnsi="Segoe UI Black" w:cs="Lucida Sans Unicode"/>
          <w:b/>
          <w:sz w:val="72"/>
          <w:szCs w:val="72"/>
        </w:rPr>
        <w:sectPr w:rsidR="000A0FBD" w:rsidSect="000A0FBD">
          <w:headerReference w:type="default" r:id="rId8"/>
          <w:pgSz w:w="11907" w:h="16834" w:code="9"/>
          <w:pgMar w:top="720" w:right="720" w:bottom="720" w:left="720" w:header="567" w:footer="851" w:gutter="0"/>
          <w:pgNumType w:start="1"/>
          <w:cols w:space="720"/>
          <w:docGrid w:linePitch="286"/>
        </w:sectPr>
      </w:pPr>
      <w:r>
        <w:rPr>
          <w:rFonts w:ascii="Segoe UI Black" w:hAnsi="Segoe UI Black" w:cs="Lucida Sans Unicode"/>
          <w:b/>
          <w:noProof/>
          <w:sz w:val="72"/>
          <w:szCs w:val="72"/>
        </w:rPr>
        <w:drawing>
          <wp:anchor distT="0" distB="0" distL="114300" distR="114300" simplePos="0" relativeHeight="251659264" behindDoc="0" locked="0" layoutInCell="1" allowOverlap="1" wp14:anchorId="3CEE1AC2" wp14:editId="2ACE60FD">
            <wp:simplePos x="0" y="0"/>
            <wp:positionH relativeFrom="page">
              <wp:posOffset>-68239</wp:posOffset>
            </wp:positionH>
            <wp:positionV relativeFrom="page">
              <wp:posOffset>0</wp:posOffset>
            </wp:positionV>
            <wp:extent cx="7665230" cy="10768084"/>
            <wp:effectExtent l="0" t="0" r="0" b="0"/>
            <wp:wrapTight wrapText="bothSides">
              <wp:wrapPolygon edited="0">
                <wp:start x="0" y="0"/>
                <wp:lineTo x="0" y="21553"/>
                <wp:lineTo x="21527" y="21553"/>
                <wp:lineTo x="21527"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67034" cy="10770618"/>
                    </a:xfrm>
                    <a:prstGeom prst="rect">
                      <a:avLst/>
                    </a:prstGeom>
                  </pic:spPr>
                </pic:pic>
              </a:graphicData>
            </a:graphic>
            <wp14:sizeRelH relativeFrom="margin">
              <wp14:pctWidth>0</wp14:pctWidth>
            </wp14:sizeRelH>
            <wp14:sizeRelV relativeFrom="margin">
              <wp14:pctHeight>0</wp14:pctHeight>
            </wp14:sizeRelV>
          </wp:anchor>
        </w:drawing>
      </w:r>
    </w:p>
    <w:p w14:paraId="3F5626B1" w14:textId="00CF3FE1" w:rsidR="00FE1665" w:rsidRDefault="00FE1665" w:rsidP="00DD1B3A">
      <w:pPr>
        <w:pStyle w:val="Subhead"/>
        <w:ind w:right="3402"/>
        <w:rPr>
          <w:rFonts w:ascii="Segoe UI Black" w:hAnsi="Segoe UI Black" w:cs="Lucida Sans Unicode"/>
          <w:b/>
          <w:sz w:val="72"/>
          <w:szCs w:val="72"/>
        </w:rPr>
      </w:pPr>
      <w:r w:rsidRPr="00FE1665">
        <w:rPr>
          <w:rFonts w:ascii="Segoe UI Black" w:hAnsi="Segoe UI Black" w:cs="Lucida Sans Unicode"/>
          <w:b/>
          <w:sz w:val="72"/>
          <w:szCs w:val="72"/>
        </w:rPr>
        <w:lastRenderedPageBreak/>
        <w:t xml:space="preserve">Assisted Dying Service – </w:t>
      </w:r>
      <w:proofErr w:type="spellStart"/>
      <w:r w:rsidRPr="00FE1665">
        <w:rPr>
          <w:rFonts w:ascii="Segoe UI Black" w:hAnsi="Segoe UI Black" w:cs="Lucida Sans Unicode"/>
          <w:b/>
          <w:sz w:val="72"/>
          <w:szCs w:val="72"/>
        </w:rPr>
        <w:t>Ngā</w:t>
      </w:r>
      <w:proofErr w:type="spellEnd"/>
      <w:r w:rsidRPr="00FE1665">
        <w:rPr>
          <w:rFonts w:ascii="Segoe UI Black" w:hAnsi="Segoe UI Black" w:cs="Lucida Sans Unicode"/>
          <w:b/>
          <w:sz w:val="72"/>
          <w:szCs w:val="72"/>
        </w:rPr>
        <w:t xml:space="preserve"> </w:t>
      </w:r>
      <w:proofErr w:type="spellStart"/>
      <w:r w:rsidRPr="00FE1665">
        <w:rPr>
          <w:rFonts w:ascii="Segoe UI Black" w:hAnsi="Segoe UI Black" w:cs="Lucida Sans Unicode"/>
          <w:b/>
          <w:sz w:val="72"/>
          <w:szCs w:val="72"/>
        </w:rPr>
        <w:t>Ratonga</w:t>
      </w:r>
      <w:proofErr w:type="spellEnd"/>
      <w:r w:rsidRPr="00FE1665">
        <w:rPr>
          <w:rFonts w:ascii="Segoe UI Black" w:hAnsi="Segoe UI Black" w:cs="Lucida Sans Unicode"/>
          <w:b/>
          <w:sz w:val="72"/>
          <w:szCs w:val="72"/>
        </w:rPr>
        <w:t xml:space="preserve"> Mate </w:t>
      </w:r>
      <w:proofErr w:type="spellStart"/>
      <w:r w:rsidRPr="00FE1665">
        <w:rPr>
          <w:rFonts w:ascii="Segoe UI Black" w:hAnsi="Segoe UI Black" w:cs="Lucida Sans Unicode"/>
          <w:b/>
          <w:sz w:val="72"/>
          <w:szCs w:val="72"/>
        </w:rPr>
        <w:t>Whakaahuru</w:t>
      </w:r>
      <w:proofErr w:type="spellEnd"/>
    </w:p>
    <w:p w14:paraId="2B4DCCB4" w14:textId="4C179258" w:rsidR="00D27922" w:rsidRDefault="00DD1B3A" w:rsidP="00DD1B3A">
      <w:pPr>
        <w:pStyle w:val="Subhead"/>
        <w:ind w:right="3402"/>
      </w:pPr>
      <w:r w:rsidRPr="00DD1B3A">
        <w:t>Registrar (assisted dying) Annual Report to the Minister of Health</w:t>
      </w:r>
      <w:r w:rsidR="00F17491">
        <w:br/>
      </w:r>
    </w:p>
    <w:p w14:paraId="2B4DCCB5" w14:textId="77777777" w:rsidR="00C05132" w:rsidRDefault="00C05132" w:rsidP="00A06BE4"/>
    <w:p w14:paraId="2B4DCCB6" w14:textId="2429C3EA" w:rsidR="00142954" w:rsidRPr="00DD1B3A" w:rsidRDefault="00DD1B3A" w:rsidP="00142954">
      <w:pPr>
        <w:rPr>
          <w:sz w:val="32"/>
          <w:szCs w:val="32"/>
        </w:rPr>
        <w:sectPr w:rsidR="00142954" w:rsidRPr="00DD1B3A" w:rsidSect="00550E9A">
          <w:footerReference w:type="default" r:id="rId10"/>
          <w:pgSz w:w="11907" w:h="16834" w:code="9"/>
          <w:pgMar w:top="5670" w:right="1134" w:bottom="1134" w:left="1134" w:header="567" w:footer="851" w:gutter="0"/>
          <w:pgNumType w:start="1"/>
          <w:cols w:space="720"/>
        </w:sectPr>
      </w:pPr>
      <w:r w:rsidRPr="00DD1B3A">
        <w:rPr>
          <w:sz w:val="32"/>
          <w:szCs w:val="32"/>
        </w:rPr>
        <w:t>June 2022</w:t>
      </w:r>
    </w:p>
    <w:p w14:paraId="2B4DCCB7" w14:textId="5EECB593"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F17491">
        <w:rPr>
          <w:rFonts w:cs="Segoe UI"/>
        </w:rPr>
        <w:t>202</w:t>
      </w:r>
      <w:r w:rsidR="00DD1B3A">
        <w:rPr>
          <w:rFonts w:cs="Segoe UI"/>
        </w:rPr>
        <w:t>2</w:t>
      </w:r>
      <w:r w:rsidR="00442C1C" w:rsidRPr="00C05132">
        <w:rPr>
          <w:rFonts w:cs="Segoe UI"/>
        </w:rPr>
        <w:t xml:space="preserve">. </w:t>
      </w:r>
      <w:r w:rsidR="00DD1B3A" w:rsidRPr="00DD1B3A">
        <w:rPr>
          <w:rFonts w:cs="Segoe UI"/>
          <w:i/>
        </w:rPr>
        <w:t xml:space="preserve">Assisted Dying Service – </w:t>
      </w:r>
      <w:proofErr w:type="spellStart"/>
      <w:r w:rsidR="001B43EB">
        <w:rPr>
          <w:rFonts w:cs="Segoe UI"/>
          <w:i/>
        </w:rPr>
        <w:t>Ngā</w:t>
      </w:r>
      <w:proofErr w:type="spellEnd"/>
      <w:r w:rsidR="001B43EB">
        <w:rPr>
          <w:rFonts w:cs="Segoe UI"/>
          <w:i/>
        </w:rPr>
        <w:t xml:space="preserve"> </w:t>
      </w:r>
      <w:proofErr w:type="spellStart"/>
      <w:r w:rsidR="001B43EB">
        <w:rPr>
          <w:rFonts w:cs="Segoe UI"/>
          <w:i/>
        </w:rPr>
        <w:t>Ratonga</w:t>
      </w:r>
      <w:proofErr w:type="spellEnd"/>
      <w:r w:rsidR="001B43EB">
        <w:rPr>
          <w:rFonts w:cs="Segoe UI"/>
          <w:i/>
        </w:rPr>
        <w:t xml:space="preserve"> </w:t>
      </w:r>
      <w:r w:rsidR="00DD1B3A" w:rsidRPr="00DD1B3A">
        <w:rPr>
          <w:rFonts w:cs="Segoe UI"/>
          <w:i/>
        </w:rPr>
        <w:t xml:space="preserve">Mate </w:t>
      </w:r>
      <w:proofErr w:type="spellStart"/>
      <w:r w:rsidR="00DD1B3A" w:rsidRPr="00DD1B3A">
        <w:rPr>
          <w:rFonts w:cs="Segoe UI"/>
          <w:i/>
        </w:rPr>
        <w:t>Whakaahuru</w:t>
      </w:r>
      <w:proofErr w:type="spellEnd"/>
      <w:r w:rsidR="001B43EB">
        <w:rPr>
          <w:rFonts w:cs="Segoe UI"/>
          <w:i/>
        </w:rPr>
        <w:t>:</w:t>
      </w:r>
      <w:r w:rsidR="00DD1B3A">
        <w:rPr>
          <w:rFonts w:cs="Segoe UI"/>
          <w:i/>
        </w:rPr>
        <w:t xml:space="preserve"> </w:t>
      </w:r>
      <w:r w:rsidR="00DD1B3A" w:rsidRPr="00DD1B3A">
        <w:rPr>
          <w:rFonts w:cs="Segoe UI"/>
          <w:i/>
        </w:rPr>
        <w:t>Registrar (assisted dying) Annual Report to the Minister of Health</w:t>
      </w:r>
      <w:r w:rsidR="00DD1B3A">
        <w:rPr>
          <w:rFonts w:cs="Segoe UI"/>
          <w:i/>
        </w:rPr>
        <w:t>.</w:t>
      </w:r>
      <w:r w:rsidR="00B57D12">
        <w:rPr>
          <w:rFonts w:cs="Segoe UI"/>
          <w:i/>
        </w:rPr>
        <w:t xml:space="preserve"> </w:t>
      </w:r>
      <w:r w:rsidR="00442C1C" w:rsidRPr="00C05132">
        <w:rPr>
          <w:rFonts w:cs="Segoe UI"/>
        </w:rPr>
        <w:t>Wellington: Ministry of Health.</w:t>
      </w:r>
    </w:p>
    <w:p w14:paraId="2B4DCCB8" w14:textId="0CD77AFD" w:rsidR="00C86248" w:rsidRDefault="00C86248">
      <w:pPr>
        <w:pStyle w:val="Imprint"/>
      </w:pPr>
      <w:r>
        <w:t xml:space="preserve">Published in </w:t>
      </w:r>
      <w:r w:rsidR="00DD1B3A">
        <w:t>June 2022</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2B4DCCB9" w14:textId="69C320A9" w:rsidR="00082CD6" w:rsidRPr="009C0F2D" w:rsidRDefault="00D863D0" w:rsidP="00082CD6">
      <w:pPr>
        <w:pStyle w:val="Imprint"/>
      </w:pPr>
      <w:r>
        <w:t>ISBN</w:t>
      </w:r>
      <w:r w:rsidR="00442C1C">
        <w:t xml:space="preserve"> </w:t>
      </w:r>
      <w:r w:rsidR="00972A42" w:rsidRPr="00972A42">
        <w:t>978-1-99-110058-0</w:t>
      </w:r>
      <w:r w:rsidR="00F17491">
        <w:t xml:space="preserve"> (print)</w:t>
      </w:r>
      <w:r w:rsidR="00F17491">
        <w:br/>
        <w:t xml:space="preserve">ISBN </w:t>
      </w:r>
      <w:r w:rsidR="00374D71" w:rsidRPr="00374D71">
        <w:t>978-1-99-110059-7</w:t>
      </w:r>
      <w:r w:rsidR="002B7BEC">
        <w:t xml:space="preserve"> </w:t>
      </w:r>
      <w:r>
        <w:t>(</w:t>
      </w:r>
      <w:r w:rsidR="00442C1C">
        <w:t>online</w:t>
      </w:r>
      <w:r>
        <w:t>)</w:t>
      </w:r>
      <w:r w:rsidR="00082CD6">
        <w:br/>
      </w:r>
      <w:r w:rsidR="00082CD6" w:rsidRPr="009C0F2D">
        <w:t xml:space="preserve">HP </w:t>
      </w:r>
      <w:r w:rsidR="00564D30">
        <w:t>8241</w:t>
      </w:r>
    </w:p>
    <w:p w14:paraId="2B4DCCBA" w14:textId="77777777" w:rsidR="00C86248" w:rsidRDefault="008C64C4" w:rsidP="00D27922">
      <w:pPr>
        <w:spacing w:before="360"/>
      </w:pPr>
      <w:r>
        <w:rPr>
          <w:noProof/>
          <w:lang w:eastAsia="en-NZ"/>
        </w:rPr>
        <w:drawing>
          <wp:inline distT="0" distB="0" distL="0" distR="0" wp14:anchorId="2B4DE95C" wp14:editId="0ACC6835">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2B4DCCBB" w14:textId="77777777" w:rsidR="00A63DFF" w:rsidRDefault="00A63DFF" w:rsidP="00A63DFF">
      <w:pPr>
        <w:pStyle w:val="Imprint"/>
        <w:spacing w:before="240" w:after="480"/>
      </w:pPr>
      <w:r>
        <w:t xml:space="preserve">This document is available at </w:t>
      </w:r>
      <w:hyperlink r:id="rId12"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2B4DCCBE" w14:textId="77777777" w:rsidTr="00A63DFF">
        <w:trPr>
          <w:cantSplit/>
        </w:trPr>
        <w:tc>
          <w:tcPr>
            <w:tcW w:w="1526" w:type="dxa"/>
          </w:tcPr>
          <w:p w14:paraId="2B4DCCBC"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2B4DE95E" wp14:editId="2B4DE95F">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2B4DCCBD"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2B4DCCBF" w14:textId="77777777" w:rsidR="007E74F1" w:rsidRPr="001F45A7" w:rsidRDefault="007E74F1" w:rsidP="006E2886">
      <w:pPr>
        <w:pStyle w:val="Imprint"/>
      </w:pPr>
    </w:p>
    <w:p w14:paraId="2B4DCCC0" w14:textId="77777777" w:rsidR="00C86248" w:rsidRDefault="00C86248">
      <w:pPr>
        <w:jc w:val="center"/>
        <w:sectPr w:rsidR="00C86248" w:rsidSect="00550E9A">
          <w:footerReference w:type="even" r:id="rId14"/>
          <w:footerReference w:type="default" r:id="rId15"/>
          <w:pgSz w:w="11907" w:h="16834" w:code="9"/>
          <w:pgMar w:top="1701" w:right="2268" w:bottom="1134" w:left="2268" w:header="0" w:footer="0" w:gutter="0"/>
          <w:cols w:space="720"/>
          <w:vAlign w:val="bottom"/>
        </w:sectPr>
      </w:pPr>
    </w:p>
    <w:p w14:paraId="2B4DCCEA" w14:textId="77777777" w:rsidR="00C86248" w:rsidRDefault="00C86248" w:rsidP="00025A6F">
      <w:pPr>
        <w:pStyle w:val="IntroHead"/>
      </w:pPr>
      <w:bookmarkStart w:id="0" w:name="_Toc405792991"/>
      <w:bookmarkStart w:id="1" w:name="_Toc405793224"/>
      <w:r>
        <w:lastRenderedPageBreak/>
        <w:t>Contents</w:t>
      </w:r>
      <w:bookmarkEnd w:id="0"/>
      <w:bookmarkEnd w:id="1"/>
    </w:p>
    <w:p w14:paraId="55A02386" w14:textId="2F3E9B7F" w:rsidR="001467A2" w:rsidRDefault="005F0BCB">
      <w:pPr>
        <w:pStyle w:val="TOC1"/>
        <w:rPr>
          <w:rFonts w:asciiTheme="minorHAnsi" w:eastAsiaTheme="minorEastAsia" w:hAnsiTheme="minorHAnsi" w:cstheme="minorBidi"/>
          <w:noProof/>
          <w:sz w:val="22"/>
          <w:szCs w:val="22"/>
          <w:lang w:val="en-AU" w:eastAsia="en-AU"/>
        </w:rPr>
      </w:pPr>
      <w:r>
        <w:rPr>
          <w:b/>
        </w:rPr>
        <w:fldChar w:fldCharType="begin"/>
      </w:r>
      <w:r>
        <w:rPr>
          <w:b/>
        </w:rPr>
        <w:instrText xml:space="preserve"> TOC \o "1-2" \h \z </w:instrText>
      </w:r>
      <w:r>
        <w:rPr>
          <w:b/>
        </w:rPr>
        <w:fldChar w:fldCharType="separate"/>
      </w:r>
      <w:hyperlink w:anchor="_Toc106611860" w:history="1">
        <w:r w:rsidR="001467A2" w:rsidRPr="009112E1">
          <w:rPr>
            <w:rStyle w:val="Hyperlink"/>
            <w:noProof/>
          </w:rPr>
          <w:t>Foreword</w:t>
        </w:r>
        <w:r w:rsidR="001467A2">
          <w:rPr>
            <w:noProof/>
            <w:webHidden/>
          </w:rPr>
          <w:tab/>
        </w:r>
        <w:r w:rsidR="001467A2">
          <w:rPr>
            <w:noProof/>
            <w:webHidden/>
          </w:rPr>
          <w:fldChar w:fldCharType="begin"/>
        </w:r>
        <w:r w:rsidR="001467A2">
          <w:rPr>
            <w:noProof/>
            <w:webHidden/>
          </w:rPr>
          <w:instrText xml:space="preserve"> PAGEREF _Toc106611860 \h </w:instrText>
        </w:r>
        <w:r w:rsidR="001467A2">
          <w:rPr>
            <w:noProof/>
            <w:webHidden/>
          </w:rPr>
        </w:r>
        <w:r w:rsidR="001467A2">
          <w:rPr>
            <w:noProof/>
            <w:webHidden/>
          </w:rPr>
          <w:fldChar w:fldCharType="separate"/>
        </w:r>
        <w:r w:rsidR="001467A2">
          <w:rPr>
            <w:noProof/>
            <w:webHidden/>
          </w:rPr>
          <w:t>1</w:t>
        </w:r>
        <w:r w:rsidR="001467A2">
          <w:rPr>
            <w:noProof/>
            <w:webHidden/>
          </w:rPr>
          <w:fldChar w:fldCharType="end"/>
        </w:r>
      </w:hyperlink>
    </w:p>
    <w:p w14:paraId="7B7FB699" w14:textId="254638CF" w:rsidR="001467A2" w:rsidRDefault="00607571">
      <w:pPr>
        <w:pStyle w:val="TOC1"/>
        <w:rPr>
          <w:rFonts w:asciiTheme="minorHAnsi" w:eastAsiaTheme="minorEastAsia" w:hAnsiTheme="minorHAnsi" w:cstheme="minorBidi"/>
          <w:noProof/>
          <w:sz w:val="22"/>
          <w:szCs w:val="22"/>
          <w:lang w:val="en-AU" w:eastAsia="en-AU"/>
        </w:rPr>
      </w:pPr>
      <w:hyperlink w:anchor="_Toc106611861" w:history="1">
        <w:r w:rsidR="001467A2" w:rsidRPr="009112E1">
          <w:rPr>
            <w:rStyle w:val="Hyperlink"/>
            <w:rFonts w:cs="Segoe UI"/>
            <w:noProof/>
          </w:rPr>
          <w:t>Introduction</w:t>
        </w:r>
        <w:r w:rsidR="001467A2">
          <w:rPr>
            <w:noProof/>
            <w:webHidden/>
          </w:rPr>
          <w:tab/>
        </w:r>
        <w:r w:rsidR="001467A2">
          <w:rPr>
            <w:noProof/>
            <w:webHidden/>
          </w:rPr>
          <w:fldChar w:fldCharType="begin"/>
        </w:r>
        <w:r w:rsidR="001467A2">
          <w:rPr>
            <w:noProof/>
            <w:webHidden/>
          </w:rPr>
          <w:instrText xml:space="preserve"> PAGEREF _Toc106611861 \h </w:instrText>
        </w:r>
        <w:r w:rsidR="001467A2">
          <w:rPr>
            <w:noProof/>
            <w:webHidden/>
          </w:rPr>
        </w:r>
        <w:r w:rsidR="001467A2">
          <w:rPr>
            <w:noProof/>
            <w:webHidden/>
          </w:rPr>
          <w:fldChar w:fldCharType="separate"/>
        </w:r>
        <w:r w:rsidR="001467A2">
          <w:rPr>
            <w:noProof/>
            <w:webHidden/>
          </w:rPr>
          <w:t>2</w:t>
        </w:r>
        <w:r w:rsidR="001467A2">
          <w:rPr>
            <w:noProof/>
            <w:webHidden/>
          </w:rPr>
          <w:fldChar w:fldCharType="end"/>
        </w:r>
      </w:hyperlink>
    </w:p>
    <w:p w14:paraId="6D8D1380" w14:textId="521C21FA" w:rsidR="001467A2" w:rsidRDefault="00607571">
      <w:pPr>
        <w:pStyle w:val="TOC2"/>
        <w:tabs>
          <w:tab w:val="left" w:pos="992"/>
        </w:tabs>
        <w:rPr>
          <w:rFonts w:asciiTheme="minorHAnsi" w:eastAsiaTheme="minorEastAsia" w:hAnsiTheme="minorHAnsi" w:cstheme="minorBidi"/>
          <w:noProof/>
          <w:sz w:val="22"/>
          <w:szCs w:val="22"/>
          <w:lang w:val="en-AU" w:eastAsia="en-AU"/>
        </w:rPr>
      </w:pPr>
      <w:hyperlink w:anchor="_Toc106611862" w:history="1">
        <w:r w:rsidR="001467A2" w:rsidRPr="009112E1">
          <w:rPr>
            <w:rStyle w:val="Hyperlink"/>
            <w:noProof/>
          </w:rPr>
          <w:t>1.</w:t>
        </w:r>
        <w:r w:rsidR="001467A2">
          <w:rPr>
            <w:rFonts w:asciiTheme="minorHAnsi" w:eastAsiaTheme="minorEastAsia" w:hAnsiTheme="minorHAnsi" w:cstheme="minorBidi"/>
            <w:noProof/>
            <w:sz w:val="22"/>
            <w:szCs w:val="22"/>
            <w:lang w:val="en-AU" w:eastAsia="en-AU"/>
          </w:rPr>
          <w:tab/>
        </w:r>
        <w:r w:rsidR="001467A2" w:rsidRPr="009112E1">
          <w:rPr>
            <w:rStyle w:val="Hyperlink"/>
            <w:noProof/>
          </w:rPr>
          <w:t>About this report</w:t>
        </w:r>
        <w:r w:rsidR="001467A2">
          <w:rPr>
            <w:noProof/>
            <w:webHidden/>
          </w:rPr>
          <w:tab/>
        </w:r>
        <w:r w:rsidR="001467A2">
          <w:rPr>
            <w:noProof/>
            <w:webHidden/>
          </w:rPr>
          <w:fldChar w:fldCharType="begin"/>
        </w:r>
        <w:r w:rsidR="001467A2">
          <w:rPr>
            <w:noProof/>
            <w:webHidden/>
          </w:rPr>
          <w:instrText xml:space="preserve"> PAGEREF _Toc106611862 \h </w:instrText>
        </w:r>
        <w:r w:rsidR="001467A2">
          <w:rPr>
            <w:noProof/>
            <w:webHidden/>
          </w:rPr>
        </w:r>
        <w:r w:rsidR="001467A2">
          <w:rPr>
            <w:noProof/>
            <w:webHidden/>
          </w:rPr>
          <w:fldChar w:fldCharType="separate"/>
        </w:r>
        <w:r w:rsidR="001467A2">
          <w:rPr>
            <w:noProof/>
            <w:webHidden/>
          </w:rPr>
          <w:t>2</w:t>
        </w:r>
        <w:r w:rsidR="001467A2">
          <w:rPr>
            <w:noProof/>
            <w:webHidden/>
          </w:rPr>
          <w:fldChar w:fldCharType="end"/>
        </w:r>
      </w:hyperlink>
    </w:p>
    <w:p w14:paraId="58320285" w14:textId="78A1FD36" w:rsidR="001467A2" w:rsidRDefault="00607571">
      <w:pPr>
        <w:pStyle w:val="TOC2"/>
        <w:tabs>
          <w:tab w:val="left" w:pos="992"/>
        </w:tabs>
        <w:rPr>
          <w:rFonts w:asciiTheme="minorHAnsi" w:eastAsiaTheme="minorEastAsia" w:hAnsiTheme="minorHAnsi" w:cstheme="minorBidi"/>
          <w:noProof/>
          <w:sz w:val="22"/>
          <w:szCs w:val="22"/>
          <w:lang w:val="en-AU" w:eastAsia="en-AU"/>
        </w:rPr>
      </w:pPr>
      <w:hyperlink w:anchor="_Toc106611863" w:history="1">
        <w:r w:rsidR="001467A2" w:rsidRPr="009112E1">
          <w:rPr>
            <w:rStyle w:val="Hyperlink"/>
            <w:noProof/>
          </w:rPr>
          <w:t>2.</w:t>
        </w:r>
        <w:r w:rsidR="001467A2">
          <w:rPr>
            <w:rFonts w:asciiTheme="minorHAnsi" w:eastAsiaTheme="minorEastAsia" w:hAnsiTheme="minorHAnsi" w:cstheme="minorBidi"/>
            <w:noProof/>
            <w:sz w:val="22"/>
            <w:szCs w:val="22"/>
            <w:lang w:val="en-AU" w:eastAsia="en-AU"/>
          </w:rPr>
          <w:tab/>
        </w:r>
        <w:r w:rsidR="001467A2" w:rsidRPr="009112E1">
          <w:rPr>
            <w:rStyle w:val="Hyperlink"/>
            <w:noProof/>
          </w:rPr>
          <w:t>Role of the Registrar (assisted dying)</w:t>
        </w:r>
        <w:r w:rsidR="001467A2">
          <w:rPr>
            <w:noProof/>
            <w:webHidden/>
          </w:rPr>
          <w:tab/>
        </w:r>
        <w:r w:rsidR="001467A2">
          <w:rPr>
            <w:noProof/>
            <w:webHidden/>
          </w:rPr>
          <w:fldChar w:fldCharType="begin"/>
        </w:r>
        <w:r w:rsidR="001467A2">
          <w:rPr>
            <w:noProof/>
            <w:webHidden/>
          </w:rPr>
          <w:instrText xml:space="preserve"> PAGEREF _Toc106611863 \h </w:instrText>
        </w:r>
        <w:r w:rsidR="001467A2">
          <w:rPr>
            <w:noProof/>
            <w:webHidden/>
          </w:rPr>
        </w:r>
        <w:r w:rsidR="001467A2">
          <w:rPr>
            <w:noProof/>
            <w:webHidden/>
          </w:rPr>
          <w:fldChar w:fldCharType="separate"/>
        </w:r>
        <w:r w:rsidR="001467A2">
          <w:rPr>
            <w:noProof/>
            <w:webHidden/>
          </w:rPr>
          <w:t>2</w:t>
        </w:r>
        <w:r w:rsidR="001467A2">
          <w:rPr>
            <w:noProof/>
            <w:webHidden/>
          </w:rPr>
          <w:fldChar w:fldCharType="end"/>
        </w:r>
      </w:hyperlink>
    </w:p>
    <w:p w14:paraId="11978D3F" w14:textId="68A91D8C" w:rsidR="001467A2" w:rsidRDefault="00607571">
      <w:pPr>
        <w:pStyle w:val="TOC1"/>
        <w:rPr>
          <w:rFonts w:asciiTheme="minorHAnsi" w:eastAsiaTheme="minorEastAsia" w:hAnsiTheme="minorHAnsi" w:cstheme="minorBidi"/>
          <w:noProof/>
          <w:sz w:val="22"/>
          <w:szCs w:val="22"/>
          <w:lang w:val="en-AU" w:eastAsia="en-AU"/>
        </w:rPr>
      </w:pPr>
      <w:hyperlink w:anchor="_Toc106611864" w:history="1">
        <w:r w:rsidR="001467A2" w:rsidRPr="009112E1">
          <w:rPr>
            <w:rStyle w:val="Hyperlink"/>
            <w:rFonts w:cs="Segoe UI"/>
            <w:noProof/>
          </w:rPr>
          <w:t>Introducing an assisted dying service in New Zealand Aotearoa</w:t>
        </w:r>
        <w:r w:rsidR="001467A2">
          <w:rPr>
            <w:noProof/>
            <w:webHidden/>
          </w:rPr>
          <w:tab/>
        </w:r>
        <w:r w:rsidR="001467A2">
          <w:rPr>
            <w:noProof/>
            <w:webHidden/>
          </w:rPr>
          <w:fldChar w:fldCharType="begin"/>
        </w:r>
        <w:r w:rsidR="001467A2">
          <w:rPr>
            <w:noProof/>
            <w:webHidden/>
          </w:rPr>
          <w:instrText xml:space="preserve"> PAGEREF _Toc106611864 \h </w:instrText>
        </w:r>
        <w:r w:rsidR="001467A2">
          <w:rPr>
            <w:noProof/>
            <w:webHidden/>
          </w:rPr>
        </w:r>
        <w:r w:rsidR="001467A2">
          <w:rPr>
            <w:noProof/>
            <w:webHidden/>
          </w:rPr>
          <w:fldChar w:fldCharType="separate"/>
        </w:r>
        <w:r w:rsidR="001467A2">
          <w:rPr>
            <w:noProof/>
            <w:webHidden/>
          </w:rPr>
          <w:t>3</w:t>
        </w:r>
        <w:r w:rsidR="001467A2">
          <w:rPr>
            <w:noProof/>
            <w:webHidden/>
          </w:rPr>
          <w:fldChar w:fldCharType="end"/>
        </w:r>
      </w:hyperlink>
    </w:p>
    <w:p w14:paraId="7E12770F" w14:textId="4164E93F" w:rsidR="001467A2" w:rsidRDefault="00607571">
      <w:pPr>
        <w:pStyle w:val="TOC2"/>
        <w:tabs>
          <w:tab w:val="left" w:pos="992"/>
        </w:tabs>
        <w:rPr>
          <w:rFonts w:asciiTheme="minorHAnsi" w:eastAsiaTheme="minorEastAsia" w:hAnsiTheme="minorHAnsi" w:cstheme="minorBidi"/>
          <w:noProof/>
          <w:sz w:val="22"/>
          <w:szCs w:val="22"/>
          <w:lang w:val="en-AU" w:eastAsia="en-AU"/>
        </w:rPr>
      </w:pPr>
      <w:hyperlink w:anchor="_Toc106611865" w:history="1">
        <w:r w:rsidR="001467A2" w:rsidRPr="009112E1">
          <w:rPr>
            <w:rStyle w:val="Hyperlink"/>
            <w:noProof/>
          </w:rPr>
          <w:t>1.</w:t>
        </w:r>
        <w:r w:rsidR="001467A2">
          <w:rPr>
            <w:rFonts w:asciiTheme="minorHAnsi" w:eastAsiaTheme="minorEastAsia" w:hAnsiTheme="minorHAnsi" w:cstheme="minorBidi"/>
            <w:noProof/>
            <w:sz w:val="22"/>
            <w:szCs w:val="22"/>
            <w:lang w:val="en-AU" w:eastAsia="en-AU"/>
          </w:rPr>
          <w:tab/>
        </w:r>
        <w:r w:rsidR="001467A2" w:rsidRPr="009112E1">
          <w:rPr>
            <w:rStyle w:val="Hyperlink"/>
            <w:noProof/>
          </w:rPr>
          <w:t>Mate whakaahuru</w:t>
        </w:r>
        <w:r w:rsidR="001467A2">
          <w:rPr>
            <w:noProof/>
            <w:webHidden/>
          </w:rPr>
          <w:tab/>
        </w:r>
        <w:r w:rsidR="001467A2">
          <w:rPr>
            <w:noProof/>
            <w:webHidden/>
          </w:rPr>
          <w:fldChar w:fldCharType="begin"/>
        </w:r>
        <w:r w:rsidR="001467A2">
          <w:rPr>
            <w:noProof/>
            <w:webHidden/>
          </w:rPr>
          <w:instrText xml:space="preserve"> PAGEREF _Toc106611865 \h </w:instrText>
        </w:r>
        <w:r w:rsidR="001467A2">
          <w:rPr>
            <w:noProof/>
            <w:webHidden/>
          </w:rPr>
        </w:r>
        <w:r w:rsidR="001467A2">
          <w:rPr>
            <w:noProof/>
            <w:webHidden/>
          </w:rPr>
          <w:fldChar w:fldCharType="separate"/>
        </w:r>
        <w:r w:rsidR="001467A2">
          <w:rPr>
            <w:noProof/>
            <w:webHidden/>
          </w:rPr>
          <w:t>3</w:t>
        </w:r>
        <w:r w:rsidR="001467A2">
          <w:rPr>
            <w:noProof/>
            <w:webHidden/>
          </w:rPr>
          <w:fldChar w:fldCharType="end"/>
        </w:r>
      </w:hyperlink>
    </w:p>
    <w:p w14:paraId="256E7E1A" w14:textId="1DB69E73" w:rsidR="001467A2" w:rsidRDefault="00607571">
      <w:pPr>
        <w:pStyle w:val="TOC2"/>
        <w:tabs>
          <w:tab w:val="left" w:pos="992"/>
        </w:tabs>
        <w:rPr>
          <w:rFonts w:asciiTheme="minorHAnsi" w:eastAsiaTheme="minorEastAsia" w:hAnsiTheme="minorHAnsi" w:cstheme="minorBidi"/>
          <w:noProof/>
          <w:sz w:val="22"/>
          <w:szCs w:val="22"/>
          <w:lang w:val="en-AU" w:eastAsia="en-AU"/>
        </w:rPr>
      </w:pPr>
      <w:hyperlink w:anchor="_Toc106611866" w:history="1">
        <w:r w:rsidR="001467A2" w:rsidRPr="009112E1">
          <w:rPr>
            <w:rStyle w:val="Hyperlink"/>
            <w:noProof/>
          </w:rPr>
          <w:t>2.</w:t>
        </w:r>
        <w:r w:rsidR="001467A2">
          <w:rPr>
            <w:rFonts w:asciiTheme="minorHAnsi" w:eastAsiaTheme="minorEastAsia" w:hAnsiTheme="minorHAnsi" w:cstheme="minorBidi"/>
            <w:noProof/>
            <w:sz w:val="22"/>
            <w:szCs w:val="22"/>
            <w:lang w:val="en-AU" w:eastAsia="en-AU"/>
          </w:rPr>
          <w:tab/>
        </w:r>
        <w:r w:rsidR="001467A2" w:rsidRPr="009112E1">
          <w:rPr>
            <w:rStyle w:val="Hyperlink"/>
            <w:noProof/>
          </w:rPr>
          <w:t>The End of Life Choice Act 2019</w:t>
        </w:r>
        <w:r w:rsidR="001467A2">
          <w:rPr>
            <w:noProof/>
            <w:webHidden/>
          </w:rPr>
          <w:tab/>
        </w:r>
        <w:r w:rsidR="001467A2">
          <w:rPr>
            <w:noProof/>
            <w:webHidden/>
          </w:rPr>
          <w:fldChar w:fldCharType="begin"/>
        </w:r>
        <w:r w:rsidR="001467A2">
          <w:rPr>
            <w:noProof/>
            <w:webHidden/>
          </w:rPr>
          <w:instrText xml:space="preserve"> PAGEREF _Toc106611866 \h </w:instrText>
        </w:r>
        <w:r w:rsidR="001467A2">
          <w:rPr>
            <w:noProof/>
            <w:webHidden/>
          </w:rPr>
        </w:r>
        <w:r w:rsidR="001467A2">
          <w:rPr>
            <w:noProof/>
            <w:webHidden/>
          </w:rPr>
          <w:fldChar w:fldCharType="separate"/>
        </w:r>
        <w:r w:rsidR="001467A2">
          <w:rPr>
            <w:noProof/>
            <w:webHidden/>
          </w:rPr>
          <w:t>3</w:t>
        </w:r>
        <w:r w:rsidR="001467A2">
          <w:rPr>
            <w:noProof/>
            <w:webHidden/>
          </w:rPr>
          <w:fldChar w:fldCharType="end"/>
        </w:r>
      </w:hyperlink>
    </w:p>
    <w:p w14:paraId="1AE86478" w14:textId="425FC631" w:rsidR="001467A2" w:rsidRDefault="00607571">
      <w:pPr>
        <w:pStyle w:val="TOC2"/>
        <w:tabs>
          <w:tab w:val="left" w:pos="992"/>
        </w:tabs>
        <w:rPr>
          <w:rFonts w:asciiTheme="minorHAnsi" w:eastAsiaTheme="minorEastAsia" w:hAnsiTheme="minorHAnsi" w:cstheme="minorBidi"/>
          <w:noProof/>
          <w:sz w:val="22"/>
          <w:szCs w:val="22"/>
          <w:lang w:val="en-AU" w:eastAsia="en-AU"/>
        </w:rPr>
      </w:pPr>
      <w:hyperlink w:anchor="_Toc106611867" w:history="1">
        <w:r w:rsidR="001467A2" w:rsidRPr="009112E1">
          <w:rPr>
            <w:rStyle w:val="Hyperlink"/>
            <w:noProof/>
          </w:rPr>
          <w:t>3.</w:t>
        </w:r>
        <w:r w:rsidR="001467A2">
          <w:rPr>
            <w:rFonts w:asciiTheme="minorHAnsi" w:eastAsiaTheme="minorEastAsia" w:hAnsiTheme="minorHAnsi" w:cstheme="minorBidi"/>
            <w:noProof/>
            <w:sz w:val="22"/>
            <w:szCs w:val="22"/>
            <w:lang w:val="en-AU" w:eastAsia="en-AU"/>
          </w:rPr>
          <w:tab/>
        </w:r>
        <w:r w:rsidR="001467A2" w:rsidRPr="009112E1">
          <w:rPr>
            <w:rStyle w:val="Hyperlink"/>
            <w:noProof/>
          </w:rPr>
          <w:t>Implementing the Act</w:t>
        </w:r>
        <w:r w:rsidR="001467A2">
          <w:rPr>
            <w:noProof/>
            <w:webHidden/>
          </w:rPr>
          <w:tab/>
        </w:r>
        <w:r w:rsidR="001467A2">
          <w:rPr>
            <w:noProof/>
            <w:webHidden/>
          </w:rPr>
          <w:fldChar w:fldCharType="begin"/>
        </w:r>
        <w:r w:rsidR="001467A2">
          <w:rPr>
            <w:noProof/>
            <w:webHidden/>
          </w:rPr>
          <w:instrText xml:space="preserve"> PAGEREF _Toc106611867 \h </w:instrText>
        </w:r>
        <w:r w:rsidR="001467A2">
          <w:rPr>
            <w:noProof/>
            <w:webHidden/>
          </w:rPr>
        </w:r>
        <w:r w:rsidR="001467A2">
          <w:rPr>
            <w:noProof/>
            <w:webHidden/>
          </w:rPr>
          <w:fldChar w:fldCharType="separate"/>
        </w:r>
        <w:r w:rsidR="001467A2">
          <w:rPr>
            <w:noProof/>
            <w:webHidden/>
          </w:rPr>
          <w:t>4</w:t>
        </w:r>
        <w:r w:rsidR="001467A2">
          <w:rPr>
            <w:noProof/>
            <w:webHidden/>
          </w:rPr>
          <w:fldChar w:fldCharType="end"/>
        </w:r>
      </w:hyperlink>
    </w:p>
    <w:p w14:paraId="60630BD6" w14:textId="0BE7C792" w:rsidR="001467A2" w:rsidRDefault="00607571">
      <w:pPr>
        <w:pStyle w:val="TOC2"/>
        <w:tabs>
          <w:tab w:val="left" w:pos="992"/>
        </w:tabs>
        <w:rPr>
          <w:rFonts w:asciiTheme="minorHAnsi" w:eastAsiaTheme="minorEastAsia" w:hAnsiTheme="minorHAnsi" w:cstheme="minorBidi"/>
          <w:noProof/>
          <w:sz w:val="22"/>
          <w:szCs w:val="22"/>
          <w:lang w:val="en-AU" w:eastAsia="en-AU"/>
        </w:rPr>
      </w:pPr>
      <w:hyperlink w:anchor="_Toc106611868" w:history="1">
        <w:r w:rsidR="001467A2" w:rsidRPr="009112E1">
          <w:rPr>
            <w:rStyle w:val="Hyperlink"/>
            <w:noProof/>
          </w:rPr>
          <w:t>4.</w:t>
        </w:r>
        <w:r w:rsidR="001467A2">
          <w:rPr>
            <w:rFonts w:asciiTheme="minorHAnsi" w:eastAsiaTheme="minorEastAsia" w:hAnsiTheme="minorHAnsi" w:cstheme="minorBidi"/>
            <w:noProof/>
            <w:sz w:val="22"/>
            <w:szCs w:val="22"/>
            <w:lang w:val="en-AU" w:eastAsia="en-AU"/>
          </w:rPr>
          <w:tab/>
        </w:r>
        <w:r w:rsidR="001467A2" w:rsidRPr="009112E1">
          <w:rPr>
            <w:rStyle w:val="Hyperlink"/>
            <w:noProof/>
          </w:rPr>
          <w:t>Standard of Care and Clinical Guideline</w:t>
        </w:r>
        <w:r w:rsidR="001467A2">
          <w:rPr>
            <w:noProof/>
            <w:webHidden/>
          </w:rPr>
          <w:tab/>
        </w:r>
        <w:r w:rsidR="001467A2">
          <w:rPr>
            <w:noProof/>
            <w:webHidden/>
          </w:rPr>
          <w:fldChar w:fldCharType="begin"/>
        </w:r>
        <w:r w:rsidR="001467A2">
          <w:rPr>
            <w:noProof/>
            <w:webHidden/>
          </w:rPr>
          <w:instrText xml:space="preserve"> PAGEREF _Toc106611868 \h </w:instrText>
        </w:r>
        <w:r w:rsidR="001467A2">
          <w:rPr>
            <w:noProof/>
            <w:webHidden/>
          </w:rPr>
        </w:r>
        <w:r w:rsidR="001467A2">
          <w:rPr>
            <w:noProof/>
            <w:webHidden/>
          </w:rPr>
          <w:fldChar w:fldCharType="separate"/>
        </w:r>
        <w:r w:rsidR="001467A2">
          <w:rPr>
            <w:noProof/>
            <w:webHidden/>
          </w:rPr>
          <w:t>7</w:t>
        </w:r>
        <w:r w:rsidR="001467A2">
          <w:rPr>
            <w:noProof/>
            <w:webHidden/>
          </w:rPr>
          <w:fldChar w:fldCharType="end"/>
        </w:r>
      </w:hyperlink>
    </w:p>
    <w:p w14:paraId="52C9EC14" w14:textId="4693BC96" w:rsidR="001467A2" w:rsidRDefault="00607571">
      <w:pPr>
        <w:pStyle w:val="TOC1"/>
        <w:rPr>
          <w:rFonts w:asciiTheme="minorHAnsi" w:eastAsiaTheme="minorEastAsia" w:hAnsiTheme="minorHAnsi" w:cstheme="minorBidi"/>
          <w:noProof/>
          <w:sz w:val="22"/>
          <w:szCs w:val="22"/>
          <w:lang w:val="en-AU" w:eastAsia="en-AU"/>
        </w:rPr>
      </w:pPr>
      <w:hyperlink w:anchor="_Toc106611869" w:history="1">
        <w:r w:rsidR="001467A2" w:rsidRPr="009112E1">
          <w:rPr>
            <w:rStyle w:val="Hyperlink"/>
            <w:noProof/>
          </w:rPr>
          <w:t>Groups and organisations involved in the assisted dying service</w:t>
        </w:r>
        <w:r w:rsidR="001467A2">
          <w:rPr>
            <w:noProof/>
            <w:webHidden/>
          </w:rPr>
          <w:tab/>
        </w:r>
        <w:r w:rsidR="001467A2">
          <w:rPr>
            <w:noProof/>
            <w:webHidden/>
          </w:rPr>
          <w:fldChar w:fldCharType="begin"/>
        </w:r>
        <w:r w:rsidR="001467A2">
          <w:rPr>
            <w:noProof/>
            <w:webHidden/>
          </w:rPr>
          <w:instrText xml:space="preserve"> PAGEREF _Toc106611869 \h </w:instrText>
        </w:r>
        <w:r w:rsidR="001467A2">
          <w:rPr>
            <w:noProof/>
            <w:webHidden/>
          </w:rPr>
        </w:r>
        <w:r w:rsidR="001467A2">
          <w:rPr>
            <w:noProof/>
            <w:webHidden/>
          </w:rPr>
          <w:fldChar w:fldCharType="separate"/>
        </w:r>
        <w:r w:rsidR="001467A2">
          <w:rPr>
            <w:noProof/>
            <w:webHidden/>
          </w:rPr>
          <w:t>8</w:t>
        </w:r>
        <w:r w:rsidR="001467A2">
          <w:rPr>
            <w:noProof/>
            <w:webHidden/>
          </w:rPr>
          <w:fldChar w:fldCharType="end"/>
        </w:r>
      </w:hyperlink>
    </w:p>
    <w:p w14:paraId="2772A537" w14:textId="7B9B1264" w:rsidR="001467A2" w:rsidRDefault="00607571">
      <w:pPr>
        <w:pStyle w:val="TOC2"/>
        <w:tabs>
          <w:tab w:val="left" w:pos="992"/>
        </w:tabs>
        <w:rPr>
          <w:rFonts w:asciiTheme="minorHAnsi" w:eastAsiaTheme="minorEastAsia" w:hAnsiTheme="minorHAnsi" w:cstheme="minorBidi"/>
          <w:noProof/>
          <w:sz w:val="22"/>
          <w:szCs w:val="22"/>
          <w:lang w:val="en-AU" w:eastAsia="en-AU"/>
        </w:rPr>
      </w:pPr>
      <w:hyperlink w:anchor="_Toc106611870" w:history="1">
        <w:r w:rsidR="001467A2" w:rsidRPr="009112E1">
          <w:rPr>
            <w:rStyle w:val="Hyperlink"/>
            <w:noProof/>
          </w:rPr>
          <w:t>1.</w:t>
        </w:r>
        <w:r w:rsidR="001467A2">
          <w:rPr>
            <w:rFonts w:asciiTheme="minorHAnsi" w:eastAsiaTheme="minorEastAsia" w:hAnsiTheme="minorHAnsi" w:cstheme="minorBidi"/>
            <w:noProof/>
            <w:sz w:val="22"/>
            <w:szCs w:val="22"/>
            <w:lang w:val="en-AU" w:eastAsia="en-AU"/>
          </w:rPr>
          <w:tab/>
        </w:r>
        <w:r w:rsidR="001467A2" w:rsidRPr="009112E1">
          <w:rPr>
            <w:rStyle w:val="Hyperlink"/>
            <w:noProof/>
          </w:rPr>
          <w:t>The Assisted Dying Secretariat</w:t>
        </w:r>
        <w:r w:rsidR="001467A2">
          <w:rPr>
            <w:noProof/>
            <w:webHidden/>
          </w:rPr>
          <w:tab/>
        </w:r>
        <w:r w:rsidR="001467A2">
          <w:rPr>
            <w:noProof/>
            <w:webHidden/>
          </w:rPr>
          <w:fldChar w:fldCharType="begin"/>
        </w:r>
        <w:r w:rsidR="001467A2">
          <w:rPr>
            <w:noProof/>
            <w:webHidden/>
          </w:rPr>
          <w:instrText xml:space="preserve"> PAGEREF _Toc106611870 \h </w:instrText>
        </w:r>
        <w:r w:rsidR="001467A2">
          <w:rPr>
            <w:noProof/>
            <w:webHidden/>
          </w:rPr>
        </w:r>
        <w:r w:rsidR="001467A2">
          <w:rPr>
            <w:noProof/>
            <w:webHidden/>
          </w:rPr>
          <w:fldChar w:fldCharType="separate"/>
        </w:r>
        <w:r w:rsidR="001467A2">
          <w:rPr>
            <w:noProof/>
            <w:webHidden/>
          </w:rPr>
          <w:t>8</w:t>
        </w:r>
        <w:r w:rsidR="001467A2">
          <w:rPr>
            <w:noProof/>
            <w:webHidden/>
          </w:rPr>
          <w:fldChar w:fldCharType="end"/>
        </w:r>
      </w:hyperlink>
    </w:p>
    <w:p w14:paraId="743902AC" w14:textId="24BC23F5" w:rsidR="001467A2" w:rsidRDefault="00607571">
      <w:pPr>
        <w:pStyle w:val="TOC2"/>
        <w:tabs>
          <w:tab w:val="left" w:pos="992"/>
        </w:tabs>
        <w:rPr>
          <w:rFonts w:asciiTheme="minorHAnsi" w:eastAsiaTheme="minorEastAsia" w:hAnsiTheme="minorHAnsi" w:cstheme="minorBidi"/>
          <w:noProof/>
          <w:sz w:val="22"/>
          <w:szCs w:val="22"/>
          <w:lang w:val="en-AU" w:eastAsia="en-AU"/>
        </w:rPr>
      </w:pPr>
      <w:hyperlink w:anchor="_Toc106611871" w:history="1">
        <w:r w:rsidR="001467A2" w:rsidRPr="009112E1">
          <w:rPr>
            <w:rStyle w:val="Hyperlink"/>
            <w:noProof/>
          </w:rPr>
          <w:t>2.</w:t>
        </w:r>
        <w:r w:rsidR="001467A2">
          <w:rPr>
            <w:rFonts w:asciiTheme="minorHAnsi" w:eastAsiaTheme="minorEastAsia" w:hAnsiTheme="minorHAnsi" w:cstheme="minorBidi"/>
            <w:noProof/>
            <w:sz w:val="22"/>
            <w:szCs w:val="22"/>
            <w:lang w:val="en-AU" w:eastAsia="en-AU"/>
          </w:rPr>
          <w:tab/>
        </w:r>
        <w:r w:rsidR="001467A2" w:rsidRPr="009112E1">
          <w:rPr>
            <w:rStyle w:val="Hyperlink"/>
            <w:noProof/>
          </w:rPr>
          <w:t>The Support and Consultation for End of Life in New Zealand Group</w:t>
        </w:r>
        <w:r w:rsidR="001467A2">
          <w:rPr>
            <w:noProof/>
            <w:webHidden/>
          </w:rPr>
          <w:tab/>
        </w:r>
        <w:r w:rsidR="001467A2">
          <w:rPr>
            <w:noProof/>
            <w:webHidden/>
          </w:rPr>
          <w:fldChar w:fldCharType="begin"/>
        </w:r>
        <w:r w:rsidR="001467A2">
          <w:rPr>
            <w:noProof/>
            <w:webHidden/>
          </w:rPr>
          <w:instrText xml:space="preserve"> PAGEREF _Toc106611871 \h </w:instrText>
        </w:r>
        <w:r w:rsidR="001467A2">
          <w:rPr>
            <w:noProof/>
            <w:webHidden/>
          </w:rPr>
        </w:r>
        <w:r w:rsidR="001467A2">
          <w:rPr>
            <w:noProof/>
            <w:webHidden/>
          </w:rPr>
          <w:fldChar w:fldCharType="separate"/>
        </w:r>
        <w:r w:rsidR="001467A2">
          <w:rPr>
            <w:noProof/>
            <w:webHidden/>
          </w:rPr>
          <w:t>9</w:t>
        </w:r>
        <w:r w:rsidR="001467A2">
          <w:rPr>
            <w:noProof/>
            <w:webHidden/>
          </w:rPr>
          <w:fldChar w:fldCharType="end"/>
        </w:r>
      </w:hyperlink>
    </w:p>
    <w:p w14:paraId="4A287C91" w14:textId="103F04F3" w:rsidR="001467A2" w:rsidRDefault="00607571">
      <w:pPr>
        <w:pStyle w:val="TOC2"/>
        <w:tabs>
          <w:tab w:val="left" w:pos="992"/>
        </w:tabs>
        <w:rPr>
          <w:rFonts w:asciiTheme="minorHAnsi" w:eastAsiaTheme="minorEastAsia" w:hAnsiTheme="minorHAnsi" w:cstheme="minorBidi"/>
          <w:noProof/>
          <w:sz w:val="22"/>
          <w:szCs w:val="22"/>
          <w:lang w:val="en-AU" w:eastAsia="en-AU"/>
        </w:rPr>
      </w:pPr>
      <w:hyperlink w:anchor="_Toc106611872" w:history="1">
        <w:r w:rsidR="001467A2" w:rsidRPr="009112E1">
          <w:rPr>
            <w:rStyle w:val="Hyperlink"/>
            <w:noProof/>
          </w:rPr>
          <w:t>3.</w:t>
        </w:r>
        <w:r w:rsidR="001467A2">
          <w:rPr>
            <w:rFonts w:asciiTheme="minorHAnsi" w:eastAsiaTheme="minorEastAsia" w:hAnsiTheme="minorHAnsi" w:cstheme="minorBidi"/>
            <w:noProof/>
            <w:sz w:val="22"/>
            <w:szCs w:val="22"/>
            <w:lang w:val="en-AU" w:eastAsia="en-AU"/>
          </w:rPr>
          <w:tab/>
        </w:r>
        <w:r w:rsidR="001467A2" w:rsidRPr="009112E1">
          <w:rPr>
            <w:rStyle w:val="Hyperlink"/>
            <w:noProof/>
          </w:rPr>
          <w:t>The End of Life Review Committee</w:t>
        </w:r>
        <w:r w:rsidR="001467A2">
          <w:rPr>
            <w:noProof/>
            <w:webHidden/>
          </w:rPr>
          <w:tab/>
        </w:r>
        <w:r w:rsidR="001467A2">
          <w:rPr>
            <w:noProof/>
            <w:webHidden/>
          </w:rPr>
          <w:fldChar w:fldCharType="begin"/>
        </w:r>
        <w:r w:rsidR="001467A2">
          <w:rPr>
            <w:noProof/>
            <w:webHidden/>
          </w:rPr>
          <w:instrText xml:space="preserve"> PAGEREF _Toc106611872 \h </w:instrText>
        </w:r>
        <w:r w:rsidR="001467A2">
          <w:rPr>
            <w:noProof/>
            <w:webHidden/>
          </w:rPr>
        </w:r>
        <w:r w:rsidR="001467A2">
          <w:rPr>
            <w:noProof/>
            <w:webHidden/>
          </w:rPr>
          <w:fldChar w:fldCharType="separate"/>
        </w:r>
        <w:r w:rsidR="001467A2">
          <w:rPr>
            <w:noProof/>
            <w:webHidden/>
          </w:rPr>
          <w:t>9</w:t>
        </w:r>
        <w:r w:rsidR="001467A2">
          <w:rPr>
            <w:noProof/>
            <w:webHidden/>
          </w:rPr>
          <w:fldChar w:fldCharType="end"/>
        </w:r>
      </w:hyperlink>
    </w:p>
    <w:p w14:paraId="0E3F98BA" w14:textId="621F7661" w:rsidR="001467A2" w:rsidRDefault="00607571">
      <w:pPr>
        <w:pStyle w:val="TOC2"/>
        <w:tabs>
          <w:tab w:val="left" w:pos="992"/>
        </w:tabs>
        <w:rPr>
          <w:rFonts w:asciiTheme="minorHAnsi" w:eastAsiaTheme="minorEastAsia" w:hAnsiTheme="minorHAnsi" w:cstheme="minorBidi"/>
          <w:noProof/>
          <w:sz w:val="22"/>
          <w:szCs w:val="22"/>
          <w:lang w:val="en-AU" w:eastAsia="en-AU"/>
        </w:rPr>
      </w:pPr>
      <w:hyperlink w:anchor="_Toc106611873" w:history="1">
        <w:r w:rsidR="001467A2" w:rsidRPr="009112E1">
          <w:rPr>
            <w:rStyle w:val="Hyperlink"/>
            <w:noProof/>
          </w:rPr>
          <w:t>4.</w:t>
        </w:r>
        <w:r w:rsidR="001467A2">
          <w:rPr>
            <w:rFonts w:asciiTheme="minorHAnsi" w:eastAsiaTheme="minorEastAsia" w:hAnsiTheme="minorHAnsi" w:cstheme="minorBidi"/>
            <w:noProof/>
            <w:sz w:val="22"/>
            <w:szCs w:val="22"/>
            <w:lang w:val="en-AU" w:eastAsia="en-AU"/>
          </w:rPr>
          <w:tab/>
        </w:r>
        <w:r w:rsidR="001467A2" w:rsidRPr="009112E1">
          <w:rPr>
            <w:rStyle w:val="Hyperlink"/>
            <w:noProof/>
          </w:rPr>
          <w:t>Te Apārangi: Māori Partnership Alliance</w:t>
        </w:r>
        <w:r w:rsidR="001467A2">
          <w:rPr>
            <w:noProof/>
            <w:webHidden/>
          </w:rPr>
          <w:tab/>
        </w:r>
        <w:r w:rsidR="001467A2">
          <w:rPr>
            <w:noProof/>
            <w:webHidden/>
          </w:rPr>
          <w:fldChar w:fldCharType="begin"/>
        </w:r>
        <w:r w:rsidR="001467A2">
          <w:rPr>
            <w:noProof/>
            <w:webHidden/>
          </w:rPr>
          <w:instrText xml:space="preserve"> PAGEREF _Toc106611873 \h </w:instrText>
        </w:r>
        <w:r w:rsidR="001467A2">
          <w:rPr>
            <w:noProof/>
            <w:webHidden/>
          </w:rPr>
        </w:r>
        <w:r w:rsidR="001467A2">
          <w:rPr>
            <w:noProof/>
            <w:webHidden/>
          </w:rPr>
          <w:fldChar w:fldCharType="separate"/>
        </w:r>
        <w:r w:rsidR="001467A2">
          <w:rPr>
            <w:noProof/>
            <w:webHidden/>
          </w:rPr>
          <w:t>10</w:t>
        </w:r>
        <w:r w:rsidR="001467A2">
          <w:rPr>
            <w:noProof/>
            <w:webHidden/>
          </w:rPr>
          <w:fldChar w:fldCharType="end"/>
        </w:r>
      </w:hyperlink>
    </w:p>
    <w:p w14:paraId="38D2C713" w14:textId="0D9E1444" w:rsidR="001467A2" w:rsidRDefault="00607571">
      <w:pPr>
        <w:pStyle w:val="TOC2"/>
        <w:tabs>
          <w:tab w:val="left" w:pos="992"/>
        </w:tabs>
        <w:rPr>
          <w:rFonts w:asciiTheme="minorHAnsi" w:eastAsiaTheme="minorEastAsia" w:hAnsiTheme="minorHAnsi" w:cstheme="minorBidi"/>
          <w:noProof/>
          <w:sz w:val="22"/>
          <w:szCs w:val="22"/>
          <w:lang w:val="en-AU" w:eastAsia="en-AU"/>
        </w:rPr>
      </w:pPr>
      <w:hyperlink w:anchor="_Toc106611874" w:history="1">
        <w:r w:rsidR="001467A2" w:rsidRPr="009112E1">
          <w:rPr>
            <w:rStyle w:val="Hyperlink"/>
            <w:noProof/>
          </w:rPr>
          <w:t>5.</w:t>
        </w:r>
        <w:r w:rsidR="001467A2">
          <w:rPr>
            <w:rFonts w:asciiTheme="minorHAnsi" w:eastAsiaTheme="minorEastAsia" w:hAnsiTheme="minorHAnsi" w:cstheme="minorBidi"/>
            <w:noProof/>
            <w:sz w:val="22"/>
            <w:szCs w:val="22"/>
            <w:lang w:val="en-AU" w:eastAsia="en-AU"/>
          </w:rPr>
          <w:tab/>
        </w:r>
        <w:r w:rsidR="001467A2" w:rsidRPr="009112E1">
          <w:rPr>
            <w:rStyle w:val="Hyperlink"/>
            <w:noProof/>
          </w:rPr>
          <w:t>Contracted pharmacies</w:t>
        </w:r>
        <w:r w:rsidR="001467A2">
          <w:rPr>
            <w:noProof/>
            <w:webHidden/>
          </w:rPr>
          <w:tab/>
        </w:r>
        <w:r w:rsidR="001467A2">
          <w:rPr>
            <w:noProof/>
            <w:webHidden/>
          </w:rPr>
          <w:fldChar w:fldCharType="begin"/>
        </w:r>
        <w:r w:rsidR="001467A2">
          <w:rPr>
            <w:noProof/>
            <w:webHidden/>
          </w:rPr>
          <w:instrText xml:space="preserve"> PAGEREF _Toc106611874 \h </w:instrText>
        </w:r>
        <w:r w:rsidR="001467A2">
          <w:rPr>
            <w:noProof/>
            <w:webHidden/>
          </w:rPr>
        </w:r>
        <w:r w:rsidR="001467A2">
          <w:rPr>
            <w:noProof/>
            <w:webHidden/>
          </w:rPr>
          <w:fldChar w:fldCharType="separate"/>
        </w:r>
        <w:r w:rsidR="001467A2">
          <w:rPr>
            <w:noProof/>
            <w:webHidden/>
          </w:rPr>
          <w:t>10</w:t>
        </w:r>
        <w:r w:rsidR="001467A2">
          <w:rPr>
            <w:noProof/>
            <w:webHidden/>
          </w:rPr>
          <w:fldChar w:fldCharType="end"/>
        </w:r>
      </w:hyperlink>
    </w:p>
    <w:p w14:paraId="092C03E4" w14:textId="219DEC84" w:rsidR="001467A2" w:rsidRDefault="00607571">
      <w:pPr>
        <w:pStyle w:val="TOC1"/>
        <w:rPr>
          <w:rFonts w:asciiTheme="minorHAnsi" w:eastAsiaTheme="minorEastAsia" w:hAnsiTheme="minorHAnsi" w:cstheme="minorBidi"/>
          <w:noProof/>
          <w:sz w:val="22"/>
          <w:szCs w:val="22"/>
          <w:lang w:val="en-AU" w:eastAsia="en-AU"/>
        </w:rPr>
      </w:pPr>
      <w:hyperlink w:anchor="_Toc106611875" w:history="1">
        <w:r w:rsidR="001467A2" w:rsidRPr="009112E1">
          <w:rPr>
            <w:rStyle w:val="Hyperlink"/>
            <w:rFonts w:cs="Segoe UI"/>
            <w:noProof/>
          </w:rPr>
          <w:t>Assisted Dying Service Activity</w:t>
        </w:r>
        <w:r w:rsidR="001467A2">
          <w:rPr>
            <w:noProof/>
            <w:webHidden/>
          </w:rPr>
          <w:tab/>
        </w:r>
        <w:r w:rsidR="001467A2">
          <w:rPr>
            <w:noProof/>
            <w:webHidden/>
          </w:rPr>
          <w:fldChar w:fldCharType="begin"/>
        </w:r>
        <w:r w:rsidR="001467A2">
          <w:rPr>
            <w:noProof/>
            <w:webHidden/>
          </w:rPr>
          <w:instrText xml:space="preserve"> PAGEREF _Toc106611875 \h </w:instrText>
        </w:r>
        <w:r w:rsidR="001467A2">
          <w:rPr>
            <w:noProof/>
            <w:webHidden/>
          </w:rPr>
        </w:r>
        <w:r w:rsidR="001467A2">
          <w:rPr>
            <w:noProof/>
            <w:webHidden/>
          </w:rPr>
          <w:fldChar w:fldCharType="separate"/>
        </w:r>
        <w:r w:rsidR="001467A2">
          <w:rPr>
            <w:noProof/>
            <w:webHidden/>
          </w:rPr>
          <w:t>11</w:t>
        </w:r>
        <w:r w:rsidR="001467A2">
          <w:rPr>
            <w:noProof/>
            <w:webHidden/>
          </w:rPr>
          <w:fldChar w:fldCharType="end"/>
        </w:r>
      </w:hyperlink>
    </w:p>
    <w:p w14:paraId="789DE916" w14:textId="5F091F05" w:rsidR="001467A2" w:rsidRDefault="00607571">
      <w:pPr>
        <w:pStyle w:val="TOC2"/>
        <w:tabs>
          <w:tab w:val="left" w:pos="992"/>
        </w:tabs>
        <w:rPr>
          <w:rFonts w:asciiTheme="minorHAnsi" w:eastAsiaTheme="minorEastAsia" w:hAnsiTheme="minorHAnsi" w:cstheme="minorBidi"/>
          <w:noProof/>
          <w:sz w:val="22"/>
          <w:szCs w:val="22"/>
          <w:lang w:val="en-AU" w:eastAsia="en-AU"/>
        </w:rPr>
      </w:pPr>
      <w:hyperlink w:anchor="_Toc106611876" w:history="1">
        <w:r w:rsidR="001467A2" w:rsidRPr="009112E1">
          <w:rPr>
            <w:rStyle w:val="Hyperlink"/>
            <w:noProof/>
          </w:rPr>
          <w:t>1.</w:t>
        </w:r>
        <w:r w:rsidR="001467A2">
          <w:rPr>
            <w:rFonts w:asciiTheme="minorHAnsi" w:eastAsiaTheme="minorEastAsia" w:hAnsiTheme="minorHAnsi" w:cstheme="minorBidi"/>
            <w:noProof/>
            <w:sz w:val="22"/>
            <w:szCs w:val="22"/>
            <w:lang w:val="en-AU" w:eastAsia="en-AU"/>
          </w:rPr>
          <w:tab/>
        </w:r>
        <w:r w:rsidR="001467A2" w:rsidRPr="009112E1">
          <w:rPr>
            <w:rStyle w:val="Hyperlink"/>
            <w:noProof/>
          </w:rPr>
          <w:t>Overview of assisted dying applications</w:t>
        </w:r>
        <w:r w:rsidR="001467A2">
          <w:rPr>
            <w:noProof/>
            <w:webHidden/>
          </w:rPr>
          <w:tab/>
        </w:r>
        <w:r w:rsidR="001467A2">
          <w:rPr>
            <w:noProof/>
            <w:webHidden/>
          </w:rPr>
          <w:fldChar w:fldCharType="begin"/>
        </w:r>
        <w:r w:rsidR="001467A2">
          <w:rPr>
            <w:noProof/>
            <w:webHidden/>
          </w:rPr>
          <w:instrText xml:space="preserve"> PAGEREF _Toc106611876 \h </w:instrText>
        </w:r>
        <w:r w:rsidR="001467A2">
          <w:rPr>
            <w:noProof/>
            <w:webHidden/>
          </w:rPr>
        </w:r>
        <w:r w:rsidR="001467A2">
          <w:rPr>
            <w:noProof/>
            <w:webHidden/>
          </w:rPr>
          <w:fldChar w:fldCharType="separate"/>
        </w:r>
        <w:r w:rsidR="001467A2">
          <w:rPr>
            <w:noProof/>
            <w:webHidden/>
          </w:rPr>
          <w:t>11</w:t>
        </w:r>
        <w:r w:rsidR="001467A2">
          <w:rPr>
            <w:noProof/>
            <w:webHidden/>
          </w:rPr>
          <w:fldChar w:fldCharType="end"/>
        </w:r>
      </w:hyperlink>
    </w:p>
    <w:p w14:paraId="5D03F816" w14:textId="0840E52F" w:rsidR="001467A2" w:rsidRDefault="00607571">
      <w:pPr>
        <w:pStyle w:val="TOC2"/>
        <w:tabs>
          <w:tab w:val="left" w:pos="992"/>
        </w:tabs>
        <w:rPr>
          <w:rFonts w:asciiTheme="minorHAnsi" w:eastAsiaTheme="minorEastAsia" w:hAnsiTheme="minorHAnsi" w:cstheme="minorBidi"/>
          <w:noProof/>
          <w:sz w:val="22"/>
          <w:szCs w:val="22"/>
          <w:lang w:val="en-AU" w:eastAsia="en-AU"/>
        </w:rPr>
      </w:pPr>
      <w:hyperlink w:anchor="_Toc106611877" w:history="1">
        <w:r w:rsidR="001467A2" w:rsidRPr="009112E1">
          <w:rPr>
            <w:rStyle w:val="Hyperlink"/>
            <w:noProof/>
          </w:rPr>
          <w:t>2.</w:t>
        </w:r>
        <w:r w:rsidR="001467A2">
          <w:rPr>
            <w:rFonts w:asciiTheme="minorHAnsi" w:eastAsiaTheme="minorEastAsia" w:hAnsiTheme="minorHAnsi" w:cstheme="minorBidi"/>
            <w:noProof/>
            <w:sz w:val="22"/>
            <w:szCs w:val="22"/>
            <w:lang w:val="en-AU" w:eastAsia="en-AU"/>
          </w:rPr>
          <w:tab/>
        </w:r>
        <w:r w:rsidR="001467A2" w:rsidRPr="009112E1">
          <w:rPr>
            <w:rStyle w:val="Hyperlink"/>
            <w:noProof/>
          </w:rPr>
          <w:t>Demographics of applicants</w:t>
        </w:r>
        <w:r w:rsidR="001467A2">
          <w:rPr>
            <w:noProof/>
            <w:webHidden/>
          </w:rPr>
          <w:tab/>
        </w:r>
        <w:r w:rsidR="001467A2">
          <w:rPr>
            <w:noProof/>
            <w:webHidden/>
          </w:rPr>
          <w:fldChar w:fldCharType="begin"/>
        </w:r>
        <w:r w:rsidR="001467A2">
          <w:rPr>
            <w:noProof/>
            <w:webHidden/>
          </w:rPr>
          <w:instrText xml:space="preserve"> PAGEREF _Toc106611877 \h </w:instrText>
        </w:r>
        <w:r w:rsidR="001467A2">
          <w:rPr>
            <w:noProof/>
            <w:webHidden/>
          </w:rPr>
        </w:r>
        <w:r w:rsidR="001467A2">
          <w:rPr>
            <w:noProof/>
            <w:webHidden/>
          </w:rPr>
          <w:fldChar w:fldCharType="separate"/>
        </w:r>
        <w:r w:rsidR="001467A2">
          <w:rPr>
            <w:noProof/>
            <w:webHidden/>
          </w:rPr>
          <w:t>12</w:t>
        </w:r>
        <w:r w:rsidR="001467A2">
          <w:rPr>
            <w:noProof/>
            <w:webHidden/>
          </w:rPr>
          <w:fldChar w:fldCharType="end"/>
        </w:r>
      </w:hyperlink>
    </w:p>
    <w:p w14:paraId="7C515102" w14:textId="140436DA" w:rsidR="001467A2" w:rsidRDefault="00607571">
      <w:pPr>
        <w:pStyle w:val="TOC2"/>
        <w:tabs>
          <w:tab w:val="left" w:pos="992"/>
        </w:tabs>
        <w:rPr>
          <w:rFonts w:asciiTheme="minorHAnsi" w:eastAsiaTheme="minorEastAsia" w:hAnsiTheme="minorHAnsi" w:cstheme="minorBidi"/>
          <w:noProof/>
          <w:sz w:val="22"/>
          <w:szCs w:val="22"/>
          <w:lang w:val="en-AU" w:eastAsia="en-AU"/>
        </w:rPr>
      </w:pPr>
      <w:hyperlink w:anchor="_Toc106611878" w:history="1">
        <w:r w:rsidR="001467A2" w:rsidRPr="009112E1">
          <w:rPr>
            <w:rStyle w:val="Hyperlink"/>
            <w:noProof/>
          </w:rPr>
          <w:t>3.</w:t>
        </w:r>
        <w:r w:rsidR="001467A2">
          <w:rPr>
            <w:rFonts w:asciiTheme="minorHAnsi" w:eastAsiaTheme="minorEastAsia" w:hAnsiTheme="minorHAnsi" w:cstheme="minorBidi"/>
            <w:noProof/>
            <w:sz w:val="22"/>
            <w:szCs w:val="22"/>
            <w:lang w:val="en-AU" w:eastAsia="en-AU"/>
          </w:rPr>
          <w:tab/>
        </w:r>
        <w:r w:rsidR="001467A2" w:rsidRPr="009112E1">
          <w:rPr>
            <w:rStyle w:val="Hyperlink"/>
            <w:noProof/>
          </w:rPr>
          <w:t>Assisted deaths</w:t>
        </w:r>
        <w:r w:rsidR="001467A2">
          <w:rPr>
            <w:noProof/>
            <w:webHidden/>
          </w:rPr>
          <w:tab/>
        </w:r>
        <w:r w:rsidR="001467A2">
          <w:rPr>
            <w:noProof/>
            <w:webHidden/>
          </w:rPr>
          <w:fldChar w:fldCharType="begin"/>
        </w:r>
        <w:r w:rsidR="001467A2">
          <w:rPr>
            <w:noProof/>
            <w:webHidden/>
          </w:rPr>
          <w:instrText xml:space="preserve"> PAGEREF _Toc106611878 \h </w:instrText>
        </w:r>
        <w:r w:rsidR="001467A2">
          <w:rPr>
            <w:noProof/>
            <w:webHidden/>
          </w:rPr>
        </w:r>
        <w:r w:rsidR="001467A2">
          <w:rPr>
            <w:noProof/>
            <w:webHidden/>
          </w:rPr>
          <w:fldChar w:fldCharType="separate"/>
        </w:r>
        <w:r w:rsidR="001467A2">
          <w:rPr>
            <w:noProof/>
            <w:webHidden/>
          </w:rPr>
          <w:t>13</w:t>
        </w:r>
        <w:r w:rsidR="001467A2">
          <w:rPr>
            <w:noProof/>
            <w:webHidden/>
          </w:rPr>
          <w:fldChar w:fldCharType="end"/>
        </w:r>
      </w:hyperlink>
    </w:p>
    <w:p w14:paraId="569DC4F1" w14:textId="046A7440" w:rsidR="001467A2" w:rsidRDefault="00607571">
      <w:pPr>
        <w:pStyle w:val="TOC2"/>
        <w:tabs>
          <w:tab w:val="left" w:pos="992"/>
        </w:tabs>
        <w:rPr>
          <w:rFonts w:asciiTheme="minorHAnsi" w:eastAsiaTheme="minorEastAsia" w:hAnsiTheme="minorHAnsi" w:cstheme="minorBidi"/>
          <w:noProof/>
          <w:sz w:val="22"/>
          <w:szCs w:val="22"/>
          <w:lang w:val="en-AU" w:eastAsia="en-AU"/>
        </w:rPr>
      </w:pPr>
      <w:hyperlink w:anchor="_Toc106611879" w:history="1">
        <w:r w:rsidR="001467A2" w:rsidRPr="009112E1">
          <w:rPr>
            <w:rStyle w:val="Hyperlink"/>
            <w:noProof/>
          </w:rPr>
          <w:t>4.</w:t>
        </w:r>
        <w:r w:rsidR="001467A2">
          <w:rPr>
            <w:rFonts w:asciiTheme="minorHAnsi" w:eastAsiaTheme="minorEastAsia" w:hAnsiTheme="minorHAnsi" w:cstheme="minorBidi"/>
            <w:noProof/>
            <w:sz w:val="22"/>
            <w:szCs w:val="22"/>
            <w:lang w:val="en-AU" w:eastAsia="en-AU"/>
          </w:rPr>
          <w:tab/>
        </w:r>
        <w:r w:rsidR="001467A2" w:rsidRPr="009112E1">
          <w:rPr>
            <w:rStyle w:val="Hyperlink"/>
            <w:noProof/>
          </w:rPr>
          <w:t>Future reporting and research</w:t>
        </w:r>
        <w:r w:rsidR="001467A2">
          <w:rPr>
            <w:noProof/>
            <w:webHidden/>
          </w:rPr>
          <w:tab/>
        </w:r>
        <w:r w:rsidR="001467A2">
          <w:rPr>
            <w:noProof/>
            <w:webHidden/>
          </w:rPr>
          <w:fldChar w:fldCharType="begin"/>
        </w:r>
        <w:r w:rsidR="001467A2">
          <w:rPr>
            <w:noProof/>
            <w:webHidden/>
          </w:rPr>
          <w:instrText xml:space="preserve"> PAGEREF _Toc106611879 \h </w:instrText>
        </w:r>
        <w:r w:rsidR="001467A2">
          <w:rPr>
            <w:noProof/>
            <w:webHidden/>
          </w:rPr>
        </w:r>
        <w:r w:rsidR="001467A2">
          <w:rPr>
            <w:noProof/>
            <w:webHidden/>
          </w:rPr>
          <w:fldChar w:fldCharType="separate"/>
        </w:r>
        <w:r w:rsidR="001467A2">
          <w:rPr>
            <w:noProof/>
            <w:webHidden/>
          </w:rPr>
          <w:t>16</w:t>
        </w:r>
        <w:r w:rsidR="001467A2">
          <w:rPr>
            <w:noProof/>
            <w:webHidden/>
          </w:rPr>
          <w:fldChar w:fldCharType="end"/>
        </w:r>
      </w:hyperlink>
    </w:p>
    <w:p w14:paraId="7D993E45" w14:textId="4F32F2A5" w:rsidR="001467A2" w:rsidRDefault="00607571">
      <w:pPr>
        <w:pStyle w:val="TOC1"/>
        <w:rPr>
          <w:rFonts w:asciiTheme="minorHAnsi" w:eastAsiaTheme="minorEastAsia" w:hAnsiTheme="minorHAnsi" w:cstheme="minorBidi"/>
          <w:noProof/>
          <w:sz w:val="22"/>
          <w:szCs w:val="22"/>
          <w:lang w:val="en-AU" w:eastAsia="en-AU"/>
        </w:rPr>
      </w:pPr>
      <w:hyperlink w:anchor="_Toc106611880" w:history="1">
        <w:r w:rsidR="001467A2" w:rsidRPr="009112E1">
          <w:rPr>
            <w:rStyle w:val="Hyperlink"/>
            <w:rFonts w:cs="Segoe UI"/>
            <w:noProof/>
          </w:rPr>
          <w:t>Assisted dying workforce</w:t>
        </w:r>
        <w:r w:rsidR="001467A2">
          <w:rPr>
            <w:noProof/>
            <w:webHidden/>
          </w:rPr>
          <w:tab/>
        </w:r>
        <w:r w:rsidR="001467A2">
          <w:rPr>
            <w:noProof/>
            <w:webHidden/>
          </w:rPr>
          <w:fldChar w:fldCharType="begin"/>
        </w:r>
        <w:r w:rsidR="001467A2">
          <w:rPr>
            <w:noProof/>
            <w:webHidden/>
          </w:rPr>
          <w:instrText xml:space="preserve"> PAGEREF _Toc106611880 \h </w:instrText>
        </w:r>
        <w:r w:rsidR="001467A2">
          <w:rPr>
            <w:noProof/>
            <w:webHidden/>
          </w:rPr>
        </w:r>
        <w:r w:rsidR="001467A2">
          <w:rPr>
            <w:noProof/>
            <w:webHidden/>
          </w:rPr>
          <w:fldChar w:fldCharType="separate"/>
        </w:r>
        <w:r w:rsidR="001467A2">
          <w:rPr>
            <w:noProof/>
            <w:webHidden/>
          </w:rPr>
          <w:t>17</w:t>
        </w:r>
        <w:r w:rsidR="001467A2">
          <w:rPr>
            <w:noProof/>
            <w:webHidden/>
          </w:rPr>
          <w:fldChar w:fldCharType="end"/>
        </w:r>
      </w:hyperlink>
    </w:p>
    <w:p w14:paraId="7AF6CC68" w14:textId="65F510FC" w:rsidR="001467A2" w:rsidRDefault="00607571">
      <w:pPr>
        <w:pStyle w:val="TOC2"/>
        <w:tabs>
          <w:tab w:val="left" w:pos="992"/>
        </w:tabs>
        <w:rPr>
          <w:rFonts w:asciiTheme="minorHAnsi" w:eastAsiaTheme="minorEastAsia" w:hAnsiTheme="minorHAnsi" w:cstheme="minorBidi"/>
          <w:noProof/>
          <w:sz w:val="22"/>
          <w:szCs w:val="22"/>
          <w:lang w:val="en-AU" w:eastAsia="en-AU"/>
        </w:rPr>
      </w:pPr>
      <w:hyperlink w:anchor="_Toc106611881" w:history="1">
        <w:r w:rsidR="001467A2" w:rsidRPr="009112E1">
          <w:rPr>
            <w:rStyle w:val="Hyperlink"/>
            <w:noProof/>
          </w:rPr>
          <w:t>1.</w:t>
        </w:r>
        <w:r w:rsidR="001467A2">
          <w:rPr>
            <w:rFonts w:asciiTheme="minorHAnsi" w:eastAsiaTheme="minorEastAsia" w:hAnsiTheme="minorHAnsi" w:cstheme="minorBidi"/>
            <w:noProof/>
            <w:sz w:val="22"/>
            <w:szCs w:val="22"/>
            <w:lang w:val="en-AU" w:eastAsia="en-AU"/>
          </w:rPr>
          <w:tab/>
        </w:r>
        <w:r w:rsidR="001467A2" w:rsidRPr="009112E1">
          <w:rPr>
            <w:rStyle w:val="Hyperlink"/>
            <w:noProof/>
          </w:rPr>
          <w:t>SCENZ Group practitioner lists</w:t>
        </w:r>
        <w:r w:rsidR="001467A2">
          <w:rPr>
            <w:noProof/>
            <w:webHidden/>
          </w:rPr>
          <w:tab/>
        </w:r>
        <w:r w:rsidR="001467A2">
          <w:rPr>
            <w:noProof/>
            <w:webHidden/>
          </w:rPr>
          <w:fldChar w:fldCharType="begin"/>
        </w:r>
        <w:r w:rsidR="001467A2">
          <w:rPr>
            <w:noProof/>
            <w:webHidden/>
          </w:rPr>
          <w:instrText xml:space="preserve"> PAGEREF _Toc106611881 \h </w:instrText>
        </w:r>
        <w:r w:rsidR="001467A2">
          <w:rPr>
            <w:noProof/>
            <w:webHidden/>
          </w:rPr>
        </w:r>
        <w:r w:rsidR="001467A2">
          <w:rPr>
            <w:noProof/>
            <w:webHidden/>
          </w:rPr>
          <w:fldChar w:fldCharType="separate"/>
        </w:r>
        <w:r w:rsidR="001467A2">
          <w:rPr>
            <w:noProof/>
            <w:webHidden/>
          </w:rPr>
          <w:t>17</w:t>
        </w:r>
        <w:r w:rsidR="001467A2">
          <w:rPr>
            <w:noProof/>
            <w:webHidden/>
          </w:rPr>
          <w:fldChar w:fldCharType="end"/>
        </w:r>
      </w:hyperlink>
    </w:p>
    <w:p w14:paraId="690CAEFC" w14:textId="2CCE61E4" w:rsidR="001467A2" w:rsidRDefault="00607571">
      <w:pPr>
        <w:pStyle w:val="TOC2"/>
        <w:tabs>
          <w:tab w:val="left" w:pos="992"/>
        </w:tabs>
        <w:rPr>
          <w:rFonts w:asciiTheme="minorHAnsi" w:eastAsiaTheme="minorEastAsia" w:hAnsiTheme="minorHAnsi" w:cstheme="minorBidi"/>
          <w:noProof/>
          <w:sz w:val="22"/>
          <w:szCs w:val="22"/>
          <w:lang w:val="en-AU" w:eastAsia="en-AU"/>
        </w:rPr>
      </w:pPr>
      <w:hyperlink w:anchor="_Toc106611882" w:history="1">
        <w:r w:rsidR="001467A2" w:rsidRPr="009112E1">
          <w:rPr>
            <w:rStyle w:val="Hyperlink"/>
            <w:noProof/>
          </w:rPr>
          <w:t>2.</w:t>
        </w:r>
        <w:r w:rsidR="001467A2">
          <w:rPr>
            <w:rFonts w:asciiTheme="minorHAnsi" w:eastAsiaTheme="minorEastAsia" w:hAnsiTheme="minorHAnsi" w:cstheme="minorBidi"/>
            <w:noProof/>
            <w:sz w:val="22"/>
            <w:szCs w:val="22"/>
            <w:lang w:val="en-AU" w:eastAsia="en-AU"/>
          </w:rPr>
          <w:tab/>
        </w:r>
        <w:r w:rsidR="001467A2" w:rsidRPr="009112E1">
          <w:rPr>
            <w:rStyle w:val="Hyperlink"/>
            <w:noProof/>
          </w:rPr>
          <w:t>Workforce capacity</w:t>
        </w:r>
        <w:r w:rsidR="001467A2">
          <w:rPr>
            <w:noProof/>
            <w:webHidden/>
          </w:rPr>
          <w:tab/>
        </w:r>
        <w:r w:rsidR="001467A2">
          <w:rPr>
            <w:noProof/>
            <w:webHidden/>
          </w:rPr>
          <w:fldChar w:fldCharType="begin"/>
        </w:r>
        <w:r w:rsidR="001467A2">
          <w:rPr>
            <w:noProof/>
            <w:webHidden/>
          </w:rPr>
          <w:instrText xml:space="preserve"> PAGEREF _Toc106611882 \h </w:instrText>
        </w:r>
        <w:r w:rsidR="001467A2">
          <w:rPr>
            <w:noProof/>
            <w:webHidden/>
          </w:rPr>
        </w:r>
        <w:r w:rsidR="001467A2">
          <w:rPr>
            <w:noProof/>
            <w:webHidden/>
          </w:rPr>
          <w:fldChar w:fldCharType="separate"/>
        </w:r>
        <w:r w:rsidR="001467A2">
          <w:rPr>
            <w:noProof/>
            <w:webHidden/>
          </w:rPr>
          <w:t>20</w:t>
        </w:r>
        <w:r w:rsidR="001467A2">
          <w:rPr>
            <w:noProof/>
            <w:webHidden/>
          </w:rPr>
          <w:fldChar w:fldCharType="end"/>
        </w:r>
      </w:hyperlink>
    </w:p>
    <w:p w14:paraId="26A1E778" w14:textId="0C3ACF15" w:rsidR="001467A2" w:rsidRDefault="00607571">
      <w:pPr>
        <w:pStyle w:val="TOC2"/>
        <w:tabs>
          <w:tab w:val="left" w:pos="992"/>
        </w:tabs>
        <w:rPr>
          <w:rFonts w:asciiTheme="minorHAnsi" w:eastAsiaTheme="minorEastAsia" w:hAnsiTheme="minorHAnsi" w:cstheme="minorBidi"/>
          <w:noProof/>
          <w:sz w:val="22"/>
          <w:szCs w:val="22"/>
          <w:lang w:val="en-AU" w:eastAsia="en-AU"/>
        </w:rPr>
      </w:pPr>
      <w:hyperlink w:anchor="_Toc106611883" w:history="1">
        <w:r w:rsidR="001467A2" w:rsidRPr="009112E1">
          <w:rPr>
            <w:rStyle w:val="Hyperlink"/>
            <w:noProof/>
          </w:rPr>
          <w:t>3.</w:t>
        </w:r>
        <w:r w:rsidR="001467A2">
          <w:rPr>
            <w:rFonts w:asciiTheme="minorHAnsi" w:eastAsiaTheme="minorEastAsia" w:hAnsiTheme="minorHAnsi" w:cstheme="minorBidi"/>
            <w:noProof/>
            <w:sz w:val="22"/>
            <w:szCs w:val="22"/>
            <w:lang w:val="en-AU" w:eastAsia="en-AU"/>
          </w:rPr>
          <w:tab/>
        </w:r>
        <w:r w:rsidR="001467A2" w:rsidRPr="009112E1">
          <w:rPr>
            <w:rStyle w:val="Hyperlink"/>
            <w:noProof/>
          </w:rPr>
          <w:t>Workforce training</w:t>
        </w:r>
        <w:r w:rsidR="001467A2">
          <w:rPr>
            <w:noProof/>
            <w:webHidden/>
          </w:rPr>
          <w:tab/>
        </w:r>
        <w:r w:rsidR="001467A2">
          <w:rPr>
            <w:noProof/>
            <w:webHidden/>
          </w:rPr>
          <w:fldChar w:fldCharType="begin"/>
        </w:r>
        <w:r w:rsidR="001467A2">
          <w:rPr>
            <w:noProof/>
            <w:webHidden/>
          </w:rPr>
          <w:instrText xml:space="preserve"> PAGEREF _Toc106611883 \h </w:instrText>
        </w:r>
        <w:r w:rsidR="001467A2">
          <w:rPr>
            <w:noProof/>
            <w:webHidden/>
          </w:rPr>
        </w:r>
        <w:r w:rsidR="001467A2">
          <w:rPr>
            <w:noProof/>
            <w:webHidden/>
          </w:rPr>
          <w:fldChar w:fldCharType="separate"/>
        </w:r>
        <w:r w:rsidR="001467A2">
          <w:rPr>
            <w:noProof/>
            <w:webHidden/>
          </w:rPr>
          <w:t>20</w:t>
        </w:r>
        <w:r w:rsidR="001467A2">
          <w:rPr>
            <w:noProof/>
            <w:webHidden/>
          </w:rPr>
          <w:fldChar w:fldCharType="end"/>
        </w:r>
      </w:hyperlink>
    </w:p>
    <w:p w14:paraId="2C39ABFB" w14:textId="353B8821" w:rsidR="001467A2" w:rsidRDefault="00607571">
      <w:pPr>
        <w:pStyle w:val="TOC2"/>
        <w:tabs>
          <w:tab w:val="left" w:pos="992"/>
        </w:tabs>
        <w:rPr>
          <w:rFonts w:asciiTheme="minorHAnsi" w:eastAsiaTheme="minorEastAsia" w:hAnsiTheme="minorHAnsi" w:cstheme="minorBidi"/>
          <w:noProof/>
          <w:sz w:val="22"/>
          <w:szCs w:val="22"/>
          <w:lang w:val="en-AU" w:eastAsia="en-AU"/>
        </w:rPr>
      </w:pPr>
      <w:hyperlink w:anchor="_Toc106611884" w:history="1">
        <w:r w:rsidR="001467A2" w:rsidRPr="009112E1">
          <w:rPr>
            <w:rStyle w:val="Hyperlink"/>
            <w:noProof/>
          </w:rPr>
          <w:t>4.</w:t>
        </w:r>
        <w:r w:rsidR="001467A2">
          <w:rPr>
            <w:rFonts w:asciiTheme="minorHAnsi" w:eastAsiaTheme="minorEastAsia" w:hAnsiTheme="minorHAnsi" w:cstheme="minorBidi"/>
            <w:noProof/>
            <w:sz w:val="22"/>
            <w:szCs w:val="22"/>
            <w:lang w:val="en-AU" w:eastAsia="en-AU"/>
          </w:rPr>
          <w:tab/>
        </w:r>
        <w:r w:rsidR="001467A2" w:rsidRPr="009112E1">
          <w:rPr>
            <w:rStyle w:val="Hyperlink"/>
            <w:noProof/>
          </w:rPr>
          <w:t>Supporting practitioners</w:t>
        </w:r>
        <w:r w:rsidR="001467A2">
          <w:rPr>
            <w:noProof/>
            <w:webHidden/>
          </w:rPr>
          <w:tab/>
        </w:r>
        <w:r w:rsidR="001467A2">
          <w:rPr>
            <w:noProof/>
            <w:webHidden/>
          </w:rPr>
          <w:fldChar w:fldCharType="begin"/>
        </w:r>
        <w:r w:rsidR="001467A2">
          <w:rPr>
            <w:noProof/>
            <w:webHidden/>
          </w:rPr>
          <w:instrText xml:space="preserve"> PAGEREF _Toc106611884 \h </w:instrText>
        </w:r>
        <w:r w:rsidR="001467A2">
          <w:rPr>
            <w:noProof/>
            <w:webHidden/>
          </w:rPr>
        </w:r>
        <w:r w:rsidR="001467A2">
          <w:rPr>
            <w:noProof/>
            <w:webHidden/>
          </w:rPr>
          <w:fldChar w:fldCharType="separate"/>
        </w:r>
        <w:r w:rsidR="001467A2">
          <w:rPr>
            <w:noProof/>
            <w:webHidden/>
          </w:rPr>
          <w:t>22</w:t>
        </w:r>
        <w:r w:rsidR="001467A2">
          <w:rPr>
            <w:noProof/>
            <w:webHidden/>
          </w:rPr>
          <w:fldChar w:fldCharType="end"/>
        </w:r>
      </w:hyperlink>
    </w:p>
    <w:p w14:paraId="3B87774D" w14:textId="72638455" w:rsidR="001467A2" w:rsidRDefault="00607571">
      <w:pPr>
        <w:pStyle w:val="TOC1"/>
        <w:rPr>
          <w:rFonts w:asciiTheme="minorHAnsi" w:eastAsiaTheme="minorEastAsia" w:hAnsiTheme="minorHAnsi" w:cstheme="minorBidi"/>
          <w:noProof/>
          <w:sz w:val="22"/>
          <w:szCs w:val="22"/>
          <w:lang w:val="en-AU" w:eastAsia="en-AU"/>
        </w:rPr>
      </w:pPr>
      <w:hyperlink w:anchor="_Toc106611885" w:history="1">
        <w:r w:rsidR="001467A2" w:rsidRPr="009112E1">
          <w:rPr>
            <w:rStyle w:val="Hyperlink"/>
            <w:rFonts w:cs="Segoe UI"/>
            <w:noProof/>
          </w:rPr>
          <w:t>Feedback, queries, and complaints</w:t>
        </w:r>
        <w:r w:rsidR="001467A2">
          <w:rPr>
            <w:noProof/>
            <w:webHidden/>
          </w:rPr>
          <w:tab/>
        </w:r>
        <w:r w:rsidR="001467A2">
          <w:rPr>
            <w:noProof/>
            <w:webHidden/>
          </w:rPr>
          <w:fldChar w:fldCharType="begin"/>
        </w:r>
        <w:r w:rsidR="001467A2">
          <w:rPr>
            <w:noProof/>
            <w:webHidden/>
          </w:rPr>
          <w:instrText xml:space="preserve"> PAGEREF _Toc106611885 \h </w:instrText>
        </w:r>
        <w:r w:rsidR="001467A2">
          <w:rPr>
            <w:noProof/>
            <w:webHidden/>
          </w:rPr>
        </w:r>
        <w:r w:rsidR="001467A2">
          <w:rPr>
            <w:noProof/>
            <w:webHidden/>
          </w:rPr>
          <w:fldChar w:fldCharType="separate"/>
        </w:r>
        <w:r w:rsidR="001467A2">
          <w:rPr>
            <w:noProof/>
            <w:webHidden/>
          </w:rPr>
          <w:t>23</w:t>
        </w:r>
        <w:r w:rsidR="001467A2">
          <w:rPr>
            <w:noProof/>
            <w:webHidden/>
          </w:rPr>
          <w:fldChar w:fldCharType="end"/>
        </w:r>
      </w:hyperlink>
    </w:p>
    <w:p w14:paraId="56F8AAE0" w14:textId="488DCD72" w:rsidR="001467A2" w:rsidRDefault="00607571">
      <w:pPr>
        <w:pStyle w:val="TOC2"/>
        <w:tabs>
          <w:tab w:val="left" w:pos="992"/>
        </w:tabs>
        <w:rPr>
          <w:rFonts w:asciiTheme="minorHAnsi" w:eastAsiaTheme="minorEastAsia" w:hAnsiTheme="minorHAnsi" w:cstheme="minorBidi"/>
          <w:noProof/>
          <w:sz w:val="22"/>
          <w:szCs w:val="22"/>
          <w:lang w:val="en-AU" w:eastAsia="en-AU"/>
        </w:rPr>
      </w:pPr>
      <w:hyperlink w:anchor="_Toc106611886" w:history="1">
        <w:r w:rsidR="001467A2" w:rsidRPr="009112E1">
          <w:rPr>
            <w:rStyle w:val="Hyperlink"/>
            <w:noProof/>
          </w:rPr>
          <w:t>1.</w:t>
        </w:r>
        <w:r w:rsidR="001467A2">
          <w:rPr>
            <w:rFonts w:asciiTheme="minorHAnsi" w:eastAsiaTheme="minorEastAsia" w:hAnsiTheme="minorHAnsi" w:cstheme="minorBidi"/>
            <w:noProof/>
            <w:sz w:val="22"/>
            <w:szCs w:val="22"/>
            <w:lang w:val="en-AU" w:eastAsia="en-AU"/>
          </w:rPr>
          <w:tab/>
        </w:r>
        <w:r w:rsidR="001467A2" w:rsidRPr="009112E1">
          <w:rPr>
            <w:rStyle w:val="Hyperlink"/>
            <w:noProof/>
          </w:rPr>
          <w:t>Receiving feedback, queries, and complaints</w:t>
        </w:r>
        <w:r w:rsidR="001467A2">
          <w:rPr>
            <w:noProof/>
            <w:webHidden/>
          </w:rPr>
          <w:tab/>
        </w:r>
        <w:r w:rsidR="001467A2">
          <w:rPr>
            <w:noProof/>
            <w:webHidden/>
          </w:rPr>
          <w:fldChar w:fldCharType="begin"/>
        </w:r>
        <w:r w:rsidR="001467A2">
          <w:rPr>
            <w:noProof/>
            <w:webHidden/>
          </w:rPr>
          <w:instrText xml:space="preserve"> PAGEREF _Toc106611886 \h </w:instrText>
        </w:r>
        <w:r w:rsidR="001467A2">
          <w:rPr>
            <w:noProof/>
            <w:webHidden/>
          </w:rPr>
        </w:r>
        <w:r w:rsidR="001467A2">
          <w:rPr>
            <w:noProof/>
            <w:webHidden/>
          </w:rPr>
          <w:fldChar w:fldCharType="separate"/>
        </w:r>
        <w:r w:rsidR="001467A2">
          <w:rPr>
            <w:noProof/>
            <w:webHidden/>
          </w:rPr>
          <w:t>23</w:t>
        </w:r>
        <w:r w:rsidR="001467A2">
          <w:rPr>
            <w:noProof/>
            <w:webHidden/>
          </w:rPr>
          <w:fldChar w:fldCharType="end"/>
        </w:r>
      </w:hyperlink>
    </w:p>
    <w:p w14:paraId="1CC02E6A" w14:textId="6524C148" w:rsidR="001467A2" w:rsidRDefault="00607571">
      <w:pPr>
        <w:pStyle w:val="TOC2"/>
        <w:tabs>
          <w:tab w:val="left" w:pos="992"/>
        </w:tabs>
        <w:rPr>
          <w:rFonts w:asciiTheme="minorHAnsi" w:eastAsiaTheme="minorEastAsia" w:hAnsiTheme="minorHAnsi" w:cstheme="minorBidi"/>
          <w:noProof/>
          <w:sz w:val="22"/>
          <w:szCs w:val="22"/>
          <w:lang w:val="en-AU" w:eastAsia="en-AU"/>
        </w:rPr>
      </w:pPr>
      <w:hyperlink w:anchor="_Toc106611887" w:history="1">
        <w:r w:rsidR="001467A2" w:rsidRPr="009112E1">
          <w:rPr>
            <w:rStyle w:val="Hyperlink"/>
            <w:noProof/>
          </w:rPr>
          <w:t>2.</w:t>
        </w:r>
        <w:r w:rsidR="001467A2">
          <w:rPr>
            <w:rFonts w:asciiTheme="minorHAnsi" w:eastAsiaTheme="minorEastAsia" w:hAnsiTheme="minorHAnsi" w:cstheme="minorBidi"/>
            <w:noProof/>
            <w:sz w:val="22"/>
            <w:szCs w:val="22"/>
            <w:lang w:val="en-AU" w:eastAsia="en-AU"/>
          </w:rPr>
          <w:tab/>
        </w:r>
        <w:r w:rsidR="001467A2" w:rsidRPr="009112E1">
          <w:rPr>
            <w:rStyle w:val="Hyperlink"/>
            <w:noProof/>
          </w:rPr>
          <w:t>Complaints process and responsibilities</w:t>
        </w:r>
        <w:r w:rsidR="001467A2">
          <w:rPr>
            <w:noProof/>
            <w:webHidden/>
          </w:rPr>
          <w:tab/>
        </w:r>
        <w:r w:rsidR="001467A2">
          <w:rPr>
            <w:noProof/>
            <w:webHidden/>
          </w:rPr>
          <w:fldChar w:fldCharType="begin"/>
        </w:r>
        <w:r w:rsidR="001467A2">
          <w:rPr>
            <w:noProof/>
            <w:webHidden/>
          </w:rPr>
          <w:instrText xml:space="preserve"> PAGEREF _Toc106611887 \h </w:instrText>
        </w:r>
        <w:r w:rsidR="001467A2">
          <w:rPr>
            <w:noProof/>
            <w:webHidden/>
          </w:rPr>
        </w:r>
        <w:r w:rsidR="001467A2">
          <w:rPr>
            <w:noProof/>
            <w:webHidden/>
          </w:rPr>
          <w:fldChar w:fldCharType="separate"/>
        </w:r>
        <w:r w:rsidR="001467A2">
          <w:rPr>
            <w:noProof/>
            <w:webHidden/>
          </w:rPr>
          <w:t>23</w:t>
        </w:r>
        <w:r w:rsidR="001467A2">
          <w:rPr>
            <w:noProof/>
            <w:webHidden/>
          </w:rPr>
          <w:fldChar w:fldCharType="end"/>
        </w:r>
      </w:hyperlink>
    </w:p>
    <w:p w14:paraId="13C16696" w14:textId="5FE0DED0" w:rsidR="001467A2" w:rsidRDefault="00607571">
      <w:pPr>
        <w:pStyle w:val="TOC2"/>
        <w:tabs>
          <w:tab w:val="left" w:pos="992"/>
        </w:tabs>
        <w:rPr>
          <w:rFonts w:asciiTheme="minorHAnsi" w:eastAsiaTheme="minorEastAsia" w:hAnsiTheme="minorHAnsi" w:cstheme="minorBidi"/>
          <w:noProof/>
          <w:sz w:val="22"/>
          <w:szCs w:val="22"/>
          <w:lang w:val="en-AU" w:eastAsia="en-AU"/>
        </w:rPr>
      </w:pPr>
      <w:hyperlink w:anchor="_Toc106611888" w:history="1">
        <w:r w:rsidR="001467A2" w:rsidRPr="009112E1">
          <w:rPr>
            <w:rStyle w:val="Hyperlink"/>
            <w:noProof/>
          </w:rPr>
          <w:t>3.</w:t>
        </w:r>
        <w:r w:rsidR="001467A2">
          <w:rPr>
            <w:rFonts w:asciiTheme="minorHAnsi" w:eastAsiaTheme="minorEastAsia" w:hAnsiTheme="minorHAnsi" w:cstheme="minorBidi"/>
            <w:noProof/>
            <w:sz w:val="22"/>
            <w:szCs w:val="22"/>
            <w:lang w:val="en-AU" w:eastAsia="en-AU"/>
          </w:rPr>
          <w:tab/>
        </w:r>
        <w:r w:rsidR="001467A2" w:rsidRPr="009112E1">
          <w:rPr>
            <w:rStyle w:val="Hyperlink"/>
            <w:noProof/>
          </w:rPr>
          <w:t>Summary of complaints</w:t>
        </w:r>
        <w:r w:rsidR="001467A2">
          <w:rPr>
            <w:noProof/>
            <w:webHidden/>
          </w:rPr>
          <w:tab/>
        </w:r>
        <w:r w:rsidR="001467A2">
          <w:rPr>
            <w:noProof/>
            <w:webHidden/>
          </w:rPr>
          <w:fldChar w:fldCharType="begin"/>
        </w:r>
        <w:r w:rsidR="001467A2">
          <w:rPr>
            <w:noProof/>
            <w:webHidden/>
          </w:rPr>
          <w:instrText xml:space="preserve"> PAGEREF _Toc106611888 \h </w:instrText>
        </w:r>
        <w:r w:rsidR="001467A2">
          <w:rPr>
            <w:noProof/>
            <w:webHidden/>
          </w:rPr>
        </w:r>
        <w:r w:rsidR="001467A2">
          <w:rPr>
            <w:noProof/>
            <w:webHidden/>
          </w:rPr>
          <w:fldChar w:fldCharType="separate"/>
        </w:r>
        <w:r w:rsidR="001467A2">
          <w:rPr>
            <w:noProof/>
            <w:webHidden/>
          </w:rPr>
          <w:t>24</w:t>
        </w:r>
        <w:r w:rsidR="001467A2">
          <w:rPr>
            <w:noProof/>
            <w:webHidden/>
          </w:rPr>
          <w:fldChar w:fldCharType="end"/>
        </w:r>
      </w:hyperlink>
    </w:p>
    <w:p w14:paraId="7D89464E" w14:textId="6ADEBCBA" w:rsidR="001467A2" w:rsidRDefault="00607571">
      <w:pPr>
        <w:pStyle w:val="TOC2"/>
        <w:tabs>
          <w:tab w:val="left" w:pos="992"/>
        </w:tabs>
        <w:rPr>
          <w:rFonts w:asciiTheme="minorHAnsi" w:eastAsiaTheme="minorEastAsia" w:hAnsiTheme="minorHAnsi" w:cstheme="minorBidi"/>
          <w:noProof/>
          <w:sz w:val="22"/>
          <w:szCs w:val="22"/>
          <w:lang w:val="en-AU" w:eastAsia="en-AU"/>
        </w:rPr>
      </w:pPr>
      <w:hyperlink w:anchor="_Toc106611889" w:history="1">
        <w:r w:rsidR="001467A2" w:rsidRPr="009112E1">
          <w:rPr>
            <w:rStyle w:val="Hyperlink"/>
            <w:noProof/>
          </w:rPr>
          <w:t>4.</w:t>
        </w:r>
        <w:r w:rsidR="001467A2">
          <w:rPr>
            <w:rFonts w:asciiTheme="minorHAnsi" w:eastAsiaTheme="minorEastAsia" w:hAnsiTheme="minorHAnsi" w:cstheme="minorBidi"/>
            <w:noProof/>
            <w:sz w:val="22"/>
            <w:szCs w:val="22"/>
            <w:lang w:val="en-AU" w:eastAsia="en-AU"/>
          </w:rPr>
          <w:tab/>
        </w:r>
        <w:r w:rsidR="001467A2" w:rsidRPr="009112E1">
          <w:rPr>
            <w:rStyle w:val="Hyperlink"/>
            <w:noProof/>
          </w:rPr>
          <w:t>Summary of feedback</w:t>
        </w:r>
        <w:r w:rsidR="001467A2">
          <w:rPr>
            <w:noProof/>
            <w:webHidden/>
          </w:rPr>
          <w:tab/>
        </w:r>
        <w:r w:rsidR="001467A2">
          <w:rPr>
            <w:noProof/>
            <w:webHidden/>
          </w:rPr>
          <w:fldChar w:fldCharType="begin"/>
        </w:r>
        <w:r w:rsidR="001467A2">
          <w:rPr>
            <w:noProof/>
            <w:webHidden/>
          </w:rPr>
          <w:instrText xml:space="preserve"> PAGEREF _Toc106611889 \h </w:instrText>
        </w:r>
        <w:r w:rsidR="001467A2">
          <w:rPr>
            <w:noProof/>
            <w:webHidden/>
          </w:rPr>
        </w:r>
        <w:r w:rsidR="001467A2">
          <w:rPr>
            <w:noProof/>
            <w:webHidden/>
          </w:rPr>
          <w:fldChar w:fldCharType="separate"/>
        </w:r>
        <w:r w:rsidR="001467A2">
          <w:rPr>
            <w:noProof/>
            <w:webHidden/>
          </w:rPr>
          <w:t>24</w:t>
        </w:r>
        <w:r w:rsidR="001467A2">
          <w:rPr>
            <w:noProof/>
            <w:webHidden/>
          </w:rPr>
          <w:fldChar w:fldCharType="end"/>
        </w:r>
      </w:hyperlink>
    </w:p>
    <w:p w14:paraId="165B18EC" w14:textId="71D0F091" w:rsidR="001467A2" w:rsidRDefault="00607571">
      <w:pPr>
        <w:pStyle w:val="TOC2"/>
        <w:tabs>
          <w:tab w:val="left" w:pos="992"/>
        </w:tabs>
        <w:rPr>
          <w:rFonts w:asciiTheme="minorHAnsi" w:eastAsiaTheme="minorEastAsia" w:hAnsiTheme="minorHAnsi" w:cstheme="minorBidi"/>
          <w:noProof/>
          <w:sz w:val="22"/>
          <w:szCs w:val="22"/>
          <w:lang w:val="en-AU" w:eastAsia="en-AU"/>
        </w:rPr>
      </w:pPr>
      <w:hyperlink w:anchor="_Toc106611890" w:history="1">
        <w:r w:rsidR="001467A2" w:rsidRPr="009112E1">
          <w:rPr>
            <w:rStyle w:val="Hyperlink"/>
            <w:noProof/>
          </w:rPr>
          <w:t>5.</w:t>
        </w:r>
        <w:r w:rsidR="001467A2">
          <w:rPr>
            <w:rFonts w:asciiTheme="minorHAnsi" w:eastAsiaTheme="minorEastAsia" w:hAnsiTheme="minorHAnsi" w:cstheme="minorBidi"/>
            <w:noProof/>
            <w:sz w:val="22"/>
            <w:szCs w:val="22"/>
            <w:lang w:val="en-AU" w:eastAsia="en-AU"/>
          </w:rPr>
          <w:tab/>
        </w:r>
        <w:r w:rsidR="001467A2" w:rsidRPr="009112E1">
          <w:rPr>
            <w:rStyle w:val="Hyperlink"/>
            <w:noProof/>
          </w:rPr>
          <w:t>Summary of queries and Official Information requests</w:t>
        </w:r>
        <w:r w:rsidR="001467A2">
          <w:rPr>
            <w:noProof/>
            <w:webHidden/>
          </w:rPr>
          <w:tab/>
        </w:r>
        <w:r w:rsidR="001467A2">
          <w:rPr>
            <w:noProof/>
            <w:webHidden/>
          </w:rPr>
          <w:fldChar w:fldCharType="begin"/>
        </w:r>
        <w:r w:rsidR="001467A2">
          <w:rPr>
            <w:noProof/>
            <w:webHidden/>
          </w:rPr>
          <w:instrText xml:space="preserve"> PAGEREF _Toc106611890 \h </w:instrText>
        </w:r>
        <w:r w:rsidR="001467A2">
          <w:rPr>
            <w:noProof/>
            <w:webHidden/>
          </w:rPr>
        </w:r>
        <w:r w:rsidR="001467A2">
          <w:rPr>
            <w:noProof/>
            <w:webHidden/>
          </w:rPr>
          <w:fldChar w:fldCharType="separate"/>
        </w:r>
        <w:r w:rsidR="001467A2">
          <w:rPr>
            <w:noProof/>
            <w:webHidden/>
          </w:rPr>
          <w:t>25</w:t>
        </w:r>
        <w:r w:rsidR="001467A2">
          <w:rPr>
            <w:noProof/>
            <w:webHidden/>
          </w:rPr>
          <w:fldChar w:fldCharType="end"/>
        </w:r>
      </w:hyperlink>
    </w:p>
    <w:p w14:paraId="3FD7CF81" w14:textId="40942C07" w:rsidR="001467A2" w:rsidRDefault="00607571">
      <w:pPr>
        <w:pStyle w:val="TOC2"/>
        <w:tabs>
          <w:tab w:val="left" w:pos="992"/>
        </w:tabs>
        <w:rPr>
          <w:rFonts w:asciiTheme="minorHAnsi" w:eastAsiaTheme="minorEastAsia" w:hAnsiTheme="minorHAnsi" w:cstheme="minorBidi"/>
          <w:noProof/>
          <w:sz w:val="22"/>
          <w:szCs w:val="22"/>
          <w:lang w:val="en-AU" w:eastAsia="en-AU"/>
        </w:rPr>
      </w:pPr>
      <w:hyperlink w:anchor="_Toc106611891" w:history="1">
        <w:r w:rsidR="001467A2" w:rsidRPr="009112E1">
          <w:rPr>
            <w:rStyle w:val="Hyperlink"/>
            <w:noProof/>
          </w:rPr>
          <w:t>6.</w:t>
        </w:r>
        <w:r w:rsidR="001467A2">
          <w:rPr>
            <w:rFonts w:asciiTheme="minorHAnsi" w:eastAsiaTheme="minorEastAsia" w:hAnsiTheme="minorHAnsi" w:cstheme="minorBidi"/>
            <w:noProof/>
            <w:sz w:val="22"/>
            <w:szCs w:val="22"/>
            <w:lang w:val="en-AU" w:eastAsia="en-AU"/>
          </w:rPr>
          <w:tab/>
        </w:r>
        <w:r w:rsidR="001467A2" w:rsidRPr="009112E1">
          <w:rPr>
            <w:rStyle w:val="Hyperlink"/>
            <w:noProof/>
          </w:rPr>
          <w:t>Concluding Remarks</w:t>
        </w:r>
        <w:r w:rsidR="001467A2">
          <w:rPr>
            <w:noProof/>
            <w:webHidden/>
          </w:rPr>
          <w:tab/>
        </w:r>
        <w:r w:rsidR="001467A2">
          <w:rPr>
            <w:noProof/>
            <w:webHidden/>
          </w:rPr>
          <w:fldChar w:fldCharType="begin"/>
        </w:r>
        <w:r w:rsidR="001467A2">
          <w:rPr>
            <w:noProof/>
            <w:webHidden/>
          </w:rPr>
          <w:instrText xml:space="preserve"> PAGEREF _Toc106611891 \h </w:instrText>
        </w:r>
        <w:r w:rsidR="001467A2">
          <w:rPr>
            <w:noProof/>
            <w:webHidden/>
          </w:rPr>
        </w:r>
        <w:r w:rsidR="001467A2">
          <w:rPr>
            <w:noProof/>
            <w:webHidden/>
          </w:rPr>
          <w:fldChar w:fldCharType="separate"/>
        </w:r>
        <w:r w:rsidR="001467A2">
          <w:rPr>
            <w:noProof/>
            <w:webHidden/>
          </w:rPr>
          <w:t>26</w:t>
        </w:r>
        <w:r w:rsidR="001467A2">
          <w:rPr>
            <w:noProof/>
            <w:webHidden/>
          </w:rPr>
          <w:fldChar w:fldCharType="end"/>
        </w:r>
      </w:hyperlink>
    </w:p>
    <w:p w14:paraId="2B4DCD2A" w14:textId="5540636D" w:rsidR="00C86248" w:rsidRDefault="005F0BCB">
      <w:r>
        <w:rPr>
          <w:rFonts w:ascii="Segoe UI Semibold" w:hAnsi="Segoe UI Semibold"/>
          <w:b/>
          <w:sz w:val="24"/>
        </w:rPr>
        <w:fldChar w:fldCharType="end"/>
      </w:r>
    </w:p>
    <w:p w14:paraId="2B4DCD2B" w14:textId="77777777" w:rsidR="002B76A7" w:rsidRDefault="002B76A7" w:rsidP="002B76A7">
      <w:pPr>
        <w:pStyle w:val="TOC1"/>
        <w:keepNext/>
      </w:pPr>
      <w:r>
        <w:lastRenderedPageBreak/>
        <w:t>List of Tables</w:t>
      </w:r>
    </w:p>
    <w:p w14:paraId="1237673F" w14:textId="5F954A85" w:rsidR="001467A2" w:rsidRDefault="002B76A7">
      <w:pPr>
        <w:pStyle w:val="TOC3"/>
        <w:rPr>
          <w:rFonts w:asciiTheme="minorHAnsi" w:eastAsiaTheme="minorEastAsia" w:hAnsiTheme="minorHAnsi" w:cstheme="minorBidi"/>
          <w:noProof/>
          <w:sz w:val="22"/>
          <w:szCs w:val="22"/>
          <w:lang w:val="en-AU" w:eastAsia="en-AU"/>
        </w:rPr>
      </w:pPr>
      <w:r>
        <w:rPr>
          <w:sz w:val="20"/>
        </w:rPr>
        <w:fldChar w:fldCharType="begin"/>
      </w:r>
      <w:r>
        <w:instrText xml:space="preserve"> TOC \t "Table,3" </w:instrText>
      </w:r>
      <w:r>
        <w:rPr>
          <w:sz w:val="20"/>
        </w:rPr>
        <w:fldChar w:fldCharType="separate"/>
      </w:r>
      <w:r w:rsidR="001467A2">
        <w:rPr>
          <w:noProof/>
        </w:rPr>
        <w:t xml:space="preserve">Table 1: </w:t>
      </w:r>
      <w:r w:rsidR="001467A2">
        <w:rPr>
          <w:noProof/>
          <w:lang w:eastAsia="en-NZ"/>
        </w:rPr>
        <w:t>Demographics of people that have applied for assisted dying</w:t>
      </w:r>
      <w:r w:rsidR="001467A2">
        <w:rPr>
          <w:noProof/>
        </w:rPr>
        <w:tab/>
      </w:r>
      <w:r w:rsidR="001467A2">
        <w:rPr>
          <w:noProof/>
        </w:rPr>
        <w:fldChar w:fldCharType="begin"/>
      </w:r>
      <w:r w:rsidR="001467A2">
        <w:rPr>
          <w:noProof/>
        </w:rPr>
        <w:instrText xml:space="preserve"> PAGEREF _Toc106611892 \h </w:instrText>
      </w:r>
      <w:r w:rsidR="001467A2">
        <w:rPr>
          <w:noProof/>
        </w:rPr>
      </w:r>
      <w:r w:rsidR="001467A2">
        <w:rPr>
          <w:noProof/>
        </w:rPr>
        <w:fldChar w:fldCharType="separate"/>
      </w:r>
      <w:r w:rsidR="001467A2">
        <w:rPr>
          <w:noProof/>
        </w:rPr>
        <w:t>13</w:t>
      </w:r>
      <w:r w:rsidR="001467A2">
        <w:rPr>
          <w:noProof/>
        </w:rPr>
        <w:fldChar w:fldCharType="end"/>
      </w:r>
    </w:p>
    <w:p w14:paraId="72809461" w14:textId="2A86E191" w:rsidR="001467A2" w:rsidRDefault="001467A2">
      <w:pPr>
        <w:pStyle w:val="TOC3"/>
        <w:rPr>
          <w:rFonts w:asciiTheme="minorHAnsi" w:eastAsiaTheme="minorEastAsia" w:hAnsiTheme="minorHAnsi" w:cstheme="minorBidi"/>
          <w:noProof/>
          <w:sz w:val="22"/>
          <w:szCs w:val="22"/>
          <w:lang w:val="en-AU" w:eastAsia="en-AU"/>
        </w:rPr>
      </w:pPr>
      <w:r>
        <w:rPr>
          <w:noProof/>
        </w:rPr>
        <w:t xml:space="preserve">Table 2: </w:t>
      </w:r>
      <w:r>
        <w:rPr>
          <w:noProof/>
          <w:lang w:eastAsia="en-NZ"/>
        </w:rPr>
        <w:t>Applications assessed as ineligible by reason and assessing practitioner</w:t>
      </w:r>
      <w:r>
        <w:rPr>
          <w:noProof/>
        </w:rPr>
        <w:tab/>
      </w:r>
      <w:r>
        <w:rPr>
          <w:noProof/>
        </w:rPr>
        <w:fldChar w:fldCharType="begin"/>
      </w:r>
      <w:r>
        <w:rPr>
          <w:noProof/>
        </w:rPr>
        <w:instrText xml:space="preserve"> PAGEREF _Toc106611893 \h </w:instrText>
      </w:r>
      <w:r>
        <w:rPr>
          <w:noProof/>
        </w:rPr>
      </w:r>
      <w:r>
        <w:rPr>
          <w:noProof/>
        </w:rPr>
        <w:fldChar w:fldCharType="separate"/>
      </w:r>
      <w:r>
        <w:rPr>
          <w:noProof/>
        </w:rPr>
        <w:t>15</w:t>
      </w:r>
      <w:r>
        <w:rPr>
          <w:noProof/>
        </w:rPr>
        <w:fldChar w:fldCharType="end"/>
      </w:r>
    </w:p>
    <w:p w14:paraId="49C94BCB" w14:textId="04A47BBF" w:rsidR="001467A2" w:rsidRDefault="001467A2">
      <w:pPr>
        <w:pStyle w:val="TOC3"/>
        <w:rPr>
          <w:rFonts w:asciiTheme="minorHAnsi" w:eastAsiaTheme="minorEastAsia" w:hAnsiTheme="minorHAnsi" w:cstheme="minorBidi"/>
          <w:noProof/>
          <w:sz w:val="22"/>
          <w:szCs w:val="22"/>
          <w:lang w:val="en-AU" w:eastAsia="en-AU"/>
        </w:rPr>
      </w:pPr>
      <w:r>
        <w:rPr>
          <w:noProof/>
        </w:rPr>
        <w:t>Table 3: Count of practitioners by role and DHB region as of 31 March 2022</w:t>
      </w:r>
      <w:r>
        <w:rPr>
          <w:noProof/>
        </w:rPr>
        <w:tab/>
      </w:r>
      <w:r>
        <w:rPr>
          <w:noProof/>
        </w:rPr>
        <w:fldChar w:fldCharType="begin"/>
      </w:r>
      <w:r>
        <w:rPr>
          <w:noProof/>
        </w:rPr>
        <w:instrText xml:space="preserve"> PAGEREF _Toc106611894 \h </w:instrText>
      </w:r>
      <w:r>
        <w:rPr>
          <w:noProof/>
        </w:rPr>
      </w:r>
      <w:r>
        <w:rPr>
          <w:noProof/>
        </w:rPr>
        <w:fldChar w:fldCharType="separate"/>
      </w:r>
      <w:r>
        <w:rPr>
          <w:noProof/>
        </w:rPr>
        <w:t>19</w:t>
      </w:r>
      <w:r>
        <w:rPr>
          <w:noProof/>
        </w:rPr>
        <w:fldChar w:fldCharType="end"/>
      </w:r>
    </w:p>
    <w:p w14:paraId="4A6D7CA4" w14:textId="283E0285" w:rsidR="001467A2" w:rsidRDefault="001467A2">
      <w:pPr>
        <w:pStyle w:val="TOC3"/>
        <w:rPr>
          <w:rFonts w:asciiTheme="minorHAnsi" w:eastAsiaTheme="minorEastAsia" w:hAnsiTheme="minorHAnsi" w:cstheme="minorBidi"/>
          <w:noProof/>
          <w:sz w:val="22"/>
          <w:szCs w:val="22"/>
          <w:lang w:val="en-AU" w:eastAsia="en-AU"/>
        </w:rPr>
      </w:pPr>
      <w:r>
        <w:rPr>
          <w:noProof/>
        </w:rPr>
        <w:t>Table 4: Number of people accessing the wider health workforce training</w:t>
      </w:r>
      <w:r>
        <w:rPr>
          <w:noProof/>
        </w:rPr>
        <w:tab/>
      </w:r>
      <w:r>
        <w:rPr>
          <w:noProof/>
        </w:rPr>
        <w:fldChar w:fldCharType="begin"/>
      </w:r>
      <w:r>
        <w:rPr>
          <w:noProof/>
        </w:rPr>
        <w:instrText xml:space="preserve"> PAGEREF _Toc106611895 \h </w:instrText>
      </w:r>
      <w:r>
        <w:rPr>
          <w:noProof/>
        </w:rPr>
      </w:r>
      <w:r>
        <w:rPr>
          <w:noProof/>
        </w:rPr>
        <w:fldChar w:fldCharType="separate"/>
      </w:r>
      <w:r>
        <w:rPr>
          <w:noProof/>
        </w:rPr>
        <w:t>21</w:t>
      </w:r>
      <w:r>
        <w:rPr>
          <w:noProof/>
        </w:rPr>
        <w:fldChar w:fldCharType="end"/>
      </w:r>
    </w:p>
    <w:p w14:paraId="65538DDF" w14:textId="6195C1BB" w:rsidR="001467A2" w:rsidRDefault="001467A2">
      <w:pPr>
        <w:pStyle w:val="TOC3"/>
        <w:rPr>
          <w:rFonts w:asciiTheme="minorHAnsi" w:eastAsiaTheme="minorEastAsia" w:hAnsiTheme="minorHAnsi" w:cstheme="minorBidi"/>
          <w:noProof/>
          <w:sz w:val="22"/>
          <w:szCs w:val="22"/>
          <w:lang w:val="en-AU" w:eastAsia="en-AU"/>
        </w:rPr>
      </w:pPr>
      <w:r>
        <w:rPr>
          <w:noProof/>
        </w:rPr>
        <w:t xml:space="preserve">Table 5: </w:t>
      </w:r>
      <w:r w:rsidRPr="004C7F8F">
        <w:rPr>
          <w:rFonts w:cs="Segoe UI"/>
          <w:bCs/>
          <w:noProof/>
        </w:rPr>
        <w:t>Complaints summary</w:t>
      </w:r>
      <w:r>
        <w:rPr>
          <w:noProof/>
        </w:rPr>
        <w:tab/>
      </w:r>
      <w:r>
        <w:rPr>
          <w:noProof/>
        </w:rPr>
        <w:fldChar w:fldCharType="begin"/>
      </w:r>
      <w:r>
        <w:rPr>
          <w:noProof/>
        </w:rPr>
        <w:instrText xml:space="preserve"> PAGEREF _Toc106611896 \h </w:instrText>
      </w:r>
      <w:r>
        <w:rPr>
          <w:noProof/>
        </w:rPr>
      </w:r>
      <w:r>
        <w:rPr>
          <w:noProof/>
        </w:rPr>
        <w:fldChar w:fldCharType="separate"/>
      </w:r>
      <w:r>
        <w:rPr>
          <w:noProof/>
        </w:rPr>
        <w:t>24</w:t>
      </w:r>
      <w:r>
        <w:rPr>
          <w:noProof/>
        </w:rPr>
        <w:fldChar w:fldCharType="end"/>
      </w:r>
    </w:p>
    <w:p w14:paraId="51768C3C" w14:textId="5D3366A4" w:rsidR="001467A2" w:rsidRDefault="001467A2">
      <w:pPr>
        <w:pStyle w:val="TOC3"/>
        <w:rPr>
          <w:rFonts w:asciiTheme="minorHAnsi" w:eastAsiaTheme="minorEastAsia" w:hAnsiTheme="minorHAnsi" w:cstheme="minorBidi"/>
          <w:noProof/>
          <w:sz w:val="22"/>
          <w:szCs w:val="22"/>
          <w:lang w:val="en-AU" w:eastAsia="en-AU"/>
        </w:rPr>
      </w:pPr>
      <w:r>
        <w:rPr>
          <w:noProof/>
        </w:rPr>
        <w:t>Table 6: Queries and requests related to Assisted Dying</w:t>
      </w:r>
      <w:r>
        <w:rPr>
          <w:noProof/>
        </w:rPr>
        <w:tab/>
      </w:r>
      <w:r>
        <w:rPr>
          <w:noProof/>
        </w:rPr>
        <w:fldChar w:fldCharType="begin"/>
      </w:r>
      <w:r>
        <w:rPr>
          <w:noProof/>
        </w:rPr>
        <w:instrText xml:space="preserve"> PAGEREF _Toc106611897 \h </w:instrText>
      </w:r>
      <w:r>
        <w:rPr>
          <w:noProof/>
        </w:rPr>
      </w:r>
      <w:r>
        <w:rPr>
          <w:noProof/>
        </w:rPr>
        <w:fldChar w:fldCharType="separate"/>
      </w:r>
      <w:r>
        <w:rPr>
          <w:noProof/>
        </w:rPr>
        <w:t>26</w:t>
      </w:r>
      <w:r>
        <w:rPr>
          <w:noProof/>
        </w:rPr>
        <w:fldChar w:fldCharType="end"/>
      </w:r>
    </w:p>
    <w:p w14:paraId="69F3D9D1" w14:textId="4BEECD09" w:rsidR="004654B7" w:rsidRPr="004654B7" w:rsidRDefault="002B76A7" w:rsidP="004654B7">
      <w:r>
        <w:fldChar w:fldCharType="end"/>
      </w:r>
    </w:p>
    <w:p w14:paraId="2CBA11E5" w14:textId="191B5B14" w:rsidR="004654B7" w:rsidRDefault="004654B7" w:rsidP="004654B7">
      <w:pPr>
        <w:pStyle w:val="TOC1"/>
        <w:keepNext/>
      </w:pPr>
      <w:r>
        <w:t>List of Figures</w:t>
      </w:r>
    </w:p>
    <w:p w14:paraId="1371E62C" w14:textId="47221A6A" w:rsidR="001467A2" w:rsidRDefault="004654B7">
      <w:pPr>
        <w:pStyle w:val="TableofFigures"/>
        <w:tabs>
          <w:tab w:val="right" w:pos="8069"/>
        </w:tabs>
        <w:rPr>
          <w:rFonts w:asciiTheme="minorHAnsi" w:eastAsiaTheme="minorEastAsia" w:hAnsiTheme="minorHAnsi" w:cstheme="minorBidi"/>
          <w:noProof/>
          <w:sz w:val="22"/>
          <w:szCs w:val="22"/>
          <w:lang w:val="en-AU" w:eastAsia="en-AU"/>
        </w:rPr>
      </w:pPr>
      <w:r w:rsidRPr="002130AE">
        <w:rPr>
          <w:noProof/>
        </w:rPr>
        <w:fldChar w:fldCharType="begin"/>
      </w:r>
      <w:r w:rsidRPr="002130AE">
        <w:rPr>
          <w:noProof/>
        </w:rPr>
        <w:instrText xml:space="preserve"> TOC \h \z \c "Figure" </w:instrText>
      </w:r>
      <w:r w:rsidRPr="002130AE">
        <w:rPr>
          <w:noProof/>
        </w:rPr>
        <w:fldChar w:fldCharType="separate"/>
      </w:r>
      <w:hyperlink w:anchor="_Toc106611898" w:history="1">
        <w:r w:rsidR="001467A2" w:rsidRPr="006B4663">
          <w:rPr>
            <w:rStyle w:val="Hyperlink"/>
            <w:noProof/>
          </w:rPr>
          <w:t xml:space="preserve">Figure 1: </w:t>
        </w:r>
        <w:r w:rsidR="001467A2" w:rsidRPr="006B4663">
          <w:rPr>
            <w:rStyle w:val="Hyperlink"/>
            <w:noProof/>
            <w:lang w:eastAsia="en-NZ"/>
          </w:rPr>
          <w:t>Overview of the pathway from initial application to an assisted death</w:t>
        </w:r>
        <w:r w:rsidR="001467A2">
          <w:rPr>
            <w:noProof/>
            <w:webHidden/>
          </w:rPr>
          <w:tab/>
        </w:r>
        <w:r w:rsidR="001467A2">
          <w:rPr>
            <w:noProof/>
            <w:webHidden/>
          </w:rPr>
          <w:fldChar w:fldCharType="begin"/>
        </w:r>
        <w:r w:rsidR="001467A2">
          <w:rPr>
            <w:noProof/>
            <w:webHidden/>
          </w:rPr>
          <w:instrText xml:space="preserve"> PAGEREF _Toc106611898 \h </w:instrText>
        </w:r>
        <w:r w:rsidR="001467A2">
          <w:rPr>
            <w:noProof/>
            <w:webHidden/>
          </w:rPr>
        </w:r>
        <w:r w:rsidR="001467A2">
          <w:rPr>
            <w:noProof/>
            <w:webHidden/>
          </w:rPr>
          <w:fldChar w:fldCharType="separate"/>
        </w:r>
        <w:r w:rsidR="001467A2">
          <w:rPr>
            <w:noProof/>
            <w:webHidden/>
          </w:rPr>
          <w:t>11</w:t>
        </w:r>
        <w:r w:rsidR="001467A2">
          <w:rPr>
            <w:noProof/>
            <w:webHidden/>
          </w:rPr>
          <w:fldChar w:fldCharType="end"/>
        </w:r>
      </w:hyperlink>
    </w:p>
    <w:p w14:paraId="1397D45E" w14:textId="3D6A07F1" w:rsidR="001467A2" w:rsidRDefault="00607571">
      <w:pPr>
        <w:pStyle w:val="TableofFigures"/>
        <w:tabs>
          <w:tab w:val="right" w:pos="8069"/>
        </w:tabs>
        <w:rPr>
          <w:rFonts w:asciiTheme="minorHAnsi" w:eastAsiaTheme="minorEastAsia" w:hAnsiTheme="minorHAnsi" w:cstheme="minorBidi"/>
          <w:noProof/>
          <w:sz w:val="22"/>
          <w:szCs w:val="22"/>
          <w:lang w:val="en-AU" w:eastAsia="en-AU"/>
        </w:rPr>
      </w:pPr>
      <w:hyperlink w:anchor="_Toc106611899" w:history="1">
        <w:r w:rsidR="001467A2" w:rsidRPr="006B4663">
          <w:rPr>
            <w:rStyle w:val="Hyperlink"/>
            <w:noProof/>
          </w:rPr>
          <w:t xml:space="preserve">Figure 2: </w:t>
        </w:r>
        <w:r w:rsidR="001467A2" w:rsidRPr="006B4663">
          <w:rPr>
            <w:rStyle w:val="Hyperlink"/>
            <w:rFonts w:cs="Segoe UI"/>
            <w:noProof/>
            <w:shd w:val="clear" w:color="auto" w:fill="FFFFFF"/>
          </w:rPr>
          <w:t>Assisted deaths by location</w:t>
        </w:r>
        <w:r w:rsidR="001467A2">
          <w:rPr>
            <w:noProof/>
            <w:webHidden/>
          </w:rPr>
          <w:tab/>
        </w:r>
        <w:r w:rsidR="001467A2">
          <w:rPr>
            <w:noProof/>
            <w:webHidden/>
          </w:rPr>
          <w:fldChar w:fldCharType="begin"/>
        </w:r>
        <w:r w:rsidR="001467A2">
          <w:rPr>
            <w:noProof/>
            <w:webHidden/>
          </w:rPr>
          <w:instrText xml:space="preserve"> PAGEREF _Toc106611899 \h </w:instrText>
        </w:r>
        <w:r w:rsidR="001467A2">
          <w:rPr>
            <w:noProof/>
            <w:webHidden/>
          </w:rPr>
        </w:r>
        <w:r w:rsidR="001467A2">
          <w:rPr>
            <w:noProof/>
            <w:webHidden/>
          </w:rPr>
          <w:fldChar w:fldCharType="separate"/>
        </w:r>
        <w:r w:rsidR="001467A2">
          <w:rPr>
            <w:noProof/>
            <w:webHidden/>
          </w:rPr>
          <w:t>14</w:t>
        </w:r>
        <w:r w:rsidR="001467A2">
          <w:rPr>
            <w:noProof/>
            <w:webHidden/>
          </w:rPr>
          <w:fldChar w:fldCharType="end"/>
        </w:r>
      </w:hyperlink>
    </w:p>
    <w:p w14:paraId="4981DA3E" w14:textId="42BADE55" w:rsidR="004654B7" w:rsidRPr="004654B7" w:rsidRDefault="004654B7" w:rsidP="004654B7">
      <w:pPr>
        <w:pStyle w:val="TOC3"/>
      </w:pPr>
      <w:r w:rsidRPr="002130AE">
        <w:rPr>
          <w:noProof/>
        </w:rPr>
        <w:fldChar w:fldCharType="end"/>
      </w:r>
    </w:p>
    <w:p w14:paraId="495DDD4E" w14:textId="77777777" w:rsidR="004654B7" w:rsidRDefault="004654B7" w:rsidP="004654B7"/>
    <w:p w14:paraId="273E5080" w14:textId="77777777" w:rsidR="004654B7" w:rsidRDefault="004654B7" w:rsidP="004654B7"/>
    <w:p w14:paraId="2B4DCD33" w14:textId="6948C1C3" w:rsidR="004654B7" w:rsidRPr="004654B7" w:rsidRDefault="004654B7" w:rsidP="004654B7">
      <w:pPr>
        <w:sectPr w:rsidR="004654B7" w:rsidRPr="004654B7" w:rsidSect="00550E9A">
          <w:headerReference w:type="even" r:id="rId16"/>
          <w:headerReference w:type="default" r:id="rId17"/>
          <w:footerReference w:type="even" r:id="rId18"/>
          <w:footerReference w:type="default" r:id="rId19"/>
          <w:pgSz w:w="11907" w:h="16840" w:code="9"/>
          <w:pgMar w:top="1418" w:right="1701" w:bottom="1134" w:left="1843" w:header="284" w:footer="425" w:gutter="284"/>
          <w:pgNumType w:fmt="lowerRoman"/>
          <w:cols w:space="720"/>
        </w:sectPr>
      </w:pPr>
    </w:p>
    <w:p w14:paraId="690BD7D2" w14:textId="77777777" w:rsidR="00DD1B3A" w:rsidRPr="00DD1B3A" w:rsidRDefault="00DD1B3A" w:rsidP="00DD1B3A">
      <w:pPr>
        <w:pStyle w:val="Heading1"/>
      </w:pPr>
      <w:bookmarkStart w:id="2" w:name="_Toc104460661"/>
      <w:bookmarkStart w:id="3" w:name="_Toc106611860"/>
      <w:r w:rsidRPr="00DD1B3A">
        <w:lastRenderedPageBreak/>
        <w:t>Foreword</w:t>
      </w:r>
      <w:bookmarkEnd w:id="2"/>
      <w:bookmarkEnd w:id="3"/>
    </w:p>
    <w:p w14:paraId="06639405" w14:textId="77777777" w:rsidR="00DD1B3A" w:rsidRDefault="00DD1B3A" w:rsidP="00DD1B3A">
      <w:pPr>
        <w:rPr>
          <w:rFonts w:ascii="Calibri" w:hAnsi="Calibri"/>
          <w:sz w:val="22"/>
          <w:lang w:eastAsia="en-NZ"/>
        </w:rPr>
      </w:pPr>
      <w:proofErr w:type="spellStart"/>
      <w:r>
        <w:t>Tēnā</w:t>
      </w:r>
      <w:proofErr w:type="spellEnd"/>
      <w:r>
        <w:t xml:space="preserve"> koutou,</w:t>
      </w:r>
    </w:p>
    <w:p w14:paraId="3532398A" w14:textId="77777777" w:rsidR="00DD1B3A" w:rsidRDefault="00DD1B3A" w:rsidP="00DD1B3A"/>
    <w:p w14:paraId="62D64609" w14:textId="3BF82070" w:rsidR="00DD1B3A" w:rsidRPr="00842FDB" w:rsidRDefault="00DD1B3A" w:rsidP="00DD1B3A">
      <w:r w:rsidRPr="00842FDB">
        <w:t xml:space="preserve">The Ministry of Health (the Ministry) established a new assisted dying service for New Zealand </w:t>
      </w:r>
      <w:r w:rsidR="00FE1665" w:rsidRPr="00842FDB">
        <w:t xml:space="preserve">Aotearoa </w:t>
      </w:r>
      <w:r w:rsidRPr="00842FDB">
        <w:t>on 7 November 2021.</w:t>
      </w:r>
      <w:r>
        <w:t xml:space="preserve"> This is my first annual report as Registrar (assisted dying</w:t>
      </w:r>
      <w:r>
        <w:rPr>
          <w:color w:val="002639"/>
          <w:shd w:val="clear" w:color="auto" w:fill="FFFFFF"/>
        </w:rPr>
        <w:t xml:space="preserve">) as required under the </w:t>
      </w:r>
      <w:proofErr w:type="gramStart"/>
      <w:r>
        <w:rPr>
          <w:color w:val="002639"/>
          <w:shd w:val="clear" w:color="auto" w:fill="FFFFFF"/>
        </w:rPr>
        <w:t>End of Life</w:t>
      </w:r>
      <w:proofErr w:type="gramEnd"/>
      <w:r>
        <w:rPr>
          <w:color w:val="002639"/>
          <w:shd w:val="clear" w:color="auto" w:fill="FFFFFF"/>
        </w:rPr>
        <w:t xml:space="preserve"> Choice Act. </w:t>
      </w:r>
      <w:r>
        <w:rPr>
          <w:shd w:val="clear" w:color="auto" w:fill="FFFFFF"/>
        </w:rPr>
        <w:t>It is a</w:t>
      </w:r>
      <w:r w:rsidRPr="00842FDB">
        <w:rPr>
          <w:shd w:val="clear" w:color="auto" w:fill="FFFFFF"/>
        </w:rPr>
        <w:t xml:space="preserve"> privilege</w:t>
      </w:r>
      <w:r>
        <w:rPr>
          <w:shd w:val="clear" w:color="auto" w:fill="FFFFFF"/>
        </w:rPr>
        <w:t xml:space="preserve"> </w:t>
      </w:r>
      <w:r w:rsidRPr="00842FDB">
        <w:rPr>
          <w:shd w:val="clear" w:color="auto" w:fill="FFFFFF"/>
        </w:rPr>
        <w:t>to undertake th</w:t>
      </w:r>
      <w:r>
        <w:rPr>
          <w:shd w:val="clear" w:color="auto" w:fill="FFFFFF"/>
        </w:rPr>
        <w:t>is</w:t>
      </w:r>
      <w:r w:rsidRPr="00842FDB">
        <w:rPr>
          <w:shd w:val="clear" w:color="auto" w:fill="FFFFFF"/>
        </w:rPr>
        <w:t xml:space="preserve"> important safeguarding role</w:t>
      </w:r>
      <w:r>
        <w:rPr>
          <w:shd w:val="clear" w:color="auto" w:fill="FFFFFF"/>
        </w:rPr>
        <w:t>, to ensure the service is one of quality.</w:t>
      </w:r>
    </w:p>
    <w:p w14:paraId="5149BE7B" w14:textId="77777777" w:rsidR="00DD1B3A" w:rsidRPr="00842FDB" w:rsidRDefault="00DD1B3A" w:rsidP="00DD1B3A"/>
    <w:p w14:paraId="151D4E27" w14:textId="3E9C14BE" w:rsidR="00DD1B3A" w:rsidRDefault="00DD1B3A" w:rsidP="00DD1B3A">
      <w:r w:rsidRPr="00842FDB">
        <w:t xml:space="preserve">From the outset, the Ministry recognised that a trained and dedicated workforce would be </w:t>
      </w:r>
      <w:r>
        <w:t>the foundation of the service</w:t>
      </w:r>
      <w:r w:rsidRPr="00842FDB">
        <w:t xml:space="preserve">. </w:t>
      </w:r>
      <w:r>
        <w:t xml:space="preserve">Support, engagement, guidance and training </w:t>
      </w:r>
      <w:r w:rsidRPr="00842FDB">
        <w:t>for the whole</w:t>
      </w:r>
      <w:r>
        <w:t xml:space="preserve"> health and disability workforce was critical. </w:t>
      </w:r>
    </w:p>
    <w:p w14:paraId="204BDD00" w14:textId="77777777" w:rsidR="00DD1B3A" w:rsidRDefault="00DD1B3A" w:rsidP="00DD1B3A"/>
    <w:p w14:paraId="196A10A2" w14:textId="77777777" w:rsidR="00DD1B3A" w:rsidRDefault="00DD1B3A" w:rsidP="00DD1B3A">
      <w:r>
        <w:t xml:space="preserve">We worked closely with the wider sector, ensuring the health and disability workers had an understanding of how the service would operate in practice, and what it meant for them.  On behalf of the Ministry, I would like to thank all of those who have had a role in the implementation of the assisted dying service so far. </w:t>
      </w:r>
    </w:p>
    <w:p w14:paraId="150CE335" w14:textId="77777777" w:rsidR="00DD1B3A" w:rsidRDefault="00DD1B3A" w:rsidP="00DD1B3A"/>
    <w:p w14:paraId="2A751F41" w14:textId="6AA0EE79" w:rsidR="00DD1B3A" w:rsidRDefault="00DD1B3A" w:rsidP="00DD1B3A">
      <w:r>
        <w:t>Many areas of the health sector were involved at different stages of designing, and implementing, the new assisted dying service. This includes health service providers, nursing and medical councils and colleges, support and advocacy groups, and members of the public. The significant time, commitment, and expertise provided by these groups was an integral part of ensuring the service was fit for purpose.</w:t>
      </w:r>
      <w:r w:rsidR="009038EB">
        <w:t xml:space="preserve"> Your contribution </w:t>
      </w:r>
      <w:r w:rsidR="00820CDB">
        <w:t>is appreciated particularly given the ongoing pressures of the COVID response</w:t>
      </w:r>
    </w:p>
    <w:p w14:paraId="6A3CC086" w14:textId="77777777" w:rsidR="00DD1B3A" w:rsidRDefault="00DD1B3A" w:rsidP="00DD1B3A"/>
    <w:p w14:paraId="37B2D28F" w14:textId="2B26951B" w:rsidR="00DD1B3A" w:rsidRDefault="00DD1B3A" w:rsidP="00DD1B3A">
      <w:r>
        <w:t xml:space="preserve">I want to recognise </w:t>
      </w:r>
      <w:bookmarkStart w:id="4" w:name="_Hlk106096347"/>
      <w:proofErr w:type="spellStart"/>
      <w:r w:rsidRPr="00842FDB">
        <w:t>Te</w:t>
      </w:r>
      <w:proofErr w:type="spellEnd"/>
      <w:r w:rsidRPr="00842FDB">
        <w:t xml:space="preserve"> </w:t>
      </w:r>
      <w:proofErr w:type="spellStart"/>
      <w:r w:rsidRPr="00842FDB">
        <w:t>Apārangi</w:t>
      </w:r>
      <w:bookmarkEnd w:id="4"/>
      <w:proofErr w:type="spellEnd"/>
      <w:r w:rsidRPr="00842FDB">
        <w:t>: Māori Partnership Alliance</w:t>
      </w:r>
      <w:r>
        <w:t xml:space="preserve">. </w:t>
      </w:r>
      <w:r w:rsidR="00820CDB">
        <w:t>The</w:t>
      </w:r>
      <w:r w:rsidR="00E42AF4">
        <w:t>y were</w:t>
      </w:r>
      <w:r>
        <w:t xml:space="preserve"> requested</w:t>
      </w:r>
      <w:r w:rsidRPr="00842FDB">
        <w:t xml:space="preserve"> to work in partnership with </w:t>
      </w:r>
      <w:r>
        <w:t xml:space="preserve">the Ministry in establishing the assisted dying service by providing </w:t>
      </w:r>
      <w:r w:rsidRPr="00842FDB">
        <w:t xml:space="preserve">expert Māori advice, framed by </w:t>
      </w:r>
      <w:proofErr w:type="spellStart"/>
      <w:r w:rsidRPr="00842FDB">
        <w:t>Te</w:t>
      </w:r>
      <w:proofErr w:type="spellEnd"/>
      <w:r w:rsidRPr="00842FDB">
        <w:t xml:space="preserve"> </w:t>
      </w:r>
      <w:proofErr w:type="spellStart"/>
      <w:r w:rsidRPr="00842FDB">
        <w:t>Tiriti</w:t>
      </w:r>
      <w:proofErr w:type="spellEnd"/>
      <w:r w:rsidRPr="00842FDB">
        <w:t xml:space="preserve"> o Waitangi.</w:t>
      </w:r>
      <w:r>
        <w:t xml:space="preserve"> </w:t>
      </w:r>
      <w:proofErr w:type="spellStart"/>
      <w:r w:rsidRPr="003532B7">
        <w:t>Te</w:t>
      </w:r>
      <w:proofErr w:type="spellEnd"/>
      <w:r w:rsidRPr="003532B7">
        <w:t xml:space="preserve"> </w:t>
      </w:r>
      <w:proofErr w:type="spellStart"/>
      <w:r w:rsidRPr="003532B7">
        <w:t>Apārangi</w:t>
      </w:r>
      <w:proofErr w:type="spellEnd"/>
      <w:r w:rsidDel="00326BA9">
        <w:t xml:space="preserve"> </w:t>
      </w:r>
      <w:r>
        <w:t xml:space="preserve">now provides strategic and </w:t>
      </w:r>
      <w:r w:rsidRPr="00842FDB">
        <w:t xml:space="preserve">oversight to the assisted dying </w:t>
      </w:r>
      <w:r>
        <w:t>S</w:t>
      </w:r>
      <w:r w:rsidRPr="00842FDB">
        <w:t xml:space="preserve">ecretariat, through which </w:t>
      </w:r>
      <w:proofErr w:type="spellStart"/>
      <w:r w:rsidRPr="00842FDB">
        <w:t>Te</w:t>
      </w:r>
      <w:proofErr w:type="spellEnd"/>
      <w:r w:rsidRPr="00842FDB">
        <w:t xml:space="preserve"> </w:t>
      </w:r>
      <w:proofErr w:type="spellStart"/>
      <w:r w:rsidRPr="00842FDB">
        <w:t>Apārangi</w:t>
      </w:r>
      <w:proofErr w:type="spellEnd"/>
      <w:r w:rsidRPr="00842FDB">
        <w:t xml:space="preserve"> will support the secretariat’s role </w:t>
      </w:r>
      <w:r>
        <w:t>in</w:t>
      </w:r>
      <w:r w:rsidRPr="00842FDB">
        <w:t xml:space="preserve"> monitoring</w:t>
      </w:r>
      <w:r>
        <w:t xml:space="preserve"> quality and equity. </w:t>
      </w:r>
    </w:p>
    <w:p w14:paraId="624497C8" w14:textId="77777777" w:rsidR="00DD1B3A" w:rsidRDefault="00DD1B3A" w:rsidP="00DD1B3A"/>
    <w:p w14:paraId="7C7FB9B5" w14:textId="459B91AF" w:rsidR="00DD1B3A" w:rsidRDefault="00DD1B3A" w:rsidP="00DD1B3A">
      <w:r>
        <w:t>The service would not be possible without the skilled workforce behind it. I acknowledge the professionalism, compassion and dedication of the medical and nurs</w:t>
      </w:r>
      <w:r w:rsidR="00AF1F1A">
        <w:t xml:space="preserve">e </w:t>
      </w:r>
      <w:r>
        <w:t xml:space="preserve">practitioners who provide the direct person-centred care through the assisted dying service - </w:t>
      </w:r>
      <w:proofErr w:type="spellStart"/>
      <w:r w:rsidR="00093C63" w:rsidRPr="00093C63">
        <w:t>Ngā</w:t>
      </w:r>
      <w:proofErr w:type="spellEnd"/>
      <w:r w:rsidR="00093C63" w:rsidRPr="00093C63">
        <w:t xml:space="preserve"> </w:t>
      </w:r>
      <w:proofErr w:type="spellStart"/>
      <w:r w:rsidR="00093C63" w:rsidRPr="00093C63">
        <w:t>Ratonga</w:t>
      </w:r>
      <w:proofErr w:type="spellEnd"/>
      <w:r w:rsidR="00093C63" w:rsidRPr="00093C63">
        <w:t xml:space="preserve"> Mate </w:t>
      </w:r>
      <w:proofErr w:type="spellStart"/>
      <w:r w:rsidR="00093C63" w:rsidRPr="00093C63">
        <w:t>Whakaahuru</w:t>
      </w:r>
      <w:proofErr w:type="spellEnd"/>
      <w:r>
        <w:t>.</w:t>
      </w:r>
    </w:p>
    <w:p w14:paraId="4B043DBA" w14:textId="77777777" w:rsidR="00DD1B3A" w:rsidRDefault="00DD1B3A" w:rsidP="00DD1B3A"/>
    <w:p w14:paraId="7CC0F4D7" w14:textId="77777777" w:rsidR="00DD1B3A" w:rsidRDefault="00DD1B3A" w:rsidP="00DD1B3A">
      <w:r>
        <w:t xml:space="preserve">Finally, an acknowledgement to the people who have considered or chosen an assisted death, and their </w:t>
      </w:r>
      <w:proofErr w:type="spellStart"/>
      <w:r>
        <w:t>whānau</w:t>
      </w:r>
      <w:proofErr w:type="spellEnd"/>
      <w:r>
        <w:t>, loved ones and others who have supported them. Assisted dying is emotive and a very personal decision – it is a privilege to safeguard and support people through this part of their life. </w:t>
      </w:r>
    </w:p>
    <w:p w14:paraId="117DC801" w14:textId="77777777" w:rsidR="00DD1B3A" w:rsidRDefault="00DD1B3A" w:rsidP="00DD1B3A"/>
    <w:p w14:paraId="216E976C" w14:textId="77777777" w:rsidR="00DD1B3A" w:rsidRDefault="00DD1B3A" w:rsidP="00DD1B3A">
      <w:proofErr w:type="spellStart"/>
      <w:r>
        <w:t>Ngā</w:t>
      </w:r>
      <w:proofErr w:type="spellEnd"/>
      <w:r>
        <w:t xml:space="preserve"> mihi </w:t>
      </w:r>
      <w:proofErr w:type="spellStart"/>
      <w:r>
        <w:t>nui</w:t>
      </w:r>
      <w:proofErr w:type="spellEnd"/>
    </w:p>
    <w:p w14:paraId="7251581C" w14:textId="77777777" w:rsidR="00C468B9" w:rsidRDefault="00C468B9" w:rsidP="00DD1B3A">
      <w:pPr>
        <w:rPr>
          <w:rFonts w:cs="Segoe UI"/>
          <w:b/>
          <w:bCs/>
        </w:rPr>
      </w:pPr>
      <w:bookmarkStart w:id="5" w:name="_Toc2753223"/>
    </w:p>
    <w:p w14:paraId="4D145A31" w14:textId="77777777" w:rsidR="00DD1B3A" w:rsidRPr="00E52486" w:rsidRDefault="00DD1B3A" w:rsidP="00DD1B3A">
      <w:pPr>
        <w:rPr>
          <w:rFonts w:cs="Segoe UI"/>
        </w:rPr>
      </w:pPr>
      <w:r w:rsidRPr="0009147C">
        <w:rPr>
          <w:rFonts w:cs="Segoe UI"/>
          <w:b/>
          <w:bCs/>
        </w:rPr>
        <w:t>Dr Kristin Good</w:t>
      </w:r>
    </w:p>
    <w:p w14:paraId="20D4F733" w14:textId="77777777" w:rsidR="00DD1B3A" w:rsidRPr="009D4D11" w:rsidRDefault="00DD1B3A" w:rsidP="00DD1B3A">
      <w:pPr>
        <w:rPr>
          <w:rFonts w:cs="Segoe UI"/>
          <w:b/>
          <w:bCs/>
        </w:rPr>
      </w:pPr>
      <w:r w:rsidRPr="0009147C">
        <w:rPr>
          <w:rFonts w:cs="Segoe UI"/>
          <w:b/>
          <w:bCs/>
        </w:rPr>
        <w:t>Registrar (</w:t>
      </w:r>
      <w:r>
        <w:rPr>
          <w:rFonts w:cs="Segoe UI"/>
          <w:b/>
          <w:bCs/>
        </w:rPr>
        <w:t>a</w:t>
      </w:r>
      <w:r w:rsidRPr="0009147C">
        <w:rPr>
          <w:rFonts w:cs="Segoe UI"/>
          <w:b/>
          <w:bCs/>
        </w:rPr>
        <w:t xml:space="preserve">ssisted </w:t>
      </w:r>
      <w:r>
        <w:rPr>
          <w:rFonts w:cs="Segoe UI"/>
          <w:b/>
          <w:bCs/>
        </w:rPr>
        <w:t>d</w:t>
      </w:r>
      <w:r w:rsidRPr="0009147C">
        <w:rPr>
          <w:rFonts w:cs="Segoe UI"/>
          <w:b/>
          <w:bCs/>
        </w:rPr>
        <w:t>ying)</w:t>
      </w:r>
    </w:p>
    <w:bookmarkEnd w:id="5"/>
    <w:p w14:paraId="1EBACA19" w14:textId="77777777" w:rsidR="00DD1B3A" w:rsidRDefault="00DD1B3A" w:rsidP="00F54E74">
      <w:pPr>
        <w:pStyle w:val="Heading1"/>
        <w:sectPr w:rsidR="00DD1B3A" w:rsidSect="00550E9A">
          <w:footerReference w:type="even" r:id="rId20"/>
          <w:footerReference w:type="default" r:id="rId21"/>
          <w:pgSz w:w="11907" w:h="16834" w:code="9"/>
          <w:pgMar w:top="1418" w:right="1701" w:bottom="1134" w:left="1843" w:header="284" w:footer="425" w:gutter="284"/>
          <w:pgNumType w:start="1"/>
          <w:cols w:space="720"/>
          <w:docGrid w:linePitch="286"/>
        </w:sectPr>
      </w:pPr>
    </w:p>
    <w:p w14:paraId="2A54BC60" w14:textId="77777777" w:rsidR="00DD1B3A" w:rsidRPr="001E7528" w:rsidRDefault="00DD1B3A" w:rsidP="00DD1B3A">
      <w:pPr>
        <w:pStyle w:val="Heading1"/>
        <w:rPr>
          <w:rFonts w:cs="Segoe UI"/>
        </w:rPr>
      </w:pPr>
      <w:bookmarkStart w:id="6" w:name="_Toc103606314"/>
      <w:bookmarkStart w:id="7" w:name="_Toc104460662"/>
      <w:bookmarkStart w:id="8" w:name="_Toc106611861"/>
      <w:r w:rsidRPr="001E7528">
        <w:rPr>
          <w:rFonts w:cs="Segoe UI"/>
        </w:rPr>
        <w:lastRenderedPageBreak/>
        <w:t>Introduction</w:t>
      </w:r>
      <w:bookmarkEnd w:id="6"/>
      <w:bookmarkEnd w:id="7"/>
      <w:bookmarkEnd w:id="8"/>
    </w:p>
    <w:p w14:paraId="0FCB7BC1" w14:textId="77777777" w:rsidR="00DD1B3A" w:rsidRPr="001E7528" w:rsidRDefault="00DD1B3A" w:rsidP="00E236F4">
      <w:pPr>
        <w:pStyle w:val="Heading2"/>
        <w:numPr>
          <w:ilvl w:val="0"/>
          <w:numId w:val="9"/>
        </w:numPr>
        <w:ind w:hanging="720"/>
      </w:pPr>
      <w:bookmarkStart w:id="9" w:name="_Toc103606315"/>
      <w:bookmarkStart w:id="10" w:name="_Toc104460663"/>
      <w:bookmarkStart w:id="11" w:name="_Toc106611862"/>
      <w:r w:rsidRPr="001E7528">
        <w:t>About this report</w:t>
      </w:r>
      <w:bookmarkEnd w:id="9"/>
      <w:bookmarkEnd w:id="10"/>
      <w:bookmarkEnd w:id="11"/>
      <w:r w:rsidRPr="001E7528">
        <w:t xml:space="preserve"> </w:t>
      </w:r>
    </w:p>
    <w:p w14:paraId="0C575C87" w14:textId="77777777" w:rsidR="00DD1B3A" w:rsidRPr="001E7528" w:rsidRDefault="00DD1B3A" w:rsidP="00DD1B3A">
      <w:pPr>
        <w:rPr>
          <w:rFonts w:cs="Segoe UI"/>
        </w:rPr>
      </w:pPr>
    </w:p>
    <w:p w14:paraId="0E85707A" w14:textId="77777777" w:rsidR="00DD1B3A" w:rsidRDefault="00DD1B3A" w:rsidP="00DD1B3A">
      <w:r>
        <w:t xml:space="preserve">The Ministry of Health is </w:t>
      </w:r>
      <w:r w:rsidRPr="00944ACD">
        <w:t xml:space="preserve">responsible for administering the </w:t>
      </w:r>
      <w:proofErr w:type="gramStart"/>
      <w:r w:rsidRPr="00944ACD">
        <w:t>End of Life</w:t>
      </w:r>
      <w:proofErr w:type="gramEnd"/>
      <w:r w:rsidRPr="00944ACD">
        <w:t xml:space="preserve"> Choice Act 2019 (the Act)</w:t>
      </w:r>
      <w:r>
        <w:t xml:space="preserve">. </w:t>
      </w:r>
    </w:p>
    <w:p w14:paraId="3038AC19" w14:textId="77777777" w:rsidR="00DD1B3A" w:rsidRDefault="00DD1B3A" w:rsidP="00DD1B3A"/>
    <w:p w14:paraId="092F0245" w14:textId="77777777" w:rsidR="00DD1B3A" w:rsidRDefault="00DD1B3A" w:rsidP="00DD1B3A">
      <w:r>
        <w:t>T</w:t>
      </w:r>
      <w:r w:rsidRPr="001E7528">
        <w:t xml:space="preserve">he Registrar (assisted dying) </w:t>
      </w:r>
      <w:r>
        <w:t xml:space="preserve">is required </w:t>
      </w:r>
      <w:r w:rsidRPr="001E7528">
        <w:t xml:space="preserve">to report </w:t>
      </w:r>
      <w:r>
        <w:t xml:space="preserve">on the assisted dying service, as per Section 27(7) of the Act. </w:t>
      </w:r>
    </w:p>
    <w:p w14:paraId="6B76B39B" w14:textId="77777777" w:rsidR="00DD1B3A" w:rsidRDefault="00DD1B3A" w:rsidP="00DD1B3A"/>
    <w:p w14:paraId="43D53765" w14:textId="77777777" w:rsidR="00DD1B3A" w:rsidRPr="001E7528" w:rsidRDefault="00DD1B3A" w:rsidP="00DD1B3A">
      <w:r>
        <w:t xml:space="preserve">Reporting is due </w:t>
      </w:r>
      <w:r w:rsidRPr="001E7528">
        <w:t>to the Minister of Health by the end of 30 June each year</w:t>
      </w:r>
      <w:r>
        <w:t>, and covers</w:t>
      </w:r>
      <w:r w:rsidRPr="001E7528">
        <w:t xml:space="preserve">: </w:t>
      </w:r>
    </w:p>
    <w:p w14:paraId="523DDC7D" w14:textId="77777777" w:rsidR="00DD1B3A" w:rsidRPr="00E53363" w:rsidRDefault="00DD1B3A" w:rsidP="00DD1B3A">
      <w:pPr>
        <w:pStyle w:val="Bullet"/>
      </w:pPr>
      <w:r w:rsidRPr="00E53363">
        <w:t>the total number of deaths occurring under </w:t>
      </w:r>
      <w:bookmarkStart w:id="12" w:name="DLM7285964"/>
      <w:r w:rsidRPr="00E53363">
        <w:fldChar w:fldCharType="begin"/>
      </w:r>
      <w:r w:rsidRPr="00E53363">
        <w:instrText xml:space="preserve"> HYPERLINK "https://www.legislation.govt.nz/act/public/2019/0067/latest/link.aspx?id=DLM7285964" \l "DLM7285964" </w:instrText>
      </w:r>
      <w:r w:rsidRPr="00E53363">
        <w:fldChar w:fldCharType="separate"/>
      </w:r>
      <w:r w:rsidRPr="00E53363">
        <w:t>the</w:t>
      </w:r>
      <w:r w:rsidRPr="00E53363">
        <w:fldChar w:fldCharType="end"/>
      </w:r>
      <w:bookmarkEnd w:id="12"/>
      <w:r w:rsidRPr="00E53363">
        <w:t xml:space="preserve"> Act</w:t>
      </w:r>
    </w:p>
    <w:p w14:paraId="2A408FC9" w14:textId="77777777" w:rsidR="00DD1B3A" w:rsidRPr="00E53363" w:rsidRDefault="00DD1B3A" w:rsidP="00DD1B3A">
      <w:pPr>
        <w:pStyle w:val="Bullet"/>
      </w:pPr>
      <w:r w:rsidRPr="00E53363">
        <w:t>the number of deaths occurring through each of the methods of administration of medication</w:t>
      </w:r>
    </w:p>
    <w:p w14:paraId="09D8ECD6" w14:textId="77777777" w:rsidR="00DD1B3A" w:rsidRPr="00E53363" w:rsidRDefault="00DD1B3A" w:rsidP="00DD1B3A">
      <w:pPr>
        <w:pStyle w:val="Bullet"/>
      </w:pPr>
      <w:r w:rsidRPr="00E53363">
        <w:t>the number of complaints received about breaches of this Act and how those complaints were dealt with</w:t>
      </w:r>
    </w:p>
    <w:p w14:paraId="620286E9" w14:textId="77777777" w:rsidR="00DD1B3A" w:rsidRPr="00E53363" w:rsidRDefault="00DD1B3A" w:rsidP="00DD1B3A">
      <w:pPr>
        <w:pStyle w:val="Bullet"/>
      </w:pPr>
      <w:r w:rsidRPr="00E53363">
        <w:t>any other matter relating to the operation of the Act that the Registrar thinks appropriate.</w:t>
      </w:r>
    </w:p>
    <w:p w14:paraId="15FE8931" w14:textId="77777777" w:rsidR="00DD1B3A" w:rsidRPr="001E7528" w:rsidRDefault="00DD1B3A" w:rsidP="00DD1B3A">
      <w:pPr>
        <w:rPr>
          <w:rFonts w:cs="Segoe UI"/>
        </w:rPr>
      </w:pPr>
    </w:p>
    <w:p w14:paraId="60E1C988" w14:textId="77777777" w:rsidR="00DD1B3A" w:rsidRDefault="00DD1B3A" w:rsidP="00DD1B3A">
      <w:r w:rsidRPr="001E7528">
        <w:t>Th</w:t>
      </w:r>
      <w:r>
        <w:t>is</w:t>
      </w:r>
      <w:r w:rsidRPr="001E7528">
        <w:t xml:space="preserve"> report covers the period</w:t>
      </w:r>
      <w:r>
        <w:t xml:space="preserve"> from</w:t>
      </w:r>
      <w:r w:rsidRPr="001E7528">
        <w:t xml:space="preserve"> 7 November </w:t>
      </w:r>
      <w:r>
        <w:t>2021 to</w:t>
      </w:r>
      <w:r w:rsidRPr="001E7528">
        <w:t xml:space="preserve"> 31 March</w:t>
      </w:r>
      <w:r>
        <w:t xml:space="preserve"> 2022 and is</w:t>
      </w:r>
      <w:r w:rsidRPr="00B9588C">
        <w:t xml:space="preserve"> the first published since the </w:t>
      </w:r>
      <w:r>
        <w:t>Act</w:t>
      </w:r>
      <w:r w:rsidRPr="00B9588C">
        <w:t xml:space="preserve"> came into force on 7 November 2021. In addition to the information outlined above, it contains a summary of the implementation of the Act, stakeholders involved in the service, service usage, workforce, feedback and complaints. </w:t>
      </w:r>
    </w:p>
    <w:p w14:paraId="50FD511A" w14:textId="77777777" w:rsidR="00DD1B3A" w:rsidRDefault="00DD1B3A" w:rsidP="00DD1B3A"/>
    <w:p w14:paraId="211D4576" w14:textId="77777777" w:rsidR="00DD1B3A" w:rsidRPr="001E7528" w:rsidRDefault="00DD1B3A" w:rsidP="00DD1B3A">
      <w:r w:rsidRPr="001E7528">
        <w:t>The next report</w:t>
      </w:r>
      <w:r>
        <w:t xml:space="preserve"> will</w:t>
      </w:r>
      <w:r w:rsidRPr="001E7528">
        <w:t xml:space="preserve"> </w:t>
      </w:r>
      <w:r>
        <w:t xml:space="preserve">be the first to </w:t>
      </w:r>
      <w:r w:rsidRPr="001E7528">
        <w:t>cover</w:t>
      </w:r>
      <w:r>
        <w:t xml:space="preserve"> a full year, from 1 April </w:t>
      </w:r>
      <w:r w:rsidRPr="001E7528">
        <w:t xml:space="preserve">2022 </w:t>
      </w:r>
      <w:r>
        <w:t>to</w:t>
      </w:r>
      <w:r w:rsidRPr="001E7528">
        <w:t xml:space="preserve"> 31 March 2023. </w:t>
      </w:r>
    </w:p>
    <w:p w14:paraId="7AFE92BC" w14:textId="77777777" w:rsidR="00DD1B3A" w:rsidRPr="00DD1B3A" w:rsidRDefault="00DD1B3A" w:rsidP="00E236F4">
      <w:pPr>
        <w:pStyle w:val="Heading2"/>
        <w:numPr>
          <w:ilvl w:val="0"/>
          <w:numId w:val="9"/>
        </w:numPr>
        <w:ind w:hanging="720"/>
      </w:pPr>
      <w:bookmarkStart w:id="13" w:name="_Toc103606316"/>
      <w:bookmarkStart w:id="14" w:name="_Toc104460664"/>
      <w:bookmarkStart w:id="15" w:name="_Toc106611863"/>
      <w:r w:rsidRPr="00DD1B3A">
        <w:t>Role of the Registrar (assisted dying)</w:t>
      </w:r>
      <w:bookmarkEnd w:id="13"/>
      <w:bookmarkEnd w:id="14"/>
      <w:bookmarkEnd w:id="15"/>
    </w:p>
    <w:p w14:paraId="13503275" w14:textId="77777777" w:rsidR="00DD1B3A" w:rsidRPr="001E7528" w:rsidRDefault="00DD1B3A" w:rsidP="00DD1B3A">
      <w:pPr>
        <w:rPr>
          <w:rFonts w:cs="Segoe UI"/>
        </w:rPr>
      </w:pPr>
      <w:r w:rsidRPr="001E7528">
        <w:rPr>
          <w:rFonts w:cs="Segoe UI"/>
        </w:rPr>
        <w:t xml:space="preserve">The Registrar is a statutory role under the Act, appointed by the Director-General of Health. </w:t>
      </w:r>
      <w:r>
        <w:rPr>
          <w:rFonts w:cs="Segoe UI"/>
        </w:rPr>
        <w:t>The</w:t>
      </w:r>
      <w:r w:rsidRPr="001E7528">
        <w:rPr>
          <w:rFonts w:cs="Segoe UI"/>
        </w:rPr>
        <w:t xml:space="preserve"> Registrar’s responsibilities include: </w:t>
      </w:r>
    </w:p>
    <w:p w14:paraId="1EB46127" w14:textId="77777777" w:rsidR="00DD1B3A" w:rsidRPr="00D107CC" w:rsidRDefault="00DD1B3A" w:rsidP="00DD1B3A">
      <w:pPr>
        <w:pStyle w:val="Bullet"/>
      </w:pPr>
      <w:r w:rsidRPr="00D107CC">
        <w:t>reviewing the assisted dying forms completed by practitioners, to ensure compliance with the Act prior to the prescription being released</w:t>
      </w:r>
    </w:p>
    <w:p w14:paraId="08FFCB0C" w14:textId="77777777" w:rsidR="00DD1B3A" w:rsidRPr="00D107CC" w:rsidRDefault="00DD1B3A" w:rsidP="00DD1B3A">
      <w:pPr>
        <w:pStyle w:val="Bullet"/>
      </w:pPr>
      <w:r w:rsidRPr="00D107CC">
        <w:t xml:space="preserve">maintaining a register of approved forms for the assisted dying process, including consulting the Privacy Commissioner as appropriate </w:t>
      </w:r>
    </w:p>
    <w:p w14:paraId="581D2F79" w14:textId="77777777" w:rsidR="00DD1B3A" w:rsidRPr="00D107CC" w:rsidRDefault="00DD1B3A" w:rsidP="00DD1B3A">
      <w:pPr>
        <w:pStyle w:val="Bullet"/>
      </w:pPr>
      <w:r w:rsidRPr="00D107CC">
        <w:t xml:space="preserve">receiving and managing complaints, including referring them to the Health and Disability Commissioner, New Zealand Police, and/or other appropriate authorities </w:t>
      </w:r>
    </w:p>
    <w:p w14:paraId="72B323EC" w14:textId="77777777" w:rsidR="00DD1B3A" w:rsidRPr="00D107CC" w:rsidRDefault="00DD1B3A" w:rsidP="00DD1B3A">
      <w:pPr>
        <w:pStyle w:val="Bullet"/>
      </w:pPr>
      <w:r w:rsidRPr="00D107CC">
        <w:t xml:space="preserve">acting on feedback from the Review Committee. </w:t>
      </w:r>
    </w:p>
    <w:p w14:paraId="5D76154F" w14:textId="77777777" w:rsidR="00DD1B3A" w:rsidRPr="001E7528" w:rsidRDefault="00DD1B3A" w:rsidP="002130AE"/>
    <w:p w14:paraId="161C6C37" w14:textId="77777777" w:rsidR="00DD1B3A" w:rsidRPr="001E7528" w:rsidRDefault="00DD1B3A" w:rsidP="00DD1B3A">
      <w:pPr>
        <w:rPr>
          <w:rFonts w:cs="Segoe UI"/>
        </w:rPr>
      </w:pPr>
      <w:r w:rsidRPr="61D104B1">
        <w:rPr>
          <w:rFonts w:cs="Segoe UI"/>
        </w:rPr>
        <w:t>The Registrar also</w:t>
      </w:r>
      <w:r>
        <w:rPr>
          <w:rFonts w:cs="Segoe UI"/>
        </w:rPr>
        <w:t xml:space="preserve"> plays an important role in</w:t>
      </w:r>
      <w:r w:rsidRPr="61D104B1">
        <w:rPr>
          <w:rFonts w:cs="Segoe UI"/>
        </w:rPr>
        <w:t xml:space="preserve"> the </w:t>
      </w:r>
      <w:r>
        <w:rPr>
          <w:rFonts w:cs="Segoe UI"/>
        </w:rPr>
        <w:t xml:space="preserve">delivery </w:t>
      </w:r>
      <w:r w:rsidRPr="61D104B1">
        <w:rPr>
          <w:rFonts w:cs="Segoe UI"/>
        </w:rPr>
        <w:t>of the assisted dying service</w:t>
      </w:r>
      <w:r>
        <w:rPr>
          <w:rFonts w:cs="Segoe UI"/>
        </w:rPr>
        <w:t xml:space="preserve"> by</w:t>
      </w:r>
      <w:r w:rsidRPr="61D104B1">
        <w:rPr>
          <w:rFonts w:cs="Segoe UI"/>
        </w:rPr>
        <w:t xml:space="preserve"> providing support and advice to </w:t>
      </w:r>
      <w:r>
        <w:rPr>
          <w:rFonts w:cs="Segoe UI"/>
        </w:rPr>
        <w:t xml:space="preserve">health </w:t>
      </w:r>
      <w:r w:rsidRPr="61D104B1">
        <w:rPr>
          <w:rFonts w:cs="Segoe UI"/>
        </w:rPr>
        <w:t>practitioner</w:t>
      </w:r>
      <w:r>
        <w:rPr>
          <w:rFonts w:cs="Segoe UI"/>
        </w:rPr>
        <w:t>s, clinical advisors and the Assisted Dying Secretariat</w:t>
      </w:r>
      <w:r w:rsidRPr="61D104B1">
        <w:rPr>
          <w:rFonts w:cs="Segoe UI"/>
        </w:rPr>
        <w:t xml:space="preserve">. </w:t>
      </w:r>
    </w:p>
    <w:p w14:paraId="23C8CA76" w14:textId="77777777" w:rsidR="00DD1B3A" w:rsidRDefault="00DD1B3A" w:rsidP="00F54E74">
      <w:pPr>
        <w:pStyle w:val="Heading1"/>
        <w:sectPr w:rsidR="00DD1B3A" w:rsidSect="00DD1B3A">
          <w:pgSz w:w="11907" w:h="16834" w:code="9"/>
          <w:pgMar w:top="1418" w:right="1701" w:bottom="1134" w:left="1843" w:header="284" w:footer="425" w:gutter="284"/>
          <w:cols w:space="720"/>
          <w:docGrid w:linePitch="286"/>
        </w:sectPr>
      </w:pPr>
    </w:p>
    <w:p w14:paraId="043EFF0C" w14:textId="77777777" w:rsidR="00DD1B3A" w:rsidRPr="001E7528" w:rsidRDefault="00DD1B3A" w:rsidP="00DD1B3A">
      <w:pPr>
        <w:pStyle w:val="Heading1"/>
        <w:rPr>
          <w:rFonts w:cs="Segoe UI"/>
        </w:rPr>
      </w:pPr>
      <w:bookmarkStart w:id="16" w:name="_Toc103606317"/>
      <w:bookmarkStart w:id="17" w:name="_Toc104460665"/>
      <w:bookmarkStart w:id="18" w:name="_Toc106611864"/>
      <w:r w:rsidRPr="001E7528">
        <w:rPr>
          <w:rFonts w:cs="Segoe UI"/>
        </w:rPr>
        <w:lastRenderedPageBreak/>
        <w:t>Introducing an assisted dying service in New Zealand Aotearoa</w:t>
      </w:r>
      <w:bookmarkEnd w:id="16"/>
      <w:bookmarkEnd w:id="17"/>
      <w:bookmarkEnd w:id="18"/>
    </w:p>
    <w:p w14:paraId="7FCB1FD6" w14:textId="77777777" w:rsidR="00DD1B3A" w:rsidRPr="00DD1B3A" w:rsidRDefault="00DD1B3A" w:rsidP="00E236F4">
      <w:pPr>
        <w:pStyle w:val="Heading2"/>
        <w:numPr>
          <w:ilvl w:val="0"/>
          <w:numId w:val="10"/>
        </w:numPr>
        <w:ind w:hanging="720"/>
      </w:pPr>
      <w:bookmarkStart w:id="19" w:name="_Toc104460666"/>
      <w:bookmarkStart w:id="20" w:name="_Toc106611865"/>
      <w:r w:rsidRPr="00DD1B3A">
        <w:t xml:space="preserve">Mate </w:t>
      </w:r>
      <w:proofErr w:type="spellStart"/>
      <w:r w:rsidRPr="00DD1B3A">
        <w:t>whakaahuru</w:t>
      </w:r>
      <w:bookmarkEnd w:id="19"/>
      <w:bookmarkEnd w:id="20"/>
      <w:proofErr w:type="spellEnd"/>
    </w:p>
    <w:p w14:paraId="2E9150F6" w14:textId="7394EE02" w:rsidR="00DD1B3A" w:rsidRDefault="00DD1B3A" w:rsidP="00DD1B3A">
      <w:r w:rsidRPr="001444EB">
        <w:t xml:space="preserve">The Ministry is using mate </w:t>
      </w:r>
      <w:proofErr w:type="spellStart"/>
      <w:r w:rsidRPr="001444EB">
        <w:t>whakaahuru</w:t>
      </w:r>
      <w:proofErr w:type="spellEnd"/>
      <w:r w:rsidRPr="001444EB">
        <w:t xml:space="preserve"> as the </w:t>
      </w:r>
      <w:proofErr w:type="spellStart"/>
      <w:r w:rsidRPr="001444EB">
        <w:t>te</w:t>
      </w:r>
      <w:proofErr w:type="spellEnd"/>
      <w:r w:rsidRPr="001444EB">
        <w:t xml:space="preserve"> </w:t>
      </w:r>
      <w:proofErr w:type="spellStart"/>
      <w:r w:rsidRPr="001444EB">
        <w:t>reo</w:t>
      </w:r>
      <w:proofErr w:type="spellEnd"/>
      <w:r w:rsidRPr="001444EB">
        <w:t xml:space="preserve"> Māori translation for assisted dying. This means </w:t>
      </w:r>
      <w:r>
        <w:t>‘</w:t>
      </w:r>
      <w:r w:rsidRPr="001444EB">
        <w:t>to die in a warm and comforting manner</w:t>
      </w:r>
      <w:r>
        <w:t>’</w:t>
      </w:r>
      <w:r w:rsidRPr="001444EB">
        <w:t xml:space="preserve">. </w:t>
      </w:r>
    </w:p>
    <w:p w14:paraId="337BBA3D" w14:textId="77777777" w:rsidR="00DD1B3A" w:rsidRPr="001444EB" w:rsidRDefault="00DD1B3A" w:rsidP="00DD1B3A"/>
    <w:p w14:paraId="17DBB693" w14:textId="77777777" w:rsidR="00DD1B3A" w:rsidRPr="001444EB" w:rsidRDefault="00DD1B3A" w:rsidP="00DD1B3A">
      <w:r w:rsidRPr="001444EB">
        <w:t xml:space="preserve">This </w:t>
      </w:r>
      <w:proofErr w:type="spellStart"/>
      <w:r w:rsidRPr="001444EB">
        <w:t>kupu</w:t>
      </w:r>
      <w:proofErr w:type="spellEnd"/>
      <w:r w:rsidRPr="001444EB">
        <w:t xml:space="preserve"> was used by Māori media and proficient </w:t>
      </w:r>
      <w:proofErr w:type="spellStart"/>
      <w:r w:rsidRPr="001444EB">
        <w:t>te</w:t>
      </w:r>
      <w:proofErr w:type="spellEnd"/>
      <w:r w:rsidRPr="001444EB">
        <w:t xml:space="preserve"> </w:t>
      </w:r>
      <w:proofErr w:type="spellStart"/>
      <w:r w:rsidRPr="001444EB">
        <w:t>reo</w:t>
      </w:r>
      <w:proofErr w:type="spellEnd"/>
      <w:r w:rsidRPr="001444EB">
        <w:t xml:space="preserve"> speakers prior to the Act coming into force. The Ministry of Health (the Ministry) consulted with </w:t>
      </w:r>
      <w:proofErr w:type="spellStart"/>
      <w:r w:rsidRPr="001444EB">
        <w:t>Te</w:t>
      </w:r>
      <w:proofErr w:type="spellEnd"/>
      <w:r w:rsidRPr="001444EB">
        <w:t xml:space="preserve"> </w:t>
      </w:r>
      <w:proofErr w:type="spellStart"/>
      <w:r w:rsidRPr="001444EB">
        <w:t>Apārangi</w:t>
      </w:r>
      <w:proofErr w:type="spellEnd"/>
      <w:r w:rsidRPr="001444EB">
        <w:t>: Māori Partnership Alliance and the Support and Consultation for End of Life in New Zealand (SCENZ) Group before this translation</w:t>
      </w:r>
      <w:r>
        <w:t xml:space="preserve"> was adopted</w:t>
      </w:r>
      <w:r w:rsidRPr="001444EB">
        <w:t xml:space="preserve">. </w:t>
      </w:r>
    </w:p>
    <w:p w14:paraId="62F7EAA2" w14:textId="77777777" w:rsidR="00DD1B3A" w:rsidRPr="00DD1B3A" w:rsidRDefault="00DD1B3A" w:rsidP="00E236F4">
      <w:pPr>
        <w:pStyle w:val="Heading2"/>
        <w:numPr>
          <w:ilvl w:val="0"/>
          <w:numId w:val="10"/>
        </w:numPr>
        <w:ind w:hanging="720"/>
      </w:pPr>
      <w:bookmarkStart w:id="21" w:name="_Toc103606318"/>
      <w:bookmarkStart w:id="22" w:name="_Toc104460667"/>
      <w:bookmarkStart w:id="23" w:name="_Toc106611866"/>
      <w:bookmarkStart w:id="24" w:name="_Toc103085565"/>
      <w:r w:rsidRPr="00DD1B3A">
        <w:t xml:space="preserve">The </w:t>
      </w:r>
      <w:proofErr w:type="gramStart"/>
      <w:r w:rsidRPr="00DD1B3A">
        <w:t>End of Life</w:t>
      </w:r>
      <w:proofErr w:type="gramEnd"/>
      <w:r w:rsidRPr="00DD1B3A">
        <w:t xml:space="preserve"> Choice Act 2019</w:t>
      </w:r>
      <w:bookmarkEnd w:id="21"/>
      <w:bookmarkEnd w:id="22"/>
      <w:bookmarkEnd w:id="23"/>
    </w:p>
    <w:p w14:paraId="5BF142C2" w14:textId="2DC0BE74" w:rsidR="00DD1B3A" w:rsidRDefault="00DD1B3A" w:rsidP="002130AE">
      <w:r w:rsidRPr="001E7528">
        <w:rPr>
          <w:rFonts w:eastAsia="MS Gothic"/>
          <w:bCs/>
          <w:szCs w:val="21"/>
        </w:rPr>
        <w:t xml:space="preserve">The </w:t>
      </w:r>
      <w:r>
        <w:rPr>
          <w:rFonts w:eastAsia="MS Gothic"/>
          <w:bCs/>
          <w:szCs w:val="21"/>
        </w:rPr>
        <w:t>Act</w:t>
      </w:r>
      <w:r w:rsidRPr="001E7528">
        <w:rPr>
          <w:szCs w:val="21"/>
        </w:rPr>
        <w:t xml:space="preserve"> was passed</w:t>
      </w:r>
      <w:r w:rsidRPr="001E7528">
        <w:t xml:space="preserve"> by Parliament on 13 November 2019 on the condition that a public referendum </w:t>
      </w:r>
      <w:r>
        <w:t>would be</w:t>
      </w:r>
      <w:r w:rsidRPr="001E7528">
        <w:t xml:space="preserve"> held</w:t>
      </w:r>
      <w:r>
        <w:t xml:space="preserve"> </w:t>
      </w:r>
      <w:r w:rsidRPr="001E7528">
        <w:t>at the 2020 General Election</w:t>
      </w:r>
      <w:r>
        <w:t xml:space="preserve"> seeking public opinion</w:t>
      </w:r>
      <w:r w:rsidRPr="001E7528">
        <w:t xml:space="preserve"> on whether the Act should come into force. </w:t>
      </w:r>
      <w:r>
        <w:t xml:space="preserve">65% of eligible voters voted in favour of an assisted dying framework, and the Act came into force on 7 November 2021. </w:t>
      </w:r>
    </w:p>
    <w:p w14:paraId="56572E46" w14:textId="77777777" w:rsidR="002130AE" w:rsidRPr="001E7528" w:rsidRDefault="002130AE" w:rsidP="002130AE"/>
    <w:p w14:paraId="519AFA9F" w14:textId="77777777" w:rsidR="00DD1B3A" w:rsidRPr="001E7528" w:rsidRDefault="00DD1B3A" w:rsidP="002130AE">
      <w:r w:rsidRPr="001E7528">
        <w:t xml:space="preserve">The Act </w:t>
      </w:r>
      <w:r>
        <w:t>gives</w:t>
      </w:r>
      <w:r w:rsidRPr="001E7528">
        <w:t xml:space="preserve"> </w:t>
      </w:r>
      <w:r w:rsidRPr="001E7528">
        <w:rPr>
          <w:lang w:eastAsia="en-NZ"/>
        </w:rPr>
        <w:t xml:space="preserve">a person with a terminal illness </w:t>
      </w:r>
      <w:r w:rsidRPr="001E7528">
        <w:t>the option to</w:t>
      </w:r>
      <w:r w:rsidRPr="001E7528">
        <w:rPr>
          <w:lang w:eastAsia="en-NZ"/>
        </w:rPr>
        <w:t xml:space="preserve"> request medication to end their life.</w:t>
      </w:r>
      <w:r w:rsidRPr="001E7528">
        <w:t xml:space="preserve"> The Act outlines the legal framework for assisted dying, including eligibility criteria and some key safeguards. </w:t>
      </w:r>
    </w:p>
    <w:p w14:paraId="62FBE0B4" w14:textId="77777777" w:rsidR="002130AE" w:rsidRDefault="002130AE" w:rsidP="002130AE"/>
    <w:p w14:paraId="418D800D" w14:textId="69970DDE" w:rsidR="00DD1B3A" w:rsidRPr="001E7528" w:rsidRDefault="00DD1B3A" w:rsidP="002130AE">
      <w:r w:rsidRPr="001E7528">
        <w:t xml:space="preserve">To be eligible for </w:t>
      </w:r>
      <w:r>
        <w:t>an assisted death,</w:t>
      </w:r>
      <w:r w:rsidRPr="001E7528">
        <w:t xml:space="preserve"> a person must be: </w:t>
      </w:r>
    </w:p>
    <w:p w14:paraId="6C7647D7" w14:textId="77777777" w:rsidR="00DD1B3A" w:rsidRPr="001E7528" w:rsidRDefault="00DD1B3A" w:rsidP="00DD1B3A">
      <w:pPr>
        <w:pStyle w:val="Bullet"/>
        <w:rPr>
          <w:rFonts w:cs="Segoe UI"/>
        </w:rPr>
      </w:pPr>
      <w:r w:rsidRPr="2B75C2E1">
        <w:rPr>
          <w:rFonts w:cs="Segoe UI"/>
        </w:rPr>
        <w:t>aged 18 years or over</w:t>
      </w:r>
    </w:p>
    <w:p w14:paraId="10AEEA23" w14:textId="77777777" w:rsidR="00DD1B3A" w:rsidRPr="001E7528" w:rsidRDefault="00DD1B3A" w:rsidP="00DD1B3A">
      <w:pPr>
        <w:pStyle w:val="Bullet"/>
        <w:rPr>
          <w:rFonts w:cs="Segoe UI"/>
        </w:rPr>
      </w:pPr>
      <w:r w:rsidRPr="2B75C2E1">
        <w:rPr>
          <w:rFonts w:cs="Segoe UI"/>
        </w:rPr>
        <w:t>a citizen or permanent resident of New Zealand</w:t>
      </w:r>
    </w:p>
    <w:p w14:paraId="2158EAE7" w14:textId="77777777" w:rsidR="00DD1B3A" w:rsidRPr="001E7528" w:rsidRDefault="00DD1B3A" w:rsidP="00DD1B3A">
      <w:pPr>
        <w:pStyle w:val="Bullet"/>
        <w:rPr>
          <w:rFonts w:cs="Segoe UI"/>
        </w:rPr>
      </w:pPr>
      <w:r w:rsidRPr="2B75C2E1">
        <w:rPr>
          <w:rFonts w:cs="Segoe UI"/>
        </w:rPr>
        <w:t>suffering from a terminal illness that is likely to end their life within six months</w:t>
      </w:r>
    </w:p>
    <w:p w14:paraId="6B385D82" w14:textId="77777777" w:rsidR="00DD1B3A" w:rsidRPr="001E7528" w:rsidRDefault="00DD1B3A" w:rsidP="00DD1B3A">
      <w:pPr>
        <w:pStyle w:val="Bullet"/>
        <w:rPr>
          <w:rFonts w:cs="Segoe UI"/>
        </w:rPr>
      </w:pPr>
      <w:r w:rsidRPr="2B75C2E1">
        <w:rPr>
          <w:rFonts w:cs="Segoe UI"/>
        </w:rPr>
        <w:t>in an advanced state of irreversible decline in physical capability</w:t>
      </w:r>
    </w:p>
    <w:p w14:paraId="6C6829E7" w14:textId="77777777" w:rsidR="00DD1B3A" w:rsidRPr="001E7528" w:rsidRDefault="00DD1B3A" w:rsidP="00DD1B3A">
      <w:pPr>
        <w:pStyle w:val="Bullet"/>
        <w:rPr>
          <w:rFonts w:cs="Segoe UI"/>
        </w:rPr>
      </w:pPr>
      <w:r w:rsidRPr="2B75C2E1">
        <w:rPr>
          <w:rFonts w:cs="Segoe UI"/>
        </w:rPr>
        <w:t>experiencing unbearable suffering that cannot be relieved in a manner that the person considers tolerable</w:t>
      </w:r>
      <w:r>
        <w:rPr>
          <w:rFonts w:cs="Segoe UI"/>
        </w:rPr>
        <w:t>, and</w:t>
      </w:r>
    </w:p>
    <w:p w14:paraId="731C6F7C" w14:textId="77777777" w:rsidR="00DD1B3A" w:rsidRPr="001E7528" w:rsidRDefault="00DD1B3A" w:rsidP="00DD1B3A">
      <w:pPr>
        <w:pStyle w:val="Bullet"/>
        <w:rPr>
          <w:rFonts w:cs="Segoe UI"/>
        </w:rPr>
      </w:pPr>
      <w:r w:rsidRPr="2B75C2E1">
        <w:rPr>
          <w:rFonts w:cs="Segoe UI"/>
        </w:rPr>
        <w:t>competent to make an informed decision about assisted dying.</w:t>
      </w:r>
    </w:p>
    <w:p w14:paraId="3E97344C" w14:textId="77777777" w:rsidR="00DD1B3A" w:rsidRDefault="00DD1B3A" w:rsidP="002130AE">
      <w:pPr>
        <w:rPr>
          <w:lang w:eastAsia="en-NZ"/>
        </w:rPr>
      </w:pPr>
    </w:p>
    <w:p w14:paraId="24EDEFE5" w14:textId="2CA48536" w:rsidR="00DD1B3A" w:rsidRDefault="00DD1B3A" w:rsidP="002130AE">
      <w:pPr>
        <w:rPr>
          <w:rFonts w:cs="Segoe UI"/>
          <w:lang w:eastAsia="en-NZ"/>
        </w:rPr>
      </w:pPr>
      <w:r w:rsidRPr="001E7528">
        <w:rPr>
          <w:rFonts w:cs="Segoe UI"/>
          <w:lang w:eastAsia="en-NZ"/>
        </w:rPr>
        <w:t>The decision to have an assisted death must be made by the person with a terminal illness</w:t>
      </w:r>
      <w:r>
        <w:rPr>
          <w:rFonts w:cs="Segoe UI"/>
          <w:lang w:eastAsia="en-NZ"/>
        </w:rPr>
        <w:t>. A</w:t>
      </w:r>
      <w:r w:rsidRPr="001E7528">
        <w:rPr>
          <w:rFonts w:cs="Segoe UI"/>
          <w:lang w:eastAsia="en-NZ"/>
        </w:rPr>
        <w:t xml:space="preserve"> health practitioner is not </w:t>
      </w:r>
      <w:r>
        <w:rPr>
          <w:rFonts w:cs="Segoe UI"/>
          <w:lang w:eastAsia="en-NZ"/>
        </w:rPr>
        <w:t>permitted</w:t>
      </w:r>
      <w:r w:rsidRPr="001E7528">
        <w:rPr>
          <w:rFonts w:cs="Segoe UI"/>
          <w:lang w:eastAsia="en-NZ"/>
        </w:rPr>
        <w:t xml:space="preserve"> to raise this option with them unprompted. </w:t>
      </w:r>
    </w:p>
    <w:p w14:paraId="1AF6EE68" w14:textId="77777777" w:rsidR="00DD1B3A" w:rsidRDefault="00DD1B3A" w:rsidP="002130AE">
      <w:pPr>
        <w:rPr>
          <w:rFonts w:cs="Segoe UI"/>
          <w:lang w:eastAsia="en-NZ"/>
        </w:rPr>
      </w:pPr>
    </w:p>
    <w:p w14:paraId="5718E3CE" w14:textId="49BE0C9E" w:rsidR="00DD1B3A" w:rsidRPr="001E7528" w:rsidRDefault="00DD1B3A" w:rsidP="002130AE">
      <w:pPr>
        <w:rPr>
          <w:rFonts w:cs="Segoe UI"/>
          <w:lang w:eastAsia="en-NZ"/>
        </w:rPr>
      </w:pPr>
      <w:r>
        <w:rPr>
          <w:rFonts w:cs="Segoe UI"/>
          <w:lang w:eastAsia="en-NZ"/>
        </w:rPr>
        <w:t xml:space="preserve">The Act is available on the </w:t>
      </w:r>
      <w:hyperlink r:id="rId22" w:history="1">
        <w:r w:rsidRPr="00B03E74">
          <w:rPr>
            <w:rStyle w:val="Hyperlink"/>
            <w:rFonts w:cs="Segoe UI"/>
            <w:lang w:eastAsia="en-NZ"/>
          </w:rPr>
          <w:t>New Zealand Legislation website</w:t>
        </w:r>
      </w:hyperlink>
      <w:r>
        <w:rPr>
          <w:rFonts w:cs="Segoe UI"/>
          <w:lang w:eastAsia="en-NZ"/>
        </w:rPr>
        <w:t xml:space="preserve">. </w:t>
      </w:r>
    </w:p>
    <w:p w14:paraId="70E837D7" w14:textId="77777777" w:rsidR="00DD1B3A" w:rsidRPr="00DD1B3A" w:rsidRDefault="00DD1B3A" w:rsidP="00E236F4">
      <w:pPr>
        <w:pStyle w:val="Heading2"/>
        <w:numPr>
          <w:ilvl w:val="0"/>
          <w:numId w:val="10"/>
        </w:numPr>
        <w:ind w:hanging="720"/>
      </w:pPr>
      <w:bookmarkStart w:id="25" w:name="_Toc103606319"/>
      <w:bookmarkStart w:id="26" w:name="_Toc104460668"/>
      <w:bookmarkStart w:id="27" w:name="_Toc106611867"/>
      <w:r w:rsidRPr="00DD1B3A">
        <w:lastRenderedPageBreak/>
        <w:t xml:space="preserve">Implementing </w:t>
      </w:r>
      <w:bookmarkEnd w:id="24"/>
      <w:r w:rsidRPr="00DD1B3A">
        <w:t>the Act</w:t>
      </w:r>
      <w:bookmarkEnd w:id="25"/>
      <w:bookmarkEnd w:id="26"/>
      <w:bookmarkEnd w:id="27"/>
    </w:p>
    <w:p w14:paraId="17B3236D" w14:textId="0E24B991" w:rsidR="00DD1B3A" w:rsidRDefault="00DD1B3A" w:rsidP="00DD1B3A">
      <w:r w:rsidRPr="00212CDA">
        <w:t xml:space="preserve">Following the referendum results, the Ministry was responsible for implementing the Act and establishing an assisted dying service in New Zealand Aotearoa. </w:t>
      </w:r>
      <w:r w:rsidRPr="000F45DE">
        <w:t xml:space="preserve">The Ministry remains responsible for this legislation. </w:t>
      </w:r>
    </w:p>
    <w:p w14:paraId="31EFA27A" w14:textId="77777777" w:rsidR="00DD1B3A" w:rsidRPr="000F45DE" w:rsidRDefault="00DD1B3A" w:rsidP="00DD1B3A"/>
    <w:p w14:paraId="4E62CADD" w14:textId="51390201" w:rsidR="00DD1B3A" w:rsidRDefault="00DD1B3A" w:rsidP="00DD1B3A">
      <w:r w:rsidRPr="00212CDA">
        <w:t xml:space="preserve">The principles of </w:t>
      </w:r>
      <w:proofErr w:type="spellStart"/>
      <w:r w:rsidRPr="00212CDA">
        <w:t>Te</w:t>
      </w:r>
      <w:proofErr w:type="spellEnd"/>
      <w:r w:rsidRPr="00212CDA">
        <w:t xml:space="preserve"> </w:t>
      </w:r>
      <w:proofErr w:type="spellStart"/>
      <w:r w:rsidRPr="00212CDA">
        <w:t>Tiriti</w:t>
      </w:r>
      <w:proofErr w:type="spellEnd"/>
      <w:r w:rsidRPr="00212CDA">
        <w:t xml:space="preserve"> o Waitangi, as understood by the Ministry in </w:t>
      </w:r>
      <w:proofErr w:type="spellStart"/>
      <w:r w:rsidR="00EC7B31">
        <w:fldChar w:fldCharType="begin"/>
      </w:r>
      <w:r w:rsidR="00EC7B31">
        <w:instrText xml:space="preserve"> HYPERLINK "https://www.health.govt.nz/publication/whakamaua-maori-health-action-plan-2020-2025" </w:instrText>
      </w:r>
      <w:r w:rsidR="00EC7B31">
        <w:fldChar w:fldCharType="separate"/>
      </w:r>
      <w:r w:rsidRPr="000A2779">
        <w:rPr>
          <w:rStyle w:val="Hyperlink"/>
          <w:rFonts w:cs="Segoe UI"/>
          <w:szCs w:val="21"/>
        </w:rPr>
        <w:t>Whakamaua</w:t>
      </w:r>
      <w:proofErr w:type="spellEnd"/>
      <w:r w:rsidRPr="000A2779">
        <w:rPr>
          <w:rStyle w:val="Hyperlink"/>
          <w:rFonts w:cs="Segoe UI"/>
          <w:szCs w:val="21"/>
        </w:rPr>
        <w:t>: Māori Health Action Plan</w:t>
      </w:r>
      <w:r w:rsidR="00EC7B31">
        <w:rPr>
          <w:rStyle w:val="Hyperlink"/>
          <w:rFonts w:cs="Segoe UI"/>
          <w:szCs w:val="21"/>
        </w:rPr>
        <w:fldChar w:fldCharType="end"/>
      </w:r>
      <w:r w:rsidRPr="00212CDA">
        <w:t>,</w:t>
      </w:r>
      <w:r>
        <w:t xml:space="preserve"> </w:t>
      </w:r>
      <w:r w:rsidRPr="00212CDA">
        <w:t xml:space="preserve">were considered and incorporated as part of the planning and deliverables during </w:t>
      </w:r>
      <w:hyperlink r:id="rId23" w:history="1">
        <w:r w:rsidRPr="00212CDA">
          <w:rPr>
            <w:rStyle w:val="Hyperlink"/>
            <w:rFonts w:cs="Segoe UI"/>
            <w:b w:val="0"/>
            <w:bCs/>
            <w:color w:val="auto"/>
            <w:szCs w:val="21"/>
          </w:rPr>
          <w:t>the implementation of the Act</w:t>
        </w:r>
      </w:hyperlink>
      <w:r w:rsidRPr="00212CDA">
        <w:t xml:space="preserve">. This included focused engagement with Māori-led health and disability organisations, ensuring </w:t>
      </w:r>
      <w:proofErr w:type="spellStart"/>
      <w:r w:rsidRPr="00212CDA">
        <w:t>Te</w:t>
      </w:r>
      <w:proofErr w:type="spellEnd"/>
      <w:r w:rsidRPr="00212CDA">
        <w:t xml:space="preserve"> </w:t>
      </w:r>
      <w:proofErr w:type="spellStart"/>
      <w:r w:rsidRPr="00212CDA">
        <w:t>Tiriti</w:t>
      </w:r>
      <w:proofErr w:type="spellEnd"/>
      <w:r w:rsidRPr="00212CDA">
        <w:t xml:space="preserve"> o Waitangi commitments were reflected in all aspects of the service</w:t>
      </w:r>
      <w:r>
        <w:t>;</w:t>
      </w:r>
      <w:r w:rsidRPr="00212CDA">
        <w:t xml:space="preserve"> and including Māori in formal partnerships and governance roles. </w:t>
      </w:r>
    </w:p>
    <w:p w14:paraId="130EB87B" w14:textId="77777777" w:rsidR="00DD1B3A" w:rsidRPr="00212CDA" w:rsidRDefault="00DD1B3A" w:rsidP="00DD1B3A"/>
    <w:p w14:paraId="3F0D57F4" w14:textId="23326EA0" w:rsidR="00DD1B3A" w:rsidRPr="001444EB" w:rsidRDefault="00DD1B3A" w:rsidP="00DD1B3A">
      <w:pPr>
        <w:rPr>
          <w:lang w:eastAsia="en-NZ"/>
        </w:rPr>
      </w:pPr>
      <w:r w:rsidRPr="537D20A4">
        <w:rPr>
          <w:lang w:eastAsia="en-NZ"/>
        </w:rPr>
        <w:t xml:space="preserve">Engagement with the health and disability sector was a key priority throughout the implementation to ensure that a broad spectrum of perspectives and concerns were considered within the implementation work programme. This included meeting with professional colleges, responsible authorities, workforce unions, district health boards, Māori-led primary care organisations, and organisations representing, palliative care, aged residential </w:t>
      </w:r>
      <w:r w:rsidR="00E83BC2" w:rsidRPr="537D20A4">
        <w:rPr>
          <w:lang w:eastAsia="en-NZ"/>
        </w:rPr>
        <w:t>care</w:t>
      </w:r>
      <w:r w:rsidRPr="537D20A4">
        <w:rPr>
          <w:lang w:eastAsia="en-NZ"/>
        </w:rPr>
        <w:t xml:space="preserve"> and the disability sector, including </w:t>
      </w:r>
      <w:proofErr w:type="spellStart"/>
      <w:r w:rsidRPr="537D20A4">
        <w:rPr>
          <w:lang w:eastAsia="en-NZ"/>
        </w:rPr>
        <w:t>Te</w:t>
      </w:r>
      <w:proofErr w:type="spellEnd"/>
      <w:r w:rsidRPr="537D20A4">
        <w:rPr>
          <w:lang w:eastAsia="en-NZ"/>
        </w:rPr>
        <w:t xml:space="preserve"> </w:t>
      </w:r>
      <w:proofErr w:type="spellStart"/>
      <w:r w:rsidRPr="537D20A4">
        <w:rPr>
          <w:lang w:eastAsia="en-NZ"/>
        </w:rPr>
        <w:t>Ao</w:t>
      </w:r>
      <w:proofErr w:type="spellEnd"/>
      <w:r w:rsidRPr="537D20A4">
        <w:rPr>
          <w:lang w:eastAsia="en-NZ"/>
        </w:rPr>
        <w:t xml:space="preserve"> </w:t>
      </w:r>
      <w:proofErr w:type="spellStart"/>
      <w:r w:rsidRPr="537D20A4">
        <w:rPr>
          <w:lang w:eastAsia="en-NZ"/>
        </w:rPr>
        <w:t>Mārama</w:t>
      </w:r>
      <w:proofErr w:type="spellEnd"/>
      <w:r w:rsidRPr="537D20A4">
        <w:rPr>
          <w:lang w:eastAsia="en-NZ"/>
        </w:rPr>
        <w:t xml:space="preserve">. </w:t>
      </w:r>
    </w:p>
    <w:p w14:paraId="7DF3F30B" w14:textId="77777777" w:rsidR="00DD1B3A" w:rsidRPr="00212CDA" w:rsidRDefault="00DD1B3A" w:rsidP="00DD1B3A">
      <w:pPr>
        <w:pStyle w:val="Heading3"/>
      </w:pPr>
      <w:bookmarkStart w:id="28" w:name="_Toc104460669"/>
      <w:r w:rsidRPr="00212CDA">
        <w:t>Overview of implementation work programme</w:t>
      </w:r>
      <w:bookmarkEnd w:id="28"/>
    </w:p>
    <w:p w14:paraId="12BFF12C" w14:textId="36C8118A" w:rsidR="00DD1B3A" w:rsidRDefault="00DD1B3A" w:rsidP="00DD1B3A">
      <w:pPr>
        <w:rPr>
          <w:lang w:eastAsia="en-NZ"/>
        </w:rPr>
      </w:pPr>
      <w:r w:rsidRPr="001444EB">
        <w:rPr>
          <w:lang w:eastAsia="en-NZ"/>
        </w:rPr>
        <w:t>The work programme was overseen by a governance group with representation from Ministry executive leadership</w:t>
      </w:r>
      <w:r>
        <w:rPr>
          <w:lang w:eastAsia="en-NZ"/>
        </w:rPr>
        <w:t xml:space="preserve"> (which included representation from the Deputy Director General Māori Health Directorate, the Ministry of Health senior Māori leader)</w:t>
      </w:r>
      <w:r w:rsidRPr="001444EB">
        <w:rPr>
          <w:lang w:eastAsia="en-NZ"/>
        </w:rPr>
        <w:t xml:space="preserve">, a district health board, the Council of Medical Colleges and </w:t>
      </w:r>
      <w:proofErr w:type="spellStart"/>
      <w:r w:rsidRPr="001444EB">
        <w:rPr>
          <w:lang w:eastAsia="en-NZ"/>
        </w:rPr>
        <w:t>Te</w:t>
      </w:r>
      <w:proofErr w:type="spellEnd"/>
      <w:r w:rsidRPr="001444EB">
        <w:rPr>
          <w:lang w:eastAsia="en-NZ"/>
        </w:rPr>
        <w:t xml:space="preserve"> </w:t>
      </w:r>
      <w:proofErr w:type="spellStart"/>
      <w:r w:rsidRPr="001444EB">
        <w:rPr>
          <w:lang w:eastAsia="en-NZ"/>
        </w:rPr>
        <w:t>Apārangi</w:t>
      </w:r>
      <w:proofErr w:type="spellEnd"/>
      <w:r w:rsidRPr="001444EB">
        <w:rPr>
          <w:lang w:eastAsia="en-NZ"/>
        </w:rPr>
        <w:t xml:space="preserve">: Māori Partnership Alliance. </w:t>
      </w:r>
    </w:p>
    <w:p w14:paraId="3455A038" w14:textId="77777777" w:rsidR="00DD1B3A" w:rsidRDefault="00DD1B3A" w:rsidP="00DD1B3A">
      <w:pPr>
        <w:rPr>
          <w:lang w:eastAsia="en-NZ"/>
        </w:rPr>
      </w:pPr>
    </w:p>
    <w:p w14:paraId="5C8B07B2" w14:textId="77777777" w:rsidR="00DD1B3A" w:rsidRDefault="00DD1B3A" w:rsidP="00DD1B3A">
      <w:pPr>
        <w:rPr>
          <w:lang w:eastAsia="en-NZ"/>
        </w:rPr>
      </w:pPr>
      <w:r w:rsidRPr="001444EB">
        <w:rPr>
          <w:lang w:eastAsia="en-NZ"/>
        </w:rPr>
        <w:t>In addition, an informal advisory group, made up of health practitioners from various backgrounds and work environments, provided insight and advice across various aspects of the work programme.</w:t>
      </w:r>
    </w:p>
    <w:p w14:paraId="5FD26F95" w14:textId="77777777" w:rsidR="00DD1B3A" w:rsidRDefault="00DD1B3A" w:rsidP="00DD1B3A">
      <w:pPr>
        <w:rPr>
          <w:lang w:eastAsia="en-NZ"/>
        </w:rPr>
      </w:pPr>
    </w:p>
    <w:p w14:paraId="270F85C4" w14:textId="2AC67E07" w:rsidR="00DD1B3A" w:rsidRDefault="00DD1B3A" w:rsidP="00DD1B3A">
      <w:pPr>
        <w:rPr>
          <w:rFonts w:cs="Segoe UI"/>
          <w:szCs w:val="21"/>
          <w:lang w:eastAsia="en-NZ"/>
        </w:rPr>
      </w:pPr>
      <w:r w:rsidRPr="00294248">
        <w:rPr>
          <w:rFonts w:cs="Segoe UI"/>
          <w:szCs w:val="21"/>
          <w:lang w:eastAsia="en-NZ"/>
        </w:rPr>
        <w:t xml:space="preserve">A timeline of the key milestones related to the implementation is outlined below. </w:t>
      </w:r>
    </w:p>
    <w:p w14:paraId="1BDDA138" w14:textId="77777777" w:rsidR="00DD1B3A" w:rsidRPr="00294248" w:rsidRDefault="00DD1B3A" w:rsidP="00DD1B3A">
      <w:pPr>
        <w:rPr>
          <w:rFonts w:cs="Segoe UI"/>
          <w:szCs w:val="21"/>
          <w:lang w:eastAsia="en-NZ"/>
        </w:rPr>
      </w:pPr>
    </w:p>
    <w:tbl>
      <w:tblPr>
        <w:tblStyle w:val="TableGrid"/>
        <w:tblW w:w="0" w:type="auto"/>
        <w:tblInd w:w="108"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931"/>
        <w:gridCol w:w="2026"/>
        <w:gridCol w:w="2009"/>
        <w:gridCol w:w="2005"/>
      </w:tblGrid>
      <w:tr w:rsidR="00DD1B3A" w:rsidRPr="00DD1B3A" w14:paraId="238D34B0" w14:textId="77777777" w:rsidTr="002130AE">
        <w:trPr>
          <w:tblHeader/>
        </w:trPr>
        <w:tc>
          <w:tcPr>
            <w:tcW w:w="1931" w:type="dxa"/>
            <w:tcBorders>
              <w:top w:val="nil"/>
              <w:bottom w:val="nil"/>
            </w:tcBorders>
            <w:shd w:val="clear" w:color="auto" w:fill="D9D9D9" w:themeFill="background1" w:themeFillShade="D9"/>
            <w:vAlign w:val="center"/>
          </w:tcPr>
          <w:p w14:paraId="198B737E" w14:textId="77777777" w:rsidR="00DD1B3A" w:rsidRPr="00DD1B3A" w:rsidRDefault="00DD1B3A" w:rsidP="002130AE">
            <w:pPr>
              <w:pStyle w:val="TableText"/>
              <w:rPr>
                <w:b/>
                <w:bCs/>
                <w:lang w:eastAsia="en-NZ"/>
              </w:rPr>
            </w:pPr>
            <w:r w:rsidRPr="00DD1B3A">
              <w:rPr>
                <w:b/>
                <w:bCs/>
                <w:lang w:eastAsia="en-NZ"/>
              </w:rPr>
              <w:t>January – March 2021</w:t>
            </w:r>
          </w:p>
        </w:tc>
        <w:tc>
          <w:tcPr>
            <w:tcW w:w="2026" w:type="dxa"/>
            <w:tcBorders>
              <w:top w:val="nil"/>
              <w:bottom w:val="nil"/>
            </w:tcBorders>
            <w:shd w:val="clear" w:color="auto" w:fill="D9D9D9" w:themeFill="background1" w:themeFillShade="D9"/>
            <w:vAlign w:val="center"/>
          </w:tcPr>
          <w:p w14:paraId="15DA6099" w14:textId="207EB08C" w:rsidR="00DD1B3A" w:rsidRPr="00DD1B3A" w:rsidRDefault="00DD1B3A" w:rsidP="002130AE">
            <w:pPr>
              <w:pStyle w:val="TableText"/>
              <w:rPr>
                <w:b/>
                <w:bCs/>
                <w:lang w:eastAsia="en-NZ"/>
              </w:rPr>
            </w:pPr>
            <w:r w:rsidRPr="00DD1B3A">
              <w:rPr>
                <w:b/>
                <w:bCs/>
                <w:lang w:eastAsia="en-NZ"/>
              </w:rPr>
              <w:t xml:space="preserve">April – June </w:t>
            </w:r>
            <w:r>
              <w:rPr>
                <w:b/>
                <w:bCs/>
                <w:lang w:eastAsia="en-NZ"/>
              </w:rPr>
              <w:br/>
            </w:r>
            <w:r w:rsidRPr="00DD1B3A">
              <w:rPr>
                <w:b/>
                <w:bCs/>
                <w:lang w:eastAsia="en-NZ"/>
              </w:rPr>
              <w:t>2021</w:t>
            </w:r>
          </w:p>
        </w:tc>
        <w:tc>
          <w:tcPr>
            <w:tcW w:w="2009" w:type="dxa"/>
            <w:tcBorders>
              <w:top w:val="nil"/>
              <w:bottom w:val="nil"/>
            </w:tcBorders>
            <w:shd w:val="clear" w:color="auto" w:fill="D9D9D9" w:themeFill="background1" w:themeFillShade="D9"/>
            <w:vAlign w:val="center"/>
          </w:tcPr>
          <w:p w14:paraId="75B88D6B" w14:textId="77777777" w:rsidR="00DD1B3A" w:rsidRPr="00DD1B3A" w:rsidRDefault="00DD1B3A" w:rsidP="002130AE">
            <w:pPr>
              <w:pStyle w:val="TableText"/>
              <w:rPr>
                <w:b/>
                <w:bCs/>
                <w:lang w:eastAsia="en-NZ"/>
              </w:rPr>
            </w:pPr>
            <w:r w:rsidRPr="00DD1B3A">
              <w:rPr>
                <w:b/>
                <w:bCs/>
                <w:lang w:eastAsia="en-NZ"/>
              </w:rPr>
              <w:t>July – September 2021</w:t>
            </w:r>
          </w:p>
        </w:tc>
        <w:tc>
          <w:tcPr>
            <w:tcW w:w="2005" w:type="dxa"/>
            <w:tcBorders>
              <w:top w:val="nil"/>
              <w:bottom w:val="nil"/>
            </w:tcBorders>
            <w:shd w:val="clear" w:color="auto" w:fill="D9D9D9" w:themeFill="background1" w:themeFillShade="D9"/>
            <w:vAlign w:val="center"/>
          </w:tcPr>
          <w:p w14:paraId="441638C8" w14:textId="3B2D069F" w:rsidR="00DD1B3A" w:rsidRPr="00DD1B3A" w:rsidRDefault="00DD1B3A" w:rsidP="002130AE">
            <w:pPr>
              <w:pStyle w:val="TableText"/>
              <w:rPr>
                <w:b/>
                <w:bCs/>
                <w:lang w:eastAsia="en-NZ"/>
              </w:rPr>
            </w:pPr>
            <w:r w:rsidRPr="00DD1B3A">
              <w:rPr>
                <w:b/>
                <w:bCs/>
                <w:lang w:eastAsia="en-NZ"/>
              </w:rPr>
              <w:t>October – December 2021</w:t>
            </w:r>
          </w:p>
        </w:tc>
      </w:tr>
      <w:tr w:rsidR="00DD1B3A" w:rsidRPr="001E7528" w14:paraId="137393FF" w14:textId="77777777" w:rsidTr="00885900">
        <w:tc>
          <w:tcPr>
            <w:tcW w:w="1931" w:type="dxa"/>
            <w:tcBorders>
              <w:top w:val="nil"/>
            </w:tcBorders>
          </w:tcPr>
          <w:p w14:paraId="7B2B0A38" w14:textId="77777777" w:rsidR="00DD1B3A" w:rsidRPr="001E7528" w:rsidRDefault="00DD1B3A" w:rsidP="00DD1B3A">
            <w:pPr>
              <w:pStyle w:val="TableBullet"/>
              <w:rPr>
                <w:lang w:eastAsia="en-NZ"/>
              </w:rPr>
            </w:pPr>
            <w:r w:rsidRPr="2B75C2E1">
              <w:rPr>
                <w:lang w:eastAsia="en-NZ"/>
              </w:rPr>
              <w:t>Governance Group and advisory network established</w:t>
            </w:r>
          </w:p>
          <w:p w14:paraId="3D33EEB8" w14:textId="77777777" w:rsidR="00DD1B3A" w:rsidRPr="001E7528" w:rsidRDefault="00DD1B3A" w:rsidP="00DD1B3A">
            <w:pPr>
              <w:pStyle w:val="TableBullet"/>
              <w:rPr>
                <w:lang w:eastAsia="en-NZ"/>
              </w:rPr>
            </w:pPr>
            <w:r w:rsidRPr="2B75C2E1">
              <w:rPr>
                <w:lang w:eastAsia="en-NZ"/>
              </w:rPr>
              <w:t xml:space="preserve">Treaty analysis </w:t>
            </w:r>
          </w:p>
          <w:p w14:paraId="0C59E3BC" w14:textId="77777777" w:rsidR="00DD1B3A" w:rsidRPr="001E7528" w:rsidRDefault="00DD1B3A" w:rsidP="00DD1B3A">
            <w:pPr>
              <w:pStyle w:val="TableBullet"/>
              <w:rPr>
                <w:lang w:eastAsia="en-NZ"/>
              </w:rPr>
            </w:pPr>
            <w:r w:rsidRPr="2B75C2E1">
              <w:rPr>
                <w:lang w:val="en-US" w:eastAsia="en-NZ"/>
              </w:rPr>
              <w:t xml:space="preserve">Assessment of workforce interest </w:t>
            </w:r>
          </w:p>
          <w:p w14:paraId="6F82636F" w14:textId="77777777" w:rsidR="00DD1B3A" w:rsidRPr="001E7528" w:rsidRDefault="00DD1B3A" w:rsidP="00DD1B3A">
            <w:pPr>
              <w:pStyle w:val="TableBullet"/>
              <w:rPr>
                <w:lang w:eastAsia="en-NZ"/>
              </w:rPr>
            </w:pPr>
            <w:r w:rsidRPr="2B75C2E1">
              <w:rPr>
                <w:lang w:eastAsia="en-NZ"/>
              </w:rPr>
              <w:t>Key system-level policy settings defined (</w:t>
            </w:r>
            <w:proofErr w:type="spellStart"/>
            <w:r w:rsidRPr="2B75C2E1">
              <w:rPr>
                <w:lang w:eastAsia="en-NZ"/>
              </w:rPr>
              <w:t>eg</w:t>
            </w:r>
            <w:proofErr w:type="spellEnd"/>
            <w:r w:rsidRPr="2B75C2E1">
              <w:rPr>
                <w:lang w:eastAsia="en-NZ"/>
              </w:rPr>
              <w:t xml:space="preserve"> service provision, accountability, funding)</w:t>
            </w:r>
          </w:p>
          <w:p w14:paraId="782D85BE" w14:textId="77777777" w:rsidR="00DD1B3A" w:rsidRPr="001E7528" w:rsidRDefault="00DD1B3A" w:rsidP="00DD1B3A">
            <w:pPr>
              <w:pStyle w:val="TableBullet"/>
              <w:rPr>
                <w:lang w:eastAsia="en-NZ"/>
              </w:rPr>
            </w:pPr>
            <w:r w:rsidRPr="2B75C2E1">
              <w:rPr>
                <w:lang w:eastAsia="en-NZ"/>
              </w:rPr>
              <w:lastRenderedPageBreak/>
              <w:t xml:space="preserve">Budget Bid </w:t>
            </w:r>
          </w:p>
          <w:p w14:paraId="0570C3F0" w14:textId="77777777" w:rsidR="00DD1B3A" w:rsidRPr="001E7528" w:rsidRDefault="00DD1B3A" w:rsidP="00DD1B3A">
            <w:pPr>
              <w:pStyle w:val="TableBullet"/>
              <w:numPr>
                <w:ilvl w:val="0"/>
                <w:numId w:val="0"/>
              </w:numPr>
              <w:rPr>
                <w:lang w:eastAsia="en-NZ"/>
              </w:rPr>
            </w:pPr>
          </w:p>
        </w:tc>
        <w:tc>
          <w:tcPr>
            <w:tcW w:w="2026" w:type="dxa"/>
            <w:tcBorders>
              <w:top w:val="nil"/>
            </w:tcBorders>
          </w:tcPr>
          <w:p w14:paraId="52196FAE" w14:textId="77777777" w:rsidR="00DD1B3A" w:rsidRPr="001E7528" w:rsidRDefault="00DD1B3A" w:rsidP="00DD1B3A">
            <w:pPr>
              <w:pStyle w:val="TableBullet"/>
              <w:rPr>
                <w:lang w:eastAsia="en-NZ"/>
              </w:rPr>
            </w:pPr>
            <w:r w:rsidRPr="2B75C2E1">
              <w:rPr>
                <w:lang w:val="en-US" w:eastAsia="en-NZ"/>
              </w:rPr>
              <w:lastRenderedPageBreak/>
              <w:t xml:space="preserve">Medications selected </w:t>
            </w:r>
          </w:p>
          <w:p w14:paraId="34DE4778" w14:textId="77777777" w:rsidR="00DD1B3A" w:rsidRPr="001E7528" w:rsidRDefault="00DD1B3A" w:rsidP="00DD1B3A">
            <w:pPr>
              <w:pStyle w:val="TableBullet"/>
              <w:rPr>
                <w:lang w:eastAsia="en-NZ"/>
              </w:rPr>
            </w:pPr>
            <w:r w:rsidRPr="2B75C2E1">
              <w:rPr>
                <w:lang w:eastAsia="en-NZ"/>
              </w:rPr>
              <w:t>Initial consultation with the Privacy Commissioner</w:t>
            </w:r>
          </w:p>
          <w:p w14:paraId="4E689797" w14:textId="77777777" w:rsidR="00DD1B3A" w:rsidRPr="001E7528" w:rsidRDefault="00DD1B3A" w:rsidP="00DD1B3A">
            <w:pPr>
              <w:pStyle w:val="TableBullet"/>
              <w:rPr>
                <w:lang w:eastAsia="en-NZ"/>
              </w:rPr>
            </w:pPr>
            <w:r w:rsidRPr="2B75C2E1">
              <w:rPr>
                <w:lang w:val="en-US" w:eastAsia="en-NZ"/>
              </w:rPr>
              <w:t>Funding and accountability arrangements defined</w:t>
            </w:r>
          </w:p>
          <w:p w14:paraId="1D8C6342" w14:textId="77777777" w:rsidR="00DD1B3A" w:rsidRPr="001E7528" w:rsidRDefault="00DD1B3A" w:rsidP="00DD1B3A">
            <w:pPr>
              <w:pStyle w:val="TableBullet"/>
              <w:rPr>
                <w:lang w:eastAsia="en-NZ"/>
              </w:rPr>
            </w:pPr>
            <w:r w:rsidRPr="2B75C2E1">
              <w:rPr>
                <w:lang w:eastAsia="en-NZ"/>
              </w:rPr>
              <w:t xml:space="preserve">Workforce training and support needs assessed, and first training </w:t>
            </w:r>
            <w:r>
              <w:rPr>
                <w:lang w:eastAsia="en-NZ"/>
              </w:rPr>
              <w:t xml:space="preserve">module </w:t>
            </w:r>
            <w:r w:rsidRPr="2B75C2E1">
              <w:rPr>
                <w:lang w:eastAsia="en-NZ"/>
              </w:rPr>
              <w:t>launched</w:t>
            </w:r>
          </w:p>
          <w:p w14:paraId="2DC8A7EE" w14:textId="77777777" w:rsidR="00DD1B3A" w:rsidRPr="001E7528" w:rsidRDefault="00DD1B3A" w:rsidP="00DD1B3A">
            <w:pPr>
              <w:pStyle w:val="TableBullet"/>
              <w:numPr>
                <w:ilvl w:val="0"/>
                <w:numId w:val="0"/>
              </w:numPr>
              <w:rPr>
                <w:color w:val="002639"/>
                <w:lang w:eastAsia="en-NZ"/>
              </w:rPr>
            </w:pPr>
          </w:p>
        </w:tc>
        <w:tc>
          <w:tcPr>
            <w:tcW w:w="2009" w:type="dxa"/>
            <w:tcBorders>
              <w:top w:val="nil"/>
            </w:tcBorders>
          </w:tcPr>
          <w:p w14:paraId="05DF1DD8" w14:textId="77777777" w:rsidR="00DD1B3A" w:rsidRPr="001E7528" w:rsidRDefault="00DD1B3A" w:rsidP="00DD1B3A">
            <w:pPr>
              <w:pStyle w:val="TableBullet"/>
              <w:rPr>
                <w:lang w:eastAsia="en-NZ"/>
              </w:rPr>
            </w:pPr>
            <w:r w:rsidRPr="2B75C2E1">
              <w:rPr>
                <w:lang w:val="en-US" w:eastAsia="en-NZ"/>
              </w:rPr>
              <w:lastRenderedPageBreak/>
              <w:t>SCENZ Group established</w:t>
            </w:r>
          </w:p>
          <w:p w14:paraId="5B88ACC7" w14:textId="77777777" w:rsidR="00DD1B3A" w:rsidRPr="001E7528" w:rsidRDefault="00DD1B3A" w:rsidP="00DD1B3A">
            <w:pPr>
              <w:pStyle w:val="TableBullet"/>
              <w:rPr>
                <w:lang w:eastAsia="en-NZ"/>
              </w:rPr>
            </w:pPr>
            <w:r w:rsidRPr="2B75C2E1">
              <w:rPr>
                <w:lang w:val="en-US" w:eastAsia="en-NZ"/>
              </w:rPr>
              <w:t>Expression of interest for SCENZ list</w:t>
            </w:r>
            <w:r>
              <w:rPr>
                <w:lang w:val="en-US" w:eastAsia="en-NZ"/>
              </w:rPr>
              <w:t>s</w:t>
            </w:r>
            <w:r w:rsidRPr="2B75C2E1">
              <w:rPr>
                <w:lang w:val="en-US" w:eastAsia="en-NZ"/>
              </w:rPr>
              <w:t xml:space="preserve"> opens</w:t>
            </w:r>
          </w:p>
          <w:p w14:paraId="255928CF" w14:textId="77777777" w:rsidR="00DD1B3A" w:rsidRPr="001E7528" w:rsidRDefault="00DD1B3A" w:rsidP="00DD1B3A">
            <w:pPr>
              <w:pStyle w:val="TableBullet"/>
              <w:rPr>
                <w:lang w:eastAsia="en-NZ"/>
              </w:rPr>
            </w:pPr>
            <w:r w:rsidRPr="2B75C2E1">
              <w:rPr>
                <w:lang w:val="en-US" w:eastAsia="en-NZ"/>
              </w:rPr>
              <w:t>Forms, systems and processes to support compliance developed</w:t>
            </w:r>
          </w:p>
          <w:p w14:paraId="687F50DB" w14:textId="77777777" w:rsidR="00DD1B3A" w:rsidRPr="001E7528" w:rsidRDefault="00DD1B3A" w:rsidP="00DD1B3A">
            <w:pPr>
              <w:pStyle w:val="TableBullet"/>
              <w:rPr>
                <w:lang w:eastAsia="en-NZ"/>
              </w:rPr>
            </w:pPr>
            <w:r w:rsidRPr="2B75C2E1">
              <w:rPr>
                <w:lang w:val="en-US" w:eastAsia="en-NZ"/>
              </w:rPr>
              <w:t>Operational processes and guidance developed</w:t>
            </w:r>
          </w:p>
          <w:p w14:paraId="774DE295" w14:textId="77777777" w:rsidR="00DD1B3A" w:rsidRPr="001E7528" w:rsidRDefault="00DD1B3A" w:rsidP="00DD1B3A">
            <w:pPr>
              <w:pStyle w:val="TableBullet"/>
              <w:rPr>
                <w:lang w:val="en-US"/>
              </w:rPr>
            </w:pPr>
            <w:r w:rsidRPr="2B75C2E1">
              <w:rPr>
                <w:lang w:val="en-US" w:eastAsia="en-NZ"/>
              </w:rPr>
              <w:lastRenderedPageBreak/>
              <w:t>Section 88 Notice in place</w:t>
            </w:r>
          </w:p>
          <w:p w14:paraId="01FA6618" w14:textId="77777777" w:rsidR="00DD1B3A" w:rsidRPr="001E7528" w:rsidRDefault="00DD1B3A" w:rsidP="00DD1B3A">
            <w:pPr>
              <w:pStyle w:val="TableBullet"/>
              <w:rPr>
                <w:lang w:eastAsia="en-NZ"/>
              </w:rPr>
            </w:pPr>
            <w:r w:rsidRPr="2B75C2E1">
              <w:rPr>
                <w:lang w:eastAsia="en-NZ"/>
              </w:rPr>
              <w:t xml:space="preserve">Standards of Care and Clinical Guideline developed </w:t>
            </w:r>
          </w:p>
          <w:p w14:paraId="5F164E83" w14:textId="23466678" w:rsidR="00DD1B3A" w:rsidRPr="001E7528" w:rsidRDefault="00DD1B3A" w:rsidP="00DD1B3A">
            <w:pPr>
              <w:pStyle w:val="TableBullet"/>
              <w:rPr>
                <w:lang w:eastAsia="en-NZ"/>
              </w:rPr>
            </w:pPr>
            <w:r w:rsidRPr="2B75C2E1">
              <w:rPr>
                <w:lang w:val="en-US" w:eastAsia="en-NZ"/>
              </w:rPr>
              <w:t>Medications procured and available</w:t>
            </w:r>
          </w:p>
        </w:tc>
        <w:tc>
          <w:tcPr>
            <w:tcW w:w="2005" w:type="dxa"/>
            <w:tcBorders>
              <w:top w:val="nil"/>
            </w:tcBorders>
          </w:tcPr>
          <w:p w14:paraId="75CED5EC" w14:textId="77777777" w:rsidR="00DD1B3A" w:rsidRDefault="00DD1B3A" w:rsidP="00DD1B3A">
            <w:pPr>
              <w:pStyle w:val="TableBullet"/>
              <w:rPr>
                <w:lang w:eastAsia="en-NZ"/>
              </w:rPr>
            </w:pPr>
            <w:r w:rsidRPr="2B75C2E1">
              <w:rPr>
                <w:lang w:eastAsia="en-NZ"/>
              </w:rPr>
              <w:lastRenderedPageBreak/>
              <w:t>Assisted dying secretariat established, including Registrar (assisted dying)</w:t>
            </w:r>
          </w:p>
          <w:p w14:paraId="1AF1B2E0" w14:textId="77777777" w:rsidR="00DD1B3A" w:rsidRPr="00207804" w:rsidRDefault="00DD1B3A" w:rsidP="00DD1B3A">
            <w:pPr>
              <w:pStyle w:val="TableBullet"/>
              <w:rPr>
                <w:lang w:val="en-US" w:eastAsia="en-NZ"/>
              </w:rPr>
            </w:pPr>
            <w:r w:rsidRPr="2B75C2E1">
              <w:rPr>
                <w:lang w:val="en-US" w:eastAsia="en-NZ"/>
              </w:rPr>
              <w:t>Review Committee appointed by Minister</w:t>
            </w:r>
          </w:p>
          <w:p w14:paraId="456803D5" w14:textId="77777777" w:rsidR="00DD1B3A" w:rsidRPr="001E7528" w:rsidRDefault="00DD1B3A" w:rsidP="00DD1B3A">
            <w:pPr>
              <w:pStyle w:val="TableBullet"/>
              <w:rPr>
                <w:lang w:eastAsia="en-NZ"/>
              </w:rPr>
            </w:pPr>
            <w:r w:rsidRPr="2B75C2E1">
              <w:rPr>
                <w:lang w:eastAsia="en-NZ"/>
              </w:rPr>
              <w:t xml:space="preserve">All training available and workforce forum held </w:t>
            </w:r>
          </w:p>
          <w:p w14:paraId="4267CEA8" w14:textId="77777777" w:rsidR="00DD1B3A" w:rsidRPr="001E7528" w:rsidRDefault="00DD1B3A" w:rsidP="00DD1B3A">
            <w:pPr>
              <w:pStyle w:val="TableBullet"/>
              <w:rPr>
                <w:lang w:eastAsia="en-NZ"/>
              </w:rPr>
            </w:pPr>
            <w:r w:rsidRPr="2B75C2E1">
              <w:rPr>
                <w:lang w:eastAsia="en-NZ"/>
              </w:rPr>
              <w:t xml:space="preserve">Public information available </w:t>
            </w:r>
          </w:p>
          <w:p w14:paraId="14F4EEA3" w14:textId="2869F674" w:rsidR="00DD1B3A" w:rsidRPr="002130AE" w:rsidRDefault="00DD1B3A" w:rsidP="002130AE">
            <w:pPr>
              <w:pStyle w:val="TableBullet"/>
              <w:rPr>
                <w:lang w:eastAsia="en-NZ"/>
              </w:rPr>
            </w:pPr>
            <w:r>
              <w:rPr>
                <w:lang w:val="en-US" w:eastAsia="en-NZ"/>
              </w:rPr>
              <w:lastRenderedPageBreak/>
              <w:t>P</w:t>
            </w:r>
            <w:r w:rsidRPr="2B75C2E1">
              <w:rPr>
                <w:lang w:val="en-US" w:eastAsia="en-NZ"/>
              </w:rPr>
              <w:t>rocesses and systems in place to support operation and oversight of assisted dying service</w:t>
            </w:r>
          </w:p>
        </w:tc>
      </w:tr>
    </w:tbl>
    <w:p w14:paraId="6A399634" w14:textId="023306A7" w:rsidR="00885900" w:rsidRPr="0075433F" w:rsidRDefault="006835D2" w:rsidP="0075433F">
      <w:pPr>
        <w:pStyle w:val="Heading3"/>
      </w:pPr>
      <w:bookmarkStart w:id="29" w:name="_Toc103606320"/>
      <w:bookmarkStart w:id="30" w:name="_Toc104460670"/>
      <w:r w:rsidRPr="00253C0A">
        <w:lastRenderedPageBreak/>
        <w:t>Processes</w:t>
      </w:r>
      <w:r w:rsidR="00885900" w:rsidRPr="0075433F">
        <w:t xml:space="preserve"> for implementing </w:t>
      </w:r>
      <w:proofErr w:type="spellStart"/>
      <w:r w:rsidR="00885900" w:rsidRPr="0075433F">
        <w:t>Te</w:t>
      </w:r>
      <w:proofErr w:type="spellEnd"/>
      <w:r w:rsidR="00885900" w:rsidRPr="0075433F">
        <w:t xml:space="preserve"> </w:t>
      </w:r>
      <w:proofErr w:type="spellStart"/>
      <w:r w:rsidR="00885900" w:rsidRPr="0075433F">
        <w:t>Tiriti</w:t>
      </w:r>
      <w:proofErr w:type="spellEnd"/>
      <w:r w:rsidR="00885900" w:rsidRPr="0075433F">
        <w:t xml:space="preserve"> o Waitangi</w:t>
      </w:r>
    </w:p>
    <w:p w14:paraId="3E44475F" w14:textId="04208335" w:rsidR="00885900" w:rsidRDefault="00885900" w:rsidP="002130AE">
      <w:pPr>
        <w:rPr>
          <w:lang w:eastAsia="en-US"/>
        </w:rPr>
      </w:pPr>
      <w:r w:rsidRPr="00AF1F1A">
        <w:t xml:space="preserve">The Ministry acknowledges that, as assisted dying is a relatively new health service across the globe, there is limited knowledge of the impact a person choosing assisted dying has on their </w:t>
      </w:r>
      <w:proofErr w:type="spellStart"/>
      <w:r w:rsidRPr="00AF1F1A">
        <w:t>whānau</w:t>
      </w:r>
      <w:proofErr w:type="spellEnd"/>
      <w:r w:rsidRPr="00AF1F1A">
        <w:t xml:space="preserve"> and communities. This is particularly acute in respect of assisted dying and indigenous peoples, including Māori and </w:t>
      </w:r>
      <w:proofErr w:type="spellStart"/>
      <w:r w:rsidRPr="00AF1F1A">
        <w:t>whānau</w:t>
      </w:r>
      <w:proofErr w:type="spellEnd"/>
      <w:r w:rsidRPr="00AF1F1A">
        <w:t xml:space="preserve"> Māori.  </w:t>
      </w:r>
      <w:r w:rsidR="00B6750C" w:rsidRPr="00AF1F1A">
        <w:rPr>
          <w:lang w:eastAsia="en-US"/>
        </w:rPr>
        <w:t>Twelve people</w:t>
      </w:r>
      <w:r w:rsidRPr="00AF1F1A">
        <w:rPr>
          <w:lang w:eastAsia="en-US"/>
        </w:rPr>
        <w:t xml:space="preserve"> that applied for assisted dying are Māori and will have been supported by </w:t>
      </w:r>
      <w:proofErr w:type="spellStart"/>
      <w:r w:rsidRPr="00AF1F1A">
        <w:t>whānau</w:t>
      </w:r>
      <w:proofErr w:type="spellEnd"/>
      <w:r w:rsidRPr="00AF1F1A">
        <w:t xml:space="preserve"> Māori. </w:t>
      </w:r>
      <w:r w:rsidRPr="00AF1F1A">
        <w:rPr>
          <w:lang w:eastAsia="en-US"/>
        </w:rPr>
        <w:t xml:space="preserve"> </w:t>
      </w:r>
    </w:p>
    <w:p w14:paraId="6E562B2B" w14:textId="77777777" w:rsidR="002130AE" w:rsidRPr="00AF1F1A" w:rsidRDefault="002130AE" w:rsidP="002130AE">
      <w:pPr>
        <w:rPr>
          <w:rFonts w:eastAsiaTheme="minorHAnsi"/>
          <w:lang w:eastAsia="en-US"/>
        </w:rPr>
      </w:pPr>
    </w:p>
    <w:p w14:paraId="5C72D25D" w14:textId="773E3218" w:rsidR="00885900" w:rsidRPr="00AF1F1A" w:rsidRDefault="00885900" w:rsidP="002130AE">
      <w:pPr>
        <w:rPr>
          <w:lang w:eastAsia="en-US"/>
        </w:rPr>
      </w:pPr>
      <w:r w:rsidRPr="00AF1F1A">
        <w:t xml:space="preserve">The </w:t>
      </w:r>
      <w:r w:rsidR="00C34CB4" w:rsidRPr="00AF1F1A">
        <w:t xml:space="preserve">service </w:t>
      </w:r>
      <w:r w:rsidRPr="00AF1F1A">
        <w:t xml:space="preserve">has the following mechanisms in place that contribute to meeting the principles of </w:t>
      </w:r>
      <w:proofErr w:type="spellStart"/>
      <w:r w:rsidRPr="00AF1F1A">
        <w:t>Te</w:t>
      </w:r>
      <w:proofErr w:type="spellEnd"/>
      <w:r w:rsidRPr="00AF1F1A">
        <w:t xml:space="preserve"> </w:t>
      </w:r>
      <w:proofErr w:type="spellStart"/>
      <w:r w:rsidRPr="00AF1F1A">
        <w:t>Tiriti</w:t>
      </w:r>
      <w:proofErr w:type="spellEnd"/>
      <w:r w:rsidR="0023429E" w:rsidRPr="00AF1F1A">
        <w:t xml:space="preserve">. </w:t>
      </w:r>
      <w:r w:rsidR="003C742A" w:rsidRPr="00AF1F1A">
        <w:t>T</w:t>
      </w:r>
      <w:r w:rsidRPr="00AF1F1A">
        <w:t>he Ministry</w:t>
      </w:r>
      <w:r w:rsidR="003C742A" w:rsidRPr="00AF1F1A">
        <w:t>’s strategies</w:t>
      </w:r>
      <w:r w:rsidRPr="00AF1F1A">
        <w:t xml:space="preserve"> in </w:t>
      </w:r>
      <w:proofErr w:type="spellStart"/>
      <w:r w:rsidR="00EC7B31">
        <w:fldChar w:fldCharType="begin"/>
      </w:r>
      <w:r w:rsidR="00EC7B31">
        <w:instrText xml:space="preserve"> HYPERLINK "https://www.health.govt.nz/publication/whakamaua-maori-health-action-plan-2020-2025" </w:instrText>
      </w:r>
      <w:r w:rsidR="00EC7B31">
        <w:fldChar w:fldCharType="separate"/>
      </w:r>
      <w:r w:rsidRPr="00AF1F1A">
        <w:rPr>
          <w:rStyle w:val="Hyperlink"/>
          <w:rFonts w:eastAsia="MS Gothic" w:cs="Segoe UI"/>
          <w:color w:val="auto"/>
          <w:szCs w:val="21"/>
        </w:rPr>
        <w:t>Whakamaua</w:t>
      </w:r>
      <w:proofErr w:type="spellEnd"/>
      <w:r w:rsidRPr="00AF1F1A">
        <w:rPr>
          <w:rStyle w:val="Hyperlink"/>
          <w:rFonts w:eastAsia="MS Gothic" w:cs="Segoe UI"/>
          <w:color w:val="auto"/>
          <w:szCs w:val="21"/>
        </w:rPr>
        <w:t>: Māori Health Action Plan</w:t>
      </w:r>
      <w:r w:rsidR="00EC7B31">
        <w:rPr>
          <w:rStyle w:val="Hyperlink"/>
          <w:rFonts w:eastAsia="MS Gothic" w:cs="Segoe UI"/>
          <w:color w:val="auto"/>
          <w:szCs w:val="21"/>
        </w:rPr>
        <w:fldChar w:fldCharType="end"/>
      </w:r>
      <w:r w:rsidRPr="00AF1F1A">
        <w:t xml:space="preserve"> were considered and incorporated as part of the planning and deliverables during </w:t>
      </w:r>
      <w:hyperlink r:id="rId24" w:history="1">
        <w:r w:rsidRPr="00AF1F1A">
          <w:rPr>
            <w:rStyle w:val="Hyperlink"/>
            <w:rFonts w:eastAsia="MS Gothic" w:cs="Segoe UI"/>
            <w:b w:val="0"/>
            <w:color w:val="auto"/>
            <w:szCs w:val="21"/>
          </w:rPr>
          <w:t>the implementation of the Act</w:t>
        </w:r>
      </w:hyperlink>
      <w:r w:rsidRPr="00AF1F1A">
        <w:t>.  This included:</w:t>
      </w:r>
    </w:p>
    <w:p w14:paraId="3BFD253C" w14:textId="77777777" w:rsidR="00885900" w:rsidRPr="00AF1F1A" w:rsidRDefault="00885900" w:rsidP="002130AE">
      <w:pPr>
        <w:pStyle w:val="Bullet"/>
        <w:rPr>
          <w:lang w:eastAsia="en-US"/>
        </w:rPr>
      </w:pPr>
      <w:r w:rsidRPr="00AF1F1A">
        <w:t xml:space="preserve">adopting mate </w:t>
      </w:r>
      <w:proofErr w:type="spellStart"/>
      <w:r w:rsidRPr="00AF1F1A">
        <w:t>whakaahuru</w:t>
      </w:r>
      <w:proofErr w:type="spellEnd"/>
      <w:r w:rsidRPr="00AF1F1A">
        <w:t xml:space="preserve"> as the </w:t>
      </w:r>
      <w:proofErr w:type="spellStart"/>
      <w:r w:rsidRPr="00AF1F1A">
        <w:t>te</w:t>
      </w:r>
      <w:proofErr w:type="spellEnd"/>
      <w:r w:rsidRPr="00AF1F1A">
        <w:t xml:space="preserve"> </w:t>
      </w:r>
      <w:proofErr w:type="spellStart"/>
      <w:r w:rsidRPr="00AF1F1A">
        <w:t>reo</w:t>
      </w:r>
      <w:proofErr w:type="spellEnd"/>
      <w:r w:rsidRPr="00AF1F1A">
        <w:t xml:space="preserve"> Māori translation for assisted dying. This means ‘to die in a warm and comforting manner’. </w:t>
      </w:r>
    </w:p>
    <w:p w14:paraId="798A3467" w14:textId="7765792B" w:rsidR="00885900" w:rsidRPr="00AF1F1A" w:rsidRDefault="00885900" w:rsidP="002130AE">
      <w:pPr>
        <w:pStyle w:val="Bullet"/>
      </w:pPr>
      <w:r w:rsidRPr="00AF1F1A">
        <w:t xml:space="preserve">engagement with Māori health and disability organisations </w:t>
      </w:r>
      <w:r w:rsidRPr="00AF1F1A">
        <w:rPr>
          <w:lang w:eastAsia="en-NZ"/>
        </w:rPr>
        <w:t xml:space="preserve">including </w:t>
      </w:r>
      <w:proofErr w:type="spellStart"/>
      <w:r w:rsidRPr="00AF1F1A">
        <w:rPr>
          <w:lang w:eastAsia="en-NZ"/>
        </w:rPr>
        <w:t>Te</w:t>
      </w:r>
      <w:proofErr w:type="spellEnd"/>
      <w:r w:rsidRPr="00AF1F1A">
        <w:rPr>
          <w:lang w:eastAsia="en-NZ"/>
        </w:rPr>
        <w:t xml:space="preserve"> </w:t>
      </w:r>
      <w:proofErr w:type="spellStart"/>
      <w:r w:rsidRPr="00AF1F1A">
        <w:rPr>
          <w:lang w:eastAsia="en-NZ"/>
        </w:rPr>
        <w:t>Ao</w:t>
      </w:r>
      <w:proofErr w:type="spellEnd"/>
      <w:r w:rsidRPr="00AF1F1A">
        <w:rPr>
          <w:lang w:eastAsia="en-NZ"/>
        </w:rPr>
        <w:t xml:space="preserve"> </w:t>
      </w:r>
      <w:proofErr w:type="spellStart"/>
      <w:r w:rsidRPr="00AF1F1A">
        <w:rPr>
          <w:lang w:eastAsia="en-NZ"/>
        </w:rPr>
        <w:t>Mārama</w:t>
      </w:r>
      <w:proofErr w:type="spellEnd"/>
      <w:r w:rsidRPr="00AF1F1A">
        <w:t xml:space="preserve"> and Kaupapa Māori health and disability service providers as part of the establishment of assisted dying</w:t>
      </w:r>
    </w:p>
    <w:p w14:paraId="460949CE" w14:textId="77777777" w:rsidR="00885900" w:rsidRPr="00AF1F1A" w:rsidRDefault="00885900" w:rsidP="002130AE">
      <w:pPr>
        <w:pStyle w:val="Bullet"/>
      </w:pPr>
      <w:r w:rsidRPr="00AF1F1A">
        <w:t xml:space="preserve">ensuring the </w:t>
      </w:r>
      <w:proofErr w:type="spellStart"/>
      <w:r w:rsidRPr="00AF1F1A">
        <w:t>Te</w:t>
      </w:r>
      <w:proofErr w:type="spellEnd"/>
      <w:r w:rsidRPr="00AF1F1A">
        <w:t xml:space="preserve"> </w:t>
      </w:r>
      <w:proofErr w:type="spellStart"/>
      <w:r w:rsidRPr="00AF1F1A">
        <w:t>Tiriti</w:t>
      </w:r>
      <w:proofErr w:type="spellEnd"/>
      <w:r w:rsidRPr="00AF1F1A">
        <w:t xml:space="preserve"> o Waitangi commitments are incorporated in the service design and reflected in the guidelines, standards of care, care pathway, clinical guidelines, Section 88 notice (funding mechanism); training for the sector, and information about the service.</w:t>
      </w:r>
    </w:p>
    <w:p w14:paraId="6D613D5F" w14:textId="43168A82" w:rsidR="00885900" w:rsidRPr="00AF1F1A" w:rsidRDefault="00885900" w:rsidP="002130AE">
      <w:pPr>
        <w:pStyle w:val="Bullet"/>
      </w:pPr>
      <w:r w:rsidRPr="00AF1F1A">
        <w:t xml:space="preserve">formal partnerships and </w:t>
      </w:r>
      <w:r w:rsidR="00C91837" w:rsidRPr="00AF1F1A">
        <w:t xml:space="preserve">statutory </w:t>
      </w:r>
      <w:r w:rsidRPr="00AF1F1A">
        <w:t xml:space="preserve">governance that provide ongoing guidance and direction alongside the Ministry of Health. </w:t>
      </w:r>
      <w:r w:rsidR="0048030E" w:rsidRPr="00AF1F1A">
        <w:t>These are:</w:t>
      </w:r>
      <w:r w:rsidRPr="00AF1F1A">
        <w:t xml:space="preserve">  </w:t>
      </w:r>
    </w:p>
    <w:p w14:paraId="467C6809" w14:textId="223674D0" w:rsidR="00885900" w:rsidRPr="00AF1F1A" w:rsidRDefault="00885900" w:rsidP="002130AE">
      <w:pPr>
        <w:pStyle w:val="Dash"/>
      </w:pPr>
      <w:r w:rsidRPr="00AF1F1A">
        <w:t>The Support and Consultation for End of Life in New Zealand (SCENZ) Group includes two Māori members and a Māori co-chair</w:t>
      </w:r>
      <w:r w:rsidR="009C08F7" w:rsidRPr="00AF1F1A">
        <w:t xml:space="preserve">. </w:t>
      </w:r>
      <w:r w:rsidRPr="00AF1F1A">
        <w:t xml:space="preserve">All members are expected to be knowledgeable on </w:t>
      </w:r>
      <w:proofErr w:type="spellStart"/>
      <w:r w:rsidRPr="00AF1F1A">
        <w:t>Te</w:t>
      </w:r>
      <w:proofErr w:type="spellEnd"/>
      <w:r w:rsidRPr="00AF1F1A">
        <w:t xml:space="preserve"> </w:t>
      </w:r>
      <w:proofErr w:type="spellStart"/>
      <w:r w:rsidRPr="00AF1F1A">
        <w:t>Tiriti</w:t>
      </w:r>
      <w:proofErr w:type="spellEnd"/>
      <w:r w:rsidRPr="00AF1F1A">
        <w:t xml:space="preserve">.  </w:t>
      </w:r>
    </w:p>
    <w:p w14:paraId="2DB00B4B" w14:textId="3942B356" w:rsidR="00885900" w:rsidRPr="00AF1F1A" w:rsidRDefault="00885900" w:rsidP="002130AE">
      <w:pPr>
        <w:pStyle w:val="Dash"/>
      </w:pPr>
      <w:r w:rsidRPr="00AF1F1A">
        <w:t xml:space="preserve">The </w:t>
      </w:r>
      <w:proofErr w:type="gramStart"/>
      <w:r w:rsidRPr="00AF1F1A">
        <w:t>End of Life</w:t>
      </w:r>
      <w:proofErr w:type="gramEnd"/>
      <w:r w:rsidRPr="00AF1F1A">
        <w:t xml:space="preserve"> Review Committee has a Māori member. All members are expected to be knowledgeable on </w:t>
      </w:r>
      <w:proofErr w:type="spellStart"/>
      <w:r w:rsidRPr="00AF1F1A">
        <w:t>Te</w:t>
      </w:r>
      <w:proofErr w:type="spellEnd"/>
      <w:r w:rsidRPr="00AF1F1A">
        <w:t xml:space="preserve"> </w:t>
      </w:r>
      <w:proofErr w:type="spellStart"/>
      <w:r w:rsidRPr="00AF1F1A">
        <w:t>Tiriti</w:t>
      </w:r>
      <w:proofErr w:type="spellEnd"/>
      <w:r w:rsidRPr="00AF1F1A">
        <w:t xml:space="preserve">. </w:t>
      </w:r>
    </w:p>
    <w:p w14:paraId="55AE16E9" w14:textId="0B4C29E0" w:rsidR="00885900" w:rsidRPr="00AF1F1A" w:rsidRDefault="00885900" w:rsidP="002130AE">
      <w:pPr>
        <w:pStyle w:val="Dash"/>
      </w:pPr>
      <w:proofErr w:type="spellStart"/>
      <w:r w:rsidRPr="00AF1F1A">
        <w:t>Te</w:t>
      </w:r>
      <w:proofErr w:type="spellEnd"/>
      <w:r w:rsidRPr="00AF1F1A">
        <w:t xml:space="preserve"> </w:t>
      </w:r>
      <w:proofErr w:type="spellStart"/>
      <w:r w:rsidRPr="00AF1F1A">
        <w:t>Apārangi</w:t>
      </w:r>
      <w:proofErr w:type="spellEnd"/>
      <w:r w:rsidRPr="00AF1F1A">
        <w:t xml:space="preserve">: Māori Partnership Alliance has taken an advisory role during the implementation period. </w:t>
      </w:r>
      <w:proofErr w:type="spellStart"/>
      <w:r w:rsidRPr="00AF1F1A">
        <w:t>Te</w:t>
      </w:r>
      <w:proofErr w:type="spellEnd"/>
      <w:r w:rsidRPr="00AF1F1A">
        <w:t xml:space="preserve"> </w:t>
      </w:r>
      <w:proofErr w:type="spellStart"/>
      <w:r w:rsidRPr="00AF1F1A">
        <w:t>Apārangi</w:t>
      </w:r>
      <w:proofErr w:type="spellEnd"/>
      <w:r w:rsidRPr="00AF1F1A">
        <w:t xml:space="preserve"> was consulted and provided advice on a wide range of implementation matters, including incorporating </w:t>
      </w:r>
      <w:proofErr w:type="spellStart"/>
      <w:r w:rsidRPr="00AF1F1A">
        <w:t>whānau</w:t>
      </w:r>
      <w:proofErr w:type="spellEnd"/>
      <w:r w:rsidRPr="00AF1F1A">
        <w:t xml:space="preserve"> and </w:t>
      </w:r>
      <w:proofErr w:type="spellStart"/>
      <w:r w:rsidRPr="00AF1F1A">
        <w:t>te</w:t>
      </w:r>
      <w:proofErr w:type="spellEnd"/>
      <w:r w:rsidRPr="00AF1F1A">
        <w:t xml:space="preserve"> </w:t>
      </w:r>
      <w:proofErr w:type="spellStart"/>
      <w:r w:rsidRPr="00AF1F1A">
        <w:t>ao</w:t>
      </w:r>
      <w:proofErr w:type="spellEnd"/>
      <w:r w:rsidRPr="00AF1F1A">
        <w:t xml:space="preserve"> Māori worldview in the service and approach to Māori engagement. </w:t>
      </w:r>
    </w:p>
    <w:p w14:paraId="12B1BA3F" w14:textId="4DDC63D8" w:rsidR="00885900" w:rsidRPr="00AF1F1A" w:rsidRDefault="008E7859" w:rsidP="002130AE">
      <w:pPr>
        <w:pStyle w:val="Dash"/>
      </w:pPr>
      <w:r w:rsidRPr="00AF1F1A">
        <w:t>An initial</w:t>
      </w:r>
      <w:r w:rsidR="00885900" w:rsidRPr="00AF1F1A">
        <w:t xml:space="preserve"> governance group with representation from Ministry executive leadership (which included representation from the Deputy Director General </w:t>
      </w:r>
      <w:r w:rsidR="00885900" w:rsidRPr="00AF1F1A">
        <w:lastRenderedPageBreak/>
        <w:t xml:space="preserve">Māori Health Directorate, the Ministry of Health senior Māori leader), and </w:t>
      </w:r>
      <w:proofErr w:type="spellStart"/>
      <w:r w:rsidR="00885900" w:rsidRPr="00AF1F1A">
        <w:t>Te</w:t>
      </w:r>
      <w:proofErr w:type="spellEnd"/>
      <w:r w:rsidR="00885900" w:rsidRPr="00AF1F1A">
        <w:t xml:space="preserve"> </w:t>
      </w:r>
      <w:proofErr w:type="spellStart"/>
      <w:r w:rsidR="00885900" w:rsidRPr="00AF1F1A">
        <w:t>Apārangi</w:t>
      </w:r>
      <w:proofErr w:type="spellEnd"/>
      <w:r w:rsidR="00885900" w:rsidRPr="00AF1F1A">
        <w:t xml:space="preserve">: Māori Partnership Alliance. </w:t>
      </w:r>
    </w:p>
    <w:p w14:paraId="4742AEF2" w14:textId="57F82CFA" w:rsidR="00885900" w:rsidRPr="002130AE" w:rsidRDefault="00885900" w:rsidP="002130AE">
      <w:pPr>
        <w:pStyle w:val="Bullet"/>
      </w:pPr>
      <w:r w:rsidRPr="002130AE">
        <w:t>continuing to work to grow the workforce, with a particular focus on ensuring the workforce represents the diversity of New Zealand</w:t>
      </w:r>
      <w:r w:rsidR="00FE1665" w:rsidRPr="00FE1665">
        <w:t xml:space="preserve"> </w:t>
      </w:r>
      <w:r w:rsidR="00FE1665" w:rsidRPr="002130AE">
        <w:t>Aotearoa</w:t>
      </w:r>
      <w:r w:rsidRPr="002130AE">
        <w:t>, including increasing the number of Māori practitioners.</w:t>
      </w:r>
    </w:p>
    <w:p w14:paraId="643E4C42" w14:textId="77777777" w:rsidR="00885900" w:rsidRPr="002130AE" w:rsidRDefault="00885900" w:rsidP="002130AE">
      <w:pPr>
        <w:pStyle w:val="Bullet"/>
      </w:pPr>
      <w:r w:rsidRPr="002130AE">
        <w:t>ensuring that cultural safety of the practitioners providing assisted dying services is a priority as this underpins good practice.</w:t>
      </w:r>
    </w:p>
    <w:p w14:paraId="450071B8" w14:textId="6EB3A36C" w:rsidR="00885900" w:rsidRPr="002130AE" w:rsidRDefault="006D40BE" w:rsidP="002130AE">
      <w:pPr>
        <w:pStyle w:val="Bullet"/>
      </w:pPr>
      <w:r w:rsidRPr="002130AE">
        <w:t>F</w:t>
      </w:r>
      <w:r w:rsidR="00FB7EEF" w:rsidRPr="002130AE">
        <w:t>acilitating</w:t>
      </w:r>
      <w:r w:rsidRPr="002130AE">
        <w:t xml:space="preserve"> </w:t>
      </w:r>
      <w:r w:rsidR="00885900" w:rsidRPr="002130AE">
        <w:t>a body of knowledge to develop around assisted dying that is specific to New Zealand</w:t>
      </w:r>
      <w:r w:rsidRPr="002130AE">
        <w:t xml:space="preserve"> </w:t>
      </w:r>
      <w:r w:rsidR="00FE1665" w:rsidRPr="002130AE">
        <w:t xml:space="preserve">Aotearoa </w:t>
      </w:r>
      <w:r w:rsidRPr="002130AE">
        <w:t>through a research strategy</w:t>
      </w:r>
      <w:r w:rsidR="00885900" w:rsidRPr="002130AE">
        <w:t xml:space="preserve">. This knowledge can inform both how assisted dying is provided in practice, but also wider conversations and understandings about the social and cultural implications of assisted dying, including for Māori and </w:t>
      </w:r>
      <w:proofErr w:type="spellStart"/>
      <w:r w:rsidR="00885900" w:rsidRPr="002130AE">
        <w:t>whānau</w:t>
      </w:r>
      <w:proofErr w:type="spellEnd"/>
      <w:r w:rsidR="00885900" w:rsidRPr="002130AE">
        <w:t xml:space="preserve"> Māori. </w:t>
      </w:r>
    </w:p>
    <w:p w14:paraId="52FEA6C8" w14:textId="5CAD5F44" w:rsidR="00DD1B3A" w:rsidRPr="001E7528" w:rsidRDefault="00DD1B3A" w:rsidP="00DD1B3A">
      <w:pPr>
        <w:pStyle w:val="Heading3"/>
        <w:numPr>
          <w:ilvl w:val="0"/>
          <w:numId w:val="0"/>
        </w:numPr>
      </w:pPr>
      <w:r w:rsidRPr="001E7528">
        <w:t>Designing for equity</w:t>
      </w:r>
      <w:bookmarkEnd w:id="29"/>
      <w:bookmarkEnd w:id="30"/>
    </w:p>
    <w:p w14:paraId="0E512DC3" w14:textId="4430B08F" w:rsidR="00DD1B3A" w:rsidRDefault="00DD1B3A" w:rsidP="00DD1B3A">
      <w:r w:rsidRPr="0003037D">
        <w:t xml:space="preserve">New Zealand Aotearoa is one of </w:t>
      </w:r>
      <w:r>
        <w:t>an increasing number of</w:t>
      </w:r>
      <w:r w:rsidRPr="0003037D">
        <w:t xml:space="preserve"> jurisdictions that has legalised assisted dying, and the Ministry </w:t>
      </w:r>
      <w:r>
        <w:t>i</w:t>
      </w:r>
      <w:r w:rsidRPr="0003037D">
        <w:t xml:space="preserve">s grateful to overseas colleagues who offered advice and expertise from their own experiences of introducing an assisted dying service. </w:t>
      </w:r>
      <w:r>
        <w:t>It was</w:t>
      </w:r>
      <w:r w:rsidRPr="0003037D">
        <w:t xml:space="preserve"> vital that the implementation </w:t>
      </w:r>
      <w:r>
        <w:t xml:space="preserve">also </w:t>
      </w:r>
      <w:r w:rsidRPr="0003037D">
        <w:t xml:space="preserve">considered the specific New Zealand context, </w:t>
      </w:r>
      <w:r>
        <w:t>particularly</w:t>
      </w:r>
      <w:r w:rsidRPr="0003037D">
        <w:t xml:space="preserve"> the needs of Māori and people living in rural areas.</w:t>
      </w:r>
    </w:p>
    <w:p w14:paraId="1AF23E29" w14:textId="77777777" w:rsidR="00DD1B3A" w:rsidRPr="0003037D" w:rsidRDefault="00DD1B3A" w:rsidP="00DD1B3A"/>
    <w:p w14:paraId="5B5542EB" w14:textId="5A476710" w:rsidR="00DD1B3A" w:rsidRDefault="00DD1B3A" w:rsidP="00DD1B3A">
      <w:r w:rsidRPr="537D20A4">
        <w:t xml:space="preserve">The Ministry is committed to ensuring that the assisted dying service is person-centred, equitable and accessible to all New Zealanders. This means that a person’s location or situation </w:t>
      </w:r>
      <w:r>
        <w:t>will</w:t>
      </w:r>
      <w:r w:rsidRPr="537D20A4">
        <w:t xml:space="preserve"> not affect their ability to access assisted dying, and the service </w:t>
      </w:r>
      <w:r>
        <w:t>will be</w:t>
      </w:r>
      <w:r w:rsidRPr="537D20A4">
        <w:t xml:space="preserve"> responsive to the individual person’s needs, including </w:t>
      </w:r>
      <w:r w:rsidRPr="00EF1A9A">
        <w:t xml:space="preserve">supporting Māori self- determination and mana </w:t>
      </w:r>
      <w:proofErr w:type="spellStart"/>
      <w:r w:rsidRPr="00EF1A9A">
        <w:t>motuhake</w:t>
      </w:r>
      <w:proofErr w:type="spellEnd"/>
      <w:r w:rsidRPr="00EF1A9A">
        <w:t xml:space="preserve">, meaning services are person-centred and </w:t>
      </w:r>
      <w:proofErr w:type="spellStart"/>
      <w:r w:rsidRPr="00EF1A9A">
        <w:t>whānau</w:t>
      </w:r>
      <w:proofErr w:type="spellEnd"/>
      <w:r w:rsidRPr="00EF1A9A">
        <w:t>-centred</w:t>
      </w:r>
      <w:r w:rsidRPr="537D20A4">
        <w:t xml:space="preserve">. This was a central consideration in the design of the service and how it </w:t>
      </w:r>
      <w:r>
        <w:t>has been</w:t>
      </w:r>
      <w:r w:rsidRPr="537D20A4">
        <w:t xml:space="preserve"> funded.</w:t>
      </w:r>
    </w:p>
    <w:p w14:paraId="0049A530" w14:textId="77777777" w:rsidR="00DD1B3A" w:rsidRPr="0003037D" w:rsidRDefault="00DD1B3A" w:rsidP="00DD1B3A"/>
    <w:p w14:paraId="70F50A3C" w14:textId="77777777" w:rsidR="00DD1B3A" w:rsidRPr="0003037D" w:rsidRDefault="00DD1B3A" w:rsidP="00DD1B3A">
      <w:r>
        <w:t>To support an equitable and accessible service, t</w:t>
      </w:r>
      <w:r w:rsidRPr="0003037D">
        <w:t xml:space="preserve">he Ministry </w:t>
      </w:r>
      <w:r>
        <w:t>focused on</w:t>
      </w:r>
      <w:r w:rsidRPr="0003037D">
        <w:t>:</w:t>
      </w:r>
    </w:p>
    <w:p w14:paraId="039689F9" w14:textId="77777777" w:rsidR="00DD1B3A" w:rsidRPr="0003037D" w:rsidRDefault="00DD1B3A" w:rsidP="00DD1B3A">
      <w:pPr>
        <w:pStyle w:val="Bullet"/>
        <w:rPr>
          <w:bCs/>
        </w:rPr>
      </w:pPr>
      <w:r w:rsidRPr="00DD1B3A">
        <w:rPr>
          <w:b/>
          <w:bCs/>
        </w:rPr>
        <w:t>enabling a person to exercise choice about their practitioner and maximising the size, spread and diversity of the assisted dying workforce</w:t>
      </w:r>
      <w:r>
        <w:t xml:space="preserve"> </w:t>
      </w:r>
      <w:r w:rsidRPr="0003037D">
        <w:t xml:space="preserve">by allowing any willing and appropriately trained medical or nurse practitioner </w:t>
      </w:r>
      <w:r>
        <w:t>to access funding for</w:t>
      </w:r>
      <w:r w:rsidRPr="0003037D">
        <w:t xml:space="preserve"> </w:t>
      </w:r>
      <w:r>
        <w:t>providing</w:t>
      </w:r>
      <w:r w:rsidRPr="0003037D">
        <w:t xml:space="preserve"> assisted dying services</w:t>
      </w:r>
    </w:p>
    <w:p w14:paraId="4137D7C5" w14:textId="77777777" w:rsidR="00DD1B3A" w:rsidRPr="0003037D" w:rsidRDefault="00DD1B3A" w:rsidP="00DD1B3A">
      <w:pPr>
        <w:pStyle w:val="Bullet"/>
      </w:pPr>
      <w:r w:rsidRPr="00DD1B3A">
        <w:rPr>
          <w:b/>
        </w:rPr>
        <w:t>providing funding for practitioners to travel to provide services</w:t>
      </w:r>
      <w:r w:rsidRPr="0003037D">
        <w:t>, which enables access throughout New Zealand and means a person can receive care in their own home</w:t>
      </w:r>
      <w:r>
        <w:t>, regardless of where they live</w:t>
      </w:r>
      <w:r w:rsidRPr="0003037D">
        <w:t xml:space="preserve"> </w:t>
      </w:r>
    </w:p>
    <w:p w14:paraId="165D70E4" w14:textId="77777777" w:rsidR="00DD1B3A" w:rsidRPr="0003037D" w:rsidRDefault="00DD1B3A" w:rsidP="00DD1B3A">
      <w:pPr>
        <w:pStyle w:val="Bullet"/>
      </w:pPr>
      <w:r w:rsidRPr="00DD1B3A">
        <w:rPr>
          <w:b/>
        </w:rPr>
        <w:t>supporting the use of telehealth, where appropriate, in the process</w:t>
      </w:r>
      <w:r w:rsidRPr="0003037D">
        <w:t xml:space="preserve">, offering people options, and improving timeliness and access for people in rural areas or where there are few assisted dying practitioners </w:t>
      </w:r>
    </w:p>
    <w:p w14:paraId="19C0A9E1" w14:textId="77777777" w:rsidR="00DD1B3A" w:rsidRPr="0003037D" w:rsidRDefault="00DD1B3A" w:rsidP="00DD1B3A">
      <w:pPr>
        <w:pStyle w:val="Bullet"/>
        <w:rPr>
          <w:bCs/>
        </w:rPr>
      </w:pPr>
      <w:r w:rsidRPr="00DD1B3A">
        <w:rPr>
          <w:b/>
        </w:rPr>
        <w:t>providing public information in various languages and formats and supporting the use of interpreters</w:t>
      </w:r>
      <w:r w:rsidRPr="0003037D">
        <w:t xml:space="preserve"> to increase accessibility and support a culturally safe service for all people and their </w:t>
      </w:r>
      <w:proofErr w:type="spellStart"/>
      <w:r w:rsidRPr="0003037D">
        <w:t>whānau</w:t>
      </w:r>
      <w:proofErr w:type="spellEnd"/>
    </w:p>
    <w:p w14:paraId="0F41E86B" w14:textId="77777777" w:rsidR="00DD1B3A" w:rsidRDefault="00DD1B3A" w:rsidP="00DD1B3A">
      <w:pPr>
        <w:pStyle w:val="Bullet"/>
      </w:pPr>
      <w:r w:rsidRPr="00DD1B3A">
        <w:rPr>
          <w:b/>
        </w:rPr>
        <w:t xml:space="preserve">incorporating </w:t>
      </w:r>
      <w:proofErr w:type="spellStart"/>
      <w:r w:rsidRPr="00DD1B3A">
        <w:rPr>
          <w:b/>
        </w:rPr>
        <w:t>Te</w:t>
      </w:r>
      <w:proofErr w:type="spellEnd"/>
      <w:r w:rsidRPr="00DD1B3A">
        <w:rPr>
          <w:b/>
        </w:rPr>
        <w:t xml:space="preserve"> </w:t>
      </w:r>
      <w:proofErr w:type="spellStart"/>
      <w:r w:rsidRPr="00DD1B3A">
        <w:rPr>
          <w:b/>
        </w:rPr>
        <w:t>Tiriti</w:t>
      </w:r>
      <w:proofErr w:type="spellEnd"/>
      <w:r w:rsidRPr="00DD1B3A">
        <w:rPr>
          <w:b/>
        </w:rPr>
        <w:t xml:space="preserve"> o Waitangi principles in the assisted dying training, </w:t>
      </w:r>
      <w:r w:rsidRPr="00DD1B3A">
        <w:rPr>
          <w:b/>
          <w:i/>
          <w:iCs/>
        </w:rPr>
        <w:t xml:space="preserve">Standard of Care </w:t>
      </w:r>
      <w:r w:rsidRPr="00DD1B3A">
        <w:rPr>
          <w:b/>
        </w:rPr>
        <w:t>and</w:t>
      </w:r>
      <w:r w:rsidRPr="00DD1B3A">
        <w:rPr>
          <w:b/>
          <w:i/>
          <w:iCs/>
        </w:rPr>
        <w:t xml:space="preserve"> Clinical Guideline </w:t>
      </w:r>
      <w:r w:rsidRPr="00DD1B3A">
        <w:rPr>
          <w:b/>
        </w:rPr>
        <w:t>for administering assisted dying medication</w:t>
      </w:r>
      <w:r w:rsidRPr="0003037D">
        <w:t xml:space="preserve"> to </w:t>
      </w:r>
      <w:r>
        <w:t>support practitioners to provide</w:t>
      </w:r>
      <w:r w:rsidRPr="0003037D">
        <w:t xml:space="preserve"> services </w:t>
      </w:r>
      <w:r>
        <w:t>that</w:t>
      </w:r>
      <w:r w:rsidRPr="0003037D">
        <w:t xml:space="preserve"> recognise and support Māori models of care</w:t>
      </w:r>
    </w:p>
    <w:p w14:paraId="6E7E15E1" w14:textId="77777777" w:rsidR="00DD1B3A" w:rsidRDefault="00DD1B3A" w:rsidP="00DD1B3A">
      <w:pPr>
        <w:pStyle w:val="Bullet"/>
      </w:pPr>
      <w:r w:rsidRPr="00DD1B3A">
        <w:rPr>
          <w:b/>
        </w:rPr>
        <w:lastRenderedPageBreak/>
        <w:t>supporting practitioners to provide culturally safe assisted dying services</w:t>
      </w:r>
      <w:r w:rsidRPr="537D20A4">
        <w:rPr>
          <w:bCs/>
        </w:rPr>
        <w:t xml:space="preserve"> </w:t>
      </w:r>
      <w:r w:rsidRPr="537D20A4">
        <w:t xml:space="preserve">by creating a care plan and ensuring training resources reflect how the assisted dying process may look different depending on the person accessing the service </w:t>
      </w:r>
    </w:p>
    <w:p w14:paraId="761A3DBD" w14:textId="77777777" w:rsidR="00DD1B3A" w:rsidRPr="0054624E" w:rsidRDefault="00DD1B3A" w:rsidP="00DD1B3A">
      <w:pPr>
        <w:pStyle w:val="Bullet"/>
      </w:pPr>
      <w:r w:rsidRPr="00DD1B3A">
        <w:rPr>
          <w:b/>
        </w:rPr>
        <w:t>ensuring feedback channels were in place</w:t>
      </w:r>
      <w:r w:rsidRPr="537D20A4">
        <w:rPr>
          <w:bCs/>
        </w:rPr>
        <w:t xml:space="preserve"> </w:t>
      </w:r>
      <w:r w:rsidRPr="537D20A4">
        <w:t xml:space="preserve">to enable continuous quality improvement based on a person’s experience of the service. </w:t>
      </w:r>
    </w:p>
    <w:p w14:paraId="279D6693" w14:textId="77777777" w:rsidR="00DD1B3A" w:rsidRPr="00DD1B3A" w:rsidRDefault="00DD1B3A" w:rsidP="00E236F4">
      <w:pPr>
        <w:pStyle w:val="Heading2"/>
        <w:numPr>
          <w:ilvl w:val="0"/>
          <w:numId w:val="10"/>
        </w:numPr>
        <w:ind w:hanging="720"/>
      </w:pPr>
      <w:bookmarkStart w:id="31" w:name="_Toc103606321"/>
      <w:bookmarkStart w:id="32" w:name="_Toc104460671"/>
      <w:bookmarkStart w:id="33" w:name="_Toc106611868"/>
      <w:r w:rsidRPr="00DD1B3A">
        <w:t>Standard of Care and Clinical Guideline</w:t>
      </w:r>
      <w:bookmarkEnd w:id="31"/>
      <w:bookmarkEnd w:id="32"/>
      <w:bookmarkEnd w:id="33"/>
    </w:p>
    <w:p w14:paraId="5C74E965" w14:textId="77777777" w:rsidR="00DD1B3A" w:rsidRDefault="00DD1B3A" w:rsidP="00DD1B3A">
      <w:r w:rsidRPr="537D20A4">
        <w:rPr>
          <w:rFonts w:cs="Segoe UI"/>
        </w:rPr>
        <w:t xml:space="preserve">The assisted dying service exists within the context of the wider health and disability system. Professional standards and frameworks, such as the Code of Health and Disability Services Consumers' Rights, continue to apply to assisted dying services and should be followed to ensure quality service provision to people and their </w:t>
      </w:r>
      <w:proofErr w:type="spellStart"/>
      <w:r w:rsidRPr="537D20A4">
        <w:rPr>
          <w:rFonts w:cs="Segoe UI"/>
        </w:rPr>
        <w:t>whānau</w:t>
      </w:r>
      <w:proofErr w:type="spellEnd"/>
      <w:r w:rsidRPr="537D20A4">
        <w:rPr>
          <w:rFonts w:cs="Segoe UI"/>
        </w:rPr>
        <w:t xml:space="preserve">.  </w:t>
      </w:r>
    </w:p>
    <w:p w14:paraId="0C2AB949" w14:textId="77777777" w:rsidR="00DD1B3A" w:rsidRPr="001E7528" w:rsidRDefault="00DD1B3A" w:rsidP="00DD1B3A">
      <w:pPr>
        <w:rPr>
          <w:rFonts w:cs="Segoe UI"/>
        </w:rPr>
      </w:pPr>
    </w:p>
    <w:p w14:paraId="5E12E715" w14:textId="77777777" w:rsidR="00DD1B3A" w:rsidRPr="001E7528" w:rsidRDefault="00DD1B3A" w:rsidP="00DD1B3A">
      <w:pPr>
        <w:rPr>
          <w:rFonts w:cs="Segoe UI"/>
        </w:rPr>
      </w:pPr>
      <w:r w:rsidRPr="537D20A4">
        <w:rPr>
          <w:rFonts w:cs="Segoe UI"/>
        </w:rPr>
        <w:t xml:space="preserve">Specific guidance for the assisted dying service is provided by </w:t>
      </w:r>
      <w:hyperlink r:id="rId25">
        <w:r w:rsidRPr="537D20A4">
          <w:rPr>
            <w:rFonts w:cs="Segoe UI"/>
          </w:rPr>
          <w:t xml:space="preserve">the </w:t>
        </w:r>
        <w:r w:rsidRPr="537D20A4">
          <w:rPr>
            <w:rFonts w:cs="Segoe UI"/>
            <w:i/>
            <w:iCs/>
          </w:rPr>
          <w:t>Standard of Care</w:t>
        </w:r>
        <w:r w:rsidRPr="537D20A4">
          <w:rPr>
            <w:rFonts w:cs="Segoe UI"/>
          </w:rPr>
          <w:t xml:space="preserve">, and the </w:t>
        </w:r>
        <w:r w:rsidRPr="537D20A4">
          <w:rPr>
            <w:rFonts w:cs="Segoe UI"/>
            <w:i/>
            <w:iCs/>
          </w:rPr>
          <w:t>Clinical Guideline</w:t>
        </w:r>
        <w:r w:rsidRPr="537D20A4">
          <w:rPr>
            <w:rFonts w:cs="Segoe UI"/>
          </w:rPr>
          <w:t xml:space="preserve"> for administering assisted dying medication in New Zealand Aotearoa</w:t>
        </w:r>
      </w:hyperlink>
      <w:r w:rsidRPr="537D20A4">
        <w:rPr>
          <w:rFonts w:cs="Segoe UI"/>
        </w:rPr>
        <w:t xml:space="preserve">. These frameworks support consistent, safe and quality services and incorporate </w:t>
      </w:r>
      <w:proofErr w:type="spellStart"/>
      <w:r w:rsidRPr="537D20A4">
        <w:rPr>
          <w:rFonts w:cs="Segoe UI"/>
        </w:rPr>
        <w:t>Te</w:t>
      </w:r>
      <w:proofErr w:type="spellEnd"/>
      <w:r w:rsidRPr="537D20A4">
        <w:rPr>
          <w:rFonts w:cs="Segoe UI"/>
        </w:rPr>
        <w:t xml:space="preserve"> </w:t>
      </w:r>
      <w:proofErr w:type="spellStart"/>
      <w:r w:rsidRPr="537D20A4">
        <w:rPr>
          <w:rFonts w:cs="Segoe UI"/>
        </w:rPr>
        <w:t>Tiriti</w:t>
      </w:r>
      <w:proofErr w:type="spellEnd"/>
      <w:r w:rsidRPr="537D20A4">
        <w:rPr>
          <w:rFonts w:cs="Segoe UI"/>
        </w:rPr>
        <w:t xml:space="preserve"> o Waitangi principles. </w:t>
      </w:r>
    </w:p>
    <w:p w14:paraId="1637E800" w14:textId="77777777" w:rsidR="00DD1B3A" w:rsidRPr="001E7528" w:rsidRDefault="00DD1B3A" w:rsidP="00DD1B3A">
      <w:pPr>
        <w:rPr>
          <w:rFonts w:cs="Segoe UI"/>
        </w:rPr>
      </w:pPr>
    </w:p>
    <w:p w14:paraId="79CBF388" w14:textId="77777777" w:rsidR="00DD1B3A" w:rsidRPr="001E7528" w:rsidRDefault="00DD1B3A" w:rsidP="00DD1B3A">
      <w:pPr>
        <w:rPr>
          <w:rFonts w:cs="Segoe UI"/>
        </w:rPr>
      </w:pPr>
      <w:r w:rsidRPr="537D20A4">
        <w:rPr>
          <w:rFonts w:cs="Segoe UI"/>
        </w:rPr>
        <w:t xml:space="preserve">The </w:t>
      </w:r>
      <w:r w:rsidRPr="537D20A4">
        <w:rPr>
          <w:rFonts w:cs="Segoe UI"/>
          <w:i/>
          <w:iCs/>
        </w:rPr>
        <w:t>Standard of Care</w:t>
      </w:r>
      <w:r w:rsidRPr="537D20A4">
        <w:rPr>
          <w:rFonts w:cs="Segoe UI"/>
        </w:rPr>
        <w:t>, created in partnership by the Support and Consultation for End of Life in New Zealand Group</w:t>
      </w:r>
      <w:r>
        <w:rPr>
          <w:rFonts w:cs="Segoe UI"/>
        </w:rPr>
        <w:t xml:space="preserve"> (SCENZ)</w:t>
      </w:r>
      <w:r w:rsidRPr="537D20A4">
        <w:rPr>
          <w:rFonts w:cs="Segoe UI"/>
        </w:rPr>
        <w:t xml:space="preserve"> and the Ministry, has been developed to outline best practice </w:t>
      </w:r>
      <w:r>
        <w:rPr>
          <w:rFonts w:cs="Segoe UI"/>
        </w:rPr>
        <w:t>in</w:t>
      </w:r>
      <w:r w:rsidRPr="537D20A4">
        <w:rPr>
          <w:rFonts w:cs="Segoe UI"/>
        </w:rPr>
        <w:t xml:space="preserve"> providing care and support to a person and their </w:t>
      </w:r>
      <w:proofErr w:type="spellStart"/>
      <w:r w:rsidRPr="537D20A4">
        <w:rPr>
          <w:rFonts w:cs="Segoe UI"/>
        </w:rPr>
        <w:t>whānau</w:t>
      </w:r>
      <w:proofErr w:type="spellEnd"/>
      <w:r w:rsidRPr="537D20A4">
        <w:rPr>
          <w:rFonts w:cs="Segoe UI"/>
        </w:rPr>
        <w:t xml:space="preserve"> when administering assisted dying medication in New Zealand Aotearoa. The </w:t>
      </w:r>
      <w:r w:rsidRPr="537D20A4">
        <w:rPr>
          <w:rFonts w:cs="Segoe UI"/>
          <w:i/>
          <w:iCs/>
        </w:rPr>
        <w:t>Standard of Care</w:t>
      </w:r>
      <w:r w:rsidRPr="537D20A4">
        <w:rPr>
          <w:rFonts w:cs="Segoe UI"/>
        </w:rPr>
        <w:t xml:space="preserve"> is available through </w:t>
      </w:r>
      <w:hyperlink r:id="rId26">
        <w:r w:rsidRPr="537D20A4">
          <w:rPr>
            <w:rStyle w:val="Hyperlink"/>
            <w:rFonts w:cs="Segoe UI"/>
          </w:rPr>
          <w:t>the Ministry’s website</w:t>
        </w:r>
      </w:hyperlink>
      <w:r w:rsidRPr="537D20A4">
        <w:rPr>
          <w:rFonts w:cs="Segoe UI"/>
        </w:rPr>
        <w:t xml:space="preserve">. </w:t>
      </w:r>
    </w:p>
    <w:p w14:paraId="204A96B4" w14:textId="77777777" w:rsidR="00DD1B3A" w:rsidRPr="001E7528" w:rsidRDefault="00DD1B3A" w:rsidP="00DD1B3A">
      <w:pPr>
        <w:rPr>
          <w:rFonts w:cs="Segoe UI"/>
        </w:rPr>
      </w:pPr>
    </w:p>
    <w:p w14:paraId="68843940" w14:textId="77777777" w:rsidR="00DD1B3A" w:rsidRPr="005B4C2B" w:rsidRDefault="00DD1B3A" w:rsidP="00DD1B3A">
      <w:pPr>
        <w:rPr>
          <w:rFonts w:cs="Segoe UI"/>
        </w:rPr>
      </w:pPr>
      <w:r w:rsidRPr="001E7528">
        <w:rPr>
          <w:rFonts w:cs="Segoe UI"/>
        </w:rPr>
        <w:t xml:space="preserve">The </w:t>
      </w:r>
      <w:r w:rsidRPr="0003037D">
        <w:rPr>
          <w:rFonts w:cs="Segoe UI"/>
          <w:i/>
          <w:iCs/>
        </w:rPr>
        <w:t>Clinical Guideline</w:t>
      </w:r>
      <w:r w:rsidRPr="001E7528">
        <w:rPr>
          <w:rFonts w:cs="Segoe UI"/>
        </w:rPr>
        <w:t xml:space="preserve">, created by the Ministry, covers the considerations and requirements to be followed by the attending medical practitioner (AMP) or attending nurse practitioner (ANP) when administering the assisted dying medication. The </w:t>
      </w:r>
      <w:r w:rsidRPr="0003037D">
        <w:rPr>
          <w:rFonts w:cs="Segoe UI"/>
          <w:i/>
          <w:iCs/>
        </w:rPr>
        <w:t>Clinical Guideline</w:t>
      </w:r>
      <w:r w:rsidRPr="001E7528">
        <w:rPr>
          <w:rFonts w:cs="Segoe UI"/>
        </w:rPr>
        <w:t xml:space="preserve"> is only available to practitioners </w:t>
      </w:r>
      <w:r>
        <w:rPr>
          <w:rFonts w:cs="Segoe UI"/>
        </w:rPr>
        <w:t xml:space="preserve">who are directly involved </w:t>
      </w:r>
      <w:r w:rsidRPr="001E7528">
        <w:rPr>
          <w:rFonts w:cs="Segoe UI"/>
        </w:rPr>
        <w:t xml:space="preserve">as it contains sensitive information related to the medications. </w:t>
      </w:r>
      <w:r>
        <w:rPr>
          <w:rFonts w:cs="Segoe UI"/>
        </w:rPr>
        <w:t xml:space="preserve">The </w:t>
      </w:r>
      <w:r>
        <w:rPr>
          <w:rFonts w:cs="Segoe UI"/>
          <w:i/>
          <w:iCs/>
        </w:rPr>
        <w:t xml:space="preserve">Clinical Guideline </w:t>
      </w:r>
      <w:r>
        <w:rPr>
          <w:rFonts w:cs="Segoe UI"/>
        </w:rPr>
        <w:t xml:space="preserve">is reviewed and updated, based on feedback. </w:t>
      </w:r>
    </w:p>
    <w:p w14:paraId="33953F7E" w14:textId="77777777" w:rsidR="00DD1B3A" w:rsidRPr="001E7528" w:rsidRDefault="00DD1B3A" w:rsidP="00DD1B3A">
      <w:pPr>
        <w:rPr>
          <w:rFonts w:cs="Segoe UI"/>
        </w:rPr>
      </w:pPr>
    </w:p>
    <w:p w14:paraId="7FB1862F" w14:textId="77777777" w:rsidR="00DD1B3A" w:rsidRPr="00EF1A9A" w:rsidRDefault="00DD1B3A" w:rsidP="00DD1B3A">
      <w:pPr>
        <w:spacing w:line="259" w:lineRule="auto"/>
        <w:rPr>
          <w:rFonts w:cs="Segoe UI"/>
        </w:rPr>
      </w:pPr>
      <w:r w:rsidRPr="537D20A4">
        <w:rPr>
          <w:rFonts w:cs="Segoe UI"/>
        </w:rPr>
        <w:t xml:space="preserve">Both the </w:t>
      </w:r>
      <w:r w:rsidRPr="537D20A4">
        <w:rPr>
          <w:rFonts w:cs="Segoe UI"/>
          <w:i/>
          <w:iCs/>
        </w:rPr>
        <w:t>Standard of Care</w:t>
      </w:r>
      <w:r w:rsidRPr="537D20A4">
        <w:rPr>
          <w:rFonts w:cs="Segoe UI"/>
        </w:rPr>
        <w:t xml:space="preserve"> and the </w:t>
      </w:r>
      <w:r w:rsidRPr="537D20A4">
        <w:rPr>
          <w:rFonts w:cs="Segoe UI"/>
          <w:i/>
          <w:iCs/>
        </w:rPr>
        <w:t>Clinical Guideline</w:t>
      </w:r>
      <w:r w:rsidRPr="537D20A4">
        <w:rPr>
          <w:rFonts w:cs="Segoe UI"/>
        </w:rPr>
        <w:t xml:space="preserve"> are intended to be read alongside </w:t>
      </w:r>
      <w:hyperlink r:id="rId27">
        <w:proofErr w:type="spellStart"/>
        <w:r w:rsidRPr="537D20A4">
          <w:rPr>
            <w:rStyle w:val="Hyperlink"/>
            <w:rFonts w:cs="Segoe UI"/>
            <w:i/>
            <w:iCs/>
          </w:rPr>
          <w:t>Ngā</w:t>
        </w:r>
        <w:proofErr w:type="spellEnd"/>
        <w:r w:rsidRPr="537D20A4">
          <w:rPr>
            <w:rStyle w:val="Hyperlink"/>
            <w:rFonts w:cs="Segoe UI"/>
            <w:i/>
            <w:iCs/>
          </w:rPr>
          <w:t xml:space="preserve"> </w:t>
        </w:r>
        <w:proofErr w:type="spellStart"/>
        <w:r w:rsidRPr="537D20A4">
          <w:rPr>
            <w:rStyle w:val="Hyperlink"/>
            <w:rFonts w:cs="Segoe UI"/>
            <w:i/>
            <w:iCs/>
          </w:rPr>
          <w:t>Paerewa</w:t>
        </w:r>
        <w:proofErr w:type="spellEnd"/>
        <w:r w:rsidRPr="537D20A4">
          <w:rPr>
            <w:rStyle w:val="Hyperlink"/>
            <w:rFonts w:cs="Segoe UI"/>
            <w:i/>
            <w:iCs/>
          </w:rPr>
          <w:t>: Health and Disability Services Standard NZS 8134:2021</w:t>
        </w:r>
      </w:hyperlink>
      <w:r w:rsidRPr="537D20A4">
        <w:rPr>
          <w:rFonts w:cs="Segoe UI"/>
        </w:rPr>
        <w:t xml:space="preserve">. </w:t>
      </w:r>
      <w:proofErr w:type="spellStart"/>
      <w:r w:rsidRPr="537D20A4">
        <w:rPr>
          <w:rFonts w:cs="Segoe UI"/>
          <w:i/>
          <w:iCs/>
        </w:rPr>
        <w:t>Ngā</w:t>
      </w:r>
      <w:proofErr w:type="spellEnd"/>
      <w:r w:rsidRPr="537D20A4">
        <w:rPr>
          <w:rFonts w:cs="Segoe UI"/>
          <w:i/>
          <w:iCs/>
        </w:rPr>
        <w:t xml:space="preserve"> </w:t>
      </w:r>
      <w:proofErr w:type="spellStart"/>
      <w:r w:rsidRPr="537D20A4">
        <w:rPr>
          <w:rFonts w:cs="Segoe UI"/>
          <w:i/>
          <w:iCs/>
        </w:rPr>
        <w:t>Paerewa</w:t>
      </w:r>
      <w:proofErr w:type="spellEnd"/>
      <w:r w:rsidRPr="537D20A4">
        <w:rPr>
          <w:rFonts w:cs="Segoe UI"/>
        </w:rPr>
        <w:t>, which was developed with the health sector, sets out the minimum requirements for care and support within services specified in the Health and Disability Services (Safety) Act 20</w:t>
      </w:r>
      <w:r w:rsidRPr="00473014">
        <w:rPr>
          <w:rFonts w:cs="Segoe UI"/>
          <w:szCs w:val="21"/>
        </w:rPr>
        <w:t>01.</w:t>
      </w:r>
    </w:p>
    <w:p w14:paraId="6893E858" w14:textId="5CB32655" w:rsidR="00DD1B3A" w:rsidRPr="001444EB" w:rsidRDefault="00DD1B3A" w:rsidP="00DD1B3A">
      <w:pPr>
        <w:rPr>
          <w:lang w:eastAsia="en-NZ"/>
        </w:rPr>
      </w:pPr>
      <w:r w:rsidRPr="001444EB">
        <w:rPr>
          <w:lang w:eastAsia="en-NZ"/>
        </w:rPr>
        <w:t xml:space="preserve"> </w:t>
      </w:r>
    </w:p>
    <w:p w14:paraId="36BABC10" w14:textId="77777777" w:rsidR="00E236F4" w:rsidRPr="00E236F4" w:rsidRDefault="00E236F4" w:rsidP="00E236F4">
      <w:pPr>
        <w:pStyle w:val="Heading1"/>
      </w:pPr>
      <w:bookmarkStart w:id="34" w:name="_Toc103606322"/>
      <w:bookmarkStart w:id="35" w:name="_Toc104460672"/>
      <w:bookmarkStart w:id="36" w:name="_Toc106611869"/>
      <w:r w:rsidRPr="00E236F4">
        <w:lastRenderedPageBreak/>
        <w:t>Groups and organisations involved in the assisted dying service</w:t>
      </w:r>
      <w:bookmarkEnd w:id="34"/>
      <w:bookmarkEnd w:id="35"/>
      <w:bookmarkEnd w:id="36"/>
    </w:p>
    <w:p w14:paraId="4DA6E980" w14:textId="77777777" w:rsidR="00E236F4" w:rsidRPr="00E236F4" w:rsidRDefault="00E236F4" w:rsidP="00E236F4">
      <w:pPr>
        <w:pStyle w:val="Heading2"/>
        <w:numPr>
          <w:ilvl w:val="0"/>
          <w:numId w:val="11"/>
        </w:numPr>
        <w:ind w:hanging="720"/>
      </w:pPr>
      <w:bookmarkStart w:id="37" w:name="_Toc103085566"/>
      <w:bookmarkStart w:id="38" w:name="_Toc103606323"/>
      <w:bookmarkStart w:id="39" w:name="_Toc104460673"/>
      <w:bookmarkStart w:id="40" w:name="_Toc106611870"/>
      <w:r w:rsidRPr="00E236F4">
        <w:t xml:space="preserve">The </w:t>
      </w:r>
      <w:bookmarkEnd w:id="37"/>
      <w:r w:rsidRPr="00E236F4">
        <w:t>Assisted Dying Secretariat</w:t>
      </w:r>
      <w:bookmarkEnd w:id="38"/>
      <w:bookmarkEnd w:id="39"/>
      <w:bookmarkEnd w:id="40"/>
    </w:p>
    <w:p w14:paraId="1758C04C" w14:textId="77777777" w:rsidR="00E236F4" w:rsidRPr="00347D15" w:rsidRDefault="00E236F4" w:rsidP="00E236F4">
      <w:pPr>
        <w:rPr>
          <w:lang w:eastAsia="en-NZ"/>
        </w:rPr>
      </w:pPr>
      <w:r w:rsidRPr="00347D15">
        <w:rPr>
          <w:lang w:eastAsia="en-NZ"/>
        </w:rPr>
        <w:t xml:space="preserve">The Assisted Dying Secretariat, within the Regulatory Assurance team at the Ministry, is responsible for overseeing the assisted dying service. The Secretariat has a regulatory </w:t>
      </w:r>
      <w:r>
        <w:rPr>
          <w:lang w:eastAsia="en-NZ"/>
        </w:rPr>
        <w:t xml:space="preserve">and monitoring </w:t>
      </w:r>
      <w:r w:rsidRPr="00347D15">
        <w:rPr>
          <w:lang w:eastAsia="en-NZ"/>
        </w:rPr>
        <w:t xml:space="preserve">function to ensure compliance with Act, and an operational function to support the delivery of assisted dying services. The Registrar (assisted dying) sits within the Secretariat. </w:t>
      </w:r>
    </w:p>
    <w:p w14:paraId="42D5F38F" w14:textId="77777777" w:rsidR="00E236F4" w:rsidRPr="001E7528" w:rsidRDefault="00E236F4" w:rsidP="00E236F4">
      <w:pPr>
        <w:pStyle w:val="Heading3"/>
        <w:rPr>
          <w:rFonts w:cs="Segoe UI"/>
          <w:lang w:eastAsia="en-NZ"/>
        </w:rPr>
      </w:pPr>
      <w:bookmarkStart w:id="41" w:name="_Toc103606324"/>
      <w:bookmarkStart w:id="42" w:name="_Toc104460674"/>
      <w:r w:rsidRPr="001E7528">
        <w:rPr>
          <w:rFonts w:cs="Segoe UI"/>
          <w:lang w:eastAsia="en-NZ"/>
        </w:rPr>
        <w:t>Support throughout the process</w:t>
      </w:r>
      <w:bookmarkEnd w:id="41"/>
      <w:bookmarkEnd w:id="42"/>
    </w:p>
    <w:p w14:paraId="24ED8786" w14:textId="2B9DB006" w:rsidR="00E236F4" w:rsidRDefault="00E236F4" w:rsidP="00E236F4">
      <w:pPr>
        <w:rPr>
          <w:lang w:eastAsia="en-NZ"/>
        </w:rPr>
      </w:pPr>
      <w:r w:rsidRPr="00347D15">
        <w:rPr>
          <w:lang w:eastAsia="en-NZ"/>
        </w:rPr>
        <w:t xml:space="preserve">The Secretariat includes clinical advisors who provide information and support to the person, their </w:t>
      </w:r>
      <w:proofErr w:type="spellStart"/>
      <w:r w:rsidRPr="00347D15">
        <w:rPr>
          <w:lang w:eastAsia="en-NZ"/>
        </w:rPr>
        <w:t>whānau</w:t>
      </w:r>
      <w:proofErr w:type="spellEnd"/>
      <w:r w:rsidRPr="00347D15">
        <w:rPr>
          <w:lang w:eastAsia="en-NZ"/>
        </w:rPr>
        <w:t xml:space="preserve">, and the practitioners providing services. Their role also includes connecting people with practitioners from the SCENZ lists. The clinical advisors are </w:t>
      </w:r>
      <w:r>
        <w:rPr>
          <w:lang w:eastAsia="en-NZ"/>
        </w:rPr>
        <w:t xml:space="preserve">senior </w:t>
      </w:r>
      <w:r w:rsidRPr="00347D15">
        <w:rPr>
          <w:lang w:eastAsia="en-NZ"/>
        </w:rPr>
        <w:t xml:space="preserve">registered nurses. </w:t>
      </w:r>
    </w:p>
    <w:p w14:paraId="5B76A394" w14:textId="77777777" w:rsidR="00E236F4" w:rsidRPr="00347D15" w:rsidRDefault="00E236F4" w:rsidP="00E236F4">
      <w:pPr>
        <w:rPr>
          <w:lang w:eastAsia="en-NZ"/>
        </w:rPr>
      </w:pPr>
    </w:p>
    <w:p w14:paraId="4774D999" w14:textId="716E56F4" w:rsidR="00E236F4" w:rsidRDefault="00E236F4" w:rsidP="00E236F4">
      <w:pPr>
        <w:rPr>
          <w:lang w:eastAsia="en-NZ"/>
        </w:rPr>
      </w:pPr>
      <w:r w:rsidRPr="537D20A4">
        <w:rPr>
          <w:lang w:eastAsia="en-NZ"/>
        </w:rPr>
        <w:t>The clinical advisor roles were established based on the success of the Care Navigator Service in Victoria, Australia, which provides a central point of contact and support for people and practitioners navigating this process.</w:t>
      </w:r>
    </w:p>
    <w:p w14:paraId="310AC7F3" w14:textId="77777777" w:rsidR="00E236F4" w:rsidRPr="00347D15" w:rsidRDefault="00E236F4" w:rsidP="00E236F4">
      <w:pPr>
        <w:rPr>
          <w:lang w:eastAsia="en-NZ"/>
        </w:rPr>
      </w:pPr>
    </w:p>
    <w:p w14:paraId="68CCAC14" w14:textId="05A5921E" w:rsidR="00E236F4" w:rsidRDefault="00E236F4" w:rsidP="00E236F4">
      <w:pPr>
        <w:rPr>
          <w:lang w:eastAsia="en-NZ"/>
        </w:rPr>
      </w:pPr>
      <w:r w:rsidRPr="00347D15">
        <w:rPr>
          <w:lang w:eastAsia="en-NZ"/>
        </w:rPr>
        <w:t xml:space="preserve">The clinical advisors </w:t>
      </w:r>
      <w:r>
        <w:rPr>
          <w:lang w:eastAsia="en-NZ"/>
        </w:rPr>
        <w:t>have been a</w:t>
      </w:r>
      <w:r w:rsidRPr="00347D15">
        <w:rPr>
          <w:lang w:eastAsia="en-NZ"/>
        </w:rPr>
        <w:t xml:space="preserve"> vital part </w:t>
      </w:r>
      <w:r>
        <w:rPr>
          <w:lang w:eastAsia="en-NZ"/>
        </w:rPr>
        <w:t>of</w:t>
      </w:r>
      <w:r w:rsidRPr="00347D15">
        <w:rPr>
          <w:lang w:eastAsia="en-NZ"/>
        </w:rPr>
        <w:t xml:space="preserve"> the assisted dying service</w:t>
      </w:r>
      <w:r>
        <w:rPr>
          <w:lang w:eastAsia="en-NZ"/>
        </w:rPr>
        <w:t xml:space="preserve"> from the very beginning</w:t>
      </w:r>
      <w:r w:rsidRPr="00347D15">
        <w:rPr>
          <w:lang w:eastAsia="en-NZ"/>
        </w:rPr>
        <w:t xml:space="preserve"> and have received consistently positive feedback from people, </w:t>
      </w:r>
      <w:proofErr w:type="spellStart"/>
      <w:r w:rsidRPr="00347D15">
        <w:rPr>
          <w:lang w:eastAsia="en-NZ"/>
        </w:rPr>
        <w:t>whānau</w:t>
      </w:r>
      <w:proofErr w:type="spellEnd"/>
      <w:r w:rsidRPr="00347D15">
        <w:rPr>
          <w:lang w:eastAsia="en-NZ"/>
        </w:rPr>
        <w:t xml:space="preserve"> and practitioners who value their </w:t>
      </w:r>
      <w:r>
        <w:rPr>
          <w:lang w:eastAsia="en-NZ"/>
        </w:rPr>
        <w:t xml:space="preserve">compassion, </w:t>
      </w:r>
      <w:r w:rsidRPr="00347D15">
        <w:rPr>
          <w:lang w:eastAsia="en-NZ"/>
        </w:rPr>
        <w:t>expertise</w:t>
      </w:r>
      <w:r>
        <w:rPr>
          <w:lang w:eastAsia="en-NZ"/>
        </w:rPr>
        <w:t>,</w:t>
      </w:r>
      <w:r w:rsidRPr="00347D15">
        <w:rPr>
          <w:lang w:eastAsia="en-NZ"/>
        </w:rPr>
        <w:t xml:space="preserve"> and dedication to their roles. </w:t>
      </w:r>
    </w:p>
    <w:p w14:paraId="3BE33E66" w14:textId="77777777" w:rsidR="00E236F4" w:rsidRPr="00347D15" w:rsidRDefault="00E236F4" w:rsidP="00E236F4">
      <w:pPr>
        <w:rPr>
          <w:lang w:eastAsia="en-NZ"/>
        </w:rPr>
      </w:pPr>
    </w:p>
    <w:p w14:paraId="0EF271E1" w14:textId="77777777" w:rsidR="00E236F4" w:rsidRPr="00347D15" w:rsidRDefault="00E236F4" w:rsidP="00E236F4">
      <w:pPr>
        <w:rPr>
          <w:lang w:eastAsia="en-NZ"/>
        </w:rPr>
      </w:pPr>
      <w:r w:rsidRPr="00347D15">
        <w:rPr>
          <w:lang w:eastAsia="en-NZ"/>
        </w:rPr>
        <w:t xml:space="preserve">The service started with two clinical advisors, and </w:t>
      </w:r>
      <w:r>
        <w:rPr>
          <w:lang w:eastAsia="en-NZ"/>
        </w:rPr>
        <w:t>there are plans to expand the team, due to increasing workload</w:t>
      </w:r>
      <w:r w:rsidRPr="00347D15">
        <w:rPr>
          <w:lang w:eastAsia="en-NZ"/>
        </w:rPr>
        <w:t xml:space="preserve">. This will also enable the clinical advisors to </w:t>
      </w:r>
      <w:r>
        <w:rPr>
          <w:lang w:eastAsia="en-NZ"/>
        </w:rPr>
        <w:t>better support activities related to</w:t>
      </w:r>
      <w:r w:rsidRPr="00347D15">
        <w:rPr>
          <w:lang w:eastAsia="en-NZ"/>
        </w:rPr>
        <w:t xml:space="preserve"> service improvement</w:t>
      </w:r>
      <w:r>
        <w:rPr>
          <w:lang w:eastAsia="en-NZ"/>
        </w:rPr>
        <w:t xml:space="preserve">, quality and </w:t>
      </w:r>
      <w:proofErr w:type="spellStart"/>
      <w:r>
        <w:rPr>
          <w:lang w:eastAsia="en-NZ"/>
        </w:rPr>
        <w:t>whānau</w:t>
      </w:r>
      <w:proofErr w:type="spellEnd"/>
      <w:r>
        <w:rPr>
          <w:lang w:eastAsia="en-NZ"/>
        </w:rPr>
        <w:t xml:space="preserve"> engagement</w:t>
      </w:r>
      <w:r w:rsidRPr="00347D15">
        <w:rPr>
          <w:lang w:eastAsia="en-NZ"/>
        </w:rPr>
        <w:t xml:space="preserve">. </w:t>
      </w:r>
    </w:p>
    <w:p w14:paraId="06078CD3" w14:textId="77777777" w:rsidR="00E236F4" w:rsidRPr="001E7528" w:rsidRDefault="00E236F4" w:rsidP="00E236F4">
      <w:pPr>
        <w:pStyle w:val="Heading3"/>
        <w:rPr>
          <w:rFonts w:cs="Segoe UI"/>
          <w:lang w:eastAsia="en-NZ"/>
        </w:rPr>
      </w:pPr>
      <w:bookmarkStart w:id="43" w:name="_Toc103606325"/>
      <w:bookmarkStart w:id="44" w:name="_Toc104460675"/>
      <w:r w:rsidRPr="001E7528">
        <w:rPr>
          <w:rFonts w:cs="Segoe UI"/>
          <w:lang w:eastAsia="en-NZ"/>
        </w:rPr>
        <w:t>Ongoing service improvement</w:t>
      </w:r>
      <w:bookmarkEnd w:id="43"/>
      <w:bookmarkEnd w:id="44"/>
    </w:p>
    <w:p w14:paraId="6AB22416" w14:textId="71700926" w:rsidR="00E236F4" w:rsidRDefault="00E236F4" w:rsidP="00E236F4">
      <w:r w:rsidRPr="00355A81">
        <w:t xml:space="preserve">The Secretariat has a work programme in place to monitor and improve the service over time. This includes establishing a Continuous Quality Improvement framework and </w:t>
      </w:r>
      <w:r>
        <w:t xml:space="preserve">Quality Plan. </w:t>
      </w:r>
    </w:p>
    <w:p w14:paraId="721BEE50" w14:textId="77777777" w:rsidR="00E236F4" w:rsidRDefault="00E236F4" w:rsidP="00E236F4"/>
    <w:p w14:paraId="4F1F4AFD" w14:textId="3492687A" w:rsidR="00E236F4" w:rsidRDefault="00E236F4" w:rsidP="00E236F4">
      <w:r>
        <w:t xml:space="preserve">The Quality Plan supports the first year of the operation of the service and provides a framework for clinical governance, risk mitigation, accountabilities and monitoring. It focuses on seven measures that capture all aspects of the assisted dying service. Data from the first year of activity will be used to inform the quality focus moving forward.  </w:t>
      </w:r>
    </w:p>
    <w:p w14:paraId="6FBEDC12" w14:textId="77777777" w:rsidR="00E236F4" w:rsidRPr="00355A81" w:rsidRDefault="00E236F4" w:rsidP="00E236F4"/>
    <w:p w14:paraId="7E8CB46E" w14:textId="080D90E2" w:rsidR="00E236F4" w:rsidRDefault="00E236F4" w:rsidP="00E236F4">
      <w:r w:rsidRPr="00355A81">
        <w:lastRenderedPageBreak/>
        <w:t>In addition, the Ministry is undertaking a self-initiated internal review from November 2022</w:t>
      </w:r>
      <w:r>
        <w:t xml:space="preserve">, which will examine </w:t>
      </w:r>
      <w:r w:rsidRPr="00B42007">
        <w:t xml:space="preserve">how the Act has been implemented, </w:t>
      </w:r>
      <w:r>
        <w:t>including</w:t>
      </w:r>
      <w:r w:rsidRPr="00B42007">
        <w:t xml:space="preserve"> identifying what has worked well and where there may be scope for improvement</w:t>
      </w:r>
      <w:r w:rsidRPr="00355A81">
        <w:t xml:space="preserve">.  </w:t>
      </w:r>
    </w:p>
    <w:p w14:paraId="0B7BE8C6" w14:textId="77777777" w:rsidR="00E236F4" w:rsidRPr="00355A81" w:rsidRDefault="00E236F4" w:rsidP="00E236F4"/>
    <w:p w14:paraId="76F2EF12" w14:textId="77777777" w:rsidR="00E236F4" w:rsidRPr="00355A81" w:rsidRDefault="00E236F4" w:rsidP="00E236F4">
      <w:r w:rsidRPr="00355A81">
        <w:t xml:space="preserve">The Ministry </w:t>
      </w:r>
      <w:r>
        <w:t>is</w:t>
      </w:r>
      <w:r w:rsidRPr="00355A81">
        <w:t xml:space="preserve"> also responsible for conducting a legislative review within three years of the Act coming into force and making recommendations to the Minister of Health of any appropriate amendments. Following this review</w:t>
      </w:r>
      <w:r>
        <w:t>,</w:t>
      </w:r>
      <w:r w:rsidRPr="00355A81">
        <w:t xml:space="preserve"> the Act will be reviewed at least every five years. </w:t>
      </w:r>
    </w:p>
    <w:p w14:paraId="60CA8358" w14:textId="77777777" w:rsidR="00E236F4" w:rsidRPr="00E236F4" w:rsidRDefault="00E236F4" w:rsidP="00E236F4">
      <w:pPr>
        <w:pStyle w:val="Heading2"/>
        <w:numPr>
          <w:ilvl w:val="0"/>
          <w:numId w:val="11"/>
        </w:numPr>
        <w:ind w:hanging="720"/>
      </w:pPr>
      <w:bookmarkStart w:id="45" w:name="_Toc103606326"/>
      <w:bookmarkStart w:id="46" w:name="_Toc104460676"/>
      <w:bookmarkStart w:id="47" w:name="_Toc106611871"/>
      <w:r w:rsidRPr="00E236F4">
        <w:t>The Support and Consultation for End of Life in New Zealand Group</w:t>
      </w:r>
      <w:bookmarkEnd w:id="45"/>
      <w:bookmarkEnd w:id="46"/>
      <w:bookmarkEnd w:id="47"/>
    </w:p>
    <w:p w14:paraId="541D9FE8" w14:textId="2E4C56A5" w:rsidR="00E236F4" w:rsidRDefault="00E236F4" w:rsidP="00E236F4">
      <w:r w:rsidRPr="00E236F4">
        <w:t xml:space="preserve">The Support and Consultation for End of Life in New Zealand (SCENZ) Group is a statutory body appointed by the Director-General of Health. The SCENZ Group is comprised of medical practitioners, a psychiatrist, a pharmacist, a nurse practitioner, and members that represent consumer and </w:t>
      </w:r>
      <w:proofErr w:type="spellStart"/>
      <w:r w:rsidRPr="00E236F4">
        <w:t>whānau</w:t>
      </w:r>
      <w:proofErr w:type="spellEnd"/>
      <w:r w:rsidRPr="00E236F4">
        <w:t xml:space="preserve"> perspectives. The Group brings collective experience in clinical practice, </w:t>
      </w:r>
      <w:proofErr w:type="spellStart"/>
      <w:r w:rsidRPr="00E236F4">
        <w:t>Te</w:t>
      </w:r>
      <w:proofErr w:type="spellEnd"/>
      <w:r w:rsidRPr="00E236F4">
        <w:t xml:space="preserve"> </w:t>
      </w:r>
      <w:proofErr w:type="spellStart"/>
      <w:r w:rsidRPr="00E236F4">
        <w:t>Ao</w:t>
      </w:r>
      <w:proofErr w:type="spellEnd"/>
      <w:r w:rsidRPr="00E236F4">
        <w:t xml:space="preserve"> Māori and Tikanga Māori, ethics and law, and the disability sector. It includes two Māori members and a Māori co-chair. </w:t>
      </w:r>
    </w:p>
    <w:p w14:paraId="41A4CD96" w14:textId="77777777" w:rsidR="00E236F4" w:rsidRPr="00E236F4" w:rsidRDefault="00E236F4" w:rsidP="00E236F4"/>
    <w:p w14:paraId="0F8C786D" w14:textId="77777777" w:rsidR="00E236F4" w:rsidRPr="00347D15" w:rsidRDefault="00E236F4" w:rsidP="00E236F4">
      <w:r w:rsidRPr="00E236F4">
        <w:t>The SCENZ Group’s responsibilities include</w:t>
      </w:r>
      <w:r w:rsidRPr="00347D15">
        <w:t xml:space="preserve">: </w:t>
      </w:r>
    </w:p>
    <w:p w14:paraId="1AF4ABB7" w14:textId="77777777" w:rsidR="00E236F4" w:rsidRPr="00E236F4" w:rsidRDefault="00E236F4" w:rsidP="00E236F4">
      <w:pPr>
        <w:pStyle w:val="Bullet"/>
      </w:pPr>
      <w:r w:rsidRPr="00E236F4">
        <w:t>maintaining lists of medical practitioners, psychiatrists and nurse practitioners willing to be involved in the assisted dying service</w:t>
      </w:r>
    </w:p>
    <w:p w14:paraId="376C5536" w14:textId="77777777" w:rsidR="00E236F4" w:rsidRPr="00E236F4" w:rsidRDefault="00E236F4" w:rsidP="00E236F4">
      <w:pPr>
        <w:pStyle w:val="Bullet"/>
      </w:pPr>
      <w:r w:rsidRPr="00E236F4">
        <w:t>connecting people to these medical practitioners, psychiatrists, and nurse practitioners as appropriate throughout the process</w:t>
      </w:r>
    </w:p>
    <w:p w14:paraId="520DC844" w14:textId="77777777" w:rsidR="00E236F4" w:rsidRPr="00E236F4" w:rsidRDefault="00E236F4" w:rsidP="00E236F4">
      <w:pPr>
        <w:pStyle w:val="Bullet"/>
      </w:pPr>
      <w:r w:rsidRPr="00E236F4">
        <w:t xml:space="preserve">preparing standards of care in relation to the administration of the medication and appropriate medical, legal or practical advice related to this. </w:t>
      </w:r>
    </w:p>
    <w:p w14:paraId="5BEEC107" w14:textId="77777777" w:rsidR="00E236F4" w:rsidRDefault="00E236F4" w:rsidP="00E236F4"/>
    <w:p w14:paraId="75C8B5C3" w14:textId="6A6FBE91" w:rsidR="00E236F4" w:rsidRDefault="00E236F4" w:rsidP="00E236F4">
      <w:r>
        <w:t xml:space="preserve">The SCENZ Group has met regularly since it was established and has provided advice and input on a number of topics, including the </w:t>
      </w:r>
      <w:r w:rsidRPr="00541A90">
        <w:rPr>
          <w:i/>
          <w:iCs/>
        </w:rPr>
        <w:t>Standard of Care</w:t>
      </w:r>
      <w:r>
        <w:t xml:space="preserve">, the forms required during the process, the IT system and the research strategy.  </w:t>
      </w:r>
    </w:p>
    <w:p w14:paraId="7D3D289F" w14:textId="77777777" w:rsidR="00E236F4" w:rsidRPr="00347D15" w:rsidRDefault="00E236F4" w:rsidP="00E236F4"/>
    <w:p w14:paraId="6EC22462" w14:textId="77777777" w:rsidR="00E236F4" w:rsidRPr="00347D15" w:rsidRDefault="00E236F4" w:rsidP="00E236F4">
      <w:pPr>
        <w:rPr>
          <w:rFonts w:cs="Segoe UI"/>
          <w:szCs w:val="21"/>
        </w:rPr>
      </w:pPr>
      <w:r w:rsidRPr="44C025A4">
        <w:rPr>
          <w:rFonts w:cs="Segoe UI"/>
          <w:szCs w:val="21"/>
        </w:rPr>
        <w:t>The Secretariat supports the SCENZ Group, including connecting people to practitioners on behalf of the Group.</w:t>
      </w:r>
      <w:r>
        <w:rPr>
          <w:rFonts w:cs="Segoe UI"/>
          <w:szCs w:val="21"/>
        </w:rPr>
        <w:t xml:space="preserve"> </w:t>
      </w:r>
      <w:r w:rsidRPr="00347D15">
        <w:rPr>
          <w:rFonts w:cs="Segoe UI"/>
          <w:szCs w:val="21"/>
        </w:rPr>
        <w:t xml:space="preserve">More information about the SCENZ Group, including its membership, is available on </w:t>
      </w:r>
      <w:hyperlink r:id="rId28" w:history="1">
        <w:r w:rsidRPr="00A548C1">
          <w:rPr>
            <w:rStyle w:val="Hyperlink"/>
            <w:rFonts w:cs="Segoe UI"/>
            <w:szCs w:val="21"/>
          </w:rPr>
          <w:t>the Ministry’s website</w:t>
        </w:r>
      </w:hyperlink>
      <w:r w:rsidRPr="00347D15">
        <w:rPr>
          <w:rFonts w:cs="Segoe UI"/>
          <w:szCs w:val="21"/>
        </w:rPr>
        <w:t xml:space="preserve">. </w:t>
      </w:r>
    </w:p>
    <w:p w14:paraId="28FAA8E8" w14:textId="77777777" w:rsidR="00E236F4" w:rsidRPr="00E236F4" w:rsidRDefault="00E236F4" w:rsidP="00E236F4">
      <w:pPr>
        <w:pStyle w:val="Heading2"/>
        <w:numPr>
          <w:ilvl w:val="0"/>
          <w:numId w:val="11"/>
        </w:numPr>
        <w:ind w:hanging="720"/>
      </w:pPr>
      <w:bookmarkStart w:id="48" w:name="_Toc103606327"/>
      <w:bookmarkStart w:id="49" w:name="_Toc104460677"/>
      <w:bookmarkStart w:id="50" w:name="_Toc106611872"/>
      <w:r w:rsidRPr="00E236F4">
        <w:t xml:space="preserve">The </w:t>
      </w:r>
      <w:proofErr w:type="gramStart"/>
      <w:r w:rsidRPr="00E236F4">
        <w:t>End of Life</w:t>
      </w:r>
      <w:proofErr w:type="gramEnd"/>
      <w:r w:rsidRPr="00E236F4">
        <w:t xml:space="preserve"> Review Committee</w:t>
      </w:r>
      <w:bookmarkEnd w:id="48"/>
      <w:bookmarkEnd w:id="49"/>
      <w:bookmarkEnd w:id="50"/>
    </w:p>
    <w:p w14:paraId="332E95F0" w14:textId="653BACA7" w:rsidR="00E236F4" w:rsidRDefault="00E236F4" w:rsidP="00E236F4">
      <w:pPr>
        <w:rPr>
          <w:shd w:val="clear" w:color="auto" w:fill="FFFFFF"/>
        </w:rPr>
      </w:pPr>
      <w:r w:rsidRPr="537D20A4">
        <w:t xml:space="preserve">The </w:t>
      </w:r>
      <w:proofErr w:type="gramStart"/>
      <w:r w:rsidRPr="537D20A4">
        <w:t>End of Life</w:t>
      </w:r>
      <w:proofErr w:type="gramEnd"/>
      <w:r w:rsidRPr="537D20A4">
        <w:t xml:space="preserve"> Review Committee is a statutory body appointed by the Minister of Health. </w:t>
      </w:r>
      <w:r w:rsidRPr="537D20A4">
        <w:rPr>
          <w:lang w:eastAsia="en-NZ"/>
        </w:rPr>
        <w:t>The Review Committee is comprised of a medical ethicist, a doctor specialising in end-of-life care, and one other health practitioner</w:t>
      </w:r>
      <w:r w:rsidRPr="537D20A4">
        <w:rPr>
          <w:shd w:val="clear" w:color="auto" w:fill="FFFFFF"/>
        </w:rPr>
        <w:t xml:space="preserve">. One member is Māori. Membership will be reviewed after two years. </w:t>
      </w:r>
    </w:p>
    <w:p w14:paraId="3D5B5D7B" w14:textId="77777777" w:rsidR="00E236F4" w:rsidRDefault="00E236F4" w:rsidP="00E236F4">
      <w:pPr>
        <w:rPr>
          <w:shd w:val="clear" w:color="auto" w:fill="FFFFFF"/>
        </w:rPr>
      </w:pPr>
    </w:p>
    <w:p w14:paraId="1D3AE0DF" w14:textId="77777777" w:rsidR="00E236F4" w:rsidRPr="001E7528" w:rsidRDefault="00E236F4" w:rsidP="00E236F4">
      <w:r w:rsidRPr="001E7528">
        <w:t>The Review Committee’s responsibilities include:</w:t>
      </w:r>
    </w:p>
    <w:p w14:paraId="5F080668" w14:textId="77777777" w:rsidR="00E236F4" w:rsidRPr="001E7528" w:rsidRDefault="00E236F4" w:rsidP="00E236F4">
      <w:pPr>
        <w:pStyle w:val="Bullet"/>
        <w:rPr>
          <w:rFonts w:cs="Segoe UI"/>
        </w:rPr>
      </w:pPr>
      <w:r w:rsidRPr="2B75C2E1">
        <w:rPr>
          <w:rFonts w:cs="Segoe UI"/>
        </w:rPr>
        <w:t xml:space="preserve">considering </w:t>
      </w:r>
      <w:r>
        <w:rPr>
          <w:rFonts w:cs="Segoe UI"/>
        </w:rPr>
        <w:t xml:space="preserve">death </w:t>
      </w:r>
      <w:r w:rsidRPr="2B75C2E1">
        <w:rPr>
          <w:rFonts w:cs="Segoe UI"/>
        </w:rPr>
        <w:t>reports provided by the AMP or ANP about an assisted death</w:t>
      </w:r>
    </w:p>
    <w:p w14:paraId="51EAAF4D" w14:textId="77777777" w:rsidR="00E236F4" w:rsidRPr="001E7528" w:rsidRDefault="00E236F4" w:rsidP="00E236F4">
      <w:pPr>
        <w:pStyle w:val="Bullet"/>
        <w:rPr>
          <w:rFonts w:cs="Segoe UI"/>
        </w:rPr>
      </w:pPr>
      <w:r w:rsidRPr="2B75C2E1">
        <w:rPr>
          <w:rFonts w:cs="Segoe UI"/>
        </w:rPr>
        <w:lastRenderedPageBreak/>
        <w:t>reporting to the Registrar whether the report shows satisfactory compliance with the requirements in the Act</w:t>
      </w:r>
    </w:p>
    <w:p w14:paraId="33540FEA" w14:textId="77777777" w:rsidR="00E236F4" w:rsidRDefault="00E236F4" w:rsidP="00E236F4">
      <w:pPr>
        <w:pStyle w:val="Bullet"/>
        <w:rPr>
          <w:rFonts w:cs="Segoe UI"/>
        </w:rPr>
      </w:pPr>
      <w:r w:rsidRPr="2B75C2E1">
        <w:rPr>
          <w:rFonts w:cs="Segoe UI"/>
        </w:rPr>
        <w:t xml:space="preserve">directing the Registrar to follow up on any information where the report does not show satisfactory compliance.  </w:t>
      </w:r>
    </w:p>
    <w:p w14:paraId="5D634D2B" w14:textId="77777777" w:rsidR="00E236F4" w:rsidRDefault="00E236F4" w:rsidP="00E236F4">
      <w:pPr>
        <w:rPr>
          <w:shd w:val="clear" w:color="auto" w:fill="FFFFFF"/>
        </w:rPr>
      </w:pPr>
    </w:p>
    <w:p w14:paraId="3AF34FE9" w14:textId="45944EA6" w:rsidR="00E236F4" w:rsidRDefault="00E236F4" w:rsidP="00E236F4">
      <w:pPr>
        <w:rPr>
          <w:shd w:val="clear" w:color="auto" w:fill="FFFFFF"/>
        </w:rPr>
      </w:pPr>
      <w:r>
        <w:rPr>
          <w:shd w:val="clear" w:color="auto" w:fill="FFFFFF"/>
        </w:rPr>
        <w:t xml:space="preserve">The Review Committee has met regularly since it was established. As of 31 March 2022, it has signed off 10 death reports. It has not yet made any recommendations to the Registrar. </w:t>
      </w:r>
    </w:p>
    <w:p w14:paraId="659A22F3" w14:textId="77777777" w:rsidR="00E236F4" w:rsidRPr="005119BB" w:rsidRDefault="00E236F4" w:rsidP="00E236F4">
      <w:pPr>
        <w:rPr>
          <w:lang w:eastAsia="en-NZ"/>
        </w:rPr>
      </w:pPr>
    </w:p>
    <w:p w14:paraId="234D7790" w14:textId="77777777" w:rsidR="00E236F4" w:rsidRPr="001E7528" w:rsidRDefault="00E236F4" w:rsidP="00E236F4">
      <w:pPr>
        <w:rPr>
          <w:rFonts w:cs="Segoe UI"/>
        </w:rPr>
      </w:pPr>
      <w:r w:rsidRPr="001E7528">
        <w:rPr>
          <w:rFonts w:cs="Segoe UI"/>
        </w:rPr>
        <w:t xml:space="preserve">The Secretariat supports the Review Committee. More information about the Review Committee, including its membership, is available on </w:t>
      </w:r>
      <w:hyperlink r:id="rId29" w:history="1">
        <w:r w:rsidRPr="008C5612">
          <w:rPr>
            <w:rStyle w:val="Hyperlink"/>
            <w:rFonts w:cs="Segoe UI"/>
          </w:rPr>
          <w:t>the Ministry’s website</w:t>
        </w:r>
      </w:hyperlink>
      <w:r w:rsidRPr="001E7528">
        <w:rPr>
          <w:rFonts w:cs="Segoe UI"/>
        </w:rPr>
        <w:t xml:space="preserve">. </w:t>
      </w:r>
    </w:p>
    <w:p w14:paraId="6DF08196" w14:textId="77777777" w:rsidR="00E236F4" w:rsidRPr="00E236F4" w:rsidRDefault="00E236F4" w:rsidP="00E236F4">
      <w:pPr>
        <w:pStyle w:val="Heading2"/>
        <w:numPr>
          <w:ilvl w:val="0"/>
          <w:numId w:val="11"/>
        </w:numPr>
        <w:ind w:hanging="720"/>
      </w:pPr>
      <w:bookmarkStart w:id="51" w:name="_Toc103606328"/>
      <w:bookmarkStart w:id="52" w:name="_Toc104460678"/>
      <w:bookmarkStart w:id="53" w:name="_Toc106611873"/>
      <w:proofErr w:type="spellStart"/>
      <w:r w:rsidRPr="00E236F4">
        <w:t>Te</w:t>
      </w:r>
      <w:proofErr w:type="spellEnd"/>
      <w:r w:rsidRPr="00E236F4">
        <w:t xml:space="preserve"> </w:t>
      </w:r>
      <w:proofErr w:type="spellStart"/>
      <w:r w:rsidRPr="00E236F4">
        <w:t>Apārangi</w:t>
      </w:r>
      <w:proofErr w:type="spellEnd"/>
      <w:r w:rsidRPr="00E236F4">
        <w:t>: Māori Partnership Alliance</w:t>
      </w:r>
      <w:bookmarkEnd w:id="51"/>
      <w:bookmarkEnd w:id="52"/>
      <w:bookmarkEnd w:id="53"/>
    </w:p>
    <w:p w14:paraId="3EA85320" w14:textId="77777777" w:rsidR="00E236F4" w:rsidRPr="001E7528" w:rsidRDefault="00E236F4" w:rsidP="00E236F4">
      <w:pPr>
        <w:rPr>
          <w:rFonts w:cs="Segoe UI"/>
        </w:rPr>
      </w:pPr>
    </w:p>
    <w:p w14:paraId="5A89C160" w14:textId="1D40B5C3" w:rsidR="00E236F4" w:rsidRDefault="00E236F4" w:rsidP="00E236F4">
      <w:pPr>
        <w:rPr>
          <w:shd w:val="clear" w:color="auto" w:fill="FFFFFF"/>
        </w:rPr>
      </w:pPr>
      <w:proofErr w:type="spellStart"/>
      <w:r w:rsidRPr="537D20A4">
        <w:rPr>
          <w:shd w:val="clear" w:color="auto" w:fill="FFFFFF"/>
        </w:rPr>
        <w:t>Te</w:t>
      </w:r>
      <w:proofErr w:type="spellEnd"/>
      <w:r w:rsidRPr="537D20A4">
        <w:rPr>
          <w:shd w:val="clear" w:color="auto" w:fill="FFFFFF"/>
        </w:rPr>
        <w:t xml:space="preserve"> </w:t>
      </w:r>
      <w:proofErr w:type="spellStart"/>
      <w:r w:rsidRPr="537D20A4">
        <w:rPr>
          <w:shd w:val="clear" w:color="auto" w:fill="FFFFFF"/>
        </w:rPr>
        <w:t>Apārangi</w:t>
      </w:r>
      <w:proofErr w:type="spellEnd"/>
      <w:r w:rsidRPr="537D20A4">
        <w:rPr>
          <w:shd w:val="clear" w:color="auto" w:fill="FFFFFF"/>
        </w:rPr>
        <w:t xml:space="preserve">: Māori Partnership Alliance was established to work in partnership with </w:t>
      </w:r>
      <w:proofErr w:type="spellStart"/>
      <w:r w:rsidRPr="537D20A4">
        <w:rPr>
          <w:szCs w:val="21"/>
        </w:rPr>
        <w:t>HealthCERT</w:t>
      </w:r>
      <w:proofErr w:type="spellEnd"/>
      <w:r w:rsidRPr="537D20A4">
        <w:rPr>
          <w:szCs w:val="21"/>
        </w:rPr>
        <w:t xml:space="preserve"> and Regulatory Assurance teams to provide expert Māori advice, framed by </w:t>
      </w:r>
      <w:proofErr w:type="spellStart"/>
      <w:r w:rsidRPr="537D20A4">
        <w:rPr>
          <w:szCs w:val="21"/>
        </w:rPr>
        <w:t>Te</w:t>
      </w:r>
      <w:proofErr w:type="spellEnd"/>
      <w:r w:rsidRPr="537D20A4">
        <w:rPr>
          <w:szCs w:val="21"/>
        </w:rPr>
        <w:t xml:space="preserve"> </w:t>
      </w:r>
      <w:proofErr w:type="spellStart"/>
      <w:r w:rsidRPr="537D20A4">
        <w:rPr>
          <w:shd w:val="clear" w:color="auto" w:fill="FFFFFF"/>
        </w:rPr>
        <w:t>Tiriti</w:t>
      </w:r>
      <w:proofErr w:type="spellEnd"/>
      <w:r w:rsidRPr="537D20A4">
        <w:rPr>
          <w:shd w:val="clear" w:color="auto" w:fill="FFFFFF"/>
        </w:rPr>
        <w:t xml:space="preserve"> o Waitangi.</w:t>
      </w:r>
    </w:p>
    <w:p w14:paraId="5689B3E9" w14:textId="77777777" w:rsidR="00E236F4" w:rsidRDefault="00E236F4" w:rsidP="00E236F4">
      <w:pPr>
        <w:rPr>
          <w:shd w:val="clear" w:color="auto" w:fill="FFFFFF"/>
        </w:rPr>
      </w:pPr>
    </w:p>
    <w:p w14:paraId="71CC560A" w14:textId="77777777" w:rsidR="00E236F4" w:rsidRDefault="00E236F4" w:rsidP="00E236F4">
      <w:pPr>
        <w:rPr>
          <w:szCs w:val="21"/>
          <w:shd w:val="clear" w:color="auto" w:fill="FFFFFF"/>
        </w:rPr>
      </w:pPr>
      <w:r w:rsidRPr="00347D15">
        <w:rPr>
          <w:szCs w:val="21"/>
          <w:lang w:eastAsia="en-NZ"/>
        </w:rPr>
        <w:t>At the request of the</w:t>
      </w:r>
      <w:r>
        <w:rPr>
          <w:szCs w:val="21"/>
          <w:lang w:eastAsia="en-NZ"/>
        </w:rPr>
        <w:t xml:space="preserve"> implementation</w:t>
      </w:r>
      <w:r w:rsidRPr="00347D15">
        <w:rPr>
          <w:szCs w:val="21"/>
          <w:lang w:eastAsia="en-NZ"/>
        </w:rPr>
        <w:t xml:space="preserve"> </w:t>
      </w:r>
      <w:r>
        <w:rPr>
          <w:szCs w:val="21"/>
          <w:lang w:eastAsia="en-NZ"/>
        </w:rPr>
        <w:t>g</w:t>
      </w:r>
      <w:r w:rsidRPr="00347D15">
        <w:rPr>
          <w:szCs w:val="21"/>
          <w:lang w:eastAsia="en-NZ"/>
        </w:rPr>
        <w:t xml:space="preserve">overnance </w:t>
      </w:r>
      <w:r>
        <w:rPr>
          <w:szCs w:val="21"/>
          <w:lang w:eastAsia="en-NZ"/>
        </w:rPr>
        <w:t>g</w:t>
      </w:r>
      <w:r w:rsidRPr="00347D15">
        <w:rPr>
          <w:szCs w:val="21"/>
          <w:lang w:eastAsia="en-NZ"/>
        </w:rPr>
        <w:t>roup</w:t>
      </w:r>
      <w:r>
        <w:rPr>
          <w:szCs w:val="21"/>
          <w:lang w:eastAsia="en-NZ"/>
        </w:rPr>
        <w:t xml:space="preserve">, </w:t>
      </w:r>
      <w:proofErr w:type="spellStart"/>
      <w:r w:rsidRPr="00347D15">
        <w:rPr>
          <w:szCs w:val="21"/>
          <w:lang w:eastAsia="en-NZ"/>
        </w:rPr>
        <w:t>Te</w:t>
      </w:r>
      <w:proofErr w:type="spellEnd"/>
      <w:r w:rsidRPr="00347D15">
        <w:rPr>
          <w:szCs w:val="21"/>
          <w:lang w:eastAsia="en-NZ"/>
        </w:rPr>
        <w:t xml:space="preserve"> </w:t>
      </w:r>
      <w:proofErr w:type="spellStart"/>
      <w:r w:rsidRPr="00347D15">
        <w:rPr>
          <w:szCs w:val="21"/>
          <w:lang w:eastAsia="en-NZ"/>
        </w:rPr>
        <w:t>Apārangi</w:t>
      </w:r>
      <w:proofErr w:type="spellEnd"/>
      <w:r w:rsidRPr="00347D15">
        <w:rPr>
          <w:szCs w:val="21"/>
          <w:lang w:eastAsia="en-NZ"/>
        </w:rPr>
        <w:t xml:space="preserve"> took on an advisory role during the implementation period. </w:t>
      </w:r>
      <w:proofErr w:type="spellStart"/>
      <w:r w:rsidRPr="00347D15">
        <w:rPr>
          <w:szCs w:val="21"/>
          <w:lang w:eastAsia="en-NZ"/>
        </w:rPr>
        <w:t>Te</w:t>
      </w:r>
      <w:proofErr w:type="spellEnd"/>
      <w:r w:rsidRPr="00347D15">
        <w:rPr>
          <w:szCs w:val="21"/>
          <w:lang w:eastAsia="en-NZ"/>
        </w:rPr>
        <w:t xml:space="preserve"> </w:t>
      </w:r>
      <w:proofErr w:type="spellStart"/>
      <w:r w:rsidRPr="00347D15">
        <w:rPr>
          <w:szCs w:val="21"/>
          <w:lang w:eastAsia="en-NZ"/>
        </w:rPr>
        <w:t>Apārangi</w:t>
      </w:r>
      <w:proofErr w:type="spellEnd"/>
      <w:r w:rsidRPr="00347D15">
        <w:rPr>
          <w:szCs w:val="21"/>
          <w:lang w:eastAsia="en-NZ"/>
        </w:rPr>
        <w:t xml:space="preserve"> </w:t>
      </w:r>
      <w:r>
        <w:rPr>
          <w:szCs w:val="21"/>
          <w:lang w:eastAsia="en-NZ"/>
        </w:rPr>
        <w:t>was</w:t>
      </w:r>
      <w:r w:rsidRPr="00347D15">
        <w:rPr>
          <w:szCs w:val="21"/>
          <w:lang w:eastAsia="en-NZ"/>
        </w:rPr>
        <w:t xml:space="preserve"> consulted and provided advice on a wide range of implementation matters, including </w:t>
      </w:r>
      <w:r>
        <w:rPr>
          <w:szCs w:val="21"/>
          <w:lang w:eastAsia="en-NZ"/>
        </w:rPr>
        <w:t>incorporating</w:t>
      </w:r>
      <w:r w:rsidRPr="00347D15">
        <w:rPr>
          <w:szCs w:val="21"/>
          <w:lang w:eastAsia="en-NZ"/>
        </w:rPr>
        <w:t xml:space="preserve"> </w:t>
      </w:r>
      <w:proofErr w:type="spellStart"/>
      <w:r w:rsidRPr="00347D15">
        <w:rPr>
          <w:szCs w:val="21"/>
          <w:lang w:eastAsia="en-NZ"/>
        </w:rPr>
        <w:t>whānau</w:t>
      </w:r>
      <w:proofErr w:type="spellEnd"/>
      <w:r w:rsidRPr="00347D15">
        <w:rPr>
          <w:szCs w:val="21"/>
          <w:lang w:eastAsia="en-NZ"/>
        </w:rPr>
        <w:t xml:space="preserve"> and </w:t>
      </w:r>
      <w:proofErr w:type="spellStart"/>
      <w:r w:rsidRPr="00347D15">
        <w:rPr>
          <w:szCs w:val="21"/>
          <w:lang w:eastAsia="en-NZ"/>
        </w:rPr>
        <w:t>te</w:t>
      </w:r>
      <w:proofErr w:type="spellEnd"/>
      <w:r w:rsidRPr="00347D15">
        <w:rPr>
          <w:szCs w:val="21"/>
          <w:lang w:eastAsia="en-NZ"/>
        </w:rPr>
        <w:t xml:space="preserve"> </w:t>
      </w:r>
      <w:proofErr w:type="spellStart"/>
      <w:r w:rsidRPr="00347D15">
        <w:rPr>
          <w:szCs w:val="21"/>
          <w:lang w:eastAsia="en-NZ"/>
        </w:rPr>
        <w:t>ao</w:t>
      </w:r>
      <w:proofErr w:type="spellEnd"/>
      <w:r w:rsidRPr="00347D15">
        <w:rPr>
          <w:szCs w:val="21"/>
          <w:lang w:eastAsia="en-NZ"/>
        </w:rPr>
        <w:t xml:space="preserve"> Māori worldview in the service and approach to Māori engagement. </w:t>
      </w:r>
    </w:p>
    <w:p w14:paraId="470DB97D" w14:textId="7BC7C2B7" w:rsidR="00E236F4" w:rsidRDefault="00E236F4" w:rsidP="00E236F4">
      <w:pPr>
        <w:rPr>
          <w:lang w:eastAsia="en-NZ"/>
        </w:rPr>
      </w:pPr>
      <w:r w:rsidRPr="61D104B1">
        <w:rPr>
          <w:lang w:eastAsia="en-NZ"/>
        </w:rPr>
        <w:t xml:space="preserve">The Ministry is pleased that </w:t>
      </w:r>
      <w:proofErr w:type="spellStart"/>
      <w:r w:rsidRPr="61D104B1">
        <w:rPr>
          <w:lang w:eastAsia="en-NZ"/>
        </w:rPr>
        <w:t>Te</w:t>
      </w:r>
      <w:proofErr w:type="spellEnd"/>
      <w:r w:rsidRPr="61D104B1">
        <w:rPr>
          <w:lang w:eastAsia="en-NZ"/>
        </w:rPr>
        <w:t xml:space="preserve"> </w:t>
      </w:r>
      <w:proofErr w:type="spellStart"/>
      <w:r w:rsidRPr="61D104B1">
        <w:rPr>
          <w:lang w:eastAsia="en-NZ"/>
        </w:rPr>
        <w:t>Apārangi</w:t>
      </w:r>
      <w:proofErr w:type="spellEnd"/>
      <w:r w:rsidRPr="61D104B1">
        <w:rPr>
          <w:lang w:eastAsia="en-NZ"/>
        </w:rPr>
        <w:t xml:space="preserve"> has agreed to continue to provide support and expertise now the assisted dying service is operational. </w:t>
      </w:r>
      <w:proofErr w:type="spellStart"/>
      <w:r w:rsidRPr="61D104B1">
        <w:rPr>
          <w:lang w:eastAsia="en-NZ"/>
        </w:rPr>
        <w:t>Te</w:t>
      </w:r>
      <w:proofErr w:type="spellEnd"/>
      <w:r w:rsidRPr="61D104B1">
        <w:rPr>
          <w:lang w:eastAsia="en-NZ"/>
        </w:rPr>
        <w:t xml:space="preserve"> </w:t>
      </w:r>
      <w:proofErr w:type="spellStart"/>
      <w:r w:rsidRPr="61D104B1">
        <w:rPr>
          <w:lang w:eastAsia="en-NZ"/>
        </w:rPr>
        <w:t>Apārangi’s</w:t>
      </w:r>
      <w:proofErr w:type="spellEnd"/>
      <w:r w:rsidRPr="61D104B1">
        <w:rPr>
          <w:lang w:eastAsia="en-NZ"/>
        </w:rPr>
        <w:t xml:space="preserve"> focus will shift towards providing governance and strategic oversight to support the Secretariat’s role of monitoring and improving the service over time.</w:t>
      </w:r>
    </w:p>
    <w:p w14:paraId="3985D4DA" w14:textId="77777777" w:rsidR="00E236F4" w:rsidRPr="00347D15" w:rsidRDefault="00E236F4" w:rsidP="00E236F4">
      <w:pPr>
        <w:rPr>
          <w:shd w:val="clear" w:color="auto" w:fill="FFFFFF"/>
        </w:rPr>
      </w:pPr>
    </w:p>
    <w:p w14:paraId="7491D3FD" w14:textId="77777777" w:rsidR="00E236F4" w:rsidRPr="008D05CD" w:rsidRDefault="00E236F4" w:rsidP="00E236F4">
      <w:pPr>
        <w:rPr>
          <w:szCs w:val="21"/>
        </w:rPr>
      </w:pPr>
      <w:r w:rsidRPr="00347D15">
        <w:rPr>
          <w:szCs w:val="21"/>
          <w:lang w:eastAsia="en-NZ"/>
        </w:rPr>
        <w:t xml:space="preserve">More information about </w:t>
      </w:r>
      <w:proofErr w:type="spellStart"/>
      <w:r w:rsidRPr="00347D15">
        <w:rPr>
          <w:szCs w:val="21"/>
          <w:lang w:eastAsia="en-NZ"/>
        </w:rPr>
        <w:t>Te</w:t>
      </w:r>
      <w:proofErr w:type="spellEnd"/>
      <w:r w:rsidRPr="00347D15">
        <w:rPr>
          <w:szCs w:val="21"/>
          <w:lang w:eastAsia="en-NZ"/>
        </w:rPr>
        <w:t xml:space="preserve"> </w:t>
      </w:r>
      <w:proofErr w:type="spellStart"/>
      <w:r w:rsidRPr="00347D15">
        <w:rPr>
          <w:szCs w:val="21"/>
          <w:lang w:eastAsia="en-NZ"/>
        </w:rPr>
        <w:t>Apārangi</w:t>
      </w:r>
      <w:proofErr w:type="spellEnd"/>
      <w:r w:rsidRPr="00347D15">
        <w:rPr>
          <w:szCs w:val="21"/>
          <w:lang w:eastAsia="en-NZ"/>
        </w:rPr>
        <w:t xml:space="preserve"> is available on </w:t>
      </w:r>
      <w:hyperlink r:id="rId30" w:history="1">
        <w:r w:rsidRPr="00236477">
          <w:rPr>
            <w:rStyle w:val="Hyperlink"/>
            <w:rFonts w:cs="Segoe UI"/>
            <w:szCs w:val="21"/>
            <w:lang w:eastAsia="en-NZ"/>
          </w:rPr>
          <w:t>the Ministry’s website</w:t>
        </w:r>
      </w:hyperlink>
      <w:r w:rsidRPr="00347D15">
        <w:rPr>
          <w:szCs w:val="21"/>
          <w:lang w:eastAsia="en-NZ"/>
        </w:rPr>
        <w:t xml:space="preserve">. </w:t>
      </w:r>
    </w:p>
    <w:p w14:paraId="197E7A1D" w14:textId="77777777" w:rsidR="00E236F4" w:rsidRDefault="00E236F4" w:rsidP="00E236F4">
      <w:pPr>
        <w:pStyle w:val="Heading2"/>
        <w:numPr>
          <w:ilvl w:val="0"/>
          <w:numId w:val="11"/>
        </w:numPr>
        <w:ind w:hanging="720"/>
      </w:pPr>
      <w:bookmarkStart w:id="54" w:name="_Toc103606329"/>
      <w:bookmarkStart w:id="55" w:name="_Toc104460679"/>
      <w:bookmarkStart w:id="56" w:name="_Toc106611874"/>
      <w:r>
        <w:t>Contracted pharmacies</w:t>
      </w:r>
      <w:bookmarkEnd w:id="54"/>
      <w:bookmarkEnd w:id="55"/>
      <w:bookmarkEnd w:id="56"/>
      <w:r>
        <w:t xml:space="preserve"> </w:t>
      </w:r>
    </w:p>
    <w:p w14:paraId="241F5EE9" w14:textId="77777777" w:rsidR="00E236F4" w:rsidRPr="001E7528" w:rsidRDefault="00E236F4" w:rsidP="00E236F4">
      <w:r w:rsidRPr="001E7528">
        <w:t>Two hospital pharmacies have been contracted by the Ministry of Health to fulfil the prescriptions for the assisted dying medication. This centralised approach supports consistency, safety</w:t>
      </w:r>
      <w:r>
        <w:t>,</w:t>
      </w:r>
      <w:r w:rsidRPr="001E7528">
        <w:t xml:space="preserve"> and access, with medication kits delivered directly to practitioners across the country. </w:t>
      </w:r>
    </w:p>
    <w:p w14:paraId="6288E935" w14:textId="77777777" w:rsidR="00E236F4" w:rsidRPr="001E7528" w:rsidRDefault="00E236F4" w:rsidP="00E236F4"/>
    <w:p w14:paraId="39678AEB" w14:textId="77777777" w:rsidR="00E236F4" w:rsidRPr="001E7528" w:rsidRDefault="00E236F4" w:rsidP="00E236F4">
      <w:r w:rsidRPr="44C025A4">
        <w:t xml:space="preserve">The Ministry appreciates the </w:t>
      </w:r>
      <w:r>
        <w:t>dedication</w:t>
      </w:r>
      <w:r w:rsidRPr="44C025A4">
        <w:t xml:space="preserve"> of the pharmacy teams in supporti</w:t>
      </w:r>
      <w:r>
        <w:t xml:space="preserve">ng the development of </w:t>
      </w:r>
      <w:r w:rsidRPr="44C025A4">
        <w:t>best practice guidelines</w:t>
      </w:r>
      <w:r>
        <w:t>,</w:t>
      </w:r>
      <w:r w:rsidRPr="44C025A4">
        <w:t xml:space="preserve"> and robust processes for the fulfilment and distribution of assisted dying medication</w:t>
      </w:r>
      <w:r>
        <w:t xml:space="preserve"> kits. </w:t>
      </w:r>
    </w:p>
    <w:p w14:paraId="54492C17" w14:textId="77777777" w:rsidR="00E236F4" w:rsidRPr="001E7528" w:rsidRDefault="00E236F4" w:rsidP="00E236F4"/>
    <w:p w14:paraId="162D5C94" w14:textId="77777777" w:rsidR="00E236F4" w:rsidRDefault="00E236F4" w:rsidP="00E236F4">
      <w:r>
        <w:t>Their</w:t>
      </w:r>
      <w:r w:rsidRPr="44C025A4">
        <w:t xml:space="preserve"> </w:t>
      </w:r>
      <w:r>
        <w:t xml:space="preserve">committed engagement and </w:t>
      </w:r>
      <w:r w:rsidRPr="44C025A4">
        <w:t>responsiveness to feedback</w:t>
      </w:r>
      <w:r>
        <w:t xml:space="preserve"> is also recognised, particularly considering the challenges of COVID-19 and associated courier delays. </w:t>
      </w:r>
    </w:p>
    <w:p w14:paraId="654554A8" w14:textId="77777777" w:rsidR="00E236F4" w:rsidRDefault="00E236F4" w:rsidP="00E236F4">
      <w:pPr>
        <w:rPr>
          <w:rFonts w:cs="Segoe UI"/>
        </w:rPr>
      </w:pPr>
    </w:p>
    <w:p w14:paraId="2FCDA865" w14:textId="77777777" w:rsidR="00E236F4" w:rsidRDefault="00E236F4" w:rsidP="00E236F4">
      <w:pPr>
        <w:rPr>
          <w:rFonts w:cs="Segoe UI"/>
          <w:lang w:eastAsia="en-US"/>
        </w:rPr>
      </w:pPr>
    </w:p>
    <w:p w14:paraId="7FC1EBBA" w14:textId="77777777" w:rsidR="00E236F4" w:rsidRPr="001E7528" w:rsidRDefault="00E236F4" w:rsidP="00E236F4">
      <w:pPr>
        <w:pStyle w:val="Heading1"/>
        <w:rPr>
          <w:rFonts w:cs="Segoe UI"/>
        </w:rPr>
      </w:pPr>
      <w:bookmarkStart w:id="57" w:name="_Toc103085568"/>
      <w:bookmarkStart w:id="58" w:name="_Toc103606330"/>
      <w:bookmarkStart w:id="59" w:name="_Toc104460680"/>
      <w:bookmarkStart w:id="60" w:name="_Toc106611875"/>
      <w:r w:rsidRPr="001E7528">
        <w:rPr>
          <w:rFonts w:cs="Segoe UI"/>
        </w:rPr>
        <w:lastRenderedPageBreak/>
        <w:t>Assisted Dying Service Activity</w:t>
      </w:r>
      <w:bookmarkEnd w:id="57"/>
      <w:bookmarkEnd w:id="58"/>
      <w:bookmarkEnd w:id="59"/>
      <w:bookmarkEnd w:id="60"/>
    </w:p>
    <w:p w14:paraId="4D7D31E2" w14:textId="77777777" w:rsidR="00E236F4" w:rsidRPr="00665006" w:rsidRDefault="00E236F4" w:rsidP="00E236F4">
      <w:pPr>
        <w:rPr>
          <w:shd w:val="clear" w:color="auto" w:fill="FFFFFF"/>
        </w:rPr>
      </w:pPr>
      <w:r w:rsidRPr="00665006">
        <w:rPr>
          <w:shd w:val="clear" w:color="auto" w:fill="FFFFFF"/>
        </w:rPr>
        <w:t xml:space="preserve">The Ministry collects data about the assisted dying service as part of its role in overseeing and monitoring the service. This data is drawn from the application forms for assisted dying, which are held centrally by the Secretariat. </w:t>
      </w:r>
    </w:p>
    <w:p w14:paraId="56EF99EB" w14:textId="77777777" w:rsidR="00E236F4" w:rsidRPr="00665006" w:rsidRDefault="00E236F4" w:rsidP="00E236F4">
      <w:pPr>
        <w:rPr>
          <w:shd w:val="clear" w:color="auto" w:fill="FFFFFF"/>
        </w:rPr>
      </w:pPr>
    </w:p>
    <w:p w14:paraId="40F0BF03" w14:textId="77777777" w:rsidR="00E236F4" w:rsidRPr="00665006" w:rsidRDefault="00E236F4" w:rsidP="00E236F4">
      <w:pPr>
        <w:rPr>
          <w:shd w:val="clear" w:color="auto" w:fill="FFFFFF"/>
        </w:rPr>
      </w:pPr>
      <w:r w:rsidRPr="00665006">
        <w:rPr>
          <w:shd w:val="clear" w:color="auto" w:fill="FFFFFF"/>
        </w:rPr>
        <w:t xml:space="preserve">A summary of this data will be released on a quarterly basis. The first set of reporting was published on </w:t>
      </w:r>
      <w:hyperlink r:id="rId31" w:history="1">
        <w:r w:rsidRPr="00CB2879">
          <w:rPr>
            <w:rStyle w:val="Hyperlink"/>
            <w:rFonts w:cs="Segoe UI"/>
            <w:szCs w:val="21"/>
            <w:shd w:val="clear" w:color="auto" w:fill="FFFFFF"/>
          </w:rPr>
          <w:t>the Ministry’s website</w:t>
        </w:r>
      </w:hyperlink>
      <w:r w:rsidRPr="00665006">
        <w:rPr>
          <w:shd w:val="clear" w:color="auto" w:fill="FFFFFF"/>
        </w:rPr>
        <w:t xml:space="preserve"> in April 2022</w:t>
      </w:r>
      <w:r>
        <w:rPr>
          <w:shd w:val="clear" w:color="auto" w:fill="FFFFFF"/>
        </w:rPr>
        <w:t xml:space="preserve">. It </w:t>
      </w:r>
      <w:r w:rsidRPr="00665006">
        <w:rPr>
          <w:shd w:val="clear" w:color="auto" w:fill="FFFFFF"/>
        </w:rPr>
        <w:t>covered the period 7 November 2021 – 31 March 2021</w:t>
      </w:r>
      <w:r>
        <w:rPr>
          <w:shd w:val="clear" w:color="auto" w:fill="FFFFFF"/>
        </w:rPr>
        <w:t xml:space="preserve">, which is the </w:t>
      </w:r>
      <w:r w:rsidRPr="00665006">
        <w:rPr>
          <w:shd w:val="clear" w:color="auto" w:fill="FFFFFF"/>
        </w:rPr>
        <w:t xml:space="preserve">period covered in this report. </w:t>
      </w:r>
    </w:p>
    <w:p w14:paraId="6EDCAC7B" w14:textId="77777777" w:rsidR="00E236F4" w:rsidRPr="00E236F4" w:rsidRDefault="00E236F4" w:rsidP="00E236F4">
      <w:pPr>
        <w:pStyle w:val="Heading2"/>
        <w:numPr>
          <w:ilvl w:val="0"/>
          <w:numId w:val="12"/>
        </w:numPr>
        <w:ind w:hanging="720"/>
      </w:pPr>
      <w:bookmarkStart w:id="61" w:name="_Toc103085569"/>
      <w:bookmarkStart w:id="62" w:name="_Toc103606331"/>
      <w:bookmarkStart w:id="63" w:name="_Toc104460681"/>
      <w:bookmarkStart w:id="64" w:name="_Toc106611876"/>
      <w:r w:rsidRPr="00E236F4">
        <w:t>Overview of assisted dying applications</w:t>
      </w:r>
      <w:bookmarkEnd w:id="61"/>
      <w:bookmarkEnd w:id="62"/>
      <w:bookmarkEnd w:id="63"/>
      <w:bookmarkEnd w:id="64"/>
    </w:p>
    <w:p w14:paraId="22D1D515" w14:textId="77777777" w:rsidR="00E236F4" w:rsidRPr="00954E41" w:rsidRDefault="00E236F4" w:rsidP="00E236F4">
      <w:pPr>
        <w:rPr>
          <w:lang w:eastAsia="en-NZ"/>
        </w:rPr>
      </w:pPr>
      <w:r w:rsidRPr="00954E41">
        <w:rPr>
          <w:lang w:eastAsia="en-NZ"/>
        </w:rPr>
        <w:t xml:space="preserve">Between 7 November 2021 and 31 March 2022, 206 people </w:t>
      </w:r>
      <w:r>
        <w:rPr>
          <w:lang w:eastAsia="en-NZ"/>
        </w:rPr>
        <w:t xml:space="preserve">formally </w:t>
      </w:r>
      <w:r w:rsidRPr="00954E41">
        <w:rPr>
          <w:lang w:eastAsia="en-NZ"/>
        </w:rPr>
        <w:t xml:space="preserve">applied for assisted dying. As </w:t>
      </w:r>
      <w:r>
        <w:rPr>
          <w:lang w:eastAsia="en-NZ"/>
        </w:rPr>
        <w:t>of</w:t>
      </w:r>
      <w:r w:rsidRPr="00954E41">
        <w:rPr>
          <w:lang w:eastAsia="en-NZ"/>
        </w:rPr>
        <w:t xml:space="preserve"> 31 March:</w:t>
      </w:r>
    </w:p>
    <w:p w14:paraId="66E85DC5" w14:textId="77777777" w:rsidR="00E236F4" w:rsidRPr="00E236F4" w:rsidRDefault="00E236F4" w:rsidP="00E236F4">
      <w:pPr>
        <w:pStyle w:val="Bullet"/>
      </w:pPr>
      <w:r w:rsidRPr="00E236F4">
        <w:t>59 people were still in the process of assessment or preparation for assisted dying</w:t>
      </w:r>
    </w:p>
    <w:p w14:paraId="7B6231EB" w14:textId="77777777" w:rsidR="00E236F4" w:rsidRPr="00E236F4" w:rsidRDefault="00E236F4" w:rsidP="00E236F4">
      <w:pPr>
        <w:pStyle w:val="Bullet"/>
      </w:pPr>
      <w:r w:rsidRPr="00E236F4">
        <w:t>81 people did not continue the process (due to being ineligible, withdrawing or dying of their condition)</w:t>
      </w:r>
    </w:p>
    <w:p w14:paraId="0121FF08" w14:textId="77777777" w:rsidR="00E236F4" w:rsidRPr="00E236F4" w:rsidRDefault="00E236F4" w:rsidP="00E236F4">
      <w:pPr>
        <w:pStyle w:val="Bullet"/>
      </w:pPr>
      <w:r w:rsidRPr="00E236F4">
        <w:t>66 people had an assisted death.</w:t>
      </w:r>
    </w:p>
    <w:p w14:paraId="104196B9" w14:textId="2168B5C0" w:rsidR="00E236F4" w:rsidRPr="00256664" w:rsidRDefault="00E236F4" w:rsidP="00E236F4">
      <w:pPr>
        <w:pStyle w:val="Figure"/>
        <w:rPr>
          <w:lang w:eastAsia="en-NZ"/>
        </w:rPr>
      </w:pPr>
      <w:bookmarkStart w:id="65" w:name="_Toc106611898"/>
      <w:r>
        <w:t xml:space="preserve">Figure </w:t>
      </w:r>
      <w:fldSimple w:instr=" SEQ Figure \* ARABIC ">
        <w:r w:rsidR="004B5578">
          <w:rPr>
            <w:noProof/>
          </w:rPr>
          <w:t>1</w:t>
        </w:r>
      </w:fldSimple>
      <w:r>
        <w:t xml:space="preserve">: </w:t>
      </w:r>
      <w:r w:rsidRPr="00256664">
        <w:rPr>
          <w:lang w:eastAsia="en-NZ"/>
        </w:rPr>
        <w:t>Overview of the pathway from initial application to an assisted death</w:t>
      </w:r>
      <w:bookmarkEnd w:id="65"/>
    </w:p>
    <w:p w14:paraId="3F3FEF41" w14:textId="77777777" w:rsidR="00E236F4" w:rsidRPr="003F70B2" w:rsidRDefault="00E236F4" w:rsidP="00E236F4">
      <w:pPr>
        <w:shd w:val="clear" w:color="auto" w:fill="FFFFFF"/>
        <w:spacing w:before="100" w:beforeAutospacing="1" w:after="100" w:afterAutospacing="1"/>
        <w:rPr>
          <w:rFonts w:cs="Segoe UI"/>
          <w:color w:val="002639"/>
          <w:sz w:val="20"/>
          <w:lang w:eastAsia="en-NZ"/>
        </w:rPr>
      </w:pPr>
      <w:r w:rsidRPr="001E7528">
        <w:rPr>
          <w:rFonts w:cs="Segoe UI"/>
          <w:noProof/>
        </w:rPr>
        <w:drawing>
          <wp:inline distT="0" distB="0" distL="0" distR="0" wp14:anchorId="0440B5B6" wp14:editId="7AF70EE3">
            <wp:extent cx="4251118" cy="3574473"/>
            <wp:effectExtent l="0" t="0" r="0" b="6985"/>
            <wp:docPr id="256" name="Picture 256" descr="Diagram overview of the pathway from initial application to an assisted d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Diagram overview of the pathway from initial application to an assisted death"/>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66400" cy="3587322"/>
                    </a:xfrm>
                    <a:prstGeom prst="rect">
                      <a:avLst/>
                    </a:prstGeom>
                    <a:noFill/>
                    <a:ln>
                      <a:noFill/>
                    </a:ln>
                  </pic:spPr>
                </pic:pic>
              </a:graphicData>
            </a:graphic>
          </wp:inline>
        </w:drawing>
      </w:r>
    </w:p>
    <w:p w14:paraId="12CA70DD" w14:textId="0D5953AF" w:rsidR="00E236F4" w:rsidRDefault="00E236F4" w:rsidP="00E236F4">
      <w:r w:rsidRPr="00810DB1">
        <w:lastRenderedPageBreak/>
        <w:t xml:space="preserve">The assisted dying service is person-centred, and the time taken from application through to assisted death varies based on their personal situation. </w:t>
      </w:r>
      <w:r>
        <w:t xml:space="preserve">People requesting assisted dying are nearing the end of their life, which means they may feel a sense of urgency about moving through the process quickly.  </w:t>
      </w:r>
    </w:p>
    <w:p w14:paraId="36EC164C" w14:textId="77777777" w:rsidR="00E236F4" w:rsidRDefault="00E236F4" w:rsidP="00E236F4"/>
    <w:p w14:paraId="7B587ACA" w14:textId="1A204484" w:rsidR="00E236F4" w:rsidRDefault="00E236F4" w:rsidP="00E236F4">
      <w:r w:rsidRPr="00CA4AE0">
        <w:t xml:space="preserve">Assisted dying is not an acute or urgent service, and the Secretariat sets realistic expectations with people that the process may take up to four to </w:t>
      </w:r>
      <w:r w:rsidRPr="00810DB1">
        <w:t xml:space="preserve">six weeks from when the request is made. </w:t>
      </w:r>
      <w:r>
        <w:t xml:space="preserve">The pathway </w:t>
      </w:r>
      <w:r w:rsidRPr="00CA4AE0">
        <w:t>must allow for all appropriate safeguards and processes to be followed.</w:t>
      </w:r>
    </w:p>
    <w:p w14:paraId="62F14CCD" w14:textId="77777777" w:rsidR="00E236F4" w:rsidRDefault="00E236F4" w:rsidP="00E236F4"/>
    <w:p w14:paraId="0C6B938B" w14:textId="77777777" w:rsidR="00E236F4" w:rsidRPr="00810DB1" w:rsidRDefault="00E236F4" w:rsidP="00E236F4">
      <w:r w:rsidRPr="00810DB1">
        <w:t xml:space="preserve">The number of people dying during the process reflects that some people are already </w:t>
      </w:r>
      <w:r>
        <w:t xml:space="preserve">very </w:t>
      </w:r>
      <w:r w:rsidRPr="00810DB1">
        <w:t xml:space="preserve">close to the end of their life when </w:t>
      </w:r>
      <w:r>
        <w:t>applying</w:t>
      </w:r>
      <w:r w:rsidRPr="00810DB1">
        <w:t xml:space="preserve"> for assisted dying</w:t>
      </w:r>
      <w:r>
        <w:t>, as opposed to there being delays in accessing services</w:t>
      </w:r>
      <w:r w:rsidRPr="00810DB1">
        <w:t xml:space="preserve">.  </w:t>
      </w:r>
    </w:p>
    <w:p w14:paraId="1607EE3A" w14:textId="77777777" w:rsidR="00E236F4" w:rsidRPr="00E236F4" w:rsidRDefault="00E236F4" w:rsidP="00E236F4">
      <w:pPr>
        <w:pStyle w:val="Heading2"/>
        <w:numPr>
          <w:ilvl w:val="0"/>
          <w:numId w:val="12"/>
        </w:numPr>
        <w:ind w:hanging="720"/>
      </w:pPr>
      <w:bookmarkStart w:id="66" w:name="_Toc103085570"/>
      <w:bookmarkStart w:id="67" w:name="_Toc103606332"/>
      <w:bookmarkStart w:id="68" w:name="_Toc104460682"/>
      <w:bookmarkStart w:id="69" w:name="_Toc106611877"/>
      <w:r w:rsidRPr="00E236F4">
        <w:t>Demographics of applicants</w:t>
      </w:r>
      <w:bookmarkEnd w:id="66"/>
      <w:bookmarkEnd w:id="67"/>
      <w:bookmarkEnd w:id="68"/>
      <w:bookmarkEnd w:id="69"/>
    </w:p>
    <w:p w14:paraId="494AD96C" w14:textId="77777777" w:rsidR="00E236F4" w:rsidRDefault="00E236F4" w:rsidP="002130AE">
      <w:pPr>
        <w:rPr>
          <w:shd w:val="clear" w:color="auto" w:fill="FFFFFF"/>
        </w:rPr>
      </w:pPr>
      <w:r w:rsidRPr="44C025A4">
        <w:rPr>
          <w:shd w:val="clear" w:color="auto" w:fill="FFFFFF"/>
        </w:rPr>
        <w:t xml:space="preserve">The Ministry is collecting information about the demographics of applicants, including </w:t>
      </w:r>
      <w:r>
        <w:rPr>
          <w:shd w:val="clear" w:color="auto" w:fill="FFFFFF"/>
        </w:rPr>
        <w:t xml:space="preserve">gender and </w:t>
      </w:r>
      <w:r w:rsidRPr="44C025A4">
        <w:rPr>
          <w:shd w:val="clear" w:color="auto" w:fill="FFFFFF"/>
        </w:rPr>
        <w:t>ethnicity data</w:t>
      </w:r>
      <w:r>
        <w:rPr>
          <w:shd w:val="clear" w:color="auto" w:fill="FFFFFF"/>
        </w:rPr>
        <w:t xml:space="preserve">, which is collected based on health sector standards and protocols. </w:t>
      </w:r>
    </w:p>
    <w:p w14:paraId="5783E078" w14:textId="77777777" w:rsidR="00E236F4" w:rsidRPr="009C73D7" w:rsidRDefault="00E236F4" w:rsidP="002130AE">
      <w:pPr>
        <w:rPr>
          <w:szCs w:val="21"/>
          <w:shd w:val="clear" w:color="auto" w:fill="FFFFFF"/>
        </w:rPr>
      </w:pPr>
    </w:p>
    <w:p w14:paraId="79474C6F" w14:textId="77777777" w:rsidR="00E236F4" w:rsidRPr="009C73D7" w:rsidRDefault="00E236F4" w:rsidP="002130AE">
      <w:pPr>
        <w:rPr>
          <w:szCs w:val="21"/>
          <w:shd w:val="clear" w:color="auto" w:fill="FFFFFF"/>
        </w:rPr>
      </w:pPr>
      <w:r w:rsidRPr="009C73D7">
        <w:rPr>
          <w:szCs w:val="21"/>
          <w:shd w:val="clear" w:color="auto" w:fill="FFFFFF"/>
        </w:rPr>
        <w:t xml:space="preserve">The assisted dying service is relatively new, and numbers are small. It is expected that the percentage breakdowns will change over time. </w:t>
      </w:r>
    </w:p>
    <w:p w14:paraId="265E17F0" w14:textId="77777777" w:rsidR="002130AE" w:rsidRDefault="002130AE" w:rsidP="002130AE">
      <w:pPr>
        <w:rPr>
          <w:szCs w:val="21"/>
          <w:lang w:eastAsia="en-NZ"/>
        </w:rPr>
      </w:pPr>
    </w:p>
    <w:p w14:paraId="3F4C2D4B" w14:textId="7AC3032F" w:rsidR="00E236F4" w:rsidRPr="00C748FF" w:rsidRDefault="00E236F4" w:rsidP="002130AE">
      <w:pPr>
        <w:rPr>
          <w:szCs w:val="21"/>
          <w:lang w:eastAsia="en-NZ"/>
        </w:rPr>
      </w:pPr>
      <w:r w:rsidRPr="00C748FF">
        <w:rPr>
          <w:szCs w:val="21"/>
          <w:lang w:eastAsia="en-NZ"/>
        </w:rPr>
        <w:t xml:space="preserve">As </w:t>
      </w:r>
      <w:r>
        <w:rPr>
          <w:szCs w:val="21"/>
          <w:lang w:eastAsia="en-NZ"/>
        </w:rPr>
        <w:t>of</w:t>
      </w:r>
      <w:r w:rsidRPr="00C748FF">
        <w:rPr>
          <w:szCs w:val="21"/>
          <w:lang w:eastAsia="en-NZ"/>
        </w:rPr>
        <w:t xml:space="preserve"> 31 March</w:t>
      </w:r>
      <w:r>
        <w:rPr>
          <w:szCs w:val="21"/>
          <w:lang w:eastAsia="en-NZ"/>
        </w:rPr>
        <w:t xml:space="preserve"> 2022</w:t>
      </w:r>
      <w:r w:rsidRPr="00C748FF">
        <w:rPr>
          <w:szCs w:val="21"/>
          <w:lang w:eastAsia="en-NZ"/>
        </w:rPr>
        <w:t>:</w:t>
      </w:r>
    </w:p>
    <w:p w14:paraId="6F8A3B42" w14:textId="2430C17E" w:rsidR="00615B77" w:rsidRDefault="00F82BDB" w:rsidP="00615B77">
      <w:pPr>
        <w:pStyle w:val="Bullet"/>
        <w:rPr>
          <w:lang w:eastAsia="en-NZ"/>
        </w:rPr>
      </w:pPr>
      <w:r>
        <w:rPr>
          <w:lang w:eastAsia="en-NZ"/>
        </w:rPr>
        <w:t>6</w:t>
      </w:r>
      <w:r w:rsidR="00615B77">
        <w:rPr>
          <w:lang w:eastAsia="en-NZ"/>
        </w:rPr>
        <w:t>% of people that applied for assisted dying are M</w:t>
      </w:r>
      <w:r w:rsidR="00615B77">
        <w:rPr>
          <w:rFonts w:cs="Segoe UI"/>
          <w:lang w:eastAsia="en-NZ"/>
        </w:rPr>
        <w:t>ā</w:t>
      </w:r>
      <w:r w:rsidR="00615B77">
        <w:rPr>
          <w:lang w:eastAsia="en-NZ"/>
        </w:rPr>
        <w:t>ori</w:t>
      </w:r>
    </w:p>
    <w:p w14:paraId="6DE97B34" w14:textId="6430B00B" w:rsidR="00615B77" w:rsidRPr="009C73D7" w:rsidRDefault="00E236F4" w:rsidP="00615B77">
      <w:pPr>
        <w:pStyle w:val="Bullet"/>
        <w:rPr>
          <w:lang w:eastAsia="en-NZ"/>
        </w:rPr>
      </w:pPr>
      <w:r w:rsidRPr="2B75C2E1">
        <w:rPr>
          <w:lang w:eastAsia="en-NZ"/>
        </w:rPr>
        <w:t>79% are NZ European/</w:t>
      </w:r>
      <w:proofErr w:type="spellStart"/>
      <w:r w:rsidRPr="2B75C2E1">
        <w:rPr>
          <w:lang w:eastAsia="en-NZ"/>
        </w:rPr>
        <w:t>Pākehā</w:t>
      </w:r>
      <w:proofErr w:type="spellEnd"/>
    </w:p>
    <w:p w14:paraId="09540CE4" w14:textId="77777777" w:rsidR="00E236F4" w:rsidRPr="009C73D7" w:rsidRDefault="00E236F4" w:rsidP="00E236F4">
      <w:pPr>
        <w:pStyle w:val="Bullet"/>
        <w:rPr>
          <w:lang w:eastAsia="en-NZ"/>
        </w:rPr>
      </w:pPr>
      <w:r w:rsidRPr="2B75C2E1">
        <w:rPr>
          <w:lang w:eastAsia="en-NZ"/>
        </w:rPr>
        <w:t xml:space="preserve">55% </w:t>
      </w:r>
      <w:r>
        <w:rPr>
          <w:lang w:eastAsia="en-NZ"/>
        </w:rPr>
        <w:t>were</w:t>
      </w:r>
      <w:r w:rsidRPr="2B75C2E1">
        <w:rPr>
          <w:lang w:eastAsia="en-NZ"/>
        </w:rPr>
        <w:t xml:space="preserve"> women</w:t>
      </w:r>
    </w:p>
    <w:p w14:paraId="787F477D" w14:textId="77777777" w:rsidR="00E236F4" w:rsidRPr="009C73D7" w:rsidRDefault="00E236F4" w:rsidP="00E236F4">
      <w:pPr>
        <w:pStyle w:val="Bullet"/>
        <w:rPr>
          <w:lang w:eastAsia="en-NZ"/>
        </w:rPr>
      </w:pPr>
      <w:r w:rsidRPr="2B75C2E1">
        <w:rPr>
          <w:lang w:eastAsia="en-NZ"/>
        </w:rPr>
        <w:t xml:space="preserve">74% </w:t>
      </w:r>
      <w:r>
        <w:rPr>
          <w:lang w:eastAsia="en-NZ"/>
        </w:rPr>
        <w:t>were</w:t>
      </w:r>
      <w:r w:rsidRPr="2B75C2E1">
        <w:rPr>
          <w:lang w:eastAsia="en-NZ"/>
        </w:rPr>
        <w:t xml:space="preserve"> aged 65 years or older</w:t>
      </w:r>
    </w:p>
    <w:p w14:paraId="45E67D3F" w14:textId="77777777" w:rsidR="00E236F4" w:rsidRDefault="00E236F4" w:rsidP="00E236F4">
      <w:pPr>
        <w:pStyle w:val="Bullet"/>
        <w:rPr>
          <w:lang w:eastAsia="en-NZ"/>
        </w:rPr>
      </w:pPr>
      <w:r w:rsidRPr="2B75C2E1">
        <w:rPr>
          <w:lang w:eastAsia="en-NZ"/>
        </w:rPr>
        <w:t>65% ha</w:t>
      </w:r>
      <w:r>
        <w:rPr>
          <w:lang w:eastAsia="en-NZ"/>
        </w:rPr>
        <w:t>d</w:t>
      </w:r>
      <w:r w:rsidRPr="2B75C2E1">
        <w:rPr>
          <w:lang w:eastAsia="en-NZ"/>
        </w:rPr>
        <w:t xml:space="preserve"> a cancer diagnosis</w:t>
      </w:r>
    </w:p>
    <w:p w14:paraId="365FB706" w14:textId="77777777" w:rsidR="00E236F4" w:rsidRPr="00B5191C" w:rsidRDefault="00E236F4" w:rsidP="00E236F4">
      <w:pPr>
        <w:pStyle w:val="Bullet"/>
        <w:rPr>
          <w:lang w:eastAsia="en-NZ"/>
        </w:rPr>
      </w:pPr>
      <w:r w:rsidRPr="2B75C2E1">
        <w:rPr>
          <w:rFonts w:cs="Segoe UI"/>
          <w:lang w:eastAsia="en-NZ"/>
        </w:rPr>
        <w:t xml:space="preserve">80% of applicants for assisted dying were receiving palliative care at the time of application. </w:t>
      </w:r>
    </w:p>
    <w:p w14:paraId="7912AC93" w14:textId="77777777" w:rsidR="002130AE" w:rsidRDefault="002130AE" w:rsidP="002130AE">
      <w:pPr>
        <w:rPr>
          <w:lang w:eastAsia="en-NZ"/>
        </w:rPr>
      </w:pPr>
    </w:p>
    <w:p w14:paraId="10FD328E" w14:textId="5C738CE6" w:rsidR="00E236F4" w:rsidRDefault="00E236F4" w:rsidP="002130AE">
      <w:pPr>
        <w:rPr>
          <w:lang w:eastAsia="en-NZ"/>
        </w:rPr>
      </w:pPr>
      <w:r>
        <w:rPr>
          <w:lang w:eastAsia="en-NZ"/>
        </w:rPr>
        <w:t xml:space="preserve">As part of the assisted dying process, the </w:t>
      </w:r>
      <w:r w:rsidR="002D785B">
        <w:rPr>
          <w:lang w:eastAsia="en-NZ"/>
        </w:rPr>
        <w:t>Attending Medical Practitioner (</w:t>
      </w:r>
      <w:r>
        <w:rPr>
          <w:lang w:eastAsia="en-NZ"/>
        </w:rPr>
        <w:t>AMP</w:t>
      </w:r>
      <w:r w:rsidR="002D785B">
        <w:rPr>
          <w:lang w:eastAsia="en-NZ"/>
        </w:rPr>
        <w:t>)</w:t>
      </w:r>
      <w:r>
        <w:rPr>
          <w:lang w:eastAsia="en-NZ"/>
        </w:rPr>
        <w:t xml:space="preserve"> must ensure the person understands their other options for end-of-life-care. </w:t>
      </w:r>
      <w:r w:rsidRPr="009C73D7">
        <w:rPr>
          <w:lang w:eastAsia="en-NZ"/>
        </w:rPr>
        <w:t xml:space="preserve">The Ministry notes that in some situations a person’s request for assisted dying has led to them exploring </w:t>
      </w:r>
      <w:r>
        <w:rPr>
          <w:lang w:eastAsia="en-NZ"/>
        </w:rPr>
        <w:t>other options, including optimising</w:t>
      </w:r>
      <w:r w:rsidRPr="009C73D7">
        <w:rPr>
          <w:lang w:eastAsia="en-NZ"/>
        </w:rPr>
        <w:t xml:space="preserve"> palliative</w:t>
      </w:r>
      <w:r>
        <w:rPr>
          <w:lang w:eastAsia="en-NZ"/>
        </w:rPr>
        <w:t xml:space="preserve"> care</w:t>
      </w:r>
      <w:r w:rsidRPr="009C73D7">
        <w:rPr>
          <w:lang w:eastAsia="en-NZ"/>
        </w:rPr>
        <w:t xml:space="preserve"> </w:t>
      </w:r>
      <w:r>
        <w:rPr>
          <w:lang w:eastAsia="en-NZ"/>
        </w:rPr>
        <w:t xml:space="preserve">or accessing additional social or wraparound supports. </w:t>
      </w:r>
    </w:p>
    <w:p w14:paraId="57F129F2" w14:textId="77777777" w:rsidR="002130AE" w:rsidRDefault="002130AE" w:rsidP="002130AE">
      <w:pPr>
        <w:rPr>
          <w:lang w:eastAsia="en-NZ"/>
        </w:rPr>
      </w:pPr>
    </w:p>
    <w:p w14:paraId="311A8D4C" w14:textId="23531E0B" w:rsidR="00E236F4" w:rsidRDefault="00E236F4" w:rsidP="002130AE">
      <w:pPr>
        <w:rPr>
          <w:sz w:val="20"/>
          <w:lang w:eastAsia="en-NZ"/>
        </w:rPr>
      </w:pPr>
      <w:r>
        <w:rPr>
          <w:lang w:eastAsia="en-NZ"/>
        </w:rPr>
        <w:t>The clinical advisors liaise with other health services, such as the person’s general practitioner, to help co-ordinate this care or support. This has led some</w:t>
      </w:r>
      <w:r w:rsidRPr="009C73D7">
        <w:rPr>
          <w:lang w:eastAsia="en-NZ"/>
        </w:rPr>
        <w:t xml:space="preserve"> people </w:t>
      </w:r>
      <w:r>
        <w:rPr>
          <w:lang w:eastAsia="en-NZ"/>
        </w:rPr>
        <w:t>to then</w:t>
      </w:r>
      <w:r w:rsidRPr="009C73D7">
        <w:rPr>
          <w:lang w:eastAsia="en-NZ"/>
        </w:rPr>
        <w:t xml:space="preserve"> cho</w:t>
      </w:r>
      <w:r>
        <w:rPr>
          <w:lang w:eastAsia="en-NZ"/>
        </w:rPr>
        <w:t>o</w:t>
      </w:r>
      <w:r w:rsidRPr="009C73D7">
        <w:rPr>
          <w:lang w:eastAsia="en-NZ"/>
        </w:rPr>
        <w:t>se to withdraw their application for assisted dying</w:t>
      </w:r>
      <w:r>
        <w:rPr>
          <w:lang w:eastAsia="en-NZ"/>
        </w:rPr>
        <w:t xml:space="preserve"> as they felt this option was no longer needed</w:t>
      </w:r>
      <w:r w:rsidRPr="009C73D7">
        <w:rPr>
          <w:lang w:eastAsia="en-NZ"/>
        </w:rPr>
        <w:t>.</w:t>
      </w:r>
      <w:r w:rsidRPr="009C73D7">
        <w:rPr>
          <w:sz w:val="20"/>
          <w:lang w:eastAsia="en-NZ"/>
        </w:rPr>
        <w:t xml:space="preserve"> </w:t>
      </w:r>
    </w:p>
    <w:p w14:paraId="46B43F3F" w14:textId="0BEB3705" w:rsidR="00E236F4" w:rsidRDefault="00E236F4" w:rsidP="00E236F4">
      <w:pPr>
        <w:shd w:val="clear" w:color="auto" w:fill="FFFFFF"/>
        <w:spacing w:before="100" w:beforeAutospacing="1" w:after="100" w:afterAutospacing="1"/>
        <w:rPr>
          <w:rFonts w:cs="Segoe UI"/>
          <w:sz w:val="20"/>
          <w:lang w:eastAsia="en-NZ"/>
        </w:rPr>
      </w:pPr>
    </w:p>
    <w:p w14:paraId="59AA7A34" w14:textId="7C1F105A" w:rsidR="00E236F4" w:rsidRDefault="00E236F4" w:rsidP="00E236F4">
      <w:pPr>
        <w:shd w:val="clear" w:color="auto" w:fill="FFFFFF"/>
        <w:spacing w:before="100" w:beforeAutospacing="1" w:after="100" w:afterAutospacing="1"/>
        <w:rPr>
          <w:rFonts w:cs="Segoe UI"/>
          <w:sz w:val="20"/>
          <w:lang w:eastAsia="en-NZ"/>
        </w:rPr>
      </w:pPr>
    </w:p>
    <w:p w14:paraId="42D013C4" w14:textId="73DE5695" w:rsidR="00E236F4" w:rsidRDefault="00E236F4" w:rsidP="00E236F4">
      <w:pPr>
        <w:pStyle w:val="Table"/>
        <w:rPr>
          <w:lang w:eastAsia="en-NZ"/>
        </w:rPr>
      </w:pPr>
      <w:bookmarkStart w:id="70" w:name="_Toc106611892"/>
      <w:r>
        <w:lastRenderedPageBreak/>
        <w:t xml:space="preserve">Table </w:t>
      </w:r>
      <w:fldSimple w:instr=" SEQ Table \* ARABIC ">
        <w:r w:rsidR="004B5578">
          <w:rPr>
            <w:noProof/>
          </w:rPr>
          <w:t>1</w:t>
        </w:r>
      </w:fldSimple>
      <w:r>
        <w:t xml:space="preserve">: </w:t>
      </w:r>
      <w:r w:rsidRPr="00E236F4">
        <w:rPr>
          <w:lang w:eastAsia="en-NZ"/>
        </w:rPr>
        <w:t>Demographics of people that have applied for assisted dying</w:t>
      </w:r>
      <w:bookmarkEnd w:id="70"/>
      <w:r w:rsidRPr="00E236F4">
        <w:rPr>
          <w:lang w:eastAsia="en-NZ"/>
        </w:rPr>
        <w:t xml:space="preserve"> </w:t>
      </w: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440"/>
        <w:gridCol w:w="2359"/>
        <w:gridCol w:w="1784"/>
        <w:gridCol w:w="1496"/>
      </w:tblGrid>
      <w:tr w:rsidR="00E236F4" w:rsidRPr="00E236F4" w14:paraId="338CB469" w14:textId="77777777" w:rsidTr="002130AE">
        <w:tc>
          <w:tcPr>
            <w:tcW w:w="2440" w:type="dxa"/>
            <w:tcBorders>
              <w:top w:val="nil"/>
              <w:bottom w:val="nil"/>
            </w:tcBorders>
            <w:shd w:val="clear" w:color="auto" w:fill="D9D9D9" w:themeFill="background1" w:themeFillShade="D9"/>
          </w:tcPr>
          <w:p w14:paraId="41436B96" w14:textId="77777777" w:rsidR="00E236F4" w:rsidRPr="00E236F4" w:rsidRDefault="00E236F4" w:rsidP="00E236F4">
            <w:pPr>
              <w:pStyle w:val="TableText"/>
              <w:rPr>
                <w:b/>
                <w:bCs/>
                <w:lang w:eastAsia="en-NZ"/>
              </w:rPr>
            </w:pPr>
          </w:p>
        </w:tc>
        <w:tc>
          <w:tcPr>
            <w:tcW w:w="2359" w:type="dxa"/>
            <w:tcBorders>
              <w:top w:val="nil"/>
              <w:bottom w:val="nil"/>
            </w:tcBorders>
            <w:shd w:val="clear" w:color="auto" w:fill="D9D9D9" w:themeFill="background1" w:themeFillShade="D9"/>
          </w:tcPr>
          <w:p w14:paraId="528321A6" w14:textId="77777777" w:rsidR="00E236F4" w:rsidRPr="00E236F4" w:rsidRDefault="00E236F4" w:rsidP="00E236F4">
            <w:pPr>
              <w:pStyle w:val="TableText"/>
              <w:rPr>
                <w:b/>
                <w:bCs/>
                <w:lang w:eastAsia="en-NZ"/>
              </w:rPr>
            </w:pPr>
          </w:p>
        </w:tc>
        <w:tc>
          <w:tcPr>
            <w:tcW w:w="1784" w:type="dxa"/>
            <w:tcBorders>
              <w:top w:val="nil"/>
              <w:bottom w:val="nil"/>
            </w:tcBorders>
            <w:shd w:val="clear" w:color="auto" w:fill="D9D9D9" w:themeFill="background1" w:themeFillShade="D9"/>
            <w:vAlign w:val="bottom"/>
          </w:tcPr>
          <w:p w14:paraId="0BAEB413" w14:textId="2190AA0C" w:rsidR="00E236F4" w:rsidRPr="00E236F4" w:rsidRDefault="00E236F4" w:rsidP="00144D7A">
            <w:pPr>
              <w:pStyle w:val="TableText"/>
              <w:jc w:val="center"/>
              <w:rPr>
                <w:b/>
                <w:bCs/>
                <w:lang w:eastAsia="en-NZ"/>
              </w:rPr>
            </w:pPr>
            <w:r w:rsidRPr="00E236F4">
              <w:rPr>
                <w:b/>
                <w:bCs/>
                <w:lang w:eastAsia="en-NZ"/>
              </w:rPr>
              <w:t>Number of people</w:t>
            </w:r>
          </w:p>
        </w:tc>
        <w:tc>
          <w:tcPr>
            <w:tcW w:w="1496" w:type="dxa"/>
            <w:tcBorders>
              <w:top w:val="nil"/>
              <w:bottom w:val="nil"/>
            </w:tcBorders>
            <w:shd w:val="clear" w:color="auto" w:fill="D9D9D9" w:themeFill="background1" w:themeFillShade="D9"/>
            <w:vAlign w:val="bottom"/>
          </w:tcPr>
          <w:p w14:paraId="483EFD6A" w14:textId="45D858D7" w:rsidR="00E236F4" w:rsidRPr="00E236F4" w:rsidRDefault="00E236F4" w:rsidP="00144D7A">
            <w:pPr>
              <w:pStyle w:val="TableText"/>
              <w:jc w:val="center"/>
              <w:rPr>
                <w:b/>
                <w:bCs/>
                <w:lang w:eastAsia="en-NZ"/>
              </w:rPr>
            </w:pPr>
            <w:r w:rsidRPr="00E236F4">
              <w:rPr>
                <w:b/>
                <w:bCs/>
                <w:lang w:eastAsia="en-NZ"/>
              </w:rPr>
              <w:t>% of applicants</w:t>
            </w:r>
          </w:p>
        </w:tc>
      </w:tr>
      <w:tr w:rsidR="00E236F4" w14:paraId="33C6EC98" w14:textId="77777777" w:rsidTr="002130AE">
        <w:tc>
          <w:tcPr>
            <w:tcW w:w="2440" w:type="dxa"/>
            <w:vMerge w:val="restart"/>
            <w:tcBorders>
              <w:top w:val="nil"/>
            </w:tcBorders>
          </w:tcPr>
          <w:p w14:paraId="37F1DF03" w14:textId="3560B6DD" w:rsidR="00E236F4" w:rsidRDefault="00E236F4" w:rsidP="00E236F4">
            <w:pPr>
              <w:pStyle w:val="TableText"/>
              <w:rPr>
                <w:lang w:eastAsia="en-NZ"/>
              </w:rPr>
            </w:pPr>
            <w:r w:rsidRPr="00C748FF">
              <w:rPr>
                <w:lang w:eastAsia="en-NZ"/>
              </w:rPr>
              <w:t>Ethnic group</w:t>
            </w:r>
          </w:p>
        </w:tc>
        <w:tc>
          <w:tcPr>
            <w:tcW w:w="2359" w:type="dxa"/>
            <w:tcBorders>
              <w:top w:val="nil"/>
            </w:tcBorders>
          </w:tcPr>
          <w:p w14:paraId="550538C6" w14:textId="3FEF29F2" w:rsidR="00E236F4" w:rsidRDefault="00E236F4" w:rsidP="00E236F4">
            <w:pPr>
              <w:pStyle w:val="TableText"/>
              <w:rPr>
                <w:lang w:eastAsia="en-NZ"/>
              </w:rPr>
            </w:pPr>
            <w:r w:rsidRPr="00800DEC">
              <w:t>Māori</w:t>
            </w:r>
          </w:p>
        </w:tc>
        <w:tc>
          <w:tcPr>
            <w:tcW w:w="1784" w:type="dxa"/>
            <w:tcBorders>
              <w:top w:val="nil"/>
            </w:tcBorders>
          </w:tcPr>
          <w:p w14:paraId="445FF718" w14:textId="17D4F8B7" w:rsidR="00E236F4" w:rsidRDefault="00E236F4" w:rsidP="00144D7A">
            <w:pPr>
              <w:pStyle w:val="TableText"/>
              <w:jc w:val="center"/>
              <w:rPr>
                <w:lang w:eastAsia="en-NZ"/>
              </w:rPr>
            </w:pPr>
            <w:r w:rsidRPr="00C748FF">
              <w:rPr>
                <w:lang w:eastAsia="en-NZ"/>
              </w:rPr>
              <w:t>12</w:t>
            </w:r>
          </w:p>
        </w:tc>
        <w:tc>
          <w:tcPr>
            <w:tcW w:w="1496" w:type="dxa"/>
            <w:tcBorders>
              <w:top w:val="nil"/>
            </w:tcBorders>
          </w:tcPr>
          <w:p w14:paraId="30973487" w14:textId="60563854" w:rsidR="00E236F4" w:rsidRDefault="00E236F4" w:rsidP="00144D7A">
            <w:pPr>
              <w:pStyle w:val="TableText"/>
              <w:jc w:val="center"/>
              <w:rPr>
                <w:lang w:eastAsia="en-NZ"/>
              </w:rPr>
            </w:pPr>
            <w:r w:rsidRPr="00C748FF">
              <w:rPr>
                <w:lang w:eastAsia="en-NZ"/>
              </w:rPr>
              <w:t>5.8</w:t>
            </w:r>
          </w:p>
        </w:tc>
      </w:tr>
      <w:tr w:rsidR="00E236F4" w14:paraId="03B5E378" w14:textId="77777777" w:rsidTr="002130AE">
        <w:tc>
          <w:tcPr>
            <w:tcW w:w="2440" w:type="dxa"/>
            <w:vMerge/>
          </w:tcPr>
          <w:p w14:paraId="716F5CFB" w14:textId="77777777" w:rsidR="00E236F4" w:rsidRDefault="00E236F4" w:rsidP="00E236F4">
            <w:pPr>
              <w:pStyle w:val="TableText"/>
              <w:rPr>
                <w:lang w:eastAsia="en-NZ"/>
              </w:rPr>
            </w:pPr>
          </w:p>
        </w:tc>
        <w:tc>
          <w:tcPr>
            <w:tcW w:w="2359" w:type="dxa"/>
          </w:tcPr>
          <w:p w14:paraId="584EFA40" w14:textId="5528FB42" w:rsidR="00E236F4" w:rsidRDefault="00E236F4" w:rsidP="00E236F4">
            <w:pPr>
              <w:pStyle w:val="TableText"/>
              <w:rPr>
                <w:lang w:eastAsia="en-NZ"/>
              </w:rPr>
            </w:pPr>
            <w:r w:rsidRPr="00800DEC">
              <w:t>Pacific</w:t>
            </w:r>
          </w:p>
        </w:tc>
        <w:tc>
          <w:tcPr>
            <w:tcW w:w="1784" w:type="dxa"/>
          </w:tcPr>
          <w:p w14:paraId="68E346D5" w14:textId="66BBE307" w:rsidR="00E236F4" w:rsidRDefault="00E236F4" w:rsidP="00144D7A">
            <w:pPr>
              <w:pStyle w:val="TableText"/>
              <w:jc w:val="center"/>
              <w:rPr>
                <w:lang w:eastAsia="en-NZ"/>
              </w:rPr>
            </w:pPr>
            <w:r w:rsidRPr="00C748FF">
              <w:rPr>
                <w:lang w:eastAsia="en-NZ"/>
              </w:rPr>
              <w:t>0</w:t>
            </w:r>
          </w:p>
        </w:tc>
        <w:tc>
          <w:tcPr>
            <w:tcW w:w="1496" w:type="dxa"/>
          </w:tcPr>
          <w:p w14:paraId="7221548F" w14:textId="51016EB1" w:rsidR="00E236F4" w:rsidRDefault="00E236F4" w:rsidP="00144D7A">
            <w:pPr>
              <w:pStyle w:val="TableText"/>
              <w:jc w:val="center"/>
              <w:rPr>
                <w:lang w:eastAsia="en-NZ"/>
              </w:rPr>
            </w:pPr>
            <w:r w:rsidRPr="00C748FF">
              <w:rPr>
                <w:lang w:eastAsia="en-NZ"/>
              </w:rPr>
              <w:t>0.0</w:t>
            </w:r>
          </w:p>
        </w:tc>
      </w:tr>
      <w:tr w:rsidR="00E236F4" w14:paraId="5D063899" w14:textId="77777777" w:rsidTr="002130AE">
        <w:tc>
          <w:tcPr>
            <w:tcW w:w="2440" w:type="dxa"/>
            <w:vMerge/>
          </w:tcPr>
          <w:p w14:paraId="73E42D42" w14:textId="77777777" w:rsidR="00E236F4" w:rsidRDefault="00E236F4" w:rsidP="00E236F4">
            <w:pPr>
              <w:pStyle w:val="TableText"/>
              <w:rPr>
                <w:lang w:eastAsia="en-NZ"/>
              </w:rPr>
            </w:pPr>
          </w:p>
        </w:tc>
        <w:tc>
          <w:tcPr>
            <w:tcW w:w="2359" w:type="dxa"/>
          </w:tcPr>
          <w:p w14:paraId="13A945CC" w14:textId="203C04B8" w:rsidR="00E236F4" w:rsidRDefault="00E236F4" w:rsidP="00E236F4">
            <w:pPr>
              <w:pStyle w:val="TableText"/>
              <w:rPr>
                <w:lang w:eastAsia="en-NZ"/>
              </w:rPr>
            </w:pPr>
            <w:r w:rsidRPr="00800DEC">
              <w:t>Asian</w:t>
            </w:r>
          </w:p>
        </w:tc>
        <w:tc>
          <w:tcPr>
            <w:tcW w:w="1784" w:type="dxa"/>
          </w:tcPr>
          <w:p w14:paraId="5FE770A9" w14:textId="3F004C66" w:rsidR="00E236F4" w:rsidRDefault="00E236F4" w:rsidP="00144D7A">
            <w:pPr>
              <w:pStyle w:val="TableText"/>
              <w:jc w:val="center"/>
              <w:rPr>
                <w:lang w:eastAsia="en-NZ"/>
              </w:rPr>
            </w:pPr>
            <w:r w:rsidRPr="00C748FF">
              <w:rPr>
                <w:lang w:eastAsia="en-NZ"/>
              </w:rPr>
              <w:t>5</w:t>
            </w:r>
          </w:p>
        </w:tc>
        <w:tc>
          <w:tcPr>
            <w:tcW w:w="1496" w:type="dxa"/>
          </w:tcPr>
          <w:p w14:paraId="4CD9DD28" w14:textId="097FC591" w:rsidR="00E236F4" w:rsidRDefault="00E236F4" w:rsidP="00144D7A">
            <w:pPr>
              <w:pStyle w:val="TableText"/>
              <w:jc w:val="center"/>
              <w:rPr>
                <w:lang w:eastAsia="en-NZ"/>
              </w:rPr>
            </w:pPr>
            <w:r w:rsidRPr="00C748FF">
              <w:rPr>
                <w:lang w:eastAsia="en-NZ"/>
              </w:rPr>
              <w:t>2.4</w:t>
            </w:r>
          </w:p>
        </w:tc>
      </w:tr>
      <w:tr w:rsidR="00E236F4" w14:paraId="75F1A2F3" w14:textId="77777777" w:rsidTr="002130AE">
        <w:tc>
          <w:tcPr>
            <w:tcW w:w="2440" w:type="dxa"/>
            <w:vMerge/>
          </w:tcPr>
          <w:p w14:paraId="52B62317" w14:textId="77777777" w:rsidR="00E236F4" w:rsidRDefault="00E236F4" w:rsidP="00E236F4">
            <w:pPr>
              <w:pStyle w:val="TableText"/>
              <w:rPr>
                <w:lang w:eastAsia="en-NZ"/>
              </w:rPr>
            </w:pPr>
          </w:p>
        </w:tc>
        <w:tc>
          <w:tcPr>
            <w:tcW w:w="2359" w:type="dxa"/>
          </w:tcPr>
          <w:p w14:paraId="306D1D92" w14:textId="398DD658" w:rsidR="00E236F4" w:rsidRDefault="00E236F4" w:rsidP="00E236F4">
            <w:pPr>
              <w:pStyle w:val="TableText"/>
              <w:rPr>
                <w:lang w:eastAsia="en-NZ"/>
              </w:rPr>
            </w:pPr>
            <w:r w:rsidRPr="00800DEC">
              <w:t>NZ European/</w:t>
            </w:r>
            <w:proofErr w:type="spellStart"/>
            <w:r w:rsidRPr="00800DEC">
              <w:t>Pākehā</w:t>
            </w:r>
            <w:proofErr w:type="spellEnd"/>
          </w:p>
        </w:tc>
        <w:tc>
          <w:tcPr>
            <w:tcW w:w="1784" w:type="dxa"/>
          </w:tcPr>
          <w:p w14:paraId="65143950" w14:textId="05CAFD5B" w:rsidR="00E236F4" w:rsidRDefault="00E236F4" w:rsidP="00144D7A">
            <w:pPr>
              <w:pStyle w:val="TableText"/>
              <w:jc w:val="center"/>
              <w:rPr>
                <w:lang w:eastAsia="en-NZ"/>
              </w:rPr>
            </w:pPr>
            <w:r w:rsidRPr="00C748FF">
              <w:rPr>
                <w:lang w:eastAsia="en-NZ"/>
              </w:rPr>
              <w:t>162</w:t>
            </w:r>
          </w:p>
        </w:tc>
        <w:tc>
          <w:tcPr>
            <w:tcW w:w="1496" w:type="dxa"/>
          </w:tcPr>
          <w:p w14:paraId="53E792A5" w14:textId="57664FF1" w:rsidR="00E236F4" w:rsidRDefault="00E236F4" w:rsidP="00144D7A">
            <w:pPr>
              <w:pStyle w:val="TableText"/>
              <w:jc w:val="center"/>
              <w:rPr>
                <w:lang w:eastAsia="en-NZ"/>
              </w:rPr>
            </w:pPr>
            <w:r w:rsidRPr="00C748FF">
              <w:rPr>
                <w:lang w:eastAsia="en-NZ"/>
              </w:rPr>
              <w:t>78.6</w:t>
            </w:r>
          </w:p>
        </w:tc>
      </w:tr>
      <w:tr w:rsidR="00E236F4" w14:paraId="0AB63FE9" w14:textId="77777777" w:rsidTr="002130AE">
        <w:tc>
          <w:tcPr>
            <w:tcW w:w="2440" w:type="dxa"/>
            <w:vMerge/>
          </w:tcPr>
          <w:p w14:paraId="52052A67" w14:textId="77777777" w:rsidR="00E236F4" w:rsidRDefault="00E236F4" w:rsidP="00E236F4">
            <w:pPr>
              <w:pStyle w:val="TableText"/>
              <w:rPr>
                <w:lang w:eastAsia="en-NZ"/>
              </w:rPr>
            </w:pPr>
          </w:p>
        </w:tc>
        <w:tc>
          <w:tcPr>
            <w:tcW w:w="2359" w:type="dxa"/>
          </w:tcPr>
          <w:p w14:paraId="2B38A170" w14:textId="1164BD19" w:rsidR="00E236F4" w:rsidRDefault="00E236F4" w:rsidP="00E236F4">
            <w:pPr>
              <w:pStyle w:val="TableText"/>
              <w:rPr>
                <w:lang w:eastAsia="en-NZ"/>
              </w:rPr>
            </w:pPr>
            <w:r w:rsidRPr="00800DEC">
              <w:t>Other ethnic groups</w:t>
            </w:r>
          </w:p>
        </w:tc>
        <w:tc>
          <w:tcPr>
            <w:tcW w:w="1784" w:type="dxa"/>
          </w:tcPr>
          <w:p w14:paraId="36960E5E" w14:textId="0B15C01F" w:rsidR="00E236F4" w:rsidRDefault="00E236F4" w:rsidP="00144D7A">
            <w:pPr>
              <w:pStyle w:val="TableText"/>
              <w:jc w:val="center"/>
              <w:rPr>
                <w:lang w:eastAsia="en-NZ"/>
              </w:rPr>
            </w:pPr>
            <w:r w:rsidRPr="00C748FF">
              <w:rPr>
                <w:lang w:eastAsia="en-NZ"/>
              </w:rPr>
              <w:t>27</w:t>
            </w:r>
          </w:p>
        </w:tc>
        <w:tc>
          <w:tcPr>
            <w:tcW w:w="1496" w:type="dxa"/>
          </w:tcPr>
          <w:p w14:paraId="35B20D55" w14:textId="5C782A7E" w:rsidR="00E236F4" w:rsidRDefault="00E236F4" w:rsidP="00144D7A">
            <w:pPr>
              <w:pStyle w:val="TableText"/>
              <w:jc w:val="center"/>
              <w:rPr>
                <w:lang w:eastAsia="en-NZ"/>
              </w:rPr>
            </w:pPr>
            <w:r w:rsidRPr="00C748FF">
              <w:rPr>
                <w:lang w:eastAsia="en-NZ"/>
              </w:rPr>
              <w:t>13.1</w:t>
            </w:r>
          </w:p>
        </w:tc>
      </w:tr>
      <w:tr w:rsidR="00E236F4" w14:paraId="6575BD16" w14:textId="77777777" w:rsidTr="002130AE">
        <w:trPr>
          <w:trHeight w:val="403"/>
        </w:trPr>
        <w:tc>
          <w:tcPr>
            <w:tcW w:w="2440" w:type="dxa"/>
            <w:vMerge w:val="restart"/>
          </w:tcPr>
          <w:p w14:paraId="0CBE92CF" w14:textId="6AD369EE" w:rsidR="00E236F4" w:rsidRDefault="00E236F4" w:rsidP="00E236F4">
            <w:pPr>
              <w:pStyle w:val="TableText"/>
              <w:rPr>
                <w:lang w:eastAsia="en-NZ"/>
              </w:rPr>
            </w:pPr>
            <w:r w:rsidRPr="00C748FF">
              <w:rPr>
                <w:lang w:eastAsia="en-NZ"/>
              </w:rPr>
              <w:t>Gender</w:t>
            </w:r>
          </w:p>
        </w:tc>
        <w:tc>
          <w:tcPr>
            <w:tcW w:w="2359" w:type="dxa"/>
          </w:tcPr>
          <w:p w14:paraId="0612B56B" w14:textId="60B7145D" w:rsidR="00E236F4" w:rsidRDefault="00E236F4" w:rsidP="00E236F4">
            <w:pPr>
              <w:pStyle w:val="TableText"/>
              <w:rPr>
                <w:lang w:eastAsia="en-NZ"/>
              </w:rPr>
            </w:pPr>
            <w:r w:rsidRPr="00800DEC">
              <w:t>Female</w:t>
            </w:r>
          </w:p>
        </w:tc>
        <w:tc>
          <w:tcPr>
            <w:tcW w:w="1784" w:type="dxa"/>
          </w:tcPr>
          <w:p w14:paraId="16C66F6A" w14:textId="09031DAF" w:rsidR="00E236F4" w:rsidRDefault="00E236F4" w:rsidP="00144D7A">
            <w:pPr>
              <w:pStyle w:val="TableText"/>
              <w:jc w:val="center"/>
              <w:rPr>
                <w:lang w:eastAsia="en-NZ"/>
              </w:rPr>
            </w:pPr>
            <w:r w:rsidRPr="00C748FF">
              <w:rPr>
                <w:lang w:eastAsia="en-NZ"/>
              </w:rPr>
              <w:t>114</w:t>
            </w:r>
          </w:p>
        </w:tc>
        <w:tc>
          <w:tcPr>
            <w:tcW w:w="1496" w:type="dxa"/>
          </w:tcPr>
          <w:p w14:paraId="55ACE90F" w14:textId="57968A5B" w:rsidR="00E236F4" w:rsidRDefault="00E236F4" w:rsidP="00144D7A">
            <w:pPr>
              <w:pStyle w:val="TableText"/>
              <w:jc w:val="center"/>
              <w:rPr>
                <w:lang w:eastAsia="en-NZ"/>
              </w:rPr>
            </w:pPr>
            <w:r w:rsidRPr="00C748FF">
              <w:rPr>
                <w:lang w:eastAsia="en-NZ"/>
              </w:rPr>
              <w:t>55.3</w:t>
            </w:r>
          </w:p>
        </w:tc>
      </w:tr>
      <w:tr w:rsidR="00E236F4" w14:paraId="3D8B098C" w14:textId="77777777" w:rsidTr="002130AE">
        <w:tc>
          <w:tcPr>
            <w:tcW w:w="2440" w:type="dxa"/>
            <w:vMerge/>
          </w:tcPr>
          <w:p w14:paraId="006F1F07" w14:textId="77777777" w:rsidR="00E236F4" w:rsidRDefault="00E236F4" w:rsidP="00E236F4">
            <w:pPr>
              <w:pStyle w:val="TableText"/>
              <w:rPr>
                <w:lang w:eastAsia="en-NZ"/>
              </w:rPr>
            </w:pPr>
          </w:p>
        </w:tc>
        <w:tc>
          <w:tcPr>
            <w:tcW w:w="2359" w:type="dxa"/>
          </w:tcPr>
          <w:p w14:paraId="42060CD6" w14:textId="6A951B09" w:rsidR="00E236F4" w:rsidRDefault="00E236F4" w:rsidP="00E236F4">
            <w:pPr>
              <w:pStyle w:val="TableText"/>
              <w:rPr>
                <w:lang w:eastAsia="en-NZ"/>
              </w:rPr>
            </w:pPr>
            <w:r w:rsidRPr="00800DEC">
              <w:t>Male</w:t>
            </w:r>
          </w:p>
        </w:tc>
        <w:tc>
          <w:tcPr>
            <w:tcW w:w="1784" w:type="dxa"/>
          </w:tcPr>
          <w:p w14:paraId="7D27378B" w14:textId="45469F59" w:rsidR="00E236F4" w:rsidRDefault="00E236F4" w:rsidP="00144D7A">
            <w:pPr>
              <w:pStyle w:val="TableText"/>
              <w:jc w:val="center"/>
              <w:rPr>
                <w:lang w:eastAsia="en-NZ"/>
              </w:rPr>
            </w:pPr>
            <w:r w:rsidRPr="00C748FF">
              <w:rPr>
                <w:lang w:eastAsia="en-NZ"/>
              </w:rPr>
              <w:t>92</w:t>
            </w:r>
          </w:p>
        </w:tc>
        <w:tc>
          <w:tcPr>
            <w:tcW w:w="1496" w:type="dxa"/>
          </w:tcPr>
          <w:p w14:paraId="648AD7F0" w14:textId="415BEE73" w:rsidR="00E236F4" w:rsidRDefault="00E236F4" w:rsidP="00144D7A">
            <w:pPr>
              <w:pStyle w:val="TableText"/>
              <w:jc w:val="center"/>
              <w:rPr>
                <w:lang w:eastAsia="en-NZ"/>
              </w:rPr>
            </w:pPr>
            <w:r w:rsidRPr="00C748FF">
              <w:rPr>
                <w:lang w:eastAsia="en-NZ"/>
              </w:rPr>
              <w:t>44.7</w:t>
            </w:r>
          </w:p>
        </w:tc>
      </w:tr>
      <w:tr w:rsidR="00E236F4" w14:paraId="43C5BB09" w14:textId="77777777" w:rsidTr="002130AE">
        <w:tc>
          <w:tcPr>
            <w:tcW w:w="2440" w:type="dxa"/>
            <w:vMerge/>
          </w:tcPr>
          <w:p w14:paraId="1633C293" w14:textId="77777777" w:rsidR="00E236F4" w:rsidRDefault="00E236F4" w:rsidP="00E236F4">
            <w:pPr>
              <w:pStyle w:val="TableText"/>
              <w:rPr>
                <w:lang w:eastAsia="en-NZ"/>
              </w:rPr>
            </w:pPr>
          </w:p>
        </w:tc>
        <w:tc>
          <w:tcPr>
            <w:tcW w:w="2359" w:type="dxa"/>
          </w:tcPr>
          <w:p w14:paraId="5ABC4643" w14:textId="753B0DA5" w:rsidR="00E236F4" w:rsidRDefault="00E236F4" w:rsidP="00E236F4">
            <w:pPr>
              <w:pStyle w:val="TableText"/>
              <w:rPr>
                <w:lang w:eastAsia="en-NZ"/>
              </w:rPr>
            </w:pPr>
            <w:r w:rsidRPr="00800DEC">
              <w:t>Gender diverse</w:t>
            </w:r>
          </w:p>
        </w:tc>
        <w:tc>
          <w:tcPr>
            <w:tcW w:w="1784" w:type="dxa"/>
          </w:tcPr>
          <w:p w14:paraId="03E04F69" w14:textId="7ED798CD" w:rsidR="00E236F4" w:rsidRDefault="00E236F4" w:rsidP="00144D7A">
            <w:pPr>
              <w:pStyle w:val="TableText"/>
              <w:jc w:val="center"/>
              <w:rPr>
                <w:lang w:eastAsia="en-NZ"/>
              </w:rPr>
            </w:pPr>
            <w:r w:rsidRPr="00C748FF">
              <w:rPr>
                <w:lang w:eastAsia="en-NZ"/>
              </w:rPr>
              <w:t>0</w:t>
            </w:r>
          </w:p>
        </w:tc>
        <w:tc>
          <w:tcPr>
            <w:tcW w:w="1496" w:type="dxa"/>
          </w:tcPr>
          <w:p w14:paraId="4F53252B" w14:textId="300DE74F" w:rsidR="00E236F4" w:rsidRDefault="00E236F4" w:rsidP="00144D7A">
            <w:pPr>
              <w:pStyle w:val="TableText"/>
              <w:jc w:val="center"/>
              <w:rPr>
                <w:lang w:eastAsia="en-NZ"/>
              </w:rPr>
            </w:pPr>
            <w:r w:rsidRPr="00C748FF">
              <w:rPr>
                <w:lang w:eastAsia="en-NZ"/>
              </w:rPr>
              <w:t>0.0</w:t>
            </w:r>
          </w:p>
        </w:tc>
      </w:tr>
      <w:tr w:rsidR="00E236F4" w14:paraId="28AACBF3" w14:textId="77777777" w:rsidTr="002130AE">
        <w:tc>
          <w:tcPr>
            <w:tcW w:w="2440" w:type="dxa"/>
            <w:vMerge w:val="restart"/>
          </w:tcPr>
          <w:p w14:paraId="34CDCBC9" w14:textId="61BB6B32" w:rsidR="00E236F4" w:rsidRDefault="00E236F4" w:rsidP="00E236F4">
            <w:pPr>
              <w:pStyle w:val="TableText"/>
              <w:rPr>
                <w:lang w:eastAsia="en-NZ"/>
              </w:rPr>
            </w:pPr>
            <w:r w:rsidRPr="00C748FF">
              <w:rPr>
                <w:lang w:eastAsia="en-NZ"/>
              </w:rPr>
              <w:t>Age group</w:t>
            </w:r>
          </w:p>
        </w:tc>
        <w:tc>
          <w:tcPr>
            <w:tcW w:w="2359" w:type="dxa"/>
          </w:tcPr>
          <w:p w14:paraId="560FA38D" w14:textId="758769ED" w:rsidR="00E236F4" w:rsidRDefault="00E236F4" w:rsidP="00E236F4">
            <w:pPr>
              <w:pStyle w:val="TableText"/>
              <w:rPr>
                <w:lang w:eastAsia="en-NZ"/>
              </w:rPr>
            </w:pPr>
            <w:r w:rsidRPr="00800DEC">
              <w:t>18-44 years</w:t>
            </w:r>
          </w:p>
        </w:tc>
        <w:tc>
          <w:tcPr>
            <w:tcW w:w="1784" w:type="dxa"/>
          </w:tcPr>
          <w:p w14:paraId="310247A4" w14:textId="206F9ED6" w:rsidR="00E236F4" w:rsidRDefault="00E236F4" w:rsidP="00144D7A">
            <w:pPr>
              <w:pStyle w:val="TableText"/>
              <w:jc w:val="center"/>
              <w:rPr>
                <w:lang w:eastAsia="en-NZ"/>
              </w:rPr>
            </w:pPr>
            <w:r w:rsidRPr="00C748FF">
              <w:rPr>
                <w:lang w:eastAsia="en-NZ"/>
              </w:rPr>
              <w:t>9</w:t>
            </w:r>
          </w:p>
        </w:tc>
        <w:tc>
          <w:tcPr>
            <w:tcW w:w="1496" w:type="dxa"/>
          </w:tcPr>
          <w:p w14:paraId="3F833C3D" w14:textId="752D491D" w:rsidR="00E236F4" w:rsidRDefault="00E236F4" w:rsidP="00144D7A">
            <w:pPr>
              <w:pStyle w:val="TableText"/>
              <w:jc w:val="center"/>
              <w:rPr>
                <w:lang w:eastAsia="en-NZ"/>
              </w:rPr>
            </w:pPr>
            <w:r w:rsidRPr="00C748FF">
              <w:rPr>
                <w:lang w:eastAsia="en-NZ"/>
              </w:rPr>
              <w:t>4.4</w:t>
            </w:r>
          </w:p>
        </w:tc>
      </w:tr>
      <w:tr w:rsidR="00E236F4" w14:paraId="2C3E87C5" w14:textId="77777777" w:rsidTr="002130AE">
        <w:tc>
          <w:tcPr>
            <w:tcW w:w="2440" w:type="dxa"/>
            <w:vMerge/>
          </w:tcPr>
          <w:p w14:paraId="2A7EC68B" w14:textId="77777777" w:rsidR="00E236F4" w:rsidRDefault="00E236F4" w:rsidP="00E236F4">
            <w:pPr>
              <w:pStyle w:val="TableText"/>
              <w:rPr>
                <w:lang w:eastAsia="en-NZ"/>
              </w:rPr>
            </w:pPr>
          </w:p>
        </w:tc>
        <w:tc>
          <w:tcPr>
            <w:tcW w:w="2359" w:type="dxa"/>
          </w:tcPr>
          <w:p w14:paraId="5C937E36" w14:textId="66F79405" w:rsidR="00E236F4" w:rsidRDefault="00E236F4" w:rsidP="00E236F4">
            <w:pPr>
              <w:pStyle w:val="TableText"/>
              <w:rPr>
                <w:lang w:eastAsia="en-NZ"/>
              </w:rPr>
            </w:pPr>
            <w:r w:rsidRPr="00800DEC">
              <w:t>45-64 years</w:t>
            </w:r>
          </w:p>
        </w:tc>
        <w:tc>
          <w:tcPr>
            <w:tcW w:w="1784" w:type="dxa"/>
          </w:tcPr>
          <w:p w14:paraId="215DD4E8" w14:textId="655AC16A" w:rsidR="00E236F4" w:rsidRDefault="00E236F4" w:rsidP="00144D7A">
            <w:pPr>
              <w:pStyle w:val="TableText"/>
              <w:jc w:val="center"/>
              <w:rPr>
                <w:lang w:eastAsia="en-NZ"/>
              </w:rPr>
            </w:pPr>
            <w:r w:rsidRPr="00C748FF">
              <w:rPr>
                <w:lang w:eastAsia="en-NZ"/>
              </w:rPr>
              <w:t>44</w:t>
            </w:r>
          </w:p>
        </w:tc>
        <w:tc>
          <w:tcPr>
            <w:tcW w:w="1496" w:type="dxa"/>
          </w:tcPr>
          <w:p w14:paraId="27BD825A" w14:textId="65BADE4A" w:rsidR="00E236F4" w:rsidRDefault="00E236F4" w:rsidP="00144D7A">
            <w:pPr>
              <w:pStyle w:val="TableText"/>
              <w:jc w:val="center"/>
              <w:rPr>
                <w:lang w:eastAsia="en-NZ"/>
              </w:rPr>
            </w:pPr>
            <w:r w:rsidRPr="00C748FF">
              <w:rPr>
                <w:lang w:eastAsia="en-NZ"/>
              </w:rPr>
              <w:t>21.4</w:t>
            </w:r>
          </w:p>
        </w:tc>
      </w:tr>
      <w:tr w:rsidR="00E236F4" w14:paraId="5156F6B1" w14:textId="77777777" w:rsidTr="002130AE">
        <w:tc>
          <w:tcPr>
            <w:tcW w:w="2440" w:type="dxa"/>
            <w:vMerge/>
          </w:tcPr>
          <w:p w14:paraId="52AA7813" w14:textId="77777777" w:rsidR="00E236F4" w:rsidRDefault="00E236F4" w:rsidP="00E236F4">
            <w:pPr>
              <w:pStyle w:val="TableText"/>
              <w:rPr>
                <w:lang w:eastAsia="en-NZ"/>
              </w:rPr>
            </w:pPr>
          </w:p>
        </w:tc>
        <w:tc>
          <w:tcPr>
            <w:tcW w:w="2359" w:type="dxa"/>
          </w:tcPr>
          <w:p w14:paraId="70CD589A" w14:textId="42F66573" w:rsidR="00E236F4" w:rsidRDefault="00E236F4" w:rsidP="00E236F4">
            <w:pPr>
              <w:pStyle w:val="TableText"/>
              <w:rPr>
                <w:lang w:eastAsia="en-NZ"/>
              </w:rPr>
            </w:pPr>
            <w:r w:rsidRPr="00800DEC">
              <w:t>65-84 years</w:t>
            </w:r>
          </w:p>
        </w:tc>
        <w:tc>
          <w:tcPr>
            <w:tcW w:w="1784" w:type="dxa"/>
          </w:tcPr>
          <w:p w14:paraId="10CCF4C6" w14:textId="4CEEB478" w:rsidR="00E236F4" w:rsidRDefault="00E236F4" w:rsidP="00144D7A">
            <w:pPr>
              <w:pStyle w:val="TableText"/>
              <w:jc w:val="center"/>
              <w:rPr>
                <w:lang w:eastAsia="en-NZ"/>
              </w:rPr>
            </w:pPr>
            <w:r w:rsidRPr="00C748FF">
              <w:rPr>
                <w:lang w:eastAsia="en-NZ"/>
              </w:rPr>
              <w:t>110</w:t>
            </w:r>
          </w:p>
        </w:tc>
        <w:tc>
          <w:tcPr>
            <w:tcW w:w="1496" w:type="dxa"/>
          </w:tcPr>
          <w:p w14:paraId="21D707E7" w14:textId="7C8E3588" w:rsidR="00E236F4" w:rsidRDefault="00E236F4" w:rsidP="00144D7A">
            <w:pPr>
              <w:pStyle w:val="TableText"/>
              <w:jc w:val="center"/>
              <w:rPr>
                <w:lang w:eastAsia="en-NZ"/>
              </w:rPr>
            </w:pPr>
            <w:r w:rsidRPr="00C748FF">
              <w:rPr>
                <w:lang w:eastAsia="en-NZ"/>
              </w:rPr>
              <w:t>53.4</w:t>
            </w:r>
          </w:p>
        </w:tc>
      </w:tr>
      <w:tr w:rsidR="00E236F4" w14:paraId="28D1D91A" w14:textId="77777777" w:rsidTr="002130AE">
        <w:tc>
          <w:tcPr>
            <w:tcW w:w="2440" w:type="dxa"/>
            <w:vMerge/>
          </w:tcPr>
          <w:p w14:paraId="7848EC53" w14:textId="77777777" w:rsidR="00E236F4" w:rsidRDefault="00E236F4" w:rsidP="00E236F4">
            <w:pPr>
              <w:pStyle w:val="TableText"/>
              <w:rPr>
                <w:lang w:eastAsia="en-NZ"/>
              </w:rPr>
            </w:pPr>
          </w:p>
        </w:tc>
        <w:tc>
          <w:tcPr>
            <w:tcW w:w="2359" w:type="dxa"/>
          </w:tcPr>
          <w:p w14:paraId="209F3520" w14:textId="019EBA42" w:rsidR="00E236F4" w:rsidRDefault="00E236F4" w:rsidP="00E236F4">
            <w:pPr>
              <w:pStyle w:val="TableText"/>
              <w:rPr>
                <w:lang w:eastAsia="en-NZ"/>
              </w:rPr>
            </w:pPr>
            <w:r w:rsidRPr="00800DEC">
              <w:t>85+ years</w:t>
            </w:r>
          </w:p>
        </w:tc>
        <w:tc>
          <w:tcPr>
            <w:tcW w:w="1784" w:type="dxa"/>
          </w:tcPr>
          <w:p w14:paraId="16C5C19A" w14:textId="76A8AFB8" w:rsidR="00E236F4" w:rsidRDefault="00E236F4" w:rsidP="00144D7A">
            <w:pPr>
              <w:pStyle w:val="TableText"/>
              <w:jc w:val="center"/>
              <w:rPr>
                <w:lang w:eastAsia="en-NZ"/>
              </w:rPr>
            </w:pPr>
            <w:r w:rsidRPr="00C748FF">
              <w:rPr>
                <w:lang w:eastAsia="en-NZ"/>
              </w:rPr>
              <w:t>43</w:t>
            </w:r>
          </w:p>
        </w:tc>
        <w:tc>
          <w:tcPr>
            <w:tcW w:w="1496" w:type="dxa"/>
          </w:tcPr>
          <w:p w14:paraId="3BA0F488" w14:textId="406A15DD" w:rsidR="00E236F4" w:rsidRDefault="00E236F4" w:rsidP="00144D7A">
            <w:pPr>
              <w:pStyle w:val="TableText"/>
              <w:jc w:val="center"/>
              <w:rPr>
                <w:lang w:eastAsia="en-NZ"/>
              </w:rPr>
            </w:pPr>
            <w:r w:rsidRPr="00C748FF">
              <w:rPr>
                <w:lang w:eastAsia="en-NZ"/>
              </w:rPr>
              <w:t>20.9</w:t>
            </w:r>
          </w:p>
        </w:tc>
      </w:tr>
      <w:tr w:rsidR="00E236F4" w14:paraId="54B640A0" w14:textId="77777777" w:rsidTr="002130AE">
        <w:tc>
          <w:tcPr>
            <w:tcW w:w="2440" w:type="dxa"/>
          </w:tcPr>
          <w:p w14:paraId="009573DC" w14:textId="0F94CD91" w:rsidR="00E236F4" w:rsidRDefault="00E236F4" w:rsidP="00E236F4">
            <w:pPr>
              <w:pStyle w:val="TableText"/>
              <w:rPr>
                <w:lang w:eastAsia="en-NZ"/>
              </w:rPr>
            </w:pPr>
            <w:r w:rsidRPr="00C748FF">
              <w:rPr>
                <w:lang w:eastAsia="en-NZ"/>
              </w:rPr>
              <w:t>Diagnosis category</w:t>
            </w:r>
          </w:p>
        </w:tc>
        <w:tc>
          <w:tcPr>
            <w:tcW w:w="2359" w:type="dxa"/>
          </w:tcPr>
          <w:p w14:paraId="008A73D3" w14:textId="415C2269" w:rsidR="00E236F4" w:rsidRDefault="00E236F4" w:rsidP="00E236F4">
            <w:pPr>
              <w:pStyle w:val="TableText"/>
              <w:rPr>
                <w:lang w:eastAsia="en-NZ"/>
              </w:rPr>
            </w:pPr>
            <w:r w:rsidRPr="00800DEC">
              <w:t>Cancer</w:t>
            </w:r>
          </w:p>
        </w:tc>
        <w:tc>
          <w:tcPr>
            <w:tcW w:w="1784" w:type="dxa"/>
          </w:tcPr>
          <w:p w14:paraId="5A8A2245" w14:textId="40D5880A" w:rsidR="00E236F4" w:rsidRDefault="00E236F4" w:rsidP="00144D7A">
            <w:pPr>
              <w:pStyle w:val="TableText"/>
              <w:jc w:val="center"/>
              <w:rPr>
                <w:lang w:eastAsia="en-NZ"/>
              </w:rPr>
            </w:pPr>
            <w:r w:rsidRPr="00C748FF">
              <w:rPr>
                <w:lang w:eastAsia="en-NZ"/>
              </w:rPr>
              <w:t>133</w:t>
            </w:r>
          </w:p>
        </w:tc>
        <w:tc>
          <w:tcPr>
            <w:tcW w:w="1496" w:type="dxa"/>
          </w:tcPr>
          <w:p w14:paraId="00519463" w14:textId="5AD0CFC8" w:rsidR="00E236F4" w:rsidRDefault="00E236F4" w:rsidP="00144D7A">
            <w:pPr>
              <w:pStyle w:val="TableText"/>
              <w:jc w:val="center"/>
              <w:rPr>
                <w:lang w:eastAsia="en-NZ"/>
              </w:rPr>
            </w:pPr>
            <w:r w:rsidRPr="00C748FF">
              <w:rPr>
                <w:lang w:eastAsia="en-NZ"/>
              </w:rPr>
              <w:t>64.6</w:t>
            </w:r>
          </w:p>
        </w:tc>
      </w:tr>
      <w:tr w:rsidR="00E236F4" w14:paraId="5FF277EA" w14:textId="77777777" w:rsidTr="002130AE">
        <w:tc>
          <w:tcPr>
            <w:tcW w:w="2440" w:type="dxa"/>
          </w:tcPr>
          <w:p w14:paraId="762A9167" w14:textId="77777777" w:rsidR="00E236F4" w:rsidRDefault="00E236F4" w:rsidP="00E236F4">
            <w:pPr>
              <w:pStyle w:val="TableText"/>
              <w:rPr>
                <w:lang w:eastAsia="en-NZ"/>
              </w:rPr>
            </w:pPr>
          </w:p>
        </w:tc>
        <w:tc>
          <w:tcPr>
            <w:tcW w:w="2359" w:type="dxa"/>
          </w:tcPr>
          <w:p w14:paraId="5A1914FA" w14:textId="06A0E4F9" w:rsidR="00E236F4" w:rsidRDefault="00E236F4" w:rsidP="00E236F4">
            <w:pPr>
              <w:pStyle w:val="TableText"/>
              <w:rPr>
                <w:lang w:eastAsia="en-NZ"/>
              </w:rPr>
            </w:pPr>
            <w:r w:rsidRPr="00800DEC">
              <w:t>Neurological condition</w:t>
            </w:r>
          </w:p>
        </w:tc>
        <w:tc>
          <w:tcPr>
            <w:tcW w:w="1784" w:type="dxa"/>
          </w:tcPr>
          <w:p w14:paraId="0F469EB4" w14:textId="17C017EE" w:rsidR="00E236F4" w:rsidRDefault="00E236F4" w:rsidP="00144D7A">
            <w:pPr>
              <w:pStyle w:val="TableText"/>
              <w:jc w:val="center"/>
              <w:rPr>
                <w:lang w:eastAsia="en-NZ"/>
              </w:rPr>
            </w:pPr>
            <w:r w:rsidRPr="00C748FF">
              <w:rPr>
                <w:lang w:eastAsia="en-NZ"/>
              </w:rPr>
              <w:t>21</w:t>
            </w:r>
          </w:p>
        </w:tc>
        <w:tc>
          <w:tcPr>
            <w:tcW w:w="1496" w:type="dxa"/>
          </w:tcPr>
          <w:p w14:paraId="234317BD" w14:textId="3F62CAFF" w:rsidR="00E236F4" w:rsidRDefault="00E236F4" w:rsidP="00144D7A">
            <w:pPr>
              <w:pStyle w:val="TableText"/>
              <w:jc w:val="center"/>
              <w:rPr>
                <w:lang w:eastAsia="en-NZ"/>
              </w:rPr>
            </w:pPr>
            <w:r w:rsidRPr="00C748FF">
              <w:rPr>
                <w:lang w:eastAsia="en-NZ"/>
              </w:rPr>
              <w:t>10.2</w:t>
            </w:r>
          </w:p>
        </w:tc>
      </w:tr>
      <w:tr w:rsidR="00E236F4" w14:paraId="613C5DCB" w14:textId="77777777" w:rsidTr="002130AE">
        <w:tc>
          <w:tcPr>
            <w:tcW w:w="2440" w:type="dxa"/>
          </w:tcPr>
          <w:p w14:paraId="3AF716EC" w14:textId="77777777" w:rsidR="00E236F4" w:rsidRDefault="00E236F4" w:rsidP="00E236F4">
            <w:pPr>
              <w:pStyle w:val="TableText"/>
              <w:rPr>
                <w:lang w:eastAsia="en-NZ"/>
              </w:rPr>
            </w:pPr>
          </w:p>
        </w:tc>
        <w:tc>
          <w:tcPr>
            <w:tcW w:w="2359" w:type="dxa"/>
          </w:tcPr>
          <w:p w14:paraId="34372338" w14:textId="657CE6B1" w:rsidR="00E236F4" w:rsidRDefault="00E236F4" w:rsidP="00E236F4">
            <w:pPr>
              <w:pStyle w:val="TableText"/>
              <w:rPr>
                <w:lang w:eastAsia="en-NZ"/>
              </w:rPr>
            </w:pPr>
            <w:r w:rsidRPr="00800DEC">
              <w:t>Other diagnosis</w:t>
            </w:r>
          </w:p>
        </w:tc>
        <w:tc>
          <w:tcPr>
            <w:tcW w:w="1784" w:type="dxa"/>
          </w:tcPr>
          <w:p w14:paraId="424ED9C2" w14:textId="4C1261B1" w:rsidR="00E236F4" w:rsidRDefault="00E236F4" w:rsidP="00144D7A">
            <w:pPr>
              <w:pStyle w:val="TableText"/>
              <w:jc w:val="center"/>
              <w:rPr>
                <w:lang w:eastAsia="en-NZ"/>
              </w:rPr>
            </w:pPr>
            <w:r w:rsidRPr="00C748FF">
              <w:rPr>
                <w:lang w:eastAsia="en-NZ"/>
              </w:rPr>
              <w:t>14</w:t>
            </w:r>
          </w:p>
        </w:tc>
        <w:tc>
          <w:tcPr>
            <w:tcW w:w="1496" w:type="dxa"/>
          </w:tcPr>
          <w:p w14:paraId="6604CD14" w14:textId="783AA0F5" w:rsidR="00E236F4" w:rsidRDefault="00E236F4" w:rsidP="00144D7A">
            <w:pPr>
              <w:pStyle w:val="TableText"/>
              <w:jc w:val="center"/>
              <w:rPr>
                <w:lang w:eastAsia="en-NZ"/>
              </w:rPr>
            </w:pPr>
            <w:r w:rsidRPr="00C748FF">
              <w:rPr>
                <w:lang w:eastAsia="en-NZ"/>
              </w:rPr>
              <w:t>6.8</w:t>
            </w:r>
          </w:p>
        </w:tc>
      </w:tr>
      <w:tr w:rsidR="00E236F4" w14:paraId="5BD60F1F" w14:textId="77777777" w:rsidTr="002130AE">
        <w:tc>
          <w:tcPr>
            <w:tcW w:w="2440" w:type="dxa"/>
          </w:tcPr>
          <w:p w14:paraId="09A0B15F" w14:textId="77777777" w:rsidR="00E236F4" w:rsidRDefault="00E236F4" w:rsidP="00E236F4">
            <w:pPr>
              <w:pStyle w:val="TableText"/>
              <w:rPr>
                <w:lang w:eastAsia="en-NZ"/>
              </w:rPr>
            </w:pPr>
          </w:p>
        </w:tc>
        <w:tc>
          <w:tcPr>
            <w:tcW w:w="2359" w:type="dxa"/>
          </w:tcPr>
          <w:p w14:paraId="74C1351E" w14:textId="03AB0406" w:rsidR="00E236F4" w:rsidRDefault="00E236F4" w:rsidP="00E236F4">
            <w:pPr>
              <w:pStyle w:val="TableText"/>
              <w:rPr>
                <w:lang w:eastAsia="en-NZ"/>
              </w:rPr>
            </w:pPr>
            <w:r w:rsidRPr="00800DEC">
              <w:t>Diagnosis not known</w:t>
            </w:r>
          </w:p>
        </w:tc>
        <w:tc>
          <w:tcPr>
            <w:tcW w:w="1784" w:type="dxa"/>
          </w:tcPr>
          <w:p w14:paraId="331FB52A" w14:textId="7C3DD927" w:rsidR="00E236F4" w:rsidRDefault="00E236F4" w:rsidP="00144D7A">
            <w:pPr>
              <w:pStyle w:val="TableText"/>
              <w:jc w:val="center"/>
              <w:rPr>
                <w:lang w:eastAsia="en-NZ"/>
              </w:rPr>
            </w:pPr>
            <w:r w:rsidRPr="00C748FF">
              <w:rPr>
                <w:lang w:eastAsia="en-NZ"/>
              </w:rPr>
              <w:t>38</w:t>
            </w:r>
          </w:p>
        </w:tc>
        <w:tc>
          <w:tcPr>
            <w:tcW w:w="1496" w:type="dxa"/>
          </w:tcPr>
          <w:p w14:paraId="6275CA12" w14:textId="6BC09AA3" w:rsidR="00E236F4" w:rsidRDefault="00E236F4" w:rsidP="00144D7A">
            <w:pPr>
              <w:pStyle w:val="TableText"/>
              <w:jc w:val="center"/>
              <w:rPr>
                <w:lang w:eastAsia="en-NZ"/>
              </w:rPr>
            </w:pPr>
            <w:r w:rsidRPr="00C748FF">
              <w:rPr>
                <w:lang w:eastAsia="en-NZ"/>
              </w:rPr>
              <w:t>18.4</w:t>
            </w:r>
          </w:p>
        </w:tc>
      </w:tr>
      <w:tr w:rsidR="00E236F4" w14:paraId="3C92E7E2" w14:textId="77777777" w:rsidTr="002130AE">
        <w:tc>
          <w:tcPr>
            <w:tcW w:w="2440" w:type="dxa"/>
          </w:tcPr>
          <w:p w14:paraId="58E7E162" w14:textId="0E1382DC" w:rsidR="00E236F4" w:rsidRDefault="00E236F4" w:rsidP="00E236F4">
            <w:pPr>
              <w:pStyle w:val="TableText"/>
              <w:rPr>
                <w:lang w:eastAsia="en-NZ"/>
              </w:rPr>
            </w:pPr>
            <w:r w:rsidRPr="00C748FF">
              <w:rPr>
                <w:lang w:eastAsia="en-NZ"/>
              </w:rPr>
              <w:t>Receiving palliative care at time of application?</w:t>
            </w:r>
          </w:p>
        </w:tc>
        <w:tc>
          <w:tcPr>
            <w:tcW w:w="2359" w:type="dxa"/>
          </w:tcPr>
          <w:p w14:paraId="52BE4DDC" w14:textId="52C606FC" w:rsidR="00E236F4" w:rsidRDefault="00E236F4" w:rsidP="00E236F4">
            <w:pPr>
              <w:pStyle w:val="TableText"/>
              <w:rPr>
                <w:lang w:eastAsia="en-NZ"/>
              </w:rPr>
            </w:pPr>
            <w:r w:rsidRPr="00800DEC">
              <w:t>Yes</w:t>
            </w:r>
          </w:p>
        </w:tc>
        <w:tc>
          <w:tcPr>
            <w:tcW w:w="1784" w:type="dxa"/>
          </w:tcPr>
          <w:p w14:paraId="69BDC1EB" w14:textId="56F94797" w:rsidR="00E236F4" w:rsidRDefault="00E236F4" w:rsidP="00144D7A">
            <w:pPr>
              <w:pStyle w:val="TableText"/>
              <w:jc w:val="center"/>
              <w:rPr>
                <w:lang w:eastAsia="en-NZ"/>
              </w:rPr>
            </w:pPr>
            <w:r w:rsidRPr="00C748FF">
              <w:rPr>
                <w:lang w:eastAsia="en-NZ"/>
              </w:rPr>
              <w:t>164</w:t>
            </w:r>
          </w:p>
        </w:tc>
        <w:tc>
          <w:tcPr>
            <w:tcW w:w="1496" w:type="dxa"/>
          </w:tcPr>
          <w:p w14:paraId="2FC53BC6" w14:textId="343C46BF" w:rsidR="00E236F4" w:rsidRDefault="00E236F4" w:rsidP="00144D7A">
            <w:pPr>
              <w:pStyle w:val="TableText"/>
              <w:jc w:val="center"/>
              <w:rPr>
                <w:lang w:eastAsia="en-NZ"/>
              </w:rPr>
            </w:pPr>
            <w:r w:rsidRPr="00C748FF">
              <w:rPr>
                <w:lang w:eastAsia="en-NZ"/>
              </w:rPr>
              <w:t>79.6</w:t>
            </w:r>
          </w:p>
        </w:tc>
      </w:tr>
      <w:tr w:rsidR="00E236F4" w14:paraId="7F67D4AF" w14:textId="77777777" w:rsidTr="002130AE">
        <w:tc>
          <w:tcPr>
            <w:tcW w:w="2440" w:type="dxa"/>
          </w:tcPr>
          <w:p w14:paraId="5267918B" w14:textId="77777777" w:rsidR="00E236F4" w:rsidRDefault="00E236F4" w:rsidP="00E236F4">
            <w:pPr>
              <w:pStyle w:val="TableText"/>
              <w:rPr>
                <w:lang w:eastAsia="en-NZ"/>
              </w:rPr>
            </w:pPr>
          </w:p>
        </w:tc>
        <w:tc>
          <w:tcPr>
            <w:tcW w:w="2359" w:type="dxa"/>
          </w:tcPr>
          <w:p w14:paraId="6A475B7C" w14:textId="1206E337" w:rsidR="00E236F4" w:rsidRDefault="00E236F4" w:rsidP="00E236F4">
            <w:pPr>
              <w:pStyle w:val="TableText"/>
              <w:rPr>
                <w:lang w:eastAsia="en-NZ"/>
              </w:rPr>
            </w:pPr>
            <w:r w:rsidRPr="00800DEC">
              <w:t>No</w:t>
            </w:r>
          </w:p>
        </w:tc>
        <w:tc>
          <w:tcPr>
            <w:tcW w:w="1784" w:type="dxa"/>
          </w:tcPr>
          <w:p w14:paraId="4E8D83A8" w14:textId="0772CD87" w:rsidR="00E236F4" w:rsidRDefault="00E236F4" w:rsidP="00144D7A">
            <w:pPr>
              <w:pStyle w:val="TableText"/>
              <w:jc w:val="center"/>
              <w:rPr>
                <w:lang w:eastAsia="en-NZ"/>
              </w:rPr>
            </w:pPr>
            <w:r w:rsidRPr="00C748FF">
              <w:rPr>
                <w:lang w:eastAsia="en-NZ"/>
              </w:rPr>
              <w:t>39</w:t>
            </w:r>
          </w:p>
        </w:tc>
        <w:tc>
          <w:tcPr>
            <w:tcW w:w="1496" w:type="dxa"/>
          </w:tcPr>
          <w:p w14:paraId="2600952E" w14:textId="5A437A1A" w:rsidR="00E236F4" w:rsidRDefault="00E236F4" w:rsidP="00144D7A">
            <w:pPr>
              <w:pStyle w:val="TableText"/>
              <w:jc w:val="center"/>
              <w:rPr>
                <w:lang w:eastAsia="en-NZ"/>
              </w:rPr>
            </w:pPr>
            <w:r w:rsidRPr="00C748FF">
              <w:rPr>
                <w:lang w:eastAsia="en-NZ"/>
              </w:rPr>
              <w:t>18.9</w:t>
            </w:r>
          </w:p>
        </w:tc>
      </w:tr>
      <w:tr w:rsidR="00E236F4" w14:paraId="238DC149" w14:textId="77777777" w:rsidTr="002130AE">
        <w:tc>
          <w:tcPr>
            <w:tcW w:w="2440" w:type="dxa"/>
          </w:tcPr>
          <w:p w14:paraId="7F86C56D" w14:textId="77777777" w:rsidR="00E236F4" w:rsidRDefault="00E236F4" w:rsidP="00E236F4">
            <w:pPr>
              <w:pStyle w:val="TableText"/>
              <w:rPr>
                <w:lang w:eastAsia="en-NZ"/>
              </w:rPr>
            </w:pPr>
          </w:p>
        </w:tc>
        <w:tc>
          <w:tcPr>
            <w:tcW w:w="2359" w:type="dxa"/>
          </w:tcPr>
          <w:p w14:paraId="7050ED64" w14:textId="2D477D83" w:rsidR="00E236F4" w:rsidRDefault="00E236F4" w:rsidP="00E236F4">
            <w:pPr>
              <w:pStyle w:val="TableText"/>
              <w:rPr>
                <w:lang w:eastAsia="en-NZ"/>
              </w:rPr>
            </w:pPr>
            <w:r w:rsidRPr="00800DEC">
              <w:t>Not stated</w:t>
            </w:r>
          </w:p>
        </w:tc>
        <w:tc>
          <w:tcPr>
            <w:tcW w:w="1784" w:type="dxa"/>
          </w:tcPr>
          <w:p w14:paraId="6BB00CD6" w14:textId="69B00AEA" w:rsidR="00E236F4" w:rsidRDefault="00E236F4" w:rsidP="00144D7A">
            <w:pPr>
              <w:pStyle w:val="TableText"/>
              <w:jc w:val="center"/>
              <w:rPr>
                <w:lang w:eastAsia="en-NZ"/>
              </w:rPr>
            </w:pPr>
            <w:r w:rsidRPr="00C748FF">
              <w:rPr>
                <w:lang w:eastAsia="en-NZ"/>
              </w:rPr>
              <w:t>3</w:t>
            </w:r>
          </w:p>
        </w:tc>
        <w:tc>
          <w:tcPr>
            <w:tcW w:w="1496" w:type="dxa"/>
          </w:tcPr>
          <w:p w14:paraId="5BE96327" w14:textId="219F9A30" w:rsidR="00E236F4" w:rsidRDefault="00E236F4" w:rsidP="00144D7A">
            <w:pPr>
              <w:pStyle w:val="TableText"/>
              <w:jc w:val="center"/>
              <w:rPr>
                <w:lang w:eastAsia="en-NZ"/>
              </w:rPr>
            </w:pPr>
            <w:r w:rsidRPr="00C748FF">
              <w:rPr>
                <w:lang w:eastAsia="en-NZ"/>
              </w:rPr>
              <w:t>1.5</w:t>
            </w:r>
          </w:p>
        </w:tc>
      </w:tr>
      <w:tr w:rsidR="00E236F4" w:rsidRPr="00144D7A" w14:paraId="3540727E" w14:textId="77777777" w:rsidTr="002130AE">
        <w:tc>
          <w:tcPr>
            <w:tcW w:w="2440" w:type="dxa"/>
          </w:tcPr>
          <w:p w14:paraId="4E5F9F98" w14:textId="4F493DB8" w:rsidR="00E236F4" w:rsidRPr="00144D7A" w:rsidRDefault="00E236F4" w:rsidP="00E236F4">
            <w:pPr>
              <w:pStyle w:val="TableText"/>
              <w:rPr>
                <w:b/>
                <w:bCs/>
                <w:lang w:eastAsia="en-NZ"/>
              </w:rPr>
            </w:pPr>
            <w:r w:rsidRPr="00144D7A">
              <w:rPr>
                <w:b/>
                <w:bCs/>
                <w:lang w:eastAsia="en-NZ"/>
              </w:rPr>
              <w:t>Total</w:t>
            </w:r>
          </w:p>
        </w:tc>
        <w:tc>
          <w:tcPr>
            <w:tcW w:w="2359" w:type="dxa"/>
          </w:tcPr>
          <w:p w14:paraId="457A79B6" w14:textId="47D19742" w:rsidR="00E236F4" w:rsidRPr="00144D7A" w:rsidRDefault="00E236F4" w:rsidP="00E236F4">
            <w:pPr>
              <w:pStyle w:val="TableText"/>
              <w:rPr>
                <w:b/>
                <w:bCs/>
                <w:lang w:eastAsia="en-NZ"/>
              </w:rPr>
            </w:pPr>
          </w:p>
        </w:tc>
        <w:tc>
          <w:tcPr>
            <w:tcW w:w="1784" w:type="dxa"/>
          </w:tcPr>
          <w:p w14:paraId="069C1FC0" w14:textId="02EADB7D" w:rsidR="00E236F4" w:rsidRPr="00144D7A" w:rsidRDefault="00E236F4" w:rsidP="00144D7A">
            <w:pPr>
              <w:pStyle w:val="TableText"/>
              <w:jc w:val="center"/>
              <w:rPr>
                <w:b/>
                <w:bCs/>
                <w:lang w:eastAsia="en-NZ"/>
              </w:rPr>
            </w:pPr>
            <w:r w:rsidRPr="00144D7A">
              <w:rPr>
                <w:b/>
                <w:bCs/>
                <w:lang w:eastAsia="en-NZ"/>
              </w:rPr>
              <w:t>206</w:t>
            </w:r>
          </w:p>
        </w:tc>
        <w:tc>
          <w:tcPr>
            <w:tcW w:w="1496" w:type="dxa"/>
          </w:tcPr>
          <w:p w14:paraId="2E7ABA0E" w14:textId="5452F381" w:rsidR="00E236F4" w:rsidRPr="00144D7A" w:rsidRDefault="00E236F4" w:rsidP="00144D7A">
            <w:pPr>
              <w:pStyle w:val="TableText"/>
              <w:jc w:val="center"/>
              <w:rPr>
                <w:b/>
                <w:bCs/>
                <w:lang w:eastAsia="en-NZ"/>
              </w:rPr>
            </w:pPr>
          </w:p>
        </w:tc>
      </w:tr>
    </w:tbl>
    <w:p w14:paraId="46EAA585" w14:textId="3B4E6C9E" w:rsidR="00E236F4" w:rsidRDefault="00E236F4" w:rsidP="00144D7A">
      <w:pPr>
        <w:rPr>
          <w:lang w:eastAsia="en-NZ"/>
        </w:rPr>
      </w:pPr>
      <w:r w:rsidRPr="44C025A4">
        <w:rPr>
          <w:lang w:eastAsia="en-NZ"/>
        </w:rPr>
        <w:t xml:space="preserve">Notes: </w:t>
      </w:r>
    </w:p>
    <w:p w14:paraId="32DCCA77" w14:textId="5BB67126" w:rsidR="00E236F4" w:rsidRDefault="00E236F4" w:rsidP="00144D7A">
      <w:pPr>
        <w:rPr>
          <w:lang w:eastAsia="en-NZ"/>
        </w:rPr>
      </w:pPr>
      <w:r w:rsidRPr="4A9A4F66">
        <w:rPr>
          <w:lang w:eastAsia="en-NZ"/>
        </w:rPr>
        <w:t>‘Diagnosis not known’ includes people that applied but ha</w:t>
      </w:r>
      <w:r>
        <w:rPr>
          <w:lang w:eastAsia="en-NZ"/>
        </w:rPr>
        <w:t>d</w:t>
      </w:r>
      <w:r w:rsidRPr="4A9A4F66">
        <w:rPr>
          <w:lang w:eastAsia="en-NZ"/>
        </w:rPr>
        <w:t xml:space="preserve"> not yet had their first assessment with their </w:t>
      </w:r>
      <w:r>
        <w:rPr>
          <w:lang w:eastAsia="en-NZ"/>
        </w:rPr>
        <w:t>AMP</w:t>
      </w:r>
      <w:r w:rsidRPr="4A9A4F66">
        <w:rPr>
          <w:lang w:eastAsia="en-NZ"/>
        </w:rPr>
        <w:t xml:space="preserve"> as well as those that withdrew, died before this assessment was completed, or were ineligible due to not having a terminal illness. </w:t>
      </w:r>
    </w:p>
    <w:p w14:paraId="5530BE78" w14:textId="77777777" w:rsidR="00144D7A" w:rsidRPr="00B5191C" w:rsidRDefault="00144D7A" w:rsidP="00144D7A">
      <w:pPr>
        <w:rPr>
          <w:lang w:eastAsia="en-NZ"/>
        </w:rPr>
      </w:pPr>
    </w:p>
    <w:p w14:paraId="5B500754" w14:textId="77777777" w:rsidR="00E236F4" w:rsidRPr="006B1006" w:rsidRDefault="00607571" w:rsidP="00144D7A">
      <w:pPr>
        <w:rPr>
          <w:rFonts w:ascii="Arial" w:eastAsia="Arial" w:hAnsi="Arial" w:cs="Arial"/>
          <w:color w:val="202124"/>
          <w:sz w:val="24"/>
          <w:szCs w:val="24"/>
        </w:rPr>
      </w:pPr>
      <w:hyperlink r:id="rId33" w:history="1">
        <w:r w:rsidR="00E236F4" w:rsidRPr="537D20A4">
          <w:rPr>
            <w:rStyle w:val="Hyperlink"/>
            <w:rFonts w:cs="Segoe UI"/>
            <w:lang w:eastAsia="en-NZ"/>
          </w:rPr>
          <w:t>Prioritised ethnicity</w:t>
        </w:r>
      </w:hyperlink>
      <w:r w:rsidR="00E236F4" w:rsidRPr="537D20A4">
        <w:rPr>
          <w:lang w:eastAsia="en-NZ"/>
        </w:rPr>
        <w:t xml:space="preserve"> has been used. This means that people with more than one ethnicity have been allocated to a single ethnic group in an order of priority.</w:t>
      </w:r>
    </w:p>
    <w:p w14:paraId="28360206" w14:textId="77777777" w:rsidR="00E236F4" w:rsidRPr="00E236F4" w:rsidRDefault="00E236F4" w:rsidP="00E236F4">
      <w:pPr>
        <w:pStyle w:val="Heading2"/>
        <w:numPr>
          <w:ilvl w:val="0"/>
          <w:numId w:val="12"/>
        </w:numPr>
        <w:ind w:hanging="720"/>
      </w:pPr>
      <w:bookmarkStart w:id="71" w:name="_Toc103606333"/>
      <w:bookmarkStart w:id="72" w:name="_Toc104460683"/>
      <w:bookmarkStart w:id="73" w:name="_Toc106611878"/>
      <w:bookmarkStart w:id="74" w:name="_Toc103085571"/>
      <w:r w:rsidRPr="00E236F4">
        <w:t>Assisted deaths</w:t>
      </w:r>
      <w:bookmarkEnd w:id="71"/>
      <w:bookmarkEnd w:id="72"/>
      <w:bookmarkEnd w:id="73"/>
      <w:r w:rsidRPr="00E236F4">
        <w:t xml:space="preserve"> </w:t>
      </w:r>
      <w:bookmarkEnd w:id="74"/>
    </w:p>
    <w:p w14:paraId="3AF87839" w14:textId="78514A53" w:rsidR="00E236F4" w:rsidRDefault="00E236F4" w:rsidP="00144D7A">
      <w:pPr>
        <w:rPr>
          <w:lang w:eastAsia="en-NZ"/>
        </w:rPr>
      </w:pPr>
      <w:r>
        <w:rPr>
          <w:lang w:eastAsia="en-NZ"/>
        </w:rPr>
        <w:t xml:space="preserve">Between the Act’s commencement and </w:t>
      </w:r>
      <w:r w:rsidRPr="00954E41">
        <w:rPr>
          <w:lang w:eastAsia="en-NZ"/>
        </w:rPr>
        <w:t>31 March</w:t>
      </w:r>
      <w:r>
        <w:rPr>
          <w:lang w:eastAsia="en-NZ"/>
        </w:rPr>
        <w:t xml:space="preserve"> 2022</w:t>
      </w:r>
      <w:r w:rsidRPr="00B5191C">
        <w:rPr>
          <w:lang w:eastAsia="en-NZ"/>
        </w:rPr>
        <w:t xml:space="preserve">, </w:t>
      </w:r>
      <w:r w:rsidRPr="00954E41">
        <w:rPr>
          <w:lang w:eastAsia="en-NZ"/>
        </w:rPr>
        <w:t>66 people had an assisted death</w:t>
      </w:r>
      <w:r>
        <w:rPr>
          <w:lang w:eastAsia="en-NZ"/>
        </w:rPr>
        <w:t>.</w:t>
      </w:r>
      <w:r w:rsidRPr="00B5191C">
        <w:rPr>
          <w:lang w:eastAsia="en-NZ"/>
        </w:rPr>
        <w:t xml:space="preserve"> </w:t>
      </w:r>
    </w:p>
    <w:p w14:paraId="619D4FE1" w14:textId="77777777" w:rsidR="00E236F4" w:rsidRDefault="00E236F4" w:rsidP="00144D7A">
      <w:pPr>
        <w:rPr>
          <w:lang w:eastAsia="en-NZ"/>
        </w:rPr>
      </w:pPr>
    </w:p>
    <w:p w14:paraId="6928E697" w14:textId="6B0E6325" w:rsidR="00E236F4" w:rsidRDefault="00E236F4" w:rsidP="00144D7A">
      <w:pPr>
        <w:rPr>
          <w:lang w:eastAsia="en-NZ"/>
        </w:rPr>
      </w:pPr>
      <w:r w:rsidRPr="00B5191C">
        <w:rPr>
          <w:lang w:eastAsia="en-NZ"/>
        </w:rPr>
        <w:t xml:space="preserve">The </w:t>
      </w:r>
      <w:r>
        <w:rPr>
          <w:lang w:eastAsia="en-NZ"/>
        </w:rPr>
        <w:t>Ministry is aware</w:t>
      </w:r>
      <w:r w:rsidRPr="00B5191C">
        <w:rPr>
          <w:lang w:eastAsia="en-NZ"/>
        </w:rPr>
        <w:t xml:space="preserve"> that people opting for an assisted death have made this experience personal to them and their </w:t>
      </w:r>
      <w:proofErr w:type="spellStart"/>
      <w:r w:rsidRPr="00B5191C">
        <w:rPr>
          <w:lang w:eastAsia="en-NZ"/>
        </w:rPr>
        <w:t>whānau</w:t>
      </w:r>
      <w:proofErr w:type="spellEnd"/>
      <w:r w:rsidRPr="00B5191C">
        <w:rPr>
          <w:lang w:eastAsia="en-NZ"/>
        </w:rPr>
        <w:t>.</w:t>
      </w:r>
      <w:r>
        <w:rPr>
          <w:lang w:eastAsia="en-NZ"/>
        </w:rPr>
        <w:t xml:space="preserve"> </w:t>
      </w:r>
      <w:r w:rsidRPr="00B5191C">
        <w:rPr>
          <w:lang w:eastAsia="en-NZ"/>
        </w:rPr>
        <w:t>Some people have chosen</w:t>
      </w:r>
      <w:r>
        <w:rPr>
          <w:lang w:eastAsia="en-NZ"/>
        </w:rPr>
        <w:t xml:space="preserve"> to include</w:t>
      </w:r>
      <w:r w:rsidRPr="00B5191C">
        <w:rPr>
          <w:lang w:eastAsia="en-NZ"/>
        </w:rPr>
        <w:t xml:space="preserve"> cultural or spiritual practices</w:t>
      </w:r>
      <w:r>
        <w:rPr>
          <w:lang w:eastAsia="en-NZ"/>
        </w:rPr>
        <w:t xml:space="preserve">, </w:t>
      </w:r>
      <w:r w:rsidRPr="00B5191C">
        <w:rPr>
          <w:lang w:eastAsia="en-NZ"/>
        </w:rPr>
        <w:t xml:space="preserve">such as </w:t>
      </w:r>
      <w:proofErr w:type="spellStart"/>
      <w:r w:rsidRPr="00B5191C">
        <w:rPr>
          <w:lang w:eastAsia="en-NZ"/>
        </w:rPr>
        <w:t>karakia</w:t>
      </w:r>
      <w:proofErr w:type="spellEnd"/>
      <w:r w:rsidRPr="00B5191C">
        <w:rPr>
          <w:lang w:eastAsia="en-NZ"/>
        </w:rPr>
        <w:t xml:space="preserve"> or prayer, prior </w:t>
      </w:r>
      <w:r>
        <w:rPr>
          <w:lang w:eastAsia="en-NZ"/>
        </w:rPr>
        <w:t xml:space="preserve">to </w:t>
      </w:r>
      <w:r w:rsidRPr="00B5191C">
        <w:rPr>
          <w:lang w:eastAsia="en-NZ"/>
        </w:rPr>
        <w:t xml:space="preserve">or during the administration of the medication, while others have chosen to play music that was </w:t>
      </w:r>
      <w:r w:rsidRPr="00B5191C">
        <w:rPr>
          <w:lang w:eastAsia="en-NZ"/>
        </w:rPr>
        <w:lastRenderedPageBreak/>
        <w:t xml:space="preserve">significant to them. People have chosen who they would like to be present, including </w:t>
      </w:r>
      <w:proofErr w:type="spellStart"/>
      <w:r w:rsidRPr="00B5191C">
        <w:rPr>
          <w:lang w:eastAsia="en-NZ"/>
        </w:rPr>
        <w:t>whānau</w:t>
      </w:r>
      <w:proofErr w:type="spellEnd"/>
      <w:r w:rsidRPr="00B5191C">
        <w:rPr>
          <w:lang w:eastAsia="en-NZ"/>
        </w:rPr>
        <w:t>, friends</w:t>
      </w:r>
      <w:r>
        <w:rPr>
          <w:lang w:eastAsia="en-NZ"/>
        </w:rPr>
        <w:t>,</w:t>
      </w:r>
      <w:r w:rsidRPr="00B5191C">
        <w:rPr>
          <w:lang w:eastAsia="en-NZ"/>
        </w:rPr>
        <w:t xml:space="preserve"> and pets</w:t>
      </w:r>
      <w:r>
        <w:rPr>
          <w:lang w:eastAsia="en-NZ"/>
        </w:rPr>
        <w:t>, and where their death will occur.</w:t>
      </w:r>
      <w:r w:rsidRPr="00B5191C">
        <w:rPr>
          <w:lang w:eastAsia="en-NZ"/>
        </w:rPr>
        <w:t xml:space="preserve"> </w:t>
      </w:r>
    </w:p>
    <w:p w14:paraId="21FE7EAD" w14:textId="77777777" w:rsidR="00E236F4" w:rsidRPr="00B5191C" w:rsidRDefault="00E236F4" w:rsidP="00144D7A">
      <w:pPr>
        <w:rPr>
          <w:lang w:eastAsia="en-NZ"/>
        </w:rPr>
      </w:pPr>
    </w:p>
    <w:p w14:paraId="61231E6C" w14:textId="77777777" w:rsidR="00E236F4" w:rsidRDefault="00E236F4" w:rsidP="00144D7A">
      <w:pPr>
        <w:rPr>
          <w:lang w:eastAsia="en-NZ"/>
        </w:rPr>
      </w:pPr>
      <w:r>
        <w:rPr>
          <w:lang w:eastAsia="en-NZ"/>
        </w:rPr>
        <w:t>The Secretariat encourages medical and nurse practitioners</w:t>
      </w:r>
      <w:r w:rsidRPr="00B5191C">
        <w:rPr>
          <w:lang w:eastAsia="en-NZ"/>
        </w:rPr>
        <w:t xml:space="preserve"> to discuss these choices with the person to ensure that the service is responsive to their cultural, spiritual and social needs</w:t>
      </w:r>
      <w:r>
        <w:rPr>
          <w:lang w:eastAsia="en-NZ"/>
        </w:rPr>
        <w:t xml:space="preserve">. Resources are provided to support these conversations in the practitioner training site. </w:t>
      </w:r>
      <w:bookmarkStart w:id="75" w:name="_Toc103606334"/>
      <w:bookmarkStart w:id="76" w:name="_Toc104460684"/>
    </w:p>
    <w:p w14:paraId="1B5300D5" w14:textId="77777777" w:rsidR="00E236F4" w:rsidRPr="001E7528" w:rsidRDefault="00E236F4" w:rsidP="00E236F4">
      <w:pPr>
        <w:pStyle w:val="Heading3"/>
        <w:rPr>
          <w:lang w:eastAsia="en-NZ"/>
        </w:rPr>
      </w:pPr>
      <w:r w:rsidRPr="001E7528">
        <w:rPr>
          <w:lang w:eastAsia="en-NZ"/>
        </w:rPr>
        <w:t>Locations for assisted deaths</w:t>
      </w:r>
      <w:bookmarkEnd w:id="75"/>
      <w:bookmarkEnd w:id="76"/>
      <w:r w:rsidRPr="001E7528">
        <w:rPr>
          <w:lang w:eastAsia="en-NZ"/>
        </w:rPr>
        <w:t xml:space="preserve"> </w:t>
      </w:r>
    </w:p>
    <w:p w14:paraId="5A53BEEC" w14:textId="77777777" w:rsidR="00E236F4" w:rsidRPr="00BA1FE2" w:rsidRDefault="00E236F4" w:rsidP="00E236F4">
      <w:r w:rsidRPr="00BA1FE2">
        <w:t>Assisted deaths have mainly taken place in a person’s home or another private residence. The breakdown by location is:</w:t>
      </w:r>
    </w:p>
    <w:p w14:paraId="59D051E1" w14:textId="77777777" w:rsidR="00E236F4" w:rsidRPr="008C61E6" w:rsidRDefault="00E236F4" w:rsidP="00E236F4">
      <w:pPr>
        <w:pStyle w:val="Bullet"/>
        <w:rPr>
          <w:lang w:eastAsia="en-NZ"/>
        </w:rPr>
      </w:pPr>
      <w:r w:rsidRPr="008C61E6">
        <w:rPr>
          <w:lang w:eastAsia="en-NZ"/>
        </w:rPr>
        <w:t>73% at the person’s home or another private residence</w:t>
      </w:r>
    </w:p>
    <w:p w14:paraId="27E1FF07" w14:textId="77777777" w:rsidR="00E236F4" w:rsidRPr="008C61E6" w:rsidRDefault="00E236F4" w:rsidP="00E236F4">
      <w:pPr>
        <w:pStyle w:val="Bullet"/>
        <w:rPr>
          <w:lang w:eastAsia="en-NZ"/>
        </w:rPr>
      </w:pPr>
      <w:r w:rsidRPr="008C61E6">
        <w:rPr>
          <w:lang w:eastAsia="en-NZ"/>
        </w:rPr>
        <w:t>17% in aged care facilities</w:t>
      </w:r>
    </w:p>
    <w:p w14:paraId="240184AA" w14:textId="77777777" w:rsidR="00E236F4" w:rsidRPr="008C61E6" w:rsidRDefault="00E236F4" w:rsidP="00E236F4">
      <w:pPr>
        <w:pStyle w:val="Bullet"/>
        <w:rPr>
          <w:lang w:eastAsia="en-NZ"/>
        </w:rPr>
      </w:pPr>
      <w:r w:rsidRPr="008C61E6">
        <w:rPr>
          <w:lang w:eastAsia="en-NZ"/>
        </w:rPr>
        <w:t>6% in district health board facilities</w:t>
      </w:r>
    </w:p>
    <w:p w14:paraId="694B2E6B" w14:textId="2066F941" w:rsidR="00E236F4" w:rsidRDefault="00E236F4" w:rsidP="00E236F4">
      <w:pPr>
        <w:pStyle w:val="Bullet"/>
        <w:rPr>
          <w:lang w:eastAsia="en-NZ"/>
        </w:rPr>
      </w:pPr>
      <w:r w:rsidRPr="008C61E6">
        <w:rPr>
          <w:lang w:eastAsia="en-NZ"/>
        </w:rPr>
        <w:t>4% in hospice facilities.</w:t>
      </w:r>
    </w:p>
    <w:p w14:paraId="2974F587" w14:textId="59953BD1" w:rsidR="00144D7A" w:rsidRDefault="00144D7A" w:rsidP="00144D7A">
      <w:pPr>
        <w:rPr>
          <w:lang w:eastAsia="en-NZ"/>
        </w:rPr>
      </w:pPr>
    </w:p>
    <w:p w14:paraId="1479B307" w14:textId="2C38B7F3" w:rsidR="00144D7A" w:rsidRDefault="00144D7A" w:rsidP="00144D7A">
      <w:pPr>
        <w:pStyle w:val="Figure"/>
        <w:rPr>
          <w:rFonts w:cs="Segoe UI"/>
          <w:color w:val="002639"/>
          <w:shd w:val="clear" w:color="auto" w:fill="FFFFFF"/>
        </w:rPr>
      </w:pPr>
      <w:bookmarkStart w:id="77" w:name="_Toc106611899"/>
      <w:r>
        <w:t xml:space="preserve">Figure </w:t>
      </w:r>
      <w:fldSimple w:instr=" SEQ Figure \* ARABIC ">
        <w:r w:rsidR="004B5578">
          <w:rPr>
            <w:noProof/>
          </w:rPr>
          <w:t>2</w:t>
        </w:r>
      </w:fldSimple>
      <w:r>
        <w:t xml:space="preserve">: </w:t>
      </w:r>
      <w:r w:rsidRPr="00DC2F44">
        <w:rPr>
          <w:rFonts w:cs="Segoe UI"/>
          <w:color w:val="002639"/>
          <w:shd w:val="clear" w:color="auto" w:fill="FFFFFF"/>
        </w:rPr>
        <w:t>Assisted deaths by location</w:t>
      </w:r>
      <w:bookmarkEnd w:id="77"/>
    </w:p>
    <w:p w14:paraId="16F5A81E" w14:textId="693F3B45" w:rsidR="002130AE" w:rsidRPr="002130AE" w:rsidRDefault="002130AE" w:rsidP="002130AE">
      <w:r w:rsidRPr="001E7528">
        <w:rPr>
          <w:rFonts w:cs="Segoe UI"/>
          <w:noProof/>
        </w:rPr>
        <w:drawing>
          <wp:inline distT="0" distB="0" distL="0" distR="0" wp14:anchorId="39D1C4FF" wp14:editId="193D239B">
            <wp:extent cx="5035162" cy="2952750"/>
            <wp:effectExtent l="0" t="0" r="0" b="0"/>
            <wp:docPr id="257" name="Picture 257" descr="Bar graph with the number of assisted deaths by location showing just under 50 people at the person's home or another private res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57" descr="Bar graph with the number of assisted deaths by location showing just under 50 people at the person's home or another private residence"/>
                    <pic:cNvPicPr>
                      <a:picLocks noChangeAspect="1" noChangeArrowheads="1"/>
                    </pic:cNvPicPr>
                  </pic:nvPicPr>
                  <pic:blipFill rotWithShape="1">
                    <a:blip r:embed="rId34">
                      <a:extLst>
                        <a:ext uri="{28A0092B-C50C-407E-A947-70E740481C1C}">
                          <a14:useLocalDpi xmlns:a14="http://schemas.microsoft.com/office/drawing/2010/main" val="0"/>
                        </a:ext>
                      </a:extLst>
                    </a:blip>
                    <a:srcRect l="1852"/>
                    <a:stretch/>
                  </pic:blipFill>
                  <pic:spPr bwMode="auto">
                    <a:xfrm>
                      <a:off x="0" y="0"/>
                      <a:ext cx="5035162" cy="2952750"/>
                    </a:xfrm>
                    <a:prstGeom prst="rect">
                      <a:avLst/>
                    </a:prstGeom>
                    <a:noFill/>
                    <a:ln>
                      <a:noFill/>
                    </a:ln>
                    <a:extLst>
                      <a:ext uri="{53640926-AAD7-44D8-BBD7-CCE9431645EC}">
                        <a14:shadowObscured xmlns:a14="http://schemas.microsoft.com/office/drawing/2010/main"/>
                      </a:ext>
                    </a:extLst>
                  </pic:spPr>
                </pic:pic>
              </a:graphicData>
            </a:graphic>
          </wp:inline>
        </w:drawing>
      </w:r>
    </w:p>
    <w:p w14:paraId="74A54C73" w14:textId="77777777" w:rsidR="00144D7A" w:rsidRDefault="00144D7A" w:rsidP="00144D7A">
      <w:pPr>
        <w:rPr>
          <w:rFonts w:cs="Segoe UI"/>
        </w:rPr>
      </w:pPr>
    </w:p>
    <w:p w14:paraId="42EBDFEA" w14:textId="77777777" w:rsidR="00144D7A" w:rsidRDefault="00144D7A" w:rsidP="00144D7A">
      <w:r w:rsidRPr="001E7528">
        <w:t xml:space="preserve">While most assisted deaths have taken place in a private home, some deaths have occurred in </w:t>
      </w:r>
      <w:r>
        <w:t>community facilities (rest homes and hospice) and district health board (DHB) facilities/public</w:t>
      </w:r>
      <w:r w:rsidRPr="001E7528">
        <w:t xml:space="preserve"> hospitals. </w:t>
      </w:r>
      <w:r>
        <w:t xml:space="preserve">The Ministry understands that for some community providers, allowing assisted deaths within its facility may be a complex decision due to differing viewpoints within the organisation. </w:t>
      </w:r>
    </w:p>
    <w:p w14:paraId="6DF9FE67" w14:textId="65E563F6" w:rsidR="00144D7A" w:rsidRDefault="00144D7A" w:rsidP="00144D7A"/>
    <w:p w14:paraId="2AA1B2ED" w14:textId="011FAB01" w:rsidR="00144D7A" w:rsidRPr="006C69A4" w:rsidRDefault="00144D7A" w:rsidP="00144D7A">
      <w:r>
        <w:t xml:space="preserve">The Secretariat continues to support and encourage providers to consider how to support person-centred access to assisted dying should a person in a provider’s care request assisted dying. The Ministry is also </w:t>
      </w:r>
      <w:r w:rsidRPr="001E7528">
        <w:t>continuing to work with public hospitals to streamline processes and strengthen relationships between practitioners involved in assisted dying</w:t>
      </w:r>
      <w:r>
        <w:t>,</w:t>
      </w:r>
      <w:r w:rsidRPr="001E7528">
        <w:t xml:space="preserve"> and hospital staff. </w:t>
      </w:r>
    </w:p>
    <w:p w14:paraId="1859EB2B" w14:textId="77777777" w:rsidR="00144D7A" w:rsidRPr="001E7528" w:rsidRDefault="00144D7A" w:rsidP="00144D7A">
      <w:pPr>
        <w:pStyle w:val="Heading3"/>
        <w:rPr>
          <w:rFonts w:cs="Segoe UI"/>
        </w:rPr>
      </w:pPr>
      <w:bookmarkStart w:id="78" w:name="_Toc103606335"/>
      <w:bookmarkStart w:id="79" w:name="_Toc104460685"/>
      <w:r w:rsidRPr="001E7528">
        <w:rPr>
          <w:rFonts w:cs="Segoe UI"/>
        </w:rPr>
        <w:lastRenderedPageBreak/>
        <w:t>Method of administration</w:t>
      </w:r>
      <w:bookmarkEnd w:id="78"/>
      <w:bookmarkEnd w:id="79"/>
      <w:r w:rsidRPr="001E7528">
        <w:rPr>
          <w:rFonts w:cs="Segoe UI"/>
        </w:rPr>
        <w:t xml:space="preserve"> </w:t>
      </w:r>
    </w:p>
    <w:p w14:paraId="4C9F8585" w14:textId="648616C1" w:rsidR="00144D7A" w:rsidRPr="001E7528" w:rsidRDefault="00144D7A" w:rsidP="00144D7A">
      <w:pPr>
        <w:rPr>
          <w:rFonts w:cs="Segoe UI"/>
        </w:rPr>
      </w:pPr>
      <w:r w:rsidRPr="44C025A4">
        <w:rPr>
          <w:rFonts w:cs="Segoe UI"/>
        </w:rPr>
        <w:t xml:space="preserve">Under the Act, there are four available options for the administration of the </w:t>
      </w:r>
      <w:r>
        <w:rPr>
          <w:rFonts w:cs="Segoe UI"/>
        </w:rPr>
        <w:t xml:space="preserve">assisted dying </w:t>
      </w:r>
      <w:r w:rsidRPr="44C025A4">
        <w:rPr>
          <w:rFonts w:cs="Segoe UI"/>
        </w:rPr>
        <w:t xml:space="preserve">medication. The person can choose from these four options and is provided with advice on the options by the </w:t>
      </w:r>
      <w:r>
        <w:rPr>
          <w:rFonts w:cs="Segoe UI"/>
        </w:rPr>
        <w:t xml:space="preserve">AMP or </w:t>
      </w:r>
      <w:r w:rsidR="002D785B">
        <w:rPr>
          <w:rFonts w:cs="Segoe UI"/>
        </w:rPr>
        <w:t>Attending Nurse Practitioner (</w:t>
      </w:r>
      <w:r>
        <w:rPr>
          <w:rFonts w:cs="Segoe UI"/>
        </w:rPr>
        <w:t>ANP</w:t>
      </w:r>
      <w:r w:rsidR="002D785B">
        <w:rPr>
          <w:rFonts w:cs="Segoe UI"/>
        </w:rPr>
        <w:t>)</w:t>
      </w:r>
      <w:r w:rsidRPr="44C025A4">
        <w:rPr>
          <w:rFonts w:cs="Segoe UI"/>
        </w:rPr>
        <w:t>. For the 66 assisted deaths</w:t>
      </w:r>
      <w:r>
        <w:rPr>
          <w:rFonts w:cs="Segoe UI"/>
        </w:rPr>
        <w:t>,</w:t>
      </w:r>
      <w:r w:rsidRPr="44C025A4">
        <w:rPr>
          <w:rFonts w:cs="Segoe UI"/>
        </w:rPr>
        <w:t xml:space="preserve"> as </w:t>
      </w:r>
      <w:r>
        <w:rPr>
          <w:rFonts w:cs="Segoe UI"/>
        </w:rPr>
        <w:t>of</w:t>
      </w:r>
      <w:r w:rsidRPr="44C025A4">
        <w:rPr>
          <w:rFonts w:cs="Segoe UI"/>
        </w:rPr>
        <w:t xml:space="preserve"> 31 March</w:t>
      </w:r>
      <w:r>
        <w:rPr>
          <w:rFonts w:cs="Segoe UI"/>
        </w:rPr>
        <w:t xml:space="preserve"> 2022</w:t>
      </w:r>
      <w:r w:rsidRPr="44C025A4">
        <w:rPr>
          <w:rFonts w:cs="Segoe UI"/>
        </w:rPr>
        <w:t xml:space="preserve">: </w:t>
      </w:r>
    </w:p>
    <w:p w14:paraId="7E7A956C" w14:textId="77777777" w:rsidR="00144D7A" w:rsidRPr="001E7528" w:rsidRDefault="00144D7A" w:rsidP="00144D7A">
      <w:pPr>
        <w:pStyle w:val="Bullet"/>
        <w:rPr>
          <w:rFonts w:cs="Segoe UI"/>
          <w:lang w:eastAsia="en-NZ"/>
        </w:rPr>
      </w:pPr>
      <w:r w:rsidRPr="2B75C2E1">
        <w:rPr>
          <w:rFonts w:cs="Segoe UI"/>
        </w:rPr>
        <w:t>6 people have chosen ingestion, triggered by the person</w:t>
      </w:r>
    </w:p>
    <w:p w14:paraId="3FC34BF1" w14:textId="77777777" w:rsidR="00144D7A" w:rsidRPr="001E7528" w:rsidRDefault="00144D7A" w:rsidP="00144D7A">
      <w:pPr>
        <w:pStyle w:val="Bullet"/>
        <w:rPr>
          <w:rFonts w:cs="Segoe UI"/>
        </w:rPr>
      </w:pPr>
      <w:r w:rsidRPr="2B75C2E1">
        <w:rPr>
          <w:rFonts w:cs="Segoe UI"/>
        </w:rPr>
        <w:t>4 people have chosen intravenous delivery, triggered by the person</w:t>
      </w:r>
    </w:p>
    <w:p w14:paraId="42453232" w14:textId="77777777" w:rsidR="00144D7A" w:rsidRPr="001E7528" w:rsidRDefault="00144D7A" w:rsidP="00144D7A">
      <w:pPr>
        <w:pStyle w:val="Bullet"/>
        <w:rPr>
          <w:rFonts w:cs="Segoe UI"/>
        </w:rPr>
      </w:pPr>
      <w:r>
        <w:rPr>
          <w:rFonts w:cs="Segoe UI"/>
        </w:rPr>
        <w:t>0</w:t>
      </w:r>
      <w:r w:rsidRPr="2B75C2E1">
        <w:rPr>
          <w:rFonts w:cs="Segoe UI"/>
        </w:rPr>
        <w:t xml:space="preserve"> people have chosen ingestion through a tube, triggered by the AMP or ANP</w:t>
      </w:r>
    </w:p>
    <w:p w14:paraId="73A3733D" w14:textId="77777777" w:rsidR="00144D7A" w:rsidRPr="001E7528" w:rsidRDefault="00144D7A" w:rsidP="00144D7A">
      <w:pPr>
        <w:pStyle w:val="Bullet"/>
        <w:rPr>
          <w:rFonts w:cs="Segoe UI"/>
        </w:rPr>
      </w:pPr>
      <w:r w:rsidRPr="2B75C2E1">
        <w:rPr>
          <w:rFonts w:cs="Segoe UI"/>
        </w:rPr>
        <w:t>56 people have chosen injection administered by the AMP or ANP</w:t>
      </w:r>
    </w:p>
    <w:p w14:paraId="6088EB83" w14:textId="77777777" w:rsidR="00144D7A" w:rsidRPr="001E7528" w:rsidRDefault="00144D7A" w:rsidP="00144D7A">
      <w:pPr>
        <w:rPr>
          <w:rFonts w:cs="Segoe UI"/>
        </w:rPr>
      </w:pPr>
      <w:r w:rsidRPr="001E7528">
        <w:rPr>
          <w:rFonts w:cs="Segoe UI"/>
        </w:rPr>
        <w:t xml:space="preserve">  </w:t>
      </w:r>
    </w:p>
    <w:p w14:paraId="7FBFE045" w14:textId="77777777" w:rsidR="00144D7A" w:rsidRDefault="00144D7A" w:rsidP="00144D7A">
      <w:r w:rsidRPr="61D104B1">
        <w:t xml:space="preserve">Each medication method has a standard administration protocol to ensure consistent, safe and quality services. </w:t>
      </w:r>
      <w:r>
        <w:t xml:space="preserve">As of 31 March 2022, there have been no major complications related to the administration of the medication and all deaths have occurred within expected timeframes. </w:t>
      </w:r>
    </w:p>
    <w:p w14:paraId="7F0BB58B" w14:textId="77777777" w:rsidR="00144D7A" w:rsidRDefault="00144D7A" w:rsidP="00144D7A"/>
    <w:p w14:paraId="7F4086B6" w14:textId="77777777" w:rsidR="00144D7A" w:rsidRDefault="00144D7A" w:rsidP="00144D7A">
      <w:r w:rsidRPr="61D104B1">
        <w:t xml:space="preserve">The details of </w:t>
      </w:r>
      <w:r>
        <w:t>the</w:t>
      </w:r>
      <w:r w:rsidRPr="61D104B1">
        <w:t xml:space="preserve"> protocol are only provided to practitioners involved in the assisted dying service. </w:t>
      </w:r>
    </w:p>
    <w:p w14:paraId="697CDFA3" w14:textId="77777777" w:rsidR="00144D7A" w:rsidRDefault="00144D7A" w:rsidP="00144D7A">
      <w:pPr>
        <w:pStyle w:val="Heading3"/>
        <w:rPr>
          <w:lang w:eastAsia="en-NZ"/>
        </w:rPr>
      </w:pPr>
      <w:bookmarkStart w:id="80" w:name="_Toc103085572"/>
      <w:bookmarkStart w:id="81" w:name="_Toc103606336"/>
      <w:bookmarkStart w:id="82" w:name="_Toc104460686"/>
      <w:r w:rsidRPr="001E7528">
        <w:t xml:space="preserve">People assessed as </w:t>
      </w:r>
      <w:r>
        <w:t>in</w:t>
      </w:r>
      <w:r w:rsidRPr="001E7528">
        <w:t>eligible</w:t>
      </w:r>
      <w:bookmarkEnd w:id="80"/>
      <w:bookmarkEnd w:id="81"/>
      <w:bookmarkEnd w:id="82"/>
      <w:r w:rsidRPr="00410E10">
        <w:rPr>
          <w:lang w:eastAsia="en-NZ"/>
        </w:rPr>
        <w:t xml:space="preserve"> </w:t>
      </w:r>
    </w:p>
    <w:p w14:paraId="769C633A" w14:textId="53F33CE8" w:rsidR="00144D7A" w:rsidRDefault="00144D7A" w:rsidP="00144D7A">
      <w:pPr>
        <w:rPr>
          <w:lang w:eastAsia="en-NZ"/>
        </w:rPr>
      </w:pPr>
      <w:r w:rsidRPr="00410E10">
        <w:rPr>
          <w:lang w:eastAsia="en-NZ"/>
        </w:rPr>
        <w:t>A person must meet strict eligibility criteria to have an assisted death</w:t>
      </w:r>
      <w:r w:rsidRPr="001E7528">
        <w:rPr>
          <w:lang w:eastAsia="en-NZ"/>
        </w:rPr>
        <w:t xml:space="preserve">. As </w:t>
      </w:r>
      <w:r>
        <w:rPr>
          <w:lang w:eastAsia="en-NZ"/>
        </w:rPr>
        <w:t>of</w:t>
      </w:r>
      <w:r w:rsidRPr="001E7528">
        <w:rPr>
          <w:lang w:eastAsia="en-NZ"/>
        </w:rPr>
        <w:t xml:space="preserve"> 31 March</w:t>
      </w:r>
      <w:r>
        <w:rPr>
          <w:lang w:eastAsia="en-NZ"/>
        </w:rPr>
        <w:t xml:space="preserve"> 2022</w:t>
      </w:r>
      <w:r w:rsidRPr="001E7528">
        <w:rPr>
          <w:lang w:eastAsia="en-NZ"/>
        </w:rPr>
        <w:t xml:space="preserve">, 40 people had been assessed as </w:t>
      </w:r>
      <w:r w:rsidRPr="00410E10">
        <w:rPr>
          <w:lang w:eastAsia="en-NZ"/>
        </w:rPr>
        <w:t>in</w:t>
      </w:r>
      <w:r w:rsidRPr="001E7528">
        <w:rPr>
          <w:lang w:eastAsia="en-NZ"/>
        </w:rPr>
        <w:t>eligible for assisted dying. </w:t>
      </w:r>
      <w:r w:rsidRPr="61D104B1">
        <w:rPr>
          <w:lang w:eastAsia="en-NZ"/>
        </w:rPr>
        <w:t>In most cases, the</w:t>
      </w:r>
      <w:r>
        <w:rPr>
          <w:lang w:eastAsia="en-NZ"/>
        </w:rPr>
        <w:t xml:space="preserve"> person is found ineligible at the first assessment by the</w:t>
      </w:r>
      <w:r w:rsidRPr="61D104B1">
        <w:rPr>
          <w:lang w:eastAsia="en-NZ"/>
        </w:rPr>
        <w:t xml:space="preserve"> AMP. </w:t>
      </w:r>
    </w:p>
    <w:p w14:paraId="35747DC1" w14:textId="77777777" w:rsidR="00144D7A" w:rsidRPr="006C4494" w:rsidRDefault="00144D7A" w:rsidP="00144D7A">
      <w:pPr>
        <w:rPr>
          <w:lang w:eastAsia="en-NZ"/>
        </w:rPr>
      </w:pPr>
    </w:p>
    <w:p w14:paraId="6897A14D" w14:textId="68D2D005" w:rsidR="00144D7A" w:rsidRDefault="00144D7A" w:rsidP="00144D7A">
      <w:pPr>
        <w:rPr>
          <w:lang w:eastAsia="en-NZ"/>
        </w:rPr>
      </w:pPr>
      <w:r w:rsidRPr="61D104B1">
        <w:rPr>
          <w:lang w:eastAsia="en-NZ"/>
        </w:rPr>
        <w:t xml:space="preserve">The most </w:t>
      </w:r>
      <w:r>
        <w:rPr>
          <w:lang w:eastAsia="en-NZ"/>
        </w:rPr>
        <w:t>common</w:t>
      </w:r>
      <w:r w:rsidRPr="61D104B1">
        <w:rPr>
          <w:lang w:eastAsia="en-NZ"/>
        </w:rPr>
        <w:t xml:space="preserve"> reason for a person to be </w:t>
      </w:r>
      <w:r>
        <w:rPr>
          <w:lang w:eastAsia="en-NZ"/>
        </w:rPr>
        <w:t>in</w:t>
      </w:r>
      <w:r w:rsidRPr="61D104B1">
        <w:rPr>
          <w:lang w:eastAsia="en-NZ"/>
        </w:rPr>
        <w:t xml:space="preserve">eligible for assisted dying was that they did not have a terminal illness likely to end their life within six months. </w:t>
      </w:r>
      <w:r>
        <w:rPr>
          <w:lang w:eastAsia="en-NZ"/>
        </w:rPr>
        <w:t xml:space="preserve">A person can reapply later should their circumstances change, for example, shortened prognosis. Reapplications are considered by the Registrar on a case-by-case basis. </w:t>
      </w:r>
    </w:p>
    <w:p w14:paraId="7A834E38" w14:textId="1A5CA498" w:rsidR="00144D7A" w:rsidRDefault="00144D7A" w:rsidP="00144D7A">
      <w:pPr>
        <w:rPr>
          <w:lang w:eastAsia="en-NZ"/>
        </w:rPr>
      </w:pPr>
    </w:p>
    <w:p w14:paraId="323EEE93" w14:textId="392BEBDC" w:rsidR="00144D7A" w:rsidRDefault="00144D7A" w:rsidP="00144D7A">
      <w:pPr>
        <w:pStyle w:val="Table"/>
        <w:rPr>
          <w:lang w:eastAsia="en-NZ"/>
        </w:rPr>
      </w:pPr>
      <w:bookmarkStart w:id="83" w:name="_Toc106611893"/>
      <w:r>
        <w:t xml:space="preserve">Table </w:t>
      </w:r>
      <w:fldSimple w:instr=" SEQ Table \* ARABIC ">
        <w:r w:rsidR="004B5578">
          <w:rPr>
            <w:noProof/>
          </w:rPr>
          <w:t>2</w:t>
        </w:r>
      </w:fldSimple>
      <w:r>
        <w:t xml:space="preserve">: </w:t>
      </w:r>
      <w:r w:rsidRPr="001E7528">
        <w:rPr>
          <w:lang w:eastAsia="en-NZ"/>
        </w:rPr>
        <w:t>Applications assessed as ineligible by reason and assessing practitioner</w:t>
      </w:r>
      <w:bookmarkEnd w:id="83"/>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450"/>
        <w:gridCol w:w="2347"/>
        <w:gridCol w:w="1794"/>
        <w:gridCol w:w="1488"/>
      </w:tblGrid>
      <w:tr w:rsidR="00144D7A" w:rsidRPr="00E236F4" w14:paraId="54B51125" w14:textId="77777777" w:rsidTr="002130AE">
        <w:trPr>
          <w:tblHeader/>
        </w:trPr>
        <w:tc>
          <w:tcPr>
            <w:tcW w:w="2450" w:type="dxa"/>
            <w:tcBorders>
              <w:top w:val="nil"/>
              <w:bottom w:val="nil"/>
            </w:tcBorders>
            <w:shd w:val="clear" w:color="auto" w:fill="D9D9D9" w:themeFill="background1" w:themeFillShade="D9"/>
          </w:tcPr>
          <w:p w14:paraId="4D6BB23B" w14:textId="77777777" w:rsidR="00144D7A" w:rsidRPr="00E236F4" w:rsidRDefault="00144D7A" w:rsidP="00442E3E">
            <w:pPr>
              <w:pStyle w:val="TableText"/>
              <w:rPr>
                <w:b/>
                <w:bCs/>
                <w:lang w:eastAsia="en-NZ"/>
              </w:rPr>
            </w:pPr>
          </w:p>
        </w:tc>
        <w:tc>
          <w:tcPr>
            <w:tcW w:w="2347" w:type="dxa"/>
            <w:tcBorders>
              <w:top w:val="nil"/>
              <w:bottom w:val="nil"/>
            </w:tcBorders>
            <w:shd w:val="clear" w:color="auto" w:fill="D9D9D9" w:themeFill="background1" w:themeFillShade="D9"/>
          </w:tcPr>
          <w:p w14:paraId="37A16025" w14:textId="77777777" w:rsidR="00144D7A" w:rsidRPr="00E236F4" w:rsidRDefault="00144D7A" w:rsidP="00442E3E">
            <w:pPr>
              <w:pStyle w:val="TableText"/>
              <w:rPr>
                <w:b/>
                <w:bCs/>
                <w:lang w:eastAsia="en-NZ"/>
              </w:rPr>
            </w:pPr>
          </w:p>
        </w:tc>
        <w:tc>
          <w:tcPr>
            <w:tcW w:w="1794" w:type="dxa"/>
            <w:tcBorders>
              <w:top w:val="nil"/>
              <w:bottom w:val="nil"/>
            </w:tcBorders>
            <w:shd w:val="clear" w:color="auto" w:fill="D9D9D9" w:themeFill="background1" w:themeFillShade="D9"/>
            <w:vAlign w:val="bottom"/>
          </w:tcPr>
          <w:p w14:paraId="44F235B2" w14:textId="2ED8F59A" w:rsidR="00144D7A" w:rsidRPr="00E236F4" w:rsidRDefault="00144D7A" w:rsidP="00144D7A">
            <w:pPr>
              <w:pStyle w:val="TableText"/>
              <w:jc w:val="center"/>
              <w:rPr>
                <w:b/>
                <w:bCs/>
                <w:lang w:eastAsia="en-NZ"/>
              </w:rPr>
            </w:pPr>
            <w:r w:rsidRPr="00E236F4">
              <w:rPr>
                <w:b/>
                <w:bCs/>
                <w:lang w:eastAsia="en-NZ"/>
              </w:rPr>
              <w:t xml:space="preserve">Number of </w:t>
            </w:r>
            <w:r>
              <w:rPr>
                <w:b/>
                <w:bCs/>
                <w:lang w:eastAsia="en-NZ"/>
              </w:rPr>
              <w:br/>
            </w:r>
            <w:r w:rsidRPr="00E236F4">
              <w:rPr>
                <w:b/>
                <w:bCs/>
                <w:lang w:eastAsia="en-NZ"/>
              </w:rPr>
              <w:t>people</w:t>
            </w:r>
          </w:p>
        </w:tc>
        <w:tc>
          <w:tcPr>
            <w:tcW w:w="1488" w:type="dxa"/>
            <w:tcBorders>
              <w:top w:val="nil"/>
              <w:bottom w:val="nil"/>
            </w:tcBorders>
            <w:shd w:val="clear" w:color="auto" w:fill="D9D9D9" w:themeFill="background1" w:themeFillShade="D9"/>
            <w:vAlign w:val="bottom"/>
          </w:tcPr>
          <w:p w14:paraId="1B02C7BB" w14:textId="7E04D48A" w:rsidR="00144D7A" w:rsidRPr="00E236F4" w:rsidRDefault="00144D7A" w:rsidP="00144D7A">
            <w:pPr>
              <w:pStyle w:val="TableText"/>
              <w:jc w:val="center"/>
              <w:rPr>
                <w:b/>
                <w:bCs/>
                <w:lang w:eastAsia="en-NZ"/>
              </w:rPr>
            </w:pPr>
            <w:r w:rsidRPr="00144D7A">
              <w:rPr>
                <w:b/>
                <w:bCs/>
                <w:lang w:eastAsia="en-NZ"/>
              </w:rPr>
              <w:t>% of those not eligible</w:t>
            </w:r>
          </w:p>
        </w:tc>
      </w:tr>
      <w:tr w:rsidR="00144D7A" w:rsidRPr="00E236F4" w14:paraId="76857526" w14:textId="77777777" w:rsidTr="002130AE">
        <w:tc>
          <w:tcPr>
            <w:tcW w:w="2450" w:type="dxa"/>
            <w:vMerge w:val="restart"/>
            <w:tcBorders>
              <w:top w:val="nil"/>
              <w:left w:val="nil"/>
              <w:right w:val="nil"/>
            </w:tcBorders>
            <w:shd w:val="clear" w:color="auto" w:fill="auto"/>
          </w:tcPr>
          <w:p w14:paraId="45C51476" w14:textId="77777777" w:rsidR="00144D7A" w:rsidRPr="00144D7A" w:rsidRDefault="00144D7A" w:rsidP="00144D7A">
            <w:pPr>
              <w:pStyle w:val="TableText"/>
            </w:pPr>
            <w:r w:rsidRPr="00144D7A">
              <w:t>Reason ineligible</w:t>
            </w:r>
          </w:p>
          <w:p w14:paraId="4A9D0383" w14:textId="34AEDED7" w:rsidR="00144D7A" w:rsidRPr="00144D7A" w:rsidRDefault="00144D7A" w:rsidP="00144D7A">
            <w:pPr>
              <w:pStyle w:val="TableText"/>
            </w:pPr>
            <w:r w:rsidRPr="00144D7A">
              <w:t>(which criteria from the Act not met)</w:t>
            </w:r>
          </w:p>
        </w:tc>
        <w:tc>
          <w:tcPr>
            <w:tcW w:w="2347" w:type="dxa"/>
            <w:tcBorders>
              <w:top w:val="nil"/>
              <w:left w:val="nil"/>
              <w:bottom w:val="single" w:sz="4" w:space="0" w:color="A6A6A6" w:themeColor="background1" w:themeShade="A6"/>
              <w:right w:val="nil"/>
            </w:tcBorders>
            <w:shd w:val="clear" w:color="auto" w:fill="auto"/>
          </w:tcPr>
          <w:p w14:paraId="049C9D4C" w14:textId="56344413" w:rsidR="00144D7A" w:rsidRPr="00E236F4" w:rsidRDefault="00144D7A" w:rsidP="00144D7A">
            <w:pPr>
              <w:pStyle w:val="TableText"/>
              <w:rPr>
                <w:b/>
                <w:bCs/>
                <w:lang w:eastAsia="en-NZ"/>
              </w:rPr>
            </w:pPr>
            <w:r w:rsidRPr="005C689C">
              <w:t>Not aged 18 years or over</w:t>
            </w:r>
          </w:p>
        </w:tc>
        <w:tc>
          <w:tcPr>
            <w:tcW w:w="1794" w:type="dxa"/>
            <w:tcBorders>
              <w:top w:val="nil"/>
              <w:left w:val="nil"/>
              <w:bottom w:val="single" w:sz="4" w:space="0" w:color="A6A6A6" w:themeColor="background1" w:themeShade="A6"/>
              <w:right w:val="nil"/>
            </w:tcBorders>
            <w:shd w:val="clear" w:color="auto" w:fill="auto"/>
          </w:tcPr>
          <w:p w14:paraId="074B24E2" w14:textId="7DAC2D1D" w:rsidR="00144D7A" w:rsidRPr="00E236F4" w:rsidRDefault="00144D7A" w:rsidP="00144D7A">
            <w:pPr>
              <w:pStyle w:val="TableText"/>
              <w:jc w:val="center"/>
              <w:rPr>
                <w:b/>
                <w:bCs/>
                <w:lang w:eastAsia="en-NZ"/>
              </w:rPr>
            </w:pPr>
            <w:r w:rsidRPr="00444D24">
              <w:t>0</w:t>
            </w:r>
          </w:p>
        </w:tc>
        <w:tc>
          <w:tcPr>
            <w:tcW w:w="1488" w:type="dxa"/>
            <w:tcBorders>
              <w:top w:val="nil"/>
              <w:left w:val="nil"/>
              <w:bottom w:val="single" w:sz="4" w:space="0" w:color="A6A6A6" w:themeColor="background1" w:themeShade="A6"/>
              <w:right w:val="nil"/>
            </w:tcBorders>
            <w:shd w:val="clear" w:color="auto" w:fill="auto"/>
          </w:tcPr>
          <w:p w14:paraId="68D2B563" w14:textId="514BBB1A" w:rsidR="00144D7A" w:rsidRPr="00E236F4" w:rsidRDefault="00144D7A" w:rsidP="00144D7A">
            <w:pPr>
              <w:pStyle w:val="TableText"/>
              <w:jc w:val="center"/>
              <w:rPr>
                <w:b/>
                <w:bCs/>
                <w:lang w:eastAsia="en-NZ"/>
              </w:rPr>
            </w:pPr>
            <w:r w:rsidRPr="00444D24">
              <w:t>0.0</w:t>
            </w:r>
          </w:p>
        </w:tc>
      </w:tr>
      <w:tr w:rsidR="00144D7A" w:rsidRPr="00E236F4" w14:paraId="17E271E1" w14:textId="77777777" w:rsidTr="002130AE">
        <w:tc>
          <w:tcPr>
            <w:tcW w:w="2450" w:type="dxa"/>
            <w:vMerge/>
            <w:tcBorders>
              <w:left w:val="nil"/>
              <w:right w:val="nil"/>
            </w:tcBorders>
            <w:shd w:val="clear" w:color="auto" w:fill="auto"/>
          </w:tcPr>
          <w:p w14:paraId="0C55A6FA" w14:textId="77777777" w:rsidR="00144D7A" w:rsidRPr="00E236F4" w:rsidRDefault="00144D7A" w:rsidP="00144D7A">
            <w:pPr>
              <w:pStyle w:val="TableText"/>
              <w:rPr>
                <w:b/>
                <w:bCs/>
                <w:lang w:eastAsia="en-NZ"/>
              </w:rPr>
            </w:pPr>
          </w:p>
        </w:tc>
        <w:tc>
          <w:tcPr>
            <w:tcW w:w="2347" w:type="dxa"/>
            <w:tcBorders>
              <w:top w:val="single" w:sz="4" w:space="0" w:color="A6A6A6" w:themeColor="background1" w:themeShade="A6"/>
              <w:left w:val="nil"/>
              <w:bottom w:val="single" w:sz="4" w:space="0" w:color="A6A6A6" w:themeColor="background1" w:themeShade="A6"/>
              <w:right w:val="nil"/>
            </w:tcBorders>
            <w:shd w:val="clear" w:color="auto" w:fill="auto"/>
          </w:tcPr>
          <w:p w14:paraId="4CF382EF" w14:textId="2E246CE3" w:rsidR="00144D7A" w:rsidRPr="00E236F4" w:rsidRDefault="00144D7A" w:rsidP="00144D7A">
            <w:pPr>
              <w:pStyle w:val="TableText"/>
              <w:rPr>
                <w:b/>
                <w:bCs/>
                <w:lang w:eastAsia="en-NZ"/>
              </w:rPr>
            </w:pPr>
            <w:r w:rsidRPr="005C689C">
              <w:t>Not a New Zealand Citizen or permanent resident</w:t>
            </w:r>
          </w:p>
        </w:tc>
        <w:tc>
          <w:tcPr>
            <w:tcW w:w="1794" w:type="dxa"/>
            <w:tcBorders>
              <w:top w:val="single" w:sz="4" w:space="0" w:color="A6A6A6" w:themeColor="background1" w:themeShade="A6"/>
              <w:left w:val="nil"/>
              <w:bottom w:val="single" w:sz="4" w:space="0" w:color="A6A6A6" w:themeColor="background1" w:themeShade="A6"/>
              <w:right w:val="nil"/>
            </w:tcBorders>
            <w:shd w:val="clear" w:color="auto" w:fill="auto"/>
          </w:tcPr>
          <w:p w14:paraId="34F2FAEB" w14:textId="6155C12A" w:rsidR="00144D7A" w:rsidRPr="00E236F4" w:rsidRDefault="00144D7A" w:rsidP="00144D7A">
            <w:pPr>
              <w:pStyle w:val="TableText"/>
              <w:jc w:val="center"/>
              <w:rPr>
                <w:b/>
                <w:bCs/>
                <w:lang w:eastAsia="en-NZ"/>
              </w:rPr>
            </w:pPr>
            <w:r w:rsidRPr="00444D24">
              <w:t>2</w:t>
            </w:r>
          </w:p>
        </w:tc>
        <w:tc>
          <w:tcPr>
            <w:tcW w:w="1488" w:type="dxa"/>
            <w:tcBorders>
              <w:top w:val="single" w:sz="4" w:space="0" w:color="A6A6A6" w:themeColor="background1" w:themeShade="A6"/>
              <w:left w:val="nil"/>
              <w:bottom w:val="single" w:sz="4" w:space="0" w:color="A6A6A6" w:themeColor="background1" w:themeShade="A6"/>
              <w:right w:val="nil"/>
            </w:tcBorders>
            <w:shd w:val="clear" w:color="auto" w:fill="auto"/>
          </w:tcPr>
          <w:p w14:paraId="6890D905" w14:textId="31E0579A" w:rsidR="00144D7A" w:rsidRPr="00E236F4" w:rsidRDefault="00144D7A" w:rsidP="00144D7A">
            <w:pPr>
              <w:pStyle w:val="TableText"/>
              <w:jc w:val="center"/>
              <w:rPr>
                <w:b/>
                <w:bCs/>
                <w:lang w:eastAsia="en-NZ"/>
              </w:rPr>
            </w:pPr>
            <w:r w:rsidRPr="00444D24">
              <w:t>5.0</w:t>
            </w:r>
          </w:p>
        </w:tc>
      </w:tr>
      <w:tr w:rsidR="00144D7A" w:rsidRPr="00E236F4" w14:paraId="65AE72F6" w14:textId="77777777" w:rsidTr="002130AE">
        <w:tc>
          <w:tcPr>
            <w:tcW w:w="2450" w:type="dxa"/>
            <w:vMerge/>
            <w:tcBorders>
              <w:left w:val="nil"/>
              <w:right w:val="nil"/>
            </w:tcBorders>
            <w:shd w:val="clear" w:color="auto" w:fill="auto"/>
          </w:tcPr>
          <w:p w14:paraId="704B4BB0" w14:textId="77777777" w:rsidR="00144D7A" w:rsidRPr="00E236F4" w:rsidRDefault="00144D7A" w:rsidP="00144D7A">
            <w:pPr>
              <w:pStyle w:val="TableText"/>
              <w:rPr>
                <w:b/>
                <w:bCs/>
                <w:lang w:eastAsia="en-NZ"/>
              </w:rPr>
            </w:pPr>
          </w:p>
        </w:tc>
        <w:tc>
          <w:tcPr>
            <w:tcW w:w="2347" w:type="dxa"/>
            <w:tcBorders>
              <w:top w:val="single" w:sz="4" w:space="0" w:color="A6A6A6" w:themeColor="background1" w:themeShade="A6"/>
              <w:left w:val="nil"/>
              <w:bottom w:val="single" w:sz="4" w:space="0" w:color="A6A6A6" w:themeColor="background1" w:themeShade="A6"/>
              <w:right w:val="nil"/>
            </w:tcBorders>
            <w:shd w:val="clear" w:color="auto" w:fill="auto"/>
          </w:tcPr>
          <w:p w14:paraId="13A38E0F" w14:textId="46720E17" w:rsidR="00144D7A" w:rsidRPr="00E236F4" w:rsidRDefault="00144D7A" w:rsidP="00144D7A">
            <w:pPr>
              <w:pStyle w:val="TableText"/>
              <w:rPr>
                <w:b/>
                <w:bCs/>
                <w:lang w:eastAsia="en-NZ"/>
              </w:rPr>
            </w:pPr>
            <w:r w:rsidRPr="005C689C">
              <w:t>Not experiencing unbearable suffering unable to be relieved in a tolerable manner</w:t>
            </w:r>
          </w:p>
        </w:tc>
        <w:tc>
          <w:tcPr>
            <w:tcW w:w="1794" w:type="dxa"/>
            <w:tcBorders>
              <w:top w:val="single" w:sz="4" w:space="0" w:color="A6A6A6" w:themeColor="background1" w:themeShade="A6"/>
              <w:left w:val="nil"/>
              <w:bottom w:val="single" w:sz="4" w:space="0" w:color="A6A6A6" w:themeColor="background1" w:themeShade="A6"/>
              <w:right w:val="nil"/>
            </w:tcBorders>
            <w:shd w:val="clear" w:color="auto" w:fill="auto"/>
          </w:tcPr>
          <w:p w14:paraId="048D9751" w14:textId="068D85A4" w:rsidR="00144D7A" w:rsidRPr="00E236F4" w:rsidRDefault="00144D7A" w:rsidP="00144D7A">
            <w:pPr>
              <w:pStyle w:val="TableText"/>
              <w:jc w:val="center"/>
              <w:rPr>
                <w:b/>
                <w:bCs/>
                <w:lang w:eastAsia="en-NZ"/>
              </w:rPr>
            </w:pPr>
            <w:r w:rsidRPr="00444D24">
              <w:t>16</w:t>
            </w:r>
          </w:p>
        </w:tc>
        <w:tc>
          <w:tcPr>
            <w:tcW w:w="1488" w:type="dxa"/>
            <w:tcBorders>
              <w:top w:val="single" w:sz="4" w:space="0" w:color="A6A6A6" w:themeColor="background1" w:themeShade="A6"/>
              <w:left w:val="nil"/>
              <w:bottom w:val="single" w:sz="4" w:space="0" w:color="A6A6A6" w:themeColor="background1" w:themeShade="A6"/>
              <w:right w:val="nil"/>
            </w:tcBorders>
            <w:shd w:val="clear" w:color="auto" w:fill="auto"/>
          </w:tcPr>
          <w:p w14:paraId="46F2A4F0" w14:textId="7E4C9E1F" w:rsidR="00144D7A" w:rsidRPr="00E236F4" w:rsidRDefault="00144D7A" w:rsidP="00144D7A">
            <w:pPr>
              <w:pStyle w:val="TableText"/>
              <w:jc w:val="center"/>
              <w:rPr>
                <w:b/>
                <w:bCs/>
                <w:lang w:eastAsia="en-NZ"/>
              </w:rPr>
            </w:pPr>
            <w:r w:rsidRPr="00444D24">
              <w:t>40.0</w:t>
            </w:r>
          </w:p>
        </w:tc>
      </w:tr>
      <w:tr w:rsidR="00144D7A" w:rsidRPr="00E236F4" w14:paraId="1CD0F4FE" w14:textId="77777777" w:rsidTr="002130AE">
        <w:tc>
          <w:tcPr>
            <w:tcW w:w="2450" w:type="dxa"/>
            <w:vMerge/>
            <w:tcBorders>
              <w:left w:val="nil"/>
              <w:right w:val="nil"/>
            </w:tcBorders>
            <w:shd w:val="clear" w:color="auto" w:fill="auto"/>
          </w:tcPr>
          <w:p w14:paraId="189428D1" w14:textId="77777777" w:rsidR="00144D7A" w:rsidRPr="00E236F4" w:rsidRDefault="00144D7A" w:rsidP="00144D7A">
            <w:pPr>
              <w:pStyle w:val="TableText"/>
              <w:rPr>
                <w:b/>
                <w:bCs/>
                <w:lang w:eastAsia="en-NZ"/>
              </w:rPr>
            </w:pPr>
          </w:p>
        </w:tc>
        <w:tc>
          <w:tcPr>
            <w:tcW w:w="2347" w:type="dxa"/>
            <w:tcBorders>
              <w:top w:val="single" w:sz="4" w:space="0" w:color="A6A6A6" w:themeColor="background1" w:themeShade="A6"/>
              <w:left w:val="nil"/>
              <w:bottom w:val="single" w:sz="4" w:space="0" w:color="A6A6A6" w:themeColor="background1" w:themeShade="A6"/>
              <w:right w:val="nil"/>
            </w:tcBorders>
            <w:shd w:val="clear" w:color="auto" w:fill="auto"/>
          </w:tcPr>
          <w:p w14:paraId="06EE8CCE" w14:textId="20936917" w:rsidR="00144D7A" w:rsidRPr="00E236F4" w:rsidRDefault="00144D7A" w:rsidP="00144D7A">
            <w:pPr>
              <w:pStyle w:val="TableText"/>
              <w:rPr>
                <w:b/>
                <w:bCs/>
                <w:lang w:eastAsia="en-NZ"/>
              </w:rPr>
            </w:pPr>
            <w:r w:rsidRPr="005C689C">
              <w:t>Not in an advanced state of irreversible decline in physical capability</w:t>
            </w:r>
          </w:p>
        </w:tc>
        <w:tc>
          <w:tcPr>
            <w:tcW w:w="1794" w:type="dxa"/>
            <w:tcBorders>
              <w:top w:val="single" w:sz="4" w:space="0" w:color="A6A6A6" w:themeColor="background1" w:themeShade="A6"/>
              <w:left w:val="nil"/>
              <w:bottom w:val="single" w:sz="4" w:space="0" w:color="A6A6A6" w:themeColor="background1" w:themeShade="A6"/>
              <w:right w:val="nil"/>
            </w:tcBorders>
            <w:shd w:val="clear" w:color="auto" w:fill="auto"/>
          </w:tcPr>
          <w:p w14:paraId="089C7B21" w14:textId="5C5AF848" w:rsidR="00144D7A" w:rsidRPr="00E236F4" w:rsidRDefault="00144D7A" w:rsidP="00144D7A">
            <w:pPr>
              <w:pStyle w:val="TableText"/>
              <w:jc w:val="center"/>
              <w:rPr>
                <w:b/>
                <w:bCs/>
                <w:lang w:eastAsia="en-NZ"/>
              </w:rPr>
            </w:pPr>
            <w:r w:rsidRPr="00444D24">
              <w:t>17</w:t>
            </w:r>
          </w:p>
        </w:tc>
        <w:tc>
          <w:tcPr>
            <w:tcW w:w="1488" w:type="dxa"/>
            <w:tcBorders>
              <w:top w:val="single" w:sz="4" w:space="0" w:color="A6A6A6" w:themeColor="background1" w:themeShade="A6"/>
              <w:left w:val="nil"/>
              <w:bottom w:val="single" w:sz="4" w:space="0" w:color="A6A6A6" w:themeColor="background1" w:themeShade="A6"/>
              <w:right w:val="nil"/>
            </w:tcBorders>
            <w:shd w:val="clear" w:color="auto" w:fill="auto"/>
          </w:tcPr>
          <w:p w14:paraId="762C4E9E" w14:textId="28F3C716" w:rsidR="00144D7A" w:rsidRPr="00E236F4" w:rsidRDefault="00144D7A" w:rsidP="00144D7A">
            <w:pPr>
              <w:pStyle w:val="TableText"/>
              <w:jc w:val="center"/>
              <w:rPr>
                <w:b/>
                <w:bCs/>
                <w:lang w:eastAsia="en-NZ"/>
              </w:rPr>
            </w:pPr>
            <w:r w:rsidRPr="00444D24">
              <w:t>42.5</w:t>
            </w:r>
          </w:p>
        </w:tc>
      </w:tr>
      <w:tr w:rsidR="00144D7A" w:rsidRPr="00E236F4" w14:paraId="6ECA780E" w14:textId="77777777" w:rsidTr="002130AE">
        <w:tc>
          <w:tcPr>
            <w:tcW w:w="2450" w:type="dxa"/>
            <w:vMerge/>
            <w:tcBorders>
              <w:left w:val="nil"/>
              <w:right w:val="nil"/>
            </w:tcBorders>
            <w:shd w:val="clear" w:color="auto" w:fill="auto"/>
          </w:tcPr>
          <w:p w14:paraId="57D3077A" w14:textId="77777777" w:rsidR="00144D7A" w:rsidRPr="00E236F4" w:rsidRDefault="00144D7A" w:rsidP="00144D7A">
            <w:pPr>
              <w:pStyle w:val="TableText"/>
              <w:rPr>
                <w:b/>
                <w:bCs/>
                <w:lang w:eastAsia="en-NZ"/>
              </w:rPr>
            </w:pPr>
          </w:p>
        </w:tc>
        <w:tc>
          <w:tcPr>
            <w:tcW w:w="2347" w:type="dxa"/>
            <w:tcBorders>
              <w:top w:val="single" w:sz="4" w:space="0" w:color="A6A6A6" w:themeColor="background1" w:themeShade="A6"/>
              <w:left w:val="nil"/>
              <w:bottom w:val="single" w:sz="4" w:space="0" w:color="A6A6A6" w:themeColor="background1" w:themeShade="A6"/>
              <w:right w:val="nil"/>
            </w:tcBorders>
            <w:shd w:val="clear" w:color="auto" w:fill="auto"/>
          </w:tcPr>
          <w:p w14:paraId="55D2B40D" w14:textId="52335DF0" w:rsidR="00144D7A" w:rsidRPr="00E236F4" w:rsidRDefault="00144D7A" w:rsidP="00144D7A">
            <w:pPr>
              <w:pStyle w:val="TableText"/>
              <w:rPr>
                <w:b/>
                <w:bCs/>
                <w:lang w:eastAsia="en-NZ"/>
              </w:rPr>
            </w:pPr>
            <w:r w:rsidRPr="005C689C">
              <w:t>Does not suffer from a terminal illness that is likely to end their life within six months</w:t>
            </w:r>
          </w:p>
        </w:tc>
        <w:tc>
          <w:tcPr>
            <w:tcW w:w="1794" w:type="dxa"/>
            <w:tcBorders>
              <w:top w:val="single" w:sz="4" w:space="0" w:color="A6A6A6" w:themeColor="background1" w:themeShade="A6"/>
              <w:left w:val="nil"/>
              <w:bottom w:val="single" w:sz="4" w:space="0" w:color="A6A6A6" w:themeColor="background1" w:themeShade="A6"/>
              <w:right w:val="nil"/>
            </w:tcBorders>
            <w:shd w:val="clear" w:color="auto" w:fill="auto"/>
          </w:tcPr>
          <w:p w14:paraId="0F5243AC" w14:textId="2B29642C" w:rsidR="00144D7A" w:rsidRPr="00E236F4" w:rsidRDefault="00144D7A" w:rsidP="00144D7A">
            <w:pPr>
              <w:pStyle w:val="TableText"/>
              <w:jc w:val="center"/>
              <w:rPr>
                <w:b/>
                <w:bCs/>
                <w:lang w:eastAsia="en-NZ"/>
              </w:rPr>
            </w:pPr>
            <w:r w:rsidRPr="00444D24">
              <w:t>26</w:t>
            </w:r>
          </w:p>
        </w:tc>
        <w:tc>
          <w:tcPr>
            <w:tcW w:w="1488" w:type="dxa"/>
            <w:tcBorders>
              <w:top w:val="single" w:sz="4" w:space="0" w:color="A6A6A6" w:themeColor="background1" w:themeShade="A6"/>
              <w:left w:val="nil"/>
              <w:bottom w:val="single" w:sz="4" w:space="0" w:color="A6A6A6" w:themeColor="background1" w:themeShade="A6"/>
              <w:right w:val="nil"/>
            </w:tcBorders>
            <w:shd w:val="clear" w:color="auto" w:fill="auto"/>
          </w:tcPr>
          <w:p w14:paraId="61FAD501" w14:textId="6DF4A2E8" w:rsidR="00144D7A" w:rsidRPr="00E236F4" w:rsidRDefault="00144D7A" w:rsidP="00144D7A">
            <w:pPr>
              <w:pStyle w:val="TableText"/>
              <w:jc w:val="center"/>
              <w:rPr>
                <w:b/>
                <w:bCs/>
                <w:lang w:eastAsia="en-NZ"/>
              </w:rPr>
            </w:pPr>
            <w:r w:rsidRPr="00444D24">
              <w:t>65.0</w:t>
            </w:r>
          </w:p>
        </w:tc>
      </w:tr>
      <w:tr w:rsidR="00144D7A" w:rsidRPr="00E236F4" w14:paraId="5380B40D" w14:textId="77777777" w:rsidTr="002130AE">
        <w:tc>
          <w:tcPr>
            <w:tcW w:w="2450" w:type="dxa"/>
            <w:vMerge/>
            <w:tcBorders>
              <w:left w:val="nil"/>
              <w:bottom w:val="single" w:sz="4" w:space="0" w:color="A6A6A6" w:themeColor="background1" w:themeShade="A6"/>
              <w:right w:val="nil"/>
            </w:tcBorders>
            <w:shd w:val="clear" w:color="auto" w:fill="auto"/>
          </w:tcPr>
          <w:p w14:paraId="557F9D03" w14:textId="77777777" w:rsidR="00144D7A" w:rsidRPr="00E236F4" w:rsidRDefault="00144D7A" w:rsidP="00144D7A">
            <w:pPr>
              <w:pStyle w:val="TableText"/>
              <w:rPr>
                <w:b/>
                <w:bCs/>
                <w:lang w:eastAsia="en-NZ"/>
              </w:rPr>
            </w:pPr>
          </w:p>
        </w:tc>
        <w:tc>
          <w:tcPr>
            <w:tcW w:w="2347" w:type="dxa"/>
            <w:tcBorders>
              <w:top w:val="single" w:sz="4" w:space="0" w:color="A6A6A6" w:themeColor="background1" w:themeShade="A6"/>
              <w:left w:val="nil"/>
              <w:bottom w:val="single" w:sz="4" w:space="0" w:color="A6A6A6" w:themeColor="background1" w:themeShade="A6"/>
              <w:right w:val="nil"/>
            </w:tcBorders>
            <w:shd w:val="clear" w:color="auto" w:fill="auto"/>
          </w:tcPr>
          <w:p w14:paraId="1BB76BA9" w14:textId="17A79E13" w:rsidR="00144D7A" w:rsidRPr="00E236F4" w:rsidRDefault="00144D7A" w:rsidP="00144D7A">
            <w:pPr>
              <w:pStyle w:val="TableText"/>
              <w:rPr>
                <w:b/>
                <w:bCs/>
                <w:lang w:eastAsia="en-NZ"/>
              </w:rPr>
            </w:pPr>
            <w:r w:rsidRPr="005C689C">
              <w:t>Not competent to make an informed decision about assisted dying</w:t>
            </w:r>
          </w:p>
        </w:tc>
        <w:tc>
          <w:tcPr>
            <w:tcW w:w="1794" w:type="dxa"/>
            <w:tcBorders>
              <w:top w:val="single" w:sz="4" w:space="0" w:color="A6A6A6" w:themeColor="background1" w:themeShade="A6"/>
              <w:left w:val="nil"/>
              <w:bottom w:val="single" w:sz="4" w:space="0" w:color="A6A6A6" w:themeColor="background1" w:themeShade="A6"/>
              <w:right w:val="nil"/>
            </w:tcBorders>
            <w:shd w:val="clear" w:color="auto" w:fill="auto"/>
          </w:tcPr>
          <w:p w14:paraId="66A9F7A0" w14:textId="5D1A7D97" w:rsidR="00144D7A" w:rsidRPr="00E236F4" w:rsidRDefault="00144D7A" w:rsidP="00144D7A">
            <w:pPr>
              <w:pStyle w:val="TableText"/>
              <w:jc w:val="center"/>
              <w:rPr>
                <w:b/>
                <w:bCs/>
                <w:lang w:eastAsia="en-NZ"/>
              </w:rPr>
            </w:pPr>
            <w:r w:rsidRPr="00444D24">
              <w:t>7</w:t>
            </w:r>
          </w:p>
        </w:tc>
        <w:tc>
          <w:tcPr>
            <w:tcW w:w="1488" w:type="dxa"/>
            <w:tcBorders>
              <w:top w:val="single" w:sz="4" w:space="0" w:color="A6A6A6" w:themeColor="background1" w:themeShade="A6"/>
              <w:left w:val="nil"/>
              <w:bottom w:val="single" w:sz="4" w:space="0" w:color="A6A6A6" w:themeColor="background1" w:themeShade="A6"/>
              <w:right w:val="nil"/>
            </w:tcBorders>
            <w:shd w:val="clear" w:color="auto" w:fill="auto"/>
          </w:tcPr>
          <w:p w14:paraId="218DAF09" w14:textId="5C50E57E" w:rsidR="00144D7A" w:rsidRPr="00E236F4" w:rsidRDefault="00144D7A" w:rsidP="00144D7A">
            <w:pPr>
              <w:pStyle w:val="TableText"/>
              <w:jc w:val="center"/>
              <w:rPr>
                <w:b/>
                <w:bCs/>
                <w:lang w:eastAsia="en-NZ"/>
              </w:rPr>
            </w:pPr>
            <w:r w:rsidRPr="00444D24">
              <w:t>17.5</w:t>
            </w:r>
          </w:p>
        </w:tc>
      </w:tr>
      <w:tr w:rsidR="00144D7A" w:rsidRPr="00E236F4" w14:paraId="3469B33F" w14:textId="77777777" w:rsidTr="002130AE">
        <w:tc>
          <w:tcPr>
            <w:tcW w:w="2450" w:type="dxa"/>
            <w:vMerge w:val="restart"/>
            <w:tcBorders>
              <w:top w:val="single" w:sz="4" w:space="0" w:color="A6A6A6" w:themeColor="background1" w:themeShade="A6"/>
              <w:left w:val="nil"/>
              <w:right w:val="nil"/>
            </w:tcBorders>
            <w:shd w:val="clear" w:color="auto" w:fill="auto"/>
          </w:tcPr>
          <w:p w14:paraId="447768C1" w14:textId="4E982325" w:rsidR="00144D7A" w:rsidRPr="00144D7A" w:rsidRDefault="00144D7A" w:rsidP="00144D7A">
            <w:pPr>
              <w:pStyle w:val="TableText"/>
            </w:pPr>
            <w:r w:rsidRPr="00144D7A">
              <w:t>Which practitioner</w:t>
            </w:r>
          </w:p>
        </w:tc>
        <w:tc>
          <w:tcPr>
            <w:tcW w:w="2347" w:type="dxa"/>
            <w:tcBorders>
              <w:top w:val="single" w:sz="4" w:space="0" w:color="A6A6A6" w:themeColor="background1" w:themeShade="A6"/>
              <w:left w:val="nil"/>
              <w:bottom w:val="single" w:sz="4" w:space="0" w:color="A6A6A6" w:themeColor="background1" w:themeShade="A6"/>
              <w:right w:val="nil"/>
            </w:tcBorders>
            <w:shd w:val="clear" w:color="auto" w:fill="auto"/>
          </w:tcPr>
          <w:p w14:paraId="33FAA063" w14:textId="1468093C" w:rsidR="00144D7A" w:rsidRPr="00E236F4" w:rsidRDefault="00144D7A" w:rsidP="00144D7A">
            <w:pPr>
              <w:pStyle w:val="TableText"/>
              <w:rPr>
                <w:b/>
                <w:bCs/>
                <w:lang w:eastAsia="en-NZ"/>
              </w:rPr>
            </w:pPr>
            <w:r w:rsidRPr="005C689C">
              <w:t>Attending medical practitioner (AMP)</w:t>
            </w:r>
          </w:p>
        </w:tc>
        <w:tc>
          <w:tcPr>
            <w:tcW w:w="1794" w:type="dxa"/>
            <w:tcBorders>
              <w:top w:val="single" w:sz="4" w:space="0" w:color="A6A6A6" w:themeColor="background1" w:themeShade="A6"/>
              <w:left w:val="nil"/>
              <w:bottom w:val="single" w:sz="4" w:space="0" w:color="A6A6A6" w:themeColor="background1" w:themeShade="A6"/>
              <w:right w:val="nil"/>
            </w:tcBorders>
            <w:shd w:val="clear" w:color="auto" w:fill="auto"/>
          </w:tcPr>
          <w:p w14:paraId="30E7BB80" w14:textId="2680F23C" w:rsidR="00144D7A" w:rsidRPr="00E236F4" w:rsidRDefault="00144D7A" w:rsidP="00144D7A">
            <w:pPr>
              <w:pStyle w:val="TableText"/>
              <w:jc w:val="center"/>
              <w:rPr>
                <w:b/>
                <w:bCs/>
                <w:lang w:eastAsia="en-NZ"/>
              </w:rPr>
            </w:pPr>
            <w:r w:rsidRPr="00444D24">
              <w:t>32</w:t>
            </w:r>
          </w:p>
        </w:tc>
        <w:tc>
          <w:tcPr>
            <w:tcW w:w="1488" w:type="dxa"/>
            <w:tcBorders>
              <w:top w:val="single" w:sz="4" w:space="0" w:color="A6A6A6" w:themeColor="background1" w:themeShade="A6"/>
              <w:left w:val="nil"/>
              <w:bottom w:val="single" w:sz="4" w:space="0" w:color="A6A6A6" w:themeColor="background1" w:themeShade="A6"/>
              <w:right w:val="nil"/>
            </w:tcBorders>
            <w:shd w:val="clear" w:color="auto" w:fill="auto"/>
          </w:tcPr>
          <w:p w14:paraId="4510E68E" w14:textId="3BD9AB02" w:rsidR="00144D7A" w:rsidRPr="00E236F4" w:rsidRDefault="00144D7A" w:rsidP="00144D7A">
            <w:pPr>
              <w:pStyle w:val="TableText"/>
              <w:jc w:val="center"/>
              <w:rPr>
                <w:b/>
                <w:bCs/>
                <w:lang w:eastAsia="en-NZ"/>
              </w:rPr>
            </w:pPr>
            <w:r w:rsidRPr="00444D24">
              <w:t>80.0</w:t>
            </w:r>
          </w:p>
        </w:tc>
      </w:tr>
      <w:tr w:rsidR="00144D7A" w:rsidRPr="00E236F4" w14:paraId="3E69A621" w14:textId="77777777" w:rsidTr="002130AE">
        <w:tc>
          <w:tcPr>
            <w:tcW w:w="2450" w:type="dxa"/>
            <w:vMerge/>
            <w:tcBorders>
              <w:left w:val="nil"/>
              <w:right w:val="nil"/>
            </w:tcBorders>
            <w:shd w:val="clear" w:color="auto" w:fill="auto"/>
          </w:tcPr>
          <w:p w14:paraId="36805D19" w14:textId="77777777" w:rsidR="00144D7A" w:rsidRPr="00E236F4" w:rsidRDefault="00144D7A" w:rsidP="00144D7A">
            <w:pPr>
              <w:pStyle w:val="TableText"/>
              <w:rPr>
                <w:b/>
                <w:bCs/>
                <w:lang w:eastAsia="en-NZ"/>
              </w:rPr>
            </w:pPr>
          </w:p>
        </w:tc>
        <w:tc>
          <w:tcPr>
            <w:tcW w:w="2347" w:type="dxa"/>
            <w:tcBorders>
              <w:top w:val="single" w:sz="4" w:space="0" w:color="A6A6A6" w:themeColor="background1" w:themeShade="A6"/>
              <w:left w:val="nil"/>
              <w:bottom w:val="single" w:sz="4" w:space="0" w:color="A6A6A6" w:themeColor="background1" w:themeShade="A6"/>
              <w:right w:val="nil"/>
            </w:tcBorders>
            <w:shd w:val="clear" w:color="auto" w:fill="auto"/>
          </w:tcPr>
          <w:p w14:paraId="75805687" w14:textId="7636FD76" w:rsidR="00144D7A" w:rsidRPr="00E236F4" w:rsidRDefault="00144D7A" w:rsidP="00144D7A">
            <w:pPr>
              <w:pStyle w:val="TableText"/>
              <w:rPr>
                <w:b/>
                <w:bCs/>
                <w:lang w:eastAsia="en-NZ"/>
              </w:rPr>
            </w:pPr>
            <w:r w:rsidRPr="005C689C">
              <w:t>Independent medical practitioner (IMP)</w:t>
            </w:r>
          </w:p>
        </w:tc>
        <w:tc>
          <w:tcPr>
            <w:tcW w:w="1794" w:type="dxa"/>
            <w:tcBorders>
              <w:top w:val="single" w:sz="4" w:space="0" w:color="A6A6A6" w:themeColor="background1" w:themeShade="A6"/>
              <w:left w:val="nil"/>
              <w:bottom w:val="single" w:sz="4" w:space="0" w:color="A6A6A6" w:themeColor="background1" w:themeShade="A6"/>
              <w:right w:val="nil"/>
            </w:tcBorders>
            <w:shd w:val="clear" w:color="auto" w:fill="auto"/>
          </w:tcPr>
          <w:p w14:paraId="57848010" w14:textId="288242F2" w:rsidR="00144D7A" w:rsidRPr="00E236F4" w:rsidRDefault="00144D7A" w:rsidP="00144D7A">
            <w:pPr>
              <w:pStyle w:val="TableText"/>
              <w:jc w:val="center"/>
              <w:rPr>
                <w:b/>
                <w:bCs/>
                <w:lang w:eastAsia="en-NZ"/>
              </w:rPr>
            </w:pPr>
            <w:r w:rsidRPr="00444D24">
              <w:t>8</w:t>
            </w:r>
          </w:p>
        </w:tc>
        <w:tc>
          <w:tcPr>
            <w:tcW w:w="1488" w:type="dxa"/>
            <w:tcBorders>
              <w:top w:val="single" w:sz="4" w:space="0" w:color="A6A6A6" w:themeColor="background1" w:themeShade="A6"/>
              <w:left w:val="nil"/>
              <w:bottom w:val="single" w:sz="4" w:space="0" w:color="A6A6A6" w:themeColor="background1" w:themeShade="A6"/>
              <w:right w:val="nil"/>
            </w:tcBorders>
            <w:shd w:val="clear" w:color="auto" w:fill="auto"/>
          </w:tcPr>
          <w:p w14:paraId="1131CBF1" w14:textId="284F01E0" w:rsidR="00144D7A" w:rsidRPr="00E236F4" w:rsidRDefault="00144D7A" w:rsidP="00144D7A">
            <w:pPr>
              <w:pStyle w:val="TableText"/>
              <w:jc w:val="center"/>
              <w:rPr>
                <w:b/>
                <w:bCs/>
                <w:lang w:eastAsia="en-NZ"/>
              </w:rPr>
            </w:pPr>
            <w:r w:rsidRPr="00444D24">
              <w:t>20.0</w:t>
            </w:r>
          </w:p>
        </w:tc>
      </w:tr>
      <w:tr w:rsidR="00144D7A" w:rsidRPr="00E236F4" w14:paraId="1AD62528" w14:textId="77777777" w:rsidTr="002130AE">
        <w:tc>
          <w:tcPr>
            <w:tcW w:w="2450" w:type="dxa"/>
            <w:vMerge/>
            <w:tcBorders>
              <w:left w:val="nil"/>
              <w:bottom w:val="single" w:sz="4" w:space="0" w:color="A6A6A6" w:themeColor="background1" w:themeShade="A6"/>
              <w:right w:val="nil"/>
            </w:tcBorders>
            <w:shd w:val="clear" w:color="auto" w:fill="auto"/>
          </w:tcPr>
          <w:p w14:paraId="644BA437" w14:textId="77777777" w:rsidR="00144D7A" w:rsidRPr="00E236F4" w:rsidRDefault="00144D7A" w:rsidP="00144D7A">
            <w:pPr>
              <w:pStyle w:val="TableText"/>
              <w:rPr>
                <w:b/>
                <w:bCs/>
                <w:lang w:eastAsia="en-NZ"/>
              </w:rPr>
            </w:pPr>
          </w:p>
        </w:tc>
        <w:tc>
          <w:tcPr>
            <w:tcW w:w="2347" w:type="dxa"/>
            <w:tcBorders>
              <w:top w:val="single" w:sz="4" w:space="0" w:color="A6A6A6" w:themeColor="background1" w:themeShade="A6"/>
              <w:left w:val="nil"/>
              <w:bottom w:val="single" w:sz="4" w:space="0" w:color="A6A6A6" w:themeColor="background1" w:themeShade="A6"/>
              <w:right w:val="nil"/>
            </w:tcBorders>
            <w:shd w:val="clear" w:color="auto" w:fill="auto"/>
          </w:tcPr>
          <w:p w14:paraId="44E7C2E6" w14:textId="36A6A0B0" w:rsidR="00144D7A" w:rsidRPr="00E236F4" w:rsidRDefault="00144D7A" w:rsidP="00144D7A">
            <w:pPr>
              <w:pStyle w:val="TableText"/>
              <w:rPr>
                <w:b/>
                <w:bCs/>
                <w:lang w:eastAsia="en-NZ"/>
              </w:rPr>
            </w:pPr>
            <w:r w:rsidRPr="005C689C">
              <w:t>Psychiatrist</w:t>
            </w:r>
          </w:p>
        </w:tc>
        <w:tc>
          <w:tcPr>
            <w:tcW w:w="1794" w:type="dxa"/>
            <w:tcBorders>
              <w:top w:val="single" w:sz="4" w:space="0" w:color="A6A6A6" w:themeColor="background1" w:themeShade="A6"/>
              <w:left w:val="nil"/>
              <w:bottom w:val="single" w:sz="4" w:space="0" w:color="A6A6A6" w:themeColor="background1" w:themeShade="A6"/>
              <w:right w:val="nil"/>
            </w:tcBorders>
            <w:shd w:val="clear" w:color="auto" w:fill="auto"/>
          </w:tcPr>
          <w:p w14:paraId="0A2CC122" w14:textId="7A07BE8C" w:rsidR="00144D7A" w:rsidRPr="00E236F4" w:rsidRDefault="00144D7A" w:rsidP="00144D7A">
            <w:pPr>
              <w:pStyle w:val="TableText"/>
              <w:jc w:val="center"/>
              <w:rPr>
                <w:b/>
                <w:bCs/>
                <w:lang w:eastAsia="en-NZ"/>
              </w:rPr>
            </w:pPr>
            <w:r w:rsidRPr="00444D24">
              <w:t>0</w:t>
            </w:r>
          </w:p>
        </w:tc>
        <w:tc>
          <w:tcPr>
            <w:tcW w:w="1488" w:type="dxa"/>
            <w:tcBorders>
              <w:top w:val="single" w:sz="4" w:space="0" w:color="A6A6A6" w:themeColor="background1" w:themeShade="A6"/>
              <w:left w:val="nil"/>
              <w:bottom w:val="single" w:sz="4" w:space="0" w:color="A6A6A6" w:themeColor="background1" w:themeShade="A6"/>
              <w:right w:val="nil"/>
            </w:tcBorders>
            <w:shd w:val="clear" w:color="auto" w:fill="auto"/>
          </w:tcPr>
          <w:p w14:paraId="71F9E514" w14:textId="1625E857" w:rsidR="00144D7A" w:rsidRPr="00E236F4" w:rsidRDefault="00144D7A" w:rsidP="00144D7A">
            <w:pPr>
              <w:pStyle w:val="TableText"/>
              <w:jc w:val="center"/>
              <w:rPr>
                <w:b/>
                <w:bCs/>
                <w:lang w:eastAsia="en-NZ"/>
              </w:rPr>
            </w:pPr>
            <w:r w:rsidRPr="00444D24">
              <w:t>0.0</w:t>
            </w:r>
          </w:p>
        </w:tc>
      </w:tr>
      <w:tr w:rsidR="00144D7A" w:rsidRPr="00144D7A" w14:paraId="078105B5" w14:textId="77777777" w:rsidTr="002130AE">
        <w:tc>
          <w:tcPr>
            <w:tcW w:w="4797" w:type="dxa"/>
            <w:gridSpan w:val="2"/>
            <w:tcBorders>
              <w:top w:val="single" w:sz="4" w:space="0" w:color="A6A6A6" w:themeColor="background1" w:themeShade="A6"/>
              <w:left w:val="nil"/>
              <w:bottom w:val="single" w:sz="4" w:space="0" w:color="A6A6A6" w:themeColor="background1" w:themeShade="A6"/>
              <w:right w:val="nil"/>
            </w:tcBorders>
            <w:shd w:val="clear" w:color="auto" w:fill="auto"/>
          </w:tcPr>
          <w:p w14:paraId="1F2BA0D3" w14:textId="3C7ABA19" w:rsidR="00144D7A" w:rsidRPr="00144D7A" w:rsidRDefault="00144D7A" w:rsidP="00144D7A">
            <w:pPr>
              <w:pStyle w:val="TableText"/>
              <w:rPr>
                <w:b/>
                <w:bCs/>
                <w:lang w:eastAsia="en-NZ"/>
              </w:rPr>
            </w:pPr>
            <w:r w:rsidRPr="00144D7A">
              <w:rPr>
                <w:b/>
                <w:bCs/>
              </w:rPr>
              <w:t>Total people assessed as ineligible</w:t>
            </w:r>
          </w:p>
        </w:tc>
        <w:tc>
          <w:tcPr>
            <w:tcW w:w="1794" w:type="dxa"/>
            <w:tcBorders>
              <w:top w:val="single" w:sz="4" w:space="0" w:color="A6A6A6" w:themeColor="background1" w:themeShade="A6"/>
              <w:left w:val="nil"/>
              <w:bottom w:val="single" w:sz="4" w:space="0" w:color="A6A6A6" w:themeColor="background1" w:themeShade="A6"/>
              <w:right w:val="nil"/>
            </w:tcBorders>
            <w:shd w:val="clear" w:color="auto" w:fill="auto"/>
          </w:tcPr>
          <w:p w14:paraId="67C58ADA" w14:textId="4B421C76" w:rsidR="00144D7A" w:rsidRPr="00144D7A" w:rsidRDefault="00144D7A" w:rsidP="00144D7A">
            <w:pPr>
              <w:pStyle w:val="TableText"/>
              <w:jc w:val="center"/>
              <w:rPr>
                <w:b/>
                <w:bCs/>
                <w:lang w:eastAsia="en-NZ"/>
              </w:rPr>
            </w:pPr>
            <w:r w:rsidRPr="00144D7A">
              <w:rPr>
                <w:b/>
                <w:bCs/>
              </w:rPr>
              <w:t>40</w:t>
            </w:r>
          </w:p>
        </w:tc>
        <w:tc>
          <w:tcPr>
            <w:tcW w:w="1488" w:type="dxa"/>
            <w:tcBorders>
              <w:top w:val="single" w:sz="4" w:space="0" w:color="A6A6A6" w:themeColor="background1" w:themeShade="A6"/>
              <w:left w:val="nil"/>
              <w:bottom w:val="single" w:sz="4" w:space="0" w:color="A6A6A6" w:themeColor="background1" w:themeShade="A6"/>
              <w:right w:val="nil"/>
            </w:tcBorders>
            <w:shd w:val="clear" w:color="auto" w:fill="auto"/>
          </w:tcPr>
          <w:p w14:paraId="206CC2FC" w14:textId="474EFF3D" w:rsidR="00144D7A" w:rsidRPr="00144D7A" w:rsidRDefault="00144D7A" w:rsidP="00144D7A">
            <w:pPr>
              <w:pStyle w:val="TableText"/>
              <w:jc w:val="center"/>
              <w:rPr>
                <w:b/>
                <w:bCs/>
                <w:lang w:eastAsia="en-NZ"/>
              </w:rPr>
            </w:pPr>
            <w:r w:rsidRPr="00144D7A">
              <w:rPr>
                <w:b/>
                <w:bCs/>
              </w:rPr>
              <w:t>40</w:t>
            </w:r>
          </w:p>
        </w:tc>
      </w:tr>
    </w:tbl>
    <w:p w14:paraId="7D877CCC" w14:textId="77777777" w:rsidR="00144D7A" w:rsidRDefault="00144D7A" w:rsidP="00144D7A">
      <w:pPr>
        <w:rPr>
          <w:rFonts w:cs="Segoe UI"/>
          <w:szCs w:val="21"/>
          <w:lang w:eastAsia="en-NZ"/>
        </w:rPr>
      </w:pPr>
      <w:r w:rsidRPr="00410E10">
        <w:rPr>
          <w:rFonts w:cs="Segoe UI"/>
          <w:szCs w:val="21"/>
          <w:lang w:eastAsia="en-NZ"/>
        </w:rPr>
        <w:t>Note:</w:t>
      </w:r>
    </w:p>
    <w:p w14:paraId="6A3D817E" w14:textId="51CBAA4D" w:rsidR="00144D7A" w:rsidRPr="001E7528" w:rsidRDefault="00144D7A" w:rsidP="00144D7A">
      <w:pPr>
        <w:rPr>
          <w:rFonts w:cs="Segoe UI"/>
        </w:rPr>
      </w:pPr>
      <w:r w:rsidRPr="001E7528">
        <w:rPr>
          <w:rFonts w:cs="Segoe UI"/>
          <w:szCs w:val="21"/>
          <w:lang w:eastAsia="en-NZ"/>
        </w:rPr>
        <w:t>A person may be found ineligible for more than one reason. The sum by reason is greater than the total number of people assessed as ineligible.   </w:t>
      </w:r>
    </w:p>
    <w:p w14:paraId="549DB695" w14:textId="77777777" w:rsidR="00144D7A" w:rsidRPr="00144D7A" w:rsidRDefault="00144D7A" w:rsidP="00144D7A">
      <w:pPr>
        <w:pStyle w:val="Heading2"/>
        <w:numPr>
          <w:ilvl w:val="0"/>
          <w:numId w:val="12"/>
        </w:numPr>
        <w:ind w:hanging="720"/>
      </w:pPr>
      <w:bookmarkStart w:id="84" w:name="_Toc103085573"/>
      <w:bookmarkStart w:id="85" w:name="_Toc103606337"/>
      <w:bookmarkStart w:id="86" w:name="_Toc104460687"/>
      <w:bookmarkStart w:id="87" w:name="_Toc106611879"/>
      <w:r w:rsidRPr="00144D7A">
        <w:t>Future reporting and research</w:t>
      </w:r>
      <w:bookmarkEnd w:id="84"/>
      <w:bookmarkEnd w:id="85"/>
      <w:bookmarkEnd w:id="86"/>
      <w:bookmarkEnd w:id="87"/>
    </w:p>
    <w:p w14:paraId="5B65BD68" w14:textId="77777777" w:rsidR="00144D7A" w:rsidRPr="00BA21CA" w:rsidRDefault="00144D7A" w:rsidP="00144D7A">
      <w:r w:rsidRPr="00BA21CA">
        <w:t>The Ministry has systems in place to collect information about assisted dying</w:t>
      </w:r>
      <w:r>
        <w:t xml:space="preserve"> and is </w:t>
      </w:r>
      <w:r w:rsidRPr="00BA21CA">
        <w:t>collecting both quantitative and qualitative data, recognising that this helps us understand both</w:t>
      </w:r>
      <w:r>
        <w:t xml:space="preserve"> who is accessing the service and how it is being provided. Data also gives information on </w:t>
      </w:r>
      <w:r w:rsidRPr="00BA21CA">
        <w:t xml:space="preserve">how the process is experienced by people, their </w:t>
      </w:r>
      <w:proofErr w:type="spellStart"/>
      <w:r w:rsidRPr="00BA21CA">
        <w:t>whānau</w:t>
      </w:r>
      <w:proofErr w:type="spellEnd"/>
      <w:r w:rsidRPr="00BA21CA">
        <w:t xml:space="preserve">, and </w:t>
      </w:r>
      <w:r>
        <w:t>practitioners</w:t>
      </w:r>
      <w:r w:rsidRPr="00BA21CA">
        <w:t xml:space="preserve"> who provide the service. </w:t>
      </w:r>
    </w:p>
    <w:p w14:paraId="69202FC5" w14:textId="77777777" w:rsidR="00144D7A" w:rsidRPr="00BA21CA" w:rsidRDefault="00144D7A" w:rsidP="00144D7A"/>
    <w:p w14:paraId="12D5957A" w14:textId="77777777" w:rsidR="00144D7A" w:rsidRPr="00BA21CA" w:rsidRDefault="00144D7A" w:rsidP="00144D7A">
      <w:r w:rsidRPr="537D20A4">
        <w:t>The level of detail that can currently be reported is limited, due to the need to protect confidentiality given the low number of cases to date. The Ministry intends to include further detail in this annual report over time, with a view to supporting transparency by providing public information on the operation of the assisted dying service.</w:t>
      </w:r>
    </w:p>
    <w:p w14:paraId="26D414EE" w14:textId="77777777" w:rsidR="00144D7A" w:rsidRPr="00BA21CA" w:rsidRDefault="00144D7A" w:rsidP="00144D7A">
      <w:pPr>
        <w:pStyle w:val="Heading3"/>
      </w:pPr>
      <w:r w:rsidRPr="00BA21CA">
        <w:rPr>
          <w:rStyle w:val="Strong"/>
          <w:b w:val="0"/>
          <w:bCs w:val="0"/>
        </w:rPr>
        <w:t>Supporting research related to assisted dying</w:t>
      </w:r>
    </w:p>
    <w:p w14:paraId="3133BD5D" w14:textId="77777777" w:rsidR="00144D7A" w:rsidRDefault="00144D7A" w:rsidP="00144D7A">
      <w:r>
        <w:t>During the implementation,</w:t>
      </w:r>
      <w:r w:rsidRPr="00BA21CA">
        <w:t xml:space="preserve"> the Ministry</w:t>
      </w:r>
      <w:r>
        <w:t xml:space="preserve"> drew</w:t>
      </w:r>
      <w:r w:rsidRPr="00BA21CA">
        <w:t xml:space="preserve"> from knowledge and experiences in other jurisdictions where assisted dying is </w:t>
      </w:r>
      <w:r>
        <w:t>available</w:t>
      </w:r>
      <w:r w:rsidRPr="00BA21CA">
        <w:t xml:space="preserve"> (most notably Victoria</w:t>
      </w:r>
      <w:r>
        <w:t xml:space="preserve"> in</w:t>
      </w:r>
      <w:r w:rsidRPr="00BA21CA">
        <w:t xml:space="preserve"> Australia, and Canada). </w:t>
      </w:r>
    </w:p>
    <w:p w14:paraId="28F45687" w14:textId="77777777" w:rsidR="00144D7A" w:rsidRDefault="00144D7A" w:rsidP="00144D7A"/>
    <w:p w14:paraId="40A8464B" w14:textId="5AC7482A" w:rsidR="00144D7A" w:rsidRPr="00BA21CA" w:rsidRDefault="00144D7A" w:rsidP="00144D7A">
      <w:r>
        <w:t>The</w:t>
      </w:r>
      <w:r w:rsidRPr="00BA21CA">
        <w:t xml:space="preserve"> Ministry recognises that there will be a need for a body of knowledge to develop around assisted dying that is specific to New Zealand</w:t>
      </w:r>
      <w:r w:rsidR="00FE1665" w:rsidRPr="00FE1665">
        <w:t xml:space="preserve"> </w:t>
      </w:r>
      <w:r w:rsidR="00FE1665">
        <w:t>Aotearoa</w:t>
      </w:r>
      <w:r w:rsidRPr="00BA21CA">
        <w:t>.</w:t>
      </w:r>
      <w:r>
        <w:t xml:space="preserve"> </w:t>
      </w:r>
      <w:r w:rsidRPr="00BA21CA">
        <w:t>This knowledge can inform both how assisted dying is provided in practice, but also wider conversations and understandings about the social and cultural implications of assisted dying</w:t>
      </w:r>
      <w:r>
        <w:t xml:space="preserve">, including for Māori and </w:t>
      </w:r>
      <w:proofErr w:type="spellStart"/>
      <w:r>
        <w:t>whānau</w:t>
      </w:r>
      <w:proofErr w:type="spellEnd"/>
      <w:r>
        <w:t xml:space="preserve"> Māori</w:t>
      </w:r>
      <w:r w:rsidRPr="00BA21CA">
        <w:t>. </w:t>
      </w:r>
    </w:p>
    <w:p w14:paraId="129D8F81" w14:textId="77777777" w:rsidR="00144D7A" w:rsidRPr="00BA21CA" w:rsidRDefault="00144D7A" w:rsidP="00144D7A"/>
    <w:p w14:paraId="4196FCB0" w14:textId="77777777" w:rsidR="00144D7A" w:rsidRPr="00BA21CA" w:rsidRDefault="00144D7A" w:rsidP="00144D7A">
      <w:r w:rsidRPr="00BA21CA">
        <w:t xml:space="preserve">The Ministry considers that the development of locally relevant research and evidence related to assisted dying is best led by researchers. </w:t>
      </w:r>
      <w:r>
        <w:t>It</w:t>
      </w:r>
      <w:r w:rsidRPr="00BA21CA">
        <w:t xml:space="preserve"> plan</w:t>
      </w:r>
      <w:r>
        <w:t>s</w:t>
      </w:r>
      <w:r w:rsidRPr="00BA21CA">
        <w:t xml:space="preserve"> to develop </w:t>
      </w:r>
      <w:r>
        <w:t>a strategy</w:t>
      </w:r>
      <w:r w:rsidRPr="00BA21CA">
        <w:t xml:space="preserve"> document that sets out how the Ministry will support research in this area.</w:t>
      </w:r>
    </w:p>
    <w:p w14:paraId="4D24B67D" w14:textId="77777777" w:rsidR="00144D7A" w:rsidRPr="00BA1FE2" w:rsidRDefault="00144D7A" w:rsidP="00144D7A">
      <w:pPr>
        <w:rPr>
          <w:lang w:eastAsia="en-NZ"/>
        </w:rPr>
      </w:pPr>
    </w:p>
    <w:p w14:paraId="2B5F6502" w14:textId="77777777" w:rsidR="00442E3E" w:rsidRDefault="00442E3E" w:rsidP="00442E3E">
      <w:pPr>
        <w:pStyle w:val="Heading1"/>
        <w:rPr>
          <w:rFonts w:cs="Segoe UI"/>
        </w:rPr>
      </w:pPr>
      <w:bookmarkStart w:id="88" w:name="_Toc103085574"/>
      <w:bookmarkStart w:id="89" w:name="_Toc103606338"/>
      <w:bookmarkStart w:id="90" w:name="_Toc104460688"/>
      <w:bookmarkStart w:id="91" w:name="_Toc106611880"/>
      <w:r w:rsidRPr="537D20A4">
        <w:rPr>
          <w:rFonts w:cs="Segoe UI"/>
        </w:rPr>
        <w:lastRenderedPageBreak/>
        <w:t>Assisted dying workforce</w:t>
      </w:r>
      <w:bookmarkEnd w:id="88"/>
      <w:bookmarkEnd w:id="89"/>
      <w:bookmarkEnd w:id="90"/>
      <w:bookmarkEnd w:id="91"/>
    </w:p>
    <w:p w14:paraId="05B2BE05" w14:textId="77777777" w:rsidR="00442E3E" w:rsidRDefault="00442E3E" w:rsidP="00442E3E">
      <w:r w:rsidRPr="537D20A4">
        <w:t xml:space="preserve">The delivery model for the assisted dying service enables any willing medical practitioner, nurse practitioner or psychiatrist to choose to provide </w:t>
      </w:r>
      <w:r>
        <w:t xml:space="preserve">the </w:t>
      </w:r>
      <w:r w:rsidRPr="537D20A4">
        <w:t xml:space="preserve">service. The practitioners involved in providing assisted dying services are from a diverse range of </w:t>
      </w:r>
      <w:r>
        <w:t>backgrounds</w:t>
      </w:r>
      <w:r w:rsidRPr="537D20A4">
        <w:t xml:space="preserve"> – 40% specialist doctors, 40% working in general practice, 20% other (no specialist scope). </w:t>
      </w:r>
    </w:p>
    <w:p w14:paraId="35307373" w14:textId="77777777" w:rsidR="00442E3E" w:rsidRDefault="00442E3E" w:rsidP="00442E3E"/>
    <w:p w14:paraId="1EC9CE02" w14:textId="77777777" w:rsidR="00442E3E" w:rsidRPr="007B5163" w:rsidRDefault="00442E3E" w:rsidP="00442E3E">
      <w:pPr>
        <w:rPr>
          <w:szCs w:val="21"/>
        </w:rPr>
      </w:pPr>
      <w:r>
        <w:rPr>
          <w:szCs w:val="21"/>
        </w:rPr>
        <w:t>Most practitioners providing assisted dying services are on the approved SCENZ lists. (Note: practitioners must be on the list to provide services as an Independent Medical Practitioner (IMP) or psychiatrist.) P</w:t>
      </w:r>
      <w:r w:rsidRPr="00542198">
        <w:t xml:space="preserve">ractitioners do not need to be on the </w:t>
      </w:r>
      <w:r>
        <w:t xml:space="preserve">SCENZ </w:t>
      </w:r>
      <w:r w:rsidRPr="00542198">
        <w:t>lists to provide services</w:t>
      </w:r>
      <w:r>
        <w:t xml:space="preserve"> as an AMP or ANP, and in some cases general practitioners who are not on the SCENZ list have chosen to provide assisted dying services to their own patients at their request. </w:t>
      </w:r>
    </w:p>
    <w:p w14:paraId="3EF0E44A" w14:textId="77777777" w:rsidR="00442E3E" w:rsidRDefault="00442E3E" w:rsidP="00442E3E"/>
    <w:p w14:paraId="3A72C240" w14:textId="77777777" w:rsidR="00442E3E" w:rsidRDefault="00442E3E" w:rsidP="00442E3E">
      <w:r>
        <w:t xml:space="preserve">The Ministry considers supporting general practitioners to provide assisted dying services to their own patients an important factor in supporting continuity of care and choice for people accessing the service, growing the assisted dying workforce, and reducing the demand on the practitioners on the SCENZ list. </w:t>
      </w:r>
    </w:p>
    <w:p w14:paraId="5F92E325" w14:textId="77777777" w:rsidR="00442E3E" w:rsidRDefault="00442E3E" w:rsidP="00442E3E">
      <w:pPr>
        <w:rPr>
          <w:szCs w:val="21"/>
        </w:rPr>
      </w:pPr>
    </w:p>
    <w:p w14:paraId="2120F0BD" w14:textId="77777777" w:rsidR="00442E3E" w:rsidRPr="00C17369" w:rsidRDefault="00442E3E" w:rsidP="00442E3E">
      <w:pPr>
        <w:rPr>
          <w:szCs w:val="21"/>
        </w:rPr>
      </w:pPr>
      <w:r>
        <w:rPr>
          <w:szCs w:val="21"/>
        </w:rPr>
        <w:t xml:space="preserve">Practitioners can claim funding via a section 88 notice if services are provided outside of </w:t>
      </w:r>
      <w:r w:rsidRPr="61D104B1">
        <w:t xml:space="preserve">their existing contract with a public hospital (subject to meeting eligibility criteria). </w:t>
      </w:r>
      <w:r>
        <w:t xml:space="preserve">To receive funding under the Section 88 notice, practitioners must have completed the training modules. </w:t>
      </w:r>
      <w:r w:rsidRPr="61D104B1">
        <w:t xml:space="preserve">As </w:t>
      </w:r>
      <w:r>
        <w:t>of</w:t>
      </w:r>
      <w:r w:rsidRPr="61D104B1">
        <w:t xml:space="preserve"> 31 March</w:t>
      </w:r>
      <w:r>
        <w:t xml:space="preserve"> 2022</w:t>
      </w:r>
      <w:r w:rsidRPr="61D104B1">
        <w:t>, all practitioners had claimed funding through the section 88 notice</w:t>
      </w:r>
      <w:r>
        <w:t>. A</w:t>
      </w:r>
      <w:r w:rsidRPr="61D104B1">
        <w:t xml:space="preserve">ssisted dying services are not currently being provided within a practitioner’s contract with a public hospital.  </w:t>
      </w:r>
    </w:p>
    <w:p w14:paraId="07C04487" w14:textId="77777777" w:rsidR="00442E3E" w:rsidRDefault="00442E3E" w:rsidP="00442E3E"/>
    <w:p w14:paraId="7611958E" w14:textId="77777777" w:rsidR="00442E3E" w:rsidRDefault="00442E3E" w:rsidP="00442E3E">
      <w:r w:rsidRPr="49027C90">
        <w:t xml:space="preserve">Whether to provide assisted dying services is an individual and personal choice. Every health practitioner has the right to conscientiously object to being involved in the service. However, this does not absolve them of their obligations under the </w:t>
      </w:r>
      <w:hyperlink r:id="rId35">
        <w:r w:rsidRPr="49027C90">
          <w:rPr>
            <w:rStyle w:val="Hyperlink"/>
            <w:rFonts w:cs="Segoe UI"/>
          </w:rPr>
          <w:t>Code of Health and Disability Services Consumers’ Rights</w:t>
        </w:r>
      </w:hyperlink>
      <w:r w:rsidRPr="49027C90">
        <w:t xml:space="preserve">. </w:t>
      </w:r>
    </w:p>
    <w:p w14:paraId="634EC94A" w14:textId="77777777" w:rsidR="00442E3E" w:rsidRPr="00442E3E" w:rsidRDefault="00442E3E" w:rsidP="00442E3E">
      <w:pPr>
        <w:pStyle w:val="Heading2"/>
        <w:numPr>
          <w:ilvl w:val="0"/>
          <w:numId w:val="16"/>
        </w:numPr>
        <w:ind w:hanging="720"/>
      </w:pPr>
      <w:bookmarkStart w:id="92" w:name="_Toc103085575"/>
      <w:bookmarkStart w:id="93" w:name="_Toc103606340"/>
      <w:bookmarkStart w:id="94" w:name="_Toc104460690"/>
      <w:bookmarkStart w:id="95" w:name="_Toc106611881"/>
      <w:bookmarkStart w:id="96" w:name="_Toc103606339"/>
      <w:bookmarkStart w:id="97" w:name="_Toc104460689"/>
      <w:r w:rsidRPr="00442E3E">
        <w:t>SCENZ Group practitioner lists</w:t>
      </w:r>
      <w:bookmarkEnd w:id="92"/>
      <w:bookmarkEnd w:id="93"/>
      <w:bookmarkEnd w:id="94"/>
      <w:bookmarkEnd w:id="95"/>
    </w:p>
    <w:p w14:paraId="608CFCFD" w14:textId="77777777" w:rsidR="00442E3E" w:rsidRDefault="00442E3E" w:rsidP="00442E3E">
      <w:r w:rsidRPr="444C2F7D">
        <w:t xml:space="preserve">The SCENZ Group holds lists of practitioners willing to be an attending medical or nurse practitioner, independent medical practitioner, or psychiatrist in the assisted dying process. </w:t>
      </w:r>
      <w:r>
        <w:t>Some practitioners elect to provide this service only to their own patients and they are not on the SCENZ list.</w:t>
      </w:r>
    </w:p>
    <w:p w14:paraId="1BD25F56" w14:textId="77777777" w:rsidR="00442E3E" w:rsidRDefault="00442E3E" w:rsidP="00442E3E"/>
    <w:p w14:paraId="70A02F85" w14:textId="77777777" w:rsidR="00442E3E" w:rsidRDefault="00442E3E" w:rsidP="00442E3E">
      <w:r>
        <w:t xml:space="preserve">Expressions of interest to be on the lists opened in August 2021. The lists remain open and eligible practitioners may register to be on the lists or withdraw themselves from the </w:t>
      </w:r>
      <w:r w:rsidRPr="003F7F5C">
        <w:rPr>
          <w:szCs w:val="21"/>
        </w:rPr>
        <w:t>lists</w:t>
      </w:r>
      <w:r>
        <w:rPr>
          <w:szCs w:val="21"/>
        </w:rPr>
        <w:t xml:space="preserve"> </w:t>
      </w:r>
      <w:r>
        <w:t>at any time</w:t>
      </w:r>
      <w:r w:rsidRPr="003F7F5C">
        <w:rPr>
          <w:szCs w:val="21"/>
        </w:rPr>
        <w:t xml:space="preserve">. </w:t>
      </w:r>
      <w:r>
        <w:rPr>
          <w:szCs w:val="21"/>
        </w:rPr>
        <w:t xml:space="preserve">The Ministry has a process in place with the Medical Council to confirm a practitioner’s eligibility to be on the lists. </w:t>
      </w:r>
      <w:r w:rsidRPr="003F7F5C">
        <w:rPr>
          <w:szCs w:val="21"/>
          <w:shd w:val="clear" w:color="auto" w:fill="FFFFFF"/>
        </w:rPr>
        <w:t>The SCENZ lists and information</w:t>
      </w:r>
      <w:r>
        <w:rPr>
          <w:szCs w:val="21"/>
          <w:shd w:val="clear" w:color="auto" w:fill="FFFFFF"/>
        </w:rPr>
        <w:t xml:space="preserve"> they</w:t>
      </w:r>
      <w:r w:rsidRPr="003F7F5C">
        <w:rPr>
          <w:szCs w:val="21"/>
          <w:shd w:val="clear" w:color="auto" w:fill="FFFFFF"/>
        </w:rPr>
        <w:t xml:space="preserve"> contai</w:t>
      </w:r>
      <w:r>
        <w:rPr>
          <w:szCs w:val="21"/>
          <w:shd w:val="clear" w:color="auto" w:fill="FFFFFF"/>
        </w:rPr>
        <w:t>n</w:t>
      </w:r>
      <w:r w:rsidRPr="003F7F5C">
        <w:rPr>
          <w:szCs w:val="21"/>
          <w:shd w:val="clear" w:color="auto" w:fill="FFFFFF"/>
        </w:rPr>
        <w:t xml:space="preserve"> are held securely and practitioners</w:t>
      </w:r>
      <w:r>
        <w:rPr>
          <w:szCs w:val="21"/>
          <w:shd w:val="clear" w:color="auto" w:fill="FFFFFF"/>
        </w:rPr>
        <w:t>’</w:t>
      </w:r>
      <w:r w:rsidRPr="003F7F5C">
        <w:rPr>
          <w:szCs w:val="21"/>
          <w:shd w:val="clear" w:color="auto" w:fill="FFFFFF"/>
        </w:rPr>
        <w:t xml:space="preserve"> details are only provided with their permission.</w:t>
      </w:r>
      <w:r w:rsidRPr="003F7F5C">
        <w:rPr>
          <w:rFonts w:ascii="Arial" w:hAnsi="Arial" w:cs="Arial"/>
          <w:sz w:val="20"/>
          <w:shd w:val="clear" w:color="auto" w:fill="FFFFFF"/>
        </w:rPr>
        <w:t xml:space="preserve"> </w:t>
      </w:r>
    </w:p>
    <w:p w14:paraId="4C4BF3E2" w14:textId="77777777" w:rsidR="00442E3E" w:rsidRDefault="00442E3E" w:rsidP="00442E3E"/>
    <w:p w14:paraId="18D7F49A" w14:textId="77777777" w:rsidR="00442E3E" w:rsidRDefault="00442E3E" w:rsidP="00442E3E"/>
    <w:p w14:paraId="477D902F" w14:textId="77777777" w:rsidR="00442E3E" w:rsidRDefault="00442E3E" w:rsidP="00442E3E">
      <w:r>
        <w:lastRenderedPageBreak/>
        <w:t xml:space="preserve">As of 31 March 2022, 130 practitioners are registered to be on the SCENZ list. The breakdown of roles is as follows: </w:t>
      </w:r>
    </w:p>
    <w:p w14:paraId="2C2A4F88" w14:textId="77777777" w:rsidR="00442E3E" w:rsidRDefault="00442E3E" w:rsidP="00442E3E">
      <w:pPr>
        <w:pStyle w:val="Bullet"/>
      </w:pPr>
      <w:r>
        <w:t>91 registered to be an attending medical practitioner</w:t>
      </w:r>
    </w:p>
    <w:p w14:paraId="6E39E507" w14:textId="77777777" w:rsidR="00442E3E" w:rsidRDefault="00442E3E" w:rsidP="00442E3E">
      <w:pPr>
        <w:pStyle w:val="Bullet"/>
      </w:pPr>
      <w:r>
        <w:t>83 registered to be an independent medical practitioner</w:t>
      </w:r>
    </w:p>
    <w:p w14:paraId="3E142877" w14:textId="77777777" w:rsidR="00442E3E" w:rsidRDefault="00442E3E" w:rsidP="00442E3E">
      <w:pPr>
        <w:pStyle w:val="Bullet"/>
      </w:pPr>
      <w:r>
        <w:t xml:space="preserve">11 registered to be a psychiatrist </w:t>
      </w:r>
    </w:p>
    <w:p w14:paraId="26613EDD" w14:textId="77777777" w:rsidR="00442E3E" w:rsidRDefault="00442E3E" w:rsidP="00442E3E">
      <w:pPr>
        <w:pStyle w:val="Bullet"/>
      </w:pPr>
      <w:r>
        <w:t xml:space="preserve">10 registered to be an attending nurse practitioner. </w:t>
      </w:r>
    </w:p>
    <w:p w14:paraId="1AC7FF32" w14:textId="77777777" w:rsidR="00442E3E" w:rsidRDefault="00442E3E" w:rsidP="00442E3E"/>
    <w:p w14:paraId="7BB571C2" w14:textId="0595D4CB" w:rsidR="00442E3E" w:rsidRDefault="00442E3E" w:rsidP="00442E3E">
      <w:r w:rsidRPr="00D72E34">
        <w:t xml:space="preserve">Medical practitioners can be on the SCENZ list for more than one role, depending on their scope of practice </w:t>
      </w:r>
      <w:r>
        <w:t>(AMP, IMP,</w:t>
      </w:r>
      <w:r w:rsidRPr="00D72E34">
        <w:t xml:space="preserve"> psychiatrist). </w:t>
      </w:r>
      <w:r>
        <w:t>Most medical practitioners are choosing to be both an AMP and an IMP. Therefore t</w:t>
      </w:r>
      <w:r w:rsidRPr="00D72E34">
        <w:t>he sum of counts for each role will be greater than the number of unique practitioners. </w:t>
      </w:r>
      <w:r>
        <w:t xml:space="preserve"> </w:t>
      </w:r>
    </w:p>
    <w:p w14:paraId="601128FD" w14:textId="77777777" w:rsidR="00442E3E" w:rsidRPr="00D72E34" w:rsidRDefault="00442E3E" w:rsidP="00442E3E"/>
    <w:p w14:paraId="7ADA18A2" w14:textId="0F7F8D38" w:rsidR="00442E3E" w:rsidRDefault="004654B7" w:rsidP="00442E3E">
      <w:r>
        <w:fldChar w:fldCharType="begin"/>
      </w:r>
      <w:r>
        <w:instrText xml:space="preserve"> REF _Ref106198337 \h </w:instrText>
      </w:r>
      <w:r>
        <w:fldChar w:fldCharType="separate"/>
      </w:r>
      <w:r w:rsidR="004B5578">
        <w:t xml:space="preserve">Table </w:t>
      </w:r>
      <w:r w:rsidR="004B5578">
        <w:rPr>
          <w:noProof/>
        </w:rPr>
        <w:t>3</w:t>
      </w:r>
      <w:r>
        <w:fldChar w:fldCharType="end"/>
      </w:r>
      <w:r>
        <w:t xml:space="preserve"> s</w:t>
      </w:r>
      <w:r w:rsidR="00442E3E" w:rsidRPr="00D72E34">
        <w:t>hows the distribution of health practitioners registered on the </w:t>
      </w:r>
      <w:hyperlink r:id="rId36" w:history="1">
        <w:r w:rsidR="00442E3E" w:rsidRPr="00D72E34">
          <w:rPr>
            <w:rStyle w:val="Hyperlink"/>
            <w:rFonts w:cs="Segoe UI"/>
            <w:color w:val="auto"/>
            <w:szCs w:val="21"/>
          </w:rPr>
          <w:t>SCENZ Group lists</w:t>
        </w:r>
      </w:hyperlink>
      <w:r w:rsidR="00442E3E" w:rsidRPr="00D72E34">
        <w:t> by the DHB region of their usual working location and the role(s) for which they are available. </w:t>
      </w:r>
    </w:p>
    <w:p w14:paraId="79FF2335" w14:textId="77777777" w:rsidR="00442E3E" w:rsidRDefault="00442E3E" w:rsidP="00442E3E"/>
    <w:p w14:paraId="1BEFF41E" w14:textId="4BF69353" w:rsidR="00442E3E" w:rsidRDefault="00442E3E" w:rsidP="00442E3E">
      <w:r w:rsidRPr="00D72E34">
        <w:t xml:space="preserve">Many practitioners are willing to travel to provide assisted dying services. </w:t>
      </w:r>
      <w:r>
        <w:t xml:space="preserve">Areas with low numbers of practitioners are being served by practitioners who are willing to travel to provide services and to use telehealth consultations, where appropriate. </w:t>
      </w:r>
    </w:p>
    <w:p w14:paraId="4D7EC6B8" w14:textId="77777777" w:rsidR="00442E3E" w:rsidRPr="00D72E34" w:rsidRDefault="00442E3E" w:rsidP="00442E3E"/>
    <w:p w14:paraId="5F74E0B6" w14:textId="313CFE47" w:rsidR="00442E3E" w:rsidRDefault="00442E3E" w:rsidP="00442E3E">
      <w:r w:rsidRPr="00D72E34">
        <w:t>Note: Figures below three have been suppressed for privacy reasons and are replaced with an ‘S’ in the table. </w:t>
      </w:r>
    </w:p>
    <w:p w14:paraId="431FA634" w14:textId="77777777" w:rsidR="00442E3E" w:rsidRDefault="00442E3E" w:rsidP="00442E3E">
      <w:pPr>
        <w:pStyle w:val="Table"/>
      </w:pPr>
    </w:p>
    <w:p w14:paraId="5F1DB285" w14:textId="77777777" w:rsidR="008E1B14" w:rsidRDefault="008E1B14" w:rsidP="00442E3E">
      <w:pPr>
        <w:pStyle w:val="Table"/>
        <w:sectPr w:rsidR="008E1B14" w:rsidSect="00DD1B3A">
          <w:pgSz w:w="11907" w:h="16834" w:code="9"/>
          <w:pgMar w:top="1418" w:right="1701" w:bottom="1134" w:left="1843" w:header="284" w:footer="425" w:gutter="284"/>
          <w:cols w:space="720"/>
          <w:docGrid w:linePitch="286"/>
        </w:sectPr>
      </w:pPr>
    </w:p>
    <w:p w14:paraId="4D9EDD01" w14:textId="3E668AC8" w:rsidR="00442E3E" w:rsidRDefault="00442E3E" w:rsidP="00442E3E">
      <w:pPr>
        <w:pStyle w:val="Table"/>
      </w:pPr>
      <w:bookmarkStart w:id="98" w:name="_Ref106198337"/>
      <w:bookmarkStart w:id="99" w:name="_Toc106611894"/>
      <w:r>
        <w:lastRenderedPageBreak/>
        <w:t xml:space="preserve">Table </w:t>
      </w:r>
      <w:fldSimple w:instr=" SEQ Table \* ARABIC ">
        <w:r w:rsidR="004B5578">
          <w:rPr>
            <w:noProof/>
          </w:rPr>
          <w:t>3</w:t>
        </w:r>
      </w:fldSimple>
      <w:bookmarkEnd w:id="98"/>
      <w:r>
        <w:t xml:space="preserve">: </w:t>
      </w:r>
      <w:r w:rsidRPr="00C66804">
        <w:t xml:space="preserve">Count of practitioners by role and DHB region as </w:t>
      </w:r>
      <w:r>
        <w:t>of</w:t>
      </w:r>
      <w:r w:rsidRPr="00C66804">
        <w:t xml:space="preserve"> 31 March</w:t>
      </w:r>
      <w:r>
        <w:t xml:space="preserve"> 2022</w:t>
      </w:r>
      <w:bookmarkEnd w:id="99"/>
    </w:p>
    <w:tbl>
      <w:tblPr>
        <w:tblStyle w:val="TableGrid"/>
        <w:tblW w:w="0" w:type="auto"/>
        <w:tblInd w:w="108"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1932"/>
        <w:gridCol w:w="2040"/>
        <w:gridCol w:w="2041"/>
        <w:gridCol w:w="2040"/>
        <w:gridCol w:w="2041"/>
        <w:gridCol w:w="2040"/>
        <w:gridCol w:w="2041"/>
      </w:tblGrid>
      <w:tr w:rsidR="008E1B14" w:rsidRPr="008E1B14" w14:paraId="2C217A23" w14:textId="77777777" w:rsidTr="008E1B14">
        <w:trPr>
          <w:tblHeader/>
        </w:trPr>
        <w:tc>
          <w:tcPr>
            <w:tcW w:w="1932" w:type="dxa"/>
            <w:tcBorders>
              <w:top w:val="nil"/>
              <w:bottom w:val="nil"/>
            </w:tcBorders>
            <w:shd w:val="clear" w:color="auto" w:fill="D9D9D9" w:themeFill="background1" w:themeFillShade="D9"/>
          </w:tcPr>
          <w:p w14:paraId="1D665A99" w14:textId="77777777" w:rsidR="008E1B14" w:rsidRPr="008E1B14" w:rsidRDefault="008E1B14" w:rsidP="00E608F5">
            <w:pPr>
              <w:pStyle w:val="TableText"/>
              <w:rPr>
                <w:b/>
                <w:bCs/>
              </w:rPr>
            </w:pPr>
            <w:r w:rsidRPr="008E1B14">
              <w:rPr>
                <w:b/>
                <w:bCs/>
              </w:rPr>
              <w:t>Region</w:t>
            </w:r>
          </w:p>
        </w:tc>
        <w:tc>
          <w:tcPr>
            <w:tcW w:w="2040" w:type="dxa"/>
            <w:tcBorders>
              <w:top w:val="nil"/>
              <w:bottom w:val="nil"/>
            </w:tcBorders>
            <w:shd w:val="clear" w:color="auto" w:fill="D9D9D9" w:themeFill="background1" w:themeFillShade="D9"/>
          </w:tcPr>
          <w:p w14:paraId="7AAE59DF" w14:textId="77777777" w:rsidR="008E1B14" w:rsidRPr="008E1B14" w:rsidRDefault="008E1B14" w:rsidP="00E608F5">
            <w:pPr>
              <w:pStyle w:val="TableText"/>
              <w:rPr>
                <w:b/>
                <w:bCs/>
              </w:rPr>
            </w:pPr>
            <w:r w:rsidRPr="008E1B14">
              <w:rPr>
                <w:b/>
                <w:bCs/>
              </w:rPr>
              <w:t>DHBs</w:t>
            </w:r>
          </w:p>
        </w:tc>
        <w:tc>
          <w:tcPr>
            <w:tcW w:w="2041" w:type="dxa"/>
            <w:tcBorders>
              <w:top w:val="nil"/>
              <w:bottom w:val="nil"/>
            </w:tcBorders>
            <w:shd w:val="clear" w:color="auto" w:fill="D9D9D9" w:themeFill="background1" w:themeFillShade="D9"/>
          </w:tcPr>
          <w:p w14:paraId="0DBACC5B" w14:textId="77777777" w:rsidR="008E1B14" w:rsidRPr="008E1B14" w:rsidRDefault="008E1B14" w:rsidP="00E608F5">
            <w:pPr>
              <w:pStyle w:val="TableText"/>
              <w:jc w:val="center"/>
              <w:rPr>
                <w:b/>
                <w:bCs/>
              </w:rPr>
            </w:pPr>
            <w:r w:rsidRPr="008E1B14">
              <w:rPr>
                <w:b/>
                <w:bCs/>
              </w:rPr>
              <w:t>Total unique practitioners</w:t>
            </w:r>
          </w:p>
        </w:tc>
        <w:tc>
          <w:tcPr>
            <w:tcW w:w="2040" w:type="dxa"/>
            <w:tcBorders>
              <w:top w:val="nil"/>
              <w:bottom w:val="nil"/>
            </w:tcBorders>
            <w:shd w:val="clear" w:color="auto" w:fill="D9D9D9" w:themeFill="background1" w:themeFillShade="D9"/>
          </w:tcPr>
          <w:p w14:paraId="523E7AC7" w14:textId="77777777" w:rsidR="008E1B14" w:rsidRPr="008E1B14" w:rsidRDefault="008E1B14" w:rsidP="00E608F5">
            <w:pPr>
              <w:pStyle w:val="TableText"/>
              <w:jc w:val="center"/>
              <w:rPr>
                <w:b/>
                <w:bCs/>
              </w:rPr>
            </w:pPr>
            <w:r w:rsidRPr="008E1B14">
              <w:rPr>
                <w:b/>
                <w:bCs/>
              </w:rPr>
              <w:t>Attending medical practitioner</w:t>
            </w:r>
          </w:p>
        </w:tc>
        <w:tc>
          <w:tcPr>
            <w:tcW w:w="2041" w:type="dxa"/>
            <w:tcBorders>
              <w:top w:val="nil"/>
              <w:bottom w:val="nil"/>
            </w:tcBorders>
            <w:shd w:val="clear" w:color="auto" w:fill="D9D9D9" w:themeFill="background1" w:themeFillShade="D9"/>
          </w:tcPr>
          <w:p w14:paraId="41F8F537" w14:textId="77777777" w:rsidR="008E1B14" w:rsidRPr="008E1B14" w:rsidRDefault="008E1B14" w:rsidP="00E608F5">
            <w:pPr>
              <w:pStyle w:val="TableText"/>
              <w:jc w:val="center"/>
              <w:rPr>
                <w:b/>
                <w:bCs/>
              </w:rPr>
            </w:pPr>
            <w:r w:rsidRPr="008E1B14">
              <w:rPr>
                <w:b/>
                <w:bCs/>
              </w:rPr>
              <w:t>Independent medical practitioner</w:t>
            </w:r>
          </w:p>
        </w:tc>
        <w:tc>
          <w:tcPr>
            <w:tcW w:w="2040" w:type="dxa"/>
            <w:tcBorders>
              <w:top w:val="nil"/>
              <w:bottom w:val="nil"/>
            </w:tcBorders>
            <w:shd w:val="clear" w:color="auto" w:fill="D9D9D9" w:themeFill="background1" w:themeFillShade="D9"/>
          </w:tcPr>
          <w:p w14:paraId="06E41F6B" w14:textId="77777777" w:rsidR="008E1B14" w:rsidRPr="008E1B14" w:rsidRDefault="008E1B14" w:rsidP="00E608F5">
            <w:pPr>
              <w:pStyle w:val="TableText"/>
              <w:jc w:val="center"/>
              <w:rPr>
                <w:b/>
                <w:bCs/>
              </w:rPr>
            </w:pPr>
            <w:r w:rsidRPr="008E1B14">
              <w:rPr>
                <w:b/>
                <w:bCs/>
              </w:rPr>
              <w:t>Psychiatrist</w:t>
            </w:r>
          </w:p>
        </w:tc>
        <w:tc>
          <w:tcPr>
            <w:tcW w:w="2041" w:type="dxa"/>
            <w:tcBorders>
              <w:top w:val="nil"/>
              <w:bottom w:val="nil"/>
            </w:tcBorders>
            <w:shd w:val="clear" w:color="auto" w:fill="D9D9D9" w:themeFill="background1" w:themeFillShade="D9"/>
          </w:tcPr>
          <w:p w14:paraId="7895F694" w14:textId="77777777" w:rsidR="008E1B14" w:rsidRPr="008E1B14" w:rsidRDefault="008E1B14" w:rsidP="00E608F5">
            <w:pPr>
              <w:pStyle w:val="TableText"/>
              <w:jc w:val="center"/>
              <w:rPr>
                <w:b/>
                <w:bCs/>
              </w:rPr>
            </w:pPr>
            <w:r w:rsidRPr="008E1B14">
              <w:rPr>
                <w:b/>
                <w:bCs/>
              </w:rPr>
              <w:t>Nurse practitioner</w:t>
            </w:r>
          </w:p>
        </w:tc>
      </w:tr>
      <w:tr w:rsidR="008E1B14" w14:paraId="4BC30375" w14:textId="77777777" w:rsidTr="008E1B14">
        <w:tc>
          <w:tcPr>
            <w:tcW w:w="1932" w:type="dxa"/>
            <w:vMerge w:val="restart"/>
            <w:tcBorders>
              <w:top w:val="nil"/>
            </w:tcBorders>
          </w:tcPr>
          <w:p w14:paraId="1B57599F" w14:textId="77777777" w:rsidR="008E1B14" w:rsidRDefault="008E1B14" w:rsidP="00E608F5">
            <w:pPr>
              <w:pStyle w:val="TableText"/>
            </w:pPr>
            <w:r w:rsidRPr="00442E3E">
              <w:t>Northern</w:t>
            </w:r>
          </w:p>
        </w:tc>
        <w:tc>
          <w:tcPr>
            <w:tcW w:w="2040" w:type="dxa"/>
            <w:tcBorders>
              <w:top w:val="nil"/>
            </w:tcBorders>
          </w:tcPr>
          <w:p w14:paraId="0115F87D" w14:textId="77777777" w:rsidR="008E1B14" w:rsidRDefault="008E1B14" w:rsidP="00E608F5">
            <w:pPr>
              <w:pStyle w:val="TableText"/>
            </w:pPr>
            <w:r w:rsidRPr="00C274EE">
              <w:t>Northland</w:t>
            </w:r>
          </w:p>
        </w:tc>
        <w:tc>
          <w:tcPr>
            <w:tcW w:w="2041" w:type="dxa"/>
            <w:vMerge w:val="restart"/>
            <w:tcBorders>
              <w:top w:val="nil"/>
            </w:tcBorders>
          </w:tcPr>
          <w:p w14:paraId="42EA9114" w14:textId="77777777" w:rsidR="008E1B14" w:rsidRDefault="008E1B14" w:rsidP="00E608F5">
            <w:pPr>
              <w:pStyle w:val="TableText"/>
              <w:jc w:val="center"/>
            </w:pPr>
            <w:r w:rsidRPr="001A605F">
              <w:t>40</w:t>
            </w:r>
          </w:p>
        </w:tc>
        <w:tc>
          <w:tcPr>
            <w:tcW w:w="2040" w:type="dxa"/>
            <w:vMerge w:val="restart"/>
            <w:tcBorders>
              <w:top w:val="nil"/>
            </w:tcBorders>
          </w:tcPr>
          <w:p w14:paraId="3BCC728D" w14:textId="77777777" w:rsidR="008E1B14" w:rsidRDefault="008E1B14" w:rsidP="00E608F5">
            <w:pPr>
              <w:pStyle w:val="TableText"/>
              <w:jc w:val="center"/>
            </w:pPr>
            <w:r w:rsidRPr="001A605F">
              <w:t>25</w:t>
            </w:r>
          </w:p>
        </w:tc>
        <w:tc>
          <w:tcPr>
            <w:tcW w:w="2041" w:type="dxa"/>
            <w:vMerge w:val="restart"/>
            <w:tcBorders>
              <w:top w:val="nil"/>
            </w:tcBorders>
          </w:tcPr>
          <w:p w14:paraId="2D5358B3" w14:textId="77777777" w:rsidR="008E1B14" w:rsidRDefault="008E1B14" w:rsidP="00E608F5">
            <w:pPr>
              <w:pStyle w:val="TableText"/>
              <w:jc w:val="center"/>
            </w:pPr>
            <w:r w:rsidRPr="001A605F">
              <w:t>28</w:t>
            </w:r>
          </w:p>
        </w:tc>
        <w:tc>
          <w:tcPr>
            <w:tcW w:w="2040" w:type="dxa"/>
            <w:vMerge w:val="restart"/>
            <w:tcBorders>
              <w:top w:val="nil"/>
            </w:tcBorders>
          </w:tcPr>
          <w:p w14:paraId="717E9DD2" w14:textId="77777777" w:rsidR="008E1B14" w:rsidRDefault="008E1B14" w:rsidP="00E608F5">
            <w:pPr>
              <w:pStyle w:val="TableText"/>
              <w:jc w:val="center"/>
            </w:pPr>
            <w:r w:rsidRPr="001A605F">
              <w:t>3</w:t>
            </w:r>
          </w:p>
        </w:tc>
        <w:tc>
          <w:tcPr>
            <w:tcW w:w="2041" w:type="dxa"/>
            <w:vMerge w:val="restart"/>
            <w:tcBorders>
              <w:top w:val="nil"/>
            </w:tcBorders>
          </w:tcPr>
          <w:p w14:paraId="2179767B" w14:textId="77777777" w:rsidR="008E1B14" w:rsidRDefault="008E1B14" w:rsidP="00E608F5">
            <w:pPr>
              <w:pStyle w:val="TableText"/>
              <w:jc w:val="center"/>
            </w:pPr>
            <w:r w:rsidRPr="001A605F">
              <w:t>6</w:t>
            </w:r>
          </w:p>
        </w:tc>
      </w:tr>
      <w:tr w:rsidR="008E1B14" w14:paraId="5108F550" w14:textId="77777777" w:rsidTr="008E1B14">
        <w:tc>
          <w:tcPr>
            <w:tcW w:w="1932" w:type="dxa"/>
            <w:vMerge/>
          </w:tcPr>
          <w:p w14:paraId="136870E1" w14:textId="77777777" w:rsidR="008E1B14" w:rsidRDefault="008E1B14" w:rsidP="00E608F5">
            <w:pPr>
              <w:pStyle w:val="TableText"/>
            </w:pPr>
          </w:p>
        </w:tc>
        <w:tc>
          <w:tcPr>
            <w:tcW w:w="2040" w:type="dxa"/>
          </w:tcPr>
          <w:p w14:paraId="28BF2542" w14:textId="77777777" w:rsidR="008E1B14" w:rsidRDefault="008E1B14" w:rsidP="00E608F5">
            <w:pPr>
              <w:pStyle w:val="TableText"/>
            </w:pPr>
            <w:proofErr w:type="spellStart"/>
            <w:r w:rsidRPr="00C274EE">
              <w:t>Waitematā</w:t>
            </w:r>
            <w:proofErr w:type="spellEnd"/>
          </w:p>
        </w:tc>
        <w:tc>
          <w:tcPr>
            <w:tcW w:w="2041" w:type="dxa"/>
            <w:vMerge/>
          </w:tcPr>
          <w:p w14:paraId="48050D53" w14:textId="77777777" w:rsidR="008E1B14" w:rsidRDefault="008E1B14" w:rsidP="00E608F5">
            <w:pPr>
              <w:pStyle w:val="TableText"/>
              <w:jc w:val="center"/>
            </w:pPr>
          </w:p>
        </w:tc>
        <w:tc>
          <w:tcPr>
            <w:tcW w:w="2040" w:type="dxa"/>
            <w:vMerge/>
          </w:tcPr>
          <w:p w14:paraId="04DCF369" w14:textId="77777777" w:rsidR="008E1B14" w:rsidRDefault="008E1B14" w:rsidP="00E608F5">
            <w:pPr>
              <w:pStyle w:val="TableText"/>
              <w:jc w:val="center"/>
            </w:pPr>
          </w:p>
        </w:tc>
        <w:tc>
          <w:tcPr>
            <w:tcW w:w="2041" w:type="dxa"/>
            <w:vMerge/>
          </w:tcPr>
          <w:p w14:paraId="2B72B6D9" w14:textId="77777777" w:rsidR="008E1B14" w:rsidRDefault="008E1B14" w:rsidP="00E608F5">
            <w:pPr>
              <w:pStyle w:val="TableText"/>
              <w:jc w:val="center"/>
            </w:pPr>
          </w:p>
        </w:tc>
        <w:tc>
          <w:tcPr>
            <w:tcW w:w="2040" w:type="dxa"/>
            <w:vMerge/>
          </w:tcPr>
          <w:p w14:paraId="6ADD630B" w14:textId="77777777" w:rsidR="008E1B14" w:rsidRDefault="008E1B14" w:rsidP="00E608F5">
            <w:pPr>
              <w:pStyle w:val="TableText"/>
              <w:jc w:val="center"/>
            </w:pPr>
          </w:p>
        </w:tc>
        <w:tc>
          <w:tcPr>
            <w:tcW w:w="2041" w:type="dxa"/>
            <w:vMerge/>
          </w:tcPr>
          <w:p w14:paraId="4A2D9063" w14:textId="77777777" w:rsidR="008E1B14" w:rsidRDefault="008E1B14" w:rsidP="00E608F5">
            <w:pPr>
              <w:pStyle w:val="TableText"/>
              <w:jc w:val="center"/>
            </w:pPr>
          </w:p>
        </w:tc>
      </w:tr>
      <w:tr w:rsidR="008E1B14" w14:paraId="66E69D10" w14:textId="77777777" w:rsidTr="008E1B14">
        <w:tc>
          <w:tcPr>
            <w:tcW w:w="1932" w:type="dxa"/>
            <w:vMerge/>
          </w:tcPr>
          <w:p w14:paraId="5FB7E59D" w14:textId="77777777" w:rsidR="008E1B14" w:rsidRDefault="008E1B14" w:rsidP="00E608F5">
            <w:pPr>
              <w:pStyle w:val="TableText"/>
            </w:pPr>
          </w:p>
        </w:tc>
        <w:tc>
          <w:tcPr>
            <w:tcW w:w="2040" w:type="dxa"/>
          </w:tcPr>
          <w:p w14:paraId="2CF092ED" w14:textId="77777777" w:rsidR="008E1B14" w:rsidRDefault="008E1B14" w:rsidP="00E608F5">
            <w:pPr>
              <w:pStyle w:val="TableText"/>
            </w:pPr>
            <w:r w:rsidRPr="00C274EE">
              <w:t>Auckland</w:t>
            </w:r>
          </w:p>
        </w:tc>
        <w:tc>
          <w:tcPr>
            <w:tcW w:w="2041" w:type="dxa"/>
            <w:vMerge/>
          </w:tcPr>
          <w:p w14:paraId="24414E3D" w14:textId="77777777" w:rsidR="008E1B14" w:rsidRDefault="008E1B14" w:rsidP="00E608F5">
            <w:pPr>
              <w:pStyle w:val="TableText"/>
              <w:jc w:val="center"/>
            </w:pPr>
          </w:p>
        </w:tc>
        <w:tc>
          <w:tcPr>
            <w:tcW w:w="2040" w:type="dxa"/>
            <w:vMerge/>
          </w:tcPr>
          <w:p w14:paraId="78634037" w14:textId="77777777" w:rsidR="008E1B14" w:rsidRDefault="008E1B14" w:rsidP="00E608F5">
            <w:pPr>
              <w:pStyle w:val="TableText"/>
              <w:jc w:val="center"/>
            </w:pPr>
          </w:p>
        </w:tc>
        <w:tc>
          <w:tcPr>
            <w:tcW w:w="2041" w:type="dxa"/>
            <w:vMerge/>
          </w:tcPr>
          <w:p w14:paraId="12A377D1" w14:textId="77777777" w:rsidR="008E1B14" w:rsidRDefault="008E1B14" w:rsidP="00E608F5">
            <w:pPr>
              <w:pStyle w:val="TableText"/>
              <w:jc w:val="center"/>
            </w:pPr>
          </w:p>
        </w:tc>
        <w:tc>
          <w:tcPr>
            <w:tcW w:w="2040" w:type="dxa"/>
            <w:vMerge/>
          </w:tcPr>
          <w:p w14:paraId="24384DE4" w14:textId="77777777" w:rsidR="008E1B14" w:rsidRDefault="008E1B14" w:rsidP="00E608F5">
            <w:pPr>
              <w:pStyle w:val="TableText"/>
              <w:jc w:val="center"/>
            </w:pPr>
          </w:p>
        </w:tc>
        <w:tc>
          <w:tcPr>
            <w:tcW w:w="2041" w:type="dxa"/>
            <w:vMerge/>
          </w:tcPr>
          <w:p w14:paraId="1F10E9D0" w14:textId="77777777" w:rsidR="008E1B14" w:rsidRDefault="008E1B14" w:rsidP="00E608F5">
            <w:pPr>
              <w:pStyle w:val="TableText"/>
              <w:jc w:val="center"/>
            </w:pPr>
          </w:p>
        </w:tc>
      </w:tr>
      <w:tr w:rsidR="008E1B14" w14:paraId="0B1A0F31" w14:textId="77777777" w:rsidTr="008E1B14">
        <w:tc>
          <w:tcPr>
            <w:tcW w:w="1932" w:type="dxa"/>
            <w:vMerge/>
          </w:tcPr>
          <w:p w14:paraId="38245A1C" w14:textId="77777777" w:rsidR="008E1B14" w:rsidRDefault="008E1B14" w:rsidP="00E608F5">
            <w:pPr>
              <w:pStyle w:val="TableText"/>
            </w:pPr>
          </w:p>
        </w:tc>
        <w:tc>
          <w:tcPr>
            <w:tcW w:w="2040" w:type="dxa"/>
          </w:tcPr>
          <w:p w14:paraId="65A1C234" w14:textId="77777777" w:rsidR="008E1B14" w:rsidRDefault="008E1B14" w:rsidP="00E608F5">
            <w:pPr>
              <w:pStyle w:val="TableText"/>
            </w:pPr>
            <w:r w:rsidRPr="00C274EE">
              <w:t>Counties Manukau</w:t>
            </w:r>
          </w:p>
        </w:tc>
        <w:tc>
          <w:tcPr>
            <w:tcW w:w="2041" w:type="dxa"/>
            <w:vMerge/>
          </w:tcPr>
          <w:p w14:paraId="09A44386" w14:textId="77777777" w:rsidR="008E1B14" w:rsidRDefault="008E1B14" w:rsidP="00E608F5">
            <w:pPr>
              <w:pStyle w:val="TableText"/>
              <w:jc w:val="center"/>
            </w:pPr>
          </w:p>
        </w:tc>
        <w:tc>
          <w:tcPr>
            <w:tcW w:w="2040" w:type="dxa"/>
            <w:vMerge/>
          </w:tcPr>
          <w:p w14:paraId="7DBF1E1A" w14:textId="77777777" w:rsidR="008E1B14" w:rsidRDefault="008E1B14" w:rsidP="00E608F5">
            <w:pPr>
              <w:pStyle w:val="TableText"/>
              <w:jc w:val="center"/>
            </w:pPr>
          </w:p>
        </w:tc>
        <w:tc>
          <w:tcPr>
            <w:tcW w:w="2041" w:type="dxa"/>
            <w:vMerge/>
          </w:tcPr>
          <w:p w14:paraId="27F2D504" w14:textId="77777777" w:rsidR="008E1B14" w:rsidRDefault="008E1B14" w:rsidP="00E608F5">
            <w:pPr>
              <w:pStyle w:val="TableText"/>
              <w:jc w:val="center"/>
            </w:pPr>
          </w:p>
        </w:tc>
        <w:tc>
          <w:tcPr>
            <w:tcW w:w="2040" w:type="dxa"/>
            <w:vMerge/>
          </w:tcPr>
          <w:p w14:paraId="29E2C0D0" w14:textId="77777777" w:rsidR="008E1B14" w:rsidRDefault="008E1B14" w:rsidP="00E608F5">
            <w:pPr>
              <w:pStyle w:val="TableText"/>
              <w:jc w:val="center"/>
            </w:pPr>
          </w:p>
        </w:tc>
        <w:tc>
          <w:tcPr>
            <w:tcW w:w="2041" w:type="dxa"/>
            <w:vMerge/>
          </w:tcPr>
          <w:p w14:paraId="7B0BB48A" w14:textId="77777777" w:rsidR="008E1B14" w:rsidRDefault="008E1B14" w:rsidP="00E608F5">
            <w:pPr>
              <w:pStyle w:val="TableText"/>
              <w:jc w:val="center"/>
            </w:pPr>
          </w:p>
        </w:tc>
      </w:tr>
      <w:tr w:rsidR="008E1B14" w14:paraId="74CF6C68" w14:textId="77777777" w:rsidTr="008E1B14">
        <w:tc>
          <w:tcPr>
            <w:tcW w:w="1932" w:type="dxa"/>
            <w:vMerge w:val="restart"/>
          </w:tcPr>
          <w:p w14:paraId="01C5846D" w14:textId="77777777" w:rsidR="008E1B14" w:rsidRDefault="008E1B14" w:rsidP="00E608F5">
            <w:pPr>
              <w:pStyle w:val="TableText"/>
            </w:pPr>
            <w:r w:rsidRPr="00442E3E">
              <w:t>Midlands</w:t>
            </w:r>
          </w:p>
        </w:tc>
        <w:tc>
          <w:tcPr>
            <w:tcW w:w="2040" w:type="dxa"/>
          </w:tcPr>
          <w:p w14:paraId="1175F0DD" w14:textId="77777777" w:rsidR="008E1B14" w:rsidRDefault="008E1B14" w:rsidP="00E608F5">
            <w:pPr>
              <w:pStyle w:val="TableText"/>
            </w:pPr>
            <w:r w:rsidRPr="00C274EE">
              <w:t>Waikato</w:t>
            </w:r>
          </w:p>
        </w:tc>
        <w:tc>
          <w:tcPr>
            <w:tcW w:w="2041" w:type="dxa"/>
            <w:vMerge w:val="restart"/>
          </w:tcPr>
          <w:p w14:paraId="74A608A7" w14:textId="77777777" w:rsidR="008E1B14" w:rsidRDefault="008E1B14" w:rsidP="00E608F5">
            <w:pPr>
              <w:pStyle w:val="TableText"/>
              <w:jc w:val="center"/>
            </w:pPr>
            <w:r w:rsidRPr="0001566F">
              <w:t>21</w:t>
            </w:r>
          </w:p>
        </w:tc>
        <w:tc>
          <w:tcPr>
            <w:tcW w:w="2040" w:type="dxa"/>
            <w:vMerge w:val="restart"/>
          </w:tcPr>
          <w:p w14:paraId="20A6F29E" w14:textId="77777777" w:rsidR="008E1B14" w:rsidRDefault="008E1B14" w:rsidP="00E608F5">
            <w:pPr>
              <w:pStyle w:val="TableText"/>
              <w:jc w:val="center"/>
            </w:pPr>
            <w:r w:rsidRPr="0001566F">
              <w:t>13</w:t>
            </w:r>
          </w:p>
        </w:tc>
        <w:tc>
          <w:tcPr>
            <w:tcW w:w="2041" w:type="dxa"/>
            <w:vMerge w:val="restart"/>
          </w:tcPr>
          <w:p w14:paraId="3FB66C4B" w14:textId="77777777" w:rsidR="008E1B14" w:rsidRDefault="008E1B14" w:rsidP="00E608F5">
            <w:pPr>
              <w:pStyle w:val="TableText"/>
              <w:jc w:val="center"/>
            </w:pPr>
            <w:r w:rsidRPr="0001566F">
              <w:t>14</w:t>
            </w:r>
          </w:p>
        </w:tc>
        <w:tc>
          <w:tcPr>
            <w:tcW w:w="2040" w:type="dxa"/>
            <w:vMerge w:val="restart"/>
          </w:tcPr>
          <w:p w14:paraId="54654B5E" w14:textId="77777777" w:rsidR="008E1B14" w:rsidRDefault="008E1B14" w:rsidP="00E608F5">
            <w:pPr>
              <w:pStyle w:val="TableText"/>
              <w:jc w:val="center"/>
            </w:pPr>
            <w:r w:rsidRPr="0001566F">
              <w:t>S</w:t>
            </w:r>
          </w:p>
        </w:tc>
        <w:tc>
          <w:tcPr>
            <w:tcW w:w="2041" w:type="dxa"/>
            <w:vMerge w:val="restart"/>
          </w:tcPr>
          <w:p w14:paraId="4D0931FC" w14:textId="77777777" w:rsidR="008E1B14" w:rsidRDefault="008E1B14" w:rsidP="00E608F5">
            <w:pPr>
              <w:pStyle w:val="TableText"/>
              <w:jc w:val="center"/>
            </w:pPr>
            <w:r w:rsidRPr="0001566F">
              <w:t>S</w:t>
            </w:r>
          </w:p>
        </w:tc>
      </w:tr>
      <w:tr w:rsidR="008E1B14" w14:paraId="6C8F1140" w14:textId="77777777" w:rsidTr="008E1B14">
        <w:tc>
          <w:tcPr>
            <w:tcW w:w="1932" w:type="dxa"/>
            <w:vMerge/>
          </w:tcPr>
          <w:p w14:paraId="547EC625" w14:textId="77777777" w:rsidR="008E1B14" w:rsidRDefault="008E1B14" w:rsidP="00E608F5">
            <w:pPr>
              <w:pStyle w:val="TableText"/>
            </w:pPr>
          </w:p>
        </w:tc>
        <w:tc>
          <w:tcPr>
            <w:tcW w:w="2040" w:type="dxa"/>
          </w:tcPr>
          <w:p w14:paraId="1E8456BB" w14:textId="77777777" w:rsidR="008E1B14" w:rsidRDefault="008E1B14" w:rsidP="00E608F5">
            <w:pPr>
              <w:pStyle w:val="TableText"/>
            </w:pPr>
            <w:r w:rsidRPr="00C274EE">
              <w:t>Lakes</w:t>
            </w:r>
          </w:p>
        </w:tc>
        <w:tc>
          <w:tcPr>
            <w:tcW w:w="2041" w:type="dxa"/>
            <w:vMerge/>
          </w:tcPr>
          <w:p w14:paraId="55FFFCE1" w14:textId="77777777" w:rsidR="008E1B14" w:rsidRDefault="008E1B14" w:rsidP="00E608F5">
            <w:pPr>
              <w:pStyle w:val="TableText"/>
              <w:jc w:val="center"/>
            </w:pPr>
          </w:p>
        </w:tc>
        <w:tc>
          <w:tcPr>
            <w:tcW w:w="2040" w:type="dxa"/>
            <w:vMerge/>
          </w:tcPr>
          <w:p w14:paraId="58951F60" w14:textId="77777777" w:rsidR="008E1B14" w:rsidRDefault="008E1B14" w:rsidP="00E608F5">
            <w:pPr>
              <w:pStyle w:val="TableText"/>
              <w:jc w:val="center"/>
            </w:pPr>
          </w:p>
        </w:tc>
        <w:tc>
          <w:tcPr>
            <w:tcW w:w="2041" w:type="dxa"/>
            <w:vMerge/>
          </w:tcPr>
          <w:p w14:paraId="6BE18555" w14:textId="77777777" w:rsidR="008E1B14" w:rsidRDefault="008E1B14" w:rsidP="00E608F5">
            <w:pPr>
              <w:pStyle w:val="TableText"/>
              <w:jc w:val="center"/>
            </w:pPr>
          </w:p>
        </w:tc>
        <w:tc>
          <w:tcPr>
            <w:tcW w:w="2040" w:type="dxa"/>
            <w:vMerge/>
          </w:tcPr>
          <w:p w14:paraId="45C4F774" w14:textId="77777777" w:rsidR="008E1B14" w:rsidRDefault="008E1B14" w:rsidP="00E608F5">
            <w:pPr>
              <w:pStyle w:val="TableText"/>
              <w:jc w:val="center"/>
            </w:pPr>
          </w:p>
        </w:tc>
        <w:tc>
          <w:tcPr>
            <w:tcW w:w="2041" w:type="dxa"/>
            <w:vMerge/>
          </w:tcPr>
          <w:p w14:paraId="3055F46F" w14:textId="77777777" w:rsidR="008E1B14" w:rsidRDefault="008E1B14" w:rsidP="00E608F5">
            <w:pPr>
              <w:pStyle w:val="TableText"/>
              <w:jc w:val="center"/>
            </w:pPr>
          </w:p>
        </w:tc>
      </w:tr>
      <w:tr w:rsidR="008E1B14" w14:paraId="46A98D3A" w14:textId="77777777" w:rsidTr="008E1B14">
        <w:tc>
          <w:tcPr>
            <w:tcW w:w="1932" w:type="dxa"/>
            <w:vMerge/>
          </w:tcPr>
          <w:p w14:paraId="4795B6AA" w14:textId="77777777" w:rsidR="008E1B14" w:rsidRDefault="008E1B14" w:rsidP="00E608F5">
            <w:pPr>
              <w:pStyle w:val="TableText"/>
            </w:pPr>
          </w:p>
        </w:tc>
        <w:tc>
          <w:tcPr>
            <w:tcW w:w="2040" w:type="dxa"/>
          </w:tcPr>
          <w:p w14:paraId="558D7FAF" w14:textId="77777777" w:rsidR="008E1B14" w:rsidRDefault="008E1B14" w:rsidP="00E608F5">
            <w:pPr>
              <w:pStyle w:val="TableText"/>
            </w:pPr>
            <w:r w:rsidRPr="00C274EE">
              <w:t>Bay of Plenty</w:t>
            </w:r>
          </w:p>
        </w:tc>
        <w:tc>
          <w:tcPr>
            <w:tcW w:w="2041" w:type="dxa"/>
            <w:vMerge/>
          </w:tcPr>
          <w:p w14:paraId="306833F1" w14:textId="77777777" w:rsidR="008E1B14" w:rsidRDefault="008E1B14" w:rsidP="00E608F5">
            <w:pPr>
              <w:pStyle w:val="TableText"/>
              <w:jc w:val="center"/>
            </w:pPr>
          </w:p>
        </w:tc>
        <w:tc>
          <w:tcPr>
            <w:tcW w:w="2040" w:type="dxa"/>
            <w:vMerge/>
          </w:tcPr>
          <w:p w14:paraId="289D7673" w14:textId="77777777" w:rsidR="008E1B14" w:rsidRDefault="008E1B14" w:rsidP="00E608F5">
            <w:pPr>
              <w:pStyle w:val="TableText"/>
              <w:jc w:val="center"/>
            </w:pPr>
          </w:p>
        </w:tc>
        <w:tc>
          <w:tcPr>
            <w:tcW w:w="2041" w:type="dxa"/>
            <w:vMerge/>
          </w:tcPr>
          <w:p w14:paraId="3BD5E1B6" w14:textId="77777777" w:rsidR="008E1B14" w:rsidRDefault="008E1B14" w:rsidP="00E608F5">
            <w:pPr>
              <w:pStyle w:val="TableText"/>
              <w:jc w:val="center"/>
            </w:pPr>
          </w:p>
        </w:tc>
        <w:tc>
          <w:tcPr>
            <w:tcW w:w="2040" w:type="dxa"/>
            <w:vMerge/>
          </w:tcPr>
          <w:p w14:paraId="1740C4FB" w14:textId="77777777" w:rsidR="008E1B14" w:rsidRDefault="008E1B14" w:rsidP="00E608F5">
            <w:pPr>
              <w:pStyle w:val="TableText"/>
              <w:jc w:val="center"/>
            </w:pPr>
          </w:p>
        </w:tc>
        <w:tc>
          <w:tcPr>
            <w:tcW w:w="2041" w:type="dxa"/>
            <w:vMerge/>
          </w:tcPr>
          <w:p w14:paraId="2AD19E10" w14:textId="77777777" w:rsidR="008E1B14" w:rsidRDefault="008E1B14" w:rsidP="00E608F5">
            <w:pPr>
              <w:pStyle w:val="TableText"/>
              <w:jc w:val="center"/>
            </w:pPr>
          </w:p>
        </w:tc>
      </w:tr>
      <w:tr w:rsidR="008E1B14" w14:paraId="1B4A52A3" w14:textId="77777777" w:rsidTr="008E1B14">
        <w:tc>
          <w:tcPr>
            <w:tcW w:w="1932" w:type="dxa"/>
            <w:vMerge/>
          </w:tcPr>
          <w:p w14:paraId="719BB37F" w14:textId="77777777" w:rsidR="008E1B14" w:rsidRDefault="008E1B14" w:rsidP="00E608F5">
            <w:pPr>
              <w:pStyle w:val="TableText"/>
            </w:pPr>
          </w:p>
        </w:tc>
        <w:tc>
          <w:tcPr>
            <w:tcW w:w="2040" w:type="dxa"/>
          </w:tcPr>
          <w:p w14:paraId="7D420FA3" w14:textId="77777777" w:rsidR="008E1B14" w:rsidRDefault="008E1B14" w:rsidP="00E608F5">
            <w:pPr>
              <w:pStyle w:val="TableText"/>
            </w:pPr>
            <w:r w:rsidRPr="00C274EE">
              <w:t>Tairawhiti</w:t>
            </w:r>
          </w:p>
        </w:tc>
        <w:tc>
          <w:tcPr>
            <w:tcW w:w="2041" w:type="dxa"/>
            <w:vMerge/>
          </w:tcPr>
          <w:p w14:paraId="6A5ECDD5" w14:textId="77777777" w:rsidR="008E1B14" w:rsidRDefault="008E1B14" w:rsidP="00E608F5">
            <w:pPr>
              <w:pStyle w:val="TableText"/>
              <w:jc w:val="center"/>
            </w:pPr>
          </w:p>
        </w:tc>
        <w:tc>
          <w:tcPr>
            <w:tcW w:w="2040" w:type="dxa"/>
            <w:vMerge/>
          </w:tcPr>
          <w:p w14:paraId="520B5AB1" w14:textId="77777777" w:rsidR="008E1B14" w:rsidRDefault="008E1B14" w:rsidP="00E608F5">
            <w:pPr>
              <w:pStyle w:val="TableText"/>
              <w:jc w:val="center"/>
            </w:pPr>
          </w:p>
        </w:tc>
        <w:tc>
          <w:tcPr>
            <w:tcW w:w="2041" w:type="dxa"/>
            <w:vMerge/>
          </w:tcPr>
          <w:p w14:paraId="18A30AE0" w14:textId="77777777" w:rsidR="008E1B14" w:rsidRDefault="008E1B14" w:rsidP="00E608F5">
            <w:pPr>
              <w:pStyle w:val="TableText"/>
              <w:jc w:val="center"/>
            </w:pPr>
          </w:p>
        </w:tc>
        <w:tc>
          <w:tcPr>
            <w:tcW w:w="2040" w:type="dxa"/>
            <w:vMerge/>
          </w:tcPr>
          <w:p w14:paraId="41E4ED4B" w14:textId="77777777" w:rsidR="008E1B14" w:rsidRDefault="008E1B14" w:rsidP="00E608F5">
            <w:pPr>
              <w:pStyle w:val="TableText"/>
              <w:jc w:val="center"/>
            </w:pPr>
          </w:p>
        </w:tc>
        <w:tc>
          <w:tcPr>
            <w:tcW w:w="2041" w:type="dxa"/>
            <w:vMerge/>
          </w:tcPr>
          <w:p w14:paraId="06703FC0" w14:textId="77777777" w:rsidR="008E1B14" w:rsidRDefault="008E1B14" w:rsidP="00E608F5">
            <w:pPr>
              <w:pStyle w:val="TableText"/>
              <w:jc w:val="center"/>
            </w:pPr>
          </w:p>
        </w:tc>
      </w:tr>
      <w:tr w:rsidR="008E1B14" w14:paraId="3D59AEA6" w14:textId="77777777" w:rsidTr="008E1B14">
        <w:tc>
          <w:tcPr>
            <w:tcW w:w="1932" w:type="dxa"/>
            <w:vMerge/>
          </w:tcPr>
          <w:p w14:paraId="0D50FF4D" w14:textId="77777777" w:rsidR="008E1B14" w:rsidRDefault="008E1B14" w:rsidP="00E608F5">
            <w:pPr>
              <w:pStyle w:val="TableText"/>
            </w:pPr>
          </w:p>
        </w:tc>
        <w:tc>
          <w:tcPr>
            <w:tcW w:w="2040" w:type="dxa"/>
          </w:tcPr>
          <w:p w14:paraId="775ED668" w14:textId="77777777" w:rsidR="008E1B14" w:rsidRDefault="008E1B14" w:rsidP="00E608F5">
            <w:pPr>
              <w:pStyle w:val="TableText"/>
            </w:pPr>
            <w:r w:rsidRPr="00C274EE">
              <w:t>Taranaki</w:t>
            </w:r>
          </w:p>
        </w:tc>
        <w:tc>
          <w:tcPr>
            <w:tcW w:w="2041" w:type="dxa"/>
            <w:vMerge/>
          </w:tcPr>
          <w:p w14:paraId="0C543EC8" w14:textId="77777777" w:rsidR="008E1B14" w:rsidRDefault="008E1B14" w:rsidP="00E608F5">
            <w:pPr>
              <w:pStyle w:val="TableText"/>
              <w:jc w:val="center"/>
            </w:pPr>
          </w:p>
        </w:tc>
        <w:tc>
          <w:tcPr>
            <w:tcW w:w="2040" w:type="dxa"/>
            <w:vMerge/>
          </w:tcPr>
          <w:p w14:paraId="16F940D2" w14:textId="77777777" w:rsidR="008E1B14" w:rsidRDefault="008E1B14" w:rsidP="00E608F5">
            <w:pPr>
              <w:pStyle w:val="TableText"/>
              <w:jc w:val="center"/>
            </w:pPr>
          </w:p>
        </w:tc>
        <w:tc>
          <w:tcPr>
            <w:tcW w:w="2041" w:type="dxa"/>
            <w:vMerge/>
          </w:tcPr>
          <w:p w14:paraId="73387AAC" w14:textId="77777777" w:rsidR="008E1B14" w:rsidRDefault="008E1B14" w:rsidP="00E608F5">
            <w:pPr>
              <w:pStyle w:val="TableText"/>
              <w:jc w:val="center"/>
            </w:pPr>
          </w:p>
        </w:tc>
        <w:tc>
          <w:tcPr>
            <w:tcW w:w="2040" w:type="dxa"/>
            <w:vMerge/>
          </w:tcPr>
          <w:p w14:paraId="58C71623" w14:textId="77777777" w:rsidR="008E1B14" w:rsidRDefault="008E1B14" w:rsidP="00E608F5">
            <w:pPr>
              <w:pStyle w:val="TableText"/>
              <w:jc w:val="center"/>
            </w:pPr>
          </w:p>
        </w:tc>
        <w:tc>
          <w:tcPr>
            <w:tcW w:w="2041" w:type="dxa"/>
            <w:vMerge/>
          </w:tcPr>
          <w:p w14:paraId="68A92E14" w14:textId="77777777" w:rsidR="008E1B14" w:rsidRDefault="008E1B14" w:rsidP="00E608F5">
            <w:pPr>
              <w:pStyle w:val="TableText"/>
              <w:jc w:val="center"/>
            </w:pPr>
          </w:p>
        </w:tc>
      </w:tr>
      <w:tr w:rsidR="008E1B14" w14:paraId="2A45754B" w14:textId="77777777" w:rsidTr="008E1B14">
        <w:tc>
          <w:tcPr>
            <w:tcW w:w="1932" w:type="dxa"/>
            <w:vMerge w:val="restart"/>
          </w:tcPr>
          <w:p w14:paraId="348DFA09" w14:textId="77777777" w:rsidR="008E1B14" w:rsidRDefault="008E1B14" w:rsidP="00E608F5">
            <w:pPr>
              <w:pStyle w:val="TableText"/>
            </w:pPr>
            <w:r w:rsidRPr="00442E3E">
              <w:t>Central</w:t>
            </w:r>
          </w:p>
        </w:tc>
        <w:tc>
          <w:tcPr>
            <w:tcW w:w="2040" w:type="dxa"/>
          </w:tcPr>
          <w:p w14:paraId="45BDFC0B" w14:textId="77777777" w:rsidR="008E1B14" w:rsidRDefault="008E1B14" w:rsidP="00E608F5">
            <w:pPr>
              <w:pStyle w:val="TableText"/>
            </w:pPr>
            <w:r w:rsidRPr="00C274EE">
              <w:t>Hawke's Bay</w:t>
            </w:r>
          </w:p>
        </w:tc>
        <w:tc>
          <w:tcPr>
            <w:tcW w:w="2041" w:type="dxa"/>
            <w:vMerge w:val="restart"/>
          </w:tcPr>
          <w:p w14:paraId="247B047F" w14:textId="77777777" w:rsidR="008E1B14" w:rsidRDefault="008E1B14" w:rsidP="00E608F5">
            <w:pPr>
              <w:pStyle w:val="TableText"/>
              <w:jc w:val="center"/>
            </w:pPr>
            <w:r w:rsidRPr="00E9396E">
              <w:t>25</w:t>
            </w:r>
          </w:p>
        </w:tc>
        <w:tc>
          <w:tcPr>
            <w:tcW w:w="2040" w:type="dxa"/>
            <w:vMerge w:val="restart"/>
          </w:tcPr>
          <w:p w14:paraId="1E682F17" w14:textId="77777777" w:rsidR="008E1B14" w:rsidRDefault="008E1B14" w:rsidP="00E608F5">
            <w:pPr>
              <w:pStyle w:val="TableText"/>
              <w:jc w:val="center"/>
            </w:pPr>
            <w:r w:rsidRPr="00E9396E">
              <w:t>21</w:t>
            </w:r>
          </w:p>
        </w:tc>
        <w:tc>
          <w:tcPr>
            <w:tcW w:w="2041" w:type="dxa"/>
            <w:vMerge w:val="restart"/>
          </w:tcPr>
          <w:p w14:paraId="1DE34C9D" w14:textId="77777777" w:rsidR="008E1B14" w:rsidRDefault="008E1B14" w:rsidP="00E608F5">
            <w:pPr>
              <w:pStyle w:val="TableText"/>
              <w:jc w:val="center"/>
            </w:pPr>
            <w:r w:rsidRPr="00E9396E">
              <w:t>15</w:t>
            </w:r>
          </w:p>
        </w:tc>
        <w:tc>
          <w:tcPr>
            <w:tcW w:w="2040" w:type="dxa"/>
            <w:vMerge w:val="restart"/>
          </w:tcPr>
          <w:p w14:paraId="33FEF2E9" w14:textId="77777777" w:rsidR="008E1B14" w:rsidRDefault="008E1B14" w:rsidP="00E608F5">
            <w:pPr>
              <w:pStyle w:val="TableText"/>
              <w:jc w:val="center"/>
            </w:pPr>
            <w:r w:rsidRPr="00E9396E">
              <w:t>S</w:t>
            </w:r>
          </w:p>
        </w:tc>
        <w:tc>
          <w:tcPr>
            <w:tcW w:w="2041" w:type="dxa"/>
            <w:vMerge w:val="restart"/>
          </w:tcPr>
          <w:p w14:paraId="56B9A03F" w14:textId="77777777" w:rsidR="008E1B14" w:rsidRDefault="008E1B14" w:rsidP="00E608F5">
            <w:pPr>
              <w:pStyle w:val="TableText"/>
              <w:jc w:val="center"/>
            </w:pPr>
            <w:r w:rsidRPr="00E9396E">
              <w:t>S</w:t>
            </w:r>
          </w:p>
        </w:tc>
      </w:tr>
      <w:tr w:rsidR="008E1B14" w14:paraId="219464E6" w14:textId="77777777" w:rsidTr="008E1B14">
        <w:tc>
          <w:tcPr>
            <w:tcW w:w="1932" w:type="dxa"/>
            <w:vMerge/>
          </w:tcPr>
          <w:p w14:paraId="45B18102" w14:textId="77777777" w:rsidR="008E1B14" w:rsidRDefault="008E1B14" w:rsidP="00E608F5">
            <w:pPr>
              <w:pStyle w:val="TableText"/>
            </w:pPr>
          </w:p>
        </w:tc>
        <w:tc>
          <w:tcPr>
            <w:tcW w:w="2040" w:type="dxa"/>
          </w:tcPr>
          <w:p w14:paraId="45AEFD7F" w14:textId="77777777" w:rsidR="008E1B14" w:rsidRDefault="008E1B14" w:rsidP="00E608F5">
            <w:pPr>
              <w:pStyle w:val="TableText"/>
            </w:pPr>
            <w:r w:rsidRPr="00C274EE">
              <w:t>Whanganui</w:t>
            </w:r>
          </w:p>
        </w:tc>
        <w:tc>
          <w:tcPr>
            <w:tcW w:w="2041" w:type="dxa"/>
            <w:vMerge/>
          </w:tcPr>
          <w:p w14:paraId="653FCDD2" w14:textId="77777777" w:rsidR="008E1B14" w:rsidRDefault="008E1B14" w:rsidP="00E608F5">
            <w:pPr>
              <w:pStyle w:val="TableText"/>
              <w:jc w:val="center"/>
            </w:pPr>
          </w:p>
        </w:tc>
        <w:tc>
          <w:tcPr>
            <w:tcW w:w="2040" w:type="dxa"/>
            <w:vMerge/>
          </w:tcPr>
          <w:p w14:paraId="5BC7E594" w14:textId="77777777" w:rsidR="008E1B14" w:rsidRDefault="008E1B14" w:rsidP="00E608F5">
            <w:pPr>
              <w:pStyle w:val="TableText"/>
              <w:jc w:val="center"/>
            </w:pPr>
          </w:p>
        </w:tc>
        <w:tc>
          <w:tcPr>
            <w:tcW w:w="2041" w:type="dxa"/>
            <w:vMerge/>
          </w:tcPr>
          <w:p w14:paraId="1EBF3503" w14:textId="77777777" w:rsidR="008E1B14" w:rsidRDefault="008E1B14" w:rsidP="00E608F5">
            <w:pPr>
              <w:pStyle w:val="TableText"/>
              <w:jc w:val="center"/>
            </w:pPr>
          </w:p>
        </w:tc>
        <w:tc>
          <w:tcPr>
            <w:tcW w:w="2040" w:type="dxa"/>
            <w:vMerge/>
          </w:tcPr>
          <w:p w14:paraId="28616A31" w14:textId="77777777" w:rsidR="008E1B14" w:rsidRDefault="008E1B14" w:rsidP="00E608F5">
            <w:pPr>
              <w:pStyle w:val="TableText"/>
              <w:jc w:val="center"/>
            </w:pPr>
          </w:p>
        </w:tc>
        <w:tc>
          <w:tcPr>
            <w:tcW w:w="2041" w:type="dxa"/>
            <w:vMerge/>
          </w:tcPr>
          <w:p w14:paraId="3C3392D2" w14:textId="77777777" w:rsidR="008E1B14" w:rsidRDefault="008E1B14" w:rsidP="00E608F5">
            <w:pPr>
              <w:pStyle w:val="TableText"/>
              <w:jc w:val="center"/>
            </w:pPr>
          </w:p>
        </w:tc>
      </w:tr>
      <w:tr w:rsidR="008E1B14" w14:paraId="34167580" w14:textId="77777777" w:rsidTr="008E1B14">
        <w:tc>
          <w:tcPr>
            <w:tcW w:w="1932" w:type="dxa"/>
            <w:vMerge/>
          </w:tcPr>
          <w:p w14:paraId="54EF8087" w14:textId="77777777" w:rsidR="008E1B14" w:rsidRDefault="008E1B14" w:rsidP="00E608F5">
            <w:pPr>
              <w:pStyle w:val="TableText"/>
            </w:pPr>
          </w:p>
        </w:tc>
        <w:tc>
          <w:tcPr>
            <w:tcW w:w="2040" w:type="dxa"/>
          </w:tcPr>
          <w:p w14:paraId="0322A4FF" w14:textId="77777777" w:rsidR="008E1B14" w:rsidRDefault="008E1B14" w:rsidP="00E608F5">
            <w:pPr>
              <w:pStyle w:val="TableText"/>
            </w:pPr>
            <w:proofErr w:type="spellStart"/>
            <w:r w:rsidRPr="00C274EE">
              <w:t>MidCentral</w:t>
            </w:r>
            <w:proofErr w:type="spellEnd"/>
          </w:p>
        </w:tc>
        <w:tc>
          <w:tcPr>
            <w:tcW w:w="2041" w:type="dxa"/>
            <w:vMerge/>
          </w:tcPr>
          <w:p w14:paraId="632077F7" w14:textId="77777777" w:rsidR="008E1B14" w:rsidRDefault="008E1B14" w:rsidP="00E608F5">
            <w:pPr>
              <w:pStyle w:val="TableText"/>
              <w:jc w:val="center"/>
            </w:pPr>
          </w:p>
        </w:tc>
        <w:tc>
          <w:tcPr>
            <w:tcW w:w="2040" w:type="dxa"/>
            <w:vMerge/>
          </w:tcPr>
          <w:p w14:paraId="6FA73AD0" w14:textId="77777777" w:rsidR="008E1B14" w:rsidRDefault="008E1B14" w:rsidP="00E608F5">
            <w:pPr>
              <w:pStyle w:val="TableText"/>
              <w:jc w:val="center"/>
            </w:pPr>
          </w:p>
        </w:tc>
        <w:tc>
          <w:tcPr>
            <w:tcW w:w="2041" w:type="dxa"/>
            <w:vMerge/>
          </w:tcPr>
          <w:p w14:paraId="7D88269C" w14:textId="77777777" w:rsidR="008E1B14" w:rsidRDefault="008E1B14" w:rsidP="00E608F5">
            <w:pPr>
              <w:pStyle w:val="TableText"/>
              <w:jc w:val="center"/>
            </w:pPr>
          </w:p>
        </w:tc>
        <w:tc>
          <w:tcPr>
            <w:tcW w:w="2040" w:type="dxa"/>
            <w:vMerge/>
          </w:tcPr>
          <w:p w14:paraId="6B3E21FC" w14:textId="77777777" w:rsidR="008E1B14" w:rsidRDefault="008E1B14" w:rsidP="00E608F5">
            <w:pPr>
              <w:pStyle w:val="TableText"/>
              <w:jc w:val="center"/>
            </w:pPr>
          </w:p>
        </w:tc>
        <w:tc>
          <w:tcPr>
            <w:tcW w:w="2041" w:type="dxa"/>
            <w:vMerge/>
          </w:tcPr>
          <w:p w14:paraId="49AAAF5E" w14:textId="77777777" w:rsidR="008E1B14" w:rsidRDefault="008E1B14" w:rsidP="00E608F5">
            <w:pPr>
              <w:pStyle w:val="TableText"/>
              <w:jc w:val="center"/>
            </w:pPr>
          </w:p>
        </w:tc>
      </w:tr>
      <w:tr w:rsidR="008E1B14" w14:paraId="3DAE19DF" w14:textId="77777777" w:rsidTr="008E1B14">
        <w:tc>
          <w:tcPr>
            <w:tcW w:w="1932" w:type="dxa"/>
            <w:vMerge/>
          </w:tcPr>
          <w:p w14:paraId="5CA68CDC" w14:textId="77777777" w:rsidR="008E1B14" w:rsidRDefault="008E1B14" w:rsidP="00E608F5">
            <w:pPr>
              <w:pStyle w:val="TableText"/>
            </w:pPr>
          </w:p>
        </w:tc>
        <w:tc>
          <w:tcPr>
            <w:tcW w:w="2040" w:type="dxa"/>
          </w:tcPr>
          <w:p w14:paraId="7C76BA32" w14:textId="77777777" w:rsidR="008E1B14" w:rsidRDefault="008E1B14" w:rsidP="00E608F5">
            <w:pPr>
              <w:pStyle w:val="TableText"/>
            </w:pPr>
            <w:r w:rsidRPr="00C274EE">
              <w:t>Wairarapa</w:t>
            </w:r>
          </w:p>
        </w:tc>
        <w:tc>
          <w:tcPr>
            <w:tcW w:w="2041" w:type="dxa"/>
            <w:vMerge/>
          </w:tcPr>
          <w:p w14:paraId="71D20E0A" w14:textId="77777777" w:rsidR="008E1B14" w:rsidRDefault="008E1B14" w:rsidP="00E608F5">
            <w:pPr>
              <w:pStyle w:val="TableText"/>
              <w:jc w:val="center"/>
            </w:pPr>
          </w:p>
        </w:tc>
        <w:tc>
          <w:tcPr>
            <w:tcW w:w="2040" w:type="dxa"/>
            <w:vMerge/>
          </w:tcPr>
          <w:p w14:paraId="22719BD5" w14:textId="77777777" w:rsidR="008E1B14" w:rsidRDefault="008E1B14" w:rsidP="00E608F5">
            <w:pPr>
              <w:pStyle w:val="TableText"/>
              <w:jc w:val="center"/>
            </w:pPr>
          </w:p>
        </w:tc>
        <w:tc>
          <w:tcPr>
            <w:tcW w:w="2041" w:type="dxa"/>
            <w:vMerge/>
          </w:tcPr>
          <w:p w14:paraId="7B73FA24" w14:textId="77777777" w:rsidR="008E1B14" w:rsidRDefault="008E1B14" w:rsidP="00E608F5">
            <w:pPr>
              <w:pStyle w:val="TableText"/>
              <w:jc w:val="center"/>
            </w:pPr>
          </w:p>
        </w:tc>
        <w:tc>
          <w:tcPr>
            <w:tcW w:w="2040" w:type="dxa"/>
            <w:vMerge/>
          </w:tcPr>
          <w:p w14:paraId="2B502706" w14:textId="77777777" w:rsidR="008E1B14" w:rsidRDefault="008E1B14" w:rsidP="00E608F5">
            <w:pPr>
              <w:pStyle w:val="TableText"/>
              <w:jc w:val="center"/>
            </w:pPr>
          </w:p>
        </w:tc>
        <w:tc>
          <w:tcPr>
            <w:tcW w:w="2041" w:type="dxa"/>
            <w:vMerge/>
          </w:tcPr>
          <w:p w14:paraId="3CF5D30B" w14:textId="77777777" w:rsidR="008E1B14" w:rsidRDefault="008E1B14" w:rsidP="00E608F5">
            <w:pPr>
              <w:pStyle w:val="TableText"/>
              <w:jc w:val="center"/>
            </w:pPr>
          </w:p>
        </w:tc>
      </w:tr>
      <w:tr w:rsidR="008E1B14" w14:paraId="23954D5B" w14:textId="77777777" w:rsidTr="008E1B14">
        <w:tc>
          <w:tcPr>
            <w:tcW w:w="1932" w:type="dxa"/>
            <w:vMerge/>
          </w:tcPr>
          <w:p w14:paraId="5B2367C9" w14:textId="77777777" w:rsidR="008E1B14" w:rsidRDefault="008E1B14" w:rsidP="00E608F5">
            <w:pPr>
              <w:pStyle w:val="TableText"/>
            </w:pPr>
          </w:p>
        </w:tc>
        <w:tc>
          <w:tcPr>
            <w:tcW w:w="2040" w:type="dxa"/>
          </w:tcPr>
          <w:p w14:paraId="785179CF" w14:textId="77777777" w:rsidR="008E1B14" w:rsidRDefault="008E1B14" w:rsidP="00E608F5">
            <w:pPr>
              <w:pStyle w:val="TableText"/>
            </w:pPr>
            <w:r w:rsidRPr="00C274EE">
              <w:t>Hutt Valley</w:t>
            </w:r>
          </w:p>
        </w:tc>
        <w:tc>
          <w:tcPr>
            <w:tcW w:w="2041" w:type="dxa"/>
            <w:vMerge/>
          </w:tcPr>
          <w:p w14:paraId="68BAFAB3" w14:textId="77777777" w:rsidR="008E1B14" w:rsidRDefault="008E1B14" w:rsidP="00E608F5">
            <w:pPr>
              <w:pStyle w:val="TableText"/>
              <w:jc w:val="center"/>
            </w:pPr>
          </w:p>
        </w:tc>
        <w:tc>
          <w:tcPr>
            <w:tcW w:w="2040" w:type="dxa"/>
            <w:vMerge/>
          </w:tcPr>
          <w:p w14:paraId="683092A5" w14:textId="77777777" w:rsidR="008E1B14" w:rsidRDefault="008E1B14" w:rsidP="00E608F5">
            <w:pPr>
              <w:pStyle w:val="TableText"/>
              <w:jc w:val="center"/>
            </w:pPr>
          </w:p>
        </w:tc>
        <w:tc>
          <w:tcPr>
            <w:tcW w:w="2041" w:type="dxa"/>
            <w:vMerge/>
          </w:tcPr>
          <w:p w14:paraId="2A76BA2E" w14:textId="77777777" w:rsidR="008E1B14" w:rsidRDefault="008E1B14" w:rsidP="00E608F5">
            <w:pPr>
              <w:pStyle w:val="TableText"/>
              <w:jc w:val="center"/>
            </w:pPr>
          </w:p>
        </w:tc>
        <w:tc>
          <w:tcPr>
            <w:tcW w:w="2040" w:type="dxa"/>
            <w:vMerge/>
          </w:tcPr>
          <w:p w14:paraId="27D14251" w14:textId="77777777" w:rsidR="008E1B14" w:rsidRDefault="008E1B14" w:rsidP="00E608F5">
            <w:pPr>
              <w:pStyle w:val="TableText"/>
              <w:jc w:val="center"/>
            </w:pPr>
          </w:p>
        </w:tc>
        <w:tc>
          <w:tcPr>
            <w:tcW w:w="2041" w:type="dxa"/>
            <w:vMerge/>
          </w:tcPr>
          <w:p w14:paraId="21E9DB78" w14:textId="77777777" w:rsidR="008E1B14" w:rsidRDefault="008E1B14" w:rsidP="00E608F5">
            <w:pPr>
              <w:pStyle w:val="TableText"/>
              <w:jc w:val="center"/>
            </w:pPr>
          </w:p>
        </w:tc>
      </w:tr>
      <w:tr w:rsidR="008E1B14" w14:paraId="441BF048" w14:textId="77777777" w:rsidTr="008E1B14">
        <w:tc>
          <w:tcPr>
            <w:tcW w:w="1932" w:type="dxa"/>
            <w:vMerge/>
          </w:tcPr>
          <w:p w14:paraId="31C56FD4" w14:textId="77777777" w:rsidR="008E1B14" w:rsidRDefault="008E1B14" w:rsidP="00E608F5">
            <w:pPr>
              <w:pStyle w:val="TableText"/>
            </w:pPr>
          </w:p>
        </w:tc>
        <w:tc>
          <w:tcPr>
            <w:tcW w:w="2040" w:type="dxa"/>
          </w:tcPr>
          <w:p w14:paraId="7E5FF4B3" w14:textId="77777777" w:rsidR="008E1B14" w:rsidRDefault="008E1B14" w:rsidP="00E608F5">
            <w:pPr>
              <w:pStyle w:val="TableText"/>
            </w:pPr>
            <w:r w:rsidRPr="00C274EE">
              <w:t>Capital &amp; Coast</w:t>
            </w:r>
          </w:p>
        </w:tc>
        <w:tc>
          <w:tcPr>
            <w:tcW w:w="2041" w:type="dxa"/>
            <w:vMerge/>
          </w:tcPr>
          <w:p w14:paraId="423B6B51" w14:textId="77777777" w:rsidR="008E1B14" w:rsidRDefault="008E1B14" w:rsidP="00E608F5">
            <w:pPr>
              <w:pStyle w:val="TableText"/>
              <w:jc w:val="center"/>
            </w:pPr>
          </w:p>
        </w:tc>
        <w:tc>
          <w:tcPr>
            <w:tcW w:w="2040" w:type="dxa"/>
            <w:vMerge/>
          </w:tcPr>
          <w:p w14:paraId="7C90D8AA" w14:textId="77777777" w:rsidR="008E1B14" w:rsidRDefault="008E1B14" w:rsidP="00E608F5">
            <w:pPr>
              <w:pStyle w:val="TableText"/>
              <w:jc w:val="center"/>
            </w:pPr>
          </w:p>
        </w:tc>
        <w:tc>
          <w:tcPr>
            <w:tcW w:w="2041" w:type="dxa"/>
            <w:vMerge/>
          </w:tcPr>
          <w:p w14:paraId="5BD4F495" w14:textId="77777777" w:rsidR="008E1B14" w:rsidRDefault="008E1B14" w:rsidP="00E608F5">
            <w:pPr>
              <w:pStyle w:val="TableText"/>
              <w:jc w:val="center"/>
            </w:pPr>
          </w:p>
        </w:tc>
        <w:tc>
          <w:tcPr>
            <w:tcW w:w="2040" w:type="dxa"/>
            <w:vMerge/>
          </w:tcPr>
          <w:p w14:paraId="13B7D7AA" w14:textId="77777777" w:rsidR="008E1B14" w:rsidRDefault="008E1B14" w:rsidP="00E608F5">
            <w:pPr>
              <w:pStyle w:val="TableText"/>
              <w:jc w:val="center"/>
            </w:pPr>
          </w:p>
        </w:tc>
        <w:tc>
          <w:tcPr>
            <w:tcW w:w="2041" w:type="dxa"/>
            <w:vMerge/>
          </w:tcPr>
          <w:p w14:paraId="0ED95EF1" w14:textId="77777777" w:rsidR="008E1B14" w:rsidRDefault="008E1B14" w:rsidP="00E608F5">
            <w:pPr>
              <w:pStyle w:val="TableText"/>
              <w:jc w:val="center"/>
            </w:pPr>
          </w:p>
        </w:tc>
      </w:tr>
      <w:tr w:rsidR="008E1B14" w14:paraId="4E3B80EE" w14:textId="77777777" w:rsidTr="008E1B14">
        <w:tc>
          <w:tcPr>
            <w:tcW w:w="1932" w:type="dxa"/>
            <w:vMerge w:val="restart"/>
          </w:tcPr>
          <w:p w14:paraId="7EDDE4DA" w14:textId="77777777" w:rsidR="008E1B14" w:rsidRDefault="008E1B14" w:rsidP="00E608F5">
            <w:pPr>
              <w:pStyle w:val="TableText"/>
            </w:pPr>
            <w:r w:rsidRPr="00442E3E">
              <w:t>Southern</w:t>
            </w:r>
          </w:p>
        </w:tc>
        <w:tc>
          <w:tcPr>
            <w:tcW w:w="2040" w:type="dxa"/>
          </w:tcPr>
          <w:p w14:paraId="21A17236" w14:textId="77777777" w:rsidR="008E1B14" w:rsidRPr="00C274EE" w:rsidRDefault="008E1B14" w:rsidP="00E608F5">
            <w:pPr>
              <w:pStyle w:val="TableText"/>
            </w:pPr>
            <w:r w:rsidRPr="00C30920">
              <w:t>Nelson Marlborough</w:t>
            </w:r>
          </w:p>
        </w:tc>
        <w:tc>
          <w:tcPr>
            <w:tcW w:w="2041" w:type="dxa"/>
            <w:vMerge w:val="restart"/>
          </w:tcPr>
          <w:p w14:paraId="49A75490" w14:textId="77777777" w:rsidR="008E1B14" w:rsidRDefault="008E1B14" w:rsidP="00E608F5">
            <w:pPr>
              <w:pStyle w:val="TableText"/>
              <w:jc w:val="center"/>
            </w:pPr>
            <w:r w:rsidRPr="007C2A0D">
              <w:t>44</w:t>
            </w:r>
          </w:p>
        </w:tc>
        <w:tc>
          <w:tcPr>
            <w:tcW w:w="2040" w:type="dxa"/>
            <w:vMerge w:val="restart"/>
          </w:tcPr>
          <w:p w14:paraId="3363F513" w14:textId="77777777" w:rsidR="008E1B14" w:rsidRDefault="008E1B14" w:rsidP="00E608F5">
            <w:pPr>
              <w:pStyle w:val="TableText"/>
              <w:jc w:val="center"/>
            </w:pPr>
            <w:r w:rsidRPr="007C2A0D">
              <w:t>32</w:t>
            </w:r>
          </w:p>
        </w:tc>
        <w:tc>
          <w:tcPr>
            <w:tcW w:w="2041" w:type="dxa"/>
            <w:vMerge w:val="restart"/>
          </w:tcPr>
          <w:p w14:paraId="1CBDAECC" w14:textId="77777777" w:rsidR="008E1B14" w:rsidRDefault="008E1B14" w:rsidP="00E608F5">
            <w:pPr>
              <w:pStyle w:val="TableText"/>
              <w:jc w:val="center"/>
            </w:pPr>
            <w:r w:rsidRPr="007C2A0D">
              <w:t>26</w:t>
            </w:r>
          </w:p>
        </w:tc>
        <w:tc>
          <w:tcPr>
            <w:tcW w:w="2040" w:type="dxa"/>
            <w:vMerge w:val="restart"/>
          </w:tcPr>
          <w:p w14:paraId="33E79A3B" w14:textId="77777777" w:rsidR="008E1B14" w:rsidRDefault="008E1B14" w:rsidP="00E608F5">
            <w:pPr>
              <w:pStyle w:val="TableText"/>
              <w:jc w:val="center"/>
            </w:pPr>
            <w:r w:rsidRPr="007C2A0D">
              <w:t>5</w:t>
            </w:r>
          </w:p>
        </w:tc>
        <w:tc>
          <w:tcPr>
            <w:tcW w:w="2041" w:type="dxa"/>
            <w:vMerge w:val="restart"/>
          </w:tcPr>
          <w:p w14:paraId="5714A645" w14:textId="77777777" w:rsidR="008E1B14" w:rsidRDefault="008E1B14" w:rsidP="00E608F5">
            <w:pPr>
              <w:pStyle w:val="TableText"/>
              <w:jc w:val="center"/>
            </w:pPr>
            <w:r w:rsidRPr="007C2A0D">
              <w:t>S</w:t>
            </w:r>
          </w:p>
        </w:tc>
      </w:tr>
      <w:tr w:rsidR="008E1B14" w14:paraId="1CFD90F3" w14:textId="77777777" w:rsidTr="008E1B14">
        <w:tc>
          <w:tcPr>
            <w:tcW w:w="1932" w:type="dxa"/>
            <w:vMerge/>
          </w:tcPr>
          <w:p w14:paraId="5BCDF876" w14:textId="77777777" w:rsidR="008E1B14" w:rsidRDefault="008E1B14" w:rsidP="00E608F5">
            <w:pPr>
              <w:pStyle w:val="TableText"/>
            </w:pPr>
          </w:p>
        </w:tc>
        <w:tc>
          <w:tcPr>
            <w:tcW w:w="2040" w:type="dxa"/>
          </w:tcPr>
          <w:p w14:paraId="07C1A415" w14:textId="77777777" w:rsidR="008E1B14" w:rsidRPr="00C274EE" w:rsidRDefault="008E1B14" w:rsidP="00E608F5">
            <w:pPr>
              <w:pStyle w:val="TableText"/>
            </w:pPr>
            <w:r w:rsidRPr="00C30920">
              <w:t>West Coast</w:t>
            </w:r>
          </w:p>
        </w:tc>
        <w:tc>
          <w:tcPr>
            <w:tcW w:w="2041" w:type="dxa"/>
            <w:vMerge/>
          </w:tcPr>
          <w:p w14:paraId="2AC06B9C" w14:textId="77777777" w:rsidR="008E1B14" w:rsidRDefault="008E1B14" w:rsidP="00E608F5">
            <w:pPr>
              <w:pStyle w:val="TableText"/>
              <w:jc w:val="center"/>
            </w:pPr>
          </w:p>
        </w:tc>
        <w:tc>
          <w:tcPr>
            <w:tcW w:w="2040" w:type="dxa"/>
            <w:vMerge/>
          </w:tcPr>
          <w:p w14:paraId="32ECF911" w14:textId="77777777" w:rsidR="008E1B14" w:rsidRDefault="008E1B14" w:rsidP="00E608F5">
            <w:pPr>
              <w:pStyle w:val="TableText"/>
              <w:jc w:val="center"/>
            </w:pPr>
          </w:p>
        </w:tc>
        <w:tc>
          <w:tcPr>
            <w:tcW w:w="2041" w:type="dxa"/>
            <w:vMerge/>
          </w:tcPr>
          <w:p w14:paraId="481BE042" w14:textId="77777777" w:rsidR="008E1B14" w:rsidRDefault="008E1B14" w:rsidP="00E608F5">
            <w:pPr>
              <w:pStyle w:val="TableText"/>
              <w:jc w:val="center"/>
            </w:pPr>
          </w:p>
        </w:tc>
        <w:tc>
          <w:tcPr>
            <w:tcW w:w="2040" w:type="dxa"/>
            <w:vMerge/>
          </w:tcPr>
          <w:p w14:paraId="70773112" w14:textId="77777777" w:rsidR="008E1B14" w:rsidRDefault="008E1B14" w:rsidP="00E608F5">
            <w:pPr>
              <w:pStyle w:val="TableText"/>
              <w:jc w:val="center"/>
            </w:pPr>
          </w:p>
        </w:tc>
        <w:tc>
          <w:tcPr>
            <w:tcW w:w="2041" w:type="dxa"/>
            <w:vMerge/>
          </w:tcPr>
          <w:p w14:paraId="27A26B5D" w14:textId="77777777" w:rsidR="008E1B14" w:rsidRDefault="008E1B14" w:rsidP="00E608F5">
            <w:pPr>
              <w:pStyle w:val="TableText"/>
              <w:jc w:val="center"/>
            </w:pPr>
          </w:p>
        </w:tc>
      </w:tr>
      <w:tr w:rsidR="008E1B14" w14:paraId="20197924" w14:textId="77777777" w:rsidTr="008E1B14">
        <w:tc>
          <w:tcPr>
            <w:tcW w:w="1932" w:type="dxa"/>
            <w:vMerge/>
          </w:tcPr>
          <w:p w14:paraId="46AE7CAA" w14:textId="77777777" w:rsidR="008E1B14" w:rsidRDefault="008E1B14" w:rsidP="00E608F5">
            <w:pPr>
              <w:pStyle w:val="TableText"/>
            </w:pPr>
          </w:p>
        </w:tc>
        <w:tc>
          <w:tcPr>
            <w:tcW w:w="2040" w:type="dxa"/>
          </w:tcPr>
          <w:p w14:paraId="2EF15D0D" w14:textId="77777777" w:rsidR="008E1B14" w:rsidRPr="00C274EE" w:rsidRDefault="008E1B14" w:rsidP="00E608F5">
            <w:pPr>
              <w:pStyle w:val="TableText"/>
            </w:pPr>
            <w:r w:rsidRPr="00C30920">
              <w:t>Canterbury</w:t>
            </w:r>
          </w:p>
        </w:tc>
        <w:tc>
          <w:tcPr>
            <w:tcW w:w="2041" w:type="dxa"/>
            <w:vMerge/>
          </w:tcPr>
          <w:p w14:paraId="7C8B86A6" w14:textId="77777777" w:rsidR="008E1B14" w:rsidRDefault="008E1B14" w:rsidP="00E608F5">
            <w:pPr>
              <w:pStyle w:val="TableText"/>
              <w:jc w:val="center"/>
            </w:pPr>
          </w:p>
        </w:tc>
        <w:tc>
          <w:tcPr>
            <w:tcW w:w="2040" w:type="dxa"/>
            <w:vMerge/>
          </w:tcPr>
          <w:p w14:paraId="0FB980B9" w14:textId="77777777" w:rsidR="008E1B14" w:rsidRDefault="008E1B14" w:rsidP="00E608F5">
            <w:pPr>
              <w:pStyle w:val="TableText"/>
              <w:jc w:val="center"/>
            </w:pPr>
          </w:p>
        </w:tc>
        <w:tc>
          <w:tcPr>
            <w:tcW w:w="2041" w:type="dxa"/>
            <w:vMerge/>
          </w:tcPr>
          <w:p w14:paraId="5A8BFAC5" w14:textId="77777777" w:rsidR="008E1B14" w:rsidRDefault="008E1B14" w:rsidP="00E608F5">
            <w:pPr>
              <w:pStyle w:val="TableText"/>
              <w:jc w:val="center"/>
            </w:pPr>
          </w:p>
        </w:tc>
        <w:tc>
          <w:tcPr>
            <w:tcW w:w="2040" w:type="dxa"/>
            <w:vMerge/>
          </w:tcPr>
          <w:p w14:paraId="47202EEF" w14:textId="77777777" w:rsidR="008E1B14" w:rsidRDefault="008E1B14" w:rsidP="00E608F5">
            <w:pPr>
              <w:pStyle w:val="TableText"/>
              <w:jc w:val="center"/>
            </w:pPr>
          </w:p>
        </w:tc>
        <w:tc>
          <w:tcPr>
            <w:tcW w:w="2041" w:type="dxa"/>
            <w:vMerge/>
          </w:tcPr>
          <w:p w14:paraId="38B558B9" w14:textId="77777777" w:rsidR="008E1B14" w:rsidRDefault="008E1B14" w:rsidP="00E608F5">
            <w:pPr>
              <w:pStyle w:val="TableText"/>
              <w:jc w:val="center"/>
            </w:pPr>
          </w:p>
        </w:tc>
      </w:tr>
      <w:tr w:rsidR="008E1B14" w14:paraId="6B370AFB" w14:textId="77777777" w:rsidTr="008E1B14">
        <w:tc>
          <w:tcPr>
            <w:tcW w:w="1932" w:type="dxa"/>
            <w:vMerge/>
          </w:tcPr>
          <w:p w14:paraId="0C491BF2" w14:textId="77777777" w:rsidR="008E1B14" w:rsidRDefault="008E1B14" w:rsidP="00E608F5">
            <w:pPr>
              <w:pStyle w:val="TableText"/>
            </w:pPr>
          </w:p>
        </w:tc>
        <w:tc>
          <w:tcPr>
            <w:tcW w:w="2040" w:type="dxa"/>
          </w:tcPr>
          <w:p w14:paraId="6BC1B96D" w14:textId="77777777" w:rsidR="008E1B14" w:rsidRPr="00C274EE" w:rsidRDefault="008E1B14" w:rsidP="00E608F5">
            <w:pPr>
              <w:pStyle w:val="TableText"/>
            </w:pPr>
            <w:r w:rsidRPr="00C30920">
              <w:t>South Canterbury</w:t>
            </w:r>
          </w:p>
        </w:tc>
        <w:tc>
          <w:tcPr>
            <w:tcW w:w="2041" w:type="dxa"/>
            <w:vMerge/>
          </w:tcPr>
          <w:p w14:paraId="01F37261" w14:textId="77777777" w:rsidR="008E1B14" w:rsidRDefault="008E1B14" w:rsidP="00E608F5">
            <w:pPr>
              <w:pStyle w:val="TableText"/>
              <w:jc w:val="center"/>
            </w:pPr>
          </w:p>
        </w:tc>
        <w:tc>
          <w:tcPr>
            <w:tcW w:w="2040" w:type="dxa"/>
            <w:vMerge/>
          </w:tcPr>
          <w:p w14:paraId="73779660" w14:textId="77777777" w:rsidR="008E1B14" w:rsidRDefault="008E1B14" w:rsidP="00E608F5">
            <w:pPr>
              <w:pStyle w:val="TableText"/>
              <w:jc w:val="center"/>
            </w:pPr>
          </w:p>
        </w:tc>
        <w:tc>
          <w:tcPr>
            <w:tcW w:w="2041" w:type="dxa"/>
            <w:vMerge/>
          </w:tcPr>
          <w:p w14:paraId="4DD0E859" w14:textId="77777777" w:rsidR="008E1B14" w:rsidRDefault="008E1B14" w:rsidP="00E608F5">
            <w:pPr>
              <w:pStyle w:val="TableText"/>
              <w:jc w:val="center"/>
            </w:pPr>
          </w:p>
        </w:tc>
        <w:tc>
          <w:tcPr>
            <w:tcW w:w="2040" w:type="dxa"/>
            <w:vMerge/>
          </w:tcPr>
          <w:p w14:paraId="626E7878" w14:textId="77777777" w:rsidR="008E1B14" w:rsidRDefault="008E1B14" w:rsidP="00E608F5">
            <w:pPr>
              <w:pStyle w:val="TableText"/>
              <w:jc w:val="center"/>
            </w:pPr>
          </w:p>
        </w:tc>
        <w:tc>
          <w:tcPr>
            <w:tcW w:w="2041" w:type="dxa"/>
            <w:vMerge/>
          </w:tcPr>
          <w:p w14:paraId="43108124" w14:textId="77777777" w:rsidR="008E1B14" w:rsidRDefault="008E1B14" w:rsidP="00E608F5">
            <w:pPr>
              <w:pStyle w:val="TableText"/>
              <w:jc w:val="center"/>
            </w:pPr>
          </w:p>
        </w:tc>
      </w:tr>
      <w:tr w:rsidR="008E1B14" w14:paraId="02F1BCE9" w14:textId="77777777" w:rsidTr="008E1B14">
        <w:tc>
          <w:tcPr>
            <w:tcW w:w="1932" w:type="dxa"/>
            <w:vMerge/>
          </w:tcPr>
          <w:p w14:paraId="39AD3545" w14:textId="77777777" w:rsidR="008E1B14" w:rsidRDefault="008E1B14" w:rsidP="00E608F5">
            <w:pPr>
              <w:pStyle w:val="TableText"/>
            </w:pPr>
          </w:p>
        </w:tc>
        <w:tc>
          <w:tcPr>
            <w:tcW w:w="2040" w:type="dxa"/>
          </w:tcPr>
          <w:p w14:paraId="44E17C18" w14:textId="77777777" w:rsidR="008E1B14" w:rsidRPr="00C274EE" w:rsidRDefault="008E1B14" w:rsidP="00E608F5">
            <w:pPr>
              <w:pStyle w:val="TableText"/>
            </w:pPr>
            <w:r w:rsidRPr="00C30920">
              <w:t>Southern</w:t>
            </w:r>
          </w:p>
        </w:tc>
        <w:tc>
          <w:tcPr>
            <w:tcW w:w="2041" w:type="dxa"/>
            <w:vMerge/>
          </w:tcPr>
          <w:p w14:paraId="1962915E" w14:textId="77777777" w:rsidR="008E1B14" w:rsidRDefault="008E1B14" w:rsidP="00E608F5">
            <w:pPr>
              <w:pStyle w:val="TableText"/>
              <w:jc w:val="center"/>
            </w:pPr>
          </w:p>
        </w:tc>
        <w:tc>
          <w:tcPr>
            <w:tcW w:w="2040" w:type="dxa"/>
            <w:vMerge/>
          </w:tcPr>
          <w:p w14:paraId="756F8528" w14:textId="77777777" w:rsidR="008E1B14" w:rsidRDefault="008E1B14" w:rsidP="00E608F5">
            <w:pPr>
              <w:pStyle w:val="TableText"/>
              <w:jc w:val="center"/>
            </w:pPr>
          </w:p>
        </w:tc>
        <w:tc>
          <w:tcPr>
            <w:tcW w:w="2041" w:type="dxa"/>
            <w:vMerge/>
          </w:tcPr>
          <w:p w14:paraId="525450B5" w14:textId="77777777" w:rsidR="008E1B14" w:rsidRDefault="008E1B14" w:rsidP="00E608F5">
            <w:pPr>
              <w:pStyle w:val="TableText"/>
              <w:jc w:val="center"/>
            </w:pPr>
          </w:p>
        </w:tc>
        <w:tc>
          <w:tcPr>
            <w:tcW w:w="2040" w:type="dxa"/>
            <w:vMerge/>
          </w:tcPr>
          <w:p w14:paraId="07A90F4B" w14:textId="77777777" w:rsidR="008E1B14" w:rsidRDefault="008E1B14" w:rsidP="00E608F5">
            <w:pPr>
              <w:pStyle w:val="TableText"/>
              <w:jc w:val="center"/>
            </w:pPr>
          </w:p>
        </w:tc>
        <w:tc>
          <w:tcPr>
            <w:tcW w:w="2041" w:type="dxa"/>
            <w:vMerge/>
          </w:tcPr>
          <w:p w14:paraId="7BBC540F" w14:textId="77777777" w:rsidR="008E1B14" w:rsidRDefault="008E1B14" w:rsidP="00E608F5">
            <w:pPr>
              <w:pStyle w:val="TableText"/>
              <w:jc w:val="center"/>
            </w:pPr>
          </w:p>
        </w:tc>
      </w:tr>
      <w:tr w:rsidR="008E1B14" w:rsidRPr="008E1B14" w14:paraId="1043D7DA" w14:textId="77777777" w:rsidTr="008E1B14">
        <w:tc>
          <w:tcPr>
            <w:tcW w:w="1932" w:type="dxa"/>
          </w:tcPr>
          <w:p w14:paraId="0EE8FB0F" w14:textId="77777777" w:rsidR="008E1B14" w:rsidRPr="008E1B14" w:rsidRDefault="008E1B14" w:rsidP="00E608F5">
            <w:pPr>
              <w:pStyle w:val="TableText"/>
              <w:rPr>
                <w:b/>
                <w:bCs/>
              </w:rPr>
            </w:pPr>
          </w:p>
        </w:tc>
        <w:tc>
          <w:tcPr>
            <w:tcW w:w="2040" w:type="dxa"/>
          </w:tcPr>
          <w:p w14:paraId="1AF41BB6" w14:textId="77777777" w:rsidR="008E1B14" w:rsidRPr="008E1B14" w:rsidRDefault="008E1B14" w:rsidP="00E608F5">
            <w:pPr>
              <w:pStyle w:val="TableText"/>
              <w:rPr>
                <w:b/>
                <w:bCs/>
              </w:rPr>
            </w:pPr>
            <w:r w:rsidRPr="008E1B14">
              <w:rPr>
                <w:b/>
                <w:bCs/>
              </w:rPr>
              <w:t>Total</w:t>
            </w:r>
          </w:p>
        </w:tc>
        <w:tc>
          <w:tcPr>
            <w:tcW w:w="2041" w:type="dxa"/>
          </w:tcPr>
          <w:p w14:paraId="21D7D482" w14:textId="77777777" w:rsidR="008E1B14" w:rsidRPr="008E1B14" w:rsidRDefault="008E1B14" w:rsidP="00E608F5">
            <w:pPr>
              <w:pStyle w:val="TableText"/>
              <w:jc w:val="center"/>
              <w:rPr>
                <w:b/>
                <w:bCs/>
              </w:rPr>
            </w:pPr>
            <w:r w:rsidRPr="008E1B14">
              <w:rPr>
                <w:b/>
                <w:bCs/>
              </w:rPr>
              <w:t>130</w:t>
            </w:r>
          </w:p>
        </w:tc>
        <w:tc>
          <w:tcPr>
            <w:tcW w:w="2040" w:type="dxa"/>
          </w:tcPr>
          <w:p w14:paraId="70004C53" w14:textId="77777777" w:rsidR="008E1B14" w:rsidRPr="008E1B14" w:rsidRDefault="008E1B14" w:rsidP="00E608F5">
            <w:pPr>
              <w:pStyle w:val="TableText"/>
              <w:jc w:val="center"/>
              <w:rPr>
                <w:b/>
                <w:bCs/>
              </w:rPr>
            </w:pPr>
            <w:r w:rsidRPr="008E1B14">
              <w:rPr>
                <w:b/>
                <w:bCs/>
              </w:rPr>
              <w:t>91</w:t>
            </w:r>
          </w:p>
        </w:tc>
        <w:tc>
          <w:tcPr>
            <w:tcW w:w="2041" w:type="dxa"/>
          </w:tcPr>
          <w:p w14:paraId="567D08D5" w14:textId="77777777" w:rsidR="008E1B14" w:rsidRPr="008E1B14" w:rsidRDefault="008E1B14" w:rsidP="00E608F5">
            <w:pPr>
              <w:pStyle w:val="TableText"/>
              <w:jc w:val="center"/>
              <w:rPr>
                <w:b/>
                <w:bCs/>
              </w:rPr>
            </w:pPr>
            <w:r w:rsidRPr="008E1B14">
              <w:rPr>
                <w:b/>
                <w:bCs/>
              </w:rPr>
              <w:t>83</w:t>
            </w:r>
          </w:p>
        </w:tc>
        <w:tc>
          <w:tcPr>
            <w:tcW w:w="2040" w:type="dxa"/>
          </w:tcPr>
          <w:p w14:paraId="15C8B6D0" w14:textId="77777777" w:rsidR="008E1B14" w:rsidRPr="008E1B14" w:rsidRDefault="008E1B14" w:rsidP="00E608F5">
            <w:pPr>
              <w:pStyle w:val="TableText"/>
              <w:jc w:val="center"/>
              <w:rPr>
                <w:b/>
                <w:bCs/>
              </w:rPr>
            </w:pPr>
            <w:r w:rsidRPr="008E1B14">
              <w:rPr>
                <w:b/>
                <w:bCs/>
              </w:rPr>
              <w:t>11</w:t>
            </w:r>
          </w:p>
        </w:tc>
        <w:tc>
          <w:tcPr>
            <w:tcW w:w="2041" w:type="dxa"/>
          </w:tcPr>
          <w:p w14:paraId="5019FE76" w14:textId="77777777" w:rsidR="008E1B14" w:rsidRPr="008E1B14" w:rsidRDefault="008E1B14" w:rsidP="00E608F5">
            <w:pPr>
              <w:pStyle w:val="TableText"/>
              <w:jc w:val="center"/>
              <w:rPr>
                <w:b/>
                <w:bCs/>
              </w:rPr>
            </w:pPr>
            <w:r w:rsidRPr="008E1B14">
              <w:rPr>
                <w:b/>
                <w:bCs/>
              </w:rPr>
              <w:t>10</w:t>
            </w:r>
          </w:p>
        </w:tc>
      </w:tr>
    </w:tbl>
    <w:p w14:paraId="39341069" w14:textId="77777777" w:rsidR="008E1B14" w:rsidRDefault="008E1B14" w:rsidP="00442E3E">
      <w:pPr>
        <w:pStyle w:val="Table"/>
        <w:sectPr w:rsidR="008E1B14" w:rsidSect="008E1B14">
          <w:footerReference w:type="default" r:id="rId37"/>
          <w:pgSz w:w="16834" w:h="11907" w:orient="landscape" w:code="9"/>
          <w:pgMar w:top="993" w:right="1418" w:bottom="1701" w:left="1134" w:header="284" w:footer="425" w:gutter="284"/>
          <w:cols w:space="720"/>
          <w:docGrid w:linePitch="286"/>
        </w:sectPr>
      </w:pPr>
    </w:p>
    <w:p w14:paraId="08E8471F" w14:textId="77777777" w:rsidR="00442E3E" w:rsidRPr="008E1B14" w:rsidRDefault="00442E3E" w:rsidP="008E1B14">
      <w:pPr>
        <w:pStyle w:val="Heading2"/>
        <w:numPr>
          <w:ilvl w:val="0"/>
          <w:numId w:val="16"/>
        </w:numPr>
        <w:spacing w:before="0"/>
        <w:ind w:hanging="720"/>
      </w:pPr>
      <w:bookmarkStart w:id="100" w:name="_Toc106611882"/>
      <w:r w:rsidRPr="008E1B14">
        <w:lastRenderedPageBreak/>
        <w:t>Workforce capacity</w:t>
      </w:r>
      <w:bookmarkEnd w:id="96"/>
      <w:bookmarkEnd w:id="97"/>
      <w:bookmarkEnd w:id="100"/>
    </w:p>
    <w:p w14:paraId="753E8331" w14:textId="7ADB1CA7" w:rsidR="00442E3E" w:rsidRDefault="00442E3E" w:rsidP="008E1B14">
      <w:r>
        <w:t>The number of medical and nurse practitioners willing to provide assisted dying services is sufficient to meet current demand and has remained stable since the service became available. However, the Ministry is continuing to work to grow the workforce, with a particular focus on ensuring the workforce represents the diversity of New Zealand</w:t>
      </w:r>
      <w:r w:rsidR="00FE1665" w:rsidRPr="00FE1665">
        <w:t xml:space="preserve"> </w:t>
      </w:r>
      <w:r w:rsidR="00FE1665">
        <w:t>Aotearoa</w:t>
      </w:r>
      <w:r>
        <w:t xml:space="preserve">, including increasing the number of Māori practitioners. Cultural safety of the practitioners providing assisted dying services is a priority as this underpins good practice. The Ministry will support practitioners’ learning in this area by funding workforce training activities. </w:t>
      </w:r>
    </w:p>
    <w:p w14:paraId="7A3BD466" w14:textId="77777777" w:rsidR="00442E3E" w:rsidRDefault="00442E3E" w:rsidP="008E1B14"/>
    <w:p w14:paraId="645058F2" w14:textId="77777777" w:rsidR="00442E3E" w:rsidRPr="001E7528" w:rsidRDefault="00442E3E" w:rsidP="008E1B14">
      <w:r>
        <w:t xml:space="preserve">As with other areas of the health system, the capacity of the workforce has faced some pressures due to the ongoing COVID-19 response. In particular, this has affected ability and willingness to travel to provide the service. However, the option for some appointments to be through telehealth has been a helpful solution in some cases and overall COVID-19 has had minimal impact on service access and responsiveness. </w:t>
      </w:r>
    </w:p>
    <w:p w14:paraId="79711A8C" w14:textId="77777777" w:rsidR="00442E3E" w:rsidRDefault="00442E3E" w:rsidP="008E1B14"/>
    <w:p w14:paraId="03145683" w14:textId="77777777" w:rsidR="00442E3E" w:rsidRDefault="00442E3E" w:rsidP="008E1B14">
      <w:r>
        <w:t xml:space="preserve">It should also be noted that the number of practitioners willing to provide services is higher than was expected at the outset of the implementation, based on the experience overseas of limited practitioner availability in the first few months of service provision. The Ministry considers the significant engagement with professional groups during the implementation, as well as the availability of training and funding for providing the service, as crucial in securing an appropriately sized workforce from the beginning. </w:t>
      </w:r>
    </w:p>
    <w:p w14:paraId="3E479790" w14:textId="77777777" w:rsidR="00442E3E" w:rsidRDefault="00442E3E" w:rsidP="008E1B14"/>
    <w:p w14:paraId="5B8E3D17" w14:textId="77777777" w:rsidR="00442E3E" w:rsidRPr="001E7528" w:rsidRDefault="00442E3E" w:rsidP="008E1B14">
      <w:r>
        <w:t xml:space="preserve">The Ministry also had the advantage of learning from overseas jurisdictions and understanding that in those countries some practitioners stopped being involved in the service after the first few months or after the first administration of the medication. The Ministry proactively put support and engagement approaches in place to prevent this, and the workforce has remained stable since the service was introduced.  </w:t>
      </w:r>
    </w:p>
    <w:p w14:paraId="7ACA7AA9" w14:textId="77777777" w:rsidR="00442E3E" w:rsidRPr="002130AE" w:rsidRDefault="00442E3E" w:rsidP="002130AE">
      <w:pPr>
        <w:pStyle w:val="Heading2"/>
        <w:numPr>
          <w:ilvl w:val="0"/>
          <w:numId w:val="16"/>
        </w:numPr>
        <w:ind w:hanging="720"/>
      </w:pPr>
      <w:bookmarkStart w:id="101" w:name="_Toc103085576"/>
      <w:bookmarkStart w:id="102" w:name="_Toc103606341"/>
      <w:bookmarkStart w:id="103" w:name="_Toc104460691"/>
      <w:bookmarkStart w:id="104" w:name="_Toc106611883"/>
      <w:r w:rsidRPr="002130AE">
        <w:t>Workforce training</w:t>
      </w:r>
      <w:bookmarkEnd w:id="101"/>
      <w:bookmarkEnd w:id="102"/>
      <w:bookmarkEnd w:id="103"/>
      <w:bookmarkEnd w:id="104"/>
    </w:p>
    <w:p w14:paraId="44D0A765" w14:textId="77777777" w:rsidR="00442E3E" w:rsidRDefault="00442E3E" w:rsidP="008E1B14">
      <w:r>
        <w:t xml:space="preserve">During the implementation of the Act, the Ministry developed a variety of information and training resources for the workforce, including guidance documents, webinars, e-learning modules and an online workforce forum. This included information and resources for medical and nurse practitioners willing to provide assisted dying services, the wider health workforce, and those working in planning and management roles in health service providers. </w:t>
      </w:r>
    </w:p>
    <w:p w14:paraId="13B2AD3A" w14:textId="77777777" w:rsidR="00442E3E" w:rsidRDefault="00442E3E" w:rsidP="008E1B14"/>
    <w:p w14:paraId="48AC5440" w14:textId="77777777" w:rsidR="00442E3E" w:rsidRDefault="00442E3E" w:rsidP="008E1B14">
      <w:r>
        <w:t xml:space="preserve">These resources are enduring and continue to be available through </w:t>
      </w:r>
      <w:hyperlink r:id="rId38" w:history="1">
        <w:r w:rsidRPr="00C670A4">
          <w:rPr>
            <w:rStyle w:val="Hyperlink"/>
          </w:rPr>
          <w:t>the Ministry’s website</w:t>
        </w:r>
      </w:hyperlink>
      <w:r>
        <w:t xml:space="preserve"> and </w:t>
      </w:r>
      <w:hyperlink r:id="rId39" w:history="1">
        <w:proofErr w:type="spellStart"/>
        <w:r w:rsidRPr="006F18A1">
          <w:rPr>
            <w:rStyle w:val="Hyperlink"/>
          </w:rPr>
          <w:t>LearnOnline</w:t>
        </w:r>
        <w:proofErr w:type="spellEnd"/>
      </w:hyperlink>
      <w:r>
        <w:t xml:space="preserve">, the Ministry’s e-learning platform for health professionals. A review of the e-learning modules is planned for 2023. </w:t>
      </w:r>
    </w:p>
    <w:p w14:paraId="1628EE59" w14:textId="77777777" w:rsidR="00442E3E" w:rsidRDefault="00442E3E" w:rsidP="00442E3E">
      <w:pPr>
        <w:pStyle w:val="Heading3"/>
      </w:pPr>
      <w:bookmarkStart w:id="105" w:name="_Toc103606342"/>
      <w:bookmarkStart w:id="106" w:name="_Toc104460692"/>
      <w:r>
        <w:lastRenderedPageBreak/>
        <w:t>Training for medical and nurse practitioners</w:t>
      </w:r>
      <w:bookmarkEnd w:id="105"/>
      <w:bookmarkEnd w:id="106"/>
      <w:r>
        <w:t xml:space="preserve"> </w:t>
      </w:r>
    </w:p>
    <w:p w14:paraId="3B4C90AB" w14:textId="77777777" w:rsidR="00442E3E" w:rsidRDefault="00442E3E" w:rsidP="00442E3E">
      <w:r>
        <w:t xml:space="preserve">A set of five e-learning modules is available to medical and nurse practitioners willing to provide assisted dying services. Completing this training is one of the eligibility requirements for claiming funding under the section 88 notice. </w:t>
      </w:r>
    </w:p>
    <w:p w14:paraId="0356BCC7" w14:textId="77777777" w:rsidR="00442E3E" w:rsidRDefault="00442E3E" w:rsidP="00442E3E"/>
    <w:p w14:paraId="3194CACD" w14:textId="77777777" w:rsidR="00442E3E" w:rsidRDefault="00442E3E" w:rsidP="00442E3E">
      <w:r>
        <w:t xml:space="preserve">These modules take around 1 hour 45 minutes to complete and cover the assessment process, planning for the assisted death, the administration of the medication, wellbeing and support, and a review of learning. </w:t>
      </w:r>
    </w:p>
    <w:p w14:paraId="3434F044" w14:textId="77777777" w:rsidR="00442E3E" w:rsidRDefault="00442E3E" w:rsidP="00442E3E"/>
    <w:p w14:paraId="6DF239B7" w14:textId="77777777" w:rsidR="00442E3E" w:rsidRDefault="00442E3E" w:rsidP="00442E3E">
      <w:pPr>
        <w:rPr>
          <w:i/>
          <w:iCs/>
        </w:rPr>
      </w:pPr>
      <w:r>
        <w:t xml:space="preserve">As of 31 March 2022, 137 medical and nurse practitioners have completed these modules. The modules have been well received by practitioners involved in the service. </w:t>
      </w:r>
      <w:bookmarkStart w:id="107" w:name="_Toc103606343"/>
      <w:bookmarkStart w:id="108" w:name="_Toc104460693"/>
    </w:p>
    <w:p w14:paraId="009D1998" w14:textId="77777777" w:rsidR="00442E3E" w:rsidRDefault="00442E3E" w:rsidP="00442E3E">
      <w:pPr>
        <w:pStyle w:val="Heading3"/>
      </w:pPr>
      <w:r>
        <w:t>Training for the wider health workforce</w:t>
      </w:r>
      <w:bookmarkEnd w:id="107"/>
      <w:bookmarkEnd w:id="108"/>
      <w:r>
        <w:t xml:space="preserve"> </w:t>
      </w:r>
    </w:p>
    <w:p w14:paraId="59F165F5" w14:textId="77777777" w:rsidR="00442E3E" w:rsidRDefault="00442E3E" w:rsidP="008E1B14">
      <w:r>
        <w:t xml:space="preserve">It is important that all health care professionals understand their rights and responsibilities under the Act, even if they are not involved directly in providing assisted dying services. For example, a person may raise the topic of assisted dying with any health practitioner, and the health practitioner needs to be able to respond appropriately, including in cases where the practitioner may conscientiously object. </w:t>
      </w:r>
    </w:p>
    <w:p w14:paraId="1CE13B84" w14:textId="77777777" w:rsidR="00442E3E" w:rsidRDefault="00442E3E" w:rsidP="008E1B14"/>
    <w:p w14:paraId="07B4E81C" w14:textId="77777777" w:rsidR="00442E3E" w:rsidRDefault="00442E3E" w:rsidP="008E1B14">
      <w:r>
        <w:t xml:space="preserve">There are three e-learning modules that it is recommended all health care professionals complete if they care for or support people who may access this service. These modules cover the </w:t>
      </w:r>
      <w:proofErr w:type="gramStart"/>
      <w:r>
        <w:t>End of Life</w:t>
      </w:r>
      <w:proofErr w:type="gramEnd"/>
      <w:r>
        <w:t xml:space="preserve"> Choice Act, the assisted dying care pathway, and responding when a person raises assisted dying. </w:t>
      </w:r>
    </w:p>
    <w:p w14:paraId="423933A4" w14:textId="77777777" w:rsidR="00442E3E" w:rsidRDefault="00442E3E" w:rsidP="008E1B14"/>
    <w:p w14:paraId="277F00A2" w14:textId="77777777" w:rsidR="00442E3E" w:rsidRDefault="00442E3E" w:rsidP="008E1B14">
      <w:r>
        <w:t xml:space="preserve">The module about responding when a person raises assisted dying is based on a conversation guide and handbook that was developed by clinical communication experts. These resources were co-designed with clinicians and consumers and are shaped by the principles and articles of </w:t>
      </w:r>
      <w:proofErr w:type="spellStart"/>
      <w:r>
        <w:t>Te</w:t>
      </w:r>
      <w:proofErr w:type="spellEnd"/>
      <w:r>
        <w:t xml:space="preserve"> </w:t>
      </w:r>
      <w:proofErr w:type="spellStart"/>
      <w:r>
        <w:t>Tiriti</w:t>
      </w:r>
      <w:proofErr w:type="spellEnd"/>
      <w:r>
        <w:t xml:space="preserve"> o Waitangi. </w:t>
      </w:r>
    </w:p>
    <w:p w14:paraId="4E480976" w14:textId="77777777" w:rsidR="00442E3E" w:rsidRDefault="00442E3E" w:rsidP="008E1B14"/>
    <w:p w14:paraId="3C9FE010" w14:textId="792F371E" w:rsidR="00442E3E" w:rsidRDefault="004654B7" w:rsidP="008E1B14">
      <w:r>
        <w:fldChar w:fldCharType="begin"/>
      </w:r>
      <w:r>
        <w:instrText xml:space="preserve"> REF _Ref106198351 \h </w:instrText>
      </w:r>
      <w:r>
        <w:fldChar w:fldCharType="separate"/>
      </w:r>
      <w:r w:rsidR="004B5578">
        <w:t xml:space="preserve">Table </w:t>
      </w:r>
      <w:r w:rsidR="004B5578">
        <w:rPr>
          <w:noProof/>
        </w:rPr>
        <w:t>4</w:t>
      </w:r>
      <w:r>
        <w:fldChar w:fldCharType="end"/>
      </w:r>
      <w:r w:rsidR="00442E3E">
        <w:t xml:space="preserve"> outlines uptake on the three training modules available to the wider health workforce as of 31 March 2022. </w:t>
      </w:r>
    </w:p>
    <w:p w14:paraId="5C63AABD" w14:textId="77777777" w:rsidR="00442E3E" w:rsidRDefault="00442E3E" w:rsidP="008E1B14"/>
    <w:p w14:paraId="769A0832" w14:textId="77777777" w:rsidR="00442E3E" w:rsidRDefault="00442E3E" w:rsidP="008E1B14">
      <w:r>
        <w:t xml:space="preserve">Note: These figures are likely to underestimate the total workforce trained, as the Ministry is aware that some professionals completed the modules with their team as part of a group learning and discussion session. </w:t>
      </w:r>
    </w:p>
    <w:p w14:paraId="0E3969D1" w14:textId="77777777" w:rsidR="00442E3E" w:rsidRDefault="00442E3E" w:rsidP="00442E3E"/>
    <w:p w14:paraId="4B9D2FF2" w14:textId="20FD7790" w:rsidR="00442E3E" w:rsidRDefault="008E1B14" w:rsidP="008E1B14">
      <w:pPr>
        <w:pStyle w:val="Table"/>
      </w:pPr>
      <w:bookmarkStart w:id="109" w:name="_Ref106198351"/>
      <w:bookmarkStart w:id="110" w:name="_Toc106611895"/>
      <w:r>
        <w:t xml:space="preserve">Table </w:t>
      </w:r>
      <w:fldSimple w:instr=" SEQ Table \* ARABIC ">
        <w:r w:rsidR="004B5578">
          <w:rPr>
            <w:noProof/>
          </w:rPr>
          <w:t>4</w:t>
        </w:r>
      </w:fldSimple>
      <w:bookmarkEnd w:id="109"/>
      <w:r>
        <w:t xml:space="preserve">: </w:t>
      </w:r>
      <w:r w:rsidR="00442E3E" w:rsidRPr="00DC2F44">
        <w:t>Number of people accessing the wider health workforce training</w:t>
      </w:r>
      <w:bookmarkEnd w:id="110"/>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4034"/>
        <w:gridCol w:w="4035"/>
      </w:tblGrid>
      <w:tr w:rsidR="00442E3E" w:rsidRPr="008E1B14" w14:paraId="2A919F18" w14:textId="77777777" w:rsidTr="002130AE">
        <w:tc>
          <w:tcPr>
            <w:tcW w:w="4034" w:type="dxa"/>
            <w:tcBorders>
              <w:top w:val="nil"/>
              <w:bottom w:val="nil"/>
            </w:tcBorders>
            <w:shd w:val="clear" w:color="auto" w:fill="D9D9D9" w:themeFill="background1" w:themeFillShade="D9"/>
          </w:tcPr>
          <w:p w14:paraId="42BC7EA7" w14:textId="77777777" w:rsidR="00442E3E" w:rsidRPr="008E1B14" w:rsidRDefault="00442E3E" w:rsidP="008E1B14">
            <w:pPr>
              <w:pStyle w:val="TableText"/>
              <w:rPr>
                <w:b/>
                <w:bCs/>
              </w:rPr>
            </w:pPr>
            <w:r w:rsidRPr="008E1B14">
              <w:rPr>
                <w:b/>
                <w:bCs/>
              </w:rPr>
              <w:t>Module</w:t>
            </w:r>
          </w:p>
        </w:tc>
        <w:tc>
          <w:tcPr>
            <w:tcW w:w="4035" w:type="dxa"/>
            <w:tcBorders>
              <w:top w:val="nil"/>
              <w:bottom w:val="nil"/>
            </w:tcBorders>
            <w:shd w:val="clear" w:color="auto" w:fill="D9D9D9" w:themeFill="background1" w:themeFillShade="D9"/>
          </w:tcPr>
          <w:p w14:paraId="5453B69E" w14:textId="77777777" w:rsidR="00442E3E" w:rsidRPr="008E1B14" w:rsidRDefault="00442E3E" w:rsidP="008E1B14">
            <w:pPr>
              <w:pStyle w:val="TableText"/>
              <w:rPr>
                <w:b/>
                <w:bCs/>
              </w:rPr>
            </w:pPr>
            <w:r w:rsidRPr="008E1B14">
              <w:rPr>
                <w:b/>
                <w:bCs/>
              </w:rPr>
              <w:t>Number completed, as 31 March 2022</w:t>
            </w:r>
          </w:p>
        </w:tc>
      </w:tr>
      <w:tr w:rsidR="00442E3E" w14:paraId="72F26D29" w14:textId="77777777" w:rsidTr="002130AE">
        <w:tc>
          <w:tcPr>
            <w:tcW w:w="4034" w:type="dxa"/>
            <w:tcBorders>
              <w:top w:val="nil"/>
            </w:tcBorders>
          </w:tcPr>
          <w:p w14:paraId="2F913170" w14:textId="77777777" w:rsidR="00442E3E" w:rsidRDefault="00442E3E" w:rsidP="008E1B14">
            <w:pPr>
              <w:pStyle w:val="TableText"/>
            </w:pPr>
            <w:r>
              <w:t xml:space="preserve">The </w:t>
            </w:r>
            <w:proofErr w:type="gramStart"/>
            <w:r>
              <w:t>End of Life</w:t>
            </w:r>
            <w:proofErr w:type="gramEnd"/>
            <w:r>
              <w:t xml:space="preserve"> Choice Act 2019: Overview</w:t>
            </w:r>
          </w:p>
        </w:tc>
        <w:tc>
          <w:tcPr>
            <w:tcW w:w="4035" w:type="dxa"/>
            <w:tcBorders>
              <w:top w:val="nil"/>
            </w:tcBorders>
          </w:tcPr>
          <w:p w14:paraId="702267BB" w14:textId="77777777" w:rsidR="00442E3E" w:rsidRDefault="00442E3E" w:rsidP="008E1B14">
            <w:pPr>
              <w:pStyle w:val="TableText"/>
            </w:pPr>
            <w:r w:rsidRPr="537D20A4">
              <w:t>9501</w:t>
            </w:r>
          </w:p>
        </w:tc>
      </w:tr>
      <w:tr w:rsidR="00442E3E" w14:paraId="0EE8E231" w14:textId="77777777" w:rsidTr="002130AE">
        <w:tc>
          <w:tcPr>
            <w:tcW w:w="4034" w:type="dxa"/>
          </w:tcPr>
          <w:p w14:paraId="5952C464" w14:textId="77777777" w:rsidR="00442E3E" w:rsidRDefault="00442E3E" w:rsidP="008E1B14">
            <w:pPr>
              <w:pStyle w:val="TableText"/>
            </w:pPr>
            <w:r>
              <w:t>The Assisted Dying Care Pathway: Overview</w:t>
            </w:r>
          </w:p>
        </w:tc>
        <w:tc>
          <w:tcPr>
            <w:tcW w:w="4035" w:type="dxa"/>
          </w:tcPr>
          <w:p w14:paraId="57450BF7" w14:textId="77777777" w:rsidR="00442E3E" w:rsidRDefault="00442E3E" w:rsidP="008E1B14">
            <w:pPr>
              <w:pStyle w:val="TableText"/>
            </w:pPr>
            <w:r w:rsidRPr="537D20A4">
              <w:t>3180</w:t>
            </w:r>
          </w:p>
        </w:tc>
      </w:tr>
      <w:tr w:rsidR="00442E3E" w14:paraId="28BD19A9" w14:textId="77777777" w:rsidTr="002130AE">
        <w:tc>
          <w:tcPr>
            <w:tcW w:w="4034" w:type="dxa"/>
          </w:tcPr>
          <w:p w14:paraId="173A3504" w14:textId="77777777" w:rsidR="00442E3E" w:rsidRDefault="00442E3E" w:rsidP="008E1B14">
            <w:pPr>
              <w:pStyle w:val="TableText"/>
            </w:pPr>
            <w:r>
              <w:t>Responding when a person raises assisted dying</w:t>
            </w:r>
          </w:p>
        </w:tc>
        <w:tc>
          <w:tcPr>
            <w:tcW w:w="4035" w:type="dxa"/>
          </w:tcPr>
          <w:p w14:paraId="2F108B4F" w14:textId="77777777" w:rsidR="00442E3E" w:rsidRDefault="00442E3E" w:rsidP="008E1B14">
            <w:pPr>
              <w:pStyle w:val="TableText"/>
            </w:pPr>
            <w:r w:rsidRPr="537D20A4">
              <w:t>2943</w:t>
            </w:r>
          </w:p>
        </w:tc>
      </w:tr>
    </w:tbl>
    <w:p w14:paraId="601CFA26" w14:textId="77777777" w:rsidR="00442E3E" w:rsidRPr="008E1B14" w:rsidRDefault="00442E3E" w:rsidP="002130AE">
      <w:pPr>
        <w:pStyle w:val="Heading2"/>
        <w:numPr>
          <w:ilvl w:val="0"/>
          <w:numId w:val="16"/>
        </w:numPr>
        <w:spacing w:before="0"/>
        <w:ind w:hanging="720"/>
      </w:pPr>
      <w:bookmarkStart w:id="111" w:name="_Toc103085577"/>
      <w:bookmarkStart w:id="112" w:name="_Toc103606344"/>
      <w:bookmarkStart w:id="113" w:name="_Toc104460694"/>
      <w:bookmarkStart w:id="114" w:name="_Toc106611884"/>
      <w:r w:rsidRPr="008E1B14">
        <w:lastRenderedPageBreak/>
        <w:t>Supporting practitioners</w:t>
      </w:r>
      <w:bookmarkEnd w:id="111"/>
      <w:bookmarkEnd w:id="112"/>
      <w:bookmarkEnd w:id="113"/>
      <w:bookmarkEnd w:id="114"/>
      <w:r w:rsidRPr="008E1B14">
        <w:t xml:space="preserve"> </w:t>
      </w:r>
    </w:p>
    <w:p w14:paraId="17B5DC7D" w14:textId="77777777" w:rsidR="00442E3E" w:rsidRDefault="00442E3E" w:rsidP="008E1B14">
      <w:r>
        <w:t xml:space="preserve">The Ministry is aware that providing an entirely new health service may be challenging and unpredictable for practitioners. Choosing to provide an assisted dying service may also have additional complexities due to the sensitive nature of this mahi, and that practitioners are providing services as individuals, and often in unfamiliar environments, such as people’s homes. The Ministry is working to address these concerns and reduce isolation for practitioners by offering opportunities for support and connection. </w:t>
      </w:r>
    </w:p>
    <w:p w14:paraId="36D868F9" w14:textId="77777777" w:rsidR="00442E3E" w:rsidRDefault="00442E3E" w:rsidP="008E1B14"/>
    <w:p w14:paraId="273FEFD3" w14:textId="77777777" w:rsidR="00442E3E" w:rsidRDefault="00442E3E" w:rsidP="008E1B14">
      <w:r>
        <w:t xml:space="preserve">The clinical advisors are in regular contact with the practitioners throughout the process. Together with the Registrar, the advisors provide clinical and pastoral support, including offering follow-up conversations after the administration of the medication. In addition to one-on-one support, the clinical team run regular sessions that allow practitioners to meet each other and discuss any questions or concerns. </w:t>
      </w:r>
    </w:p>
    <w:p w14:paraId="5AE0438C" w14:textId="77777777" w:rsidR="00442E3E" w:rsidRDefault="00442E3E" w:rsidP="008E1B14"/>
    <w:p w14:paraId="688C4027" w14:textId="77777777" w:rsidR="00442E3E" w:rsidRDefault="00442E3E" w:rsidP="008E1B14">
      <w:r>
        <w:t xml:space="preserve">Virtual peer network sessions run by the Ministry enable practitioners to share case studies and discuss their experiences of being involved in the service. In response to practitioner feedback, these sessions are run on a quarterly basis. Practitioners have given consistently positive comments about the value of these events in providing an opportunity for both connection and learning. </w:t>
      </w:r>
    </w:p>
    <w:p w14:paraId="67860064" w14:textId="77777777" w:rsidR="00442E3E" w:rsidRDefault="00442E3E" w:rsidP="008E1B14"/>
    <w:p w14:paraId="1AC9EF92" w14:textId="77777777" w:rsidR="00442E3E" w:rsidRDefault="00442E3E" w:rsidP="008E1B14">
      <w:r>
        <w:t xml:space="preserve">The Ministry also plays a role in supporting regional peer networks connecting practitioners with others in their local area. These peer networks are run by practitioners and in some areas are already well established. However, this varies due to the spread of practitioners across the country. Strengthening support for these less established areas is a focus for the Ministry moving forwards.  </w:t>
      </w:r>
    </w:p>
    <w:p w14:paraId="4FF87573" w14:textId="77777777" w:rsidR="00442E3E" w:rsidRDefault="00442E3E" w:rsidP="008E1B14"/>
    <w:p w14:paraId="09BEAC93" w14:textId="77777777" w:rsidR="00442E3E" w:rsidRDefault="00442E3E" w:rsidP="008E1B14">
      <w:r w:rsidRPr="537D20A4">
        <w:t xml:space="preserve">There is ongoing work to develop further approaches to support practitioners and ensure the sustainability of the workforce. These include creating a practitioner handbook </w:t>
      </w:r>
      <w:r>
        <w:t>to</w:t>
      </w:r>
      <w:r w:rsidRPr="537D20A4">
        <w:t xml:space="preserve"> offer practical advice about the different steps in the assisted dying process</w:t>
      </w:r>
      <w:r>
        <w:t xml:space="preserve"> and</w:t>
      </w:r>
      <w:r w:rsidRPr="537D20A4">
        <w:t xml:space="preserve"> running an in-person workforce forum in late 2022 that allows practitioners to connect kanohi </w:t>
      </w:r>
      <w:proofErr w:type="spellStart"/>
      <w:r>
        <w:t>ki</w:t>
      </w:r>
      <w:proofErr w:type="spellEnd"/>
      <w:r>
        <w:t xml:space="preserve"> </w:t>
      </w:r>
      <w:proofErr w:type="spellStart"/>
      <w:r>
        <w:t>te</w:t>
      </w:r>
      <w:proofErr w:type="spellEnd"/>
      <w:r w:rsidRPr="537D20A4">
        <w:t xml:space="preserve"> kanohi</w:t>
      </w:r>
      <w:r>
        <w:t xml:space="preserve"> (face to face)</w:t>
      </w:r>
      <w:r w:rsidRPr="537D20A4">
        <w:t xml:space="preserve">. </w:t>
      </w:r>
    </w:p>
    <w:p w14:paraId="72EF372D" w14:textId="77777777" w:rsidR="00442E3E" w:rsidRDefault="00442E3E" w:rsidP="00442E3E">
      <w:pPr>
        <w:rPr>
          <w:rFonts w:cs="Segoe UI"/>
        </w:rPr>
      </w:pPr>
    </w:p>
    <w:p w14:paraId="5E24A6E4" w14:textId="77777777" w:rsidR="00442E3E" w:rsidRPr="001E7528" w:rsidRDefault="00442E3E" w:rsidP="00442E3E">
      <w:pPr>
        <w:rPr>
          <w:rFonts w:cs="Segoe UI"/>
        </w:rPr>
      </w:pPr>
    </w:p>
    <w:p w14:paraId="3F23683F" w14:textId="77777777" w:rsidR="00442E3E" w:rsidRPr="001E7528" w:rsidRDefault="00442E3E" w:rsidP="00442E3E">
      <w:pPr>
        <w:rPr>
          <w:rFonts w:cs="Segoe UI"/>
        </w:rPr>
      </w:pPr>
    </w:p>
    <w:p w14:paraId="4C63168C" w14:textId="77777777" w:rsidR="00442E3E" w:rsidRPr="001E7528" w:rsidRDefault="00442E3E" w:rsidP="00442E3E">
      <w:pPr>
        <w:rPr>
          <w:rFonts w:cs="Segoe UI"/>
        </w:rPr>
      </w:pPr>
    </w:p>
    <w:p w14:paraId="1064D4A6" w14:textId="77777777" w:rsidR="00442E3E" w:rsidRPr="001E7528" w:rsidRDefault="00442E3E" w:rsidP="00442E3E">
      <w:pPr>
        <w:rPr>
          <w:rFonts w:cs="Segoe UI"/>
        </w:rPr>
      </w:pPr>
    </w:p>
    <w:p w14:paraId="073EAB57" w14:textId="77777777" w:rsidR="00442E3E" w:rsidRPr="001E7528" w:rsidRDefault="00442E3E" w:rsidP="00442E3E">
      <w:pPr>
        <w:rPr>
          <w:rFonts w:cs="Segoe UI"/>
        </w:rPr>
      </w:pPr>
    </w:p>
    <w:p w14:paraId="0A3FE394" w14:textId="77777777" w:rsidR="00442E3E" w:rsidRPr="001E7528" w:rsidRDefault="00442E3E" w:rsidP="00442E3E">
      <w:pPr>
        <w:rPr>
          <w:rFonts w:cs="Segoe UI"/>
        </w:rPr>
      </w:pPr>
    </w:p>
    <w:p w14:paraId="500A565E" w14:textId="77777777" w:rsidR="00442E3E" w:rsidRPr="001E7528" w:rsidRDefault="00442E3E" w:rsidP="00442E3E">
      <w:pPr>
        <w:rPr>
          <w:rFonts w:cs="Segoe UI"/>
        </w:rPr>
      </w:pPr>
    </w:p>
    <w:p w14:paraId="37A0376E" w14:textId="77777777" w:rsidR="00442E3E" w:rsidRPr="001E7528" w:rsidRDefault="00442E3E" w:rsidP="00442E3E">
      <w:pPr>
        <w:rPr>
          <w:rFonts w:cs="Segoe UI"/>
        </w:rPr>
      </w:pPr>
    </w:p>
    <w:p w14:paraId="187B444A" w14:textId="77777777" w:rsidR="00442E3E" w:rsidRPr="001E7528" w:rsidRDefault="00442E3E" w:rsidP="00442E3E">
      <w:pPr>
        <w:pStyle w:val="Heading1"/>
        <w:rPr>
          <w:rFonts w:cs="Segoe UI"/>
        </w:rPr>
      </w:pPr>
      <w:bookmarkStart w:id="115" w:name="_Toc103085578"/>
      <w:bookmarkStart w:id="116" w:name="_Toc103606345"/>
      <w:bookmarkStart w:id="117" w:name="_Toc104460695"/>
      <w:bookmarkStart w:id="118" w:name="_Toc106611885"/>
      <w:r w:rsidRPr="4690022B">
        <w:rPr>
          <w:rFonts w:cs="Segoe UI"/>
        </w:rPr>
        <w:lastRenderedPageBreak/>
        <w:t>Feedback, queries</w:t>
      </w:r>
      <w:r>
        <w:rPr>
          <w:rFonts w:cs="Segoe UI"/>
        </w:rPr>
        <w:t>,</w:t>
      </w:r>
      <w:r w:rsidRPr="4690022B">
        <w:rPr>
          <w:rFonts w:cs="Segoe UI"/>
        </w:rPr>
        <w:t xml:space="preserve"> and complaints</w:t>
      </w:r>
      <w:bookmarkEnd w:id="115"/>
      <w:bookmarkEnd w:id="116"/>
      <w:bookmarkEnd w:id="117"/>
      <w:bookmarkEnd w:id="118"/>
    </w:p>
    <w:p w14:paraId="4BF78FBE" w14:textId="77777777" w:rsidR="00442E3E" w:rsidRPr="008E1B14" w:rsidRDefault="00442E3E" w:rsidP="008E1B14">
      <w:pPr>
        <w:pStyle w:val="Heading2"/>
        <w:numPr>
          <w:ilvl w:val="0"/>
          <w:numId w:val="17"/>
        </w:numPr>
        <w:ind w:hanging="720"/>
      </w:pPr>
      <w:bookmarkStart w:id="119" w:name="_Toc103085579"/>
      <w:bookmarkStart w:id="120" w:name="_Toc103606346"/>
      <w:bookmarkStart w:id="121" w:name="_Toc104460696"/>
      <w:bookmarkStart w:id="122" w:name="_Toc106611886"/>
      <w:r w:rsidRPr="008E1B14">
        <w:t>Receiving feedback, queries, and complaints</w:t>
      </w:r>
      <w:bookmarkEnd w:id="119"/>
      <w:bookmarkEnd w:id="120"/>
      <w:bookmarkEnd w:id="121"/>
      <w:bookmarkEnd w:id="122"/>
    </w:p>
    <w:p w14:paraId="35E4A5BE" w14:textId="77777777" w:rsidR="00442E3E" w:rsidRDefault="00442E3E" w:rsidP="008E1B14">
      <w:r w:rsidRPr="4690022B">
        <w:t>Feedback, queries</w:t>
      </w:r>
      <w:r>
        <w:t>,</w:t>
      </w:r>
      <w:r w:rsidRPr="4690022B">
        <w:t xml:space="preserve"> and complaints are an important part of understanding the experiences of accessing and providing assisted dying, as well as public perception of and interest in the service. </w:t>
      </w:r>
    </w:p>
    <w:p w14:paraId="1FB74284" w14:textId="77777777" w:rsidR="00442E3E" w:rsidRDefault="00442E3E" w:rsidP="008E1B14"/>
    <w:p w14:paraId="547F8949" w14:textId="77777777" w:rsidR="00442E3E" w:rsidRDefault="00442E3E" w:rsidP="008E1B14">
      <w:r w:rsidRPr="4690022B">
        <w:t xml:space="preserve">The Ministry welcomes feedback in all forms, and there are several channels for </w:t>
      </w:r>
      <w:r>
        <w:t>providing it</w:t>
      </w:r>
      <w:r w:rsidRPr="4690022B">
        <w:t xml:space="preserve">. These include: </w:t>
      </w:r>
    </w:p>
    <w:p w14:paraId="318F9345" w14:textId="77777777" w:rsidR="00442E3E" w:rsidRPr="00D57366" w:rsidRDefault="00442E3E" w:rsidP="008E1B14">
      <w:pPr>
        <w:pStyle w:val="Bullet"/>
      </w:pPr>
      <w:r w:rsidRPr="00D57366">
        <w:t xml:space="preserve">through the ongoing conversations a person, their </w:t>
      </w:r>
      <w:proofErr w:type="spellStart"/>
      <w:r w:rsidRPr="00D57366">
        <w:t>whānau</w:t>
      </w:r>
      <w:proofErr w:type="spellEnd"/>
      <w:r w:rsidRPr="00D57366">
        <w:t xml:space="preserve"> or the practitioner has with the clinical advisor</w:t>
      </w:r>
    </w:p>
    <w:p w14:paraId="6C117C7B" w14:textId="77777777" w:rsidR="00442E3E" w:rsidRPr="00D57366" w:rsidRDefault="00442E3E" w:rsidP="008E1B14">
      <w:pPr>
        <w:pStyle w:val="Bullet"/>
      </w:pPr>
      <w:r w:rsidRPr="00D57366">
        <w:t>to the Secretariat directly via email (</w:t>
      </w:r>
      <w:hyperlink r:id="rId40" w:history="1">
        <w:r w:rsidRPr="00D57366">
          <w:rPr>
            <w:rStyle w:val="Hyperlink"/>
            <w:rFonts w:cs="Segoe UI"/>
            <w:szCs w:val="21"/>
          </w:rPr>
          <w:t>AssistedDying@health.govt.nz</w:t>
        </w:r>
      </w:hyperlink>
      <w:r w:rsidRPr="00D57366">
        <w:t xml:space="preserve">) or phone (0800 223 852), or </w:t>
      </w:r>
      <w:r>
        <w:t xml:space="preserve">by </w:t>
      </w:r>
      <w:r w:rsidRPr="00D57366">
        <w:t>requesting a follow-up phone call/meeting</w:t>
      </w:r>
    </w:p>
    <w:p w14:paraId="75E16049" w14:textId="77777777" w:rsidR="00442E3E" w:rsidRPr="00D57366" w:rsidRDefault="00442E3E" w:rsidP="008E1B14">
      <w:pPr>
        <w:pStyle w:val="Bullet"/>
      </w:pPr>
      <w:r w:rsidRPr="00D57366">
        <w:t xml:space="preserve">by making a formal complaint. </w:t>
      </w:r>
    </w:p>
    <w:p w14:paraId="6237B60C" w14:textId="77777777" w:rsidR="00442E3E" w:rsidRDefault="00442E3E" w:rsidP="00442E3E">
      <w:pPr>
        <w:rPr>
          <w:rFonts w:cs="Segoe UI"/>
        </w:rPr>
      </w:pPr>
    </w:p>
    <w:p w14:paraId="0E4FC8FF" w14:textId="77777777" w:rsidR="00442E3E" w:rsidRDefault="00442E3E" w:rsidP="008E1B14">
      <w:r w:rsidRPr="4690022B">
        <w:t xml:space="preserve">People can also contact the Ministry about the assisted dying service through existing channels, such as writing to the Ministry directly or submitting an Official Information Act (OIA) request. </w:t>
      </w:r>
    </w:p>
    <w:p w14:paraId="25DEA1ED" w14:textId="77777777" w:rsidR="00442E3E" w:rsidRDefault="00442E3E" w:rsidP="008E1B14"/>
    <w:p w14:paraId="68F6B8EB" w14:textId="77777777" w:rsidR="00442E3E" w:rsidRDefault="00442E3E" w:rsidP="008E1B14">
      <w:pPr>
        <w:rPr>
          <w:rFonts w:cs="Segoe UI"/>
        </w:rPr>
      </w:pPr>
      <w:r w:rsidRPr="4690022B">
        <w:rPr>
          <w:rFonts w:cs="Segoe UI"/>
        </w:rPr>
        <w:t xml:space="preserve">Feedback, queries, and complaints are logged as part of ongoing quality improvement processes. </w:t>
      </w:r>
    </w:p>
    <w:p w14:paraId="7779D8F2" w14:textId="77777777" w:rsidR="00442E3E" w:rsidRPr="008E1B14" w:rsidRDefault="00442E3E" w:rsidP="008E1B14">
      <w:pPr>
        <w:pStyle w:val="Heading2"/>
        <w:numPr>
          <w:ilvl w:val="0"/>
          <w:numId w:val="17"/>
        </w:numPr>
        <w:ind w:hanging="720"/>
      </w:pPr>
      <w:bookmarkStart w:id="123" w:name="_Toc103085580"/>
      <w:bookmarkStart w:id="124" w:name="_Toc103606347"/>
      <w:bookmarkStart w:id="125" w:name="_Toc104460697"/>
      <w:bookmarkStart w:id="126" w:name="_Toc106611887"/>
      <w:r w:rsidRPr="008E1B14">
        <w:t>Complaints process and responsibilities</w:t>
      </w:r>
      <w:bookmarkEnd w:id="123"/>
      <w:bookmarkEnd w:id="124"/>
      <w:bookmarkEnd w:id="125"/>
      <w:bookmarkEnd w:id="126"/>
      <w:r w:rsidRPr="008E1B14">
        <w:t xml:space="preserve"> </w:t>
      </w:r>
    </w:p>
    <w:p w14:paraId="1884C63C" w14:textId="77777777" w:rsidR="00442E3E" w:rsidRDefault="00442E3E" w:rsidP="008E1B14">
      <w:r>
        <w:t xml:space="preserve">Anyone can make a complaint about their own or someone else’s experience when using the assisted dying service. Complaints can be made directly to the Secretariat by email, phone or filling in an online form. Complaints are considered by either the Registrar or the Manager for Regulatory Assurance, depending on the topic of the complaint. </w:t>
      </w:r>
    </w:p>
    <w:p w14:paraId="38B5AB43" w14:textId="77777777" w:rsidR="00442E3E" w:rsidRDefault="00442E3E" w:rsidP="008E1B14"/>
    <w:p w14:paraId="2C77FD69" w14:textId="77777777" w:rsidR="00442E3E" w:rsidRDefault="00442E3E" w:rsidP="008E1B14">
      <w:r w:rsidRPr="444C2F7D">
        <w:t>The Registrar is responsible for overseeing all complaints</w:t>
      </w:r>
      <w:r>
        <w:t xml:space="preserve"> related to practitioners providing the</w:t>
      </w:r>
      <w:r w:rsidRPr="444C2F7D">
        <w:t xml:space="preserve"> Assisted Dying Service. The Registrar may also refer complaints to an appropriate authority should that be required. This may include </w:t>
      </w:r>
      <w:r>
        <w:t xml:space="preserve">the </w:t>
      </w:r>
      <w:r w:rsidRPr="444C2F7D">
        <w:t xml:space="preserve">Medical Council, the Nursing Council, the Health and Disability Commissioner (HDC), or the New Zealand Police. </w:t>
      </w:r>
    </w:p>
    <w:p w14:paraId="12417758" w14:textId="77777777" w:rsidR="00442E3E" w:rsidRDefault="00442E3E" w:rsidP="008E1B14"/>
    <w:p w14:paraId="748C2868" w14:textId="77777777" w:rsidR="00442E3E" w:rsidRPr="001E7528" w:rsidRDefault="00442E3E" w:rsidP="008E1B14">
      <w:r w:rsidRPr="444C2F7D">
        <w:lastRenderedPageBreak/>
        <w:t xml:space="preserve">The Registrar works closely with the HDC, and the Ministry has a memorandum of understanding in place to support co-operation and </w:t>
      </w:r>
      <w:r>
        <w:t xml:space="preserve">appropriate </w:t>
      </w:r>
      <w:r w:rsidRPr="444C2F7D">
        <w:t xml:space="preserve">information sharing between these organisations.  </w:t>
      </w:r>
    </w:p>
    <w:p w14:paraId="3FF71BE3" w14:textId="77777777" w:rsidR="00442E3E" w:rsidRPr="008E1B14" w:rsidRDefault="00442E3E" w:rsidP="008E1B14">
      <w:pPr>
        <w:pStyle w:val="Heading2"/>
        <w:numPr>
          <w:ilvl w:val="0"/>
          <w:numId w:val="17"/>
        </w:numPr>
        <w:ind w:hanging="720"/>
      </w:pPr>
      <w:bookmarkStart w:id="127" w:name="_Toc103606348"/>
      <w:bookmarkStart w:id="128" w:name="_Toc104460698"/>
      <w:bookmarkStart w:id="129" w:name="_Toc106611888"/>
      <w:r w:rsidRPr="008E1B14">
        <w:t>Summary of complaints</w:t>
      </w:r>
      <w:bookmarkEnd w:id="127"/>
      <w:bookmarkEnd w:id="128"/>
      <w:bookmarkEnd w:id="129"/>
    </w:p>
    <w:p w14:paraId="3B516EAA" w14:textId="77777777" w:rsidR="00442E3E" w:rsidRDefault="00442E3E" w:rsidP="008E1B14">
      <w:r>
        <w:t xml:space="preserve">As of 31 March 2022, the Secretariat has not received any complaints about breaches of the Act. </w:t>
      </w:r>
    </w:p>
    <w:p w14:paraId="3E0F55BC" w14:textId="77777777" w:rsidR="00442E3E" w:rsidRDefault="00442E3E" w:rsidP="008E1B14"/>
    <w:p w14:paraId="6D58EF4D" w14:textId="1E42A7A4" w:rsidR="00442E3E" w:rsidRDefault="00442E3E" w:rsidP="008E1B14">
      <w:r>
        <w:t xml:space="preserve">As of 31 March 2022, the Secretariat has received four formal complaints related to the assisted dying service. Three of these complaints have been closed, one remains open and under investigation. </w:t>
      </w:r>
      <w:r w:rsidR="004654B7">
        <w:fldChar w:fldCharType="begin"/>
      </w:r>
      <w:r w:rsidR="004654B7">
        <w:instrText xml:space="preserve"> REF _Ref106198362 \h </w:instrText>
      </w:r>
      <w:r w:rsidR="004654B7">
        <w:fldChar w:fldCharType="separate"/>
      </w:r>
      <w:r w:rsidR="004B5578">
        <w:t xml:space="preserve">Table </w:t>
      </w:r>
      <w:r w:rsidR="004B5578">
        <w:rPr>
          <w:noProof/>
        </w:rPr>
        <w:t>5</w:t>
      </w:r>
      <w:r w:rsidR="004654B7">
        <w:fldChar w:fldCharType="end"/>
      </w:r>
      <w:r>
        <w:t xml:space="preserve"> outlines a summary of these complaints and how they were actioned. </w:t>
      </w:r>
    </w:p>
    <w:p w14:paraId="07E14D4B" w14:textId="77777777" w:rsidR="00442E3E" w:rsidRDefault="00442E3E" w:rsidP="00442E3E">
      <w:pPr>
        <w:rPr>
          <w:rFonts w:cs="Segoe UI"/>
        </w:rPr>
      </w:pPr>
    </w:p>
    <w:p w14:paraId="695EF482" w14:textId="121014CE" w:rsidR="00442E3E" w:rsidRDefault="008E1B14" w:rsidP="008E1B14">
      <w:pPr>
        <w:pStyle w:val="Table"/>
        <w:rPr>
          <w:rFonts w:cs="Segoe UI"/>
          <w:bCs/>
        </w:rPr>
      </w:pPr>
      <w:bookmarkStart w:id="130" w:name="_Ref106198362"/>
      <w:bookmarkStart w:id="131" w:name="_Toc106611896"/>
      <w:r>
        <w:t xml:space="preserve">Table </w:t>
      </w:r>
      <w:fldSimple w:instr=" SEQ Table \* ARABIC ">
        <w:r w:rsidR="004B5578">
          <w:rPr>
            <w:noProof/>
          </w:rPr>
          <w:t>5</w:t>
        </w:r>
      </w:fldSimple>
      <w:bookmarkEnd w:id="130"/>
      <w:r>
        <w:t xml:space="preserve">: </w:t>
      </w:r>
      <w:r w:rsidR="00442E3E" w:rsidRPr="00DC2F44">
        <w:rPr>
          <w:rFonts w:cs="Segoe UI"/>
          <w:bCs/>
        </w:rPr>
        <w:t>Complaints summary</w:t>
      </w:r>
      <w:bookmarkEnd w:id="131"/>
    </w:p>
    <w:tbl>
      <w:tblPr>
        <w:tblStyle w:val="TableGrid"/>
        <w:tblW w:w="8330"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643"/>
        <w:gridCol w:w="1685"/>
        <w:gridCol w:w="3017"/>
        <w:gridCol w:w="1985"/>
      </w:tblGrid>
      <w:tr w:rsidR="00442E3E" w:rsidRPr="008E1B14" w14:paraId="2C1391D5" w14:textId="77777777" w:rsidTr="002130AE">
        <w:trPr>
          <w:trHeight w:val="261"/>
        </w:trPr>
        <w:tc>
          <w:tcPr>
            <w:tcW w:w="1643" w:type="dxa"/>
            <w:tcBorders>
              <w:top w:val="nil"/>
              <w:bottom w:val="nil"/>
            </w:tcBorders>
            <w:shd w:val="clear" w:color="auto" w:fill="D9D9D9" w:themeFill="background1" w:themeFillShade="D9"/>
          </w:tcPr>
          <w:p w14:paraId="298A3463" w14:textId="77777777" w:rsidR="00442E3E" w:rsidRPr="008E1B14" w:rsidRDefault="00442E3E" w:rsidP="008E1B14">
            <w:pPr>
              <w:pStyle w:val="TableText"/>
              <w:rPr>
                <w:b/>
                <w:bCs/>
              </w:rPr>
            </w:pPr>
            <w:r w:rsidRPr="008E1B14">
              <w:rPr>
                <w:b/>
                <w:bCs/>
              </w:rPr>
              <w:t xml:space="preserve">Complainant </w:t>
            </w:r>
          </w:p>
        </w:tc>
        <w:tc>
          <w:tcPr>
            <w:tcW w:w="1685" w:type="dxa"/>
            <w:tcBorders>
              <w:top w:val="nil"/>
              <w:bottom w:val="nil"/>
            </w:tcBorders>
            <w:shd w:val="clear" w:color="auto" w:fill="D9D9D9" w:themeFill="background1" w:themeFillShade="D9"/>
          </w:tcPr>
          <w:p w14:paraId="3608717D" w14:textId="77777777" w:rsidR="00442E3E" w:rsidRPr="008E1B14" w:rsidRDefault="00442E3E" w:rsidP="008E1B14">
            <w:pPr>
              <w:pStyle w:val="TableText"/>
              <w:rPr>
                <w:b/>
                <w:bCs/>
              </w:rPr>
            </w:pPr>
            <w:r w:rsidRPr="008E1B14">
              <w:rPr>
                <w:b/>
                <w:bCs/>
              </w:rPr>
              <w:t>Subject of the complaint</w:t>
            </w:r>
          </w:p>
        </w:tc>
        <w:tc>
          <w:tcPr>
            <w:tcW w:w="3017" w:type="dxa"/>
            <w:tcBorders>
              <w:top w:val="nil"/>
              <w:bottom w:val="nil"/>
            </w:tcBorders>
            <w:shd w:val="clear" w:color="auto" w:fill="D9D9D9" w:themeFill="background1" w:themeFillShade="D9"/>
          </w:tcPr>
          <w:p w14:paraId="7CF692BC" w14:textId="77777777" w:rsidR="00442E3E" w:rsidRPr="008E1B14" w:rsidRDefault="00442E3E" w:rsidP="008E1B14">
            <w:pPr>
              <w:pStyle w:val="TableText"/>
              <w:rPr>
                <w:b/>
                <w:bCs/>
              </w:rPr>
            </w:pPr>
            <w:r w:rsidRPr="008E1B14">
              <w:rPr>
                <w:b/>
                <w:bCs/>
              </w:rPr>
              <w:t>Action</w:t>
            </w:r>
          </w:p>
        </w:tc>
        <w:tc>
          <w:tcPr>
            <w:tcW w:w="1985" w:type="dxa"/>
            <w:tcBorders>
              <w:top w:val="nil"/>
              <w:bottom w:val="nil"/>
            </w:tcBorders>
            <w:shd w:val="clear" w:color="auto" w:fill="D9D9D9" w:themeFill="background1" w:themeFillShade="D9"/>
          </w:tcPr>
          <w:p w14:paraId="1A683DB2" w14:textId="77777777" w:rsidR="00442E3E" w:rsidRPr="008E1B14" w:rsidRDefault="00442E3E" w:rsidP="008E1B14">
            <w:pPr>
              <w:pStyle w:val="TableText"/>
              <w:rPr>
                <w:b/>
                <w:bCs/>
              </w:rPr>
            </w:pPr>
            <w:r w:rsidRPr="008E1B14">
              <w:rPr>
                <w:b/>
                <w:bCs/>
              </w:rPr>
              <w:t>Outcome</w:t>
            </w:r>
          </w:p>
        </w:tc>
      </w:tr>
      <w:tr w:rsidR="00442E3E" w14:paraId="2CF6AC7B" w14:textId="77777777" w:rsidTr="002130AE">
        <w:trPr>
          <w:trHeight w:val="261"/>
        </w:trPr>
        <w:tc>
          <w:tcPr>
            <w:tcW w:w="1643" w:type="dxa"/>
            <w:tcBorders>
              <w:top w:val="nil"/>
            </w:tcBorders>
          </w:tcPr>
          <w:p w14:paraId="05CE6CC1" w14:textId="77777777" w:rsidR="00442E3E" w:rsidRDefault="00442E3E" w:rsidP="008E1B14">
            <w:pPr>
              <w:pStyle w:val="TableText"/>
            </w:pPr>
            <w:r>
              <w:t xml:space="preserve">Applicant </w:t>
            </w:r>
          </w:p>
        </w:tc>
        <w:tc>
          <w:tcPr>
            <w:tcW w:w="1685" w:type="dxa"/>
            <w:tcBorders>
              <w:top w:val="nil"/>
            </w:tcBorders>
          </w:tcPr>
          <w:p w14:paraId="5B2EC974" w14:textId="77777777" w:rsidR="00442E3E" w:rsidRDefault="00442E3E" w:rsidP="008E1B14">
            <w:pPr>
              <w:pStyle w:val="TableText"/>
            </w:pPr>
            <w:r>
              <w:t xml:space="preserve">A practitioner’s interpersonal style and communication </w:t>
            </w:r>
          </w:p>
        </w:tc>
        <w:tc>
          <w:tcPr>
            <w:tcW w:w="3017" w:type="dxa"/>
            <w:tcBorders>
              <w:top w:val="nil"/>
            </w:tcBorders>
          </w:tcPr>
          <w:p w14:paraId="2CF360D3" w14:textId="77777777" w:rsidR="00442E3E" w:rsidRDefault="00442E3E" w:rsidP="008E1B14">
            <w:pPr>
              <w:pStyle w:val="TableText"/>
            </w:pPr>
            <w:r>
              <w:t>This complaint was upheld and was resolved between the applicant and the practitioner with assistance from the Secretariat. The Registrar provided mentoring to the practitioner. The complaint was not referred to another regulatory body.</w:t>
            </w:r>
          </w:p>
        </w:tc>
        <w:tc>
          <w:tcPr>
            <w:tcW w:w="1985" w:type="dxa"/>
            <w:tcBorders>
              <w:top w:val="nil"/>
            </w:tcBorders>
          </w:tcPr>
          <w:p w14:paraId="0FD657E5" w14:textId="77777777" w:rsidR="00442E3E" w:rsidRDefault="00442E3E" w:rsidP="008E1B14">
            <w:pPr>
              <w:pStyle w:val="TableText"/>
            </w:pPr>
            <w:r>
              <w:t>Closed</w:t>
            </w:r>
          </w:p>
        </w:tc>
      </w:tr>
      <w:tr w:rsidR="00442E3E" w14:paraId="68780B50" w14:textId="77777777" w:rsidTr="002130AE">
        <w:tc>
          <w:tcPr>
            <w:tcW w:w="1643" w:type="dxa"/>
          </w:tcPr>
          <w:p w14:paraId="0E43BEAE" w14:textId="77777777" w:rsidR="00442E3E" w:rsidRDefault="00442E3E" w:rsidP="008E1B14">
            <w:pPr>
              <w:pStyle w:val="TableText"/>
            </w:pPr>
            <w:r>
              <w:t xml:space="preserve">Applicant </w:t>
            </w:r>
          </w:p>
        </w:tc>
        <w:tc>
          <w:tcPr>
            <w:tcW w:w="1685" w:type="dxa"/>
          </w:tcPr>
          <w:p w14:paraId="57F6E470" w14:textId="77777777" w:rsidR="00442E3E" w:rsidRDefault="00442E3E" w:rsidP="008E1B14">
            <w:pPr>
              <w:pStyle w:val="TableText"/>
            </w:pPr>
            <w:r>
              <w:t>Delay in being connected with an attending medical practitioner</w:t>
            </w:r>
          </w:p>
        </w:tc>
        <w:tc>
          <w:tcPr>
            <w:tcW w:w="3017" w:type="dxa"/>
          </w:tcPr>
          <w:p w14:paraId="35A6849D" w14:textId="77777777" w:rsidR="00442E3E" w:rsidRDefault="00442E3E" w:rsidP="008E1B14">
            <w:pPr>
              <w:pStyle w:val="TableText"/>
            </w:pPr>
            <w:r>
              <w:t xml:space="preserve">This complaint was upheld and resolved with an apology from the Secretariat. The applicant was connected within a day of making the complaint. The complaint was not referred to another regulatory body. </w:t>
            </w:r>
          </w:p>
        </w:tc>
        <w:tc>
          <w:tcPr>
            <w:tcW w:w="1985" w:type="dxa"/>
          </w:tcPr>
          <w:p w14:paraId="503A5267" w14:textId="77777777" w:rsidR="00442E3E" w:rsidRDefault="00442E3E" w:rsidP="008E1B14">
            <w:pPr>
              <w:pStyle w:val="TableText"/>
            </w:pPr>
            <w:r>
              <w:t>Closed</w:t>
            </w:r>
          </w:p>
        </w:tc>
      </w:tr>
      <w:tr w:rsidR="00442E3E" w14:paraId="212E987D" w14:textId="77777777" w:rsidTr="002130AE">
        <w:trPr>
          <w:trHeight w:val="270"/>
        </w:trPr>
        <w:tc>
          <w:tcPr>
            <w:tcW w:w="1643" w:type="dxa"/>
          </w:tcPr>
          <w:p w14:paraId="6056EA5B" w14:textId="77777777" w:rsidR="00442E3E" w:rsidRDefault="00442E3E" w:rsidP="008E1B14">
            <w:pPr>
              <w:pStyle w:val="TableText"/>
            </w:pPr>
            <w:r>
              <w:t>Applicant</w:t>
            </w:r>
          </w:p>
        </w:tc>
        <w:tc>
          <w:tcPr>
            <w:tcW w:w="1685" w:type="dxa"/>
          </w:tcPr>
          <w:p w14:paraId="01698D4A" w14:textId="77777777" w:rsidR="00442E3E" w:rsidRDefault="00442E3E" w:rsidP="008E1B14">
            <w:pPr>
              <w:pStyle w:val="TableText"/>
            </w:pPr>
            <w:r>
              <w:t>Found ineligible and was unhappy with the outcome</w:t>
            </w:r>
          </w:p>
        </w:tc>
        <w:tc>
          <w:tcPr>
            <w:tcW w:w="3017" w:type="dxa"/>
          </w:tcPr>
          <w:p w14:paraId="495DF665" w14:textId="77777777" w:rsidR="00442E3E" w:rsidRDefault="00442E3E" w:rsidP="008E1B14">
            <w:pPr>
              <w:pStyle w:val="TableText"/>
            </w:pPr>
            <w:r w:rsidRPr="4690022B">
              <w:t xml:space="preserve">This complaint was not upheld as the decision of ineligibility was found to comply with the Act. Feedback was logged and will be considered when the Act is reviewed in 2024. </w:t>
            </w:r>
          </w:p>
        </w:tc>
        <w:tc>
          <w:tcPr>
            <w:tcW w:w="1985" w:type="dxa"/>
          </w:tcPr>
          <w:p w14:paraId="34C26878" w14:textId="77777777" w:rsidR="00442E3E" w:rsidRDefault="00442E3E" w:rsidP="008E1B14">
            <w:pPr>
              <w:pStyle w:val="TableText"/>
            </w:pPr>
            <w:r>
              <w:t>Closed</w:t>
            </w:r>
          </w:p>
        </w:tc>
      </w:tr>
      <w:tr w:rsidR="00442E3E" w14:paraId="57360750" w14:textId="77777777" w:rsidTr="002130AE">
        <w:trPr>
          <w:trHeight w:val="261"/>
        </w:trPr>
        <w:tc>
          <w:tcPr>
            <w:tcW w:w="1643" w:type="dxa"/>
          </w:tcPr>
          <w:p w14:paraId="139CC589" w14:textId="77777777" w:rsidR="00442E3E" w:rsidRDefault="00442E3E" w:rsidP="008E1B14">
            <w:pPr>
              <w:pStyle w:val="TableText"/>
            </w:pPr>
            <w:r>
              <w:t>Family member</w:t>
            </w:r>
          </w:p>
        </w:tc>
        <w:tc>
          <w:tcPr>
            <w:tcW w:w="1685" w:type="dxa"/>
          </w:tcPr>
          <w:p w14:paraId="0052CF3F" w14:textId="77777777" w:rsidR="00442E3E" w:rsidRDefault="00442E3E" w:rsidP="008E1B14">
            <w:pPr>
              <w:pStyle w:val="TableText"/>
            </w:pPr>
            <w:r>
              <w:t xml:space="preserve">Experience of assisted death in a public hospital </w:t>
            </w:r>
          </w:p>
        </w:tc>
        <w:tc>
          <w:tcPr>
            <w:tcW w:w="3017" w:type="dxa"/>
          </w:tcPr>
          <w:p w14:paraId="03E55964" w14:textId="77777777" w:rsidR="00442E3E" w:rsidRDefault="00442E3E" w:rsidP="008E1B14">
            <w:pPr>
              <w:pStyle w:val="TableText"/>
            </w:pPr>
            <w:r>
              <w:t xml:space="preserve">This complaint was upheld and was referred to the Health and Disability Commissioner. </w:t>
            </w:r>
          </w:p>
        </w:tc>
        <w:tc>
          <w:tcPr>
            <w:tcW w:w="1985" w:type="dxa"/>
          </w:tcPr>
          <w:p w14:paraId="10A2F8F8" w14:textId="77777777" w:rsidR="00442E3E" w:rsidRDefault="00442E3E" w:rsidP="008E1B14">
            <w:pPr>
              <w:pStyle w:val="TableText"/>
            </w:pPr>
            <w:r>
              <w:t>Under investigation by the HDC</w:t>
            </w:r>
          </w:p>
        </w:tc>
      </w:tr>
    </w:tbl>
    <w:p w14:paraId="39EFCCB6" w14:textId="77777777" w:rsidR="00442E3E" w:rsidRPr="008E1B14" w:rsidRDefault="00442E3E" w:rsidP="008E1B14">
      <w:pPr>
        <w:pStyle w:val="Heading2"/>
        <w:numPr>
          <w:ilvl w:val="0"/>
          <w:numId w:val="17"/>
        </w:numPr>
        <w:ind w:hanging="720"/>
      </w:pPr>
      <w:bookmarkStart w:id="132" w:name="_Toc103606349"/>
      <w:bookmarkStart w:id="133" w:name="_Toc104460699"/>
      <w:bookmarkStart w:id="134" w:name="_Toc106611889"/>
      <w:r w:rsidRPr="008E1B14">
        <w:t>Summary of feedback</w:t>
      </w:r>
      <w:bookmarkEnd w:id="132"/>
      <w:bookmarkEnd w:id="133"/>
      <w:bookmarkEnd w:id="134"/>
    </w:p>
    <w:p w14:paraId="3F8D31EB" w14:textId="77777777" w:rsidR="00442E3E" w:rsidRDefault="00442E3E" w:rsidP="008E1B14">
      <w:r w:rsidRPr="537D20A4">
        <w:t xml:space="preserve">Some people and their </w:t>
      </w:r>
      <w:proofErr w:type="spellStart"/>
      <w:r w:rsidRPr="537D20A4">
        <w:t>whānau</w:t>
      </w:r>
      <w:proofErr w:type="spellEnd"/>
      <w:r w:rsidRPr="537D20A4">
        <w:t xml:space="preserve"> have proactively provided feedback to the Ministry about their experiences. The feedback has been predomina</w:t>
      </w:r>
      <w:r>
        <w:t>n</w:t>
      </w:r>
      <w:r w:rsidRPr="537D20A4">
        <w:t xml:space="preserve">tly positive to date.  </w:t>
      </w:r>
    </w:p>
    <w:p w14:paraId="26C0C902" w14:textId="77777777" w:rsidR="00442E3E" w:rsidRDefault="00442E3E" w:rsidP="008E1B14">
      <w:r w:rsidRPr="537D20A4">
        <w:t xml:space="preserve">The Ministry acknowledges that as this </w:t>
      </w:r>
      <w:r>
        <w:t xml:space="preserve">feedback </w:t>
      </w:r>
      <w:r w:rsidRPr="537D20A4">
        <w:t xml:space="preserve">is proactively provided, it may not be reflective of all </w:t>
      </w:r>
      <w:r>
        <w:t xml:space="preserve">people’s </w:t>
      </w:r>
      <w:r w:rsidRPr="537D20A4">
        <w:t xml:space="preserve">experiences of the service. </w:t>
      </w:r>
    </w:p>
    <w:p w14:paraId="4CEC13E3" w14:textId="77777777" w:rsidR="00442E3E" w:rsidRDefault="00442E3E" w:rsidP="008E1B14">
      <w:pPr>
        <w:rPr>
          <w:szCs w:val="21"/>
        </w:rPr>
      </w:pPr>
    </w:p>
    <w:p w14:paraId="17C3D438" w14:textId="77777777" w:rsidR="00442E3E" w:rsidRDefault="00442E3E" w:rsidP="008E1B14">
      <w:r>
        <w:lastRenderedPageBreak/>
        <w:t xml:space="preserve">The Ministry has also received constructive feedback from people, their </w:t>
      </w:r>
      <w:proofErr w:type="spellStart"/>
      <w:r>
        <w:t>whānau</w:t>
      </w:r>
      <w:proofErr w:type="spellEnd"/>
      <w:r>
        <w:t xml:space="preserve"> and practitioners on other topics that have not been lodged </w:t>
      </w:r>
      <w:proofErr w:type="spellStart"/>
      <w:r>
        <w:t>as</w:t>
      </w:r>
      <w:proofErr w:type="spellEnd"/>
      <w:r>
        <w:t xml:space="preserve"> formal complaints.</w:t>
      </w:r>
    </w:p>
    <w:p w14:paraId="4EB11945" w14:textId="77777777" w:rsidR="00442E3E" w:rsidRDefault="00442E3E" w:rsidP="008E1B14"/>
    <w:p w14:paraId="7B235D5B" w14:textId="77777777" w:rsidR="00442E3E" w:rsidRDefault="00442E3E" w:rsidP="008E1B14">
      <w:r w:rsidRPr="537D20A4">
        <w:t>Analysis of the feedback received to 31 March 2022 reveals three general themes:</w:t>
      </w:r>
    </w:p>
    <w:p w14:paraId="13522FE3" w14:textId="77777777" w:rsidR="00442E3E" w:rsidRPr="008E1B14" w:rsidRDefault="00442E3E" w:rsidP="008E1B14">
      <w:pPr>
        <w:pStyle w:val="Number"/>
        <w:rPr>
          <w:b/>
          <w:bCs/>
          <w:lang w:eastAsia="en-US"/>
        </w:rPr>
      </w:pPr>
      <w:r w:rsidRPr="008E1B14">
        <w:rPr>
          <w:b/>
          <w:bCs/>
          <w:lang w:eastAsia="en-US"/>
        </w:rPr>
        <w:t xml:space="preserve">Positive outcomes </w:t>
      </w:r>
    </w:p>
    <w:p w14:paraId="5303C878" w14:textId="77777777" w:rsidR="00442E3E" w:rsidRDefault="00442E3E" w:rsidP="008E1B14">
      <w:pPr>
        <w:pStyle w:val="Number"/>
        <w:numPr>
          <w:ilvl w:val="0"/>
          <w:numId w:val="0"/>
        </w:numPr>
        <w:ind w:left="567"/>
        <w:rPr>
          <w:rFonts w:eastAsia="Calibri"/>
          <w:lang w:eastAsia="en-US"/>
        </w:rPr>
      </w:pPr>
      <w:r w:rsidRPr="537D20A4">
        <w:rPr>
          <w:rFonts w:eastAsia="Calibri"/>
          <w:lang w:eastAsia="en-US"/>
        </w:rPr>
        <w:t xml:space="preserve">This theme is characterised by people being pleased with the availability of the option and the process, as well as the support from the clinical advisors and quality of the care provided by the involved practitioners. </w:t>
      </w:r>
      <w:proofErr w:type="spellStart"/>
      <w:r w:rsidRPr="537D20A4">
        <w:rPr>
          <w:rFonts w:eastAsia="Calibri"/>
          <w:lang w:eastAsia="en-US"/>
        </w:rPr>
        <w:t>Wh</w:t>
      </w:r>
      <w:proofErr w:type="spellEnd"/>
      <w:r>
        <w:rPr>
          <w:rFonts w:eastAsia="Calibri"/>
          <w:lang w:val="mi-NZ" w:eastAsia="en-US"/>
        </w:rPr>
        <w:t>ā</w:t>
      </w:r>
      <w:proofErr w:type="spellStart"/>
      <w:r w:rsidRPr="537D20A4">
        <w:rPr>
          <w:rFonts w:eastAsia="Calibri"/>
          <w:lang w:eastAsia="en-US"/>
        </w:rPr>
        <w:t>nau</w:t>
      </w:r>
      <w:proofErr w:type="spellEnd"/>
      <w:r w:rsidRPr="537D20A4">
        <w:rPr>
          <w:rFonts w:eastAsia="Calibri"/>
          <w:lang w:eastAsia="en-US"/>
        </w:rPr>
        <w:t xml:space="preserve"> describing the assisted death being ‘peaceful’ and ‘dignified’. Practitioners felt supported and competent.</w:t>
      </w:r>
    </w:p>
    <w:p w14:paraId="385E2AB5" w14:textId="77777777" w:rsidR="00442E3E" w:rsidRPr="008E1B14" w:rsidRDefault="00442E3E" w:rsidP="008E1B14">
      <w:pPr>
        <w:pStyle w:val="Number"/>
        <w:rPr>
          <w:b/>
          <w:bCs/>
          <w:lang w:eastAsia="en-US"/>
        </w:rPr>
      </w:pPr>
      <w:r w:rsidRPr="008E1B14">
        <w:rPr>
          <w:b/>
          <w:bCs/>
          <w:lang w:eastAsia="en-US"/>
        </w:rPr>
        <w:t xml:space="preserve">More integration with wider health services </w:t>
      </w:r>
    </w:p>
    <w:p w14:paraId="0F99239F" w14:textId="77777777" w:rsidR="00442E3E" w:rsidRDefault="00442E3E" w:rsidP="008E1B14">
      <w:pPr>
        <w:pStyle w:val="Number"/>
        <w:numPr>
          <w:ilvl w:val="0"/>
          <w:numId w:val="0"/>
        </w:numPr>
        <w:ind w:left="567"/>
        <w:rPr>
          <w:rFonts w:eastAsia="Calibri"/>
          <w:lang w:eastAsia="en-US"/>
        </w:rPr>
      </w:pPr>
      <w:r w:rsidRPr="537D20A4">
        <w:rPr>
          <w:rFonts w:eastAsia="Calibri"/>
          <w:lang w:eastAsia="en-US"/>
        </w:rPr>
        <w:t xml:space="preserve">There were observations from </w:t>
      </w:r>
      <w:proofErr w:type="spellStart"/>
      <w:r w:rsidRPr="537D20A4">
        <w:rPr>
          <w:rFonts w:eastAsia="Calibri"/>
          <w:lang w:eastAsia="en-US"/>
        </w:rPr>
        <w:t>wh</w:t>
      </w:r>
      <w:r>
        <w:rPr>
          <w:rFonts w:eastAsia="Calibri"/>
          <w:lang w:eastAsia="en-US"/>
        </w:rPr>
        <w:t>ā</w:t>
      </w:r>
      <w:r w:rsidRPr="537D20A4">
        <w:rPr>
          <w:rFonts w:eastAsia="Calibri"/>
          <w:lang w:eastAsia="en-US"/>
        </w:rPr>
        <w:t>nau</w:t>
      </w:r>
      <w:proofErr w:type="spellEnd"/>
      <w:r w:rsidRPr="537D20A4">
        <w:rPr>
          <w:rFonts w:eastAsia="Calibri"/>
          <w:lang w:eastAsia="en-US"/>
        </w:rPr>
        <w:t xml:space="preserve"> and practitioners that existing health services (palliative, hospice, DHB, GP, oncology etc) were still working out how assisted dying </w:t>
      </w:r>
      <w:r>
        <w:rPr>
          <w:rFonts w:eastAsia="Calibri"/>
          <w:lang w:eastAsia="en-US"/>
        </w:rPr>
        <w:t>interacted</w:t>
      </w:r>
      <w:r w:rsidRPr="537D20A4">
        <w:rPr>
          <w:rFonts w:eastAsia="Calibri"/>
          <w:lang w:eastAsia="en-US"/>
        </w:rPr>
        <w:t xml:space="preserve"> with existing services and how to work effectively with </w:t>
      </w:r>
      <w:r>
        <w:rPr>
          <w:rFonts w:eastAsia="Calibri"/>
          <w:lang w:eastAsia="en-US"/>
        </w:rPr>
        <w:t>the assisted dying service</w:t>
      </w:r>
      <w:r w:rsidRPr="537D20A4">
        <w:rPr>
          <w:rFonts w:eastAsia="Calibri"/>
          <w:lang w:eastAsia="en-US"/>
        </w:rPr>
        <w:t xml:space="preserve">. Understanding how </w:t>
      </w:r>
      <w:r>
        <w:rPr>
          <w:rFonts w:eastAsia="Calibri"/>
          <w:lang w:eastAsia="en-US"/>
        </w:rPr>
        <w:t>the assisted dying service</w:t>
      </w:r>
      <w:r w:rsidRPr="537D20A4">
        <w:rPr>
          <w:rFonts w:eastAsia="Calibri"/>
          <w:lang w:eastAsia="en-US"/>
        </w:rPr>
        <w:t xml:space="preserve"> processes interact with their systems was still in a preliminary stage.</w:t>
      </w:r>
    </w:p>
    <w:p w14:paraId="4C873234" w14:textId="77777777" w:rsidR="00442E3E" w:rsidRPr="008E1B14" w:rsidRDefault="00442E3E" w:rsidP="008E1B14">
      <w:pPr>
        <w:pStyle w:val="Number"/>
        <w:rPr>
          <w:b/>
          <w:bCs/>
          <w:lang w:eastAsia="en-US"/>
        </w:rPr>
      </w:pPr>
      <w:r w:rsidRPr="008E1B14">
        <w:rPr>
          <w:b/>
          <w:bCs/>
          <w:lang w:eastAsia="en-US"/>
        </w:rPr>
        <w:t xml:space="preserve">Legislation </w:t>
      </w:r>
    </w:p>
    <w:p w14:paraId="799DE4AE" w14:textId="77777777" w:rsidR="00442E3E" w:rsidRPr="008E439C" w:rsidRDefault="00442E3E" w:rsidP="008E1B14">
      <w:pPr>
        <w:pStyle w:val="Number"/>
        <w:numPr>
          <w:ilvl w:val="0"/>
          <w:numId w:val="0"/>
        </w:numPr>
        <w:ind w:left="567"/>
        <w:rPr>
          <w:rFonts w:eastAsia="Calibri"/>
          <w:lang w:eastAsia="en-US"/>
        </w:rPr>
      </w:pPr>
      <w:r w:rsidRPr="537D20A4">
        <w:rPr>
          <w:rFonts w:eastAsia="Calibri"/>
          <w:lang w:eastAsia="en-US"/>
        </w:rPr>
        <w:t xml:space="preserve">The legislation is welcome, and applicants were relieved that this </w:t>
      </w:r>
      <w:r>
        <w:rPr>
          <w:rFonts w:eastAsia="Calibri"/>
          <w:lang w:eastAsia="en-US"/>
        </w:rPr>
        <w:t xml:space="preserve">service is </w:t>
      </w:r>
      <w:r w:rsidRPr="537D20A4">
        <w:rPr>
          <w:rFonts w:eastAsia="Calibri"/>
          <w:lang w:eastAsia="en-US"/>
        </w:rPr>
        <w:t xml:space="preserve">available. The legislation is not as enabling as some people were hoping for with the criteria making an assisted death </w:t>
      </w:r>
      <w:r>
        <w:rPr>
          <w:rFonts w:eastAsia="Calibri"/>
          <w:lang w:eastAsia="en-US"/>
        </w:rPr>
        <w:t>more restrictive than</w:t>
      </w:r>
      <w:r w:rsidRPr="537D20A4">
        <w:rPr>
          <w:rFonts w:eastAsia="Calibri"/>
          <w:lang w:eastAsia="en-US"/>
        </w:rPr>
        <w:t xml:space="preserve"> overseas jurisdictions. This was coupled with hope for a broadening of criteria over time. </w:t>
      </w:r>
    </w:p>
    <w:p w14:paraId="395AF32D" w14:textId="77777777" w:rsidR="00442E3E" w:rsidRDefault="00442E3E" w:rsidP="00442E3E">
      <w:pPr>
        <w:rPr>
          <w:rFonts w:cs="Segoe UI"/>
        </w:rPr>
      </w:pPr>
    </w:p>
    <w:p w14:paraId="712FEADF" w14:textId="74352E04" w:rsidR="00442E3E" w:rsidRDefault="00442E3E" w:rsidP="00442E3E">
      <w:pPr>
        <w:rPr>
          <w:rFonts w:cs="Segoe UI"/>
        </w:rPr>
      </w:pPr>
      <w:r w:rsidRPr="537D20A4">
        <w:rPr>
          <w:rFonts w:cs="Segoe UI"/>
        </w:rPr>
        <w:t xml:space="preserve">The feedback suggesting changes to the </w:t>
      </w:r>
      <w:proofErr w:type="gramStart"/>
      <w:r w:rsidRPr="537D20A4">
        <w:rPr>
          <w:rFonts w:cs="Segoe UI"/>
        </w:rPr>
        <w:t>End of Life</w:t>
      </w:r>
      <w:proofErr w:type="gramEnd"/>
      <w:r w:rsidRPr="537D20A4">
        <w:rPr>
          <w:rFonts w:cs="Segoe UI"/>
        </w:rPr>
        <w:t xml:space="preserve"> Choice Act </w:t>
      </w:r>
      <w:r>
        <w:rPr>
          <w:rFonts w:cs="Segoe UI"/>
        </w:rPr>
        <w:t xml:space="preserve">2019 </w:t>
      </w:r>
      <w:r w:rsidRPr="537D20A4">
        <w:rPr>
          <w:rFonts w:cs="Segoe UI"/>
        </w:rPr>
        <w:t>ha</w:t>
      </w:r>
      <w:r>
        <w:rPr>
          <w:rFonts w:cs="Segoe UI"/>
        </w:rPr>
        <w:t>s</w:t>
      </w:r>
      <w:r w:rsidRPr="537D20A4">
        <w:rPr>
          <w:rFonts w:cs="Segoe UI"/>
        </w:rPr>
        <w:t xml:space="preserve"> been noted for consideration when he Act is reviewed in 2024. Other feedback will be used to inform the secretariat</w:t>
      </w:r>
      <w:r>
        <w:rPr>
          <w:rFonts w:cs="Segoe UI"/>
        </w:rPr>
        <w:t>’s</w:t>
      </w:r>
      <w:r w:rsidRPr="537D20A4">
        <w:rPr>
          <w:rFonts w:cs="Segoe UI"/>
        </w:rPr>
        <w:t xml:space="preserve"> work programme through the year</w:t>
      </w:r>
      <w:r>
        <w:rPr>
          <w:rFonts w:cs="Segoe UI"/>
        </w:rPr>
        <w:t>.</w:t>
      </w:r>
    </w:p>
    <w:p w14:paraId="60AD9AC4" w14:textId="77777777" w:rsidR="00442E3E" w:rsidRDefault="00442E3E" w:rsidP="00442E3E">
      <w:pPr>
        <w:pStyle w:val="Heading3"/>
      </w:pPr>
      <w:bookmarkStart w:id="135" w:name="_Toc103606350"/>
      <w:bookmarkStart w:id="136" w:name="_Toc104460700"/>
      <w:r>
        <w:t xml:space="preserve">Learning from person and </w:t>
      </w:r>
      <w:proofErr w:type="spellStart"/>
      <w:r>
        <w:t>whānau</w:t>
      </w:r>
      <w:proofErr w:type="spellEnd"/>
      <w:r>
        <w:t xml:space="preserve"> experiences</w:t>
      </w:r>
      <w:bookmarkEnd w:id="135"/>
      <w:bookmarkEnd w:id="136"/>
      <w:r>
        <w:t xml:space="preserve"> </w:t>
      </w:r>
    </w:p>
    <w:p w14:paraId="22A74DF3" w14:textId="3CE807C4" w:rsidR="00442E3E" w:rsidRDefault="00442E3E" w:rsidP="00442E3E">
      <w:pPr>
        <w:rPr>
          <w:rFonts w:cs="Segoe UI"/>
        </w:rPr>
      </w:pPr>
      <w:r w:rsidRPr="4690022B">
        <w:rPr>
          <w:rFonts w:cs="Segoe UI"/>
        </w:rPr>
        <w:t xml:space="preserve">The Ministry plans to </w:t>
      </w:r>
      <w:r w:rsidR="00E608F5">
        <w:rPr>
          <w:rFonts w:cs="Segoe UI"/>
        </w:rPr>
        <w:t xml:space="preserve">keep assessing and </w:t>
      </w:r>
      <w:r w:rsidR="006450E2">
        <w:rPr>
          <w:rFonts w:cs="Segoe UI"/>
        </w:rPr>
        <w:t xml:space="preserve">undertaking </w:t>
      </w:r>
      <w:r w:rsidRPr="4690022B">
        <w:rPr>
          <w:rFonts w:cs="Segoe UI"/>
        </w:rPr>
        <w:t xml:space="preserve">work </w:t>
      </w:r>
      <w:r w:rsidR="00E608F5">
        <w:rPr>
          <w:rFonts w:cs="Segoe UI"/>
        </w:rPr>
        <w:t xml:space="preserve">to understand </w:t>
      </w:r>
      <w:r w:rsidRPr="4690022B">
        <w:rPr>
          <w:rFonts w:cs="Segoe UI"/>
        </w:rPr>
        <w:t xml:space="preserve">how to best capture </w:t>
      </w:r>
      <w:r w:rsidR="006450E2">
        <w:rPr>
          <w:rFonts w:cs="Segoe UI"/>
        </w:rPr>
        <w:t xml:space="preserve">insights from people to improve the </w:t>
      </w:r>
      <w:r w:rsidRPr="4690022B">
        <w:rPr>
          <w:rFonts w:cs="Segoe UI"/>
        </w:rPr>
        <w:t xml:space="preserve">experiences of people accessing assisted dying or </w:t>
      </w:r>
      <w:r w:rsidR="006450E2">
        <w:rPr>
          <w:rFonts w:cs="Segoe UI"/>
        </w:rPr>
        <w:t xml:space="preserve">those </w:t>
      </w:r>
      <w:r w:rsidRPr="4690022B">
        <w:rPr>
          <w:rFonts w:cs="Segoe UI"/>
        </w:rPr>
        <w:t xml:space="preserve">supporting someone </w:t>
      </w:r>
      <w:r w:rsidR="006450E2">
        <w:rPr>
          <w:rFonts w:cs="Segoe UI"/>
        </w:rPr>
        <w:t xml:space="preserve">seeking </w:t>
      </w:r>
      <w:r w:rsidR="00F43DBA">
        <w:rPr>
          <w:rFonts w:cs="Segoe UI"/>
        </w:rPr>
        <w:t xml:space="preserve">an assisted </w:t>
      </w:r>
      <w:r w:rsidR="006450E2">
        <w:rPr>
          <w:rFonts w:cs="Segoe UI"/>
        </w:rPr>
        <w:t>death. This</w:t>
      </w:r>
      <w:r w:rsidRPr="4690022B">
        <w:rPr>
          <w:rFonts w:cs="Segoe UI"/>
        </w:rPr>
        <w:t xml:space="preserve"> process must be carefully managed given the sensitive nature of this topic, and the need to reflect and uphold the emotional wellbeing of any participants. </w:t>
      </w:r>
    </w:p>
    <w:p w14:paraId="076635A1" w14:textId="77777777" w:rsidR="00442E3E" w:rsidRPr="008E1B14" w:rsidRDefault="00442E3E" w:rsidP="008E1B14">
      <w:pPr>
        <w:pStyle w:val="Heading2"/>
        <w:numPr>
          <w:ilvl w:val="0"/>
          <w:numId w:val="17"/>
        </w:numPr>
        <w:ind w:hanging="720"/>
      </w:pPr>
      <w:bookmarkStart w:id="137" w:name="_Toc106611890"/>
      <w:r w:rsidRPr="008E1B14">
        <w:t>Summary of queries and Official Information requests</w:t>
      </w:r>
      <w:bookmarkEnd w:id="137"/>
    </w:p>
    <w:p w14:paraId="3C1A525D" w14:textId="77777777" w:rsidR="00442E3E" w:rsidRPr="008E76C5" w:rsidRDefault="00442E3E" w:rsidP="008E1B14">
      <w:r w:rsidRPr="4690022B">
        <w:t xml:space="preserve">The Ministry notes that there is public interest in assisted dying outside of people who are accessing or providing the service. This is reflected in the queries and </w:t>
      </w:r>
      <w:r>
        <w:t xml:space="preserve">Official Information </w:t>
      </w:r>
      <w:r w:rsidRPr="4690022B">
        <w:t xml:space="preserve">requests from individuals, interest groups and the media since the service became available on 7 November 2021. </w:t>
      </w:r>
    </w:p>
    <w:p w14:paraId="58D688FC" w14:textId="77777777" w:rsidR="00442E3E" w:rsidRDefault="00442E3E" w:rsidP="008E1B14">
      <w:pPr>
        <w:rPr>
          <w:szCs w:val="21"/>
        </w:rPr>
      </w:pPr>
    </w:p>
    <w:p w14:paraId="39520529" w14:textId="77777777" w:rsidR="00442E3E" w:rsidRDefault="00442E3E" w:rsidP="008E1B14">
      <w:pPr>
        <w:rPr>
          <w:szCs w:val="21"/>
        </w:rPr>
      </w:pPr>
      <w:r w:rsidRPr="67E24F1F">
        <w:rPr>
          <w:szCs w:val="21"/>
        </w:rPr>
        <w:t>Queries and requests have generally been related to service usage</w:t>
      </w:r>
      <w:r w:rsidRPr="6C1D5A14">
        <w:rPr>
          <w:szCs w:val="21"/>
        </w:rPr>
        <w:t>, practitioner availability</w:t>
      </w:r>
      <w:r>
        <w:rPr>
          <w:szCs w:val="21"/>
        </w:rPr>
        <w:t>,</w:t>
      </w:r>
      <w:r w:rsidRPr="67E24F1F">
        <w:rPr>
          <w:szCs w:val="21"/>
        </w:rPr>
        <w:t xml:space="preserve"> and </w:t>
      </w:r>
      <w:r w:rsidRPr="6C1D5A14">
        <w:rPr>
          <w:szCs w:val="21"/>
        </w:rPr>
        <w:t xml:space="preserve">the application and assessment process. </w:t>
      </w:r>
    </w:p>
    <w:p w14:paraId="1A9CD907" w14:textId="77777777" w:rsidR="00442E3E" w:rsidRPr="001E7528" w:rsidRDefault="00442E3E" w:rsidP="008E1B14">
      <w:pPr>
        <w:rPr>
          <w:szCs w:val="21"/>
        </w:rPr>
      </w:pPr>
    </w:p>
    <w:p w14:paraId="0E3EA0F0" w14:textId="77777777" w:rsidR="00442E3E" w:rsidRPr="001E7528" w:rsidRDefault="00442E3E" w:rsidP="008E1B14">
      <w:pPr>
        <w:rPr>
          <w:szCs w:val="21"/>
        </w:rPr>
      </w:pPr>
      <w:r w:rsidRPr="4690022B">
        <w:rPr>
          <w:szCs w:val="21"/>
        </w:rPr>
        <w:lastRenderedPageBreak/>
        <w:t xml:space="preserve">Common themes from these queries and requests are considered as part of ongoing improvement of public information and reporting. </w:t>
      </w:r>
    </w:p>
    <w:p w14:paraId="13B0BDEE" w14:textId="77777777" w:rsidR="00442E3E" w:rsidRPr="001E7528" w:rsidRDefault="00442E3E" w:rsidP="008E1B14">
      <w:pPr>
        <w:rPr>
          <w:szCs w:val="21"/>
        </w:rPr>
      </w:pPr>
    </w:p>
    <w:p w14:paraId="7E730369" w14:textId="74FD5BEE" w:rsidR="00442E3E" w:rsidRPr="001E7528" w:rsidRDefault="004654B7" w:rsidP="008E1B14">
      <w:pPr>
        <w:rPr>
          <w:szCs w:val="21"/>
        </w:rPr>
      </w:pPr>
      <w:r>
        <w:rPr>
          <w:szCs w:val="21"/>
        </w:rPr>
        <w:fldChar w:fldCharType="begin"/>
      </w:r>
      <w:r>
        <w:rPr>
          <w:szCs w:val="21"/>
        </w:rPr>
        <w:instrText xml:space="preserve"> REF _Ref106198384 \h </w:instrText>
      </w:r>
      <w:r>
        <w:rPr>
          <w:szCs w:val="21"/>
        </w:rPr>
      </w:r>
      <w:r>
        <w:rPr>
          <w:szCs w:val="21"/>
        </w:rPr>
        <w:fldChar w:fldCharType="separate"/>
      </w:r>
      <w:r w:rsidR="004B5578">
        <w:t xml:space="preserve">Table </w:t>
      </w:r>
      <w:r w:rsidR="004B5578">
        <w:rPr>
          <w:noProof/>
        </w:rPr>
        <w:t>6</w:t>
      </w:r>
      <w:r>
        <w:rPr>
          <w:szCs w:val="21"/>
        </w:rPr>
        <w:fldChar w:fldCharType="end"/>
      </w:r>
      <w:r w:rsidR="00442E3E" w:rsidRPr="4690022B">
        <w:rPr>
          <w:szCs w:val="21"/>
        </w:rPr>
        <w:t xml:space="preserve"> outlines a summary of the queries and requests as </w:t>
      </w:r>
      <w:r w:rsidR="00442E3E">
        <w:rPr>
          <w:szCs w:val="21"/>
        </w:rPr>
        <w:t>of</w:t>
      </w:r>
      <w:r w:rsidR="00442E3E" w:rsidRPr="4690022B">
        <w:rPr>
          <w:szCs w:val="21"/>
        </w:rPr>
        <w:t xml:space="preserve"> 31 March 2022. </w:t>
      </w:r>
    </w:p>
    <w:p w14:paraId="1D56DCF1" w14:textId="77777777" w:rsidR="00442E3E" w:rsidRDefault="00442E3E" w:rsidP="00AE03E7"/>
    <w:p w14:paraId="2866BE87" w14:textId="56F7B801" w:rsidR="00442E3E" w:rsidRDefault="008E1B14" w:rsidP="008E1B14">
      <w:pPr>
        <w:pStyle w:val="Table"/>
      </w:pPr>
      <w:bookmarkStart w:id="138" w:name="_Ref106198384"/>
      <w:bookmarkStart w:id="139" w:name="_Toc106611897"/>
      <w:r>
        <w:t xml:space="preserve">Table </w:t>
      </w:r>
      <w:fldSimple w:instr=" SEQ Table \* ARABIC ">
        <w:r w:rsidR="004B5578">
          <w:rPr>
            <w:noProof/>
          </w:rPr>
          <w:t>6</w:t>
        </w:r>
      </w:fldSimple>
      <w:bookmarkEnd w:id="138"/>
      <w:r>
        <w:t xml:space="preserve">: </w:t>
      </w:r>
      <w:r w:rsidR="004654B7">
        <w:t>Q</w:t>
      </w:r>
      <w:r w:rsidR="00442E3E" w:rsidRPr="00DC2F44">
        <w:t>ueries and requests related to Assisted Dying</w:t>
      </w:r>
      <w:bookmarkEnd w:id="139"/>
      <w:r w:rsidR="00442E3E" w:rsidRPr="00DC2F44">
        <w:t xml:space="preserve"> </w:t>
      </w:r>
    </w:p>
    <w:tbl>
      <w:tblPr>
        <w:tblStyle w:val="TableGrid"/>
        <w:tblW w:w="8468"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6A0" w:firstRow="1" w:lastRow="0" w:firstColumn="1" w:lastColumn="0" w:noHBand="1" w:noVBand="1"/>
      </w:tblPr>
      <w:tblGrid>
        <w:gridCol w:w="3660"/>
        <w:gridCol w:w="4808"/>
      </w:tblGrid>
      <w:tr w:rsidR="00442E3E" w:rsidRPr="00AE03E7" w14:paraId="433345CB" w14:textId="77777777" w:rsidTr="002130AE">
        <w:tc>
          <w:tcPr>
            <w:tcW w:w="3660" w:type="dxa"/>
            <w:tcBorders>
              <w:top w:val="nil"/>
              <w:bottom w:val="nil"/>
            </w:tcBorders>
            <w:shd w:val="clear" w:color="auto" w:fill="D9D9D9" w:themeFill="background1" w:themeFillShade="D9"/>
          </w:tcPr>
          <w:p w14:paraId="30C6682F" w14:textId="77777777" w:rsidR="00442E3E" w:rsidRPr="00AE03E7" w:rsidRDefault="00442E3E" w:rsidP="00AE03E7">
            <w:pPr>
              <w:pStyle w:val="TableText"/>
              <w:rPr>
                <w:b/>
                <w:bCs/>
              </w:rPr>
            </w:pPr>
            <w:r w:rsidRPr="00AE03E7">
              <w:rPr>
                <w:b/>
                <w:bCs/>
              </w:rPr>
              <w:t>Query type</w:t>
            </w:r>
          </w:p>
        </w:tc>
        <w:tc>
          <w:tcPr>
            <w:tcW w:w="4808" w:type="dxa"/>
            <w:tcBorders>
              <w:top w:val="nil"/>
              <w:bottom w:val="nil"/>
            </w:tcBorders>
            <w:shd w:val="clear" w:color="auto" w:fill="D9D9D9" w:themeFill="background1" w:themeFillShade="D9"/>
          </w:tcPr>
          <w:p w14:paraId="4697A8CB" w14:textId="77777777" w:rsidR="00442E3E" w:rsidRPr="00AE03E7" w:rsidRDefault="00442E3E" w:rsidP="00AE03E7">
            <w:pPr>
              <w:pStyle w:val="TableText"/>
              <w:rPr>
                <w:b/>
                <w:bCs/>
              </w:rPr>
            </w:pPr>
            <w:r w:rsidRPr="00AE03E7">
              <w:rPr>
                <w:b/>
                <w:bCs/>
              </w:rPr>
              <w:t>Number</w:t>
            </w:r>
          </w:p>
        </w:tc>
      </w:tr>
      <w:tr w:rsidR="00442E3E" w14:paraId="5E6C5A71" w14:textId="77777777" w:rsidTr="002130AE">
        <w:tc>
          <w:tcPr>
            <w:tcW w:w="3660" w:type="dxa"/>
            <w:tcBorders>
              <w:top w:val="nil"/>
            </w:tcBorders>
          </w:tcPr>
          <w:p w14:paraId="2109529E" w14:textId="77777777" w:rsidR="00442E3E" w:rsidRDefault="00442E3E" w:rsidP="00AE03E7">
            <w:pPr>
              <w:pStyle w:val="TableText"/>
            </w:pPr>
            <w:r w:rsidRPr="4690022B">
              <w:t>OIA requests</w:t>
            </w:r>
          </w:p>
        </w:tc>
        <w:tc>
          <w:tcPr>
            <w:tcW w:w="4808" w:type="dxa"/>
            <w:tcBorders>
              <w:top w:val="nil"/>
            </w:tcBorders>
          </w:tcPr>
          <w:p w14:paraId="7DB33104" w14:textId="77777777" w:rsidR="00442E3E" w:rsidRDefault="00442E3E" w:rsidP="00AE03E7">
            <w:pPr>
              <w:pStyle w:val="TableText"/>
            </w:pPr>
            <w:r>
              <w:t>10</w:t>
            </w:r>
          </w:p>
        </w:tc>
      </w:tr>
      <w:tr w:rsidR="00442E3E" w14:paraId="415F6BFB" w14:textId="77777777" w:rsidTr="002130AE">
        <w:tc>
          <w:tcPr>
            <w:tcW w:w="3660" w:type="dxa"/>
          </w:tcPr>
          <w:p w14:paraId="7DD681C8" w14:textId="77777777" w:rsidR="00442E3E" w:rsidRDefault="00442E3E" w:rsidP="00AE03E7">
            <w:pPr>
              <w:pStyle w:val="TableText"/>
            </w:pPr>
            <w:r w:rsidRPr="4690022B">
              <w:t xml:space="preserve">Media requests </w:t>
            </w:r>
          </w:p>
        </w:tc>
        <w:tc>
          <w:tcPr>
            <w:tcW w:w="4808" w:type="dxa"/>
          </w:tcPr>
          <w:p w14:paraId="293DC29B" w14:textId="77777777" w:rsidR="00442E3E" w:rsidRDefault="00442E3E" w:rsidP="00AE03E7">
            <w:pPr>
              <w:pStyle w:val="TableText"/>
            </w:pPr>
            <w:r>
              <w:t>25</w:t>
            </w:r>
          </w:p>
        </w:tc>
      </w:tr>
      <w:tr w:rsidR="00442E3E" w14:paraId="557BD5E1" w14:textId="77777777" w:rsidTr="002130AE">
        <w:trPr>
          <w:trHeight w:val="430"/>
        </w:trPr>
        <w:tc>
          <w:tcPr>
            <w:tcW w:w="3660" w:type="dxa"/>
          </w:tcPr>
          <w:p w14:paraId="04BE5474" w14:textId="77777777" w:rsidR="00442E3E" w:rsidRDefault="00442E3E" w:rsidP="00AE03E7">
            <w:pPr>
              <w:pStyle w:val="TableText"/>
            </w:pPr>
            <w:r>
              <w:t xml:space="preserve">Written </w:t>
            </w:r>
            <w:r w:rsidRPr="23D3DC88">
              <w:t>Parliamentary Questions</w:t>
            </w:r>
          </w:p>
        </w:tc>
        <w:tc>
          <w:tcPr>
            <w:tcW w:w="4808" w:type="dxa"/>
          </w:tcPr>
          <w:p w14:paraId="14BA9892" w14:textId="77777777" w:rsidR="00442E3E" w:rsidRDefault="00442E3E" w:rsidP="00AE03E7">
            <w:pPr>
              <w:pStyle w:val="TableText"/>
            </w:pPr>
            <w:r>
              <w:t>12</w:t>
            </w:r>
          </w:p>
        </w:tc>
      </w:tr>
    </w:tbl>
    <w:p w14:paraId="166E8387" w14:textId="77777777" w:rsidR="00442E3E" w:rsidRDefault="00442E3E" w:rsidP="00AE03E7">
      <w:pPr>
        <w:pStyle w:val="Heading2"/>
        <w:numPr>
          <w:ilvl w:val="0"/>
          <w:numId w:val="17"/>
        </w:numPr>
        <w:ind w:hanging="720"/>
      </w:pPr>
      <w:bookmarkStart w:id="140" w:name="_Toc106611891"/>
      <w:r>
        <w:t>Concluding Remarks</w:t>
      </w:r>
      <w:bookmarkEnd w:id="140"/>
    </w:p>
    <w:p w14:paraId="28B88B97" w14:textId="2BCE1B60" w:rsidR="00442E3E" w:rsidRDefault="00442E3E" w:rsidP="00AE03E7">
      <w:r>
        <w:t xml:space="preserve">The Ministry has implemented the </w:t>
      </w:r>
      <w:proofErr w:type="gramStart"/>
      <w:r>
        <w:t>End of Life</w:t>
      </w:r>
      <w:proofErr w:type="gramEnd"/>
      <w:r>
        <w:t xml:space="preserve"> Choice Act 2019 and has established the assisted dying service in New Zealand</w:t>
      </w:r>
      <w:r w:rsidR="00FE1665" w:rsidRPr="00FE1665">
        <w:t xml:space="preserve"> </w:t>
      </w:r>
      <w:r w:rsidR="00FE1665">
        <w:t>Aotearoa</w:t>
      </w:r>
      <w:r>
        <w:t xml:space="preserve">. In the coming year, the Ministry will continue to improve the service through working with </w:t>
      </w:r>
      <w:proofErr w:type="spellStart"/>
      <w:r w:rsidRPr="003532B7">
        <w:t>Te</w:t>
      </w:r>
      <w:proofErr w:type="spellEnd"/>
      <w:r w:rsidRPr="003532B7">
        <w:t xml:space="preserve"> </w:t>
      </w:r>
      <w:proofErr w:type="spellStart"/>
      <w:r w:rsidRPr="003532B7">
        <w:t>Apārangi</w:t>
      </w:r>
      <w:proofErr w:type="spellEnd"/>
      <w:r>
        <w:t xml:space="preserve"> and the statutory committees, using invaluable feedback and applying any recommendations from the implementation review. Quality improvement will provide an opportunity to refine the support provided to people and </w:t>
      </w:r>
      <w:proofErr w:type="spellStart"/>
      <w:r>
        <w:t>whānau</w:t>
      </w:r>
      <w:proofErr w:type="spellEnd"/>
      <w:r>
        <w:t xml:space="preserve"> who engage with the service.</w:t>
      </w:r>
    </w:p>
    <w:p w14:paraId="4ACFE683" w14:textId="77777777" w:rsidR="00442E3E" w:rsidRDefault="00442E3E" w:rsidP="00AE03E7"/>
    <w:p w14:paraId="24CB1472" w14:textId="77777777" w:rsidR="00442E3E" w:rsidRPr="00814FDD" w:rsidRDefault="00442E3E" w:rsidP="00AE03E7">
      <w:r>
        <w:t>The Ministry will seek to undertake collaborative research to contribute to the body of knowledge to deliver an effective, compassionate, person-centred service.  It is also important to grow the diversity of the workforce providing assisted dying services in New Zealand Aotearoa.</w:t>
      </w:r>
    </w:p>
    <w:sectPr w:rsidR="00442E3E" w:rsidRPr="00814FDD" w:rsidSect="00D27BB1">
      <w:footerReference w:type="even" r:id="rId41"/>
      <w:footerReference w:type="default" r:id="rId42"/>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F286C" w14:textId="77777777" w:rsidR="00EC7B31" w:rsidRDefault="00EC7B31">
      <w:r>
        <w:separator/>
      </w:r>
    </w:p>
    <w:p w14:paraId="536EA0CF" w14:textId="77777777" w:rsidR="00EC7B31" w:rsidRDefault="00EC7B31"/>
  </w:endnote>
  <w:endnote w:type="continuationSeparator" w:id="0">
    <w:p w14:paraId="0AAF58D6" w14:textId="77777777" w:rsidR="00EC7B31" w:rsidRDefault="00EC7B31">
      <w:r>
        <w:continuationSeparator/>
      </w:r>
    </w:p>
    <w:p w14:paraId="03EFB38E" w14:textId="77777777" w:rsidR="00EC7B31" w:rsidRDefault="00EC7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66A11" w14:textId="77777777" w:rsidR="000A0FBD" w:rsidRPr="00581136" w:rsidRDefault="000A0FBD" w:rsidP="005A79E5">
    <w:pPr>
      <w:pStyle w:val="Footer"/>
      <w:pBdr>
        <w:bottom w:val="single" w:sz="4" w:space="1" w:color="auto"/>
      </w:pBdr>
      <w:tabs>
        <w:tab w:val="right" w:pos="9639"/>
      </w:tabs>
      <w:rPr>
        <w:b/>
      </w:rPr>
    </w:pPr>
    <w:r w:rsidRPr="00581136">
      <w:rPr>
        <w:b/>
      </w:rPr>
      <w:t>Released 20</w:t>
    </w:r>
    <w:r>
      <w:rPr>
        <w:b/>
      </w:rPr>
      <w:t>22</w:t>
    </w:r>
    <w:r w:rsidRPr="00581136">
      <w:rPr>
        <w:b/>
      </w:rPr>
      <w:tab/>
      <w:t>health.govt.nz</w:t>
    </w:r>
  </w:p>
  <w:p w14:paraId="530FE4B8" w14:textId="77777777" w:rsidR="000A0FBD" w:rsidRPr="005A79E5" w:rsidRDefault="000A0FBD">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E608F5" w14:paraId="2B4DEA0B" w14:textId="77777777" w:rsidTr="006E2886">
      <w:trPr>
        <w:cantSplit/>
      </w:trPr>
      <w:tc>
        <w:tcPr>
          <w:tcW w:w="8080" w:type="dxa"/>
          <w:vAlign w:val="center"/>
        </w:tcPr>
        <w:p w14:paraId="2B4DEA09" w14:textId="1D0DA0ED" w:rsidR="00E608F5" w:rsidRDefault="001467A2" w:rsidP="00704293">
          <w:pPr>
            <w:pStyle w:val="RectoFooter"/>
          </w:pPr>
          <w:r w:rsidRPr="001467A2">
            <w:t xml:space="preserve">ASSISTED DYING SERVICE – NGĀ RATONGA MATE WHAKAAHURU </w:t>
          </w:r>
          <w:r>
            <w:br/>
          </w:r>
          <w:r w:rsidR="00E608F5">
            <w:t>REGISTRAR (ASSISTED DYING) ANNUAL REPORT TO THE MINISTER OF HEALTH</w:t>
          </w:r>
        </w:p>
      </w:tc>
      <w:tc>
        <w:tcPr>
          <w:tcW w:w="709" w:type="dxa"/>
          <w:vAlign w:val="center"/>
        </w:tcPr>
        <w:p w14:paraId="2B4DEA0A" w14:textId="77777777" w:rsidR="00E608F5" w:rsidRPr="00931466" w:rsidRDefault="00E608F5"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183</w:t>
          </w:r>
          <w:r w:rsidRPr="00931466">
            <w:rPr>
              <w:rStyle w:val="PageNumber"/>
            </w:rPr>
            <w:fldChar w:fldCharType="end"/>
          </w:r>
        </w:p>
      </w:tc>
    </w:tr>
  </w:tbl>
  <w:p w14:paraId="2B4DEA0C" w14:textId="77777777" w:rsidR="00E608F5" w:rsidRPr="00581EB8" w:rsidRDefault="00E608F5"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DE9C1" w14:textId="77777777" w:rsidR="00E608F5" w:rsidRDefault="00E608F5"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DE9C2" w14:textId="77777777" w:rsidR="00E608F5" w:rsidRDefault="00E60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E608F5" w14:paraId="2B4DE9D1" w14:textId="77777777" w:rsidTr="00D662F8">
      <w:trPr>
        <w:cantSplit/>
      </w:trPr>
      <w:tc>
        <w:tcPr>
          <w:tcW w:w="709" w:type="dxa"/>
          <w:vAlign w:val="center"/>
        </w:tcPr>
        <w:p w14:paraId="2B4DE9CF" w14:textId="77777777" w:rsidR="00E608F5" w:rsidRPr="00931466" w:rsidRDefault="00E608F5"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2B4DE9D0" w14:textId="26BC1E98" w:rsidR="00E608F5" w:rsidRDefault="001467A2" w:rsidP="00DD1B3A">
          <w:pPr>
            <w:pStyle w:val="RectoFooter"/>
            <w:jc w:val="left"/>
          </w:pPr>
          <w:r w:rsidRPr="001467A2">
            <w:t>Assisted Dying Service – Ngā Ratonga Mate Whakaahuru</w:t>
          </w:r>
          <w:r>
            <w:br/>
          </w:r>
          <w:r w:rsidR="00E608F5">
            <w:t>REGISTRAR (ASSISTED DYING) ANNUAL REPORT TO THE MINISTER OF HEALTH</w:t>
          </w:r>
        </w:p>
      </w:tc>
    </w:tr>
  </w:tbl>
  <w:p w14:paraId="2B4DE9D2" w14:textId="77777777" w:rsidR="00E608F5" w:rsidRPr="00571223" w:rsidRDefault="00E608F5"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E608F5" w14:paraId="2B4DE9D5" w14:textId="77777777" w:rsidTr="006E2886">
      <w:trPr>
        <w:cantSplit/>
      </w:trPr>
      <w:tc>
        <w:tcPr>
          <w:tcW w:w="8080" w:type="dxa"/>
          <w:vAlign w:val="center"/>
        </w:tcPr>
        <w:p w14:paraId="2B4DE9D3" w14:textId="4185A0C0" w:rsidR="00E608F5" w:rsidRDefault="001467A2" w:rsidP="00F17491">
          <w:pPr>
            <w:pStyle w:val="RectoFooter"/>
          </w:pPr>
          <w:r w:rsidRPr="001467A2">
            <w:t>Assisted Dying Service – Ngā Ratonga Mate Whakaahuru</w:t>
          </w:r>
          <w:r w:rsidR="00E608F5">
            <w:br/>
          </w:r>
          <w:r w:rsidR="00E608F5" w:rsidRPr="00DD1B3A">
            <w:t>Registrar (assisted dying) Annual Report to the Minister of Health</w:t>
          </w:r>
        </w:p>
      </w:tc>
      <w:tc>
        <w:tcPr>
          <w:tcW w:w="709" w:type="dxa"/>
          <w:vAlign w:val="center"/>
        </w:tcPr>
        <w:p w14:paraId="2B4DE9D4" w14:textId="77777777" w:rsidR="00E608F5" w:rsidRPr="00931466" w:rsidRDefault="00E608F5"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2B4DE9D6" w14:textId="77777777" w:rsidR="00E608F5" w:rsidRPr="00581EB8" w:rsidRDefault="00E608F5"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E608F5" w14:paraId="2B4DE9D9" w14:textId="77777777" w:rsidTr="006E2886">
      <w:trPr>
        <w:cantSplit/>
      </w:trPr>
      <w:tc>
        <w:tcPr>
          <w:tcW w:w="675" w:type="dxa"/>
          <w:vAlign w:val="center"/>
        </w:tcPr>
        <w:p w14:paraId="2B4DE9D7" w14:textId="77777777" w:rsidR="00E608F5" w:rsidRPr="00931466" w:rsidRDefault="00E608F5"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56</w:t>
          </w:r>
          <w:r w:rsidRPr="00931466">
            <w:rPr>
              <w:rStyle w:val="PageNumber"/>
            </w:rPr>
            <w:fldChar w:fldCharType="end"/>
          </w:r>
        </w:p>
      </w:tc>
      <w:tc>
        <w:tcPr>
          <w:tcW w:w="9072" w:type="dxa"/>
          <w:vAlign w:val="center"/>
        </w:tcPr>
        <w:p w14:paraId="2B4DE9D8" w14:textId="7E9537C6" w:rsidR="00E608F5" w:rsidRDefault="001467A2" w:rsidP="00DD1B3A">
          <w:pPr>
            <w:pStyle w:val="RectoFooter"/>
            <w:ind w:left="-108"/>
            <w:jc w:val="left"/>
          </w:pPr>
          <w:r w:rsidRPr="001467A2">
            <w:t>Assisted Dying Service – Ngā Ratonga Mate Whakaahuru</w:t>
          </w:r>
          <w:r>
            <w:br/>
          </w:r>
          <w:r w:rsidR="00E608F5">
            <w:t>REGISTRAR (ASSISTED DYING) ANNUAL REPORT TO THE MINISTER OF HEALTH</w:t>
          </w:r>
        </w:p>
      </w:tc>
    </w:tr>
  </w:tbl>
  <w:p w14:paraId="2B4DE9DA" w14:textId="77777777" w:rsidR="00E608F5" w:rsidRPr="00571223" w:rsidRDefault="00E608F5"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E608F5" w14:paraId="2B4DE9DD" w14:textId="77777777" w:rsidTr="006E2886">
      <w:trPr>
        <w:cantSplit/>
      </w:trPr>
      <w:tc>
        <w:tcPr>
          <w:tcW w:w="8080" w:type="dxa"/>
          <w:vAlign w:val="center"/>
        </w:tcPr>
        <w:p w14:paraId="2B4DE9DB" w14:textId="2D72EE0C" w:rsidR="00E608F5" w:rsidRDefault="001467A2" w:rsidP="00DD1B3A">
          <w:pPr>
            <w:pStyle w:val="RectoFooter"/>
          </w:pPr>
          <w:r w:rsidRPr="001467A2">
            <w:t>Assisted Dying Service – Ngā Ratonga Mate Whakaahuru</w:t>
          </w:r>
          <w:r>
            <w:br/>
          </w:r>
          <w:r w:rsidR="00E608F5">
            <w:t>REGISTRAR (ASSISTED DYING) ANNUAL REPORT TO THE MINISTER OF HEALTH</w:t>
          </w:r>
        </w:p>
      </w:tc>
      <w:tc>
        <w:tcPr>
          <w:tcW w:w="709" w:type="dxa"/>
          <w:vAlign w:val="center"/>
        </w:tcPr>
        <w:p w14:paraId="2B4DE9DC" w14:textId="77777777" w:rsidR="00E608F5" w:rsidRPr="00931466" w:rsidRDefault="00E608F5"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79</w:t>
          </w:r>
          <w:r w:rsidRPr="00931466">
            <w:rPr>
              <w:rStyle w:val="PageNumber"/>
            </w:rPr>
            <w:fldChar w:fldCharType="end"/>
          </w:r>
        </w:p>
      </w:tc>
    </w:tr>
  </w:tbl>
  <w:p w14:paraId="2B4DE9DE" w14:textId="77777777" w:rsidR="00E608F5" w:rsidRPr="00581EB8" w:rsidRDefault="00E608F5"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601" w:type="dxa"/>
      <w:tblLayout w:type="fixed"/>
      <w:tblCellMar>
        <w:left w:w="0" w:type="dxa"/>
        <w:right w:w="0" w:type="dxa"/>
      </w:tblCellMar>
      <w:tblLook w:val="04A0" w:firstRow="1" w:lastRow="0" w:firstColumn="1" w:lastColumn="0" w:noHBand="0" w:noVBand="1"/>
    </w:tblPr>
    <w:tblGrid>
      <w:gridCol w:w="13892"/>
      <w:gridCol w:w="709"/>
    </w:tblGrid>
    <w:tr w:rsidR="001467A2" w14:paraId="1D4706A6" w14:textId="77777777" w:rsidTr="001467A2">
      <w:trPr>
        <w:cantSplit/>
      </w:trPr>
      <w:tc>
        <w:tcPr>
          <w:tcW w:w="13892" w:type="dxa"/>
          <w:vAlign w:val="center"/>
        </w:tcPr>
        <w:p w14:paraId="394FB2A2" w14:textId="77777777" w:rsidR="001467A2" w:rsidRDefault="001467A2" w:rsidP="00DD1B3A">
          <w:pPr>
            <w:pStyle w:val="RectoFooter"/>
          </w:pPr>
          <w:r w:rsidRPr="001467A2">
            <w:t>Assisted Dying Service – Ngā Ratonga Mate Whakaahuru</w:t>
          </w:r>
          <w:r>
            <w:br/>
            <w:t>REGISTRAR (ASSISTED DYING) ANNUAL REPORT TO THE MINISTER OF HEALTH</w:t>
          </w:r>
        </w:p>
      </w:tc>
      <w:tc>
        <w:tcPr>
          <w:tcW w:w="709" w:type="dxa"/>
          <w:vAlign w:val="center"/>
        </w:tcPr>
        <w:p w14:paraId="4184C359" w14:textId="77777777" w:rsidR="001467A2" w:rsidRPr="00931466" w:rsidRDefault="001467A2"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79</w:t>
          </w:r>
          <w:r w:rsidRPr="00931466">
            <w:rPr>
              <w:rStyle w:val="PageNumber"/>
            </w:rPr>
            <w:fldChar w:fldCharType="end"/>
          </w:r>
        </w:p>
      </w:tc>
    </w:tr>
  </w:tbl>
  <w:p w14:paraId="48D6D590" w14:textId="77777777" w:rsidR="001467A2" w:rsidRPr="00581EB8" w:rsidRDefault="001467A2" w:rsidP="00581EB8">
    <w:pPr>
      <w:pStyle w:val="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E608F5" w14:paraId="2B4DEA07" w14:textId="77777777" w:rsidTr="006E2886">
      <w:trPr>
        <w:cantSplit/>
      </w:trPr>
      <w:tc>
        <w:tcPr>
          <w:tcW w:w="675" w:type="dxa"/>
          <w:vAlign w:val="center"/>
        </w:tcPr>
        <w:p w14:paraId="2B4DEA05" w14:textId="77777777" w:rsidR="00E608F5" w:rsidRPr="00931466" w:rsidRDefault="00E608F5"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184</w:t>
          </w:r>
          <w:r w:rsidRPr="00931466">
            <w:rPr>
              <w:rStyle w:val="PageNumber"/>
            </w:rPr>
            <w:fldChar w:fldCharType="end"/>
          </w:r>
        </w:p>
      </w:tc>
      <w:tc>
        <w:tcPr>
          <w:tcW w:w="9072" w:type="dxa"/>
          <w:vAlign w:val="center"/>
        </w:tcPr>
        <w:p w14:paraId="2B4DEA06" w14:textId="05745D3F" w:rsidR="00E608F5" w:rsidRDefault="001467A2" w:rsidP="00704293">
          <w:pPr>
            <w:pStyle w:val="RectoFooter"/>
            <w:ind w:left="-108"/>
            <w:jc w:val="left"/>
          </w:pPr>
          <w:r w:rsidRPr="001467A2">
            <w:t xml:space="preserve">ASSISTED DYING SERVICE – NGĀ RATONGA MATE WHAKAAHURU </w:t>
          </w:r>
          <w:r>
            <w:br/>
          </w:r>
          <w:r w:rsidR="00E608F5">
            <w:t>REGISTRAR (ASSISTED DYING) ANNUAL REPORT TO THE MINISTER OF HEALTH</w:t>
          </w:r>
        </w:p>
      </w:tc>
    </w:tr>
  </w:tbl>
  <w:p w14:paraId="2B4DEA08" w14:textId="77777777" w:rsidR="00E608F5" w:rsidRPr="00571223" w:rsidRDefault="00E608F5" w:rsidP="00571223">
    <w:pPr>
      <w:pStyle w:val="Verso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3C3BB" w14:textId="77777777" w:rsidR="00EC7B31" w:rsidRPr="00A26E6B" w:rsidRDefault="00EC7B31" w:rsidP="00A26E6B"/>
  </w:footnote>
  <w:footnote w:type="continuationSeparator" w:id="0">
    <w:p w14:paraId="0241E75C" w14:textId="77777777" w:rsidR="00EC7B31" w:rsidRDefault="00EC7B31">
      <w:r>
        <w:continuationSeparator/>
      </w:r>
    </w:p>
    <w:p w14:paraId="3555582A" w14:textId="77777777" w:rsidR="00EC7B31" w:rsidRDefault="00EC7B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E608F5" w14:paraId="435707E7" w14:textId="77777777" w:rsidTr="00E608F5">
      <w:trPr>
        <w:cantSplit/>
      </w:trPr>
      <w:tc>
        <w:tcPr>
          <w:tcW w:w="5210" w:type="dxa"/>
          <w:vAlign w:val="center"/>
        </w:tcPr>
        <w:p w14:paraId="22F64C57" w14:textId="50AC3D2E" w:rsidR="00E608F5" w:rsidRDefault="00E608F5" w:rsidP="006751FE">
          <w:pPr>
            <w:pStyle w:val="Header"/>
          </w:pPr>
        </w:p>
      </w:tc>
      <w:tc>
        <w:tcPr>
          <w:tcW w:w="4429" w:type="dxa"/>
          <w:vAlign w:val="center"/>
        </w:tcPr>
        <w:p w14:paraId="5DDB5BA1" w14:textId="7AB3F363" w:rsidR="00E608F5" w:rsidRDefault="00E608F5" w:rsidP="006751FE">
          <w:pPr>
            <w:pStyle w:val="Header"/>
            <w:jc w:val="right"/>
          </w:pPr>
        </w:p>
      </w:tc>
    </w:tr>
  </w:tbl>
  <w:p w14:paraId="63C1F9E8" w14:textId="77777777" w:rsidR="00E608F5" w:rsidRDefault="00E608F5" w:rsidP="00F17491">
    <w:pPr>
      <w:pStyle w:val="Header"/>
      <w:jc w:val="right"/>
    </w:pPr>
  </w:p>
  <w:p w14:paraId="2B4DE9BE" w14:textId="2C1B325B" w:rsidR="00E608F5" w:rsidRDefault="00E608F5" w:rsidP="00CA4F5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DE9CD" w14:textId="77777777" w:rsidR="00E608F5" w:rsidRDefault="00E608F5"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DE9CE" w14:textId="77777777" w:rsidR="00E608F5" w:rsidRDefault="00E608F5"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17C7"/>
    <w:multiLevelType w:val="multilevel"/>
    <w:tmpl w:val="A124686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21A31B79"/>
    <w:multiLevelType w:val="multilevel"/>
    <w:tmpl w:val="A20AD880"/>
    <w:lvl w:ilvl="0">
      <w:start w:val="1"/>
      <w:numFmt w:val="decimal"/>
      <w:pStyle w:val="Heading3numbered"/>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340B2EA"/>
    <w:multiLevelType w:val="hybridMultilevel"/>
    <w:tmpl w:val="48BE321C"/>
    <w:lvl w:ilvl="0" w:tplc="D598A132">
      <w:start w:val="1"/>
      <w:numFmt w:val="bullet"/>
      <w:lvlText w:val="·"/>
      <w:lvlJc w:val="left"/>
      <w:pPr>
        <w:ind w:left="720" w:hanging="360"/>
      </w:pPr>
      <w:rPr>
        <w:rFonts w:ascii="Symbol" w:hAnsi="Symbol" w:hint="default"/>
      </w:rPr>
    </w:lvl>
    <w:lvl w:ilvl="1" w:tplc="AA9C9B04">
      <w:start w:val="1"/>
      <w:numFmt w:val="bullet"/>
      <w:lvlText w:val="o"/>
      <w:lvlJc w:val="left"/>
      <w:pPr>
        <w:ind w:left="1440" w:hanging="360"/>
      </w:pPr>
      <w:rPr>
        <w:rFonts w:ascii="Courier New" w:hAnsi="Courier New" w:hint="default"/>
      </w:rPr>
    </w:lvl>
    <w:lvl w:ilvl="2" w:tplc="6876EF04">
      <w:start w:val="1"/>
      <w:numFmt w:val="bullet"/>
      <w:lvlText w:val=""/>
      <w:lvlJc w:val="left"/>
      <w:pPr>
        <w:ind w:left="2160" w:hanging="360"/>
      </w:pPr>
      <w:rPr>
        <w:rFonts w:ascii="Wingdings" w:hAnsi="Wingdings" w:hint="default"/>
      </w:rPr>
    </w:lvl>
    <w:lvl w:ilvl="3" w:tplc="EC4CDD12">
      <w:start w:val="1"/>
      <w:numFmt w:val="bullet"/>
      <w:lvlText w:val=""/>
      <w:lvlJc w:val="left"/>
      <w:pPr>
        <w:ind w:left="2880" w:hanging="360"/>
      </w:pPr>
      <w:rPr>
        <w:rFonts w:ascii="Symbol" w:hAnsi="Symbol" w:hint="default"/>
      </w:rPr>
    </w:lvl>
    <w:lvl w:ilvl="4" w:tplc="9CE82188">
      <w:start w:val="1"/>
      <w:numFmt w:val="bullet"/>
      <w:lvlText w:val="o"/>
      <w:lvlJc w:val="left"/>
      <w:pPr>
        <w:ind w:left="3600" w:hanging="360"/>
      </w:pPr>
      <w:rPr>
        <w:rFonts w:ascii="Courier New" w:hAnsi="Courier New" w:hint="default"/>
      </w:rPr>
    </w:lvl>
    <w:lvl w:ilvl="5" w:tplc="B546C220">
      <w:start w:val="1"/>
      <w:numFmt w:val="bullet"/>
      <w:lvlText w:val=""/>
      <w:lvlJc w:val="left"/>
      <w:pPr>
        <w:ind w:left="4320" w:hanging="360"/>
      </w:pPr>
      <w:rPr>
        <w:rFonts w:ascii="Wingdings" w:hAnsi="Wingdings" w:hint="default"/>
      </w:rPr>
    </w:lvl>
    <w:lvl w:ilvl="6" w:tplc="FBACBD46">
      <w:start w:val="1"/>
      <w:numFmt w:val="bullet"/>
      <w:lvlText w:val=""/>
      <w:lvlJc w:val="left"/>
      <w:pPr>
        <w:ind w:left="5040" w:hanging="360"/>
      </w:pPr>
      <w:rPr>
        <w:rFonts w:ascii="Symbol" w:hAnsi="Symbol" w:hint="default"/>
      </w:rPr>
    </w:lvl>
    <w:lvl w:ilvl="7" w:tplc="AFC8053E">
      <w:start w:val="1"/>
      <w:numFmt w:val="bullet"/>
      <w:lvlText w:val="o"/>
      <w:lvlJc w:val="left"/>
      <w:pPr>
        <w:ind w:left="5760" w:hanging="360"/>
      </w:pPr>
      <w:rPr>
        <w:rFonts w:ascii="Courier New" w:hAnsi="Courier New" w:hint="default"/>
      </w:rPr>
    </w:lvl>
    <w:lvl w:ilvl="8" w:tplc="95CA13EC">
      <w:start w:val="1"/>
      <w:numFmt w:val="bullet"/>
      <w:lvlText w:val=""/>
      <w:lvlJc w:val="left"/>
      <w:pPr>
        <w:ind w:left="6480" w:hanging="360"/>
      </w:pPr>
      <w:rPr>
        <w:rFonts w:ascii="Wingdings" w:hAnsi="Wingdings" w:hint="default"/>
      </w:rPr>
    </w:lvl>
  </w:abstractNum>
  <w:abstractNum w:abstractNumId="4" w15:restartNumberingAfterBreak="0">
    <w:nsid w:val="2B9F311C"/>
    <w:multiLevelType w:val="hybridMultilevel"/>
    <w:tmpl w:val="77AC84D2"/>
    <w:lvl w:ilvl="0" w:tplc="3C3A08E4">
      <w:start w:val="1"/>
      <w:numFmt w:val="bullet"/>
      <w:pStyle w:val="Circle"/>
      <w:lvlText w:val=""/>
      <w:lvlJc w:val="left"/>
      <w:pPr>
        <w:ind w:left="720" w:hanging="360"/>
      </w:pPr>
      <w:rPr>
        <w:rFonts w:ascii="Wingdings 2" w:hAnsi="Wingdings 2"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A93481E"/>
    <w:multiLevelType w:val="hybridMultilevel"/>
    <w:tmpl w:val="C09A67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145433"/>
    <w:multiLevelType w:val="hybridMultilevel"/>
    <w:tmpl w:val="C09A67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E41FAE"/>
    <w:multiLevelType w:val="hybridMultilevel"/>
    <w:tmpl w:val="C09A67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E677E1F"/>
    <w:multiLevelType w:val="hybridMultilevel"/>
    <w:tmpl w:val="A184D0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73B4DCA"/>
    <w:multiLevelType w:val="hybridMultilevel"/>
    <w:tmpl w:val="C09A67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F627A19"/>
    <w:multiLevelType w:val="hybridMultilevel"/>
    <w:tmpl w:val="A3BA853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3" w15:restartNumberingAfterBreak="0">
    <w:nsid w:val="616C3156"/>
    <w:multiLevelType w:val="hybridMultilevel"/>
    <w:tmpl w:val="ED206D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66DB248C"/>
    <w:multiLevelType w:val="hybridMultilevel"/>
    <w:tmpl w:val="C09A67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838564B"/>
    <w:multiLevelType w:val="hybridMultilevel"/>
    <w:tmpl w:val="C09A67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16"/>
  </w:num>
  <w:num w:numId="2">
    <w:abstractNumId w:val="6"/>
  </w:num>
  <w:num w:numId="3">
    <w:abstractNumId w:val="8"/>
  </w:num>
  <w:num w:numId="4">
    <w:abstractNumId w:val="1"/>
  </w:num>
  <w:num w:numId="5">
    <w:abstractNumId w:val="0"/>
  </w:num>
  <w:num w:numId="6">
    <w:abstractNumId w:val="4"/>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14"/>
  </w:num>
  <w:num w:numId="12">
    <w:abstractNumId w:val="15"/>
  </w:num>
  <w:num w:numId="13">
    <w:abstractNumId w:val="3"/>
  </w:num>
  <w:num w:numId="14">
    <w:abstractNumId w:val="1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num>
  <w:num w:numId="18">
    <w:abstractNumId w:val="16"/>
  </w:num>
  <w:num w:numId="19">
    <w:abstractNumId w:val="13"/>
  </w:num>
  <w:num w:numId="20">
    <w:abstractNumId w:val="0"/>
  </w:num>
  <w:num w:numId="2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07E8"/>
    <w:rsid w:val="000025B8"/>
    <w:rsid w:val="00003C9D"/>
    <w:rsid w:val="00005BB5"/>
    <w:rsid w:val="00007B88"/>
    <w:rsid w:val="00013C53"/>
    <w:rsid w:val="00013FAC"/>
    <w:rsid w:val="00024CEF"/>
    <w:rsid w:val="0002551F"/>
    <w:rsid w:val="00025A6F"/>
    <w:rsid w:val="0002618D"/>
    <w:rsid w:val="0002672A"/>
    <w:rsid w:val="00030B26"/>
    <w:rsid w:val="00030E84"/>
    <w:rsid w:val="00032C0A"/>
    <w:rsid w:val="00035257"/>
    <w:rsid w:val="00035D68"/>
    <w:rsid w:val="00036027"/>
    <w:rsid w:val="00040677"/>
    <w:rsid w:val="000419A9"/>
    <w:rsid w:val="00045613"/>
    <w:rsid w:val="00047899"/>
    <w:rsid w:val="00053921"/>
    <w:rsid w:val="00054B44"/>
    <w:rsid w:val="00056479"/>
    <w:rsid w:val="0006006B"/>
    <w:rsid w:val="0006228D"/>
    <w:rsid w:val="00066344"/>
    <w:rsid w:val="00067BC9"/>
    <w:rsid w:val="000707BB"/>
    <w:rsid w:val="0007221E"/>
    <w:rsid w:val="00072BD6"/>
    <w:rsid w:val="00075B78"/>
    <w:rsid w:val="000763E9"/>
    <w:rsid w:val="00077C14"/>
    <w:rsid w:val="00082CD6"/>
    <w:rsid w:val="00083598"/>
    <w:rsid w:val="0008437D"/>
    <w:rsid w:val="0008461C"/>
    <w:rsid w:val="00085AFE"/>
    <w:rsid w:val="00092412"/>
    <w:rsid w:val="00093C63"/>
    <w:rsid w:val="00094800"/>
    <w:rsid w:val="000A0158"/>
    <w:rsid w:val="000A0FBD"/>
    <w:rsid w:val="000A23FB"/>
    <w:rsid w:val="000A373D"/>
    <w:rsid w:val="000A41ED"/>
    <w:rsid w:val="000A49A2"/>
    <w:rsid w:val="000B0730"/>
    <w:rsid w:val="000B7252"/>
    <w:rsid w:val="000C296D"/>
    <w:rsid w:val="000C2BA2"/>
    <w:rsid w:val="000C525A"/>
    <w:rsid w:val="000C638E"/>
    <w:rsid w:val="000C7D8B"/>
    <w:rsid w:val="000D19F4"/>
    <w:rsid w:val="000D58DD"/>
    <w:rsid w:val="000E0C30"/>
    <w:rsid w:val="000F1F42"/>
    <w:rsid w:val="000F2AE2"/>
    <w:rsid w:val="000F2BFF"/>
    <w:rsid w:val="00102063"/>
    <w:rsid w:val="0010541C"/>
    <w:rsid w:val="00105770"/>
    <w:rsid w:val="00106F93"/>
    <w:rsid w:val="00111D50"/>
    <w:rsid w:val="00113B8E"/>
    <w:rsid w:val="001172DE"/>
    <w:rsid w:val="0011792F"/>
    <w:rsid w:val="00117F59"/>
    <w:rsid w:val="0012053C"/>
    <w:rsid w:val="0012199A"/>
    <w:rsid w:val="00122363"/>
    <w:rsid w:val="00125D45"/>
    <w:rsid w:val="00126CAF"/>
    <w:rsid w:val="00130742"/>
    <w:rsid w:val="00130843"/>
    <w:rsid w:val="0013127D"/>
    <w:rsid w:val="001342C7"/>
    <w:rsid w:val="0013585C"/>
    <w:rsid w:val="00142261"/>
    <w:rsid w:val="00142954"/>
    <w:rsid w:val="0014401B"/>
    <w:rsid w:val="00144D7A"/>
    <w:rsid w:val="001460E0"/>
    <w:rsid w:val="001467A2"/>
    <w:rsid w:val="001472F0"/>
    <w:rsid w:val="00147F71"/>
    <w:rsid w:val="00150A6E"/>
    <w:rsid w:val="0015353A"/>
    <w:rsid w:val="0016304B"/>
    <w:rsid w:val="0016318F"/>
    <w:rsid w:val="0016468A"/>
    <w:rsid w:val="001656D2"/>
    <w:rsid w:val="0017070E"/>
    <w:rsid w:val="00173962"/>
    <w:rsid w:val="00174F02"/>
    <w:rsid w:val="00182306"/>
    <w:rsid w:val="0018376C"/>
    <w:rsid w:val="0018662D"/>
    <w:rsid w:val="00197427"/>
    <w:rsid w:val="001A00A1"/>
    <w:rsid w:val="001A0255"/>
    <w:rsid w:val="001A21B4"/>
    <w:rsid w:val="001A48E6"/>
    <w:rsid w:val="001A5CF5"/>
    <w:rsid w:val="001B36BC"/>
    <w:rsid w:val="001B39D2"/>
    <w:rsid w:val="001B43EB"/>
    <w:rsid w:val="001B4BF8"/>
    <w:rsid w:val="001B54CD"/>
    <w:rsid w:val="001B7B14"/>
    <w:rsid w:val="001C2229"/>
    <w:rsid w:val="001C27A4"/>
    <w:rsid w:val="001C2CBE"/>
    <w:rsid w:val="001C346D"/>
    <w:rsid w:val="001C4326"/>
    <w:rsid w:val="001C612C"/>
    <w:rsid w:val="001C62A2"/>
    <w:rsid w:val="001C665E"/>
    <w:rsid w:val="001D0249"/>
    <w:rsid w:val="001D3541"/>
    <w:rsid w:val="001D3E4E"/>
    <w:rsid w:val="001D4542"/>
    <w:rsid w:val="001D45B6"/>
    <w:rsid w:val="001D7E12"/>
    <w:rsid w:val="001D7E31"/>
    <w:rsid w:val="001E254A"/>
    <w:rsid w:val="001E7386"/>
    <w:rsid w:val="001F45A7"/>
    <w:rsid w:val="001F5E27"/>
    <w:rsid w:val="0020027C"/>
    <w:rsid w:val="00201A01"/>
    <w:rsid w:val="0020200F"/>
    <w:rsid w:val="00202AF2"/>
    <w:rsid w:val="00205189"/>
    <w:rsid w:val="0020754B"/>
    <w:rsid w:val="0020776F"/>
    <w:rsid w:val="002104D3"/>
    <w:rsid w:val="002130AE"/>
    <w:rsid w:val="00213A33"/>
    <w:rsid w:val="0021763B"/>
    <w:rsid w:val="002222B1"/>
    <w:rsid w:val="00223DDC"/>
    <w:rsid w:val="00225624"/>
    <w:rsid w:val="002266C2"/>
    <w:rsid w:val="00231373"/>
    <w:rsid w:val="00231903"/>
    <w:rsid w:val="00232E9F"/>
    <w:rsid w:val="0023429E"/>
    <w:rsid w:val="00245748"/>
    <w:rsid w:val="00246DB1"/>
    <w:rsid w:val="002476B5"/>
    <w:rsid w:val="002479AA"/>
    <w:rsid w:val="002520CC"/>
    <w:rsid w:val="002524CA"/>
    <w:rsid w:val="00253C0A"/>
    <w:rsid w:val="00253ECF"/>
    <w:rsid w:val="00254044"/>
    <w:rsid w:val="002546A1"/>
    <w:rsid w:val="002575E8"/>
    <w:rsid w:val="00257EF1"/>
    <w:rsid w:val="002600D4"/>
    <w:rsid w:val="00262262"/>
    <w:rsid w:val="002628F4"/>
    <w:rsid w:val="0026572C"/>
    <w:rsid w:val="00274CE4"/>
    <w:rsid w:val="00275117"/>
    <w:rsid w:val="00275D08"/>
    <w:rsid w:val="00276EB2"/>
    <w:rsid w:val="002839AF"/>
    <w:rsid w:val="002858E3"/>
    <w:rsid w:val="002876F3"/>
    <w:rsid w:val="0029190A"/>
    <w:rsid w:val="00292C5A"/>
    <w:rsid w:val="00292EFD"/>
    <w:rsid w:val="00295241"/>
    <w:rsid w:val="00296403"/>
    <w:rsid w:val="00297B50"/>
    <w:rsid w:val="002A0CAE"/>
    <w:rsid w:val="002A22A1"/>
    <w:rsid w:val="002A4DFC"/>
    <w:rsid w:val="002A58E1"/>
    <w:rsid w:val="002B047D"/>
    <w:rsid w:val="002B1E15"/>
    <w:rsid w:val="002B6723"/>
    <w:rsid w:val="002B732B"/>
    <w:rsid w:val="002B76A7"/>
    <w:rsid w:val="002B7BEC"/>
    <w:rsid w:val="002C04B1"/>
    <w:rsid w:val="002C2219"/>
    <w:rsid w:val="002C2552"/>
    <w:rsid w:val="002C380A"/>
    <w:rsid w:val="002D0DF2"/>
    <w:rsid w:val="002D23BD"/>
    <w:rsid w:val="002D39CC"/>
    <w:rsid w:val="002D5B3C"/>
    <w:rsid w:val="002D679B"/>
    <w:rsid w:val="002D75EA"/>
    <w:rsid w:val="002D785B"/>
    <w:rsid w:val="002E0B47"/>
    <w:rsid w:val="002E4C1F"/>
    <w:rsid w:val="002F3A0D"/>
    <w:rsid w:val="002F4685"/>
    <w:rsid w:val="002F7213"/>
    <w:rsid w:val="002F7511"/>
    <w:rsid w:val="002F751B"/>
    <w:rsid w:val="0030382F"/>
    <w:rsid w:val="00303A6E"/>
    <w:rsid w:val="0030408D"/>
    <w:rsid w:val="0030489B"/>
    <w:rsid w:val="003060E4"/>
    <w:rsid w:val="00306238"/>
    <w:rsid w:val="003065F5"/>
    <w:rsid w:val="00307A6B"/>
    <w:rsid w:val="00310A59"/>
    <w:rsid w:val="00313EFD"/>
    <w:rsid w:val="003160E7"/>
    <w:rsid w:val="0031739E"/>
    <w:rsid w:val="00317DA3"/>
    <w:rsid w:val="00320004"/>
    <w:rsid w:val="00320207"/>
    <w:rsid w:val="00320BEA"/>
    <w:rsid w:val="003212F4"/>
    <w:rsid w:val="00321381"/>
    <w:rsid w:val="0032259B"/>
    <w:rsid w:val="003235C6"/>
    <w:rsid w:val="00323CC5"/>
    <w:rsid w:val="003309CA"/>
    <w:rsid w:val="00331CF1"/>
    <w:rsid w:val="003325AB"/>
    <w:rsid w:val="003332D1"/>
    <w:rsid w:val="0033412B"/>
    <w:rsid w:val="0033448B"/>
    <w:rsid w:val="00335686"/>
    <w:rsid w:val="00341161"/>
    <w:rsid w:val="00343365"/>
    <w:rsid w:val="003445F4"/>
    <w:rsid w:val="00344DF4"/>
    <w:rsid w:val="00353501"/>
    <w:rsid w:val="00353734"/>
    <w:rsid w:val="003538D4"/>
    <w:rsid w:val="00356A91"/>
    <w:rsid w:val="003606F8"/>
    <w:rsid w:val="003648EF"/>
    <w:rsid w:val="003673E6"/>
    <w:rsid w:val="00372B79"/>
    <w:rsid w:val="003746CB"/>
    <w:rsid w:val="00374D71"/>
    <w:rsid w:val="00374D7A"/>
    <w:rsid w:val="00376594"/>
    <w:rsid w:val="00377264"/>
    <w:rsid w:val="003779D2"/>
    <w:rsid w:val="00385E38"/>
    <w:rsid w:val="003879F2"/>
    <w:rsid w:val="00392E74"/>
    <w:rsid w:val="003957B2"/>
    <w:rsid w:val="00396782"/>
    <w:rsid w:val="003A088D"/>
    <w:rsid w:val="003A26A5"/>
    <w:rsid w:val="003A3761"/>
    <w:rsid w:val="003A512D"/>
    <w:rsid w:val="003A548B"/>
    <w:rsid w:val="003A5FEA"/>
    <w:rsid w:val="003A710B"/>
    <w:rsid w:val="003A7628"/>
    <w:rsid w:val="003B1D10"/>
    <w:rsid w:val="003B1D3F"/>
    <w:rsid w:val="003B3D0B"/>
    <w:rsid w:val="003B467D"/>
    <w:rsid w:val="003B49BD"/>
    <w:rsid w:val="003B4C85"/>
    <w:rsid w:val="003B7C3E"/>
    <w:rsid w:val="003C1F2A"/>
    <w:rsid w:val="003C310C"/>
    <w:rsid w:val="003C33E2"/>
    <w:rsid w:val="003C742A"/>
    <w:rsid w:val="003C76D4"/>
    <w:rsid w:val="003D137D"/>
    <w:rsid w:val="003D2CC5"/>
    <w:rsid w:val="003D3E5C"/>
    <w:rsid w:val="003D5F4F"/>
    <w:rsid w:val="003D7500"/>
    <w:rsid w:val="003E04C1"/>
    <w:rsid w:val="003E0887"/>
    <w:rsid w:val="003E4DF2"/>
    <w:rsid w:val="003E62A3"/>
    <w:rsid w:val="003E74C8"/>
    <w:rsid w:val="003E74E2"/>
    <w:rsid w:val="003E7C46"/>
    <w:rsid w:val="003F2106"/>
    <w:rsid w:val="003F52A7"/>
    <w:rsid w:val="003F7013"/>
    <w:rsid w:val="003F7F6A"/>
    <w:rsid w:val="0040240C"/>
    <w:rsid w:val="00407103"/>
    <w:rsid w:val="004074BC"/>
    <w:rsid w:val="00413021"/>
    <w:rsid w:val="00414C35"/>
    <w:rsid w:val="004171B7"/>
    <w:rsid w:val="00427422"/>
    <w:rsid w:val="004301C6"/>
    <w:rsid w:val="0043478F"/>
    <w:rsid w:val="0043602B"/>
    <w:rsid w:val="004366B1"/>
    <w:rsid w:val="004367D2"/>
    <w:rsid w:val="00440BE0"/>
    <w:rsid w:val="00440F2C"/>
    <w:rsid w:val="00441ECD"/>
    <w:rsid w:val="00442A06"/>
    <w:rsid w:val="00442C1C"/>
    <w:rsid w:val="00442E3E"/>
    <w:rsid w:val="0044584B"/>
    <w:rsid w:val="004462D5"/>
    <w:rsid w:val="00447CB7"/>
    <w:rsid w:val="00452325"/>
    <w:rsid w:val="004527E3"/>
    <w:rsid w:val="00455CC9"/>
    <w:rsid w:val="00460826"/>
    <w:rsid w:val="004609DE"/>
    <w:rsid w:val="00460B1E"/>
    <w:rsid w:val="00460EA7"/>
    <w:rsid w:val="00461168"/>
    <w:rsid w:val="0046195B"/>
    <w:rsid w:val="0046362D"/>
    <w:rsid w:val="004654B7"/>
    <w:rsid w:val="0046596D"/>
    <w:rsid w:val="004714F6"/>
    <w:rsid w:val="00476B21"/>
    <w:rsid w:val="004779D2"/>
    <w:rsid w:val="00477E2D"/>
    <w:rsid w:val="0048030E"/>
    <w:rsid w:val="004852AB"/>
    <w:rsid w:val="00485AC5"/>
    <w:rsid w:val="00487C04"/>
    <w:rsid w:val="00490104"/>
    <w:rsid w:val="004907E1"/>
    <w:rsid w:val="00494C8E"/>
    <w:rsid w:val="00495A9A"/>
    <w:rsid w:val="004A035B"/>
    <w:rsid w:val="004A2108"/>
    <w:rsid w:val="004A38D7"/>
    <w:rsid w:val="004A3F1A"/>
    <w:rsid w:val="004A5F4D"/>
    <w:rsid w:val="004A778C"/>
    <w:rsid w:val="004B14DD"/>
    <w:rsid w:val="004B20B2"/>
    <w:rsid w:val="004B48C7"/>
    <w:rsid w:val="004B5578"/>
    <w:rsid w:val="004C1358"/>
    <w:rsid w:val="004C2E6A"/>
    <w:rsid w:val="004C4ACC"/>
    <w:rsid w:val="004C64B8"/>
    <w:rsid w:val="004D2A2D"/>
    <w:rsid w:val="004D479F"/>
    <w:rsid w:val="004D533D"/>
    <w:rsid w:val="004D6689"/>
    <w:rsid w:val="004E0906"/>
    <w:rsid w:val="004E1D1D"/>
    <w:rsid w:val="004E3615"/>
    <w:rsid w:val="004E7AC8"/>
    <w:rsid w:val="004F05F4"/>
    <w:rsid w:val="004F0C94"/>
    <w:rsid w:val="004F4D23"/>
    <w:rsid w:val="004F5FA4"/>
    <w:rsid w:val="004F7EBA"/>
    <w:rsid w:val="00500F0A"/>
    <w:rsid w:val="005019AE"/>
    <w:rsid w:val="005035DB"/>
    <w:rsid w:val="00503749"/>
    <w:rsid w:val="00503D59"/>
    <w:rsid w:val="00504455"/>
    <w:rsid w:val="00504CF4"/>
    <w:rsid w:val="00505DC8"/>
    <w:rsid w:val="0050635B"/>
    <w:rsid w:val="005065EC"/>
    <w:rsid w:val="00506C4C"/>
    <w:rsid w:val="005075B3"/>
    <w:rsid w:val="005124B7"/>
    <w:rsid w:val="005151C2"/>
    <w:rsid w:val="005275E8"/>
    <w:rsid w:val="005309FE"/>
    <w:rsid w:val="0053199F"/>
    <w:rsid w:val="00531E12"/>
    <w:rsid w:val="00533B90"/>
    <w:rsid w:val="00534A69"/>
    <w:rsid w:val="00536416"/>
    <w:rsid w:val="005410F8"/>
    <w:rsid w:val="005448EC"/>
    <w:rsid w:val="00545963"/>
    <w:rsid w:val="005467CE"/>
    <w:rsid w:val="00550256"/>
    <w:rsid w:val="00550E9A"/>
    <w:rsid w:val="00550FD6"/>
    <w:rsid w:val="00553165"/>
    <w:rsid w:val="005532C0"/>
    <w:rsid w:val="00553958"/>
    <w:rsid w:val="00556BB7"/>
    <w:rsid w:val="0055763D"/>
    <w:rsid w:val="00557690"/>
    <w:rsid w:val="00561516"/>
    <w:rsid w:val="005621F2"/>
    <w:rsid w:val="0056413D"/>
    <w:rsid w:val="00564D30"/>
    <w:rsid w:val="00567B58"/>
    <w:rsid w:val="00571223"/>
    <w:rsid w:val="005763E0"/>
    <w:rsid w:val="00581136"/>
    <w:rsid w:val="00581EB8"/>
    <w:rsid w:val="00581FBF"/>
    <w:rsid w:val="00582C13"/>
    <w:rsid w:val="0058336E"/>
    <w:rsid w:val="005839E7"/>
    <w:rsid w:val="0058437F"/>
    <w:rsid w:val="0059252F"/>
    <w:rsid w:val="00593ED3"/>
    <w:rsid w:val="00595A16"/>
    <w:rsid w:val="005966D7"/>
    <w:rsid w:val="005A27CA"/>
    <w:rsid w:val="005A43BD"/>
    <w:rsid w:val="005A79E5"/>
    <w:rsid w:val="005A7E2E"/>
    <w:rsid w:val="005B0F6D"/>
    <w:rsid w:val="005C0789"/>
    <w:rsid w:val="005C562D"/>
    <w:rsid w:val="005D034C"/>
    <w:rsid w:val="005D2C3A"/>
    <w:rsid w:val="005D4277"/>
    <w:rsid w:val="005D60B7"/>
    <w:rsid w:val="005E226E"/>
    <w:rsid w:val="005E2636"/>
    <w:rsid w:val="005F0BCB"/>
    <w:rsid w:val="005F6A83"/>
    <w:rsid w:val="005F6D62"/>
    <w:rsid w:val="006015D7"/>
    <w:rsid w:val="00601B21"/>
    <w:rsid w:val="00602D95"/>
    <w:rsid w:val="006041F0"/>
    <w:rsid w:val="00605C6D"/>
    <w:rsid w:val="00607571"/>
    <w:rsid w:val="006120CA"/>
    <w:rsid w:val="0061443A"/>
    <w:rsid w:val="00615B77"/>
    <w:rsid w:val="00617CB6"/>
    <w:rsid w:val="00617F9B"/>
    <w:rsid w:val="00624174"/>
    <w:rsid w:val="00626CF8"/>
    <w:rsid w:val="006314AF"/>
    <w:rsid w:val="00634003"/>
    <w:rsid w:val="00634ED8"/>
    <w:rsid w:val="00636D7D"/>
    <w:rsid w:val="00637408"/>
    <w:rsid w:val="00640962"/>
    <w:rsid w:val="00640AA1"/>
    <w:rsid w:val="00642868"/>
    <w:rsid w:val="00642DF0"/>
    <w:rsid w:val="00643A2F"/>
    <w:rsid w:val="006450E2"/>
    <w:rsid w:val="00647AFE"/>
    <w:rsid w:val="00650417"/>
    <w:rsid w:val="006512BC"/>
    <w:rsid w:val="00652F08"/>
    <w:rsid w:val="00653A5A"/>
    <w:rsid w:val="00653B30"/>
    <w:rsid w:val="00653EB2"/>
    <w:rsid w:val="00653ECB"/>
    <w:rsid w:val="006554AC"/>
    <w:rsid w:val="00656F28"/>
    <w:rsid w:val="006575F4"/>
    <w:rsid w:val="006579E6"/>
    <w:rsid w:val="00660682"/>
    <w:rsid w:val="00660F74"/>
    <w:rsid w:val="00663EDC"/>
    <w:rsid w:val="00671078"/>
    <w:rsid w:val="00671161"/>
    <w:rsid w:val="00673327"/>
    <w:rsid w:val="00674751"/>
    <w:rsid w:val="006751FE"/>
    <w:rsid w:val="006758CA"/>
    <w:rsid w:val="006809AE"/>
    <w:rsid w:val="00680A04"/>
    <w:rsid w:val="006835D2"/>
    <w:rsid w:val="006847BD"/>
    <w:rsid w:val="00686D80"/>
    <w:rsid w:val="00694895"/>
    <w:rsid w:val="00697E2E"/>
    <w:rsid w:val="006A25A2"/>
    <w:rsid w:val="006A3B87"/>
    <w:rsid w:val="006B0A88"/>
    <w:rsid w:val="006B0E73"/>
    <w:rsid w:val="006B1E3D"/>
    <w:rsid w:val="006B4A4D"/>
    <w:rsid w:val="006B5695"/>
    <w:rsid w:val="006B62E6"/>
    <w:rsid w:val="006B7B2E"/>
    <w:rsid w:val="006C2B2F"/>
    <w:rsid w:val="006C78EB"/>
    <w:rsid w:val="006D1660"/>
    <w:rsid w:val="006D1806"/>
    <w:rsid w:val="006D20AE"/>
    <w:rsid w:val="006D2C1E"/>
    <w:rsid w:val="006D40BE"/>
    <w:rsid w:val="006D5702"/>
    <w:rsid w:val="006D5A27"/>
    <w:rsid w:val="006D63E5"/>
    <w:rsid w:val="006E1753"/>
    <w:rsid w:val="006E2886"/>
    <w:rsid w:val="006E3911"/>
    <w:rsid w:val="006E3916"/>
    <w:rsid w:val="006E43D5"/>
    <w:rsid w:val="006E69F4"/>
    <w:rsid w:val="006F1AD2"/>
    <w:rsid w:val="006F1B67"/>
    <w:rsid w:val="006F2DC9"/>
    <w:rsid w:val="006F4D9C"/>
    <w:rsid w:val="006F59A8"/>
    <w:rsid w:val="0070091D"/>
    <w:rsid w:val="00702854"/>
    <w:rsid w:val="00702D04"/>
    <w:rsid w:val="00704293"/>
    <w:rsid w:val="00707418"/>
    <w:rsid w:val="0070745D"/>
    <w:rsid w:val="00714FFE"/>
    <w:rsid w:val="0071741C"/>
    <w:rsid w:val="00721E7D"/>
    <w:rsid w:val="00726BBF"/>
    <w:rsid w:val="00731387"/>
    <w:rsid w:val="00742B90"/>
    <w:rsid w:val="0074434D"/>
    <w:rsid w:val="00750E43"/>
    <w:rsid w:val="007516BC"/>
    <w:rsid w:val="00752E53"/>
    <w:rsid w:val="0075433F"/>
    <w:rsid w:val="007570C4"/>
    <w:rsid w:val="007605B8"/>
    <w:rsid w:val="007605D7"/>
    <w:rsid w:val="00771B1E"/>
    <w:rsid w:val="00771E99"/>
    <w:rsid w:val="00773C95"/>
    <w:rsid w:val="0078171E"/>
    <w:rsid w:val="0078658E"/>
    <w:rsid w:val="007872D2"/>
    <w:rsid w:val="00787388"/>
    <w:rsid w:val="007920E2"/>
    <w:rsid w:val="0079248B"/>
    <w:rsid w:val="0079566E"/>
    <w:rsid w:val="00795B34"/>
    <w:rsid w:val="007A067F"/>
    <w:rsid w:val="007A2235"/>
    <w:rsid w:val="007B0E58"/>
    <w:rsid w:val="007B1770"/>
    <w:rsid w:val="007B472F"/>
    <w:rsid w:val="007B4D3E"/>
    <w:rsid w:val="007B7C70"/>
    <w:rsid w:val="007B7DEB"/>
    <w:rsid w:val="007C0449"/>
    <w:rsid w:val="007C18A2"/>
    <w:rsid w:val="007C389A"/>
    <w:rsid w:val="007C43B6"/>
    <w:rsid w:val="007C4EEA"/>
    <w:rsid w:val="007C5E46"/>
    <w:rsid w:val="007D2151"/>
    <w:rsid w:val="007D3B90"/>
    <w:rsid w:val="007D420C"/>
    <w:rsid w:val="007D42CC"/>
    <w:rsid w:val="007D5DE4"/>
    <w:rsid w:val="007D7C3A"/>
    <w:rsid w:val="007E0777"/>
    <w:rsid w:val="007E0C41"/>
    <w:rsid w:val="007E1341"/>
    <w:rsid w:val="007E1B41"/>
    <w:rsid w:val="007E1EC4"/>
    <w:rsid w:val="007E30B9"/>
    <w:rsid w:val="007E5785"/>
    <w:rsid w:val="007E61AD"/>
    <w:rsid w:val="007E6B98"/>
    <w:rsid w:val="007E7079"/>
    <w:rsid w:val="007E74F1"/>
    <w:rsid w:val="007F0F0C"/>
    <w:rsid w:val="007F1288"/>
    <w:rsid w:val="007F1DBD"/>
    <w:rsid w:val="007F2080"/>
    <w:rsid w:val="007F3B6A"/>
    <w:rsid w:val="007F3E11"/>
    <w:rsid w:val="00800A8A"/>
    <w:rsid w:val="0080155C"/>
    <w:rsid w:val="008052E1"/>
    <w:rsid w:val="00807A29"/>
    <w:rsid w:val="00811EEB"/>
    <w:rsid w:val="0082081A"/>
    <w:rsid w:val="00820CDB"/>
    <w:rsid w:val="00822F2C"/>
    <w:rsid w:val="00823DEE"/>
    <w:rsid w:val="0082609D"/>
    <w:rsid w:val="00826968"/>
    <w:rsid w:val="00827ABB"/>
    <w:rsid w:val="008305E8"/>
    <w:rsid w:val="00836165"/>
    <w:rsid w:val="008365B2"/>
    <w:rsid w:val="008415D0"/>
    <w:rsid w:val="0084307C"/>
    <w:rsid w:val="00844DF8"/>
    <w:rsid w:val="00844EEF"/>
    <w:rsid w:val="0084640C"/>
    <w:rsid w:val="0085570E"/>
    <w:rsid w:val="00856088"/>
    <w:rsid w:val="00860826"/>
    <w:rsid w:val="00860D0B"/>
    <w:rsid w:val="00860E21"/>
    <w:rsid w:val="00863117"/>
    <w:rsid w:val="0086388B"/>
    <w:rsid w:val="008642E5"/>
    <w:rsid w:val="00864488"/>
    <w:rsid w:val="00870A36"/>
    <w:rsid w:val="00871260"/>
    <w:rsid w:val="00872D93"/>
    <w:rsid w:val="00876FBC"/>
    <w:rsid w:val="00880470"/>
    <w:rsid w:val="00880D94"/>
    <w:rsid w:val="008814E8"/>
    <w:rsid w:val="00885900"/>
    <w:rsid w:val="00886C2D"/>
    <w:rsid w:val="00886F64"/>
    <w:rsid w:val="00890046"/>
    <w:rsid w:val="008924DE"/>
    <w:rsid w:val="008A3755"/>
    <w:rsid w:val="008B19DC"/>
    <w:rsid w:val="008B264F"/>
    <w:rsid w:val="008B2C15"/>
    <w:rsid w:val="008B6F83"/>
    <w:rsid w:val="008B7F05"/>
    <w:rsid w:val="008B7FD8"/>
    <w:rsid w:val="008C2973"/>
    <w:rsid w:val="008C6324"/>
    <w:rsid w:val="008C64C4"/>
    <w:rsid w:val="008D2CDD"/>
    <w:rsid w:val="008D74D5"/>
    <w:rsid w:val="008D7C9F"/>
    <w:rsid w:val="008E04BA"/>
    <w:rsid w:val="008E0ED1"/>
    <w:rsid w:val="008E1B14"/>
    <w:rsid w:val="008E2083"/>
    <w:rsid w:val="008E3A07"/>
    <w:rsid w:val="008E537B"/>
    <w:rsid w:val="008E597B"/>
    <w:rsid w:val="008E7859"/>
    <w:rsid w:val="008F095A"/>
    <w:rsid w:val="008F223A"/>
    <w:rsid w:val="008F27F2"/>
    <w:rsid w:val="008F29BE"/>
    <w:rsid w:val="008F4A59"/>
    <w:rsid w:val="008F4AE5"/>
    <w:rsid w:val="008F51EB"/>
    <w:rsid w:val="008F7B50"/>
    <w:rsid w:val="00900197"/>
    <w:rsid w:val="00902F55"/>
    <w:rsid w:val="009038EB"/>
    <w:rsid w:val="0090401E"/>
    <w:rsid w:val="0090582B"/>
    <w:rsid w:val="009060C0"/>
    <w:rsid w:val="009070A6"/>
    <w:rsid w:val="00910C8D"/>
    <w:rsid w:val="00913308"/>
    <w:rsid w:val="009133F5"/>
    <w:rsid w:val="0091756F"/>
    <w:rsid w:val="00920A27"/>
    <w:rsid w:val="00921216"/>
    <w:rsid w:val="009216CC"/>
    <w:rsid w:val="00922E41"/>
    <w:rsid w:val="00925892"/>
    <w:rsid w:val="009258E5"/>
    <w:rsid w:val="00926083"/>
    <w:rsid w:val="00926D08"/>
    <w:rsid w:val="009273C0"/>
    <w:rsid w:val="00927652"/>
    <w:rsid w:val="00930D08"/>
    <w:rsid w:val="00931466"/>
    <w:rsid w:val="0093253D"/>
    <w:rsid w:val="00932D69"/>
    <w:rsid w:val="009354FD"/>
    <w:rsid w:val="00935589"/>
    <w:rsid w:val="00937408"/>
    <w:rsid w:val="009403E8"/>
    <w:rsid w:val="009427FA"/>
    <w:rsid w:val="00944647"/>
    <w:rsid w:val="00944A02"/>
    <w:rsid w:val="0094640C"/>
    <w:rsid w:val="009469E2"/>
    <w:rsid w:val="00950823"/>
    <w:rsid w:val="009533FA"/>
    <w:rsid w:val="0095565C"/>
    <w:rsid w:val="00964AB6"/>
    <w:rsid w:val="00965F16"/>
    <w:rsid w:val="00966F9A"/>
    <w:rsid w:val="00972A42"/>
    <w:rsid w:val="00977B8A"/>
    <w:rsid w:val="00981E2D"/>
    <w:rsid w:val="00982971"/>
    <w:rsid w:val="0098390C"/>
    <w:rsid w:val="009845AD"/>
    <w:rsid w:val="00984835"/>
    <w:rsid w:val="00984F7D"/>
    <w:rsid w:val="00987B49"/>
    <w:rsid w:val="009933EF"/>
    <w:rsid w:val="00995BA0"/>
    <w:rsid w:val="009A418B"/>
    <w:rsid w:val="009A426F"/>
    <w:rsid w:val="009A42D5"/>
    <w:rsid w:val="009A4473"/>
    <w:rsid w:val="009B05C9"/>
    <w:rsid w:val="009B13B9"/>
    <w:rsid w:val="009B267F"/>
    <w:rsid w:val="009B286C"/>
    <w:rsid w:val="009B31FB"/>
    <w:rsid w:val="009B3E46"/>
    <w:rsid w:val="009B512A"/>
    <w:rsid w:val="009C08F7"/>
    <w:rsid w:val="009C151C"/>
    <w:rsid w:val="009C166C"/>
    <w:rsid w:val="009C440A"/>
    <w:rsid w:val="009C5A7E"/>
    <w:rsid w:val="009D5125"/>
    <w:rsid w:val="009D60B8"/>
    <w:rsid w:val="009D7D4B"/>
    <w:rsid w:val="009D7FD5"/>
    <w:rsid w:val="009E1B3D"/>
    <w:rsid w:val="009E34F9"/>
    <w:rsid w:val="009E36ED"/>
    <w:rsid w:val="009E3B47"/>
    <w:rsid w:val="009E3C8C"/>
    <w:rsid w:val="009E6A0E"/>
    <w:rsid w:val="009E6B77"/>
    <w:rsid w:val="009F0ACF"/>
    <w:rsid w:val="009F3732"/>
    <w:rsid w:val="009F4372"/>
    <w:rsid w:val="009F460A"/>
    <w:rsid w:val="00A043FB"/>
    <w:rsid w:val="00A06BE4"/>
    <w:rsid w:val="00A0729C"/>
    <w:rsid w:val="00A073CF"/>
    <w:rsid w:val="00A07779"/>
    <w:rsid w:val="00A078E6"/>
    <w:rsid w:val="00A1166A"/>
    <w:rsid w:val="00A13421"/>
    <w:rsid w:val="00A20B2E"/>
    <w:rsid w:val="00A232EE"/>
    <w:rsid w:val="00A24F33"/>
    <w:rsid w:val="00A25069"/>
    <w:rsid w:val="00A26E6B"/>
    <w:rsid w:val="00A273A8"/>
    <w:rsid w:val="00A3068F"/>
    <w:rsid w:val="00A3145B"/>
    <w:rsid w:val="00A339D0"/>
    <w:rsid w:val="00A3415C"/>
    <w:rsid w:val="00A40BDF"/>
    <w:rsid w:val="00A41002"/>
    <w:rsid w:val="00A4201A"/>
    <w:rsid w:val="00A439AD"/>
    <w:rsid w:val="00A453BA"/>
    <w:rsid w:val="00A47642"/>
    <w:rsid w:val="00A51F9E"/>
    <w:rsid w:val="00A5465D"/>
    <w:rsid w:val="00A553CE"/>
    <w:rsid w:val="00A5677A"/>
    <w:rsid w:val="00A56DCC"/>
    <w:rsid w:val="00A57516"/>
    <w:rsid w:val="00A60F33"/>
    <w:rsid w:val="00A625E8"/>
    <w:rsid w:val="00A63DFF"/>
    <w:rsid w:val="00A64496"/>
    <w:rsid w:val="00A6490D"/>
    <w:rsid w:val="00A67033"/>
    <w:rsid w:val="00A72524"/>
    <w:rsid w:val="00A7415D"/>
    <w:rsid w:val="00A80363"/>
    <w:rsid w:val="00A80939"/>
    <w:rsid w:val="00A829EA"/>
    <w:rsid w:val="00A82FEE"/>
    <w:rsid w:val="00A83E9D"/>
    <w:rsid w:val="00A87240"/>
    <w:rsid w:val="00A87C05"/>
    <w:rsid w:val="00A9169D"/>
    <w:rsid w:val="00A920C4"/>
    <w:rsid w:val="00A93598"/>
    <w:rsid w:val="00A96865"/>
    <w:rsid w:val="00A97A3A"/>
    <w:rsid w:val="00AA000E"/>
    <w:rsid w:val="00AA240C"/>
    <w:rsid w:val="00AA310E"/>
    <w:rsid w:val="00AA3855"/>
    <w:rsid w:val="00AB0332"/>
    <w:rsid w:val="00AB6E30"/>
    <w:rsid w:val="00AC101C"/>
    <w:rsid w:val="00AC40BC"/>
    <w:rsid w:val="00AD1A7D"/>
    <w:rsid w:val="00AD2021"/>
    <w:rsid w:val="00AD4CF1"/>
    <w:rsid w:val="00AD5988"/>
    <w:rsid w:val="00AD6293"/>
    <w:rsid w:val="00AD6DAF"/>
    <w:rsid w:val="00AE03E7"/>
    <w:rsid w:val="00AE1643"/>
    <w:rsid w:val="00AE16AF"/>
    <w:rsid w:val="00AE435E"/>
    <w:rsid w:val="00AE61F8"/>
    <w:rsid w:val="00AE6F85"/>
    <w:rsid w:val="00AE7B5F"/>
    <w:rsid w:val="00AF1F1A"/>
    <w:rsid w:val="00AF372E"/>
    <w:rsid w:val="00AF6640"/>
    <w:rsid w:val="00AF7800"/>
    <w:rsid w:val="00B00CF5"/>
    <w:rsid w:val="00B072E0"/>
    <w:rsid w:val="00B1007E"/>
    <w:rsid w:val="00B1162A"/>
    <w:rsid w:val="00B13D41"/>
    <w:rsid w:val="00B2187C"/>
    <w:rsid w:val="00B23630"/>
    <w:rsid w:val="00B253F6"/>
    <w:rsid w:val="00B26675"/>
    <w:rsid w:val="00B268C5"/>
    <w:rsid w:val="00B305DB"/>
    <w:rsid w:val="00B32A6A"/>
    <w:rsid w:val="00B332F8"/>
    <w:rsid w:val="00B34065"/>
    <w:rsid w:val="00B3492B"/>
    <w:rsid w:val="00B357BE"/>
    <w:rsid w:val="00B375D7"/>
    <w:rsid w:val="00B376A1"/>
    <w:rsid w:val="00B458CC"/>
    <w:rsid w:val="00B462D6"/>
    <w:rsid w:val="00B4646F"/>
    <w:rsid w:val="00B50CEB"/>
    <w:rsid w:val="00B55C7D"/>
    <w:rsid w:val="00B57D12"/>
    <w:rsid w:val="00B63038"/>
    <w:rsid w:val="00B63198"/>
    <w:rsid w:val="00B64BD8"/>
    <w:rsid w:val="00B6750C"/>
    <w:rsid w:val="00B701D1"/>
    <w:rsid w:val="00B72FFF"/>
    <w:rsid w:val="00B73AF2"/>
    <w:rsid w:val="00B73D79"/>
    <w:rsid w:val="00B7551A"/>
    <w:rsid w:val="00B7707F"/>
    <w:rsid w:val="00B773F1"/>
    <w:rsid w:val="00B77D30"/>
    <w:rsid w:val="00B80F36"/>
    <w:rsid w:val="00B83E91"/>
    <w:rsid w:val="00B86AB1"/>
    <w:rsid w:val="00B873B9"/>
    <w:rsid w:val="00B87726"/>
    <w:rsid w:val="00B91B22"/>
    <w:rsid w:val="00B92595"/>
    <w:rsid w:val="00B947E9"/>
    <w:rsid w:val="00B9736A"/>
    <w:rsid w:val="00B97B7B"/>
    <w:rsid w:val="00BA259F"/>
    <w:rsid w:val="00BA4AF3"/>
    <w:rsid w:val="00BA51F0"/>
    <w:rsid w:val="00BA635B"/>
    <w:rsid w:val="00BA7EBA"/>
    <w:rsid w:val="00BB0356"/>
    <w:rsid w:val="00BB2A06"/>
    <w:rsid w:val="00BB2CBB"/>
    <w:rsid w:val="00BB356F"/>
    <w:rsid w:val="00BB4198"/>
    <w:rsid w:val="00BB72E7"/>
    <w:rsid w:val="00BC03EE"/>
    <w:rsid w:val="00BC3CE6"/>
    <w:rsid w:val="00BC4254"/>
    <w:rsid w:val="00BC59F1"/>
    <w:rsid w:val="00BD05A5"/>
    <w:rsid w:val="00BD1483"/>
    <w:rsid w:val="00BD422B"/>
    <w:rsid w:val="00BD488E"/>
    <w:rsid w:val="00BE09BB"/>
    <w:rsid w:val="00BE41CC"/>
    <w:rsid w:val="00BE7B7B"/>
    <w:rsid w:val="00BF375A"/>
    <w:rsid w:val="00BF3BA4"/>
    <w:rsid w:val="00BF3DE1"/>
    <w:rsid w:val="00BF4843"/>
    <w:rsid w:val="00BF5205"/>
    <w:rsid w:val="00BF6B51"/>
    <w:rsid w:val="00C01736"/>
    <w:rsid w:val="00C05132"/>
    <w:rsid w:val="00C06832"/>
    <w:rsid w:val="00C113F4"/>
    <w:rsid w:val="00C12508"/>
    <w:rsid w:val="00C12F0A"/>
    <w:rsid w:val="00C17931"/>
    <w:rsid w:val="00C21B32"/>
    <w:rsid w:val="00C23728"/>
    <w:rsid w:val="00C3026C"/>
    <w:rsid w:val="00C313A9"/>
    <w:rsid w:val="00C347C8"/>
    <w:rsid w:val="00C34CB4"/>
    <w:rsid w:val="00C358E4"/>
    <w:rsid w:val="00C418EE"/>
    <w:rsid w:val="00C441CF"/>
    <w:rsid w:val="00C45AA2"/>
    <w:rsid w:val="00C468B9"/>
    <w:rsid w:val="00C4792C"/>
    <w:rsid w:val="00C5446C"/>
    <w:rsid w:val="00C549BC"/>
    <w:rsid w:val="00C55BEF"/>
    <w:rsid w:val="00C57AC0"/>
    <w:rsid w:val="00C57C00"/>
    <w:rsid w:val="00C601AF"/>
    <w:rsid w:val="00C61A63"/>
    <w:rsid w:val="00C6405A"/>
    <w:rsid w:val="00C66296"/>
    <w:rsid w:val="00C7199E"/>
    <w:rsid w:val="00C729E3"/>
    <w:rsid w:val="00C7394D"/>
    <w:rsid w:val="00C756B7"/>
    <w:rsid w:val="00C77282"/>
    <w:rsid w:val="00C84DE5"/>
    <w:rsid w:val="00C85097"/>
    <w:rsid w:val="00C86248"/>
    <w:rsid w:val="00C873AA"/>
    <w:rsid w:val="00C90B31"/>
    <w:rsid w:val="00C91837"/>
    <w:rsid w:val="00C97A7E"/>
    <w:rsid w:val="00C97B4C"/>
    <w:rsid w:val="00CA0847"/>
    <w:rsid w:val="00CA0D6F"/>
    <w:rsid w:val="00CA4C33"/>
    <w:rsid w:val="00CA4F5D"/>
    <w:rsid w:val="00CA6F4A"/>
    <w:rsid w:val="00CA7E84"/>
    <w:rsid w:val="00CB3483"/>
    <w:rsid w:val="00CB6427"/>
    <w:rsid w:val="00CC0FBE"/>
    <w:rsid w:val="00CC2B79"/>
    <w:rsid w:val="00CC4036"/>
    <w:rsid w:val="00CC7508"/>
    <w:rsid w:val="00CD077C"/>
    <w:rsid w:val="00CD2119"/>
    <w:rsid w:val="00CD237A"/>
    <w:rsid w:val="00CD36AC"/>
    <w:rsid w:val="00CD6BF8"/>
    <w:rsid w:val="00CD6CFE"/>
    <w:rsid w:val="00CE13A3"/>
    <w:rsid w:val="00CE36BC"/>
    <w:rsid w:val="00CE7446"/>
    <w:rsid w:val="00CF1747"/>
    <w:rsid w:val="00CF53A3"/>
    <w:rsid w:val="00CF60ED"/>
    <w:rsid w:val="00D01C2B"/>
    <w:rsid w:val="00D05D74"/>
    <w:rsid w:val="00D05F52"/>
    <w:rsid w:val="00D13891"/>
    <w:rsid w:val="00D20C59"/>
    <w:rsid w:val="00D21CFC"/>
    <w:rsid w:val="00D229B4"/>
    <w:rsid w:val="00D23323"/>
    <w:rsid w:val="00D2392A"/>
    <w:rsid w:val="00D2410C"/>
    <w:rsid w:val="00D25FFE"/>
    <w:rsid w:val="00D27922"/>
    <w:rsid w:val="00D27A64"/>
    <w:rsid w:val="00D27BB1"/>
    <w:rsid w:val="00D30646"/>
    <w:rsid w:val="00D33CDA"/>
    <w:rsid w:val="00D37D80"/>
    <w:rsid w:val="00D40F23"/>
    <w:rsid w:val="00D442F3"/>
    <w:rsid w:val="00D44483"/>
    <w:rsid w:val="00D4476F"/>
    <w:rsid w:val="00D50573"/>
    <w:rsid w:val="00D54D50"/>
    <w:rsid w:val="00D5539D"/>
    <w:rsid w:val="00D560B4"/>
    <w:rsid w:val="00D5727C"/>
    <w:rsid w:val="00D62B67"/>
    <w:rsid w:val="00D63F06"/>
    <w:rsid w:val="00D64B81"/>
    <w:rsid w:val="00D662F8"/>
    <w:rsid w:val="00D66797"/>
    <w:rsid w:val="00D7087C"/>
    <w:rsid w:val="00D70C3C"/>
    <w:rsid w:val="00D71DF7"/>
    <w:rsid w:val="00D72BE5"/>
    <w:rsid w:val="00D80439"/>
    <w:rsid w:val="00D81462"/>
    <w:rsid w:val="00D82431"/>
    <w:rsid w:val="00D82F26"/>
    <w:rsid w:val="00D84C10"/>
    <w:rsid w:val="00D863D0"/>
    <w:rsid w:val="00D86B00"/>
    <w:rsid w:val="00D86FB9"/>
    <w:rsid w:val="00D87C87"/>
    <w:rsid w:val="00D90BB4"/>
    <w:rsid w:val="00D90E07"/>
    <w:rsid w:val="00D91827"/>
    <w:rsid w:val="00D92D64"/>
    <w:rsid w:val="00D932C2"/>
    <w:rsid w:val="00D93572"/>
    <w:rsid w:val="00D94C0D"/>
    <w:rsid w:val="00D94E74"/>
    <w:rsid w:val="00D957E0"/>
    <w:rsid w:val="00D97637"/>
    <w:rsid w:val="00DA0232"/>
    <w:rsid w:val="00DA204F"/>
    <w:rsid w:val="00DA2D7A"/>
    <w:rsid w:val="00DA6E0B"/>
    <w:rsid w:val="00DA7F9E"/>
    <w:rsid w:val="00DB0D0C"/>
    <w:rsid w:val="00DB39CF"/>
    <w:rsid w:val="00DB7256"/>
    <w:rsid w:val="00DC0401"/>
    <w:rsid w:val="00DC0D3D"/>
    <w:rsid w:val="00DC20BD"/>
    <w:rsid w:val="00DC3C28"/>
    <w:rsid w:val="00DD0BCD"/>
    <w:rsid w:val="00DD1B3A"/>
    <w:rsid w:val="00DD324E"/>
    <w:rsid w:val="00DD447A"/>
    <w:rsid w:val="00DD68CF"/>
    <w:rsid w:val="00DE3B20"/>
    <w:rsid w:val="00DE50AB"/>
    <w:rsid w:val="00DE6C94"/>
    <w:rsid w:val="00DE6FD7"/>
    <w:rsid w:val="00DF0C7C"/>
    <w:rsid w:val="00DF6AA5"/>
    <w:rsid w:val="00E02277"/>
    <w:rsid w:val="00E10B18"/>
    <w:rsid w:val="00E16E61"/>
    <w:rsid w:val="00E22B94"/>
    <w:rsid w:val="00E23271"/>
    <w:rsid w:val="00E236F4"/>
    <w:rsid w:val="00E24F80"/>
    <w:rsid w:val="00E259F3"/>
    <w:rsid w:val="00E30985"/>
    <w:rsid w:val="00E33238"/>
    <w:rsid w:val="00E3369A"/>
    <w:rsid w:val="00E33934"/>
    <w:rsid w:val="00E37162"/>
    <w:rsid w:val="00E376B7"/>
    <w:rsid w:val="00E37D9C"/>
    <w:rsid w:val="00E42AF4"/>
    <w:rsid w:val="00E42E17"/>
    <w:rsid w:val="00E42F5D"/>
    <w:rsid w:val="00E4486C"/>
    <w:rsid w:val="00E460B6"/>
    <w:rsid w:val="00E511D5"/>
    <w:rsid w:val="00E53A9F"/>
    <w:rsid w:val="00E53CCD"/>
    <w:rsid w:val="00E53D7A"/>
    <w:rsid w:val="00E57349"/>
    <w:rsid w:val="00E57DF1"/>
    <w:rsid w:val="00E60249"/>
    <w:rsid w:val="00E608F5"/>
    <w:rsid w:val="00E61B53"/>
    <w:rsid w:val="00E62238"/>
    <w:rsid w:val="00E632CB"/>
    <w:rsid w:val="00E65269"/>
    <w:rsid w:val="00E66C89"/>
    <w:rsid w:val="00E6784C"/>
    <w:rsid w:val="00E74B1E"/>
    <w:rsid w:val="00E76D66"/>
    <w:rsid w:val="00E77BF0"/>
    <w:rsid w:val="00E83BC2"/>
    <w:rsid w:val="00E86901"/>
    <w:rsid w:val="00E96F86"/>
    <w:rsid w:val="00EA4A04"/>
    <w:rsid w:val="00EA796A"/>
    <w:rsid w:val="00EB1856"/>
    <w:rsid w:val="00EB2B2C"/>
    <w:rsid w:val="00EB35DC"/>
    <w:rsid w:val="00EB4208"/>
    <w:rsid w:val="00EC1C4F"/>
    <w:rsid w:val="00EC2967"/>
    <w:rsid w:val="00EC50CE"/>
    <w:rsid w:val="00EC5B34"/>
    <w:rsid w:val="00EC7B31"/>
    <w:rsid w:val="00ED021E"/>
    <w:rsid w:val="00ED323C"/>
    <w:rsid w:val="00EE0C2B"/>
    <w:rsid w:val="00EE2D4A"/>
    <w:rsid w:val="00EE2D5C"/>
    <w:rsid w:val="00EE43D4"/>
    <w:rsid w:val="00EE465A"/>
    <w:rsid w:val="00EE4AB7"/>
    <w:rsid w:val="00EE4ADE"/>
    <w:rsid w:val="00EE4DE8"/>
    <w:rsid w:val="00EE5CB7"/>
    <w:rsid w:val="00EE64B1"/>
    <w:rsid w:val="00EF28DF"/>
    <w:rsid w:val="00EF5284"/>
    <w:rsid w:val="00EF56A5"/>
    <w:rsid w:val="00F000BF"/>
    <w:rsid w:val="00F01808"/>
    <w:rsid w:val="00F024FE"/>
    <w:rsid w:val="00F026C4"/>
    <w:rsid w:val="00F0314F"/>
    <w:rsid w:val="00F04D40"/>
    <w:rsid w:val="00F05AD4"/>
    <w:rsid w:val="00F060C6"/>
    <w:rsid w:val="00F103BE"/>
    <w:rsid w:val="00F10EB6"/>
    <w:rsid w:val="00F13F07"/>
    <w:rsid w:val="00F140B2"/>
    <w:rsid w:val="00F148C1"/>
    <w:rsid w:val="00F15DBE"/>
    <w:rsid w:val="00F16595"/>
    <w:rsid w:val="00F17491"/>
    <w:rsid w:val="00F24C7C"/>
    <w:rsid w:val="00F25970"/>
    <w:rsid w:val="00F305B6"/>
    <w:rsid w:val="00F311A9"/>
    <w:rsid w:val="00F31343"/>
    <w:rsid w:val="00F37381"/>
    <w:rsid w:val="00F418B0"/>
    <w:rsid w:val="00F42A0D"/>
    <w:rsid w:val="00F43392"/>
    <w:rsid w:val="00F43A2B"/>
    <w:rsid w:val="00F43DBA"/>
    <w:rsid w:val="00F5180D"/>
    <w:rsid w:val="00F54E74"/>
    <w:rsid w:val="00F6151E"/>
    <w:rsid w:val="00F63781"/>
    <w:rsid w:val="00F64ED3"/>
    <w:rsid w:val="00F67156"/>
    <w:rsid w:val="00F67496"/>
    <w:rsid w:val="00F7421E"/>
    <w:rsid w:val="00F74B05"/>
    <w:rsid w:val="00F775C6"/>
    <w:rsid w:val="00F77E02"/>
    <w:rsid w:val="00F801BA"/>
    <w:rsid w:val="00F807AD"/>
    <w:rsid w:val="00F823D4"/>
    <w:rsid w:val="00F82BDB"/>
    <w:rsid w:val="00F903BF"/>
    <w:rsid w:val="00F9366A"/>
    <w:rsid w:val="00F946C9"/>
    <w:rsid w:val="00FA0EA5"/>
    <w:rsid w:val="00FA167B"/>
    <w:rsid w:val="00FA1EB5"/>
    <w:rsid w:val="00FA68C7"/>
    <w:rsid w:val="00FA74EE"/>
    <w:rsid w:val="00FB0A5B"/>
    <w:rsid w:val="00FB19B2"/>
    <w:rsid w:val="00FB1B8E"/>
    <w:rsid w:val="00FB297A"/>
    <w:rsid w:val="00FB533C"/>
    <w:rsid w:val="00FB5B95"/>
    <w:rsid w:val="00FB7EEF"/>
    <w:rsid w:val="00FC3711"/>
    <w:rsid w:val="00FC39FC"/>
    <w:rsid w:val="00FC46E7"/>
    <w:rsid w:val="00FC5D25"/>
    <w:rsid w:val="00FD0D7E"/>
    <w:rsid w:val="00FD16C4"/>
    <w:rsid w:val="00FD362F"/>
    <w:rsid w:val="00FD47FE"/>
    <w:rsid w:val="00FD4FFB"/>
    <w:rsid w:val="00FD66F1"/>
    <w:rsid w:val="00FE022F"/>
    <w:rsid w:val="00FE1665"/>
    <w:rsid w:val="00FE6E13"/>
    <w:rsid w:val="00FE7BAB"/>
    <w:rsid w:val="00FE7D38"/>
    <w:rsid w:val="00FF15F6"/>
    <w:rsid w:val="00FF3FE8"/>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4DCCB1"/>
  <w15:docId w15:val="{5DFEE870-6720-421B-9A30-30DDD391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0"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1"/>
    <w:qFormat/>
    <w:rsid w:val="002E4C1F"/>
    <w:pPr>
      <w:pageBreakBefore/>
      <w:spacing w:after="360"/>
      <w:outlineLvl w:val="0"/>
    </w:pPr>
    <w:rPr>
      <w:b/>
      <w:color w:val="23305D"/>
      <w:spacing w:val="-10"/>
      <w:sz w:val="60"/>
    </w:rPr>
  </w:style>
  <w:style w:type="paragraph" w:styleId="Heading2">
    <w:name w:val="heading 2"/>
    <w:basedOn w:val="Normal"/>
    <w:next w:val="Normal"/>
    <w:link w:val="Heading2Char"/>
    <w:uiPriority w:val="1"/>
    <w:qFormat/>
    <w:rsid w:val="00CC7508"/>
    <w:pPr>
      <w:keepNext/>
      <w:spacing w:before="480" w:after="180"/>
      <w:outlineLvl w:val="1"/>
    </w:pPr>
    <w:rPr>
      <w:b/>
      <w:color w:val="0A6AB4"/>
      <w:spacing w:val="-5"/>
      <w:sz w:val="42"/>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C113F4"/>
    <w:pPr>
      <w:keepNext/>
      <w:spacing w:before="120" w:after="60"/>
      <w:outlineLvl w:val="5"/>
    </w:pPr>
    <w:rPr>
      <w:rFonts w:eastAsia="MS Gothic"/>
      <w:iCs/>
      <w:color w:val="0A6AB4"/>
      <w:szCs w:val="24"/>
      <w:lang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2E4C1F"/>
    <w:rPr>
      <w:rFonts w:ascii="Segoe UI" w:hAnsi="Segoe UI"/>
      <w:b/>
      <w:color w:val="23305D"/>
      <w:spacing w:val="-10"/>
      <w:sz w:val="60"/>
      <w:lang w:eastAsia="en-GB"/>
    </w:rPr>
  </w:style>
  <w:style w:type="character" w:customStyle="1" w:styleId="Heading2Char">
    <w:name w:val="Heading 2 Char"/>
    <w:link w:val="Heading2"/>
    <w:uiPriority w:val="1"/>
    <w:rsid w:val="00CC7508"/>
    <w:rPr>
      <w:rFonts w:ascii="Segoe UI" w:hAnsi="Segoe UI"/>
      <w:b/>
      <w:color w:val="0A6AB4"/>
      <w:spacing w:val="-5"/>
      <w:sz w:val="42"/>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uiPriority w:val="1"/>
    <w:rsid w:val="00C113F4"/>
    <w:rPr>
      <w:rFonts w:ascii="Segoe UI" w:eastAsia="MS Gothic" w:hAnsi="Segoe UI"/>
      <w:iCs/>
      <w:color w:val="0A6AB4"/>
      <w:sz w:val="21"/>
      <w:szCs w:val="24"/>
      <w:lang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qFormat/>
    <w:rsid w:val="006F2DC9"/>
    <w:pPr>
      <w:tabs>
        <w:tab w:val="right" w:pos="8080"/>
      </w:tabs>
      <w:spacing w:before="120"/>
      <w:ind w:left="992" w:right="567" w:hanging="992"/>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F17491"/>
    <w:pPr>
      <w:spacing w:line="216" w:lineRule="auto"/>
      <w:ind w:right="1701"/>
    </w:pPr>
    <w:rPr>
      <w:rFonts w:ascii="Segoe UI Black" w:hAnsi="Segoe UI Black" w:cs="Lucida Sans Unicode"/>
      <w:b/>
      <w:sz w:val="72"/>
      <w:szCs w:val="72"/>
    </w:rPr>
  </w:style>
  <w:style w:type="character" w:customStyle="1" w:styleId="TitleChar">
    <w:name w:val="Title Char"/>
    <w:link w:val="Title"/>
    <w:rsid w:val="00F17491"/>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2A22A1"/>
    <w:pPr>
      <w:numPr>
        <w:numId w:val="4"/>
      </w:numPr>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2D75EA"/>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8"/>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F17491"/>
    <w:pPr>
      <w:spacing w:before="840"/>
      <w:ind w:right="1701"/>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A13421"/>
    <w:pPr>
      <w:numPr>
        <w:ilvl w:val="3"/>
        <w:numId w:val="5"/>
      </w:numPr>
      <w:spacing w:before="9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C2CBE"/>
    <w:pPr>
      <w:spacing w:line="216" w:lineRule="auto"/>
    </w:pPr>
    <w:rPr>
      <w:rFonts w:ascii="Segoe UI Light" w:hAnsi="Segoe UI Light"/>
      <w:color w:val="404040" w:themeColor="text1" w:themeTint="BF"/>
      <w:sz w:val="36"/>
    </w:rPr>
  </w:style>
  <w:style w:type="paragraph" w:customStyle="1" w:styleId="Roman">
    <w:name w:val="Roman"/>
    <w:basedOn w:val="Normal"/>
    <w:qFormat/>
    <w:rsid w:val="00AD6293"/>
    <w:pPr>
      <w:numPr>
        <w:ilvl w:val="5"/>
        <w:numId w:val="5"/>
      </w:numPr>
      <w:spacing w:before="90"/>
    </w:pPr>
    <w:rPr>
      <w:rFonts w:eastAsia="Arial Unicode MS"/>
    </w:rPr>
  </w:style>
  <w:style w:type="paragraph" w:styleId="Caption">
    <w:name w:val="caption"/>
    <w:basedOn w:val="Normal"/>
    <w:next w:val="Normal"/>
    <w:unhideWhenUsed/>
    <w:qFormat/>
    <w:rsid w:val="00495A9A"/>
    <w:pPr>
      <w:spacing w:after="200"/>
    </w:pPr>
    <w:rPr>
      <w:b/>
      <w:bCs/>
      <w:color w:val="4F81BD" w:themeColor="accent1"/>
      <w:sz w:val="18"/>
      <w:szCs w:val="18"/>
    </w:rPr>
  </w:style>
  <w:style w:type="table" w:styleId="TableGrid">
    <w:name w:val="Table Grid"/>
    <w:basedOn w:val="TableNormal"/>
    <w:uiPriority w:val="39"/>
    <w:rsid w:val="00EE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rcle">
    <w:name w:val="Circle"/>
    <w:basedOn w:val="Normal"/>
    <w:qFormat/>
    <w:rsid w:val="00F823D4"/>
    <w:pPr>
      <w:numPr>
        <w:numId w:val="6"/>
      </w:numPr>
      <w:spacing w:before="30"/>
      <w:ind w:left="851" w:hanging="284"/>
    </w:pPr>
  </w:style>
  <w:style w:type="paragraph" w:customStyle="1" w:styleId="Heading3numbered">
    <w:name w:val="Heading 3 numbered"/>
    <w:basedOn w:val="Heading3"/>
    <w:next w:val="Normal"/>
    <w:qFormat/>
    <w:rsid w:val="004F5FA4"/>
    <w:pPr>
      <w:numPr>
        <w:ilvl w:val="0"/>
        <w:numId w:val="7"/>
      </w:numPr>
    </w:pPr>
  </w:style>
  <w:style w:type="paragraph" w:styleId="ListParagraph">
    <w:name w:val="List Paragraph"/>
    <w:basedOn w:val="Normal"/>
    <w:uiPriority w:val="34"/>
    <w:qFormat/>
    <w:rsid w:val="00DD1B3A"/>
    <w:pPr>
      <w:ind w:left="720"/>
      <w:contextualSpacing/>
    </w:pPr>
    <w:rPr>
      <w:sz w:val="22"/>
    </w:rPr>
  </w:style>
  <w:style w:type="paragraph" w:styleId="NormalWeb">
    <w:name w:val="Normal (Web)"/>
    <w:basedOn w:val="Normal"/>
    <w:uiPriority w:val="99"/>
    <w:unhideWhenUsed/>
    <w:rsid w:val="00DD1B3A"/>
    <w:pPr>
      <w:spacing w:before="100" w:beforeAutospacing="1" w:after="100" w:afterAutospacing="1"/>
    </w:pPr>
    <w:rPr>
      <w:rFonts w:ascii="Times New Roman" w:hAnsi="Times New Roman"/>
      <w:sz w:val="24"/>
      <w:szCs w:val="24"/>
      <w:lang w:eastAsia="en-NZ"/>
    </w:rPr>
  </w:style>
  <w:style w:type="character" w:styleId="Strong">
    <w:name w:val="Strong"/>
    <w:basedOn w:val="DefaultParagraphFont"/>
    <w:uiPriority w:val="22"/>
    <w:qFormat/>
    <w:rsid w:val="00144D7A"/>
    <w:rPr>
      <w:b/>
      <w:bCs/>
    </w:rPr>
  </w:style>
  <w:style w:type="paragraph" w:styleId="TableofFigures">
    <w:name w:val="table of figures"/>
    <w:basedOn w:val="Normal"/>
    <w:next w:val="Normal"/>
    <w:uiPriority w:val="99"/>
    <w:unhideWhenUsed/>
    <w:qFormat/>
    <w:rsid w:val="004654B7"/>
  </w:style>
  <w:style w:type="character" w:styleId="CommentReference">
    <w:name w:val="annotation reference"/>
    <w:basedOn w:val="DefaultParagraphFont"/>
    <w:uiPriority w:val="99"/>
    <w:semiHidden/>
    <w:unhideWhenUsed/>
    <w:rsid w:val="00056479"/>
    <w:rPr>
      <w:sz w:val="16"/>
      <w:szCs w:val="16"/>
    </w:rPr>
  </w:style>
  <w:style w:type="paragraph" w:styleId="CommentText">
    <w:name w:val="annotation text"/>
    <w:basedOn w:val="Normal"/>
    <w:link w:val="CommentTextChar"/>
    <w:uiPriority w:val="99"/>
    <w:semiHidden/>
    <w:unhideWhenUsed/>
    <w:rsid w:val="00056479"/>
    <w:rPr>
      <w:sz w:val="20"/>
    </w:rPr>
  </w:style>
  <w:style w:type="character" w:customStyle="1" w:styleId="CommentTextChar">
    <w:name w:val="Comment Text Char"/>
    <w:basedOn w:val="DefaultParagraphFont"/>
    <w:link w:val="CommentText"/>
    <w:uiPriority w:val="99"/>
    <w:semiHidden/>
    <w:rsid w:val="00056479"/>
    <w:rPr>
      <w:rFonts w:ascii="Segoe UI" w:hAnsi="Segoe UI"/>
      <w:lang w:eastAsia="en-GB"/>
    </w:rPr>
  </w:style>
  <w:style w:type="paragraph" w:styleId="CommentSubject">
    <w:name w:val="annotation subject"/>
    <w:basedOn w:val="CommentText"/>
    <w:next w:val="CommentText"/>
    <w:link w:val="CommentSubjectChar"/>
    <w:semiHidden/>
    <w:unhideWhenUsed/>
    <w:rsid w:val="00056479"/>
    <w:rPr>
      <w:b/>
      <w:bCs/>
    </w:rPr>
  </w:style>
  <w:style w:type="character" w:customStyle="1" w:styleId="CommentSubjectChar">
    <w:name w:val="Comment Subject Char"/>
    <w:basedOn w:val="CommentTextChar"/>
    <w:link w:val="CommentSubject"/>
    <w:semiHidden/>
    <w:rsid w:val="00056479"/>
    <w:rPr>
      <w:rFonts w:ascii="Segoe UI" w:hAnsi="Segoe UI"/>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08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4.xml"/><Relationship Id="rId26" Type="http://schemas.openxmlformats.org/officeDocument/2006/relationships/hyperlink" Target="https://www.health.govt.nz/publication/standard-care-administering-assisted-dying-medication-new-zealand-aotearoa" TargetMode="External"/><Relationship Id="rId39" Type="http://schemas.openxmlformats.org/officeDocument/2006/relationships/hyperlink" Target="https://learnonline.health.nz/admin/tool/sitepolicy/userpolicy.php" TargetMode="Externa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image" Target="media/image5.png"/><Relationship Id="rId42"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yperlink" Target="http://www.health.govt.nz" TargetMode="External"/><Relationship Id="rId17" Type="http://schemas.openxmlformats.org/officeDocument/2006/relationships/header" Target="header3.xml"/><Relationship Id="rId25" Type="http://schemas.openxmlformats.org/officeDocument/2006/relationships/hyperlink" Target="https://www.health.govt.nz/publication/standard-care-administering-assisted-dying-medication-new-zealand-aotearoa" TargetMode="External"/><Relationship Id="rId33" Type="http://schemas.openxmlformats.org/officeDocument/2006/relationships/hyperlink" Target="https://www.health.govt.nz/publication/hiso-100012017-ethnicity-data-protocols" TargetMode="External"/><Relationship Id="rId38" Type="http://schemas.openxmlformats.org/officeDocument/2006/relationships/hyperlink" Target="https://www.health.govt.nz/our-work/life-stages/assisted-dying-service/information-health-professionals/assisted-dying-service-provision-and-payment"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hyperlink" Target="https://www.health.govt.nz/our-work/life-stages/assisted-dying-service/end-life-review-committee"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health.govt.nz/our-work/life-stages/assisted-dying-service/about-assisted-dying-service/implementation-assisted-dying-service" TargetMode="External"/><Relationship Id="rId32" Type="http://schemas.openxmlformats.org/officeDocument/2006/relationships/image" Target="media/image4.png"/><Relationship Id="rId37" Type="http://schemas.openxmlformats.org/officeDocument/2006/relationships/footer" Target="footer8.xml"/><Relationship Id="rId40" Type="http://schemas.openxmlformats.org/officeDocument/2006/relationships/hyperlink" Target="mailto:AssistedDying@health.govt.nz"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health.govt.nz/our-work/life-stages/assisted-dying-service/about-assisted-dying-service/implementation-assisted-dying-service" TargetMode="External"/><Relationship Id="rId28" Type="http://schemas.openxmlformats.org/officeDocument/2006/relationships/hyperlink" Target="https://www.health.govt.nz/our-work/life-stages/assisted-dying-service/support-and-consultation-end-life-new-zealand-scenz-group" TargetMode="External"/><Relationship Id="rId36" Type="http://schemas.openxmlformats.org/officeDocument/2006/relationships/hyperlink" Target="https://www.health.govt.nz/our-work/life-stages/assisted-dying-service/support-and-consultation-end-life-new-zealand-scenz-group/registration-scenz-lists" TargetMode="Externa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s://www.health.govt.nz/our-work/life-stages/assisted-dying-service/assisted-dying-service-data-and-reportin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s://www.legislation.govt.nz/act/public/2019/0067/latest/DLM7285905.html" TargetMode="External"/><Relationship Id="rId27" Type="http://schemas.openxmlformats.org/officeDocument/2006/relationships/hyperlink" Target="https://www.health.govt.nz/our-work/regulation-health-and-disability-system/certification-health-care-services/services-standard/resources-nga-paerewa-health-and-disability-services-standard/te-aparangi-maori-partnership-alliance" TargetMode="External"/><Relationship Id="rId30" Type="http://schemas.openxmlformats.org/officeDocument/2006/relationships/hyperlink" Target="https://www.health.govt.nz/our-work/regulation-health-and-disability-system/certification-health-care-services/services-standard/resources-nga-paerewa-health-and-disability-services-standard/te-aparangi-maori-partnership-alliance" TargetMode="External"/><Relationship Id="rId35" Type="http://schemas.openxmlformats.org/officeDocument/2006/relationships/hyperlink" Target="https://www.hdc.org.nz/your-rights/about-the-code/code-of-health-and-disability-services-consumers-rights/"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38573-38D0-46C1-AE8D-2F1D14ABC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0</TotalTime>
  <Pages>32</Pages>
  <Words>9027</Words>
  <Characters>51460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Assisted Dying Service – Ngā Ratonga Mate Whakaahuru: Registrar (assisted dying) Annual Report to the Minister of Health</vt:lpstr>
    </vt:vector>
  </TitlesOfParts>
  <Company>Microsoft</Company>
  <LinksUpToDate>false</LinksUpToDate>
  <CharactersWithSpaces>60367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Assisted Dying Service – Ngā Ratonga Mate Whakaahuru: Registrar (assisted dying) Annual Report to the Minister of Health</dc:title>
  <dc:creator>Ministry of Health</dc:creator>
  <cp:lastModifiedBy>Ministry of Health</cp:lastModifiedBy>
  <cp:revision>2</cp:revision>
  <cp:lastPrinted>2022-06-16T03:18:00Z</cp:lastPrinted>
  <dcterms:created xsi:type="dcterms:W3CDTF">2022-06-26T23:15:00Z</dcterms:created>
  <dcterms:modified xsi:type="dcterms:W3CDTF">2022-06-26T23:15:00Z</dcterms:modified>
</cp:coreProperties>
</file>